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webSettings.xml" ContentType="application/vnd.openxmlformats-officedocument.wordprocessingml.webSettings+xml"/>
  <Override PartName="/customXml/itemProps4.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8.xml" ContentType="application/vnd.openxmlformats-officedocument.customXmlProperties+xml"/>
  <Override PartName="/customXml/itemProps1.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D75194" w:rsidR="00F23A45" w:rsidP="008F35BF" w:rsidRDefault="00F23A45" w14:paraId="1B6A42A7" w14:textId="47A4EE6C">
      <w:pPr>
        <w:pStyle w:val="Template-N"/>
      </w:pPr>
      <w:bookmarkStart w:name="_Hlk104298566" w:id="0"/>
    </w:p>
    <w:tbl>
      <w:tblPr>
        <w:tblStyle w:val="Blank"/>
        <w:tblpPr w:leftFromText="142" w:rightFromText="142" w:horzAnchor="margin" w:tblpXSpec="right" w:tblpYSpec="bottom"/>
        <w:tblW w:w="4958" w:type="pct"/>
        <w:tblLayout w:type="fixed"/>
        <w:tblLook w:val="04A0" w:firstRow="1" w:lastRow="0" w:firstColumn="1" w:lastColumn="0" w:noHBand="0" w:noVBand="1"/>
      </w:tblPr>
      <w:tblGrid>
        <w:gridCol w:w="4931"/>
        <w:gridCol w:w="4850"/>
      </w:tblGrid>
      <w:tr w:rsidRPr="00D75194" w:rsidR="00A70D75" w:rsidTr="4D786607" w14:paraId="497396A3" w14:textId="77777777">
        <w:trPr>
          <w:cantSplit/>
          <w:trHeight w:val="1304"/>
        </w:trPr>
        <w:tc>
          <w:tcPr>
            <w:tcW w:w="9781" w:type="dxa"/>
            <w:gridSpan w:val="2"/>
            <w:vAlign w:val="bottom"/>
          </w:tcPr>
          <w:p w:rsidRPr="00D75194" w:rsidR="00A70D75" w:rsidP="002F3621" w:rsidRDefault="00744845" w14:paraId="568BBA36" w14:textId="5C57DDE0">
            <w:pPr>
              <w:pStyle w:val="Cover-Title"/>
              <w:spacing w:line="600" w:lineRule="exact"/>
              <w:rPr>
                <w:sz w:val="32"/>
                <w:szCs w:val="32"/>
              </w:rPr>
            </w:pPr>
            <w:r w:rsidRPr="00D75194">
              <w:rPr>
                <w:rStyle w:val="Cover-TitleChar"/>
                <w:sz w:val="40"/>
                <w:szCs w:val="40"/>
              </w:rPr>
              <w:t>Independent Learning and Evaluation of the Effectiveness of the UK’s Support to</w:t>
            </w:r>
            <w:r w:rsidRPr="00D75194" w:rsidR="00CB2CDA">
              <w:rPr>
                <w:rStyle w:val="Cover-TitleChar"/>
                <w:sz w:val="40"/>
                <w:szCs w:val="40"/>
              </w:rPr>
              <w:t xml:space="preserve"> </w:t>
            </w:r>
            <w:r w:rsidRPr="00D75194">
              <w:rPr>
                <w:rStyle w:val="Cover-TitleChar"/>
                <w:sz w:val="40"/>
                <w:szCs w:val="40"/>
              </w:rPr>
              <w:t>Climate Vulnerable Country Negotiating Groups in</w:t>
            </w:r>
            <w:r w:rsidRPr="00D75194" w:rsidR="00CB2CDA">
              <w:rPr>
                <w:rStyle w:val="Cover-TitleChar"/>
                <w:sz w:val="40"/>
                <w:szCs w:val="40"/>
              </w:rPr>
              <w:t xml:space="preserve"> </w:t>
            </w:r>
            <w:r w:rsidRPr="00D75194">
              <w:rPr>
                <w:rStyle w:val="Cover-TitleChar"/>
                <w:sz w:val="40"/>
                <w:szCs w:val="40"/>
              </w:rPr>
              <w:t>International Climate Negotiations</w:t>
            </w:r>
          </w:p>
        </w:tc>
      </w:tr>
      <w:tr w:rsidRPr="00D75194" w:rsidR="001C4CEE" w:rsidTr="4D786607" w14:paraId="25E168DF" w14:textId="77777777">
        <w:trPr>
          <w:cantSplit/>
          <w:trHeight w:val="113" w:hRule="exact"/>
        </w:trPr>
        <w:tc>
          <w:tcPr>
            <w:tcW w:w="4931" w:type="dxa"/>
          </w:tcPr>
          <w:p w:rsidRPr="00D75194" w:rsidR="001C4CEE" w:rsidP="000422B7" w:rsidRDefault="001C4CEE" w14:paraId="7266D011" w14:textId="77777777">
            <w:pPr>
              <w:pStyle w:val="Cover-Title"/>
            </w:pPr>
          </w:p>
        </w:tc>
        <w:tc>
          <w:tcPr>
            <w:tcW w:w="4850" w:type="dxa"/>
            <w:shd w:val="clear" w:color="auto" w:fill="282829"/>
          </w:tcPr>
          <w:p w:rsidRPr="00D75194" w:rsidR="001C4CEE" w:rsidP="000422B7" w:rsidRDefault="001C4CEE" w14:paraId="6D4908BF" w14:textId="77777777">
            <w:pPr>
              <w:pStyle w:val="Cover-Title"/>
            </w:pPr>
          </w:p>
        </w:tc>
      </w:tr>
      <w:tr w:rsidRPr="00D75194" w:rsidR="001C4CEE" w:rsidTr="4D786607" w14:paraId="14E8C622" w14:textId="77777777">
        <w:trPr>
          <w:cantSplit/>
          <w:trHeight w:val="227" w:hRule="exact"/>
        </w:trPr>
        <w:tc>
          <w:tcPr>
            <w:tcW w:w="9781" w:type="dxa"/>
            <w:gridSpan w:val="2"/>
          </w:tcPr>
          <w:p w:rsidRPr="00D75194" w:rsidR="001C4CEE" w:rsidP="000422B7" w:rsidRDefault="001C4CEE" w14:paraId="5380F2A0" w14:textId="77777777">
            <w:pPr>
              <w:pStyle w:val="Cover-Title"/>
            </w:pPr>
          </w:p>
        </w:tc>
      </w:tr>
      <w:tr w:rsidRPr="00D75194" w:rsidR="00544E1B" w:rsidTr="4D786607" w14:paraId="171524E4" w14:textId="77777777">
        <w:trPr>
          <w:cantSplit/>
          <w:trHeight w:val="1496"/>
        </w:trPr>
        <w:tc>
          <w:tcPr>
            <w:tcW w:w="9781" w:type="dxa"/>
            <w:gridSpan w:val="2"/>
          </w:tcPr>
          <w:p w:rsidRPr="00D75194" w:rsidR="00544E1B" w:rsidP="00CB7A73" w:rsidRDefault="00083A6A" w14:paraId="4105D04E" w14:textId="615AA807">
            <w:pPr>
              <w:pStyle w:val="Cover-Subtitle"/>
            </w:pPr>
            <w:r w:rsidRPr="00D75194">
              <w:rPr>
                <w:rStyle w:val="Cover-SubtitleChar"/>
              </w:rPr>
              <w:t>Final</w:t>
            </w:r>
            <w:r w:rsidRPr="00D75194" w:rsidR="002E7439">
              <w:rPr>
                <w:rStyle w:val="Cover-SubtitleChar"/>
              </w:rPr>
              <w:t xml:space="preserve"> Evaluation </w:t>
            </w:r>
            <w:r w:rsidRPr="00D75194" w:rsidR="004456D7">
              <w:rPr>
                <w:rStyle w:val="Cover-SubtitleChar"/>
              </w:rPr>
              <w:t>of the Climate Ambition Support Alliance (CASA) II programme 2023</w:t>
            </w:r>
            <w:r w:rsidRPr="00D75194" w:rsidR="00444AE9">
              <w:rPr>
                <w:rStyle w:val="Cover-SubtitleChar"/>
              </w:rPr>
              <w:t>–</w:t>
            </w:r>
            <w:r w:rsidRPr="00D75194" w:rsidR="00684C37">
              <w:rPr>
                <w:rStyle w:val="Cover-SubtitleChar"/>
              </w:rPr>
              <w:t>2</w:t>
            </w:r>
            <w:r w:rsidRPr="00D75194">
              <w:rPr>
                <w:rStyle w:val="Cover-SubtitleChar"/>
              </w:rPr>
              <w:t>5</w:t>
            </w:r>
          </w:p>
        </w:tc>
      </w:tr>
      <w:tr w:rsidRPr="00D75194" w:rsidR="00D4351D" w:rsidTr="4D786607" w14:paraId="0BA17993" w14:textId="77777777">
        <w:trPr>
          <w:cantSplit/>
          <w:trHeight w:val="567"/>
        </w:trPr>
        <w:tc>
          <w:tcPr>
            <w:tcW w:w="9781" w:type="dxa"/>
            <w:gridSpan w:val="2"/>
          </w:tcPr>
          <w:p w:rsidRPr="00D75194" w:rsidR="00FF69A4" w:rsidP="4D786607" w:rsidRDefault="002147E1" w14:paraId="21350F87" w14:textId="7F9DA1F6">
            <w:pPr>
              <w:pStyle w:val="Cover-Text"/>
              <w:rPr>
                <w:rStyle w:val="Cover-TextChar"/>
                <w:b/>
                <w:bCs/>
                <w:sz w:val="28"/>
                <w:szCs w:val="28"/>
              </w:rPr>
            </w:pPr>
            <w:r w:rsidRPr="4D786607">
              <w:rPr>
                <w:rStyle w:val="Cover-TextChar"/>
                <w:b/>
                <w:bCs/>
              </w:rPr>
              <w:t>D</w:t>
            </w:r>
            <w:r w:rsidRPr="00964361" w:rsidR="689C4A47">
              <w:rPr>
                <w:rStyle w:val="Cover-TextChar"/>
                <w:b/>
                <w:bCs/>
                <w:sz w:val="28"/>
                <w:szCs w:val="28"/>
              </w:rPr>
              <w:t xml:space="preserve">epartment of </w:t>
            </w:r>
            <w:r w:rsidRPr="00964361" w:rsidR="72EBE96E">
              <w:rPr>
                <w:rStyle w:val="Cover-TextChar"/>
                <w:b/>
                <w:bCs/>
                <w:sz w:val="28"/>
                <w:szCs w:val="28"/>
              </w:rPr>
              <w:t>E</w:t>
            </w:r>
            <w:r w:rsidRPr="00964361" w:rsidR="4BA84D23">
              <w:rPr>
                <w:rStyle w:val="Cover-TextChar"/>
                <w:b/>
                <w:bCs/>
                <w:sz w:val="28"/>
                <w:szCs w:val="28"/>
              </w:rPr>
              <w:t xml:space="preserve">nergy </w:t>
            </w:r>
            <w:r w:rsidRPr="00964361" w:rsidR="72EBE96E">
              <w:rPr>
                <w:rStyle w:val="Cover-TextChar"/>
                <w:b/>
                <w:bCs/>
                <w:sz w:val="28"/>
                <w:szCs w:val="28"/>
              </w:rPr>
              <w:t>S</w:t>
            </w:r>
            <w:r w:rsidRPr="00964361" w:rsidR="3D96BD4E">
              <w:rPr>
                <w:rStyle w:val="Cover-TextChar"/>
                <w:b/>
                <w:bCs/>
                <w:sz w:val="28"/>
                <w:szCs w:val="28"/>
              </w:rPr>
              <w:t xml:space="preserve">ecurity and </w:t>
            </w:r>
            <w:r w:rsidRPr="00964361" w:rsidR="72EBE96E">
              <w:rPr>
                <w:rStyle w:val="Cover-TextChar"/>
                <w:b/>
                <w:bCs/>
                <w:sz w:val="28"/>
                <w:szCs w:val="28"/>
              </w:rPr>
              <w:t>N</w:t>
            </w:r>
            <w:r w:rsidRPr="00964361" w:rsidR="26CE376A">
              <w:rPr>
                <w:rStyle w:val="Cover-TextChar"/>
                <w:b/>
                <w:bCs/>
                <w:sz w:val="28"/>
                <w:szCs w:val="28"/>
              </w:rPr>
              <w:t xml:space="preserve">et </w:t>
            </w:r>
            <w:r w:rsidRPr="00964361" w:rsidR="72EBE96E">
              <w:rPr>
                <w:rStyle w:val="Cover-TextChar"/>
                <w:b/>
                <w:bCs/>
                <w:sz w:val="28"/>
                <w:szCs w:val="28"/>
              </w:rPr>
              <w:t>Z</w:t>
            </w:r>
            <w:r w:rsidRPr="00964361" w:rsidR="5B698E96">
              <w:rPr>
                <w:rStyle w:val="Cover-TextChar"/>
                <w:b/>
                <w:bCs/>
                <w:sz w:val="28"/>
                <w:szCs w:val="28"/>
              </w:rPr>
              <w:t>ero (DESNZ)</w:t>
            </w:r>
          </w:p>
        </w:tc>
      </w:tr>
      <w:tr w:rsidRPr="00D75194" w:rsidR="00035535" w:rsidTr="4D786607" w14:paraId="3E0F1634" w14:textId="77777777">
        <w:trPr>
          <w:cantSplit/>
          <w:trHeight w:val="283"/>
        </w:trPr>
        <w:tc>
          <w:tcPr>
            <w:tcW w:w="9781" w:type="dxa"/>
            <w:gridSpan w:val="2"/>
          </w:tcPr>
          <w:p w:rsidRPr="00D75194" w:rsidR="00035535" w:rsidP="000422B7" w:rsidRDefault="00410EFF" w14:paraId="4CC1B379" w14:textId="13414F9A">
            <w:pPr>
              <w:pStyle w:val="Cover-Date"/>
            </w:pPr>
            <w:sdt>
              <w:sdtPr>
                <w:rPr>
                  <w:rStyle w:val="Cover-DateChar"/>
                </w:rPr>
                <w:tag w:val="l_date"/>
                <w:id w:val="-471682309"/>
                <w:placeholder>
                  <w:docPart w:val="232765F3FB184FC8A337AFE781A10B62"/>
                </w:placeholder>
                <w:dataBinding w:prefixMappings="xmlns:ns0='http://niras/templates/labels' " w:xpath="/ns0:labels[1]/ns0:Date[1]" w:storeItemID="{A7E9DC5A-3E65-439A-8E20-A9CAA6A46846}"/>
                <w:text/>
              </w:sdtPr>
              <w:sdtEndPr>
                <w:rPr>
                  <w:rStyle w:val="Cover-DateChar"/>
                </w:rPr>
              </w:sdtEndPr>
              <w:sdtContent>
                <w:r w:rsidRPr="00D75194" w:rsidR="00994271">
                  <w:rPr>
                    <w:rStyle w:val="Cover-DateChar"/>
                  </w:rPr>
                  <w:t>Date</w:t>
                </w:r>
              </w:sdtContent>
            </w:sdt>
            <w:r w:rsidRPr="00D75194" w:rsidR="00827ACF">
              <w:t>:</w:t>
            </w:r>
            <w:r w:rsidRPr="00D75194" w:rsidR="00FF69A4">
              <w:t xml:space="preserve"> </w:t>
            </w:r>
            <w:r w:rsidRPr="00D75194" w:rsidR="00A5516F">
              <w:rPr>
                <w:rStyle w:val="Cover-DateChar"/>
              </w:rPr>
              <w:t xml:space="preserve">July </w:t>
            </w:r>
            <w:r w:rsidRPr="00D75194" w:rsidR="00083A6A">
              <w:rPr>
                <w:rStyle w:val="Cover-DateChar"/>
              </w:rPr>
              <w:t>2025</w:t>
            </w:r>
          </w:p>
        </w:tc>
      </w:tr>
    </w:tbl>
    <w:p w:rsidRPr="00D75194" w:rsidR="00035535" w:rsidP="008F35BF" w:rsidRDefault="00410427" w14:paraId="481F7CBA" w14:textId="2C83FDD1">
      <w:pPr>
        <w:pStyle w:val="Template-N"/>
      </w:pPr>
      <w:r w:rsidRPr="00D75194">
        <w:rPr>
          <w:noProof/>
        </w:rPr>
        <w:drawing>
          <wp:anchor distT="0" distB="0" distL="114300" distR="114300" simplePos="0" relativeHeight="251658241" behindDoc="0" locked="0" layoutInCell="1" allowOverlap="1" wp14:anchorId="62A9FEF9" wp14:editId="54221F44">
            <wp:simplePos x="0" y="0"/>
            <wp:positionH relativeFrom="column">
              <wp:posOffset>-648335</wp:posOffset>
            </wp:positionH>
            <wp:positionV relativeFrom="paragraph">
              <wp:posOffset>24765</wp:posOffset>
            </wp:positionV>
            <wp:extent cx="9352229" cy="5129857"/>
            <wp:effectExtent l="0" t="0" r="9525" b="0"/>
            <wp:wrapTopAndBottom/>
            <wp:docPr id="4" name="Picture 4" descr="A dirt road through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4" descr="A dirt road through a forest&#10;&#10;AI-generated content may be incorrect."/>
                    <pic:cNvPicPr/>
                  </pic:nvPicPr>
                  <pic:blipFill>
                    <a:blip r:embed="rId15"/>
                    <a:srcRect t="12204" b="12204"/>
                    <a:stretch>
                      <a:fillRect/>
                    </a:stretch>
                  </pic:blipFill>
                  <pic:spPr bwMode="auto">
                    <a:xfrm>
                      <a:off x="0" y="0"/>
                      <a:ext cx="9352229" cy="5129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name="_Hlk201306100" w:id="1"/>
      <w:bookmarkEnd w:id="1"/>
      <w:r w:rsidRPr="00D75194" w:rsidR="00563D96">
        <w:rPr>
          <w:noProof/>
        </w:rPr>
        <mc:AlternateContent>
          <mc:Choice Requires="wps">
            <w:drawing>
              <wp:anchor distT="0" distB="0" distL="114300" distR="114300" simplePos="0" relativeHeight="251658240" behindDoc="1" locked="1" layoutInCell="1" allowOverlap="1" wp14:anchorId="61463CBB" wp14:editId="5EAD0FBF">
                <wp:simplePos x="0" y="0"/>
                <wp:positionH relativeFrom="page">
                  <wp:align>left</wp:align>
                </wp:positionH>
                <wp:positionV relativeFrom="page">
                  <wp:posOffset>1224280</wp:posOffset>
                </wp:positionV>
                <wp:extent cx="7560000" cy="5112000"/>
                <wp:effectExtent l="0" t="0" r="3175" b="0"/>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5112000"/>
                        </a:xfrm>
                        <a:prstGeom prst="rect">
                          <a:avLst/>
                        </a:prstGeom>
                        <a:blipFill>
                          <a:blip r:embed="rId16"/>
                          <a:stretch>
                            <a:fillRect t="-706" r="-420" b="-1510"/>
                          </a:stretch>
                        </a:bli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6156A3">
              <v:rect id="Rectangle 14" style="position:absolute;margin-left:0;margin-top:96.4pt;width:595.3pt;height:40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stroked="f" strokeweight="1pt" w14:anchorId="4838AA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">
                <v:fill type="frame" o:title="" recolor="t" rotate="t" r:id="rId21"/>
                <o:lock v:ext="edit" aspectratio="t"/>
                <v:textbox inset="0,0,0,0"/>
                <w10:wrap anchorx="page" anchory="page"/>
                <w10:anchorlock/>
              </v:rect>
            </w:pict>
          </mc:Fallback>
        </mc:AlternateContent>
      </w:r>
    </w:p>
    <w:p w:rsidRPr="00D75194" w:rsidR="00F23A45" w:rsidP="00A1264E" w:rsidRDefault="00410EFF" w14:paraId="68EF8FD0" w14:textId="114DF423">
      <w:pPr>
        <w:pStyle w:val="TOCHeading"/>
        <w:tabs>
          <w:tab w:val="left" w:pos="5475"/>
        </w:tabs>
        <w:spacing w:after="840"/>
        <w:rPr>
          <w:rFonts w:asciiTheme="majorHAnsi" w:hAnsiTheme="majorHAnsi" w:cstheme="majorHAnsi"/>
        </w:rPr>
      </w:pPr>
      <w:sdt>
        <w:sdtPr>
          <w:tag w:val="l_contents"/>
          <w:id w:val="-36124920"/>
          <w:placeholder>
            <w:docPart w:val="232765F3FB184FC8A337AFE781A10B62"/>
          </w:placeholder>
          <w:dataBinding w:prefixMappings="xmlns:ns0='http://niras/templates/labels' " w:xpath="/ns0:labels[1]/ns0:Contents[1]" w:storeItemID="{A7E9DC5A-3E65-439A-8E20-A9CAA6A46846}"/>
          <w:text/>
        </w:sdtPr>
        <w:sdtEndPr/>
        <w:sdtContent>
          <w:r w:rsidRPr="00D75194" w:rsidR="00994271">
            <w:t>Contents</w:t>
          </w:r>
        </w:sdtContent>
      </w:sdt>
      <w:r w:rsidRPr="00D75194" w:rsidR="00776D76">
        <w:tab/>
      </w:r>
    </w:p>
    <w:p w:rsidR="0018559B" w:rsidP="0056222E" w:rsidRDefault="00DF52B1" w14:paraId="2DFD971C" w14:textId="4C4534BC">
      <w:pPr>
        <w:pStyle w:val="TOC1"/>
        <w:spacing w:before="0" w:after="0"/>
        <w:rPr>
          <w:rFonts w:asciiTheme="minorHAnsi" w:hAnsiTheme="minorHAnsi" w:eastAsiaTheme="minorEastAsia"/>
          <w:b w:val="0"/>
          <w:noProof/>
          <w:kern w:val="2"/>
          <w:sz w:val="24"/>
          <w:szCs w:val="24"/>
          <w:lang w:eastAsia="en-GB"/>
          <w14:ligatures w14:val="standardContextual"/>
        </w:rPr>
      </w:pPr>
      <w:r w:rsidRPr="00D75194">
        <w:fldChar w:fldCharType="begin"/>
      </w:r>
      <w:r w:rsidRPr="00D75194">
        <w:instrText xml:space="preserve"> TOC \o "1-2" \h \z \u </w:instrText>
      </w:r>
      <w:r w:rsidRPr="00D75194">
        <w:fldChar w:fldCharType="separate"/>
      </w:r>
      <w:hyperlink w:history="1" w:anchor="_Toc214452897">
        <w:r w:rsidRPr="009C1927" w:rsidR="0018559B">
          <w:rPr>
            <w:rStyle w:val="Hyperlink"/>
            <w:rFonts w:asciiTheme="majorHAnsi" w:hAnsiTheme="majorHAnsi" w:cstheme="majorHAnsi"/>
            <w:bCs/>
            <w:noProof/>
          </w:rPr>
          <w:t>Acronyms</w:t>
        </w:r>
        <w:r w:rsidR="0018559B">
          <w:rPr>
            <w:noProof/>
            <w:webHidden/>
          </w:rPr>
          <w:tab/>
        </w:r>
        <w:r w:rsidR="0018559B">
          <w:rPr>
            <w:noProof/>
            <w:webHidden/>
          </w:rPr>
          <w:fldChar w:fldCharType="begin"/>
        </w:r>
        <w:r w:rsidR="0018559B">
          <w:rPr>
            <w:noProof/>
            <w:webHidden/>
          </w:rPr>
          <w:instrText xml:space="preserve"> PAGEREF _Toc214452897 \h </w:instrText>
        </w:r>
        <w:r w:rsidR="0018559B">
          <w:rPr>
            <w:noProof/>
            <w:webHidden/>
          </w:rPr>
        </w:r>
        <w:r w:rsidR="0018559B">
          <w:rPr>
            <w:noProof/>
            <w:webHidden/>
          </w:rPr>
          <w:fldChar w:fldCharType="separate"/>
        </w:r>
        <w:r w:rsidR="0018559B">
          <w:rPr>
            <w:noProof/>
            <w:webHidden/>
          </w:rPr>
          <w:t>v</w:t>
        </w:r>
        <w:r w:rsidR="0018559B">
          <w:rPr>
            <w:noProof/>
            <w:webHidden/>
          </w:rPr>
          <w:fldChar w:fldCharType="end"/>
        </w:r>
      </w:hyperlink>
    </w:p>
    <w:p w:rsidR="0018559B" w:rsidP="0056222E" w:rsidRDefault="0018559B" w14:paraId="749ACF55" w14:textId="56B68574">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898">
        <w:r w:rsidRPr="009C1927">
          <w:rPr>
            <w:rStyle w:val="Hyperlink"/>
            <w:noProof/>
          </w:rPr>
          <w:t>Acknowledgements</w:t>
        </w:r>
        <w:r>
          <w:rPr>
            <w:noProof/>
            <w:webHidden/>
          </w:rPr>
          <w:tab/>
        </w:r>
        <w:r>
          <w:rPr>
            <w:noProof/>
            <w:webHidden/>
          </w:rPr>
          <w:fldChar w:fldCharType="begin"/>
        </w:r>
        <w:r>
          <w:rPr>
            <w:noProof/>
            <w:webHidden/>
          </w:rPr>
          <w:instrText xml:space="preserve"> PAGEREF _Toc214452898 \h </w:instrText>
        </w:r>
        <w:r>
          <w:rPr>
            <w:noProof/>
            <w:webHidden/>
          </w:rPr>
        </w:r>
        <w:r>
          <w:rPr>
            <w:noProof/>
            <w:webHidden/>
          </w:rPr>
          <w:fldChar w:fldCharType="separate"/>
        </w:r>
        <w:r>
          <w:rPr>
            <w:noProof/>
            <w:webHidden/>
          </w:rPr>
          <w:t>vii</w:t>
        </w:r>
        <w:r>
          <w:rPr>
            <w:noProof/>
            <w:webHidden/>
          </w:rPr>
          <w:fldChar w:fldCharType="end"/>
        </w:r>
      </w:hyperlink>
    </w:p>
    <w:p w:rsidR="0018559B" w:rsidP="0056222E" w:rsidRDefault="0018559B" w14:paraId="7210D8A0" w14:textId="03D97A90">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899">
        <w:r w:rsidRPr="009C1927">
          <w:rPr>
            <w:rStyle w:val="Hyperlink"/>
            <w:noProof/>
          </w:rPr>
          <w:t>Executive summary</w:t>
        </w:r>
        <w:r>
          <w:rPr>
            <w:noProof/>
            <w:webHidden/>
          </w:rPr>
          <w:tab/>
        </w:r>
        <w:r>
          <w:rPr>
            <w:noProof/>
            <w:webHidden/>
          </w:rPr>
          <w:fldChar w:fldCharType="begin"/>
        </w:r>
        <w:r>
          <w:rPr>
            <w:noProof/>
            <w:webHidden/>
          </w:rPr>
          <w:instrText xml:space="preserve"> PAGEREF _Toc214452899 \h </w:instrText>
        </w:r>
        <w:r>
          <w:rPr>
            <w:noProof/>
            <w:webHidden/>
          </w:rPr>
        </w:r>
        <w:r>
          <w:rPr>
            <w:noProof/>
            <w:webHidden/>
          </w:rPr>
          <w:fldChar w:fldCharType="separate"/>
        </w:r>
        <w:r>
          <w:rPr>
            <w:noProof/>
            <w:webHidden/>
          </w:rPr>
          <w:t>viii</w:t>
        </w:r>
        <w:r>
          <w:rPr>
            <w:noProof/>
            <w:webHidden/>
          </w:rPr>
          <w:fldChar w:fldCharType="end"/>
        </w:r>
      </w:hyperlink>
    </w:p>
    <w:p w:rsidR="0018559B" w:rsidRDefault="0018559B" w14:paraId="0B536FEF" w14:textId="2A968E0D">
      <w:pPr>
        <w:pStyle w:val="TOC2"/>
        <w:rPr>
          <w:rFonts w:asciiTheme="minorHAnsi" w:hAnsiTheme="minorHAnsi" w:eastAsiaTheme="minorEastAsia"/>
          <w:noProof/>
          <w:kern w:val="2"/>
          <w:sz w:val="24"/>
          <w:szCs w:val="24"/>
          <w:lang w:eastAsia="en-GB"/>
          <w14:ligatures w14:val="standardContextual"/>
        </w:rPr>
      </w:pPr>
      <w:hyperlink w:history="1" w:anchor="_Toc214452900">
        <w:r w:rsidRPr="009C1927">
          <w:rPr>
            <w:rStyle w:val="Hyperlink"/>
            <w:noProof/>
          </w:rPr>
          <w:t>Introduction</w:t>
        </w:r>
        <w:r>
          <w:rPr>
            <w:noProof/>
            <w:webHidden/>
          </w:rPr>
          <w:tab/>
        </w:r>
        <w:r>
          <w:rPr>
            <w:noProof/>
            <w:webHidden/>
          </w:rPr>
          <w:fldChar w:fldCharType="begin"/>
        </w:r>
        <w:r>
          <w:rPr>
            <w:noProof/>
            <w:webHidden/>
          </w:rPr>
          <w:instrText xml:space="preserve"> PAGEREF _Toc214452900 \h </w:instrText>
        </w:r>
        <w:r>
          <w:rPr>
            <w:noProof/>
            <w:webHidden/>
          </w:rPr>
        </w:r>
        <w:r>
          <w:rPr>
            <w:noProof/>
            <w:webHidden/>
          </w:rPr>
          <w:fldChar w:fldCharType="separate"/>
        </w:r>
        <w:r>
          <w:rPr>
            <w:noProof/>
            <w:webHidden/>
          </w:rPr>
          <w:t>viii</w:t>
        </w:r>
        <w:r>
          <w:rPr>
            <w:noProof/>
            <w:webHidden/>
          </w:rPr>
          <w:fldChar w:fldCharType="end"/>
        </w:r>
      </w:hyperlink>
    </w:p>
    <w:p w:rsidR="0018559B" w:rsidRDefault="0018559B" w14:paraId="1AF9D667" w14:textId="2B37BB97">
      <w:pPr>
        <w:pStyle w:val="TOC2"/>
        <w:rPr>
          <w:rFonts w:asciiTheme="minorHAnsi" w:hAnsiTheme="minorHAnsi" w:eastAsiaTheme="minorEastAsia"/>
          <w:noProof/>
          <w:kern w:val="2"/>
          <w:sz w:val="24"/>
          <w:szCs w:val="24"/>
          <w:lang w:eastAsia="en-GB"/>
          <w14:ligatures w14:val="standardContextual"/>
        </w:rPr>
      </w:pPr>
      <w:hyperlink w:history="1" w:anchor="_Toc214452901">
        <w:r w:rsidRPr="009C1927">
          <w:rPr>
            <w:rStyle w:val="Hyperlink"/>
            <w:noProof/>
          </w:rPr>
          <w:t>Methodology</w:t>
        </w:r>
        <w:r>
          <w:rPr>
            <w:noProof/>
            <w:webHidden/>
          </w:rPr>
          <w:tab/>
        </w:r>
        <w:r>
          <w:rPr>
            <w:noProof/>
            <w:webHidden/>
          </w:rPr>
          <w:fldChar w:fldCharType="begin"/>
        </w:r>
        <w:r>
          <w:rPr>
            <w:noProof/>
            <w:webHidden/>
          </w:rPr>
          <w:instrText xml:space="preserve"> PAGEREF _Toc214452901 \h </w:instrText>
        </w:r>
        <w:r>
          <w:rPr>
            <w:noProof/>
            <w:webHidden/>
          </w:rPr>
        </w:r>
        <w:r>
          <w:rPr>
            <w:noProof/>
            <w:webHidden/>
          </w:rPr>
          <w:fldChar w:fldCharType="separate"/>
        </w:r>
        <w:r>
          <w:rPr>
            <w:noProof/>
            <w:webHidden/>
          </w:rPr>
          <w:t>viii</w:t>
        </w:r>
        <w:r>
          <w:rPr>
            <w:noProof/>
            <w:webHidden/>
          </w:rPr>
          <w:fldChar w:fldCharType="end"/>
        </w:r>
      </w:hyperlink>
    </w:p>
    <w:p w:rsidR="0018559B" w:rsidRDefault="0018559B" w14:paraId="7DA2F831" w14:textId="50264F4E">
      <w:pPr>
        <w:pStyle w:val="TOC2"/>
        <w:rPr>
          <w:rFonts w:asciiTheme="minorHAnsi" w:hAnsiTheme="minorHAnsi" w:eastAsiaTheme="minorEastAsia"/>
          <w:noProof/>
          <w:kern w:val="2"/>
          <w:sz w:val="24"/>
          <w:szCs w:val="24"/>
          <w:lang w:eastAsia="en-GB"/>
          <w14:ligatures w14:val="standardContextual"/>
        </w:rPr>
      </w:pPr>
      <w:hyperlink w:history="1" w:anchor="_Toc214452902">
        <w:r w:rsidRPr="009C1927">
          <w:rPr>
            <w:rStyle w:val="Hyperlink"/>
            <w:noProof/>
          </w:rPr>
          <w:t>Findings</w:t>
        </w:r>
        <w:r>
          <w:rPr>
            <w:noProof/>
            <w:webHidden/>
          </w:rPr>
          <w:tab/>
        </w:r>
        <w:r>
          <w:rPr>
            <w:noProof/>
            <w:webHidden/>
          </w:rPr>
          <w:fldChar w:fldCharType="begin"/>
        </w:r>
        <w:r>
          <w:rPr>
            <w:noProof/>
            <w:webHidden/>
          </w:rPr>
          <w:instrText xml:space="preserve"> PAGEREF _Toc214452902 \h </w:instrText>
        </w:r>
        <w:r>
          <w:rPr>
            <w:noProof/>
            <w:webHidden/>
          </w:rPr>
        </w:r>
        <w:r>
          <w:rPr>
            <w:noProof/>
            <w:webHidden/>
          </w:rPr>
          <w:fldChar w:fldCharType="separate"/>
        </w:r>
        <w:r>
          <w:rPr>
            <w:noProof/>
            <w:webHidden/>
          </w:rPr>
          <w:t>viii</w:t>
        </w:r>
        <w:r>
          <w:rPr>
            <w:noProof/>
            <w:webHidden/>
          </w:rPr>
          <w:fldChar w:fldCharType="end"/>
        </w:r>
      </w:hyperlink>
    </w:p>
    <w:p w:rsidR="0018559B" w:rsidRDefault="0018559B" w14:paraId="70187AA4" w14:textId="41D1D723">
      <w:pPr>
        <w:pStyle w:val="TOC2"/>
        <w:rPr>
          <w:rFonts w:asciiTheme="minorHAnsi" w:hAnsiTheme="minorHAnsi" w:eastAsiaTheme="minorEastAsia"/>
          <w:noProof/>
          <w:kern w:val="2"/>
          <w:sz w:val="24"/>
          <w:szCs w:val="24"/>
          <w:lang w:eastAsia="en-GB"/>
          <w14:ligatures w14:val="standardContextual"/>
        </w:rPr>
      </w:pPr>
      <w:hyperlink w:history="1" w:anchor="_Toc214452903">
        <w:r w:rsidRPr="009C1927">
          <w:rPr>
            <w:rStyle w:val="Hyperlink"/>
            <w:noProof/>
          </w:rPr>
          <w:t>Lessons and recommendations</w:t>
        </w:r>
        <w:r>
          <w:rPr>
            <w:noProof/>
            <w:webHidden/>
          </w:rPr>
          <w:tab/>
        </w:r>
        <w:r>
          <w:rPr>
            <w:noProof/>
            <w:webHidden/>
          </w:rPr>
          <w:fldChar w:fldCharType="begin"/>
        </w:r>
        <w:r>
          <w:rPr>
            <w:noProof/>
            <w:webHidden/>
          </w:rPr>
          <w:instrText xml:space="preserve"> PAGEREF _Toc214452903 \h </w:instrText>
        </w:r>
        <w:r>
          <w:rPr>
            <w:noProof/>
            <w:webHidden/>
          </w:rPr>
        </w:r>
        <w:r>
          <w:rPr>
            <w:noProof/>
            <w:webHidden/>
          </w:rPr>
          <w:fldChar w:fldCharType="separate"/>
        </w:r>
        <w:r>
          <w:rPr>
            <w:noProof/>
            <w:webHidden/>
          </w:rPr>
          <w:t>xiii</w:t>
        </w:r>
        <w:r>
          <w:rPr>
            <w:noProof/>
            <w:webHidden/>
          </w:rPr>
          <w:fldChar w:fldCharType="end"/>
        </w:r>
      </w:hyperlink>
    </w:p>
    <w:p w:rsidR="0018559B" w:rsidP="0056222E" w:rsidRDefault="0018559B" w14:paraId="7625D5BE" w14:textId="21DBAA9B">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04">
        <w:r w:rsidRPr="009C1927">
          <w:rPr>
            <w:rStyle w:val="Hyperlink"/>
            <w:noProof/>
          </w:rPr>
          <w:t>1.</w:t>
        </w:r>
        <w:r>
          <w:rPr>
            <w:rFonts w:asciiTheme="minorHAnsi" w:hAnsiTheme="minorHAnsi" w:eastAsiaTheme="minorEastAsia"/>
            <w:b w:val="0"/>
            <w:noProof/>
            <w:kern w:val="2"/>
            <w:sz w:val="24"/>
            <w:szCs w:val="24"/>
            <w:lang w:eastAsia="en-GB"/>
            <w14:ligatures w14:val="standardContextual"/>
          </w:rPr>
          <w:tab/>
        </w:r>
        <w:r w:rsidRPr="009C1927">
          <w:rPr>
            <w:rStyle w:val="Hyperlink"/>
            <w:noProof/>
          </w:rPr>
          <w:t>Introduction</w:t>
        </w:r>
        <w:r>
          <w:rPr>
            <w:noProof/>
            <w:webHidden/>
          </w:rPr>
          <w:tab/>
        </w:r>
        <w:r>
          <w:rPr>
            <w:noProof/>
            <w:webHidden/>
          </w:rPr>
          <w:fldChar w:fldCharType="begin"/>
        </w:r>
        <w:r>
          <w:rPr>
            <w:noProof/>
            <w:webHidden/>
          </w:rPr>
          <w:instrText xml:space="preserve"> PAGEREF _Toc214452904 \h </w:instrText>
        </w:r>
        <w:r>
          <w:rPr>
            <w:noProof/>
            <w:webHidden/>
          </w:rPr>
        </w:r>
        <w:r>
          <w:rPr>
            <w:noProof/>
            <w:webHidden/>
          </w:rPr>
          <w:fldChar w:fldCharType="separate"/>
        </w:r>
        <w:r>
          <w:rPr>
            <w:noProof/>
            <w:webHidden/>
          </w:rPr>
          <w:t>1</w:t>
        </w:r>
        <w:r>
          <w:rPr>
            <w:noProof/>
            <w:webHidden/>
          </w:rPr>
          <w:fldChar w:fldCharType="end"/>
        </w:r>
      </w:hyperlink>
    </w:p>
    <w:p w:rsidR="0018559B" w:rsidP="0056222E" w:rsidRDefault="0018559B" w14:paraId="2485D715" w14:textId="67B91D26">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05">
        <w:r w:rsidRPr="009C1927">
          <w:rPr>
            <w:rStyle w:val="Hyperlink"/>
            <w:noProof/>
          </w:rPr>
          <w:t>2.</w:t>
        </w:r>
        <w:r>
          <w:rPr>
            <w:rFonts w:asciiTheme="minorHAnsi" w:hAnsiTheme="minorHAnsi" w:eastAsiaTheme="minorEastAsia"/>
            <w:b w:val="0"/>
            <w:noProof/>
            <w:kern w:val="2"/>
            <w:sz w:val="24"/>
            <w:szCs w:val="24"/>
            <w:lang w:eastAsia="en-GB"/>
            <w14:ligatures w14:val="standardContextual"/>
          </w:rPr>
          <w:tab/>
        </w:r>
        <w:r w:rsidRPr="009C1927">
          <w:rPr>
            <w:rStyle w:val="Hyperlink"/>
            <w:noProof/>
          </w:rPr>
          <w:t>Methodology</w:t>
        </w:r>
        <w:r>
          <w:rPr>
            <w:noProof/>
            <w:webHidden/>
          </w:rPr>
          <w:tab/>
        </w:r>
        <w:r>
          <w:rPr>
            <w:noProof/>
            <w:webHidden/>
          </w:rPr>
          <w:fldChar w:fldCharType="begin"/>
        </w:r>
        <w:r>
          <w:rPr>
            <w:noProof/>
            <w:webHidden/>
          </w:rPr>
          <w:instrText xml:space="preserve"> PAGEREF _Toc214452905 \h </w:instrText>
        </w:r>
        <w:r>
          <w:rPr>
            <w:noProof/>
            <w:webHidden/>
          </w:rPr>
        </w:r>
        <w:r>
          <w:rPr>
            <w:noProof/>
            <w:webHidden/>
          </w:rPr>
          <w:fldChar w:fldCharType="separate"/>
        </w:r>
        <w:r>
          <w:rPr>
            <w:noProof/>
            <w:webHidden/>
          </w:rPr>
          <w:t>3</w:t>
        </w:r>
        <w:r>
          <w:rPr>
            <w:noProof/>
            <w:webHidden/>
          </w:rPr>
          <w:fldChar w:fldCharType="end"/>
        </w:r>
      </w:hyperlink>
    </w:p>
    <w:p w:rsidR="0018559B" w:rsidRDefault="0018559B" w14:paraId="3D98FA40" w14:textId="74E225F3">
      <w:pPr>
        <w:pStyle w:val="TOC2"/>
        <w:rPr>
          <w:rFonts w:asciiTheme="minorHAnsi" w:hAnsiTheme="minorHAnsi" w:eastAsiaTheme="minorEastAsia"/>
          <w:noProof/>
          <w:kern w:val="2"/>
          <w:sz w:val="24"/>
          <w:szCs w:val="24"/>
          <w:lang w:eastAsia="en-GB"/>
          <w14:ligatures w14:val="standardContextual"/>
        </w:rPr>
      </w:pPr>
      <w:hyperlink w:history="1" w:anchor="_Toc214452906">
        <w:r w:rsidRPr="009C1927">
          <w:rPr>
            <w:rStyle w:val="Hyperlink"/>
            <w:noProof/>
          </w:rPr>
          <w:t>2.1</w:t>
        </w:r>
        <w:r>
          <w:rPr>
            <w:rFonts w:asciiTheme="minorHAnsi" w:hAnsiTheme="minorHAnsi" w:eastAsiaTheme="minorEastAsia"/>
            <w:noProof/>
            <w:kern w:val="2"/>
            <w:sz w:val="24"/>
            <w:szCs w:val="24"/>
            <w:lang w:eastAsia="en-GB"/>
            <w14:ligatures w14:val="standardContextual"/>
          </w:rPr>
          <w:tab/>
        </w:r>
        <w:r w:rsidRPr="009C1927">
          <w:rPr>
            <w:rStyle w:val="Hyperlink"/>
            <w:noProof/>
          </w:rPr>
          <w:t>Overview</w:t>
        </w:r>
        <w:r>
          <w:rPr>
            <w:noProof/>
            <w:webHidden/>
          </w:rPr>
          <w:tab/>
        </w:r>
        <w:r>
          <w:rPr>
            <w:noProof/>
            <w:webHidden/>
          </w:rPr>
          <w:fldChar w:fldCharType="begin"/>
        </w:r>
        <w:r>
          <w:rPr>
            <w:noProof/>
            <w:webHidden/>
          </w:rPr>
          <w:instrText xml:space="preserve"> PAGEREF _Toc214452906 \h </w:instrText>
        </w:r>
        <w:r>
          <w:rPr>
            <w:noProof/>
            <w:webHidden/>
          </w:rPr>
        </w:r>
        <w:r>
          <w:rPr>
            <w:noProof/>
            <w:webHidden/>
          </w:rPr>
          <w:fldChar w:fldCharType="separate"/>
        </w:r>
        <w:r>
          <w:rPr>
            <w:noProof/>
            <w:webHidden/>
          </w:rPr>
          <w:t>3</w:t>
        </w:r>
        <w:r>
          <w:rPr>
            <w:noProof/>
            <w:webHidden/>
          </w:rPr>
          <w:fldChar w:fldCharType="end"/>
        </w:r>
      </w:hyperlink>
    </w:p>
    <w:p w:rsidR="0018559B" w:rsidRDefault="0018559B" w14:paraId="30C536E1" w14:textId="27EB2CA4">
      <w:pPr>
        <w:pStyle w:val="TOC2"/>
        <w:rPr>
          <w:rFonts w:asciiTheme="minorHAnsi" w:hAnsiTheme="minorHAnsi" w:eastAsiaTheme="minorEastAsia"/>
          <w:noProof/>
          <w:kern w:val="2"/>
          <w:sz w:val="24"/>
          <w:szCs w:val="24"/>
          <w:lang w:eastAsia="en-GB"/>
          <w14:ligatures w14:val="standardContextual"/>
        </w:rPr>
      </w:pPr>
      <w:hyperlink w:history="1" w:anchor="_Toc214452907">
        <w:r w:rsidRPr="009C1927">
          <w:rPr>
            <w:rStyle w:val="Hyperlink"/>
            <w:noProof/>
          </w:rPr>
          <w:t>2.2</w:t>
        </w:r>
        <w:r>
          <w:rPr>
            <w:rFonts w:asciiTheme="minorHAnsi" w:hAnsiTheme="minorHAnsi" w:eastAsiaTheme="minorEastAsia"/>
            <w:noProof/>
            <w:kern w:val="2"/>
            <w:sz w:val="24"/>
            <w:szCs w:val="24"/>
            <w:lang w:eastAsia="en-GB"/>
            <w14:ligatures w14:val="standardContextual"/>
          </w:rPr>
          <w:tab/>
        </w:r>
        <w:r w:rsidRPr="009C1927">
          <w:rPr>
            <w:rStyle w:val="Hyperlink"/>
            <w:noProof/>
          </w:rPr>
          <w:t>Sources and strength of evidence</w:t>
        </w:r>
        <w:r>
          <w:rPr>
            <w:noProof/>
            <w:webHidden/>
          </w:rPr>
          <w:tab/>
        </w:r>
        <w:r>
          <w:rPr>
            <w:noProof/>
            <w:webHidden/>
          </w:rPr>
          <w:fldChar w:fldCharType="begin"/>
        </w:r>
        <w:r>
          <w:rPr>
            <w:noProof/>
            <w:webHidden/>
          </w:rPr>
          <w:instrText xml:space="preserve"> PAGEREF _Toc214452907 \h </w:instrText>
        </w:r>
        <w:r>
          <w:rPr>
            <w:noProof/>
            <w:webHidden/>
          </w:rPr>
        </w:r>
        <w:r>
          <w:rPr>
            <w:noProof/>
            <w:webHidden/>
          </w:rPr>
          <w:fldChar w:fldCharType="separate"/>
        </w:r>
        <w:r>
          <w:rPr>
            <w:noProof/>
            <w:webHidden/>
          </w:rPr>
          <w:t>6</w:t>
        </w:r>
        <w:r>
          <w:rPr>
            <w:noProof/>
            <w:webHidden/>
          </w:rPr>
          <w:fldChar w:fldCharType="end"/>
        </w:r>
      </w:hyperlink>
    </w:p>
    <w:p w:rsidR="0018559B" w:rsidRDefault="0018559B" w14:paraId="18D7101C" w14:textId="4F7B3143">
      <w:pPr>
        <w:pStyle w:val="TOC2"/>
        <w:rPr>
          <w:rFonts w:asciiTheme="minorHAnsi" w:hAnsiTheme="minorHAnsi" w:eastAsiaTheme="minorEastAsia"/>
          <w:noProof/>
          <w:kern w:val="2"/>
          <w:sz w:val="24"/>
          <w:szCs w:val="24"/>
          <w:lang w:eastAsia="en-GB"/>
          <w14:ligatures w14:val="standardContextual"/>
        </w:rPr>
      </w:pPr>
      <w:hyperlink w:history="1" w:anchor="_Toc214452908">
        <w:r w:rsidRPr="009C1927">
          <w:rPr>
            <w:rStyle w:val="Hyperlink"/>
            <w:noProof/>
          </w:rPr>
          <w:t>2.3</w:t>
        </w:r>
        <w:r>
          <w:rPr>
            <w:rFonts w:asciiTheme="minorHAnsi" w:hAnsiTheme="minorHAnsi" w:eastAsiaTheme="minorEastAsia"/>
            <w:noProof/>
            <w:kern w:val="2"/>
            <w:sz w:val="24"/>
            <w:szCs w:val="24"/>
            <w:lang w:eastAsia="en-GB"/>
            <w14:ligatures w14:val="standardContextual"/>
          </w:rPr>
          <w:tab/>
        </w:r>
        <w:r w:rsidRPr="009C1927">
          <w:rPr>
            <w:rStyle w:val="Hyperlink"/>
            <w:noProof/>
          </w:rPr>
          <w:t>Evaluation questions</w:t>
        </w:r>
        <w:r>
          <w:rPr>
            <w:noProof/>
            <w:webHidden/>
          </w:rPr>
          <w:tab/>
        </w:r>
        <w:r>
          <w:rPr>
            <w:noProof/>
            <w:webHidden/>
          </w:rPr>
          <w:fldChar w:fldCharType="begin"/>
        </w:r>
        <w:r>
          <w:rPr>
            <w:noProof/>
            <w:webHidden/>
          </w:rPr>
          <w:instrText xml:space="preserve"> PAGEREF _Toc214452908 \h </w:instrText>
        </w:r>
        <w:r>
          <w:rPr>
            <w:noProof/>
            <w:webHidden/>
          </w:rPr>
        </w:r>
        <w:r>
          <w:rPr>
            <w:noProof/>
            <w:webHidden/>
          </w:rPr>
          <w:fldChar w:fldCharType="separate"/>
        </w:r>
        <w:r>
          <w:rPr>
            <w:noProof/>
            <w:webHidden/>
          </w:rPr>
          <w:t>8</w:t>
        </w:r>
        <w:r>
          <w:rPr>
            <w:noProof/>
            <w:webHidden/>
          </w:rPr>
          <w:fldChar w:fldCharType="end"/>
        </w:r>
      </w:hyperlink>
    </w:p>
    <w:p w:rsidR="0018559B" w:rsidRDefault="0018559B" w14:paraId="0D91C8C2" w14:textId="4070F6E9">
      <w:pPr>
        <w:pStyle w:val="TOC2"/>
        <w:rPr>
          <w:rFonts w:asciiTheme="minorHAnsi" w:hAnsiTheme="minorHAnsi" w:eastAsiaTheme="minorEastAsia"/>
          <w:noProof/>
          <w:kern w:val="2"/>
          <w:sz w:val="24"/>
          <w:szCs w:val="24"/>
          <w:lang w:eastAsia="en-GB"/>
          <w14:ligatures w14:val="standardContextual"/>
        </w:rPr>
      </w:pPr>
      <w:hyperlink w:history="1" w:anchor="_Toc214452909">
        <w:r w:rsidRPr="009C1927">
          <w:rPr>
            <w:rStyle w:val="Hyperlink"/>
            <w:noProof/>
          </w:rPr>
          <w:t>2.4</w:t>
        </w:r>
        <w:r>
          <w:rPr>
            <w:rFonts w:asciiTheme="minorHAnsi" w:hAnsiTheme="minorHAnsi" w:eastAsiaTheme="minorEastAsia"/>
            <w:noProof/>
            <w:kern w:val="2"/>
            <w:sz w:val="24"/>
            <w:szCs w:val="24"/>
            <w:lang w:eastAsia="en-GB"/>
            <w14:ligatures w14:val="standardContextual"/>
          </w:rPr>
          <w:tab/>
        </w:r>
        <w:r w:rsidRPr="009C1927">
          <w:rPr>
            <w:rStyle w:val="Hyperlink"/>
            <w:noProof/>
          </w:rPr>
          <w:t>Analysis</w:t>
        </w:r>
        <w:r>
          <w:rPr>
            <w:noProof/>
            <w:webHidden/>
          </w:rPr>
          <w:tab/>
        </w:r>
        <w:r>
          <w:rPr>
            <w:noProof/>
            <w:webHidden/>
          </w:rPr>
          <w:fldChar w:fldCharType="begin"/>
        </w:r>
        <w:r>
          <w:rPr>
            <w:noProof/>
            <w:webHidden/>
          </w:rPr>
          <w:instrText xml:space="preserve"> PAGEREF _Toc214452909 \h </w:instrText>
        </w:r>
        <w:r>
          <w:rPr>
            <w:noProof/>
            <w:webHidden/>
          </w:rPr>
        </w:r>
        <w:r>
          <w:rPr>
            <w:noProof/>
            <w:webHidden/>
          </w:rPr>
          <w:fldChar w:fldCharType="separate"/>
        </w:r>
        <w:r>
          <w:rPr>
            <w:noProof/>
            <w:webHidden/>
          </w:rPr>
          <w:t>9</w:t>
        </w:r>
        <w:r>
          <w:rPr>
            <w:noProof/>
            <w:webHidden/>
          </w:rPr>
          <w:fldChar w:fldCharType="end"/>
        </w:r>
      </w:hyperlink>
    </w:p>
    <w:p w:rsidR="0018559B" w:rsidRDefault="0018559B" w14:paraId="2CCF7200" w14:textId="1C1452E2">
      <w:pPr>
        <w:pStyle w:val="TOC2"/>
        <w:rPr>
          <w:rFonts w:asciiTheme="minorHAnsi" w:hAnsiTheme="minorHAnsi" w:eastAsiaTheme="minorEastAsia"/>
          <w:noProof/>
          <w:kern w:val="2"/>
          <w:sz w:val="24"/>
          <w:szCs w:val="24"/>
          <w:lang w:eastAsia="en-GB"/>
          <w14:ligatures w14:val="standardContextual"/>
        </w:rPr>
      </w:pPr>
      <w:hyperlink w:history="1" w:anchor="_Toc214452910">
        <w:r w:rsidRPr="009C1927">
          <w:rPr>
            <w:rStyle w:val="Hyperlink"/>
            <w:noProof/>
          </w:rPr>
          <w:t>2.5</w:t>
        </w:r>
        <w:r>
          <w:rPr>
            <w:rFonts w:asciiTheme="minorHAnsi" w:hAnsiTheme="minorHAnsi" w:eastAsiaTheme="minorEastAsia"/>
            <w:noProof/>
            <w:kern w:val="2"/>
            <w:sz w:val="24"/>
            <w:szCs w:val="24"/>
            <w:lang w:eastAsia="en-GB"/>
            <w14:ligatures w14:val="standardContextual"/>
          </w:rPr>
          <w:tab/>
        </w:r>
        <w:r w:rsidRPr="009C1927">
          <w:rPr>
            <w:rStyle w:val="Hyperlink"/>
            <w:noProof/>
          </w:rPr>
          <w:t>Limitations</w:t>
        </w:r>
        <w:r>
          <w:rPr>
            <w:noProof/>
            <w:webHidden/>
          </w:rPr>
          <w:tab/>
        </w:r>
        <w:r>
          <w:rPr>
            <w:noProof/>
            <w:webHidden/>
          </w:rPr>
          <w:fldChar w:fldCharType="begin"/>
        </w:r>
        <w:r>
          <w:rPr>
            <w:noProof/>
            <w:webHidden/>
          </w:rPr>
          <w:instrText xml:space="preserve"> PAGEREF _Toc214452910 \h </w:instrText>
        </w:r>
        <w:r>
          <w:rPr>
            <w:noProof/>
            <w:webHidden/>
          </w:rPr>
        </w:r>
        <w:r>
          <w:rPr>
            <w:noProof/>
            <w:webHidden/>
          </w:rPr>
          <w:fldChar w:fldCharType="separate"/>
        </w:r>
        <w:r>
          <w:rPr>
            <w:noProof/>
            <w:webHidden/>
          </w:rPr>
          <w:t>9</w:t>
        </w:r>
        <w:r>
          <w:rPr>
            <w:noProof/>
            <w:webHidden/>
          </w:rPr>
          <w:fldChar w:fldCharType="end"/>
        </w:r>
      </w:hyperlink>
    </w:p>
    <w:p w:rsidR="0018559B" w:rsidP="0056222E" w:rsidRDefault="0018559B" w14:paraId="2D553455" w14:textId="21E94DB8">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11">
        <w:r w:rsidRPr="009C1927">
          <w:rPr>
            <w:rStyle w:val="Hyperlink"/>
            <w:noProof/>
          </w:rPr>
          <w:t>3.</w:t>
        </w:r>
        <w:r>
          <w:rPr>
            <w:rFonts w:asciiTheme="minorHAnsi" w:hAnsiTheme="minorHAnsi" w:eastAsiaTheme="minorEastAsia"/>
            <w:b w:val="0"/>
            <w:noProof/>
            <w:kern w:val="2"/>
            <w:sz w:val="24"/>
            <w:szCs w:val="24"/>
            <w:lang w:eastAsia="en-GB"/>
            <w14:ligatures w14:val="standardContextual"/>
          </w:rPr>
          <w:tab/>
        </w:r>
        <w:r w:rsidRPr="009C1927">
          <w:rPr>
            <w:rStyle w:val="Hyperlink"/>
            <w:noProof/>
          </w:rPr>
          <w:t>Findings</w:t>
        </w:r>
        <w:r>
          <w:rPr>
            <w:noProof/>
            <w:webHidden/>
          </w:rPr>
          <w:tab/>
        </w:r>
        <w:r>
          <w:rPr>
            <w:noProof/>
            <w:webHidden/>
          </w:rPr>
          <w:fldChar w:fldCharType="begin"/>
        </w:r>
        <w:r>
          <w:rPr>
            <w:noProof/>
            <w:webHidden/>
          </w:rPr>
          <w:instrText xml:space="preserve"> PAGEREF _Toc214452911 \h </w:instrText>
        </w:r>
        <w:r>
          <w:rPr>
            <w:noProof/>
            <w:webHidden/>
          </w:rPr>
        </w:r>
        <w:r>
          <w:rPr>
            <w:noProof/>
            <w:webHidden/>
          </w:rPr>
          <w:fldChar w:fldCharType="separate"/>
        </w:r>
        <w:r>
          <w:rPr>
            <w:noProof/>
            <w:webHidden/>
          </w:rPr>
          <w:t>10</w:t>
        </w:r>
        <w:r>
          <w:rPr>
            <w:noProof/>
            <w:webHidden/>
          </w:rPr>
          <w:fldChar w:fldCharType="end"/>
        </w:r>
      </w:hyperlink>
    </w:p>
    <w:p w:rsidR="0018559B" w:rsidRDefault="0018559B" w14:paraId="38C55B8C" w14:textId="48CDE8CA">
      <w:pPr>
        <w:pStyle w:val="TOC2"/>
        <w:rPr>
          <w:rFonts w:asciiTheme="minorHAnsi" w:hAnsiTheme="minorHAnsi" w:eastAsiaTheme="minorEastAsia"/>
          <w:noProof/>
          <w:kern w:val="2"/>
          <w:sz w:val="24"/>
          <w:szCs w:val="24"/>
          <w:lang w:eastAsia="en-GB"/>
          <w14:ligatures w14:val="standardContextual"/>
        </w:rPr>
      </w:pPr>
      <w:hyperlink w:history="1" w:anchor="_Toc214452912">
        <w:r w:rsidRPr="009C1927">
          <w:rPr>
            <w:rStyle w:val="Hyperlink"/>
            <w:noProof/>
          </w:rPr>
          <w:t>3.1</w:t>
        </w:r>
        <w:r>
          <w:rPr>
            <w:rFonts w:asciiTheme="minorHAnsi" w:hAnsiTheme="minorHAnsi" w:eastAsiaTheme="minorEastAsia"/>
            <w:noProof/>
            <w:kern w:val="2"/>
            <w:sz w:val="24"/>
            <w:szCs w:val="24"/>
            <w:lang w:eastAsia="en-GB"/>
            <w14:ligatures w14:val="standardContextual"/>
          </w:rPr>
          <w:tab/>
        </w:r>
        <w:r w:rsidRPr="009C1927">
          <w:rPr>
            <w:rStyle w:val="Hyperlink"/>
            <w:noProof/>
          </w:rPr>
          <w:t>Relevance</w:t>
        </w:r>
        <w:r>
          <w:rPr>
            <w:noProof/>
            <w:webHidden/>
          </w:rPr>
          <w:tab/>
        </w:r>
        <w:r>
          <w:rPr>
            <w:noProof/>
            <w:webHidden/>
          </w:rPr>
          <w:fldChar w:fldCharType="begin"/>
        </w:r>
        <w:r>
          <w:rPr>
            <w:noProof/>
            <w:webHidden/>
          </w:rPr>
          <w:instrText xml:space="preserve"> PAGEREF _Toc214452912 \h </w:instrText>
        </w:r>
        <w:r>
          <w:rPr>
            <w:noProof/>
            <w:webHidden/>
          </w:rPr>
        </w:r>
        <w:r>
          <w:rPr>
            <w:noProof/>
            <w:webHidden/>
          </w:rPr>
          <w:fldChar w:fldCharType="separate"/>
        </w:r>
        <w:r>
          <w:rPr>
            <w:noProof/>
            <w:webHidden/>
          </w:rPr>
          <w:t>10</w:t>
        </w:r>
        <w:r>
          <w:rPr>
            <w:noProof/>
            <w:webHidden/>
          </w:rPr>
          <w:fldChar w:fldCharType="end"/>
        </w:r>
      </w:hyperlink>
    </w:p>
    <w:p w:rsidR="0018559B" w:rsidRDefault="0018559B" w14:paraId="0655EC52" w14:textId="28A58C5A">
      <w:pPr>
        <w:pStyle w:val="TOC2"/>
        <w:rPr>
          <w:rFonts w:asciiTheme="minorHAnsi" w:hAnsiTheme="minorHAnsi" w:eastAsiaTheme="minorEastAsia"/>
          <w:noProof/>
          <w:kern w:val="2"/>
          <w:sz w:val="24"/>
          <w:szCs w:val="24"/>
          <w:lang w:eastAsia="en-GB"/>
          <w14:ligatures w14:val="standardContextual"/>
        </w:rPr>
      </w:pPr>
      <w:hyperlink w:history="1" w:anchor="_Toc214452913">
        <w:r w:rsidRPr="009C1927">
          <w:rPr>
            <w:rStyle w:val="Hyperlink"/>
            <w:noProof/>
          </w:rPr>
          <w:t>3.2</w:t>
        </w:r>
        <w:r>
          <w:rPr>
            <w:rFonts w:asciiTheme="minorHAnsi" w:hAnsiTheme="minorHAnsi" w:eastAsiaTheme="minorEastAsia"/>
            <w:noProof/>
            <w:kern w:val="2"/>
            <w:sz w:val="24"/>
            <w:szCs w:val="24"/>
            <w:lang w:eastAsia="en-GB"/>
            <w14:ligatures w14:val="standardContextual"/>
          </w:rPr>
          <w:tab/>
        </w:r>
        <w:r w:rsidRPr="009C1927">
          <w:rPr>
            <w:rStyle w:val="Hyperlink"/>
            <w:noProof/>
          </w:rPr>
          <w:t>Coherence</w:t>
        </w:r>
        <w:r>
          <w:rPr>
            <w:noProof/>
            <w:webHidden/>
          </w:rPr>
          <w:tab/>
        </w:r>
        <w:r>
          <w:rPr>
            <w:noProof/>
            <w:webHidden/>
          </w:rPr>
          <w:fldChar w:fldCharType="begin"/>
        </w:r>
        <w:r>
          <w:rPr>
            <w:noProof/>
            <w:webHidden/>
          </w:rPr>
          <w:instrText xml:space="preserve"> PAGEREF _Toc214452913 \h </w:instrText>
        </w:r>
        <w:r>
          <w:rPr>
            <w:noProof/>
            <w:webHidden/>
          </w:rPr>
        </w:r>
        <w:r>
          <w:rPr>
            <w:noProof/>
            <w:webHidden/>
          </w:rPr>
          <w:fldChar w:fldCharType="separate"/>
        </w:r>
        <w:r>
          <w:rPr>
            <w:noProof/>
            <w:webHidden/>
          </w:rPr>
          <w:t>14</w:t>
        </w:r>
        <w:r>
          <w:rPr>
            <w:noProof/>
            <w:webHidden/>
          </w:rPr>
          <w:fldChar w:fldCharType="end"/>
        </w:r>
      </w:hyperlink>
    </w:p>
    <w:p w:rsidR="0018559B" w:rsidRDefault="0018559B" w14:paraId="2957ACD4" w14:textId="70244217">
      <w:pPr>
        <w:pStyle w:val="TOC2"/>
        <w:rPr>
          <w:rFonts w:asciiTheme="minorHAnsi" w:hAnsiTheme="minorHAnsi" w:eastAsiaTheme="minorEastAsia"/>
          <w:noProof/>
          <w:kern w:val="2"/>
          <w:sz w:val="24"/>
          <w:szCs w:val="24"/>
          <w:lang w:eastAsia="en-GB"/>
          <w14:ligatures w14:val="standardContextual"/>
        </w:rPr>
      </w:pPr>
      <w:hyperlink w:history="1" w:anchor="_Toc214452914">
        <w:r w:rsidRPr="009C1927">
          <w:rPr>
            <w:rStyle w:val="Hyperlink"/>
            <w:noProof/>
          </w:rPr>
          <w:t>3.3</w:t>
        </w:r>
        <w:r>
          <w:rPr>
            <w:rFonts w:asciiTheme="minorHAnsi" w:hAnsiTheme="minorHAnsi" w:eastAsiaTheme="minorEastAsia"/>
            <w:noProof/>
            <w:kern w:val="2"/>
            <w:sz w:val="24"/>
            <w:szCs w:val="24"/>
            <w:lang w:eastAsia="en-GB"/>
            <w14:ligatures w14:val="standardContextual"/>
          </w:rPr>
          <w:tab/>
        </w:r>
        <w:r w:rsidRPr="009C1927">
          <w:rPr>
            <w:rStyle w:val="Hyperlink"/>
            <w:noProof/>
          </w:rPr>
          <w:t>Efficiency</w:t>
        </w:r>
        <w:r>
          <w:rPr>
            <w:noProof/>
            <w:webHidden/>
          </w:rPr>
          <w:tab/>
        </w:r>
        <w:r>
          <w:rPr>
            <w:noProof/>
            <w:webHidden/>
          </w:rPr>
          <w:fldChar w:fldCharType="begin"/>
        </w:r>
        <w:r>
          <w:rPr>
            <w:noProof/>
            <w:webHidden/>
          </w:rPr>
          <w:instrText xml:space="preserve"> PAGEREF _Toc214452914 \h </w:instrText>
        </w:r>
        <w:r>
          <w:rPr>
            <w:noProof/>
            <w:webHidden/>
          </w:rPr>
        </w:r>
        <w:r>
          <w:rPr>
            <w:noProof/>
            <w:webHidden/>
          </w:rPr>
          <w:fldChar w:fldCharType="separate"/>
        </w:r>
        <w:r>
          <w:rPr>
            <w:noProof/>
            <w:webHidden/>
          </w:rPr>
          <w:t>18</w:t>
        </w:r>
        <w:r>
          <w:rPr>
            <w:noProof/>
            <w:webHidden/>
          </w:rPr>
          <w:fldChar w:fldCharType="end"/>
        </w:r>
      </w:hyperlink>
    </w:p>
    <w:p w:rsidR="0018559B" w:rsidRDefault="0018559B" w14:paraId="238E0CD8" w14:textId="6D0EE02A">
      <w:pPr>
        <w:pStyle w:val="TOC2"/>
        <w:rPr>
          <w:rFonts w:asciiTheme="minorHAnsi" w:hAnsiTheme="minorHAnsi" w:eastAsiaTheme="minorEastAsia"/>
          <w:noProof/>
          <w:kern w:val="2"/>
          <w:sz w:val="24"/>
          <w:szCs w:val="24"/>
          <w:lang w:eastAsia="en-GB"/>
          <w14:ligatures w14:val="standardContextual"/>
        </w:rPr>
      </w:pPr>
      <w:hyperlink w:history="1" w:anchor="_Toc214452915">
        <w:r w:rsidRPr="009C1927">
          <w:rPr>
            <w:rStyle w:val="Hyperlink"/>
            <w:noProof/>
          </w:rPr>
          <w:t>3.4</w:t>
        </w:r>
        <w:r>
          <w:rPr>
            <w:rFonts w:asciiTheme="minorHAnsi" w:hAnsiTheme="minorHAnsi" w:eastAsiaTheme="minorEastAsia"/>
            <w:noProof/>
            <w:kern w:val="2"/>
            <w:sz w:val="24"/>
            <w:szCs w:val="24"/>
            <w:lang w:eastAsia="en-GB"/>
            <w14:ligatures w14:val="standardContextual"/>
          </w:rPr>
          <w:tab/>
        </w:r>
        <w:r w:rsidRPr="009C1927">
          <w:rPr>
            <w:rStyle w:val="Hyperlink"/>
            <w:noProof/>
          </w:rPr>
          <w:t>Effectiveness</w:t>
        </w:r>
        <w:r>
          <w:rPr>
            <w:noProof/>
            <w:webHidden/>
          </w:rPr>
          <w:tab/>
        </w:r>
        <w:r>
          <w:rPr>
            <w:noProof/>
            <w:webHidden/>
          </w:rPr>
          <w:fldChar w:fldCharType="begin"/>
        </w:r>
        <w:r>
          <w:rPr>
            <w:noProof/>
            <w:webHidden/>
          </w:rPr>
          <w:instrText xml:space="preserve"> PAGEREF _Toc214452915 \h </w:instrText>
        </w:r>
        <w:r>
          <w:rPr>
            <w:noProof/>
            <w:webHidden/>
          </w:rPr>
        </w:r>
        <w:r>
          <w:rPr>
            <w:noProof/>
            <w:webHidden/>
          </w:rPr>
          <w:fldChar w:fldCharType="separate"/>
        </w:r>
        <w:r>
          <w:rPr>
            <w:noProof/>
            <w:webHidden/>
          </w:rPr>
          <w:t>27</w:t>
        </w:r>
        <w:r>
          <w:rPr>
            <w:noProof/>
            <w:webHidden/>
          </w:rPr>
          <w:fldChar w:fldCharType="end"/>
        </w:r>
      </w:hyperlink>
    </w:p>
    <w:p w:rsidR="0018559B" w:rsidRDefault="0018559B" w14:paraId="1B8F8D6B" w14:textId="073A231C">
      <w:pPr>
        <w:pStyle w:val="TOC2"/>
        <w:rPr>
          <w:rFonts w:asciiTheme="minorHAnsi" w:hAnsiTheme="minorHAnsi" w:eastAsiaTheme="minorEastAsia"/>
          <w:noProof/>
          <w:kern w:val="2"/>
          <w:sz w:val="24"/>
          <w:szCs w:val="24"/>
          <w:lang w:eastAsia="en-GB"/>
          <w14:ligatures w14:val="standardContextual"/>
        </w:rPr>
      </w:pPr>
      <w:hyperlink w:history="1" w:anchor="_Toc214452916">
        <w:r w:rsidRPr="009C1927">
          <w:rPr>
            <w:rStyle w:val="Hyperlink"/>
            <w:noProof/>
          </w:rPr>
          <w:t>3.5</w:t>
        </w:r>
        <w:r>
          <w:rPr>
            <w:rFonts w:asciiTheme="minorHAnsi" w:hAnsiTheme="minorHAnsi" w:eastAsiaTheme="minorEastAsia"/>
            <w:noProof/>
            <w:kern w:val="2"/>
            <w:sz w:val="24"/>
            <w:szCs w:val="24"/>
            <w:lang w:eastAsia="en-GB"/>
            <w14:ligatures w14:val="standardContextual"/>
          </w:rPr>
          <w:tab/>
        </w:r>
        <w:r w:rsidRPr="009C1927">
          <w:rPr>
            <w:rStyle w:val="Hyperlink"/>
            <w:noProof/>
          </w:rPr>
          <w:t>Impact</w:t>
        </w:r>
        <w:r>
          <w:rPr>
            <w:noProof/>
            <w:webHidden/>
          </w:rPr>
          <w:tab/>
        </w:r>
        <w:r>
          <w:rPr>
            <w:noProof/>
            <w:webHidden/>
          </w:rPr>
          <w:fldChar w:fldCharType="begin"/>
        </w:r>
        <w:r>
          <w:rPr>
            <w:noProof/>
            <w:webHidden/>
          </w:rPr>
          <w:instrText xml:space="preserve"> PAGEREF _Toc214452916 \h </w:instrText>
        </w:r>
        <w:r>
          <w:rPr>
            <w:noProof/>
            <w:webHidden/>
          </w:rPr>
        </w:r>
        <w:r>
          <w:rPr>
            <w:noProof/>
            <w:webHidden/>
          </w:rPr>
          <w:fldChar w:fldCharType="separate"/>
        </w:r>
        <w:r>
          <w:rPr>
            <w:noProof/>
            <w:webHidden/>
          </w:rPr>
          <w:t>36</w:t>
        </w:r>
        <w:r>
          <w:rPr>
            <w:noProof/>
            <w:webHidden/>
          </w:rPr>
          <w:fldChar w:fldCharType="end"/>
        </w:r>
      </w:hyperlink>
    </w:p>
    <w:p w:rsidR="0018559B" w:rsidRDefault="0018559B" w14:paraId="6D30F844" w14:textId="25117D04">
      <w:pPr>
        <w:pStyle w:val="TOC2"/>
        <w:rPr>
          <w:rFonts w:asciiTheme="minorHAnsi" w:hAnsiTheme="minorHAnsi" w:eastAsiaTheme="minorEastAsia"/>
          <w:noProof/>
          <w:kern w:val="2"/>
          <w:sz w:val="24"/>
          <w:szCs w:val="24"/>
          <w:lang w:eastAsia="en-GB"/>
          <w14:ligatures w14:val="standardContextual"/>
        </w:rPr>
      </w:pPr>
      <w:hyperlink w:history="1" w:anchor="_Toc214452917">
        <w:r w:rsidRPr="009C1927">
          <w:rPr>
            <w:rStyle w:val="Hyperlink"/>
            <w:noProof/>
          </w:rPr>
          <w:t>3.6</w:t>
        </w:r>
        <w:r>
          <w:rPr>
            <w:rFonts w:asciiTheme="minorHAnsi" w:hAnsiTheme="minorHAnsi" w:eastAsiaTheme="minorEastAsia"/>
            <w:noProof/>
            <w:kern w:val="2"/>
            <w:sz w:val="24"/>
            <w:szCs w:val="24"/>
            <w:lang w:eastAsia="en-GB"/>
            <w14:ligatures w14:val="standardContextual"/>
          </w:rPr>
          <w:tab/>
        </w:r>
        <w:r w:rsidRPr="009C1927">
          <w:rPr>
            <w:rStyle w:val="Hyperlink"/>
            <w:noProof/>
          </w:rPr>
          <w:t>Sustainability</w:t>
        </w:r>
        <w:r>
          <w:rPr>
            <w:noProof/>
            <w:webHidden/>
          </w:rPr>
          <w:tab/>
        </w:r>
        <w:r>
          <w:rPr>
            <w:noProof/>
            <w:webHidden/>
          </w:rPr>
          <w:fldChar w:fldCharType="begin"/>
        </w:r>
        <w:r>
          <w:rPr>
            <w:noProof/>
            <w:webHidden/>
          </w:rPr>
          <w:instrText xml:space="preserve"> PAGEREF _Toc214452917 \h </w:instrText>
        </w:r>
        <w:r>
          <w:rPr>
            <w:noProof/>
            <w:webHidden/>
          </w:rPr>
        </w:r>
        <w:r>
          <w:rPr>
            <w:noProof/>
            <w:webHidden/>
          </w:rPr>
          <w:fldChar w:fldCharType="separate"/>
        </w:r>
        <w:r>
          <w:rPr>
            <w:noProof/>
            <w:webHidden/>
          </w:rPr>
          <w:t>46</w:t>
        </w:r>
        <w:r>
          <w:rPr>
            <w:noProof/>
            <w:webHidden/>
          </w:rPr>
          <w:fldChar w:fldCharType="end"/>
        </w:r>
      </w:hyperlink>
    </w:p>
    <w:p w:rsidR="0018559B" w:rsidP="0056222E" w:rsidRDefault="0018559B" w14:paraId="0AB143F7" w14:textId="33BDCA2E">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18">
        <w:r w:rsidRPr="009C1927">
          <w:rPr>
            <w:rStyle w:val="Hyperlink"/>
            <w:noProof/>
          </w:rPr>
          <w:t>4.</w:t>
        </w:r>
        <w:r>
          <w:rPr>
            <w:rFonts w:asciiTheme="minorHAnsi" w:hAnsiTheme="minorHAnsi" w:eastAsiaTheme="minorEastAsia"/>
            <w:b w:val="0"/>
            <w:noProof/>
            <w:kern w:val="2"/>
            <w:sz w:val="24"/>
            <w:szCs w:val="24"/>
            <w:lang w:eastAsia="en-GB"/>
            <w14:ligatures w14:val="standardContextual"/>
          </w:rPr>
          <w:tab/>
        </w:r>
        <w:r w:rsidRPr="009C1927">
          <w:rPr>
            <w:rStyle w:val="Hyperlink"/>
            <w:noProof/>
          </w:rPr>
          <w:t>GESI</w:t>
        </w:r>
        <w:r>
          <w:rPr>
            <w:noProof/>
            <w:webHidden/>
          </w:rPr>
          <w:tab/>
        </w:r>
        <w:r>
          <w:rPr>
            <w:noProof/>
            <w:webHidden/>
          </w:rPr>
          <w:fldChar w:fldCharType="begin"/>
        </w:r>
        <w:r>
          <w:rPr>
            <w:noProof/>
            <w:webHidden/>
          </w:rPr>
          <w:instrText xml:space="preserve"> PAGEREF _Toc214452918 \h </w:instrText>
        </w:r>
        <w:r>
          <w:rPr>
            <w:noProof/>
            <w:webHidden/>
          </w:rPr>
        </w:r>
        <w:r>
          <w:rPr>
            <w:noProof/>
            <w:webHidden/>
          </w:rPr>
          <w:fldChar w:fldCharType="separate"/>
        </w:r>
        <w:r>
          <w:rPr>
            <w:noProof/>
            <w:webHidden/>
          </w:rPr>
          <w:t>51</w:t>
        </w:r>
        <w:r>
          <w:rPr>
            <w:noProof/>
            <w:webHidden/>
          </w:rPr>
          <w:fldChar w:fldCharType="end"/>
        </w:r>
      </w:hyperlink>
    </w:p>
    <w:p w:rsidR="0018559B" w:rsidP="0056222E" w:rsidRDefault="0018559B" w14:paraId="4D890690" w14:textId="51B92923">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19">
        <w:r w:rsidRPr="009C1927">
          <w:rPr>
            <w:rStyle w:val="Hyperlink"/>
            <w:noProof/>
          </w:rPr>
          <w:t>5.</w:t>
        </w:r>
        <w:r>
          <w:rPr>
            <w:rFonts w:asciiTheme="minorHAnsi" w:hAnsiTheme="minorHAnsi" w:eastAsiaTheme="minorEastAsia"/>
            <w:b w:val="0"/>
            <w:noProof/>
            <w:kern w:val="2"/>
            <w:sz w:val="24"/>
            <w:szCs w:val="24"/>
            <w:lang w:eastAsia="en-GB"/>
            <w14:ligatures w14:val="standardContextual"/>
          </w:rPr>
          <w:tab/>
        </w:r>
        <w:r w:rsidRPr="009C1927">
          <w:rPr>
            <w:rStyle w:val="Hyperlink"/>
            <w:noProof/>
          </w:rPr>
          <w:t>Conclusion</w:t>
        </w:r>
        <w:r>
          <w:rPr>
            <w:noProof/>
            <w:webHidden/>
          </w:rPr>
          <w:tab/>
        </w:r>
        <w:r>
          <w:rPr>
            <w:noProof/>
            <w:webHidden/>
          </w:rPr>
          <w:fldChar w:fldCharType="begin"/>
        </w:r>
        <w:r>
          <w:rPr>
            <w:noProof/>
            <w:webHidden/>
          </w:rPr>
          <w:instrText xml:space="preserve"> PAGEREF _Toc214452919 \h </w:instrText>
        </w:r>
        <w:r>
          <w:rPr>
            <w:noProof/>
            <w:webHidden/>
          </w:rPr>
        </w:r>
        <w:r>
          <w:rPr>
            <w:noProof/>
            <w:webHidden/>
          </w:rPr>
          <w:fldChar w:fldCharType="separate"/>
        </w:r>
        <w:r>
          <w:rPr>
            <w:noProof/>
            <w:webHidden/>
          </w:rPr>
          <w:t>53</w:t>
        </w:r>
        <w:r>
          <w:rPr>
            <w:noProof/>
            <w:webHidden/>
          </w:rPr>
          <w:fldChar w:fldCharType="end"/>
        </w:r>
      </w:hyperlink>
    </w:p>
    <w:p w:rsidR="0018559B" w:rsidP="0056222E" w:rsidRDefault="0018559B" w14:paraId="1CCDA61F" w14:textId="1797237B">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20">
        <w:r w:rsidRPr="009C1927">
          <w:rPr>
            <w:rStyle w:val="Hyperlink"/>
            <w:noProof/>
          </w:rPr>
          <w:t>6.</w:t>
        </w:r>
        <w:r>
          <w:rPr>
            <w:rFonts w:asciiTheme="minorHAnsi" w:hAnsiTheme="minorHAnsi" w:eastAsiaTheme="minorEastAsia"/>
            <w:b w:val="0"/>
            <w:noProof/>
            <w:kern w:val="2"/>
            <w:sz w:val="24"/>
            <w:szCs w:val="24"/>
            <w:lang w:eastAsia="en-GB"/>
            <w14:ligatures w14:val="standardContextual"/>
          </w:rPr>
          <w:tab/>
        </w:r>
        <w:r w:rsidRPr="009C1927">
          <w:rPr>
            <w:rStyle w:val="Hyperlink"/>
            <w:noProof/>
          </w:rPr>
          <w:t>Lessons and recommendations</w:t>
        </w:r>
        <w:r>
          <w:rPr>
            <w:noProof/>
            <w:webHidden/>
          </w:rPr>
          <w:tab/>
        </w:r>
        <w:r>
          <w:rPr>
            <w:noProof/>
            <w:webHidden/>
          </w:rPr>
          <w:fldChar w:fldCharType="begin"/>
        </w:r>
        <w:r>
          <w:rPr>
            <w:noProof/>
            <w:webHidden/>
          </w:rPr>
          <w:instrText xml:space="preserve"> PAGEREF _Toc214452920 \h </w:instrText>
        </w:r>
        <w:r>
          <w:rPr>
            <w:noProof/>
            <w:webHidden/>
          </w:rPr>
        </w:r>
        <w:r>
          <w:rPr>
            <w:noProof/>
            <w:webHidden/>
          </w:rPr>
          <w:fldChar w:fldCharType="separate"/>
        </w:r>
        <w:r>
          <w:rPr>
            <w:noProof/>
            <w:webHidden/>
          </w:rPr>
          <w:t>56</w:t>
        </w:r>
        <w:r>
          <w:rPr>
            <w:noProof/>
            <w:webHidden/>
          </w:rPr>
          <w:fldChar w:fldCharType="end"/>
        </w:r>
      </w:hyperlink>
    </w:p>
    <w:p w:rsidR="0018559B" w:rsidRDefault="0018559B" w14:paraId="186AA4A4" w14:textId="4E5CAFA2">
      <w:pPr>
        <w:pStyle w:val="TOC2"/>
        <w:rPr>
          <w:rFonts w:asciiTheme="minorHAnsi" w:hAnsiTheme="minorHAnsi" w:eastAsiaTheme="minorEastAsia"/>
          <w:noProof/>
          <w:kern w:val="2"/>
          <w:sz w:val="24"/>
          <w:szCs w:val="24"/>
          <w:lang w:eastAsia="en-GB"/>
          <w14:ligatures w14:val="standardContextual"/>
        </w:rPr>
      </w:pPr>
      <w:hyperlink w:history="1" w:anchor="_Toc214452921">
        <w:r w:rsidRPr="009C1927">
          <w:rPr>
            <w:rStyle w:val="Hyperlink"/>
            <w:noProof/>
          </w:rPr>
          <w:t>6.1</w:t>
        </w:r>
        <w:r>
          <w:rPr>
            <w:rFonts w:asciiTheme="minorHAnsi" w:hAnsiTheme="minorHAnsi" w:eastAsiaTheme="minorEastAsia"/>
            <w:noProof/>
            <w:kern w:val="2"/>
            <w:sz w:val="24"/>
            <w:szCs w:val="24"/>
            <w:lang w:eastAsia="en-GB"/>
            <w14:ligatures w14:val="standardContextual"/>
          </w:rPr>
          <w:tab/>
        </w:r>
        <w:r w:rsidRPr="009C1927">
          <w:rPr>
            <w:rStyle w:val="Hyperlink"/>
            <w:noProof/>
          </w:rPr>
          <w:t>Lesson 1: Sustainability must be designed, not assumed</w:t>
        </w:r>
        <w:r>
          <w:rPr>
            <w:noProof/>
            <w:webHidden/>
          </w:rPr>
          <w:tab/>
        </w:r>
        <w:r>
          <w:rPr>
            <w:noProof/>
            <w:webHidden/>
          </w:rPr>
          <w:fldChar w:fldCharType="begin"/>
        </w:r>
        <w:r>
          <w:rPr>
            <w:noProof/>
            <w:webHidden/>
          </w:rPr>
          <w:instrText xml:space="preserve"> PAGEREF _Toc214452921 \h </w:instrText>
        </w:r>
        <w:r>
          <w:rPr>
            <w:noProof/>
            <w:webHidden/>
          </w:rPr>
        </w:r>
        <w:r>
          <w:rPr>
            <w:noProof/>
            <w:webHidden/>
          </w:rPr>
          <w:fldChar w:fldCharType="separate"/>
        </w:r>
        <w:r>
          <w:rPr>
            <w:noProof/>
            <w:webHidden/>
          </w:rPr>
          <w:t>56</w:t>
        </w:r>
        <w:r>
          <w:rPr>
            <w:noProof/>
            <w:webHidden/>
          </w:rPr>
          <w:fldChar w:fldCharType="end"/>
        </w:r>
      </w:hyperlink>
    </w:p>
    <w:p w:rsidR="0018559B" w:rsidRDefault="0018559B" w14:paraId="4E3AF5F4" w14:textId="7E202D32">
      <w:pPr>
        <w:pStyle w:val="TOC2"/>
        <w:rPr>
          <w:rFonts w:asciiTheme="minorHAnsi" w:hAnsiTheme="minorHAnsi" w:eastAsiaTheme="minorEastAsia"/>
          <w:noProof/>
          <w:kern w:val="2"/>
          <w:sz w:val="24"/>
          <w:szCs w:val="24"/>
          <w:lang w:eastAsia="en-GB"/>
          <w14:ligatures w14:val="standardContextual"/>
        </w:rPr>
      </w:pPr>
      <w:hyperlink w:history="1" w:anchor="_Toc214452922">
        <w:r w:rsidRPr="009C1927">
          <w:rPr>
            <w:rStyle w:val="Hyperlink"/>
            <w:noProof/>
          </w:rPr>
          <w:t>6.2</w:t>
        </w:r>
        <w:r>
          <w:rPr>
            <w:rFonts w:asciiTheme="minorHAnsi" w:hAnsiTheme="minorHAnsi" w:eastAsiaTheme="minorEastAsia"/>
            <w:noProof/>
            <w:kern w:val="2"/>
            <w:sz w:val="24"/>
            <w:szCs w:val="24"/>
            <w:lang w:eastAsia="en-GB"/>
            <w14:ligatures w14:val="standardContextual"/>
          </w:rPr>
          <w:tab/>
        </w:r>
        <w:r w:rsidRPr="009C1927">
          <w:rPr>
            <w:rStyle w:val="Hyperlink"/>
            <w:noProof/>
          </w:rPr>
          <w:t>Lesson 2: Ownership, legitimacy, and capability are critical to ensure that outcomes are durable</w:t>
        </w:r>
        <w:r>
          <w:rPr>
            <w:noProof/>
            <w:webHidden/>
          </w:rPr>
          <w:tab/>
        </w:r>
        <w:r>
          <w:rPr>
            <w:noProof/>
            <w:webHidden/>
          </w:rPr>
          <w:fldChar w:fldCharType="begin"/>
        </w:r>
        <w:r>
          <w:rPr>
            <w:noProof/>
            <w:webHidden/>
          </w:rPr>
          <w:instrText xml:space="preserve"> PAGEREF _Toc214452922 \h </w:instrText>
        </w:r>
        <w:r>
          <w:rPr>
            <w:noProof/>
            <w:webHidden/>
          </w:rPr>
        </w:r>
        <w:r>
          <w:rPr>
            <w:noProof/>
            <w:webHidden/>
          </w:rPr>
          <w:fldChar w:fldCharType="separate"/>
        </w:r>
        <w:r>
          <w:rPr>
            <w:noProof/>
            <w:webHidden/>
          </w:rPr>
          <w:t>57</w:t>
        </w:r>
        <w:r>
          <w:rPr>
            <w:noProof/>
            <w:webHidden/>
          </w:rPr>
          <w:fldChar w:fldCharType="end"/>
        </w:r>
      </w:hyperlink>
    </w:p>
    <w:p w:rsidR="0018559B" w:rsidRDefault="0018559B" w14:paraId="46FA6B54" w14:textId="569D8FD4">
      <w:pPr>
        <w:pStyle w:val="TOC2"/>
        <w:rPr>
          <w:rFonts w:asciiTheme="minorHAnsi" w:hAnsiTheme="minorHAnsi" w:eastAsiaTheme="minorEastAsia"/>
          <w:noProof/>
          <w:kern w:val="2"/>
          <w:sz w:val="24"/>
          <w:szCs w:val="24"/>
          <w:lang w:eastAsia="en-GB"/>
          <w14:ligatures w14:val="standardContextual"/>
        </w:rPr>
      </w:pPr>
      <w:hyperlink w:history="1" w:anchor="_Toc214452923">
        <w:r w:rsidRPr="009C1927">
          <w:rPr>
            <w:rStyle w:val="Hyperlink"/>
            <w:noProof/>
          </w:rPr>
          <w:t>6.3</w:t>
        </w:r>
        <w:r>
          <w:rPr>
            <w:rFonts w:asciiTheme="minorHAnsi" w:hAnsiTheme="minorHAnsi" w:eastAsiaTheme="minorEastAsia"/>
            <w:noProof/>
            <w:kern w:val="2"/>
            <w:sz w:val="24"/>
            <w:szCs w:val="24"/>
            <w:lang w:eastAsia="en-GB"/>
            <w14:ligatures w14:val="standardContextual"/>
          </w:rPr>
          <w:tab/>
        </w:r>
        <w:r w:rsidRPr="009C1927">
          <w:rPr>
            <w:rStyle w:val="Hyperlink"/>
            <w:noProof/>
          </w:rPr>
          <w:t>Lesson 3: Equity and access require structural solutions</w:t>
        </w:r>
        <w:r>
          <w:rPr>
            <w:noProof/>
            <w:webHidden/>
          </w:rPr>
          <w:tab/>
        </w:r>
        <w:r>
          <w:rPr>
            <w:noProof/>
            <w:webHidden/>
          </w:rPr>
          <w:fldChar w:fldCharType="begin"/>
        </w:r>
        <w:r>
          <w:rPr>
            <w:noProof/>
            <w:webHidden/>
          </w:rPr>
          <w:instrText xml:space="preserve"> PAGEREF _Toc214452923 \h </w:instrText>
        </w:r>
        <w:r>
          <w:rPr>
            <w:noProof/>
            <w:webHidden/>
          </w:rPr>
        </w:r>
        <w:r>
          <w:rPr>
            <w:noProof/>
            <w:webHidden/>
          </w:rPr>
          <w:fldChar w:fldCharType="separate"/>
        </w:r>
        <w:r>
          <w:rPr>
            <w:noProof/>
            <w:webHidden/>
          </w:rPr>
          <w:t>58</w:t>
        </w:r>
        <w:r>
          <w:rPr>
            <w:noProof/>
            <w:webHidden/>
          </w:rPr>
          <w:fldChar w:fldCharType="end"/>
        </w:r>
      </w:hyperlink>
    </w:p>
    <w:p w:rsidR="0018559B" w:rsidRDefault="0018559B" w14:paraId="0FF45F9E" w14:textId="1E9DF60D">
      <w:pPr>
        <w:pStyle w:val="TOC2"/>
        <w:rPr>
          <w:rFonts w:asciiTheme="minorHAnsi" w:hAnsiTheme="minorHAnsi" w:eastAsiaTheme="minorEastAsia"/>
          <w:noProof/>
          <w:kern w:val="2"/>
          <w:sz w:val="24"/>
          <w:szCs w:val="24"/>
          <w:lang w:eastAsia="en-GB"/>
          <w14:ligatures w14:val="standardContextual"/>
        </w:rPr>
      </w:pPr>
      <w:hyperlink w:history="1" w:anchor="_Toc214452924">
        <w:r w:rsidRPr="009C1927">
          <w:rPr>
            <w:rStyle w:val="Hyperlink"/>
            <w:noProof/>
          </w:rPr>
          <w:t>6.4</w:t>
        </w:r>
        <w:r>
          <w:rPr>
            <w:rFonts w:asciiTheme="minorHAnsi" w:hAnsiTheme="minorHAnsi" w:eastAsiaTheme="minorEastAsia"/>
            <w:noProof/>
            <w:kern w:val="2"/>
            <w:sz w:val="24"/>
            <w:szCs w:val="24"/>
            <w:lang w:eastAsia="en-GB"/>
            <w14:ligatures w14:val="standardContextual"/>
          </w:rPr>
          <w:tab/>
        </w:r>
        <w:r w:rsidRPr="009C1927">
          <w:rPr>
            <w:rStyle w:val="Hyperlink"/>
            <w:noProof/>
          </w:rPr>
          <w:t>Lesson 4: Flexible, trusted support is CASA’s signature strength</w:t>
        </w:r>
        <w:r>
          <w:rPr>
            <w:noProof/>
            <w:webHidden/>
          </w:rPr>
          <w:tab/>
        </w:r>
        <w:r>
          <w:rPr>
            <w:noProof/>
            <w:webHidden/>
          </w:rPr>
          <w:fldChar w:fldCharType="begin"/>
        </w:r>
        <w:r>
          <w:rPr>
            <w:noProof/>
            <w:webHidden/>
          </w:rPr>
          <w:instrText xml:space="preserve"> PAGEREF _Toc214452924 \h </w:instrText>
        </w:r>
        <w:r>
          <w:rPr>
            <w:noProof/>
            <w:webHidden/>
          </w:rPr>
        </w:r>
        <w:r>
          <w:rPr>
            <w:noProof/>
            <w:webHidden/>
          </w:rPr>
          <w:fldChar w:fldCharType="separate"/>
        </w:r>
        <w:r>
          <w:rPr>
            <w:noProof/>
            <w:webHidden/>
          </w:rPr>
          <w:t>59</w:t>
        </w:r>
        <w:r>
          <w:rPr>
            <w:noProof/>
            <w:webHidden/>
          </w:rPr>
          <w:fldChar w:fldCharType="end"/>
        </w:r>
      </w:hyperlink>
    </w:p>
    <w:p w:rsidR="0018559B" w:rsidRDefault="0018559B" w14:paraId="2D04EBAB" w14:textId="536BF39F">
      <w:pPr>
        <w:pStyle w:val="TOC2"/>
        <w:rPr>
          <w:rFonts w:asciiTheme="minorHAnsi" w:hAnsiTheme="minorHAnsi" w:eastAsiaTheme="minorEastAsia"/>
          <w:noProof/>
          <w:kern w:val="2"/>
          <w:sz w:val="24"/>
          <w:szCs w:val="24"/>
          <w:lang w:eastAsia="en-GB"/>
          <w14:ligatures w14:val="standardContextual"/>
        </w:rPr>
      </w:pPr>
      <w:hyperlink w:history="1" w:anchor="_Toc214452925">
        <w:r w:rsidRPr="009C1927">
          <w:rPr>
            <w:rStyle w:val="Hyperlink"/>
            <w:noProof/>
          </w:rPr>
          <w:t>6.5</w:t>
        </w:r>
        <w:r>
          <w:rPr>
            <w:rFonts w:asciiTheme="minorHAnsi" w:hAnsiTheme="minorHAnsi" w:eastAsiaTheme="minorEastAsia"/>
            <w:noProof/>
            <w:kern w:val="2"/>
            <w:sz w:val="24"/>
            <w:szCs w:val="24"/>
            <w:lang w:eastAsia="en-GB"/>
            <w14:ligatures w14:val="standardContextual"/>
          </w:rPr>
          <w:tab/>
        </w:r>
        <w:r w:rsidRPr="009C1927">
          <w:rPr>
            <w:rStyle w:val="Hyperlink"/>
            <w:noProof/>
          </w:rPr>
          <w:t>Lesson 5: Knowledge-sharing, coordination, and learning need stronger systems</w:t>
        </w:r>
        <w:r>
          <w:rPr>
            <w:noProof/>
            <w:webHidden/>
          </w:rPr>
          <w:tab/>
        </w:r>
        <w:r>
          <w:rPr>
            <w:noProof/>
            <w:webHidden/>
          </w:rPr>
          <w:fldChar w:fldCharType="begin"/>
        </w:r>
        <w:r>
          <w:rPr>
            <w:noProof/>
            <w:webHidden/>
          </w:rPr>
          <w:instrText xml:space="preserve"> PAGEREF _Toc214452925 \h </w:instrText>
        </w:r>
        <w:r>
          <w:rPr>
            <w:noProof/>
            <w:webHidden/>
          </w:rPr>
        </w:r>
        <w:r>
          <w:rPr>
            <w:noProof/>
            <w:webHidden/>
          </w:rPr>
          <w:fldChar w:fldCharType="separate"/>
        </w:r>
        <w:r>
          <w:rPr>
            <w:noProof/>
            <w:webHidden/>
          </w:rPr>
          <w:t>60</w:t>
        </w:r>
        <w:r>
          <w:rPr>
            <w:noProof/>
            <w:webHidden/>
          </w:rPr>
          <w:fldChar w:fldCharType="end"/>
        </w:r>
      </w:hyperlink>
    </w:p>
    <w:p w:rsidR="0018559B" w:rsidP="0056222E" w:rsidRDefault="0018559B" w14:paraId="30D1CC99" w14:textId="6C135E29">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26">
        <w:r w:rsidRPr="009C1927">
          <w:rPr>
            <w:rStyle w:val="Hyperlink"/>
            <w:noProof/>
          </w:rPr>
          <w:t>References</w:t>
        </w:r>
        <w:r>
          <w:rPr>
            <w:noProof/>
            <w:webHidden/>
          </w:rPr>
          <w:tab/>
        </w:r>
        <w:r>
          <w:rPr>
            <w:noProof/>
            <w:webHidden/>
          </w:rPr>
          <w:fldChar w:fldCharType="begin"/>
        </w:r>
        <w:r>
          <w:rPr>
            <w:noProof/>
            <w:webHidden/>
          </w:rPr>
          <w:instrText xml:space="preserve"> PAGEREF _Toc214452926 \h </w:instrText>
        </w:r>
        <w:r>
          <w:rPr>
            <w:noProof/>
            <w:webHidden/>
          </w:rPr>
        </w:r>
        <w:r>
          <w:rPr>
            <w:noProof/>
            <w:webHidden/>
          </w:rPr>
          <w:fldChar w:fldCharType="separate"/>
        </w:r>
        <w:r>
          <w:rPr>
            <w:noProof/>
            <w:webHidden/>
          </w:rPr>
          <w:t>62</w:t>
        </w:r>
        <w:r>
          <w:rPr>
            <w:noProof/>
            <w:webHidden/>
          </w:rPr>
          <w:fldChar w:fldCharType="end"/>
        </w:r>
      </w:hyperlink>
    </w:p>
    <w:p w:rsidR="0018559B" w:rsidP="0056222E" w:rsidRDefault="0018559B" w14:paraId="7BA2DC60" w14:textId="1188568F">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27">
        <w:r w:rsidRPr="009C1927">
          <w:rPr>
            <w:rStyle w:val="Hyperlink"/>
            <w:noProof/>
          </w:rPr>
          <w:t>Annex I: Case studies</w:t>
        </w:r>
        <w:r>
          <w:rPr>
            <w:noProof/>
            <w:webHidden/>
          </w:rPr>
          <w:tab/>
        </w:r>
        <w:r>
          <w:rPr>
            <w:noProof/>
            <w:webHidden/>
          </w:rPr>
          <w:fldChar w:fldCharType="begin"/>
        </w:r>
        <w:r>
          <w:rPr>
            <w:noProof/>
            <w:webHidden/>
          </w:rPr>
          <w:instrText xml:space="preserve"> PAGEREF _Toc214452927 \h </w:instrText>
        </w:r>
        <w:r>
          <w:rPr>
            <w:noProof/>
            <w:webHidden/>
          </w:rPr>
        </w:r>
        <w:r>
          <w:rPr>
            <w:noProof/>
            <w:webHidden/>
          </w:rPr>
          <w:fldChar w:fldCharType="separate"/>
        </w:r>
        <w:r>
          <w:rPr>
            <w:noProof/>
            <w:webHidden/>
          </w:rPr>
          <w:t>63</w:t>
        </w:r>
        <w:r>
          <w:rPr>
            <w:noProof/>
            <w:webHidden/>
          </w:rPr>
          <w:fldChar w:fldCharType="end"/>
        </w:r>
      </w:hyperlink>
    </w:p>
    <w:p w:rsidR="0018559B" w:rsidP="0056222E" w:rsidRDefault="0018559B" w14:paraId="31ED4410" w14:textId="1B8B5A70">
      <w:pPr>
        <w:pStyle w:val="TOC1"/>
        <w:spacing w:before="0"/>
        <w:rPr>
          <w:rFonts w:asciiTheme="minorHAnsi" w:hAnsiTheme="minorHAnsi" w:eastAsiaTheme="minorEastAsia"/>
          <w:b w:val="0"/>
          <w:noProof/>
          <w:kern w:val="2"/>
          <w:sz w:val="24"/>
          <w:szCs w:val="24"/>
          <w:lang w:eastAsia="en-GB"/>
          <w14:ligatures w14:val="standardContextual"/>
        </w:rPr>
      </w:pPr>
      <w:hyperlink w:history="1" w:anchor="_Toc214452928">
        <w:r w:rsidRPr="009C1927">
          <w:rPr>
            <w:rStyle w:val="Hyperlink"/>
            <w:noProof/>
          </w:rPr>
          <w:t>Annex II: Methodology</w:t>
        </w:r>
        <w:r>
          <w:rPr>
            <w:noProof/>
            <w:webHidden/>
          </w:rPr>
          <w:tab/>
        </w:r>
        <w:r>
          <w:rPr>
            <w:noProof/>
            <w:webHidden/>
          </w:rPr>
          <w:fldChar w:fldCharType="begin"/>
        </w:r>
        <w:r>
          <w:rPr>
            <w:noProof/>
            <w:webHidden/>
          </w:rPr>
          <w:instrText xml:space="preserve"> PAGEREF _Toc214452928 \h </w:instrText>
        </w:r>
        <w:r>
          <w:rPr>
            <w:noProof/>
            <w:webHidden/>
          </w:rPr>
        </w:r>
        <w:r>
          <w:rPr>
            <w:noProof/>
            <w:webHidden/>
          </w:rPr>
          <w:fldChar w:fldCharType="separate"/>
        </w:r>
        <w:r>
          <w:rPr>
            <w:noProof/>
            <w:webHidden/>
          </w:rPr>
          <w:t>64</w:t>
        </w:r>
        <w:r>
          <w:rPr>
            <w:noProof/>
            <w:webHidden/>
          </w:rPr>
          <w:fldChar w:fldCharType="end"/>
        </w:r>
      </w:hyperlink>
    </w:p>
    <w:p w:rsidRPr="00D75194" w:rsidR="00D15908" w:rsidP="00E72023" w:rsidRDefault="00DF52B1" w14:paraId="359BF0C0" w14:textId="7658F6F2">
      <w:pPr>
        <w:pStyle w:val="TOC8"/>
      </w:pPr>
      <w:r w:rsidRPr="00D75194">
        <w:fldChar w:fldCharType="end"/>
      </w:r>
    </w:p>
    <w:p w:rsidRPr="00D75194" w:rsidR="0017245A" w:rsidP="00284EF9" w:rsidRDefault="0017245A" w14:paraId="3D2E84E6" w14:textId="44121B3F">
      <w:pPr>
        <w:pStyle w:val="TOCHeading"/>
        <w:rPr>
          <w:sz w:val="56"/>
          <w:szCs w:val="56"/>
        </w:rPr>
      </w:pPr>
      <w:r w:rsidRPr="00D75194">
        <w:rPr>
          <w:sz w:val="56"/>
          <w:szCs w:val="56"/>
        </w:rPr>
        <w:t xml:space="preserve">List of </w:t>
      </w:r>
      <w:r w:rsidRPr="00D75194" w:rsidR="00444AE9">
        <w:rPr>
          <w:sz w:val="56"/>
          <w:szCs w:val="56"/>
        </w:rPr>
        <w:t>t</w:t>
      </w:r>
      <w:r w:rsidRPr="00D75194">
        <w:rPr>
          <w:sz w:val="56"/>
          <w:szCs w:val="56"/>
        </w:rPr>
        <w:t xml:space="preserve">ables </w:t>
      </w:r>
      <w:r w:rsidRPr="00D75194" w:rsidR="00444AE9">
        <w:rPr>
          <w:sz w:val="56"/>
          <w:szCs w:val="56"/>
        </w:rPr>
        <w:t>and f</w:t>
      </w:r>
      <w:r w:rsidRPr="00D75194">
        <w:rPr>
          <w:sz w:val="56"/>
          <w:szCs w:val="56"/>
        </w:rPr>
        <w:t xml:space="preserve">igures </w:t>
      </w:r>
    </w:p>
    <w:p w:rsidR="0056222E" w:rsidRDefault="0017245A" w14:paraId="120FABF4" w14:textId="4AB48B75">
      <w:pPr>
        <w:pStyle w:val="TableofFigures"/>
        <w:rPr>
          <w:rFonts w:asciiTheme="minorHAnsi" w:hAnsiTheme="minorHAnsi" w:eastAsiaTheme="minorEastAsia"/>
          <w:noProof/>
          <w:kern w:val="2"/>
          <w:sz w:val="24"/>
          <w:szCs w:val="24"/>
          <w:lang w:eastAsia="en-GB"/>
          <w14:ligatures w14:val="standardContextual"/>
        </w:rPr>
      </w:pPr>
      <w:r w:rsidRPr="00D75194">
        <w:fldChar w:fldCharType="begin"/>
      </w:r>
      <w:r w:rsidRPr="00D75194">
        <w:instrText xml:space="preserve"> TOC \h \z \c "Table" </w:instrText>
      </w:r>
      <w:r w:rsidRPr="00D75194">
        <w:fldChar w:fldCharType="separate"/>
      </w:r>
      <w:hyperlink w:history="1" w:anchor="_Toc214452990">
        <w:r w:rsidRPr="001A25B0" w:rsidR="0056222E">
          <w:rPr>
            <w:rStyle w:val="Hyperlink"/>
            <w:noProof/>
          </w:rPr>
          <w:t>Table 1: List of case studies (contribution stories)</w:t>
        </w:r>
        <w:r w:rsidR="0056222E">
          <w:rPr>
            <w:noProof/>
            <w:webHidden/>
          </w:rPr>
          <w:tab/>
        </w:r>
        <w:r w:rsidR="0056222E">
          <w:rPr>
            <w:noProof/>
            <w:webHidden/>
          </w:rPr>
          <w:fldChar w:fldCharType="begin"/>
        </w:r>
        <w:r w:rsidR="0056222E">
          <w:rPr>
            <w:noProof/>
            <w:webHidden/>
          </w:rPr>
          <w:instrText xml:space="preserve"> PAGEREF _Toc214452990 \h </w:instrText>
        </w:r>
        <w:r w:rsidR="0056222E">
          <w:rPr>
            <w:noProof/>
            <w:webHidden/>
          </w:rPr>
        </w:r>
        <w:r w:rsidR="0056222E">
          <w:rPr>
            <w:noProof/>
            <w:webHidden/>
          </w:rPr>
          <w:fldChar w:fldCharType="separate"/>
        </w:r>
        <w:r w:rsidR="0056222E">
          <w:rPr>
            <w:noProof/>
            <w:webHidden/>
          </w:rPr>
          <w:t>6</w:t>
        </w:r>
        <w:r w:rsidR="0056222E">
          <w:rPr>
            <w:noProof/>
            <w:webHidden/>
          </w:rPr>
          <w:fldChar w:fldCharType="end"/>
        </w:r>
      </w:hyperlink>
    </w:p>
    <w:p w:rsidR="0056222E" w:rsidRDefault="0056222E" w14:paraId="7E447D43" w14:textId="1EB98286">
      <w:pPr>
        <w:pStyle w:val="TableofFigures"/>
        <w:rPr>
          <w:rFonts w:asciiTheme="minorHAnsi" w:hAnsiTheme="minorHAnsi" w:eastAsiaTheme="minorEastAsia"/>
          <w:noProof/>
          <w:kern w:val="2"/>
          <w:sz w:val="24"/>
          <w:szCs w:val="24"/>
          <w:lang w:eastAsia="en-GB"/>
          <w14:ligatures w14:val="standardContextual"/>
        </w:rPr>
      </w:pPr>
      <w:hyperlink w:history="1" w:anchor="_Toc214452991">
        <w:r w:rsidRPr="001A25B0">
          <w:rPr>
            <w:rStyle w:val="Hyperlink"/>
            <w:noProof/>
          </w:rPr>
          <w:t>Table 2: Strength of evidence rubric</w:t>
        </w:r>
        <w:r>
          <w:rPr>
            <w:noProof/>
            <w:webHidden/>
          </w:rPr>
          <w:tab/>
        </w:r>
        <w:r>
          <w:rPr>
            <w:noProof/>
            <w:webHidden/>
          </w:rPr>
          <w:fldChar w:fldCharType="begin"/>
        </w:r>
        <w:r>
          <w:rPr>
            <w:noProof/>
            <w:webHidden/>
          </w:rPr>
          <w:instrText xml:space="preserve"> PAGEREF _Toc214452991 \h </w:instrText>
        </w:r>
        <w:r>
          <w:rPr>
            <w:noProof/>
            <w:webHidden/>
          </w:rPr>
        </w:r>
        <w:r>
          <w:rPr>
            <w:noProof/>
            <w:webHidden/>
          </w:rPr>
          <w:fldChar w:fldCharType="separate"/>
        </w:r>
        <w:r>
          <w:rPr>
            <w:noProof/>
            <w:webHidden/>
          </w:rPr>
          <w:t>7</w:t>
        </w:r>
        <w:r>
          <w:rPr>
            <w:noProof/>
            <w:webHidden/>
          </w:rPr>
          <w:fldChar w:fldCharType="end"/>
        </w:r>
      </w:hyperlink>
    </w:p>
    <w:p w:rsidR="0056222E" w:rsidRDefault="0056222E" w14:paraId="24867A70" w14:textId="6782FC3C">
      <w:pPr>
        <w:pStyle w:val="TableofFigures"/>
        <w:rPr>
          <w:rFonts w:asciiTheme="minorHAnsi" w:hAnsiTheme="minorHAnsi" w:eastAsiaTheme="minorEastAsia"/>
          <w:noProof/>
          <w:kern w:val="2"/>
          <w:sz w:val="24"/>
          <w:szCs w:val="24"/>
          <w:lang w:eastAsia="en-GB"/>
          <w14:ligatures w14:val="standardContextual"/>
        </w:rPr>
      </w:pPr>
      <w:hyperlink w:history="1" w:anchor="_Toc214452992">
        <w:r w:rsidRPr="001A25B0">
          <w:rPr>
            <w:rStyle w:val="Hyperlink"/>
            <w:noProof/>
          </w:rPr>
          <w:t>Table 3: Assessing contribution scale</w:t>
        </w:r>
        <w:r>
          <w:rPr>
            <w:noProof/>
            <w:webHidden/>
          </w:rPr>
          <w:tab/>
        </w:r>
        <w:r>
          <w:rPr>
            <w:noProof/>
            <w:webHidden/>
          </w:rPr>
          <w:fldChar w:fldCharType="begin"/>
        </w:r>
        <w:r>
          <w:rPr>
            <w:noProof/>
            <w:webHidden/>
          </w:rPr>
          <w:instrText xml:space="preserve"> PAGEREF _Toc214452992 \h </w:instrText>
        </w:r>
        <w:r>
          <w:rPr>
            <w:noProof/>
            <w:webHidden/>
          </w:rPr>
        </w:r>
        <w:r>
          <w:rPr>
            <w:noProof/>
            <w:webHidden/>
          </w:rPr>
          <w:fldChar w:fldCharType="separate"/>
        </w:r>
        <w:r>
          <w:rPr>
            <w:noProof/>
            <w:webHidden/>
          </w:rPr>
          <w:t>7</w:t>
        </w:r>
        <w:r>
          <w:rPr>
            <w:noProof/>
            <w:webHidden/>
          </w:rPr>
          <w:fldChar w:fldCharType="end"/>
        </w:r>
      </w:hyperlink>
    </w:p>
    <w:p w:rsidR="0056222E" w:rsidRDefault="0056222E" w14:paraId="5613E158" w14:textId="301B5C48">
      <w:pPr>
        <w:pStyle w:val="TableofFigures"/>
        <w:rPr>
          <w:rFonts w:asciiTheme="minorHAnsi" w:hAnsiTheme="minorHAnsi" w:eastAsiaTheme="minorEastAsia"/>
          <w:noProof/>
          <w:kern w:val="2"/>
          <w:sz w:val="24"/>
          <w:szCs w:val="24"/>
          <w:lang w:eastAsia="en-GB"/>
          <w14:ligatures w14:val="standardContextual"/>
        </w:rPr>
      </w:pPr>
      <w:hyperlink w:history="1" w:anchor="_Toc214452993">
        <w:r w:rsidRPr="001A25B0">
          <w:rPr>
            <w:rStyle w:val="Hyperlink"/>
            <w:noProof/>
          </w:rPr>
          <w:t>Table 4: Evaluation questions and questions</w:t>
        </w:r>
        <w:r>
          <w:rPr>
            <w:noProof/>
            <w:webHidden/>
          </w:rPr>
          <w:tab/>
        </w:r>
        <w:r>
          <w:rPr>
            <w:noProof/>
            <w:webHidden/>
          </w:rPr>
          <w:fldChar w:fldCharType="begin"/>
        </w:r>
        <w:r>
          <w:rPr>
            <w:noProof/>
            <w:webHidden/>
          </w:rPr>
          <w:instrText xml:space="preserve"> PAGEREF _Toc214452993 \h </w:instrText>
        </w:r>
        <w:r>
          <w:rPr>
            <w:noProof/>
            <w:webHidden/>
          </w:rPr>
        </w:r>
        <w:r>
          <w:rPr>
            <w:noProof/>
            <w:webHidden/>
          </w:rPr>
          <w:fldChar w:fldCharType="separate"/>
        </w:r>
        <w:r>
          <w:rPr>
            <w:noProof/>
            <w:webHidden/>
          </w:rPr>
          <w:t>8</w:t>
        </w:r>
        <w:r>
          <w:rPr>
            <w:noProof/>
            <w:webHidden/>
          </w:rPr>
          <w:fldChar w:fldCharType="end"/>
        </w:r>
      </w:hyperlink>
    </w:p>
    <w:p w:rsidR="0056222E" w:rsidRDefault="0056222E" w14:paraId="53B8D1D2" w14:textId="0FC48DEF">
      <w:pPr>
        <w:pStyle w:val="TableofFigures"/>
        <w:rPr>
          <w:rFonts w:asciiTheme="minorHAnsi" w:hAnsiTheme="minorHAnsi" w:eastAsiaTheme="minorEastAsia"/>
          <w:noProof/>
          <w:kern w:val="2"/>
          <w:sz w:val="24"/>
          <w:szCs w:val="24"/>
          <w:lang w:eastAsia="en-GB"/>
          <w14:ligatures w14:val="standardContextual"/>
        </w:rPr>
      </w:pPr>
      <w:hyperlink w:history="1" w:anchor="_Toc214452994">
        <w:r w:rsidRPr="001A25B0">
          <w:rPr>
            <w:rStyle w:val="Hyperlink"/>
            <w:noProof/>
          </w:rPr>
          <w:t>Table 5: Strength of evidence—relevance</w:t>
        </w:r>
        <w:r>
          <w:rPr>
            <w:noProof/>
            <w:webHidden/>
          </w:rPr>
          <w:tab/>
        </w:r>
        <w:r>
          <w:rPr>
            <w:noProof/>
            <w:webHidden/>
          </w:rPr>
          <w:fldChar w:fldCharType="begin"/>
        </w:r>
        <w:r>
          <w:rPr>
            <w:noProof/>
            <w:webHidden/>
          </w:rPr>
          <w:instrText xml:space="preserve"> PAGEREF _Toc214452994 \h </w:instrText>
        </w:r>
        <w:r>
          <w:rPr>
            <w:noProof/>
            <w:webHidden/>
          </w:rPr>
        </w:r>
        <w:r>
          <w:rPr>
            <w:noProof/>
            <w:webHidden/>
          </w:rPr>
          <w:fldChar w:fldCharType="separate"/>
        </w:r>
        <w:r>
          <w:rPr>
            <w:noProof/>
            <w:webHidden/>
          </w:rPr>
          <w:t>11</w:t>
        </w:r>
        <w:r>
          <w:rPr>
            <w:noProof/>
            <w:webHidden/>
          </w:rPr>
          <w:fldChar w:fldCharType="end"/>
        </w:r>
      </w:hyperlink>
    </w:p>
    <w:p w:rsidR="0056222E" w:rsidRDefault="0056222E" w14:paraId="745651DB" w14:textId="625CA661">
      <w:pPr>
        <w:pStyle w:val="TableofFigures"/>
        <w:rPr>
          <w:rFonts w:asciiTheme="minorHAnsi" w:hAnsiTheme="minorHAnsi" w:eastAsiaTheme="minorEastAsia"/>
          <w:noProof/>
          <w:kern w:val="2"/>
          <w:sz w:val="24"/>
          <w:szCs w:val="24"/>
          <w:lang w:eastAsia="en-GB"/>
          <w14:ligatures w14:val="standardContextual"/>
        </w:rPr>
      </w:pPr>
      <w:hyperlink w:history="1" w:anchor="_Toc214452995">
        <w:r w:rsidRPr="001A25B0">
          <w:rPr>
            <w:rStyle w:val="Hyperlink"/>
            <w:noProof/>
          </w:rPr>
          <w:t>Table 6: Strength of evidence—coherence</w:t>
        </w:r>
        <w:r>
          <w:rPr>
            <w:noProof/>
            <w:webHidden/>
          </w:rPr>
          <w:tab/>
        </w:r>
        <w:r>
          <w:rPr>
            <w:noProof/>
            <w:webHidden/>
          </w:rPr>
          <w:fldChar w:fldCharType="begin"/>
        </w:r>
        <w:r>
          <w:rPr>
            <w:noProof/>
            <w:webHidden/>
          </w:rPr>
          <w:instrText xml:space="preserve"> PAGEREF _Toc214452995 \h </w:instrText>
        </w:r>
        <w:r>
          <w:rPr>
            <w:noProof/>
            <w:webHidden/>
          </w:rPr>
        </w:r>
        <w:r>
          <w:rPr>
            <w:noProof/>
            <w:webHidden/>
          </w:rPr>
          <w:fldChar w:fldCharType="separate"/>
        </w:r>
        <w:r>
          <w:rPr>
            <w:noProof/>
            <w:webHidden/>
          </w:rPr>
          <w:t>15</w:t>
        </w:r>
        <w:r>
          <w:rPr>
            <w:noProof/>
            <w:webHidden/>
          </w:rPr>
          <w:fldChar w:fldCharType="end"/>
        </w:r>
      </w:hyperlink>
    </w:p>
    <w:p w:rsidR="0056222E" w:rsidRDefault="0056222E" w14:paraId="2E8F4654" w14:textId="04E67C8F">
      <w:pPr>
        <w:pStyle w:val="TableofFigures"/>
        <w:rPr>
          <w:rFonts w:asciiTheme="minorHAnsi" w:hAnsiTheme="minorHAnsi" w:eastAsiaTheme="minorEastAsia"/>
          <w:noProof/>
          <w:kern w:val="2"/>
          <w:sz w:val="24"/>
          <w:szCs w:val="24"/>
          <w:lang w:eastAsia="en-GB"/>
          <w14:ligatures w14:val="standardContextual"/>
        </w:rPr>
      </w:pPr>
      <w:hyperlink w:history="1" w:anchor="_Toc214452996">
        <w:r w:rsidRPr="001A25B0">
          <w:rPr>
            <w:rStyle w:val="Hyperlink"/>
            <w:noProof/>
          </w:rPr>
          <w:t>Table 7: Strength of evidence—efficiency</w:t>
        </w:r>
        <w:r>
          <w:rPr>
            <w:noProof/>
            <w:webHidden/>
          </w:rPr>
          <w:tab/>
        </w:r>
        <w:r>
          <w:rPr>
            <w:noProof/>
            <w:webHidden/>
          </w:rPr>
          <w:fldChar w:fldCharType="begin"/>
        </w:r>
        <w:r>
          <w:rPr>
            <w:noProof/>
            <w:webHidden/>
          </w:rPr>
          <w:instrText xml:space="preserve"> PAGEREF _Toc214452996 \h </w:instrText>
        </w:r>
        <w:r>
          <w:rPr>
            <w:noProof/>
            <w:webHidden/>
          </w:rPr>
        </w:r>
        <w:r>
          <w:rPr>
            <w:noProof/>
            <w:webHidden/>
          </w:rPr>
          <w:fldChar w:fldCharType="separate"/>
        </w:r>
        <w:r>
          <w:rPr>
            <w:noProof/>
            <w:webHidden/>
          </w:rPr>
          <w:t>20</w:t>
        </w:r>
        <w:r>
          <w:rPr>
            <w:noProof/>
            <w:webHidden/>
          </w:rPr>
          <w:fldChar w:fldCharType="end"/>
        </w:r>
      </w:hyperlink>
    </w:p>
    <w:p w:rsidR="0056222E" w:rsidRDefault="0056222E" w14:paraId="4989E373" w14:textId="0D70E5D5">
      <w:pPr>
        <w:pStyle w:val="TableofFigures"/>
        <w:rPr>
          <w:rFonts w:asciiTheme="minorHAnsi" w:hAnsiTheme="minorHAnsi" w:eastAsiaTheme="minorEastAsia"/>
          <w:noProof/>
          <w:kern w:val="2"/>
          <w:sz w:val="24"/>
          <w:szCs w:val="24"/>
          <w:lang w:eastAsia="en-GB"/>
          <w14:ligatures w14:val="standardContextual"/>
        </w:rPr>
      </w:pPr>
      <w:hyperlink w:history="1" w:anchor="_Toc214452997">
        <w:r w:rsidRPr="001A25B0">
          <w:rPr>
            <w:rStyle w:val="Hyperlink"/>
            <w:noProof/>
          </w:rPr>
          <w:t>Table 8: Strength of evidence—effectiveness</w:t>
        </w:r>
        <w:r>
          <w:rPr>
            <w:noProof/>
            <w:webHidden/>
          </w:rPr>
          <w:tab/>
        </w:r>
        <w:r>
          <w:rPr>
            <w:noProof/>
            <w:webHidden/>
          </w:rPr>
          <w:fldChar w:fldCharType="begin"/>
        </w:r>
        <w:r>
          <w:rPr>
            <w:noProof/>
            <w:webHidden/>
          </w:rPr>
          <w:instrText xml:space="preserve"> PAGEREF _Toc214452997 \h </w:instrText>
        </w:r>
        <w:r>
          <w:rPr>
            <w:noProof/>
            <w:webHidden/>
          </w:rPr>
        </w:r>
        <w:r>
          <w:rPr>
            <w:noProof/>
            <w:webHidden/>
          </w:rPr>
          <w:fldChar w:fldCharType="separate"/>
        </w:r>
        <w:r>
          <w:rPr>
            <w:noProof/>
            <w:webHidden/>
          </w:rPr>
          <w:t>28</w:t>
        </w:r>
        <w:r>
          <w:rPr>
            <w:noProof/>
            <w:webHidden/>
          </w:rPr>
          <w:fldChar w:fldCharType="end"/>
        </w:r>
      </w:hyperlink>
    </w:p>
    <w:p w:rsidR="0056222E" w:rsidRDefault="0056222E" w14:paraId="49E791F0" w14:textId="5F09CE02">
      <w:pPr>
        <w:pStyle w:val="TableofFigures"/>
        <w:rPr>
          <w:rFonts w:asciiTheme="minorHAnsi" w:hAnsiTheme="minorHAnsi" w:eastAsiaTheme="minorEastAsia"/>
          <w:noProof/>
          <w:kern w:val="2"/>
          <w:sz w:val="24"/>
          <w:szCs w:val="24"/>
          <w:lang w:eastAsia="en-GB"/>
          <w14:ligatures w14:val="standardContextual"/>
        </w:rPr>
      </w:pPr>
      <w:hyperlink w:history="1" w:anchor="_Toc214452998">
        <w:r w:rsidRPr="001A25B0">
          <w:rPr>
            <w:rStyle w:val="Hyperlink"/>
            <w:rFonts w:eastAsia="Segoe UI" w:cs="Times New Roman"/>
            <w:noProof/>
          </w:rPr>
          <w:t>Table 9: Strength of evidence—impact</w:t>
        </w:r>
        <w:r>
          <w:rPr>
            <w:noProof/>
            <w:webHidden/>
          </w:rPr>
          <w:tab/>
        </w:r>
        <w:r>
          <w:rPr>
            <w:noProof/>
            <w:webHidden/>
          </w:rPr>
          <w:fldChar w:fldCharType="begin"/>
        </w:r>
        <w:r>
          <w:rPr>
            <w:noProof/>
            <w:webHidden/>
          </w:rPr>
          <w:instrText xml:space="preserve"> PAGEREF _Toc214452998 \h </w:instrText>
        </w:r>
        <w:r>
          <w:rPr>
            <w:noProof/>
            <w:webHidden/>
          </w:rPr>
        </w:r>
        <w:r>
          <w:rPr>
            <w:noProof/>
            <w:webHidden/>
          </w:rPr>
          <w:fldChar w:fldCharType="separate"/>
        </w:r>
        <w:r>
          <w:rPr>
            <w:noProof/>
            <w:webHidden/>
          </w:rPr>
          <w:t>37</w:t>
        </w:r>
        <w:r>
          <w:rPr>
            <w:noProof/>
            <w:webHidden/>
          </w:rPr>
          <w:fldChar w:fldCharType="end"/>
        </w:r>
      </w:hyperlink>
    </w:p>
    <w:p w:rsidR="0056222E" w:rsidRDefault="0056222E" w14:paraId="53D671E3" w14:textId="73ABD1EF">
      <w:pPr>
        <w:pStyle w:val="TableofFigures"/>
        <w:rPr>
          <w:rFonts w:asciiTheme="minorHAnsi" w:hAnsiTheme="minorHAnsi" w:eastAsiaTheme="minorEastAsia"/>
          <w:noProof/>
          <w:kern w:val="2"/>
          <w:sz w:val="24"/>
          <w:szCs w:val="24"/>
          <w:lang w:eastAsia="en-GB"/>
          <w14:ligatures w14:val="standardContextual"/>
        </w:rPr>
      </w:pPr>
      <w:hyperlink w:history="1" w:anchor="_Toc214452999">
        <w:r w:rsidRPr="001A25B0">
          <w:rPr>
            <w:rStyle w:val="Hyperlink"/>
            <w:noProof/>
          </w:rPr>
          <w:t>Table 10: Strength of evidence—sustainability</w:t>
        </w:r>
        <w:r>
          <w:rPr>
            <w:noProof/>
            <w:webHidden/>
          </w:rPr>
          <w:tab/>
        </w:r>
        <w:r>
          <w:rPr>
            <w:noProof/>
            <w:webHidden/>
          </w:rPr>
          <w:fldChar w:fldCharType="begin"/>
        </w:r>
        <w:r>
          <w:rPr>
            <w:noProof/>
            <w:webHidden/>
          </w:rPr>
          <w:instrText xml:space="preserve"> PAGEREF _Toc214452999 \h </w:instrText>
        </w:r>
        <w:r>
          <w:rPr>
            <w:noProof/>
            <w:webHidden/>
          </w:rPr>
        </w:r>
        <w:r>
          <w:rPr>
            <w:noProof/>
            <w:webHidden/>
          </w:rPr>
          <w:fldChar w:fldCharType="separate"/>
        </w:r>
        <w:r>
          <w:rPr>
            <w:noProof/>
            <w:webHidden/>
          </w:rPr>
          <w:t>47</w:t>
        </w:r>
        <w:r>
          <w:rPr>
            <w:noProof/>
            <w:webHidden/>
          </w:rPr>
          <w:fldChar w:fldCharType="end"/>
        </w:r>
      </w:hyperlink>
    </w:p>
    <w:p w:rsidR="0056222E" w:rsidRDefault="0056222E" w14:paraId="64DBF92A" w14:textId="557F7ECD">
      <w:pPr>
        <w:pStyle w:val="TableofFigures"/>
        <w:rPr>
          <w:rFonts w:asciiTheme="minorHAnsi" w:hAnsiTheme="minorHAnsi" w:eastAsiaTheme="minorEastAsia"/>
          <w:noProof/>
          <w:kern w:val="2"/>
          <w:sz w:val="24"/>
          <w:szCs w:val="24"/>
          <w:lang w:eastAsia="en-GB"/>
          <w14:ligatures w14:val="standardContextual"/>
        </w:rPr>
      </w:pPr>
      <w:hyperlink w:history="1" w:anchor="_Toc214453000">
        <w:r w:rsidRPr="001A25B0">
          <w:rPr>
            <w:rStyle w:val="Hyperlink"/>
            <w:noProof/>
          </w:rPr>
          <w:t>Table 11: Recommendation rating rubric</w:t>
        </w:r>
        <w:r>
          <w:rPr>
            <w:noProof/>
            <w:webHidden/>
          </w:rPr>
          <w:tab/>
        </w:r>
        <w:r>
          <w:rPr>
            <w:noProof/>
            <w:webHidden/>
          </w:rPr>
          <w:fldChar w:fldCharType="begin"/>
        </w:r>
        <w:r>
          <w:rPr>
            <w:noProof/>
            <w:webHidden/>
          </w:rPr>
          <w:instrText xml:space="preserve"> PAGEREF _Toc214453000 \h </w:instrText>
        </w:r>
        <w:r>
          <w:rPr>
            <w:noProof/>
            <w:webHidden/>
          </w:rPr>
        </w:r>
        <w:r>
          <w:rPr>
            <w:noProof/>
            <w:webHidden/>
          </w:rPr>
          <w:fldChar w:fldCharType="separate"/>
        </w:r>
        <w:r>
          <w:rPr>
            <w:noProof/>
            <w:webHidden/>
          </w:rPr>
          <w:t>56</w:t>
        </w:r>
        <w:r>
          <w:rPr>
            <w:noProof/>
            <w:webHidden/>
          </w:rPr>
          <w:fldChar w:fldCharType="end"/>
        </w:r>
      </w:hyperlink>
    </w:p>
    <w:p w:rsidR="0056222E" w:rsidRDefault="0056222E" w14:paraId="65F2A915" w14:textId="38EEB63D">
      <w:pPr>
        <w:pStyle w:val="TableofFigures"/>
        <w:rPr>
          <w:rFonts w:asciiTheme="minorHAnsi" w:hAnsiTheme="minorHAnsi" w:eastAsiaTheme="minorEastAsia"/>
          <w:noProof/>
          <w:kern w:val="2"/>
          <w:sz w:val="24"/>
          <w:szCs w:val="24"/>
          <w:lang w:eastAsia="en-GB"/>
          <w14:ligatures w14:val="standardContextual"/>
        </w:rPr>
      </w:pPr>
      <w:hyperlink w:history="1" w:anchor="_Toc214453001">
        <w:r w:rsidRPr="001A25B0">
          <w:rPr>
            <w:rStyle w:val="Hyperlink"/>
            <w:noProof/>
          </w:rPr>
          <w:t>Table 12: final evaluation sample framework and interviews completed</w:t>
        </w:r>
        <w:r>
          <w:rPr>
            <w:noProof/>
            <w:webHidden/>
          </w:rPr>
          <w:tab/>
        </w:r>
        <w:r>
          <w:rPr>
            <w:noProof/>
            <w:webHidden/>
          </w:rPr>
          <w:fldChar w:fldCharType="begin"/>
        </w:r>
        <w:r>
          <w:rPr>
            <w:noProof/>
            <w:webHidden/>
          </w:rPr>
          <w:instrText xml:space="preserve"> PAGEREF _Toc214453001 \h </w:instrText>
        </w:r>
        <w:r>
          <w:rPr>
            <w:noProof/>
            <w:webHidden/>
          </w:rPr>
        </w:r>
        <w:r>
          <w:rPr>
            <w:noProof/>
            <w:webHidden/>
          </w:rPr>
          <w:fldChar w:fldCharType="separate"/>
        </w:r>
        <w:r>
          <w:rPr>
            <w:noProof/>
            <w:webHidden/>
          </w:rPr>
          <w:t>64</w:t>
        </w:r>
        <w:r>
          <w:rPr>
            <w:noProof/>
            <w:webHidden/>
          </w:rPr>
          <w:fldChar w:fldCharType="end"/>
        </w:r>
      </w:hyperlink>
    </w:p>
    <w:p w:rsidRPr="00D75194" w:rsidR="0017245A" w:rsidP="009124BD" w:rsidRDefault="0017245A" w14:paraId="033C92E1" w14:textId="294D68E4">
      <w:pPr>
        <w:pStyle w:val="NoSpacing"/>
        <w:spacing w:line="360" w:lineRule="auto"/>
      </w:pPr>
      <w:r w:rsidRPr="00D75194">
        <w:fldChar w:fldCharType="end"/>
      </w:r>
    </w:p>
    <w:p w:rsidRPr="00D75194" w:rsidR="009827AD" w:rsidP="009124BD" w:rsidRDefault="009827AD" w14:paraId="6A38FF79" w14:textId="77777777">
      <w:pPr>
        <w:pStyle w:val="NoSpacing"/>
        <w:spacing w:line="360" w:lineRule="auto"/>
      </w:pPr>
    </w:p>
    <w:p w:rsidR="0056222E" w:rsidRDefault="0017245A" w14:paraId="2B7DD115" w14:textId="43F837AC">
      <w:pPr>
        <w:pStyle w:val="TableofFigures"/>
        <w:rPr>
          <w:rFonts w:asciiTheme="minorHAnsi" w:hAnsiTheme="minorHAnsi" w:eastAsiaTheme="minorEastAsia"/>
          <w:noProof/>
          <w:kern w:val="2"/>
          <w:sz w:val="24"/>
          <w:szCs w:val="24"/>
          <w:lang w:eastAsia="en-GB"/>
          <w14:ligatures w14:val="standardContextual"/>
        </w:rPr>
      </w:pPr>
      <w:r w:rsidRPr="00D75194">
        <w:fldChar w:fldCharType="begin"/>
      </w:r>
      <w:r w:rsidRPr="00D75194">
        <w:instrText xml:space="preserve"> TOC \h \z \c "Figure" </w:instrText>
      </w:r>
      <w:r w:rsidRPr="00D75194">
        <w:fldChar w:fldCharType="separate"/>
      </w:r>
      <w:hyperlink w:history="1" w:anchor="_Toc214453002">
        <w:r w:rsidRPr="005D701D" w:rsidR="0056222E">
          <w:rPr>
            <w:rStyle w:val="Hyperlink"/>
            <w:noProof/>
          </w:rPr>
          <w:t>Figure 1: Refreshed ToC graphic for CASA II</w:t>
        </w:r>
        <w:r w:rsidR="0056222E">
          <w:rPr>
            <w:noProof/>
            <w:webHidden/>
          </w:rPr>
          <w:tab/>
        </w:r>
        <w:r w:rsidR="0056222E">
          <w:rPr>
            <w:noProof/>
            <w:webHidden/>
          </w:rPr>
          <w:fldChar w:fldCharType="begin"/>
        </w:r>
        <w:r w:rsidR="0056222E">
          <w:rPr>
            <w:noProof/>
            <w:webHidden/>
          </w:rPr>
          <w:instrText xml:space="preserve"> PAGEREF _Toc214453002 \h </w:instrText>
        </w:r>
        <w:r w:rsidR="0056222E">
          <w:rPr>
            <w:noProof/>
            <w:webHidden/>
          </w:rPr>
        </w:r>
        <w:r w:rsidR="0056222E">
          <w:rPr>
            <w:noProof/>
            <w:webHidden/>
          </w:rPr>
          <w:fldChar w:fldCharType="separate"/>
        </w:r>
        <w:r w:rsidR="0056222E">
          <w:rPr>
            <w:noProof/>
            <w:webHidden/>
          </w:rPr>
          <w:t>5</w:t>
        </w:r>
        <w:r w:rsidR="0056222E">
          <w:rPr>
            <w:noProof/>
            <w:webHidden/>
          </w:rPr>
          <w:fldChar w:fldCharType="end"/>
        </w:r>
      </w:hyperlink>
    </w:p>
    <w:p w:rsidR="0056222E" w:rsidRDefault="0056222E" w14:paraId="14CADCE3" w14:textId="5A0C6015">
      <w:pPr>
        <w:pStyle w:val="TableofFigures"/>
        <w:rPr>
          <w:rFonts w:asciiTheme="minorHAnsi" w:hAnsiTheme="minorHAnsi" w:eastAsiaTheme="minorEastAsia"/>
          <w:noProof/>
          <w:kern w:val="2"/>
          <w:sz w:val="24"/>
          <w:szCs w:val="24"/>
          <w:lang w:eastAsia="en-GB"/>
          <w14:ligatures w14:val="standardContextual"/>
        </w:rPr>
      </w:pPr>
      <w:hyperlink w:history="1" w:anchor="_Toc214453003">
        <w:r w:rsidRPr="005D701D">
          <w:rPr>
            <w:rStyle w:val="Hyperlink"/>
            <w:noProof/>
          </w:rPr>
          <w:t>Figure 2: Contribution story analytical approach</w:t>
        </w:r>
        <w:r>
          <w:rPr>
            <w:noProof/>
            <w:webHidden/>
          </w:rPr>
          <w:tab/>
        </w:r>
        <w:r>
          <w:rPr>
            <w:noProof/>
            <w:webHidden/>
          </w:rPr>
          <w:fldChar w:fldCharType="begin"/>
        </w:r>
        <w:r>
          <w:rPr>
            <w:noProof/>
            <w:webHidden/>
          </w:rPr>
          <w:instrText xml:space="preserve"> PAGEREF _Toc214453003 \h </w:instrText>
        </w:r>
        <w:r>
          <w:rPr>
            <w:noProof/>
            <w:webHidden/>
          </w:rPr>
        </w:r>
        <w:r>
          <w:rPr>
            <w:noProof/>
            <w:webHidden/>
          </w:rPr>
          <w:fldChar w:fldCharType="separate"/>
        </w:r>
        <w:r>
          <w:rPr>
            <w:noProof/>
            <w:webHidden/>
          </w:rPr>
          <w:t>9</w:t>
        </w:r>
        <w:r>
          <w:rPr>
            <w:noProof/>
            <w:webHidden/>
          </w:rPr>
          <w:fldChar w:fldCharType="end"/>
        </w:r>
      </w:hyperlink>
    </w:p>
    <w:p w:rsidR="0056222E" w:rsidRDefault="0056222E" w14:paraId="4588A42A" w14:textId="4A31244B">
      <w:pPr>
        <w:pStyle w:val="TableofFigures"/>
        <w:rPr>
          <w:rFonts w:asciiTheme="minorHAnsi" w:hAnsiTheme="minorHAnsi" w:eastAsiaTheme="minorEastAsia"/>
          <w:noProof/>
          <w:kern w:val="2"/>
          <w:sz w:val="24"/>
          <w:szCs w:val="24"/>
          <w:lang w:eastAsia="en-GB"/>
          <w14:ligatures w14:val="standardContextual"/>
        </w:rPr>
      </w:pPr>
      <w:hyperlink w:history="1" w:anchor="_Toc214453004">
        <w:r w:rsidRPr="005D701D">
          <w:rPr>
            <w:rStyle w:val="Hyperlink"/>
            <w:noProof/>
          </w:rPr>
          <w:t>Figure 3: Overall VFM performance of CASA II</w:t>
        </w:r>
        <w:r>
          <w:rPr>
            <w:noProof/>
            <w:webHidden/>
          </w:rPr>
          <w:tab/>
        </w:r>
        <w:r>
          <w:rPr>
            <w:noProof/>
            <w:webHidden/>
          </w:rPr>
          <w:fldChar w:fldCharType="begin"/>
        </w:r>
        <w:r>
          <w:rPr>
            <w:noProof/>
            <w:webHidden/>
          </w:rPr>
          <w:instrText xml:space="preserve"> PAGEREF _Toc214453004 \h </w:instrText>
        </w:r>
        <w:r>
          <w:rPr>
            <w:noProof/>
            <w:webHidden/>
          </w:rPr>
        </w:r>
        <w:r>
          <w:rPr>
            <w:noProof/>
            <w:webHidden/>
          </w:rPr>
          <w:fldChar w:fldCharType="separate"/>
        </w:r>
        <w:r>
          <w:rPr>
            <w:noProof/>
            <w:webHidden/>
          </w:rPr>
          <w:t>19</w:t>
        </w:r>
        <w:r>
          <w:rPr>
            <w:noProof/>
            <w:webHidden/>
          </w:rPr>
          <w:fldChar w:fldCharType="end"/>
        </w:r>
      </w:hyperlink>
    </w:p>
    <w:p w:rsidR="0056222E" w:rsidRDefault="0056222E" w14:paraId="260EC5D6" w14:textId="6D0FDDE2">
      <w:pPr>
        <w:pStyle w:val="TableofFigures"/>
        <w:rPr>
          <w:rFonts w:asciiTheme="minorHAnsi" w:hAnsiTheme="minorHAnsi" w:eastAsiaTheme="minorEastAsia"/>
          <w:noProof/>
          <w:kern w:val="2"/>
          <w:sz w:val="24"/>
          <w:szCs w:val="24"/>
          <w:lang w:eastAsia="en-GB"/>
          <w14:ligatures w14:val="standardContextual"/>
        </w:rPr>
      </w:pPr>
      <w:hyperlink w:history="1" w:anchor="_Toc214453005">
        <w:r w:rsidRPr="005D701D">
          <w:rPr>
            <w:rStyle w:val="Hyperlink"/>
            <w:noProof/>
          </w:rPr>
          <w:t>Figure 4: Proportion of VFM indicators meeting expectations</w:t>
        </w:r>
        <w:r>
          <w:rPr>
            <w:noProof/>
            <w:webHidden/>
          </w:rPr>
          <w:tab/>
        </w:r>
        <w:r>
          <w:rPr>
            <w:noProof/>
            <w:webHidden/>
          </w:rPr>
          <w:fldChar w:fldCharType="begin"/>
        </w:r>
        <w:r>
          <w:rPr>
            <w:noProof/>
            <w:webHidden/>
          </w:rPr>
          <w:instrText xml:space="preserve"> PAGEREF _Toc214453005 \h </w:instrText>
        </w:r>
        <w:r>
          <w:rPr>
            <w:noProof/>
            <w:webHidden/>
          </w:rPr>
        </w:r>
        <w:r>
          <w:rPr>
            <w:noProof/>
            <w:webHidden/>
          </w:rPr>
          <w:fldChar w:fldCharType="separate"/>
        </w:r>
        <w:r>
          <w:rPr>
            <w:noProof/>
            <w:webHidden/>
          </w:rPr>
          <w:t>20</w:t>
        </w:r>
        <w:r>
          <w:rPr>
            <w:noProof/>
            <w:webHidden/>
          </w:rPr>
          <w:fldChar w:fldCharType="end"/>
        </w:r>
      </w:hyperlink>
    </w:p>
    <w:p w:rsidR="0056222E" w:rsidRDefault="0056222E" w14:paraId="1FC86FC5" w14:textId="275DD35D">
      <w:pPr>
        <w:pStyle w:val="TableofFigures"/>
        <w:rPr>
          <w:rFonts w:asciiTheme="minorHAnsi" w:hAnsiTheme="minorHAnsi" w:eastAsiaTheme="minorEastAsia"/>
          <w:noProof/>
          <w:kern w:val="2"/>
          <w:sz w:val="24"/>
          <w:szCs w:val="24"/>
          <w:lang w:eastAsia="en-GB"/>
          <w14:ligatures w14:val="standardContextual"/>
        </w:rPr>
      </w:pPr>
      <w:hyperlink w:history="1" w:anchor="_Toc214453006">
        <w:r w:rsidRPr="005D701D">
          <w:rPr>
            <w:rStyle w:val="Hyperlink"/>
            <w:noProof/>
          </w:rPr>
          <w:t>Figure 5: Outcome 2—Percentage of outcomes with moderate change</w:t>
        </w:r>
        <w:r>
          <w:rPr>
            <w:noProof/>
            <w:webHidden/>
          </w:rPr>
          <w:tab/>
        </w:r>
        <w:r>
          <w:rPr>
            <w:noProof/>
            <w:webHidden/>
          </w:rPr>
          <w:fldChar w:fldCharType="begin"/>
        </w:r>
        <w:r>
          <w:rPr>
            <w:noProof/>
            <w:webHidden/>
          </w:rPr>
          <w:instrText xml:space="preserve"> PAGEREF _Toc214453006 \h </w:instrText>
        </w:r>
        <w:r>
          <w:rPr>
            <w:noProof/>
            <w:webHidden/>
          </w:rPr>
        </w:r>
        <w:r>
          <w:rPr>
            <w:noProof/>
            <w:webHidden/>
          </w:rPr>
          <w:fldChar w:fldCharType="separate"/>
        </w:r>
        <w:r>
          <w:rPr>
            <w:noProof/>
            <w:webHidden/>
          </w:rPr>
          <w:t>35</w:t>
        </w:r>
        <w:r>
          <w:rPr>
            <w:noProof/>
            <w:webHidden/>
          </w:rPr>
          <w:fldChar w:fldCharType="end"/>
        </w:r>
      </w:hyperlink>
    </w:p>
    <w:p w:rsidRPr="00D75194" w:rsidR="13876E6F" w:rsidP="009124BD" w:rsidRDefault="0017245A" w14:paraId="15678E2D" w14:textId="6774A7EA">
      <w:pPr>
        <w:pStyle w:val="NoSpacing"/>
        <w:spacing w:line="360" w:lineRule="auto"/>
        <w:rPr>
          <w:b/>
          <w:bCs/>
          <w:highlight w:val="yellow"/>
        </w:rPr>
      </w:pPr>
      <w:r w:rsidRPr="00D75194">
        <w:fldChar w:fldCharType="end"/>
      </w:r>
    </w:p>
    <w:p w:rsidRPr="00D75194" w:rsidR="42FCA23F" w:rsidP="634D26D6" w:rsidRDefault="42FCA23F" w14:paraId="311C7F62" w14:textId="35D4B8B8">
      <w:pPr>
        <w:pStyle w:val="Template-N"/>
        <w:rPr>
          <w:highlight w:val="yellow"/>
        </w:rPr>
        <w:sectPr w:rsidRPr="00D75194" w:rsidR="42FCA23F" w:rsidSect="00CE5264">
          <w:headerReference w:type="even" r:id="rId22"/>
          <w:headerReference w:type="default" r:id="rId23"/>
          <w:footerReference w:type="even" r:id="rId24"/>
          <w:footerReference w:type="default" r:id="rId25"/>
          <w:headerReference w:type="first" r:id="rId26"/>
          <w:footerReference w:type="first" r:id="rId27"/>
          <w:pgSz w:w="11906" w:h="16838" w:orient="portrait" w:code="9"/>
          <w:pgMar w:top="1616" w:right="1021" w:bottom="1758" w:left="1021" w:header="709" w:footer="992" w:gutter="0"/>
          <w:cols w:space="708"/>
          <w:titlePg/>
          <w:docGrid w:linePitch="360"/>
        </w:sectPr>
      </w:pPr>
    </w:p>
    <w:p w:rsidRPr="001F333B" w:rsidR="008022BE" w:rsidP="008022BE" w:rsidRDefault="03F6E27F" w14:paraId="3BA4FEDF" w14:textId="28BB75E2">
      <w:pPr>
        <w:pStyle w:val="Heading1"/>
        <w:numPr>
          <w:ilvl w:val="0"/>
          <w:numId w:val="0"/>
        </w:numPr>
        <w:rPr>
          <w:rFonts w:asciiTheme="majorHAnsi" w:hAnsiTheme="majorHAnsi" w:cstheme="majorHAnsi"/>
          <w:b w:val="0"/>
          <w:bCs/>
          <w:sz w:val="80"/>
          <w:szCs w:val="80"/>
        </w:rPr>
      </w:pPr>
      <w:bookmarkStart w:name="_Toc214452897" w:id="6"/>
      <w:r w:rsidRPr="001F333B">
        <w:rPr>
          <w:rFonts w:asciiTheme="majorHAnsi" w:hAnsiTheme="majorHAnsi" w:cstheme="majorHAnsi"/>
          <w:b w:val="0"/>
          <w:bCs/>
          <w:sz w:val="80"/>
          <w:szCs w:val="80"/>
        </w:rPr>
        <w:t>Acronyms</w:t>
      </w:r>
      <w:bookmarkEnd w:id="6"/>
    </w:p>
    <w:tbl>
      <w:tblPr>
        <w:tblStyle w:val="GridTable4-Accent1"/>
        <w:tblW w:w="0" w:type="auto"/>
        <w:tblLook w:val="04A0" w:firstRow="1" w:lastRow="0" w:firstColumn="1" w:lastColumn="0" w:noHBand="0" w:noVBand="1"/>
      </w:tblPr>
      <w:tblGrid>
        <w:gridCol w:w="1838"/>
        <w:gridCol w:w="8016"/>
      </w:tblGrid>
      <w:tr w:rsidRPr="00D75194" w:rsidR="008022BE" w:rsidTr="005C3205" w14:paraId="302BC4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36706B" w:themeFill="accent4"/>
          </w:tcPr>
          <w:p w:rsidRPr="00D75194" w:rsidR="008022BE" w:rsidRDefault="008022BE" w14:paraId="43D286BB" w14:textId="77777777">
            <w:pPr>
              <w:spacing w:before="60" w:after="60"/>
              <w:rPr>
                <w:b w:val="0"/>
                <w:bCs w:val="0"/>
              </w:rPr>
            </w:pPr>
            <w:bookmarkStart w:name="_Hlk204693186" w:id="7"/>
            <w:r w:rsidRPr="00D75194">
              <w:t>Acronym</w:t>
            </w:r>
          </w:p>
        </w:tc>
        <w:tc>
          <w:tcPr>
            <w:tcW w:w="8016" w:type="dxa"/>
            <w:shd w:val="clear" w:color="auto" w:fill="36706B" w:themeFill="accent4"/>
          </w:tcPr>
          <w:p w:rsidRPr="00D75194" w:rsidR="008022BE" w:rsidRDefault="008022BE" w14:paraId="7E8785FA" w14:textId="77777777">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D75194">
              <w:t>Definition</w:t>
            </w:r>
          </w:p>
        </w:tc>
      </w:tr>
      <w:tr w:rsidRPr="00D75194" w:rsidR="000377B2" w:rsidTr="005C3205" w14:paraId="4DFF0C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1A0D06DC" w14:textId="77777777">
            <w:pPr>
              <w:spacing w:before="60" w:after="60"/>
            </w:pPr>
            <w:r w:rsidRPr="00D75194">
              <w:t xml:space="preserve">AOSIS </w:t>
            </w:r>
          </w:p>
        </w:tc>
        <w:tc>
          <w:tcPr>
            <w:tcW w:w="8016" w:type="dxa"/>
          </w:tcPr>
          <w:p w:rsidRPr="00D75194" w:rsidR="008022BE" w:rsidRDefault="008022BE" w14:paraId="00CCDB20"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Alliance of Small Island States</w:t>
            </w:r>
          </w:p>
        </w:tc>
      </w:tr>
      <w:tr w:rsidRPr="00D75194" w:rsidR="00D44213" w:rsidTr="005C3205" w14:paraId="2D1B824B"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D44213" w:rsidRDefault="00D44213" w14:paraId="4BDF1B28" w14:textId="69CD6BEF">
            <w:pPr>
              <w:spacing w:before="60" w:after="60"/>
            </w:pPr>
            <w:r w:rsidRPr="00D75194">
              <w:t>AILAC</w:t>
            </w:r>
          </w:p>
        </w:tc>
        <w:tc>
          <w:tcPr>
            <w:tcW w:w="8016" w:type="dxa"/>
          </w:tcPr>
          <w:p w:rsidRPr="00D75194" w:rsidR="00D44213" w:rsidRDefault="002044A4" w14:paraId="4921B4A2" w14:textId="61C5E067">
            <w:pPr>
              <w:spacing w:before="60" w:after="60"/>
              <w:cnfStyle w:val="000000000000" w:firstRow="0" w:lastRow="0" w:firstColumn="0" w:lastColumn="0" w:oddVBand="0" w:evenVBand="0" w:oddHBand="0" w:evenHBand="0" w:firstRowFirstColumn="0" w:firstRowLastColumn="0" w:lastRowFirstColumn="0" w:lastRowLastColumn="0"/>
            </w:pPr>
            <w:r w:rsidRPr="00D75194">
              <w:t>Independent Association of Latin America and the Caribbean</w:t>
            </w:r>
          </w:p>
        </w:tc>
      </w:tr>
      <w:tr w:rsidRPr="00D75194" w:rsidR="000377B2" w:rsidTr="005C3205" w14:paraId="049394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37FBD675" w14:textId="77777777">
            <w:pPr>
              <w:spacing w:before="60" w:after="60"/>
            </w:pPr>
            <w:r w:rsidRPr="00D75194">
              <w:t xml:space="preserve">CaBIN </w:t>
            </w:r>
          </w:p>
        </w:tc>
        <w:tc>
          <w:tcPr>
            <w:tcW w:w="8016" w:type="dxa"/>
          </w:tcPr>
          <w:p w:rsidRPr="00D75194" w:rsidR="008022BE" w:rsidRDefault="008022BE" w14:paraId="535F2822"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Capacity Building for International Negotiations</w:t>
            </w:r>
          </w:p>
        </w:tc>
      </w:tr>
      <w:tr w:rsidRPr="00D75194" w:rsidR="008022BE" w:rsidTr="005C3205" w14:paraId="1F589CEB"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2CA8EE99" w14:textId="77777777">
            <w:pPr>
              <w:spacing w:before="60" w:after="60"/>
            </w:pPr>
            <w:r w:rsidRPr="00D75194">
              <w:t xml:space="preserve">CASA </w:t>
            </w:r>
          </w:p>
        </w:tc>
        <w:tc>
          <w:tcPr>
            <w:tcW w:w="8016" w:type="dxa"/>
          </w:tcPr>
          <w:p w:rsidRPr="00D75194" w:rsidR="008022BE" w:rsidRDefault="008022BE" w14:paraId="67D63268" w14:textId="77777777">
            <w:pPr>
              <w:spacing w:before="60" w:after="60"/>
              <w:cnfStyle w:val="000000000000" w:firstRow="0" w:lastRow="0" w:firstColumn="0" w:lastColumn="0" w:oddVBand="0" w:evenVBand="0" w:oddHBand="0" w:evenHBand="0" w:firstRowFirstColumn="0" w:firstRowLastColumn="0" w:lastRowFirstColumn="0" w:lastRowLastColumn="0"/>
            </w:pPr>
            <w:r w:rsidRPr="00D75194">
              <w:t>Climate Ambition Support Alliance</w:t>
            </w:r>
          </w:p>
        </w:tc>
      </w:tr>
      <w:tr w:rsidRPr="00D75194" w:rsidR="000377B2" w:rsidTr="005C3205" w14:paraId="4E173C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2588B4BF" w14:textId="77777777">
            <w:pPr>
              <w:spacing w:before="60" w:after="60"/>
            </w:pPr>
            <w:r w:rsidRPr="00D75194">
              <w:t xml:space="preserve">CASA II </w:t>
            </w:r>
          </w:p>
        </w:tc>
        <w:tc>
          <w:tcPr>
            <w:tcW w:w="8016" w:type="dxa"/>
          </w:tcPr>
          <w:p w:rsidRPr="00D75194" w:rsidR="008022BE" w:rsidRDefault="008022BE" w14:paraId="088AC0E8"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Climate Ambition Support Alliance Phase II</w:t>
            </w:r>
          </w:p>
        </w:tc>
      </w:tr>
      <w:tr w:rsidRPr="00D75194" w:rsidR="008022BE" w:rsidTr="005C3205" w14:paraId="63773FB8"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6C7DB6BD" w14:textId="77777777">
            <w:pPr>
              <w:spacing w:before="60" w:after="60"/>
            </w:pPr>
            <w:r w:rsidRPr="00D75194">
              <w:t xml:space="preserve">CDKN </w:t>
            </w:r>
          </w:p>
        </w:tc>
        <w:tc>
          <w:tcPr>
            <w:tcW w:w="8016" w:type="dxa"/>
          </w:tcPr>
          <w:p w:rsidRPr="00D75194" w:rsidR="008022BE" w:rsidRDefault="008022BE" w14:paraId="2DD87117" w14:textId="3D1A3F65">
            <w:pPr>
              <w:spacing w:before="60" w:after="60"/>
              <w:cnfStyle w:val="000000000000" w:firstRow="0" w:lastRow="0" w:firstColumn="0" w:lastColumn="0" w:oddVBand="0" w:evenVBand="0" w:oddHBand="0" w:evenHBand="0" w:firstRowFirstColumn="0" w:firstRowLastColumn="0" w:lastRowFirstColumn="0" w:lastRowLastColumn="0"/>
            </w:pPr>
            <w:r w:rsidRPr="00D75194">
              <w:t xml:space="preserve">Climate </w:t>
            </w:r>
            <w:r w:rsidRPr="00D75194" w:rsidR="00460577">
              <w:t xml:space="preserve">Development </w:t>
            </w:r>
            <w:r w:rsidRPr="00D75194" w:rsidR="009704B5">
              <w:t xml:space="preserve">Knowledge </w:t>
            </w:r>
            <w:r w:rsidRPr="00D75194">
              <w:t>Network</w:t>
            </w:r>
          </w:p>
        </w:tc>
      </w:tr>
      <w:tr w:rsidRPr="00D75194" w:rsidR="000377B2" w:rsidTr="005C3205" w14:paraId="60EBA0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7285E" w:rsidRDefault="0087285E" w14:paraId="46E0BAA5" w14:textId="4D81922F">
            <w:pPr>
              <w:spacing w:before="60" w:after="60"/>
            </w:pPr>
            <w:r w:rsidRPr="00D75194">
              <w:t>CIES</w:t>
            </w:r>
          </w:p>
        </w:tc>
        <w:tc>
          <w:tcPr>
            <w:tcW w:w="8016" w:type="dxa"/>
          </w:tcPr>
          <w:p w:rsidRPr="00D75194" w:rsidR="0087285E" w:rsidRDefault="006A0544" w14:paraId="3665228F" w14:textId="0FCB3FF8">
            <w:pPr>
              <w:spacing w:before="60" w:after="60"/>
              <w:cnfStyle w:val="000000100000" w:firstRow="0" w:lastRow="0" w:firstColumn="0" w:lastColumn="0" w:oddVBand="0" w:evenVBand="0" w:oddHBand="1" w:evenHBand="0" w:firstRowFirstColumn="0" w:firstRowLastColumn="0" w:lastRowFirstColumn="0" w:lastRowLastColumn="0"/>
            </w:pPr>
            <w:r w:rsidRPr="00D75194">
              <w:t>Consorcio de Investigación Económica y Social</w:t>
            </w:r>
            <w:r w:rsidRPr="00D75194" w:rsidR="00FE32A7">
              <w:t xml:space="preserve"> (Economic and Social Research Consortium)</w:t>
            </w:r>
            <w:r w:rsidRPr="00D75194">
              <w:t xml:space="preserve"> </w:t>
            </w:r>
          </w:p>
        </w:tc>
      </w:tr>
      <w:tr w:rsidRPr="00D75194" w:rsidR="001F0555" w:rsidTr="005C3205" w14:paraId="768241D8"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1F0555" w:rsidRDefault="001F0555" w14:paraId="5CD5AD3E" w14:textId="4BF6A944">
            <w:pPr>
              <w:spacing w:before="60" w:after="60"/>
            </w:pPr>
            <w:r w:rsidRPr="00D75194">
              <w:t>CLI</w:t>
            </w:r>
          </w:p>
        </w:tc>
        <w:tc>
          <w:tcPr>
            <w:tcW w:w="8016" w:type="dxa"/>
          </w:tcPr>
          <w:p w:rsidRPr="00D75194" w:rsidR="001F0555" w:rsidRDefault="001F0555" w14:paraId="0C6414E5" w14:textId="0A3F2DDA">
            <w:pPr>
              <w:spacing w:before="60" w:after="60"/>
              <w:cnfStyle w:val="000000000000" w:firstRow="0" w:lastRow="0" w:firstColumn="0" w:lastColumn="0" w:oddVBand="0" w:evenVBand="0" w:oddHBand="0" w:evenHBand="0" w:firstRowFirstColumn="0" w:firstRowLastColumn="0" w:lastRowFirstColumn="0" w:lastRowLastColumn="0"/>
            </w:pPr>
            <w:r w:rsidRPr="00D75194">
              <w:t>Climate Leadership Initiative</w:t>
            </w:r>
          </w:p>
        </w:tc>
      </w:tr>
      <w:tr w:rsidRPr="00D75194" w:rsidR="000377B2" w:rsidTr="005C3205" w14:paraId="000C84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70D450CE" w14:textId="77777777">
            <w:pPr>
              <w:spacing w:before="60" w:after="60"/>
            </w:pPr>
            <w:r w:rsidRPr="00D75194">
              <w:t xml:space="preserve">COP </w:t>
            </w:r>
          </w:p>
        </w:tc>
        <w:tc>
          <w:tcPr>
            <w:tcW w:w="8016" w:type="dxa"/>
          </w:tcPr>
          <w:p w:rsidRPr="00D75194" w:rsidR="008022BE" w:rsidRDefault="008022BE" w14:paraId="1C2CDC4F"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Conference of the Parties</w:t>
            </w:r>
          </w:p>
        </w:tc>
      </w:tr>
      <w:tr w:rsidRPr="00D75194" w:rsidR="006B6454" w:rsidTr="005C3205" w14:paraId="634664D8"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6B6454" w:rsidRDefault="006B6454" w14:paraId="55A56EE3" w14:textId="408F5499">
            <w:pPr>
              <w:spacing w:before="60" w:after="60"/>
            </w:pPr>
            <w:r>
              <w:t>CYNP</w:t>
            </w:r>
          </w:p>
        </w:tc>
        <w:tc>
          <w:tcPr>
            <w:tcW w:w="8016" w:type="dxa"/>
          </w:tcPr>
          <w:p w:rsidRPr="006B6454" w:rsidR="006B6454" w:rsidRDefault="006B6454" w14:paraId="469BD4FA" w14:textId="6D8F2DBB">
            <w:pPr>
              <w:spacing w:before="60" w:after="60"/>
              <w:cnfStyle w:val="000000000000" w:firstRow="0" w:lastRow="0" w:firstColumn="0" w:lastColumn="0" w:oddVBand="0" w:evenVBand="0" w:oddHBand="0" w:evenHBand="0" w:firstRowFirstColumn="0" w:firstRowLastColumn="0" w:lastRowFirstColumn="0" w:lastRowLastColumn="0"/>
            </w:pPr>
            <w:r w:rsidRPr="006B6454">
              <w:rPr>
                <w:rFonts w:asciiTheme="minorHAnsi" w:hAnsiTheme="minorHAnsi" w:eastAsiaTheme="minorEastAsia"/>
              </w:rPr>
              <w:t>Climate Youth Negotiator Programme</w:t>
            </w:r>
          </w:p>
        </w:tc>
      </w:tr>
      <w:tr w:rsidRPr="00D75194" w:rsidR="00FD3A35" w:rsidTr="005C3205" w14:paraId="45EC0A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B8732C" w:rsidRDefault="00B8732C" w14:paraId="67FE5104" w14:textId="358711F0">
            <w:pPr>
              <w:spacing w:before="60" w:after="60"/>
            </w:pPr>
            <w:r w:rsidRPr="00D75194">
              <w:t>DAC</w:t>
            </w:r>
          </w:p>
        </w:tc>
        <w:tc>
          <w:tcPr>
            <w:tcW w:w="8016" w:type="dxa"/>
          </w:tcPr>
          <w:p w:rsidRPr="00D75194" w:rsidR="00B8732C" w:rsidRDefault="00B8732C" w14:paraId="2276E2EB" w14:textId="67BAFD4B">
            <w:pPr>
              <w:spacing w:before="60" w:after="60"/>
              <w:cnfStyle w:val="000000100000" w:firstRow="0" w:lastRow="0" w:firstColumn="0" w:lastColumn="0" w:oddVBand="0" w:evenVBand="0" w:oddHBand="1" w:evenHBand="0" w:firstRowFirstColumn="0" w:firstRowLastColumn="0" w:lastRowFirstColumn="0" w:lastRowLastColumn="0"/>
            </w:pPr>
            <w:r w:rsidRPr="00D75194">
              <w:t>Development Assistance Committee</w:t>
            </w:r>
          </w:p>
        </w:tc>
      </w:tr>
      <w:tr w:rsidRPr="00D75194" w:rsidR="000377B2" w:rsidTr="005C3205" w14:paraId="15AA8788"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7B4C14ED" w14:textId="77777777">
            <w:pPr>
              <w:spacing w:before="60" w:after="60"/>
            </w:pPr>
            <w:r w:rsidRPr="00D75194">
              <w:t xml:space="preserve">DESNZ </w:t>
            </w:r>
          </w:p>
        </w:tc>
        <w:tc>
          <w:tcPr>
            <w:tcW w:w="8016" w:type="dxa"/>
          </w:tcPr>
          <w:p w:rsidRPr="00D75194" w:rsidR="008022BE" w:rsidRDefault="008022BE" w14:paraId="30CBCDFF" w14:textId="77777777">
            <w:pPr>
              <w:spacing w:before="60" w:after="60"/>
              <w:cnfStyle w:val="000000000000" w:firstRow="0" w:lastRow="0" w:firstColumn="0" w:lastColumn="0" w:oddVBand="0" w:evenVBand="0" w:oddHBand="0" w:evenHBand="0" w:firstRowFirstColumn="0" w:firstRowLastColumn="0" w:lastRowFirstColumn="0" w:lastRowLastColumn="0"/>
            </w:pPr>
            <w:r w:rsidRPr="00D75194">
              <w:t>Department for Energy Security and Net Zero</w:t>
            </w:r>
          </w:p>
        </w:tc>
      </w:tr>
      <w:tr w:rsidRPr="00D75194" w:rsidR="00EF4ACF" w:rsidTr="005C3205" w14:paraId="3C3F27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564765" w:rsidRDefault="00564765" w14:paraId="153ED782" w14:textId="76770B60">
            <w:pPr>
              <w:spacing w:before="60" w:after="60"/>
            </w:pPr>
            <w:r w:rsidRPr="00D75194">
              <w:t>EQ</w:t>
            </w:r>
          </w:p>
        </w:tc>
        <w:tc>
          <w:tcPr>
            <w:tcW w:w="8016" w:type="dxa"/>
          </w:tcPr>
          <w:p w:rsidRPr="00D75194" w:rsidR="00564765" w:rsidRDefault="00564765" w14:paraId="26DE6115" w14:textId="7C2CEA33">
            <w:pPr>
              <w:spacing w:before="60" w:after="60"/>
              <w:cnfStyle w:val="000000100000" w:firstRow="0" w:lastRow="0" w:firstColumn="0" w:lastColumn="0" w:oddVBand="0" w:evenVBand="0" w:oddHBand="1" w:evenHBand="0" w:firstRowFirstColumn="0" w:firstRowLastColumn="0" w:lastRowFirstColumn="0" w:lastRowLastColumn="0"/>
            </w:pPr>
            <w:r w:rsidRPr="00D75194">
              <w:t xml:space="preserve">Evaluation </w:t>
            </w:r>
            <w:r w:rsidRPr="00D75194" w:rsidR="00FD10BF">
              <w:t>question</w:t>
            </w:r>
          </w:p>
        </w:tc>
      </w:tr>
      <w:tr w:rsidRPr="00D75194" w:rsidR="000377B2" w:rsidTr="005C3205" w14:paraId="1C3125CA"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260AB8" w:rsidRDefault="00260AB8" w14:paraId="1BABD418" w14:textId="2CE764F6">
            <w:pPr>
              <w:spacing w:before="60" w:after="60"/>
            </w:pPr>
            <w:r w:rsidRPr="00D75194">
              <w:t>FCDO</w:t>
            </w:r>
          </w:p>
        </w:tc>
        <w:tc>
          <w:tcPr>
            <w:tcW w:w="8016" w:type="dxa"/>
          </w:tcPr>
          <w:p w:rsidRPr="00D75194" w:rsidR="00260AB8" w:rsidRDefault="00260AB8" w14:paraId="29F44CC0" w14:textId="0496E4F5">
            <w:pPr>
              <w:spacing w:before="60" w:after="60"/>
              <w:cnfStyle w:val="000000000000" w:firstRow="0" w:lastRow="0" w:firstColumn="0" w:lastColumn="0" w:oddVBand="0" w:evenVBand="0" w:oddHBand="0" w:evenHBand="0" w:firstRowFirstColumn="0" w:firstRowLastColumn="0" w:lastRowFirstColumn="0" w:lastRowLastColumn="0"/>
            </w:pPr>
            <w:r w:rsidRPr="00D75194">
              <w:t>UK Foreign, Commonwealth and Development Office</w:t>
            </w:r>
          </w:p>
        </w:tc>
      </w:tr>
      <w:tr w:rsidR="5AB1CECC" w:rsidTr="005C3205" w14:paraId="125FA4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rsidR="6672D6EA" w:rsidP="5AB1CECC" w:rsidRDefault="6672D6EA" w14:paraId="64F00828" w14:textId="44D5D309">
            <w:r>
              <w:t>GEF</w:t>
            </w:r>
          </w:p>
        </w:tc>
        <w:tc>
          <w:tcPr>
            <w:tcW w:w="8016" w:type="dxa"/>
          </w:tcPr>
          <w:p w:rsidR="6672D6EA" w:rsidP="5AB1CECC" w:rsidRDefault="6672D6EA" w14:paraId="6C1AFD42" w14:textId="1896C1EA">
            <w:pPr>
              <w:cnfStyle w:val="000000100000" w:firstRow="0" w:lastRow="0" w:firstColumn="0" w:lastColumn="0" w:oddVBand="0" w:evenVBand="0" w:oddHBand="1" w:evenHBand="0" w:firstRowFirstColumn="0" w:firstRowLastColumn="0" w:lastRowFirstColumn="0" w:lastRowLastColumn="0"/>
            </w:pPr>
            <w:r>
              <w:t xml:space="preserve">Global Environment Facility </w:t>
            </w:r>
          </w:p>
        </w:tc>
      </w:tr>
      <w:tr w:rsidRPr="00D75194" w:rsidR="000377B2" w:rsidTr="005C3205" w14:paraId="60F44A32"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3A3CC2" w:rsidRDefault="003A3CC2" w14:paraId="0BF76DBA" w14:textId="46DBE0CF">
            <w:pPr>
              <w:spacing w:before="60" w:after="60"/>
            </w:pPr>
            <w:r w:rsidRPr="00D75194">
              <w:t>GESI</w:t>
            </w:r>
          </w:p>
        </w:tc>
        <w:tc>
          <w:tcPr>
            <w:tcW w:w="8016" w:type="dxa"/>
          </w:tcPr>
          <w:p w:rsidRPr="00D75194" w:rsidR="00D420E0" w:rsidRDefault="003A3CC2" w14:paraId="2E3922AE" w14:textId="5A87FD00">
            <w:pPr>
              <w:spacing w:before="60" w:after="60"/>
              <w:cnfStyle w:val="000000000000" w:firstRow="0" w:lastRow="0" w:firstColumn="0" w:lastColumn="0" w:oddVBand="0" w:evenVBand="0" w:oddHBand="0" w:evenHBand="0" w:firstRowFirstColumn="0" w:firstRowLastColumn="0" w:lastRowFirstColumn="0" w:lastRowLastColumn="0"/>
            </w:pPr>
            <w:r w:rsidRPr="00D75194">
              <w:t>Gender</w:t>
            </w:r>
            <w:r w:rsidRPr="00D75194" w:rsidR="00D420E0">
              <w:t xml:space="preserve"> </w:t>
            </w:r>
            <w:r w:rsidRPr="00D75194" w:rsidR="00FD10BF">
              <w:t>e</w:t>
            </w:r>
            <w:r w:rsidRPr="00D75194" w:rsidR="00D420E0">
              <w:t xml:space="preserve">quality and </w:t>
            </w:r>
            <w:r w:rsidRPr="00D75194" w:rsidR="00FD10BF">
              <w:t>s</w:t>
            </w:r>
            <w:r w:rsidRPr="00D75194" w:rsidR="00D420E0">
              <w:t xml:space="preserve">ocial </w:t>
            </w:r>
            <w:r w:rsidRPr="00D75194" w:rsidR="00FD10BF">
              <w:t>i</w:t>
            </w:r>
            <w:r w:rsidRPr="00D75194" w:rsidR="00D420E0">
              <w:t>nclusion</w:t>
            </w:r>
          </w:p>
        </w:tc>
      </w:tr>
      <w:tr w:rsidRPr="00D75194" w:rsidR="00EF4ACF" w:rsidTr="005C3205" w14:paraId="260221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2644B7F5" w14:textId="77777777">
            <w:pPr>
              <w:spacing w:before="60" w:after="60"/>
            </w:pPr>
            <w:r w:rsidRPr="00D75194">
              <w:t xml:space="preserve">HAC </w:t>
            </w:r>
          </w:p>
        </w:tc>
        <w:tc>
          <w:tcPr>
            <w:tcW w:w="8016" w:type="dxa"/>
          </w:tcPr>
          <w:p w:rsidRPr="00D75194" w:rsidR="008022BE" w:rsidRDefault="008022BE" w14:paraId="35520121"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High Ambition Coalition</w:t>
            </w:r>
          </w:p>
        </w:tc>
      </w:tr>
      <w:tr w:rsidRPr="00D75194" w:rsidR="003A7553" w:rsidTr="005C3205" w14:paraId="634A59C1"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7285E" w:rsidRDefault="0087285E" w14:paraId="2CBC17F1" w14:textId="403B8336">
            <w:pPr>
              <w:spacing w:before="60" w:after="60"/>
            </w:pPr>
            <w:r w:rsidRPr="00D75194">
              <w:t>ICCCAD</w:t>
            </w:r>
          </w:p>
        </w:tc>
        <w:tc>
          <w:tcPr>
            <w:tcW w:w="8016" w:type="dxa"/>
          </w:tcPr>
          <w:p w:rsidRPr="00D75194" w:rsidR="0087285E" w:rsidRDefault="00F63693" w14:paraId="46EF3ED5" w14:textId="05A727B6">
            <w:pPr>
              <w:spacing w:before="60" w:after="60"/>
              <w:cnfStyle w:val="000000000000" w:firstRow="0" w:lastRow="0" w:firstColumn="0" w:lastColumn="0" w:oddVBand="0" w:evenVBand="0" w:oddHBand="0" w:evenHBand="0" w:firstRowFirstColumn="0" w:firstRowLastColumn="0" w:lastRowFirstColumn="0" w:lastRowLastColumn="0"/>
            </w:pPr>
            <w:r w:rsidRPr="00D75194">
              <w:t>International Centre for Climate Change and Development</w:t>
            </w:r>
          </w:p>
        </w:tc>
      </w:tr>
      <w:tr w:rsidRPr="00D75194" w:rsidR="00EF4ACF" w:rsidTr="005C3205" w14:paraId="1E3B94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E01DBA" w14:paraId="3AD12B1A" w14:textId="180ADA60">
            <w:pPr>
              <w:spacing w:before="60" w:after="60"/>
            </w:pPr>
            <w:r w:rsidRPr="00D75194">
              <w:t>ICF</w:t>
            </w:r>
          </w:p>
        </w:tc>
        <w:tc>
          <w:tcPr>
            <w:tcW w:w="8016" w:type="dxa"/>
          </w:tcPr>
          <w:p w:rsidRPr="00D75194" w:rsidR="008022BE" w:rsidRDefault="00E01DBA" w14:paraId="056F69D4" w14:textId="736857EF">
            <w:pPr>
              <w:spacing w:before="60" w:after="60"/>
              <w:cnfStyle w:val="000000100000" w:firstRow="0" w:lastRow="0" w:firstColumn="0" w:lastColumn="0" w:oddVBand="0" w:evenVBand="0" w:oddHBand="1" w:evenHBand="0" w:firstRowFirstColumn="0" w:firstRowLastColumn="0" w:lastRowFirstColumn="0" w:lastRowLastColumn="0"/>
            </w:pPr>
            <w:r w:rsidRPr="00D75194">
              <w:t xml:space="preserve">International </w:t>
            </w:r>
            <w:r w:rsidRPr="00D75194" w:rsidR="004A685F">
              <w:t>c</w:t>
            </w:r>
            <w:r w:rsidRPr="00D75194">
              <w:t xml:space="preserve">limate </w:t>
            </w:r>
            <w:r w:rsidRPr="00D75194" w:rsidR="004A685F">
              <w:t>f</w:t>
            </w:r>
            <w:r w:rsidRPr="00D75194">
              <w:t>inance</w:t>
            </w:r>
          </w:p>
        </w:tc>
      </w:tr>
      <w:tr w:rsidRPr="00D75194" w:rsidR="000377B2" w:rsidTr="005C3205" w14:paraId="21913646"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6EB42C5A" w14:textId="77777777">
            <w:pPr>
              <w:spacing w:before="60" w:after="60"/>
            </w:pPr>
            <w:r w:rsidRPr="00D75194">
              <w:t xml:space="preserve">IIED </w:t>
            </w:r>
          </w:p>
        </w:tc>
        <w:tc>
          <w:tcPr>
            <w:tcW w:w="8016" w:type="dxa"/>
          </w:tcPr>
          <w:p w:rsidRPr="00D75194" w:rsidR="008022BE" w:rsidRDefault="008022BE" w14:paraId="11165A41" w14:textId="77777777">
            <w:pPr>
              <w:spacing w:before="60" w:after="60"/>
              <w:cnfStyle w:val="000000000000" w:firstRow="0" w:lastRow="0" w:firstColumn="0" w:lastColumn="0" w:oddVBand="0" w:evenVBand="0" w:oddHBand="0" w:evenHBand="0" w:firstRowFirstColumn="0" w:firstRowLastColumn="0" w:lastRowFirstColumn="0" w:lastRowLastColumn="0"/>
            </w:pPr>
            <w:r w:rsidRPr="00D75194">
              <w:t>International Institute for Environment and Development</w:t>
            </w:r>
          </w:p>
        </w:tc>
      </w:tr>
      <w:tr w:rsidRPr="00D75194" w:rsidR="00FD3A35" w:rsidTr="005C3205" w14:paraId="2DB216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5ADBD9EB" w14:textId="77777777">
            <w:pPr>
              <w:spacing w:before="60" w:after="60"/>
            </w:pPr>
            <w:r w:rsidRPr="00D75194">
              <w:t xml:space="preserve">IPCC </w:t>
            </w:r>
          </w:p>
        </w:tc>
        <w:tc>
          <w:tcPr>
            <w:tcW w:w="8016" w:type="dxa"/>
          </w:tcPr>
          <w:p w:rsidRPr="00D75194" w:rsidR="008022BE" w:rsidRDefault="008022BE" w14:paraId="3F43F8F1"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Intergovernmental Panel on Climate Change</w:t>
            </w:r>
          </w:p>
        </w:tc>
      </w:tr>
      <w:tr w:rsidRPr="00D75194" w:rsidR="000377B2" w:rsidTr="005C3205" w14:paraId="6A15AC4F"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A2641E" w:rsidRDefault="003849E8" w14:paraId="1FBFB789" w14:textId="349C43A7">
            <w:pPr>
              <w:spacing w:before="60" w:after="60"/>
            </w:pPr>
            <w:r w:rsidRPr="00D75194">
              <w:t>KII</w:t>
            </w:r>
          </w:p>
        </w:tc>
        <w:tc>
          <w:tcPr>
            <w:tcW w:w="8016" w:type="dxa"/>
          </w:tcPr>
          <w:p w:rsidRPr="00D75194" w:rsidR="00A2641E" w:rsidRDefault="00A2641E" w14:paraId="18F0D485" w14:textId="10B2ED71">
            <w:pPr>
              <w:spacing w:before="60" w:after="60"/>
              <w:cnfStyle w:val="000000000000" w:firstRow="0" w:lastRow="0" w:firstColumn="0" w:lastColumn="0" w:oddVBand="0" w:evenVBand="0" w:oddHBand="0" w:evenHBand="0" w:firstRowFirstColumn="0" w:firstRowLastColumn="0" w:lastRowFirstColumn="0" w:lastRowLastColumn="0"/>
            </w:pPr>
            <w:r w:rsidRPr="00D75194">
              <w:t xml:space="preserve">Key </w:t>
            </w:r>
            <w:r w:rsidRPr="00D75194" w:rsidR="00FD10BF">
              <w:t>i</w:t>
            </w:r>
            <w:r w:rsidRPr="00D75194">
              <w:t xml:space="preserve">nformant </w:t>
            </w:r>
            <w:r w:rsidRPr="00D75194" w:rsidR="00FD10BF">
              <w:t>i</w:t>
            </w:r>
            <w:r w:rsidRPr="00D75194">
              <w:t>nterview</w:t>
            </w:r>
          </w:p>
        </w:tc>
      </w:tr>
      <w:tr w:rsidRPr="00D75194" w:rsidR="00FD3A35" w:rsidTr="005C3205" w14:paraId="3DBD9E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A40DBB" w:rsidRDefault="00A40DBB" w14:paraId="129D757B" w14:textId="6BF5F927">
            <w:pPr>
              <w:spacing w:before="60" w:after="60"/>
            </w:pPr>
            <w:r w:rsidRPr="00D75194">
              <w:t>KPI</w:t>
            </w:r>
          </w:p>
        </w:tc>
        <w:tc>
          <w:tcPr>
            <w:tcW w:w="8016" w:type="dxa"/>
          </w:tcPr>
          <w:p w:rsidRPr="00D75194" w:rsidR="00A40DBB" w:rsidRDefault="00A40DBB" w14:paraId="3DB0ABDA" w14:textId="1370FF54">
            <w:pPr>
              <w:spacing w:before="60" w:after="60"/>
              <w:cnfStyle w:val="000000100000" w:firstRow="0" w:lastRow="0" w:firstColumn="0" w:lastColumn="0" w:oddVBand="0" w:evenVBand="0" w:oddHBand="1" w:evenHBand="0" w:firstRowFirstColumn="0" w:firstRowLastColumn="0" w:lastRowFirstColumn="0" w:lastRowLastColumn="0"/>
            </w:pPr>
            <w:r w:rsidRPr="00D75194">
              <w:t xml:space="preserve">Key </w:t>
            </w:r>
            <w:r w:rsidRPr="00D75194" w:rsidR="00FD10BF">
              <w:t>p</w:t>
            </w:r>
            <w:r w:rsidRPr="00D75194">
              <w:t xml:space="preserve">erformance </w:t>
            </w:r>
            <w:r w:rsidRPr="00D75194" w:rsidR="00FD10BF">
              <w:t>i</w:t>
            </w:r>
            <w:r w:rsidRPr="00D75194">
              <w:t>ndicator</w:t>
            </w:r>
          </w:p>
        </w:tc>
      </w:tr>
      <w:tr w:rsidRPr="00D75194" w:rsidR="003A7553" w:rsidTr="005C3205" w14:paraId="6F295CEB"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260AB8" w:rsidRDefault="00260AB8" w14:paraId="7ED3D656" w14:textId="5FEB27DE">
            <w:pPr>
              <w:spacing w:before="60" w:after="60"/>
            </w:pPr>
            <w:r w:rsidRPr="00D75194">
              <w:t>LAPA</w:t>
            </w:r>
          </w:p>
        </w:tc>
        <w:tc>
          <w:tcPr>
            <w:tcW w:w="8016" w:type="dxa"/>
          </w:tcPr>
          <w:p w:rsidRPr="00D75194" w:rsidR="00260AB8" w:rsidRDefault="00260AB8" w14:paraId="1FD2A5A5" w14:textId="43615B5A">
            <w:pPr>
              <w:spacing w:before="60" w:after="60"/>
              <w:cnfStyle w:val="000000000000" w:firstRow="0" w:lastRow="0" w:firstColumn="0" w:lastColumn="0" w:oddVBand="0" w:evenVBand="0" w:oddHBand="0" w:evenHBand="0" w:firstRowFirstColumn="0" w:firstRowLastColumn="0" w:lastRowFirstColumn="0" w:lastRowLastColumn="0"/>
            </w:pPr>
            <w:r w:rsidRPr="00D75194">
              <w:t>Local Adaptation Plan of Action</w:t>
            </w:r>
          </w:p>
        </w:tc>
      </w:tr>
      <w:tr w:rsidRPr="00D75194" w:rsidR="00FD3A35" w:rsidTr="005C3205" w14:paraId="03354D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242793F1" w14:textId="77777777">
            <w:pPr>
              <w:spacing w:before="60" w:after="60"/>
            </w:pPr>
            <w:r w:rsidRPr="00D75194">
              <w:t xml:space="preserve">LDC </w:t>
            </w:r>
          </w:p>
        </w:tc>
        <w:tc>
          <w:tcPr>
            <w:tcW w:w="8016" w:type="dxa"/>
          </w:tcPr>
          <w:p w:rsidRPr="00D75194" w:rsidR="008022BE" w:rsidRDefault="008022BE" w14:paraId="1D633D59" w14:textId="7BB357A1">
            <w:pPr>
              <w:spacing w:before="60" w:after="60"/>
              <w:cnfStyle w:val="000000100000" w:firstRow="0" w:lastRow="0" w:firstColumn="0" w:lastColumn="0" w:oddVBand="0" w:evenVBand="0" w:oddHBand="1" w:evenHBand="0" w:firstRowFirstColumn="0" w:firstRowLastColumn="0" w:lastRowFirstColumn="0" w:lastRowLastColumn="0"/>
            </w:pPr>
            <w:r w:rsidRPr="00D75194">
              <w:t xml:space="preserve">Least </w:t>
            </w:r>
            <w:r w:rsidRPr="00D75194" w:rsidR="00E82CFD">
              <w:t>d</w:t>
            </w:r>
            <w:r w:rsidRPr="00D75194">
              <w:t xml:space="preserve">eveloped </w:t>
            </w:r>
            <w:r w:rsidRPr="00D75194" w:rsidR="00E82CFD">
              <w:t>c</w:t>
            </w:r>
            <w:r w:rsidRPr="00D75194" w:rsidR="00B73902">
              <w:t>ountry</w:t>
            </w:r>
          </w:p>
        </w:tc>
      </w:tr>
      <w:tr w:rsidRPr="00D75194" w:rsidR="003A7553" w:rsidTr="005C3205" w14:paraId="0CDBAF9E"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2ED9139C" w14:textId="77777777">
            <w:pPr>
              <w:spacing w:before="60" w:after="60"/>
            </w:pPr>
            <w:r w:rsidRPr="00D75194">
              <w:t xml:space="preserve">LEP </w:t>
            </w:r>
          </w:p>
        </w:tc>
        <w:tc>
          <w:tcPr>
            <w:tcW w:w="8016" w:type="dxa"/>
          </w:tcPr>
          <w:p w:rsidRPr="00D75194" w:rsidR="008022BE" w:rsidRDefault="008022BE" w14:paraId="58D20A22" w14:textId="7DC06116">
            <w:pPr>
              <w:spacing w:before="60" w:after="60"/>
              <w:cnfStyle w:val="000000000000" w:firstRow="0" w:lastRow="0" w:firstColumn="0" w:lastColumn="0" w:oddVBand="0" w:evenVBand="0" w:oddHBand="0" w:evenHBand="0" w:firstRowFirstColumn="0" w:firstRowLastColumn="0" w:lastRowFirstColumn="0" w:lastRowLastColumn="0"/>
            </w:pPr>
            <w:r w:rsidRPr="00D75194">
              <w:t>Learning and Evaluation Partner</w:t>
            </w:r>
          </w:p>
        </w:tc>
      </w:tr>
      <w:tr w:rsidRPr="00D75194" w:rsidR="00FD3A35" w:rsidTr="005C3205" w14:paraId="056C1E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8022BE" w14:paraId="6C97AE47" w14:textId="77777777">
            <w:pPr>
              <w:spacing w:before="60" w:after="60"/>
            </w:pPr>
            <w:r w:rsidRPr="00D75194">
              <w:t xml:space="preserve">LRI </w:t>
            </w:r>
          </w:p>
        </w:tc>
        <w:tc>
          <w:tcPr>
            <w:tcW w:w="8016" w:type="dxa"/>
          </w:tcPr>
          <w:p w:rsidRPr="00D75194" w:rsidR="008022BE" w:rsidRDefault="008022BE" w14:paraId="1205D940"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Legal Response International</w:t>
            </w:r>
          </w:p>
        </w:tc>
      </w:tr>
      <w:tr w:rsidRPr="00D75194" w:rsidR="003A7553" w:rsidTr="005C3205" w14:paraId="5634B4E7"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75023" w:rsidRDefault="00875023" w14:paraId="0E0E3235" w14:textId="65BA5A89">
            <w:pPr>
              <w:spacing w:before="60" w:after="60"/>
            </w:pPr>
            <w:r w:rsidRPr="00D75194">
              <w:t>M&amp;E</w:t>
            </w:r>
          </w:p>
        </w:tc>
        <w:tc>
          <w:tcPr>
            <w:tcW w:w="8016" w:type="dxa"/>
          </w:tcPr>
          <w:p w:rsidRPr="00D75194" w:rsidR="00875023" w:rsidRDefault="00875023" w14:paraId="51A8DD0A" w14:textId="3E42DA4E">
            <w:pPr>
              <w:spacing w:before="60" w:after="60"/>
              <w:cnfStyle w:val="000000000000" w:firstRow="0" w:lastRow="0" w:firstColumn="0" w:lastColumn="0" w:oddVBand="0" w:evenVBand="0" w:oddHBand="0" w:evenHBand="0" w:firstRowFirstColumn="0" w:firstRowLastColumn="0" w:lastRowFirstColumn="0" w:lastRowLastColumn="0"/>
            </w:pPr>
            <w:r w:rsidRPr="00D75194">
              <w:t>Monitoring and evaluation</w:t>
            </w:r>
          </w:p>
        </w:tc>
      </w:tr>
      <w:tr w:rsidRPr="00D75194" w:rsidR="00EF4ACF" w:rsidTr="005C3205" w14:paraId="330453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B7109C" w:rsidRDefault="00B7109C" w14:paraId="181701FF" w14:textId="5365959A">
            <w:pPr>
              <w:spacing w:before="60" w:after="60"/>
            </w:pPr>
            <w:r w:rsidRPr="00D75194">
              <w:t>MEL</w:t>
            </w:r>
          </w:p>
        </w:tc>
        <w:tc>
          <w:tcPr>
            <w:tcW w:w="8016" w:type="dxa"/>
          </w:tcPr>
          <w:p w:rsidRPr="00D75194" w:rsidR="00B7109C" w:rsidRDefault="00B7109C" w14:paraId="45B45A98" w14:textId="1841A58C">
            <w:pPr>
              <w:spacing w:before="60" w:after="60"/>
              <w:cnfStyle w:val="000000100000" w:firstRow="0" w:lastRow="0" w:firstColumn="0" w:lastColumn="0" w:oddVBand="0" w:evenVBand="0" w:oddHBand="1" w:evenHBand="0" w:firstRowFirstColumn="0" w:firstRowLastColumn="0" w:lastRowFirstColumn="0" w:lastRowLastColumn="0"/>
            </w:pPr>
            <w:r w:rsidRPr="00D75194">
              <w:t xml:space="preserve">Monitoring, </w:t>
            </w:r>
            <w:r w:rsidRPr="00D75194" w:rsidR="00E82CFD">
              <w:t>e</w:t>
            </w:r>
            <w:r w:rsidRPr="00D75194">
              <w:t xml:space="preserve">valuation and </w:t>
            </w:r>
            <w:r w:rsidRPr="00D75194" w:rsidR="00E82CFD">
              <w:t>l</w:t>
            </w:r>
            <w:r w:rsidRPr="00D75194">
              <w:t>earning</w:t>
            </w:r>
          </w:p>
        </w:tc>
      </w:tr>
      <w:tr w:rsidRPr="00D75194" w:rsidR="003A7553" w:rsidTr="005C3205" w14:paraId="1A34C766"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8022BE" w:rsidRDefault="00C21735" w14:paraId="1FE1B60E" w14:textId="29789DB0">
            <w:pPr>
              <w:spacing w:before="60" w:after="60"/>
            </w:pPr>
            <w:r w:rsidRPr="00D75194">
              <w:t>NCQG</w:t>
            </w:r>
          </w:p>
        </w:tc>
        <w:tc>
          <w:tcPr>
            <w:tcW w:w="8016" w:type="dxa"/>
          </w:tcPr>
          <w:p w:rsidRPr="00D75194" w:rsidR="008022BE" w:rsidRDefault="00C21735" w14:paraId="3111FD72" w14:textId="13463AC3">
            <w:pPr>
              <w:spacing w:before="60" w:after="60"/>
              <w:cnfStyle w:val="000000000000" w:firstRow="0" w:lastRow="0" w:firstColumn="0" w:lastColumn="0" w:oddVBand="0" w:evenVBand="0" w:oddHBand="0" w:evenHBand="0" w:firstRowFirstColumn="0" w:firstRowLastColumn="0" w:lastRowFirstColumn="0" w:lastRowLastColumn="0"/>
            </w:pPr>
            <w:r w:rsidRPr="00D75194">
              <w:t xml:space="preserve">New Collective Quantified Goal </w:t>
            </w:r>
          </w:p>
        </w:tc>
      </w:tr>
      <w:tr w:rsidRPr="00D75194" w:rsidR="00EF4ACF" w:rsidTr="005C3205" w14:paraId="2417E4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D75F4C" w:rsidRDefault="00D75F4C" w14:paraId="5967DF01" w14:textId="203F6F27">
            <w:pPr>
              <w:spacing w:before="60" w:after="60"/>
            </w:pPr>
            <w:r w:rsidRPr="00D75194">
              <w:t>NDCs</w:t>
            </w:r>
          </w:p>
        </w:tc>
        <w:tc>
          <w:tcPr>
            <w:tcW w:w="8016" w:type="dxa"/>
          </w:tcPr>
          <w:p w:rsidRPr="00D75194" w:rsidR="00D75F4C" w:rsidRDefault="00D75F4C" w14:paraId="00E31E8E" w14:textId="5CD6ECCD">
            <w:pPr>
              <w:spacing w:before="60" w:after="60"/>
              <w:cnfStyle w:val="000000100000" w:firstRow="0" w:lastRow="0" w:firstColumn="0" w:lastColumn="0" w:oddVBand="0" w:evenVBand="0" w:oddHBand="1" w:evenHBand="0" w:firstRowFirstColumn="0" w:firstRowLastColumn="0" w:lastRowFirstColumn="0" w:lastRowLastColumn="0"/>
            </w:pPr>
            <w:r w:rsidRPr="00D75194">
              <w:t>Nationally Determined Contributions</w:t>
            </w:r>
          </w:p>
        </w:tc>
      </w:tr>
      <w:tr w:rsidRPr="00D75194" w:rsidR="003A7553" w:rsidTr="005C3205" w14:paraId="2FFF9F78"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7F131F" w:rsidRDefault="007F131F" w14:paraId="0EB76493" w14:textId="0BF779CD">
            <w:pPr>
              <w:spacing w:before="60" w:after="60"/>
            </w:pPr>
            <w:r w:rsidRPr="00D75194">
              <w:t>NGP</w:t>
            </w:r>
          </w:p>
        </w:tc>
        <w:tc>
          <w:tcPr>
            <w:tcW w:w="8016" w:type="dxa"/>
          </w:tcPr>
          <w:p w:rsidRPr="00D75194" w:rsidR="007F131F" w:rsidRDefault="007F131F" w14:paraId="2C9A2163" w14:textId="7D42EFD3">
            <w:pPr>
              <w:spacing w:before="60" w:after="60"/>
              <w:cnfStyle w:val="000000000000" w:firstRow="0" w:lastRow="0" w:firstColumn="0" w:lastColumn="0" w:oddVBand="0" w:evenVBand="0" w:oddHBand="0" w:evenHBand="0" w:firstRowFirstColumn="0" w:firstRowLastColumn="0" w:lastRowFirstColumn="0" w:lastRowLastColumn="0"/>
            </w:pPr>
            <w:r w:rsidRPr="00D75194">
              <w:t xml:space="preserve">New Generation Programme </w:t>
            </w:r>
          </w:p>
        </w:tc>
      </w:tr>
      <w:tr w:rsidRPr="00D75194" w:rsidR="00FD3A35" w:rsidTr="005C3205" w14:paraId="233913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982080" w:rsidP="00982080" w:rsidRDefault="00982080" w14:paraId="35BDB8BE" w14:textId="1338CFAF">
            <w:pPr>
              <w:spacing w:before="60" w:after="60"/>
            </w:pPr>
            <w:r w:rsidRPr="00D75194">
              <w:t xml:space="preserve">ODI </w:t>
            </w:r>
          </w:p>
        </w:tc>
        <w:tc>
          <w:tcPr>
            <w:tcW w:w="8016" w:type="dxa"/>
          </w:tcPr>
          <w:p w:rsidRPr="00D75194" w:rsidR="00982080" w:rsidP="00982080" w:rsidRDefault="00982080" w14:paraId="4A65173B" w14:textId="05842885">
            <w:pPr>
              <w:spacing w:before="60" w:after="60"/>
              <w:cnfStyle w:val="000000100000" w:firstRow="0" w:lastRow="0" w:firstColumn="0" w:lastColumn="0" w:oddVBand="0" w:evenVBand="0" w:oddHBand="1" w:evenHBand="0" w:firstRowFirstColumn="0" w:firstRowLastColumn="0" w:lastRowFirstColumn="0" w:lastRowLastColumn="0"/>
            </w:pPr>
            <w:r w:rsidRPr="00D75194">
              <w:t>Overseas Development Institute</w:t>
            </w:r>
          </w:p>
        </w:tc>
      </w:tr>
      <w:tr w:rsidRPr="00D75194" w:rsidR="000377B2" w:rsidTr="005C3205" w14:paraId="4AAECD72"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982080" w:rsidP="00982080" w:rsidRDefault="00982080" w14:paraId="5FBAFE0A" w14:textId="28DB57C2">
            <w:pPr>
              <w:spacing w:before="60" w:after="60"/>
            </w:pPr>
            <w:r w:rsidRPr="00D75194">
              <w:t xml:space="preserve">OECD </w:t>
            </w:r>
          </w:p>
        </w:tc>
        <w:tc>
          <w:tcPr>
            <w:tcW w:w="8016" w:type="dxa"/>
          </w:tcPr>
          <w:p w:rsidRPr="00D75194" w:rsidR="00982080" w:rsidP="00982080" w:rsidRDefault="00982080" w14:paraId="23B0A4CB" w14:textId="01C27962">
            <w:pPr>
              <w:spacing w:before="60" w:after="60"/>
              <w:cnfStyle w:val="000000000000" w:firstRow="0" w:lastRow="0" w:firstColumn="0" w:lastColumn="0" w:oddVBand="0" w:evenVBand="0" w:oddHBand="0" w:evenHBand="0" w:firstRowFirstColumn="0" w:firstRowLastColumn="0" w:lastRowFirstColumn="0" w:lastRowLastColumn="0"/>
            </w:pPr>
            <w:r w:rsidRPr="00D75194">
              <w:rPr>
                <w:rFonts w:asciiTheme="minorHAnsi" w:hAnsiTheme="minorHAnsi" w:cstheme="minorHAnsi"/>
              </w:rPr>
              <w:t xml:space="preserve">Organisation for Economic Co-operation and Development </w:t>
            </w:r>
          </w:p>
        </w:tc>
      </w:tr>
      <w:tr w:rsidRPr="00D75194" w:rsidR="00FD3A35" w:rsidTr="005C3205" w14:paraId="465519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982080" w:rsidP="00982080" w:rsidRDefault="00982080" w14:paraId="77099D8F" w14:textId="4282ADDC">
            <w:pPr>
              <w:spacing w:before="60" w:after="60"/>
            </w:pPr>
            <w:r w:rsidRPr="00D75194">
              <w:t>OF</w:t>
            </w:r>
          </w:p>
        </w:tc>
        <w:tc>
          <w:tcPr>
            <w:tcW w:w="8016" w:type="dxa"/>
          </w:tcPr>
          <w:p w:rsidRPr="00D75194" w:rsidR="00982080" w:rsidP="00982080" w:rsidRDefault="00982080" w14:paraId="46EE7D98" w14:textId="0E1D700B">
            <w:pPr>
              <w:spacing w:before="60" w:after="60"/>
              <w:cnfStyle w:val="000000100000" w:firstRow="0" w:lastRow="0" w:firstColumn="0" w:lastColumn="0" w:oddVBand="0" w:evenVBand="0" w:oddHBand="1" w:evenHBand="0" w:firstRowFirstColumn="0" w:firstRowLastColumn="0" w:lastRowFirstColumn="0" w:lastRowLastColumn="0"/>
            </w:pPr>
            <w:r w:rsidRPr="00D75194">
              <w:t>Opportunity Fund</w:t>
            </w:r>
          </w:p>
        </w:tc>
      </w:tr>
      <w:tr w:rsidRPr="00D75194" w:rsidR="000377B2" w:rsidTr="005C3205" w14:paraId="3F854435"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FD6DD0" w:rsidP="00982080" w:rsidRDefault="00337C2D" w14:paraId="34FFDF9D" w14:textId="038E1A3D">
            <w:pPr>
              <w:spacing w:before="60" w:after="60"/>
            </w:pPr>
            <w:r w:rsidRPr="00D75194">
              <w:t>OPM</w:t>
            </w:r>
          </w:p>
        </w:tc>
        <w:tc>
          <w:tcPr>
            <w:tcW w:w="8016" w:type="dxa"/>
          </w:tcPr>
          <w:p w:rsidRPr="00D75194" w:rsidR="00FD6DD0" w:rsidP="00982080" w:rsidRDefault="00337C2D" w14:paraId="57324B72" w14:textId="7D915672">
            <w:pPr>
              <w:spacing w:before="60" w:after="60"/>
              <w:cnfStyle w:val="000000000000" w:firstRow="0" w:lastRow="0" w:firstColumn="0" w:lastColumn="0" w:oddVBand="0" w:evenVBand="0" w:oddHBand="0" w:evenHBand="0" w:firstRowFirstColumn="0" w:firstRowLastColumn="0" w:lastRowFirstColumn="0" w:lastRowLastColumn="0"/>
            </w:pPr>
            <w:r w:rsidRPr="00D75194">
              <w:t>Oxford Policy Management</w:t>
            </w:r>
          </w:p>
        </w:tc>
      </w:tr>
      <w:tr w:rsidRPr="00D75194" w:rsidR="00FD3A35" w:rsidTr="005C3205" w14:paraId="6E9AD6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136A73" w:rsidP="00982080" w:rsidRDefault="00136A73" w14:paraId="2BED5A37" w14:textId="6F6851E9">
            <w:pPr>
              <w:spacing w:before="60" w:after="60"/>
            </w:pPr>
            <w:r w:rsidRPr="00D75194">
              <w:t>RMI</w:t>
            </w:r>
          </w:p>
        </w:tc>
        <w:tc>
          <w:tcPr>
            <w:tcW w:w="8016" w:type="dxa"/>
          </w:tcPr>
          <w:p w:rsidRPr="00D75194" w:rsidR="00136A73" w:rsidP="00982080" w:rsidRDefault="00136A73" w14:paraId="4BAAB2D1" w14:textId="24C8CD9D">
            <w:pPr>
              <w:spacing w:before="60" w:after="60"/>
              <w:cnfStyle w:val="000000100000" w:firstRow="0" w:lastRow="0" w:firstColumn="0" w:lastColumn="0" w:oddVBand="0" w:evenVBand="0" w:oddHBand="1" w:evenHBand="0" w:firstRowFirstColumn="0" w:firstRowLastColumn="0" w:lastRowFirstColumn="0" w:lastRowLastColumn="0"/>
            </w:pPr>
            <w:r w:rsidRPr="00D75194">
              <w:t xml:space="preserve">Republic of the Marshall Islands </w:t>
            </w:r>
          </w:p>
        </w:tc>
      </w:tr>
      <w:tr w:rsidRPr="00D75194" w:rsidR="000377B2" w:rsidTr="005C3205" w14:paraId="3AB0D0E4"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D75F4C" w:rsidP="00982080" w:rsidRDefault="00D75F4C" w14:paraId="0762DE16" w14:textId="411CD97D">
            <w:pPr>
              <w:spacing w:before="60" w:after="60"/>
            </w:pPr>
            <w:r w:rsidRPr="00D75194">
              <w:t>SB</w:t>
            </w:r>
          </w:p>
        </w:tc>
        <w:tc>
          <w:tcPr>
            <w:tcW w:w="8016" w:type="dxa"/>
          </w:tcPr>
          <w:p w:rsidRPr="00D75194" w:rsidR="00D75F4C" w:rsidP="00982080" w:rsidRDefault="00D75F4C" w14:paraId="76EE9AAD" w14:textId="4BAE4DC6">
            <w:pPr>
              <w:spacing w:before="60" w:after="60"/>
              <w:cnfStyle w:val="000000000000" w:firstRow="0" w:lastRow="0" w:firstColumn="0" w:lastColumn="0" w:oddVBand="0" w:evenVBand="0" w:oddHBand="0" w:evenHBand="0" w:firstRowFirstColumn="0" w:firstRowLastColumn="0" w:lastRowFirstColumn="0" w:lastRowLastColumn="0"/>
            </w:pPr>
            <w:r w:rsidRPr="00D75194">
              <w:t xml:space="preserve">Subsidiary </w:t>
            </w:r>
            <w:r w:rsidRPr="00D75194" w:rsidR="00690A66">
              <w:t>Body</w:t>
            </w:r>
          </w:p>
        </w:tc>
      </w:tr>
      <w:tr w:rsidRPr="00D75194" w:rsidR="00FD3A35" w:rsidTr="005C3205" w14:paraId="6DAB9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636DA8" w:rsidP="00982080" w:rsidRDefault="00A153E6" w14:paraId="77464293" w14:textId="78EA703B">
            <w:pPr>
              <w:spacing w:before="60" w:after="60"/>
            </w:pPr>
            <w:r w:rsidRPr="00D75194">
              <w:t>SIDS</w:t>
            </w:r>
          </w:p>
        </w:tc>
        <w:tc>
          <w:tcPr>
            <w:tcW w:w="8016" w:type="dxa"/>
          </w:tcPr>
          <w:p w:rsidRPr="00D75194" w:rsidR="00636DA8" w:rsidP="00982080" w:rsidRDefault="00A153E6" w14:paraId="5D750773" w14:textId="54E07654">
            <w:pPr>
              <w:spacing w:before="60" w:after="60"/>
              <w:cnfStyle w:val="000000100000" w:firstRow="0" w:lastRow="0" w:firstColumn="0" w:lastColumn="0" w:oddVBand="0" w:evenVBand="0" w:oddHBand="1" w:evenHBand="0" w:firstRowFirstColumn="0" w:firstRowLastColumn="0" w:lastRowFirstColumn="0" w:lastRowLastColumn="0"/>
            </w:pPr>
            <w:r w:rsidRPr="00D75194">
              <w:t xml:space="preserve">Small Island Developing States </w:t>
            </w:r>
          </w:p>
        </w:tc>
      </w:tr>
      <w:tr w:rsidRPr="00D75194" w:rsidR="003A7553" w:rsidTr="005C3205" w14:paraId="377C8EDF"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982080" w:rsidP="00982080" w:rsidRDefault="00982080" w14:paraId="4E970262" w14:textId="77777777">
            <w:pPr>
              <w:spacing w:before="60" w:after="60"/>
            </w:pPr>
            <w:r w:rsidRPr="00D75194">
              <w:t xml:space="preserve">TPs </w:t>
            </w:r>
          </w:p>
        </w:tc>
        <w:tc>
          <w:tcPr>
            <w:tcW w:w="8016" w:type="dxa"/>
          </w:tcPr>
          <w:p w:rsidRPr="00D75194" w:rsidR="00982080" w:rsidP="00982080" w:rsidRDefault="00982080" w14:paraId="12433608" w14:textId="7B27D5B9">
            <w:pPr>
              <w:spacing w:before="60" w:after="60"/>
              <w:cnfStyle w:val="000000000000" w:firstRow="0" w:lastRow="0" w:firstColumn="0" w:lastColumn="0" w:oddVBand="0" w:evenVBand="0" w:oddHBand="0" w:evenHBand="0" w:firstRowFirstColumn="0" w:firstRowLastColumn="0" w:lastRowFirstColumn="0" w:lastRowLastColumn="0"/>
            </w:pPr>
            <w:r w:rsidRPr="00D75194">
              <w:t>Technical Partners</w:t>
            </w:r>
          </w:p>
        </w:tc>
      </w:tr>
      <w:tr w:rsidRPr="00D75194" w:rsidR="00982080" w:rsidTr="005C3205" w14:paraId="358A3D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982080" w:rsidP="00982080" w:rsidRDefault="00982080" w14:paraId="4081E32B" w14:textId="77777777">
            <w:pPr>
              <w:spacing w:before="60" w:after="60"/>
            </w:pPr>
            <w:r w:rsidRPr="00D75194">
              <w:t xml:space="preserve">UK </w:t>
            </w:r>
          </w:p>
        </w:tc>
        <w:tc>
          <w:tcPr>
            <w:tcW w:w="8016" w:type="dxa"/>
          </w:tcPr>
          <w:p w:rsidRPr="00D75194" w:rsidR="00982080" w:rsidP="00982080" w:rsidRDefault="00982080" w14:paraId="51F4C083" w14:textId="77777777">
            <w:pPr>
              <w:spacing w:before="60" w:after="60"/>
              <w:cnfStyle w:val="000000100000" w:firstRow="0" w:lastRow="0" w:firstColumn="0" w:lastColumn="0" w:oddVBand="0" w:evenVBand="0" w:oddHBand="1" w:evenHBand="0" w:firstRowFirstColumn="0" w:firstRowLastColumn="0" w:lastRowFirstColumn="0" w:lastRowLastColumn="0"/>
            </w:pPr>
            <w:r w:rsidRPr="00D75194">
              <w:t>United Kingdom</w:t>
            </w:r>
          </w:p>
        </w:tc>
      </w:tr>
      <w:tr w:rsidRPr="00D75194" w:rsidR="003A7553" w:rsidTr="005C3205" w14:paraId="70CEAB70"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982080" w:rsidP="00982080" w:rsidRDefault="00982080" w14:paraId="1375985E" w14:textId="77777777">
            <w:pPr>
              <w:spacing w:before="60" w:after="60"/>
            </w:pPr>
            <w:r w:rsidRPr="00D75194">
              <w:t xml:space="preserve">UNFCCC </w:t>
            </w:r>
          </w:p>
        </w:tc>
        <w:tc>
          <w:tcPr>
            <w:tcW w:w="8016" w:type="dxa"/>
          </w:tcPr>
          <w:p w:rsidRPr="00D75194" w:rsidR="00982080" w:rsidP="00982080" w:rsidRDefault="00982080" w14:paraId="216312A3" w14:textId="77777777">
            <w:pPr>
              <w:spacing w:before="60" w:after="60"/>
              <w:cnfStyle w:val="000000000000" w:firstRow="0" w:lastRow="0" w:firstColumn="0" w:lastColumn="0" w:oddVBand="0" w:evenVBand="0" w:oddHBand="0" w:evenHBand="0" w:firstRowFirstColumn="0" w:firstRowLastColumn="0" w:lastRowFirstColumn="0" w:lastRowLastColumn="0"/>
            </w:pPr>
            <w:r w:rsidRPr="00D75194">
              <w:t>United Nations Framework Convention on Climate Change</w:t>
            </w:r>
          </w:p>
        </w:tc>
      </w:tr>
      <w:tr w:rsidRPr="00D75194" w:rsidR="00E32DAA" w:rsidTr="005C3205" w14:paraId="218E2F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E32DAA" w:rsidP="00982080" w:rsidRDefault="00E32DAA" w14:paraId="3F6786E3" w14:textId="6668AFB4">
            <w:pPr>
              <w:spacing w:before="60" w:after="60"/>
            </w:pPr>
            <w:r w:rsidRPr="00D75194">
              <w:t>UNIDO</w:t>
            </w:r>
          </w:p>
        </w:tc>
        <w:tc>
          <w:tcPr>
            <w:tcW w:w="8016" w:type="dxa"/>
          </w:tcPr>
          <w:p w:rsidRPr="00D75194" w:rsidR="00E32DAA" w:rsidP="00982080" w:rsidRDefault="00E32DAA" w14:paraId="01AE94C6" w14:textId="136CBE19">
            <w:pPr>
              <w:spacing w:before="60" w:after="60"/>
              <w:cnfStyle w:val="000000100000" w:firstRow="0" w:lastRow="0" w:firstColumn="0" w:lastColumn="0" w:oddVBand="0" w:evenVBand="0" w:oddHBand="1" w:evenHBand="0" w:firstRowFirstColumn="0" w:firstRowLastColumn="0" w:lastRowFirstColumn="0" w:lastRowLastColumn="0"/>
            </w:pPr>
            <w:r w:rsidRPr="00D75194">
              <w:t>United Nations Industrial Development Organization</w:t>
            </w:r>
          </w:p>
        </w:tc>
      </w:tr>
      <w:tr w:rsidRPr="00D75194" w:rsidR="003A7553" w:rsidTr="005C3205" w14:paraId="0091CD86" w14:textId="77777777">
        <w:tc>
          <w:tcPr>
            <w:cnfStyle w:val="001000000000" w:firstRow="0" w:lastRow="0" w:firstColumn="1" w:lastColumn="0" w:oddVBand="0" w:evenVBand="0" w:oddHBand="0" w:evenHBand="0" w:firstRowFirstColumn="0" w:firstRowLastColumn="0" w:lastRowFirstColumn="0" w:lastRowLastColumn="0"/>
            <w:tcW w:w="1838" w:type="dxa"/>
          </w:tcPr>
          <w:p w:rsidRPr="00D75194" w:rsidR="00982080" w:rsidP="00982080" w:rsidRDefault="0084670E" w14:paraId="67E98CD1" w14:textId="4B91918A">
            <w:pPr>
              <w:spacing w:before="60" w:after="60"/>
            </w:pPr>
            <w:r w:rsidRPr="00D75194">
              <w:t>VFM</w:t>
            </w:r>
          </w:p>
        </w:tc>
        <w:tc>
          <w:tcPr>
            <w:tcW w:w="8016" w:type="dxa"/>
          </w:tcPr>
          <w:p w:rsidRPr="00D75194" w:rsidR="00982080" w:rsidP="00982080" w:rsidRDefault="00982080" w14:paraId="05CC1016" w14:textId="2A893EA4">
            <w:pPr>
              <w:spacing w:before="60" w:after="60"/>
              <w:cnfStyle w:val="000000000000" w:firstRow="0" w:lastRow="0" w:firstColumn="0" w:lastColumn="0" w:oddVBand="0" w:evenVBand="0" w:oddHBand="0" w:evenHBand="0" w:firstRowFirstColumn="0" w:firstRowLastColumn="0" w:lastRowFirstColumn="0" w:lastRowLastColumn="0"/>
            </w:pPr>
            <w:r w:rsidRPr="00D75194">
              <w:t xml:space="preserve">Value for </w:t>
            </w:r>
            <w:r w:rsidRPr="00D75194" w:rsidR="00E82CFD">
              <w:t>m</w:t>
            </w:r>
            <w:r w:rsidRPr="00D75194">
              <w:t>oney</w:t>
            </w:r>
          </w:p>
        </w:tc>
      </w:tr>
      <w:tr w:rsidRPr="00D75194" w:rsidR="00A877A1" w:rsidTr="005C3205" w14:paraId="3C6B9A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D75194" w:rsidR="00A877A1" w:rsidDel="0084670E" w:rsidP="00982080" w:rsidRDefault="00A877A1" w14:paraId="0A14F1A6" w14:textId="3A67D4D5">
            <w:pPr>
              <w:spacing w:before="60" w:after="60"/>
            </w:pPr>
            <w:r w:rsidRPr="00D75194">
              <w:t>YNA</w:t>
            </w:r>
          </w:p>
        </w:tc>
        <w:tc>
          <w:tcPr>
            <w:tcW w:w="8016" w:type="dxa"/>
          </w:tcPr>
          <w:p w:rsidRPr="00D75194" w:rsidR="00A877A1" w:rsidP="00982080" w:rsidRDefault="00A877A1" w14:paraId="60872A38" w14:textId="1EFA325E">
            <w:pPr>
              <w:spacing w:before="60" w:after="60"/>
              <w:cnfStyle w:val="000000100000" w:firstRow="0" w:lastRow="0" w:firstColumn="0" w:lastColumn="0" w:oddVBand="0" w:evenVBand="0" w:oddHBand="1" w:evenHBand="0" w:firstRowFirstColumn="0" w:firstRowLastColumn="0" w:lastRowFirstColumn="0" w:lastRowLastColumn="0"/>
            </w:pPr>
            <w:r w:rsidRPr="00D75194">
              <w:t>Youth Negotiators Academy</w:t>
            </w:r>
          </w:p>
        </w:tc>
      </w:tr>
    </w:tbl>
    <w:p w:rsidRPr="00D75194" w:rsidR="42E07805" w:rsidP="00160B3D" w:rsidRDefault="42E07805" w14:paraId="456FB737" w14:textId="5441EE1F">
      <w:r w:rsidRPr="00D75194">
        <w:br w:type="page"/>
      </w:r>
    </w:p>
    <w:p w:rsidRPr="00D75194" w:rsidR="00666AB9" w:rsidP="00666AB9" w:rsidRDefault="00666AB9" w14:paraId="682741A2" w14:textId="32892870">
      <w:pPr>
        <w:pStyle w:val="Heading1"/>
        <w:numPr>
          <w:ilvl w:val="0"/>
          <w:numId w:val="0"/>
        </w:numPr>
        <w:ind w:left="851" w:hanging="851"/>
      </w:pPr>
      <w:bookmarkStart w:name="_Toc214452898" w:id="8"/>
      <w:bookmarkEnd w:id="7"/>
      <w:r w:rsidRPr="00D75194">
        <w:t>Acknowledgements</w:t>
      </w:r>
      <w:bookmarkEnd w:id="8"/>
    </w:p>
    <w:p w:rsidRPr="00D75194" w:rsidR="00627D89" w:rsidP="00A258D0" w:rsidRDefault="00627D89" w14:paraId="63942FE4" w14:textId="22114A0D">
      <w:pPr>
        <w:spacing w:after="0"/>
      </w:pPr>
      <w:r w:rsidRPr="00D75194">
        <w:t xml:space="preserve">The </w:t>
      </w:r>
      <w:r w:rsidRPr="00D75194" w:rsidR="00DB105E">
        <w:t>Climate Ambition Support Alliance Phase II (</w:t>
      </w:r>
      <w:r w:rsidRPr="00D75194">
        <w:t>CASA II</w:t>
      </w:r>
      <w:r w:rsidRPr="00D75194" w:rsidR="00DB105E">
        <w:t>)</w:t>
      </w:r>
      <w:r w:rsidRPr="00D75194">
        <w:t xml:space="preserve"> </w:t>
      </w:r>
      <w:r w:rsidRPr="00D75194" w:rsidR="00B30059">
        <w:t>f</w:t>
      </w:r>
      <w:r w:rsidRPr="00D75194">
        <w:t xml:space="preserve">inal </w:t>
      </w:r>
      <w:r w:rsidRPr="00D75194" w:rsidR="00B30059">
        <w:t>e</w:t>
      </w:r>
      <w:r w:rsidRPr="00D75194">
        <w:t>valuation was made possible through the collective efforts, insights, and dedication of a wide range of individuals and organisations. We would like to express our sincere gratitude to all those who contributed their time, expertise, and perspectives throughout the evaluation process.</w:t>
      </w:r>
    </w:p>
    <w:p w:rsidRPr="00D75194" w:rsidR="00627D89" w:rsidP="00A258D0" w:rsidRDefault="00627D89" w14:paraId="295F2D86" w14:textId="77777777">
      <w:pPr>
        <w:spacing w:after="0"/>
      </w:pPr>
    </w:p>
    <w:p w:rsidRPr="00D75194" w:rsidR="00627D89" w:rsidP="00A258D0" w:rsidRDefault="00627D89" w14:paraId="46FE38A3" w14:textId="15F6D148">
      <w:pPr>
        <w:spacing w:after="0"/>
      </w:pPr>
      <w:r w:rsidRPr="00D75194">
        <w:t xml:space="preserve">We are especially grateful to the </w:t>
      </w:r>
      <w:bookmarkStart w:name="_Hlk204005894" w:id="9"/>
      <w:r w:rsidRPr="00D75194">
        <w:t>Technical Partners</w:t>
      </w:r>
      <w:bookmarkEnd w:id="9"/>
      <w:r w:rsidRPr="00D75194">
        <w:t>, negotiators, and Opportunity Fund implementers who generously shared their experiences and reflections. Their openness and candour were instrumental in shaping a nuanced understanding of CASA II’s achievements and challenges.</w:t>
      </w:r>
      <w:r w:rsidRPr="00D75194" w:rsidR="00000F15">
        <w:t xml:space="preserve"> The </w:t>
      </w:r>
      <w:r w:rsidRPr="00D75194" w:rsidR="00DB105E">
        <w:t>Learning and Evaluation Partner</w:t>
      </w:r>
      <w:r w:rsidRPr="00D75194" w:rsidR="00000F15">
        <w:t xml:space="preserve"> team would like to extend a sincere thanks to all Technical Partners and interviewees who responded to email requests or who gave permission for follow</w:t>
      </w:r>
      <w:r w:rsidRPr="00D75194" w:rsidR="003A5A5B">
        <w:t>-</w:t>
      </w:r>
      <w:r w:rsidRPr="00D75194" w:rsidR="00000F15">
        <w:t xml:space="preserve">up interviews during </w:t>
      </w:r>
      <w:r w:rsidRPr="00D75194" w:rsidR="00690A66">
        <w:t xml:space="preserve">Subsidiary Body </w:t>
      </w:r>
      <w:r w:rsidRPr="00D75194" w:rsidR="00000F15">
        <w:t xml:space="preserve">62 </w:t>
      </w:r>
      <w:r w:rsidRPr="00D75194" w:rsidR="00690A66">
        <w:t xml:space="preserve">(SB 62) </w:t>
      </w:r>
      <w:r w:rsidRPr="00D75194" w:rsidR="00000F15">
        <w:t>Bonn 2025. The contribution stories are stronger for all these efforts. We are very grateful to all those who supported us in this essential, but often challenging, part of the process.</w:t>
      </w:r>
    </w:p>
    <w:p w:rsidRPr="00D75194" w:rsidR="00627D89" w:rsidP="00A258D0" w:rsidRDefault="00627D89" w14:paraId="28877738" w14:textId="77777777">
      <w:pPr>
        <w:spacing w:after="0"/>
      </w:pPr>
    </w:p>
    <w:p w:rsidRPr="00D75194" w:rsidR="006D505E" w:rsidP="00A258D0" w:rsidRDefault="00D43790" w14:paraId="10C54193" w14:textId="28F80704">
      <w:pPr>
        <w:spacing w:after="0"/>
      </w:pPr>
      <w:r w:rsidRPr="00D75194">
        <w:t>Finally, we</w:t>
      </w:r>
      <w:r w:rsidRPr="00D75194" w:rsidR="00627D89">
        <w:t xml:space="preserve"> extend our thanks to the </w:t>
      </w:r>
      <w:r w:rsidRPr="00D75194" w:rsidR="006D505E">
        <w:t>CASA II programme management team, including those at DAI and the Department for Energy Security and Net Zero (DESNZ), for their guidance, feedback, and support at every stage of the evaluation, including facilitating access to key documentation and data, and for their responsiveness to our many queries.</w:t>
      </w:r>
    </w:p>
    <w:p w:rsidRPr="00D75194" w:rsidR="00666AB9" w:rsidRDefault="00666AB9" w14:paraId="012E3528" w14:textId="24F99863">
      <w:pPr>
        <w:spacing w:after="0"/>
        <w:jc w:val="left"/>
        <w:rPr>
          <w:rFonts w:cs="Arial" w:eastAsiaTheme="majorEastAsia"/>
          <w:b/>
          <w:sz w:val="28"/>
          <w:szCs w:val="32"/>
        </w:rPr>
      </w:pPr>
      <w:r w:rsidRPr="00D75194">
        <w:br w:type="page"/>
      </w:r>
    </w:p>
    <w:p w:rsidRPr="00D75194" w:rsidR="6554A5C9" w:rsidP="005E2E16" w:rsidRDefault="004456D7" w14:paraId="4BD69EA8" w14:textId="01875A8B">
      <w:pPr>
        <w:pStyle w:val="Heading1"/>
        <w:numPr>
          <w:ilvl w:val="0"/>
          <w:numId w:val="0"/>
        </w:numPr>
        <w:ind w:left="851" w:hanging="851"/>
      </w:pPr>
      <w:bookmarkStart w:name="_Toc214452899" w:id="10"/>
      <w:r w:rsidRPr="00D75194">
        <w:t xml:space="preserve">Executive </w:t>
      </w:r>
      <w:r w:rsidR="00444AE9">
        <w:t>summary</w:t>
      </w:r>
      <w:bookmarkEnd w:id="10"/>
    </w:p>
    <w:p w:rsidRPr="00D75194" w:rsidR="00F16A30" w:rsidP="00A66917" w:rsidRDefault="5D5CBF41" w14:paraId="410E8AF6" w14:textId="66AF5853">
      <w:pPr>
        <w:pStyle w:val="Heading2"/>
        <w:numPr>
          <w:ilvl w:val="0"/>
          <w:numId w:val="0"/>
        </w:numPr>
        <w:ind w:left="851" w:hanging="851"/>
      </w:pPr>
      <w:bookmarkStart w:name="_Toc204780045" w:id="11"/>
      <w:bookmarkStart w:name="_Toc204796548" w:id="12"/>
      <w:bookmarkStart w:name="_Toc214452900" w:id="13"/>
      <w:r w:rsidRPr="00D75194">
        <w:t>Introduction</w:t>
      </w:r>
      <w:bookmarkEnd w:id="11"/>
      <w:bookmarkEnd w:id="12"/>
      <w:bookmarkEnd w:id="13"/>
      <w:r w:rsidRPr="00D75194">
        <w:t xml:space="preserve"> </w:t>
      </w:r>
    </w:p>
    <w:p w:rsidRPr="00D75194" w:rsidR="00F16A30" w:rsidP="2605B8D9" w:rsidRDefault="5D5CBF41" w14:paraId="434A55FA" w14:textId="0F19467E">
      <w:pPr>
        <w:spacing w:after="160" w:line="276" w:lineRule="auto"/>
        <w:rPr>
          <w:rFonts w:asciiTheme="minorHAnsi" w:hAnsiTheme="minorHAnsi" w:eastAsiaTheme="minorEastAsia"/>
        </w:rPr>
      </w:pPr>
      <w:r w:rsidRPr="00D75194">
        <w:rPr>
          <w:rFonts w:asciiTheme="minorHAnsi" w:hAnsiTheme="minorHAnsi" w:eastAsiaTheme="minorEastAsia"/>
        </w:rPr>
        <w:t>The United Kingdom (UK) currently provides support to strengthen the capacity of groups and coalitions of climate</w:t>
      </w:r>
      <w:r w:rsidRPr="00D75194" w:rsidR="00B46855">
        <w:rPr>
          <w:rFonts w:asciiTheme="minorHAnsi" w:hAnsiTheme="minorHAnsi" w:eastAsiaTheme="minorEastAsia"/>
        </w:rPr>
        <w:t>-</w:t>
      </w:r>
      <w:r w:rsidRPr="00D75194">
        <w:rPr>
          <w:rFonts w:asciiTheme="minorHAnsi" w:hAnsiTheme="minorHAnsi" w:eastAsiaTheme="minorEastAsia"/>
        </w:rPr>
        <w:t xml:space="preserve">vulnerable countries to participate effectively in the </w:t>
      </w:r>
      <w:r w:rsidRPr="00D75194" w:rsidR="005A4B96">
        <w:rPr>
          <w:rFonts w:asciiTheme="minorHAnsi" w:hAnsiTheme="minorHAnsi" w:eastAsiaTheme="minorEastAsia"/>
        </w:rPr>
        <w:t>United Nations Framework Convention on Climate Change (</w:t>
      </w:r>
      <w:r w:rsidRPr="00D75194">
        <w:rPr>
          <w:rFonts w:asciiTheme="minorHAnsi" w:hAnsiTheme="minorHAnsi" w:eastAsiaTheme="minorEastAsia"/>
        </w:rPr>
        <w:t>UNFCCC</w:t>
      </w:r>
      <w:r w:rsidRPr="00D75194" w:rsidR="005A4B96">
        <w:rPr>
          <w:rFonts w:asciiTheme="minorHAnsi" w:hAnsiTheme="minorHAnsi" w:eastAsiaTheme="minorEastAsia"/>
        </w:rPr>
        <w:t>)</w:t>
      </w:r>
      <w:r w:rsidRPr="00D75194">
        <w:rPr>
          <w:rFonts w:asciiTheme="minorHAnsi" w:hAnsiTheme="minorHAnsi" w:eastAsiaTheme="minorEastAsia"/>
        </w:rPr>
        <w:t xml:space="preserve"> and related international fora. This support is delivered through the Climate Ambition Support Alliance (CASA) programme, currently in its second phase (CASA II), </w:t>
      </w:r>
      <w:r w:rsidRPr="00D75194" w:rsidR="005E1DC7">
        <w:rPr>
          <w:rFonts w:asciiTheme="minorHAnsi" w:hAnsiTheme="minorHAnsi" w:eastAsiaTheme="minorEastAsia"/>
        </w:rPr>
        <w:t xml:space="preserve">which is </w:t>
      </w:r>
      <w:r w:rsidRPr="00D75194">
        <w:rPr>
          <w:rFonts w:asciiTheme="minorHAnsi" w:hAnsiTheme="minorHAnsi" w:eastAsiaTheme="minorEastAsia"/>
        </w:rPr>
        <w:t>funded by the</w:t>
      </w:r>
      <w:r w:rsidRPr="00D75194" w:rsidR="00B00981">
        <w:rPr>
          <w:rFonts w:asciiTheme="minorHAnsi" w:hAnsiTheme="minorHAnsi" w:eastAsiaTheme="minorEastAsia"/>
        </w:rPr>
        <w:t xml:space="preserve"> UK</w:t>
      </w:r>
      <w:r w:rsidRPr="00D75194" w:rsidR="00A6702E">
        <w:rPr>
          <w:rFonts w:asciiTheme="minorHAnsi" w:hAnsiTheme="minorHAnsi" w:eastAsiaTheme="minorEastAsia"/>
        </w:rPr>
        <w:t xml:space="preserve"> </w:t>
      </w:r>
      <w:r w:rsidRPr="00D75194">
        <w:rPr>
          <w:rFonts w:asciiTheme="minorHAnsi" w:hAnsiTheme="minorHAnsi" w:eastAsiaTheme="minorEastAsia"/>
        </w:rPr>
        <w:t xml:space="preserve">Department for Energy Security and Net Zero (DESNZ). </w:t>
      </w:r>
    </w:p>
    <w:p w:rsidRPr="00D75194" w:rsidR="6554A5C9" w:rsidP="6554A5C9" w:rsidRDefault="5D5CBF41" w14:paraId="452C39B2" w14:textId="0C8293B5">
      <w:pPr>
        <w:spacing w:after="160" w:line="276" w:lineRule="auto"/>
        <w:rPr>
          <w:rFonts w:asciiTheme="minorHAnsi" w:hAnsiTheme="minorHAnsi" w:eastAsiaTheme="minorEastAsia"/>
        </w:rPr>
      </w:pPr>
      <w:r w:rsidRPr="00D75194">
        <w:rPr>
          <w:rFonts w:asciiTheme="minorHAnsi" w:hAnsiTheme="minorHAnsi" w:eastAsiaTheme="minorEastAsia"/>
        </w:rPr>
        <w:t>NIRAS</w:t>
      </w:r>
      <w:r w:rsidRPr="00D75194" w:rsidDel="00664EF9">
        <w:rPr>
          <w:rFonts w:asciiTheme="minorHAnsi" w:hAnsiTheme="minorHAnsi" w:eastAsiaTheme="minorEastAsia"/>
        </w:rPr>
        <w:t xml:space="preserve"> </w:t>
      </w:r>
      <w:r w:rsidR="000756A5">
        <w:rPr>
          <w:rFonts w:asciiTheme="minorHAnsi" w:hAnsiTheme="minorHAnsi" w:eastAsiaTheme="minorEastAsia"/>
        </w:rPr>
        <w:t>w</w:t>
      </w:r>
      <w:r w:rsidRPr="00D75194" w:rsidR="00664EF9">
        <w:rPr>
          <w:rFonts w:asciiTheme="minorHAnsi" w:hAnsiTheme="minorHAnsi" w:eastAsiaTheme="minorEastAsia"/>
        </w:rPr>
        <w:t xml:space="preserve">as </w:t>
      </w:r>
      <w:r w:rsidRPr="00D75194">
        <w:rPr>
          <w:rFonts w:asciiTheme="minorHAnsi" w:hAnsiTheme="minorHAnsi" w:eastAsiaTheme="minorEastAsia"/>
        </w:rPr>
        <w:t>contracted by DESNZ</w:t>
      </w:r>
      <w:r w:rsidRPr="00D75194" w:rsidR="00664EF9">
        <w:rPr>
          <w:rFonts w:asciiTheme="minorHAnsi" w:hAnsiTheme="minorHAnsi" w:eastAsiaTheme="minorEastAsia"/>
        </w:rPr>
        <w:t xml:space="preserve"> as Learning and Evaluation Partner</w:t>
      </w:r>
      <w:r w:rsidRPr="00D75194" w:rsidR="00150AAD">
        <w:rPr>
          <w:rFonts w:asciiTheme="minorHAnsi" w:hAnsiTheme="minorHAnsi" w:eastAsiaTheme="minorEastAsia"/>
        </w:rPr>
        <w:t xml:space="preserve"> (LEP)</w:t>
      </w:r>
      <w:r w:rsidRPr="00D75194" w:rsidR="00664EF9">
        <w:rPr>
          <w:rFonts w:asciiTheme="minorHAnsi" w:hAnsiTheme="minorHAnsi" w:eastAsiaTheme="minorEastAsia"/>
        </w:rPr>
        <w:t>,</w:t>
      </w:r>
      <w:r w:rsidRPr="00D75194">
        <w:rPr>
          <w:rFonts w:asciiTheme="minorHAnsi" w:hAnsiTheme="minorHAnsi" w:eastAsiaTheme="minorEastAsia"/>
        </w:rPr>
        <w:t xml:space="preserve"> to deliver learning and independent evaluation services to the CASA II programme from September 2023 until the end of July 2025. </w:t>
      </w:r>
      <w:r w:rsidRPr="2DCAEB50" w:rsidR="0B08FAD8">
        <w:rPr>
          <w:rFonts w:asciiTheme="minorHAnsi" w:hAnsiTheme="minorHAnsi" w:eastAsiaTheme="minorEastAsia"/>
        </w:rPr>
        <w:t xml:space="preserve">An </w:t>
      </w:r>
      <w:r w:rsidRPr="2DCAEB50" w:rsidR="7E67CAD6">
        <w:rPr>
          <w:rFonts w:asciiTheme="minorHAnsi" w:hAnsiTheme="minorHAnsi" w:eastAsiaTheme="minorEastAsia"/>
        </w:rPr>
        <w:t>i</w:t>
      </w:r>
      <w:r w:rsidRPr="2DCAEB50" w:rsidR="0B08FAD8">
        <w:rPr>
          <w:rFonts w:asciiTheme="minorHAnsi" w:hAnsiTheme="minorHAnsi" w:eastAsiaTheme="minorEastAsia"/>
        </w:rPr>
        <w:t xml:space="preserve">nterim </w:t>
      </w:r>
      <w:r w:rsidRPr="2DCAEB50" w:rsidR="7E67CAD6">
        <w:rPr>
          <w:rFonts w:asciiTheme="minorHAnsi" w:hAnsiTheme="minorHAnsi" w:eastAsiaTheme="minorEastAsia"/>
        </w:rPr>
        <w:t>e</w:t>
      </w:r>
      <w:r w:rsidRPr="2DCAEB50" w:rsidR="0B08FAD8">
        <w:rPr>
          <w:rFonts w:asciiTheme="minorHAnsi" w:hAnsiTheme="minorHAnsi" w:eastAsiaTheme="minorEastAsia"/>
        </w:rPr>
        <w:t>valuation</w:t>
      </w:r>
      <w:r w:rsidRPr="00D75194" w:rsidDel="00782E97">
        <w:rPr>
          <w:rFonts w:asciiTheme="minorHAnsi" w:hAnsiTheme="minorHAnsi" w:eastAsiaTheme="minorEastAsia"/>
        </w:rPr>
        <w:t xml:space="preserve"> </w:t>
      </w:r>
      <w:r w:rsidRPr="00D75194">
        <w:rPr>
          <w:rFonts w:asciiTheme="minorHAnsi" w:hAnsiTheme="minorHAnsi" w:eastAsiaTheme="minorEastAsia"/>
        </w:rPr>
        <w:t xml:space="preserve">was conducted in 2024, and a </w:t>
      </w:r>
      <w:r w:rsidRPr="2DCAEB50" w:rsidR="5C44891D">
        <w:rPr>
          <w:rFonts w:asciiTheme="minorHAnsi" w:hAnsiTheme="minorHAnsi" w:eastAsiaTheme="minorEastAsia"/>
        </w:rPr>
        <w:t>f</w:t>
      </w:r>
      <w:r w:rsidRPr="2DCAEB50" w:rsidR="0B08FAD8">
        <w:rPr>
          <w:rFonts w:asciiTheme="minorHAnsi" w:hAnsiTheme="minorHAnsi" w:eastAsiaTheme="minorEastAsia"/>
        </w:rPr>
        <w:t xml:space="preserve">inal </w:t>
      </w:r>
      <w:r w:rsidRPr="2DCAEB50" w:rsidR="5C44891D">
        <w:rPr>
          <w:rFonts w:asciiTheme="minorHAnsi" w:hAnsiTheme="minorHAnsi" w:eastAsiaTheme="minorEastAsia"/>
        </w:rPr>
        <w:t>e</w:t>
      </w:r>
      <w:r w:rsidRPr="2DCAEB50" w:rsidR="0B08FAD8">
        <w:rPr>
          <w:rFonts w:asciiTheme="minorHAnsi" w:hAnsiTheme="minorHAnsi" w:eastAsiaTheme="minorEastAsia"/>
        </w:rPr>
        <w:t>valuation</w:t>
      </w:r>
      <w:r w:rsidRPr="00D75194" w:rsidDel="00494461">
        <w:rPr>
          <w:rFonts w:asciiTheme="minorHAnsi" w:hAnsiTheme="minorHAnsi" w:eastAsiaTheme="minorEastAsia"/>
        </w:rPr>
        <w:t xml:space="preserve"> </w:t>
      </w:r>
      <w:r w:rsidRPr="00D75194">
        <w:rPr>
          <w:rFonts w:asciiTheme="minorHAnsi" w:hAnsiTheme="minorHAnsi" w:eastAsiaTheme="minorEastAsia"/>
        </w:rPr>
        <w:t>was undertaken from September 2024</w:t>
      </w:r>
      <w:r w:rsidR="00D30D76">
        <w:rPr>
          <w:rFonts w:asciiTheme="minorHAnsi" w:hAnsiTheme="minorHAnsi" w:eastAsiaTheme="minorEastAsia"/>
        </w:rPr>
        <w:t xml:space="preserve"> </w:t>
      </w:r>
      <w:r w:rsidRPr="00D75194" w:rsidR="00C16903">
        <w:rPr>
          <w:rFonts w:asciiTheme="minorHAnsi" w:hAnsiTheme="minorHAnsi" w:eastAsiaTheme="minorEastAsia"/>
        </w:rPr>
        <w:t xml:space="preserve">to </w:t>
      </w:r>
      <w:r w:rsidRPr="00D75194">
        <w:rPr>
          <w:rFonts w:asciiTheme="minorHAnsi" w:hAnsiTheme="minorHAnsi" w:eastAsiaTheme="minorEastAsia"/>
        </w:rPr>
        <w:t>July 2025.</w:t>
      </w:r>
    </w:p>
    <w:p w:rsidRPr="00D75194" w:rsidR="00F16A30" w:rsidP="00A66917" w:rsidRDefault="5D5CBF41" w14:paraId="7139AF26" w14:textId="37A1F4A9">
      <w:pPr>
        <w:pStyle w:val="Heading2"/>
        <w:numPr>
          <w:ilvl w:val="0"/>
          <w:numId w:val="0"/>
        </w:numPr>
        <w:ind w:left="851" w:hanging="851"/>
      </w:pPr>
      <w:bookmarkStart w:name="_Toc204780046" w:id="14"/>
      <w:bookmarkStart w:name="_Toc204796549" w:id="15"/>
      <w:bookmarkStart w:name="_Toc214452901" w:id="16"/>
      <w:r w:rsidRPr="00D75194">
        <w:t>Methodology</w:t>
      </w:r>
      <w:bookmarkEnd w:id="14"/>
      <w:bookmarkEnd w:id="15"/>
      <w:bookmarkEnd w:id="16"/>
      <w:r w:rsidRPr="00D75194">
        <w:t xml:space="preserve"> </w:t>
      </w:r>
    </w:p>
    <w:p w:rsidRPr="00D75194" w:rsidR="00F16A30" w:rsidP="2605B8D9" w:rsidRDefault="1EA39E7E" w14:paraId="7EDE567B" w14:textId="47AC5E30">
      <w:pPr>
        <w:spacing w:after="160" w:line="276" w:lineRule="auto"/>
        <w:rPr>
          <w:rFonts w:asciiTheme="minorHAnsi" w:hAnsiTheme="minorHAnsi" w:eastAsiaTheme="minorEastAsia"/>
        </w:rPr>
      </w:pPr>
      <w:r w:rsidRPr="2DCAEB50">
        <w:rPr>
          <w:rFonts w:asciiTheme="minorHAnsi" w:hAnsiTheme="minorHAnsi" w:eastAsiaTheme="minorEastAsia"/>
        </w:rPr>
        <w:t>T</w:t>
      </w:r>
      <w:r w:rsidRPr="2DCAEB50" w:rsidR="0B08FAD8">
        <w:rPr>
          <w:rFonts w:asciiTheme="minorHAnsi" w:hAnsiTheme="minorHAnsi" w:eastAsiaTheme="minorEastAsia"/>
        </w:rPr>
        <w:t>o</w:t>
      </w:r>
      <w:r w:rsidRPr="00D75194" w:rsidR="5D5CBF41">
        <w:rPr>
          <w:rFonts w:asciiTheme="minorHAnsi" w:hAnsiTheme="minorHAnsi" w:eastAsiaTheme="minorEastAsia"/>
        </w:rPr>
        <w:t xml:space="preserve"> evaluate </w:t>
      </w:r>
      <w:r w:rsidRPr="00D75194" w:rsidR="008E6610">
        <w:rPr>
          <w:rFonts w:asciiTheme="minorHAnsi" w:hAnsiTheme="minorHAnsi" w:eastAsiaTheme="minorEastAsia"/>
        </w:rPr>
        <w:t>CASA II,</w:t>
      </w:r>
      <w:r w:rsidRPr="00D75194" w:rsidR="00377B05">
        <w:rPr>
          <w:rFonts w:asciiTheme="minorHAnsi" w:hAnsiTheme="minorHAnsi" w:eastAsiaTheme="minorEastAsia"/>
        </w:rPr>
        <w:t xml:space="preserve"> we applied</w:t>
      </w:r>
      <w:r w:rsidRPr="00D75194" w:rsidDel="00377B05" w:rsidR="5D5CBF41">
        <w:rPr>
          <w:rFonts w:asciiTheme="minorHAnsi" w:hAnsiTheme="minorHAnsi" w:eastAsiaTheme="minorEastAsia"/>
        </w:rPr>
        <w:t xml:space="preserve"> </w:t>
      </w:r>
      <w:r w:rsidRPr="00D75194" w:rsidR="5D5CBF41">
        <w:rPr>
          <w:rFonts w:asciiTheme="minorHAnsi" w:hAnsiTheme="minorHAnsi" w:eastAsiaTheme="minorEastAsia"/>
        </w:rPr>
        <w:t>a theory-based methodology</w:t>
      </w:r>
      <w:r w:rsidRPr="00D75194" w:rsidR="00377B05">
        <w:rPr>
          <w:rFonts w:asciiTheme="minorHAnsi" w:hAnsiTheme="minorHAnsi" w:eastAsiaTheme="minorEastAsia"/>
        </w:rPr>
        <w:t>, which involved</w:t>
      </w:r>
      <w:r w:rsidRPr="00D75194" w:rsidR="00377B05">
        <w:t xml:space="preserve"> </w:t>
      </w:r>
      <w:r w:rsidRPr="00D75194" w:rsidR="00377B05">
        <w:rPr>
          <w:rFonts w:asciiTheme="minorHAnsi" w:hAnsiTheme="minorHAnsi" w:eastAsiaTheme="minorEastAsia"/>
        </w:rPr>
        <w:t>blending the principles of outcome harvesting with contribution analysis</w:t>
      </w:r>
      <w:r w:rsidRPr="00D75194" w:rsidR="5D5CBF41">
        <w:rPr>
          <w:rFonts w:asciiTheme="minorHAnsi" w:hAnsiTheme="minorHAnsi" w:eastAsiaTheme="minorEastAsia"/>
        </w:rPr>
        <w:t>. A total of six case studies</w:t>
      </w:r>
      <w:r w:rsidRPr="00D75194" w:rsidR="00056D1C">
        <w:rPr>
          <w:rFonts w:asciiTheme="minorHAnsi" w:hAnsiTheme="minorHAnsi" w:eastAsiaTheme="minorEastAsia"/>
        </w:rPr>
        <w:t>—</w:t>
      </w:r>
      <w:r w:rsidRPr="00D75194" w:rsidR="5D5CBF41">
        <w:rPr>
          <w:rFonts w:asciiTheme="minorHAnsi" w:hAnsiTheme="minorHAnsi" w:eastAsiaTheme="minorEastAsia"/>
        </w:rPr>
        <w:t>framed as contribution stories</w:t>
      </w:r>
      <w:r w:rsidRPr="00D75194" w:rsidR="00056D1C">
        <w:rPr>
          <w:rFonts w:asciiTheme="minorHAnsi" w:hAnsiTheme="minorHAnsi" w:eastAsiaTheme="minorEastAsia"/>
        </w:rPr>
        <w:t>—</w:t>
      </w:r>
      <w:r w:rsidRPr="00D75194" w:rsidR="5D5CBF41">
        <w:rPr>
          <w:rFonts w:asciiTheme="minorHAnsi" w:hAnsiTheme="minorHAnsi" w:eastAsiaTheme="minorEastAsia"/>
        </w:rPr>
        <w:t>were the key methodological tool for this final evaluation. Primary data sources included key informant interviews</w:t>
      </w:r>
      <w:r w:rsidRPr="00D75194" w:rsidR="00EB6F79">
        <w:rPr>
          <w:rFonts w:asciiTheme="minorHAnsi" w:hAnsiTheme="minorHAnsi" w:eastAsiaTheme="minorEastAsia"/>
        </w:rPr>
        <w:t xml:space="preserve"> (KIIs)</w:t>
      </w:r>
      <w:r w:rsidRPr="00D75194" w:rsidR="5D5CBF41">
        <w:rPr>
          <w:rFonts w:asciiTheme="minorHAnsi" w:hAnsiTheme="minorHAnsi" w:eastAsiaTheme="minorEastAsia"/>
        </w:rPr>
        <w:t xml:space="preserve">, secondary data from programme documents, and secondary analysis of case studies and our </w:t>
      </w:r>
      <w:r w:rsidRPr="00D75194" w:rsidR="00EB6F79">
        <w:rPr>
          <w:rFonts w:asciiTheme="minorHAnsi" w:hAnsiTheme="minorHAnsi" w:eastAsiaTheme="minorEastAsia"/>
        </w:rPr>
        <w:t>International Climate Finance (</w:t>
      </w:r>
      <w:r w:rsidRPr="00D75194" w:rsidR="5D5CBF41">
        <w:rPr>
          <w:rFonts w:asciiTheme="minorHAnsi" w:hAnsiTheme="minorHAnsi" w:eastAsiaTheme="minorEastAsia"/>
        </w:rPr>
        <w:t>ICF</w:t>
      </w:r>
      <w:r w:rsidRPr="00D75194" w:rsidR="00EB6F79">
        <w:rPr>
          <w:rFonts w:asciiTheme="minorHAnsi" w:hAnsiTheme="minorHAnsi" w:eastAsiaTheme="minorEastAsia"/>
        </w:rPr>
        <w:t>)</w:t>
      </w:r>
      <w:r w:rsidRPr="00D75194" w:rsidR="5D5CBF41">
        <w:rPr>
          <w:rFonts w:asciiTheme="minorHAnsi" w:hAnsiTheme="minorHAnsi" w:eastAsiaTheme="minorEastAsia"/>
        </w:rPr>
        <w:t xml:space="preserve"> </w:t>
      </w:r>
      <w:r w:rsidRPr="00D75194" w:rsidR="00EB6F79">
        <w:rPr>
          <w:rFonts w:asciiTheme="minorHAnsi" w:hAnsiTheme="minorHAnsi" w:eastAsiaTheme="minorEastAsia"/>
        </w:rPr>
        <w:t>Key Performance Indicator (</w:t>
      </w:r>
      <w:r w:rsidRPr="00D75194" w:rsidR="5D5CBF41">
        <w:rPr>
          <w:rFonts w:asciiTheme="minorHAnsi" w:hAnsiTheme="minorHAnsi" w:eastAsiaTheme="minorEastAsia"/>
        </w:rPr>
        <w:t>KPI</w:t>
      </w:r>
      <w:r w:rsidRPr="00D75194" w:rsidR="00AB0367">
        <w:rPr>
          <w:rFonts w:asciiTheme="minorHAnsi" w:hAnsiTheme="minorHAnsi" w:eastAsiaTheme="minorEastAsia"/>
        </w:rPr>
        <w:t>)</w:t>
      </w:r>
      <w:r w:rsidRPr="00D75194" w:rsidR="5D5CBF41">
        <w:rPr>
          <w:rFonts w:asciiTheme="minorHAnsi" w:hAnsiTheme="minorHAnsi" w:eastAsiaTheme="minorEastAsia"/>
        </w:rPr>
        <w:t xml:space="preserve"> 15 report. </w:t>
      </w:r>
      <w:r w:rsidRPr="2DCAEB50" w:rsidR="0B08FAD8">
        <w:rPr>
          <w:rFonts w:asciiTheme="minorHAnsi" w:hAnsiTheme="minorHAnsi" w:eastAsiaTheme="minorEastAsia"/>
        </w:rPr>
        <w:t>A total of 48</w:t>
      </w:r>
      <w:r w:rsidRPr="2DCAEB50" w:rsidR="2DB0EA1D">
        <w:rPr>
          <w:rFonts w:asciiTheme="minorHAnsi" w:hAnsiTheme="minorHAnsi" w:eastAsiaTheme="minorEastAsia"/>
        </w:rPr>
        <w:t xml:space="preserve"> </w:t>
      </w:r>
      <w:r w:rsidRPr="00D75194" w:rsidR="5D5CBF41">
        <w:rPr>
          <w:rFonts w:asciiTheme="minorHAnsi" w:hAnsiTheme="minorHAnsi" w:eastAsiaTheme="minorEastAsia"/>
        </w:rPr>
        <w:t>KIIs were conducted with 74 individuals.</w:t>
      </w:r>
    </w:p>
    <w:p w:rsidRPr="00D75194" w:rsidR="00F16A30" w:rsidP="2605B8D9" w:rsidRDefault="5D5CBF41" w14:paraId="62CF29F3" w14:textId="5755FCC5">
      <w:pPr>
        <w:spacing w:after="160" w:line="276" w:lineRule="auto"/>
        <w:rPr>
          <w:rFonts w:asciiTheme="minorHAnsi" w:hAnsiTheme="minorHAnsi" w:eastAsiaTheme="minorEastAsia"/>
        </w:rPr>
      </w:pPr>
      <w:r w:rsidRPr="00D75194">
        <w:rPr>
          <w:rFonts w:asciiTheme="minorHAnsi" w:hAnsiTheme="minorHAnsi" w:eastAsiaTheme="minorEastAsia"/>
        </w:rPr>
        <w:t>The</w:t>
      </w:r>
      <w:r w:rsidRPr="00D75194" w:rsidDel="00430C20">
        <w:rPr>
          <w:rFonts w:asciiTheme="minorHAnsi" w:hAnsiTheme="minorHAnsi" w:eastAsiaTheme="minorEastAsia"/>
        </w:rPr>
        <w:t xml:space="preserve"> </w:t>
      </w:r>
      <w:r w:rsidRPr="00D75194">
        <w:rPr>
          <w:rFonts w:asciiTheme="minorHAnsi" w:hAnsiTheme="minorHAnsi" w:eastAsiaTheme="minorEastAsia"/>
        </w:rPr>
        <w:t>LEP team also undertook a ‘validation workshop’ with DESNZ and DAI stakeholders</w:t>
      </w:r>
      <w:r w:rsidRPr="00D75194" w:rsidR="00322FC7">
        <w:rPr>
          <w:rFonts w:asciiTheme="minorHAnsi" w:hAnsiTheme="minorHAnsi" w:eastAsiaTheme="minorEastAsia"/>
        </w:rPr>
        <w:t xml:space="preserve"> to</w:t>
      </w:r>
      <w:r w:rsidRPr="2DCAEB50" w:rsidR="0B08FAD8">
        <w:rPr>
          <w:rFonts w:asciiTheme="minorHAnsi" w:hAnsiTheme="minorHAnsi" w:eastAsiaTheme="minorEastAsia"/>
        </w:rPr>
        <w:t xml:space="preserve"> present</w:t>
      </w:r>
      <w:r w:rsidRPr="00D75194">
        <w:rPr>
          <w:rFonts w:asciiTheme="minorHAnsi" w:hAnsiTheme="minorHAnsi" w:eastAsiaTheme="minorEastAsia"/>
        </w:rPr>
        <w:t xml:space="preserve"> preliminary findings ahead of submission</w:t>
      </w:r>
      <w:r w:rsidRPr="00D75194" w:rsidR="007460AD">
        <w:rPr>
          <w:rFonts w:asciiTheme="minorHAnsi" w:hAnsiTheme="minorHAnsi" w:eastAsiaTheme="minorEastAsia"/>
        </w:rPr>
        <w:t xml:space="preserve"> of</w:t>
      </w:r>
      <w:r w:rsidRPr="00D75194" w:rsidR="007460AD">
        <w:t xml:space="preserve"> </w:t>
      </w:r>
      <w:r w:rsidRPr="00D75194" w:rsidR="007460AD">
        <w:rPr>
          <w:rFonts w:asciiTheme="minorHAnsi" w:hAnsiTheme="minorHAnsi" w:eastAsiaTheme="minorEastAsia"/>
        </w:rPr>
        <w:t>the final evaluation report</w:t>
      </w:r>
      <w:r w:rsidRPr="00D75194" w:rsidR="00BE1661">
        <w:rPr>
          <w:rFonts w:asciiTheme="minorHAnsi" w:hAnsiTheme="minorHAnsi" w:eastAsiaTheme="minorEastAsia"/>
        </w:rPr>
        <w:t>,</w:t>
      </w:r>
      <w:r w:rsidRPr="00D75194">
        <w:rPr>
          <w:rFonts w:asciiTheme="minorHAnsi" w:hAnsiTheme="minorHAnsi" w:eastAsiaTheme="minorEastAsia"/>
        </w:rPr>
        <w:t xml:space="preserve"> </w:t>
      </w:r>
      <w:proofErr w:type="gramStart"/>
      <w:r w:rsidRPr="00D75194">
        <w:rPr>
          <w:rFonts w:asciiTheme="minorHAnsi" w:hAnsiTheme="minorHAnsi" w:eastAsiaTheme="minorEastAsia"/>
        </w:rPr>
        <w:t>in order to</w:t>
      </w:r>
      <w:proofErr w:type="gramEnd"/>
      <w:r w:rsidRPr="00D75194">
        <w:rPr>
          <w:rFonts w:asciiTheme="minorHAnsi" w:hAnsiTheme="minorHAnsi" w:eastAsiaTheme="minorEastAsia"/>
        </w:rPr>
        <w:t xml:space="preserve"> </w:t>
      </w:r>
      <w:r w:rsidRPr="2DCAEB50" w:rsidR="0B08FAD8">
        <w:rPr>
          <w:rFonts w:asciiTheme="minorHAnsi" w:hAnsiTheme="minorHAnsi" w:eastAsiaTheme="minorEastAsia"/>
        </w:rPr>
        <w:t>elicit</w:t>
      </w:r>
      <w:r w:rsidRPr="00D75194">
        <w:rPr>
          <w:rFonts w:asciiTheme="minorHAnsi" w:hAnsiTheme="minorHAnsi" w:eastAsiaTheme="minorEastAsia"/>
        </w:rPr>
        <w:t xml:space="preserve"> critical engagement with the findings.</w:t>
      </w:r>
    </w:p>
    <w:p w:rsidRPr="00D75194" w:rsidR="00F16A30" w:rsidP="2605B8D9" w:rsidRDefault="5D5CBF41" w14:paraId="547CADF1" w14:textId="68E8B8A3">
      <w:pPr>
        <w:spacing w:after="160" w:line="276" w:lineRule="auto"/>
        <w:rPr>
          <w:rFonts w:asciiTheme="minorHAnsi" w:hAnsiTheme="minorHAnsi" w:eastAsiaTheme="minorEastAsia"/>
        </w:rPr>
      </w:pPr>
      <w:r w:rsidRPr="00D75194">
        <w:rPr>
          <w:rFonts w:asciiTheme="minorHAnsi" w:hAnsiTheme="minorHAnsi" w:eastAsiaTheme="minorEastAsia"/>
        </w:rPr>
        <w:t xml:space="preserve">The main </w:t>
      </w:r>
      <w:r w:rsidRPr="00D75194" w:rsidR="00666CDB">
        <w:rPr>
          <w:rFonts w:asciiTheme="minorHAnsi" w:hAnsiTheme="minorHAnsi" w:eastAsiaTheme="minorEastAsia"/>
        </w:rPr>
        <w:t xml:space="preserve">evaluation questions </w:t>
      </w:r>
      <w:r w:rsidRPr="00D75194">
        <w:rPr>
          <w:rFonts w:asciiTheme="minorHAnsi" w:hAnsiTheme="minorHAnsi" w:eastAsiaTheme="minorEastAsia"/>
        </w:rPr>
        <w:t>are listed below</w:t>
      </w:r>
      <w:r w:rsidRPr="00D75194" w:rsidR="003819E4">
        <w:rPr>
          <w:rFonts w:asciiTheme="minorHAnsi" w:hAnsiTheme="minorHAnsi" w:eastAsiaTheme="minorEastAsia"/>
        </w:rPr>
        <w:t>. They</w:t>
      </w:r>
      <w:r w:rsidRPr="00D75194" w:rsidDel="003819E4">
        <w:rPr>
          <w:rFonts w:asciiTheme="minorHAnsi" w:hAnsiTheme="minorHAnsi" w:eastAsiaTheme="minorEastAsia"/>
        </w:rPr>
        <w:t xml:space="preserve"> </w:t>
      </w:r>
      <w:r w:rsidRPr="2DCAEB50" w:rsidR="0B08FAD8">
        <w:rPr>
          <w:rFonts w:asciiTheme="minorHAnsi" w:hAnsiTheme="minorHAnsi" w:eastAsiaTheme="minorEastAsia"/>
        </w:rPr>
        <w:t>follow</w:t>
      </w:r>
      <w:r w:rsidRPr="00D75194">
        <w:rPr>
          <w:rFonts w:asciiTheme="minorHAnsi" w:hAnsiTheme="minorHAnsi" w:eastAsiaTheme="minorEastAsia"/>
        </w:rPr>
        <w:t xml:space="preserve"> the Organisation for Economic Cooperation’s Development Assistance Committee (OECD DAC) evaluation criteria</w:t>
      </w:r>
      <w:r w:rsidRPr="00D75194" w:rsidR="003819E4">
        <w:rPr>
          <w:rFonts w:asciiTheme="minorHAnsi" w:hAnsiTheme="minorHAnsi" w:eastAsiaTheme="minorEastAsia"/>
        </w:rPr>
        <w:t xml:space="preserve">. </w:t>
      </w:r>
    </w:p>
    <w:p w:rsidRPr="00D75194" w:rsidR="00F16A30" w:rsidP="00A66917" w:rsidRDefault="5D5CBF41" w14:paraId="2B1FA59C" w14:textId="529994C2">
      <w:pPr>
        <w:pStyle w:val="ListParagraph"/>
        <w:numPr>
          <w:ilvl w:val="0"/>
          <w:numId w:val="43"/>
        </w:numPr>
        <w:spacing w:line="276" w:lineRule="auto"/>
        <w:rPr>
          <w:rFonts w:asciiTheme="minorHAnsi" w:hAnsiTheme="minorHAnsi" w:eastAsiaTheme="minorEastAsia"/>
        </w:rPr>
      </w:pPr>
      <w:r w:rsidRPr="00D75194">
        <w:rPr>
          <w:rFonts w:asciiTheme="minorHAnsi" w:hAnsiTheme="minorHAnsi" w:eastAsiaTheme="minorEastAsia"/>
          <w:b/>
          <w:bCs/>
        </w:rPr>
        <w:t>Relevance</w:t>
      </w:r>
      <w:r w:rsidRPr="00D75194">
        <w:rPr>
          <w:rFonts w:asciiTheme="minorHAnsi" w:hAnsiTheme="minorHAnsi" w:eastAsiaTheme="minorEastAsia"/>
        </w:rPr>
        <w:t xml:space="preserve">: How, and in what ways, is the current CASA delivery model (including expertise, interventions, and delivery) appropriate and sufficient to increase negotiator capacity and influence international negotiation approaches? </w:t>
      </w:r>
    </w:p>
    <w:p w:rsidRPr="00D75194" w:rsidR="00F16A30" w:rsidP="00A66917" w:rsidRDefault="5D5CBF41" w14:paraId="193BA345" w14:textId="0BF5100C">
      <w:pPr>
        <w:pStyle w:val="ListParagraph"/>
        <w:numPr>
          <w:ilvl w:val="0"/>
          <w:numId w:val="43"/>
        </w:numPr>
        <w:spacing w:line="276" w:lineRule="auto"/>
        <w:rPr>
          <w:rFonts w:asciiTheme="minorHAnsi" w:hAnsiTheme="minorHAnsi" w:eastAsiaTheme="minorEastAsia"/>
        </w:rPr>
      </w:pPr>
      <w:r w:rsidRPr="00D75194">
        <w:rPr>
          <w:rFonts w:asciiTheme="minorHAnsi" w:hAnsiTheme="minorHAnsi" w:eastAsiaTheme="minorEastAsia"/>
          <w:b/>
          <w:bCs/>
        </w:rPr>
        <w:t>Coherence</w:t>
      </w:r>
      <w:r w:rsidRPr="00D75194">
        <w:rPr>
          <w:rFonts w:asciiTheme="minorHAnsi" w:hAnsiTheme="minorHAnsi" w:eastAsiaTheme="minorEastAsia"/>
        </w:rPr>
        <w:t xml:space="preserve">: Do the CASA interventions demonstrate coherence across time? </w:t>
      </w:r>
    </w:p>
    <w:p w:rsidRPr="00D75194" w:rsidR="00F16A30" w:rsidP="00A66917" w:rsidRDefault="5D5CBF41" w14:paraId="146F875A" w14:textId="4C11A471">
      <w:pPr>
        <w:pStyle w:val="ListParagraph"/>
        <w:numPr>
          <w:ilvl w:val="0"/>
          <w:numId w:val="43"/>
        </w:numPr>
        <w:spacing w:line="276" w:lineRule="auto"/>
        <w:rPr>
          <w:rFonts w:asciiTheme="minorHAnsi" w:hAnsiTheme="minorHAnsi" w:eastAsiaTheme="minorEastAsia"/>
        </w:rPr>
      </w:pPr>
      <w:r w:rsidRPr="00D75194">
        <w:rPr>
          <w:rFonts w:asciiTheme="minorHAnsi" w:hAnsiTheme="minorHAnsi" w:eastAsiaTheme="minorEastAsia"/>
          <w:b/>
          <w:bCs/>
        </w:rPr>
        <w:t>Efficiency</w:t>
      </w:r>
      <w:r w:rsidRPr="00D75194">
        <w:rPr>
          <w:rFonts w:asciiTheme="minorHAnsi" w:hAnsiTheme="minorHAnsi" w:eastAsiaTheme="minorEastAsia"/>
        </w:rPr>
        <w:t xml:space="preserve">: To what extent does CASA represent </w:t>
      </w:r>
      <w:r w:rsidRPr="00D75194" w:rsidR="00CE1902">
        <w:rPr>
          <w:rFonts w:asciiTheme="minorHAnsi" w:hAnsiTheme="minorHAnsi" w:eastAsiaTheme="minorEastAsia"/>
        </w:rPr>
        <w:t>value for money (</w:t>
      </w:r>
      <w:r w:rsidRPr="72789DE0" w:rsidR="00B079A3">
        <w:rPr>
          <w:rFonts w:asciiTheme="minorHAnsi" w:hAnsiTheme="minorHAnsi" w:eastAsiaTheme="minorEastAsia"/>
        </w:rPr>
        <w:t>VFM</w:t>
      </w:r>
      <w:r w:rsidRPr="72789DE0" w:rsidR="00CE1902">
        <w:rPr>
          <w:rFonts w:asciiTheme="minorHAnsi" w:hAnsiTheme="minorHAnsi" w:eastAsiaTheme="minorEastAsia"/>
        </w:rPr>
        <w:t>)</w:t>
      </w:r>
      <w:r w:rsidRPr="72789DE0" w:rsidR="4AA775C7">
        <w:rPr>
          <w:rFonts w:asciiTheme="minorHAnsi" w:hAnsiTheme="minorHAnsi" w:eastAsiaTheme="minorEastAsia"/>
        </w:rPr>
        <w:t>?</w:t>
      </w:r>
    </w:p>
    <w:p w:rsidRPr="00D75194" w:rsidR="00F16A30" w:rsidP="00A66917" w:rsidRDefault="5D5CBF41" w14:paraId="772F7C56" w14:textId="27990696">
      <w:pPr>
        <w:pStyle w:val="ListParagraph"/>
        <w:numPr>
          <w:ilvl w:val="0"/>
          <w:numId w:val="43"/>
        </w:numPr>
        <w:spacing w:line="276" w:lineRule="auto"/>
        <w:rPr>
          <w:rFonts w:asciiTheme="minorHAnsi" w:hAnsiTheme="minorHAnsi" w:eastAsiaTheme="minorEastAsia"/>
        </w:rPr>
      </w:pPr>
      <w:r w:rsidRPr="00D75194">
        <w:rPr>
          <w:rFonts w:asciiTheme="minorHAnsi" w:hAnsiTheme="minorHAnsi" w:eastAsiaTheme="minorEastAsia"/>
          <w:b/>
          <w:bCs/>
        </w:rPr>
        <w:t>Effectiveness</w:t>
      </w:r>
      <w:r w:rsidRPr="00D75194">
        <w:rPr>
          <w:rFonts w:asciiTheme="minorHAnsi" w:hAnsiTheme="minorHAnsi" w:eastAsiaTheme="minorEastAsia"/>
        </w:rPr>
        <w:t>: To what extent is the UK’s support under CASA II achieving its intended results?</w:t>
      </w:r>
    </w:p>
    <w:p w:rsidRPr="00D75194" w:rsidR="00F16A30" w:rsidP="00A66917" w:rsidRDefault="5D5CBF41" w14:paraId="2D60EA00" w14:textId="1F9A9B45">
      <w:pPr>
        <w:pStyle w:val="ListParagraph"/>
        <w:numPr>
          <w:ilvl w:val="0"/>
          <w:numId w:val="43"/>
        </w:numPr>
        <w:spacing w:line="276" w:lineRule="auto"/>
        <w:rPr>
          <w:rFonts w:asciiTheme="minorHAnsi" w:hAnsiTheme="minorHAnsi" w:eastAsiaTheme="minorEastAsia"/>
        </w:rPr>
      </w:pPr>
      <w:r w:rsidRPr="00D75194">
        <w:rPr>
          <w:rFonts w:asciiTheme="minorHAnsi" w:hAnsiTheme="minorHAnsi" w:eastAsiaTheme="minorEastAsia"/>
          <w:b/>
          <w:bCs/>
        </w:rPr>
        <w:t>Impact</w:t>
      </w:r>
      <w:r w:rsidRPr="00D75194">
        <w:rPr>
          <w:rFonts w:asciiTheme="minorHAnsi" w:hAnsiTheme="minorHAnsi" w:eastAsiaTheme="minorEastAsia"/>
        </w:rPr>
        <w:t>: To what extent is the UK's support to country negotiators under CASA II contributing to</w:t>
      </w:r>
      <w:r w:rsidRPr="00D75194" w:rsidR="008175F4">
        <w:rPr>
          <w:rFonts w:asciiTheme="minorHAnsi" w:hAnsiTheme="minorHAnsi" w:eastAsiaTheme="minorEastAsia"/>
        </w:rPr>
        <w:t>,</w:t>
      </w:r>
      <w:r w:rsidRPr="00D75194">
        <w:rPr>
          <w:rFonts w:asciiTheme="minorHAnsi" w:hAnsiTheme="minorHAnsi" w:eastAsiaTheme="minorEastAsia"/>
        </w:rPr>
        <w:t xml:space="preserve"> or expected to contribute to</w:t>
      </w:r>
      <w:r w:rsidRPr="00D75194" w:rsidR="008175F4">
        <w:rPr>
          <w:rFonts w:asciiTheme="minorHAnsi" w:hAnsiTheme="minorHAnsi" w:eastAsiaTheme="minorEastAsia"/>
        </w:rPr>
        <w:t>,</w:t>
      </w:r>
      <w:r w:rsidRPr="00D75194">
        <w:rPr>
          <w:rFonts w:asciiTheme="minorHAnsi" w:hAnsiTheme="minorHAnsi" w:eastAsiaTheme="minorEastAsia"/>
        </w:rPr>
        <w:t xml:space="preserve"> its intended impact? </w:t>
      </w:r>
    </w:p>
    <w:p w:rsidRPr="00D75194" w:rsidR="00F16A30" w:rsidP="00A66917" w:rsidRDefault="5D5CBF41" w14:paraId="78824763" w14:textId="5BDE6714">
      <w:pPr>
        <w:pStyle w:val="ListParagraph"/>
        <w:numPr>
          <w:ilvl w:val="0"/>
          <w:numId w:val="43"/>
        </w:numPr>
        <w:spacing w:line="276" w:lineRule="auto"/>
        <w:rPr>
          <w:rFonts w:asciiTheme="minorHAnsi" w:hAnsiTheme="minorHAnsi" w:eastAsiaTheme="minorEastAsia"/>
        </w:rPr>
      </w:pPr>
      <w:r w:rsidRPr="00D75194">
        <w:rPr>
          <w:rFonts w:asciiTheme="minorHAnsi" w:hAnsiTheme="minorHAnsi" w:eastAsiaTheme="minorEastAsia"/>
          <w:b/>
          <w:bCs/>
        </w:rPr>
        <w:t>Sustainability</w:t>
      </w:r>
      <w:r w:rsidRPr="00D75194">
        <w:rPr>
          <w:rFonts w:asciiTheme="minorHAnsi" w:hAnsiTheme="minorHAnsi" w:eastAsiaTheme="minorEastAsia"/>
        </w:rPr>
        <w:t>: Are the results of the UK’s long-term support to developing country negotiators likely to be sustained beyond CASA II’s completion?</w:t>
      </w:r>
    </w:p>
    <w:p w:rsidRPr="00D75194" w:rsidR="00F16A30" w:rsidP="00A66917" w:rsidRDefault="5D5CBF41" w14:paraId="7189B4BF" w14:textId="4011F297">
      <w:pPr>
        <w:pStyle w:val="Heading2"/>
        <w:numPr>
          <w:ilvl w:val="0"/>
          <w:numId w:val="0"/>
        </w:numPr>
        <w:ind w:left="851" w:hanging="851"/>
      </w:pPr>
      <w:bookmarkStart w:name="_Toc204780047" w:id="17"/>
      <w:bookmarkStart w:name="_Toc204796550" w:id="18"/>
      <w:bookmarkStart w:name="_Toc214452902" w:id="19"/>
      <w:r w:rsidRPr="00D75194">
        <w:t>Findings</w:t>
      </w:r>
      <w:bookmarkEnd w:id="17"/>
      <w:bookmarkEnd w:id="18"/>
      <w:bookmarkEnd w:id="19"/>
      <w:r w:rsidRPr="00D75194">
        <w:t xml:space="preserve"> </w:t>
      </w:r>
    </w:p>
    <w:p w:rsidRPr="00D75194" w:rsidR="00F16A30" w:rsidP="00A66917" w:rsidRDefault="5D5CBF41" w14:paraId="27E7C59E" w14:textId="44A9AA77">
      <w:pPr>
        <w:pStyle w:val="Heading3"/>
        <w:numPr>
          <w:ilvl w:val="0"/>
          <w:numId w:val="0"/>
        </w:numPr>
        <w:ind w:left="851" w:hanging="851"/>
      </w:pPr>
      <w:r w:rsidRPr="00D75194">
        <w:t xml:space="preserve">Relevance </w:t>
      </w:r>
    </w:p>
    <w:p w:rsidRPr="00D75194" w:rsidR="00F16A30" w:rsidP="2605B8D9" w:rsidRDefault="5D5CBF41" w14:paraId="02E6AD1D" w14:textId="7DCE78D1">
      <w:pPr>
        <w:spacing w:after="160" w:line="276" w:lineRule="auto"/>
        <w:rPr>
          <w:rFonts w:asciiTheme="minorHAnsi" w:hAnsiTheme="minorHAnsi" w:eastAsiaTheme="minorEastAsia"/>
        </w:rPr>
      </w:pPr>
      <w:r w:rsidRPr="00D75194">
        <w:rPr>
          <w:rFonts w:asciiTheme="minorHAnsi" w:hAnsiTheme="minorHAnsi" w:eastAsiaTheme="minorEastAsia"/>
          <w:b/>
          <w:bCs/>
        </w:rPr>
        <w:t>There is strong evidence that CASA II remains highly relevant to both negotiators and the core negotiating groups</w:t>
      </w:r>
      <w:r w:rsidRPr="00D75194" w:rsidR="00142874">
        <w:rPr>
          <w:rFonts w:asciiTheme="minorHAnsi" w:hAnsiTheme="minorHAnsi" w:eastAsiaTheme="minorEastAsia"/>
          <w:b/>
          <w:bCs/>
        </w:rPr>
        <w:t xml:space="preserve"> the programme</w:t>
      </w:r>
      <w:r w:rsidRPr="00D75194">
        <w:rPr>
          <w:rFonts w:asciiTheme="minorHAnsi" w:hAnsiTheme="minorHAnsi" w:eastAsiaTheme="minorEastAsia"/>
          <w:b/>
          <w:bCs/>
        </w:rPr>
        <w:t xml:space="preserve"> aims to support, including the </w:t>
      </w:r>
      <w:r w:rsidRPr="00D75194" w:rsidR="00477471">
        <w:rPr>
          <w:rFonts w:asciiTheme="minorHAnsi" w:hAnsiTheme="minorHAnsi" w:eastAsiaTheme="minorEastAsia"/>
          <w:b/>
          <w:bCs/>
        </w:rPr>
        <w:t>Least Developed Countries (</w:t>
      </w:r>
      <w:r w:rsidRPr="00D75194">
        <w:rPr>
          <w:rFonts w:asciiTheme="minorHAnsi" w:hAnsiTheme="minorHAnsi" w:eastAsiaTheme="minorEastAsia"/>
          <w:b/>
          <w:bCs/>
        </w:rPr>
        <w:t>LDC</w:t>
      </w:r>
      <w:r w:rsidRPr="00D75194" w:rsidR="00477471">
        <w:rPr>
          <w:rFonts w:asciiTheme="minorHAnsi" w:hAnsiTheme="minorHAnsi" w:eastAsiaTheme="minorEastAsia"/>
          <w:b/>
          <w:bCs/>
        </w:rPr>
        <w:t>)</w:t>
      </w:r>
      <w:r w:rsidRPr="00D75194">
        <w:rPr>
          <w:rFonts w:asciiTheme="minorHAnsi" w:hAnsiTheme="minorHAnsi" w:eastAsiaTheme="minorEastAsia"/>
          <w:b/>
          <w:bCs/>
        </w:rPr>
        <w:t xml:space="preserve"> Group, the Alliance of Small Island States (AOSIS), and the </w:t>
      </w:r>
      <w:r w:rsidRPr="00D75194" w:rsidR="00477471">
        <w:rPr>
          <w:rFonts w:asciiTheme="minorHAnsi" w:hAnsiTheme="minorHAnsi" w:eastAsiaTheme="minorEastAsia"/>
          <w:b/>
          <w:bCs/>
        </w:rPr>
        <w:t>High Ambition Coalition (</w:t>
      </w:r>
      <w:r w:rsidRPr="00D75194">
        <w:rPr>
          <w:rFonts w:asciiTheme="minorHAnsi" w:hAnsiTheme="minorHAnsi" w:eastAsiaTheme="minorEastAsia"/>
          <w:b/>
          <w:bCs/>
        </w:rPr>
        <w:t>HAC).</w:t>
      </w:r>
      <w:r w:rsidRPr="00D75194">
        <w:rPr>
          <w:rFonts w:asciiTheme="minorHAnsi" w:hAnsiTheme="minorHAnsi" w:eastAsiaTheme="minorEastAsia"/>
        </w:rPr>
        <w:t xml:space="preserve"> The programme’s delivery model effectively meets the needs of these negotiating groups and adapts to dynamic UNFCCC contexts. The T</w:t>
      </w:r>
      <w:r w:rsidRPr="00D75194" w:rsidR="0082076E">
        <w:rPr>
          <w:rFonts w:asciiTheme="minorHAnsi" w:hAnsiTheme="minorHAnsi" w:eastAsiaTheme="minorEastAsia"/>
        </w:rPr>
        <w:t xml:space="preserve">echnical </w:t>
      </w:r>
      <w:r w:rsidRPr="00D75194">
        <w:rPr>
          <w:rFonts w:asciiTheme="minorHAnsi" w:hAnsiTheme="minorHAnsi" w:eastAsiaTheme="minorEastAsia"/>
        </w:rPr>
        <w:t>P</w:t>
      </w:r>
      <w:r w:rsidRPr="00D75194" w:rsidR="0082076E">
        <w:rPr>
          <w:rFonts w:asciiTheme="minorHAnsi" w:hAnsiTheme="minorHAnsi" w:eastAsiaTheme="minorEastAsia"/>
        </w:rPr>
        <w:t>artner</w:t>
      </w:r>
      <w:r w:rsidRPr="00D75194">
        <w:rPr>
          <w:rFonts w:asciiTheme="minorHAnsi" w:hAnsiTheme="minorHAnsi" w:eastAsiaTheme="minorEastAsia"/>
        </w:rPr>
        <w:t>s’</w:t>
      </w:r>
      <w:r w:rsidRPr="00D75194" w:rsidR="00F65454">
        <w:rPr>
          <w:rFonts w:asciiTheme="minorHAnsi" w:hAnsiTheme="minorHAnsi" w:eastAsiaTheme="minorEastAsia"/>
        </w:rPr>
        <w:t xml:space="preserve"> (TPs’)</w:t>
      </w:r>
      <w:r w:rsidRPr="00D75194">
        <w:rPr>
          <w:rFonts w:asciiTheme="minorHAnsi" w:hAnsiTheme="minorHAnsi" w:eastAsiaTheme="minorEastAsia"/>
        </w:rPr>
        <w:t xml:space="preserve"> established trust with negotiators and negotiating groups, reputation, and consistent </w:t>
      </w:r>
      <w:r w:rsidRPr="00D75194">
        <w:rPr>
          <w:rFonts w:asciiTheme="minorHAnsi" w:hAnsiTheme="minorHAnsi" w:eastAsiaTheme="minorEastAsia"/>
        </w:rPr>
        <w:t xml:space="preserve">engagement with the UNFCCC agenda continue to be key assets that enable the CASA partners, and therefore the </w:t>
      </w:r>
      <w:proofErr w:type="gramStart"/>
      <w:r w:rsidRPr="00D75194">
        <w:rPr>
          <w:rFonts w:asciiTheme="minorHAnsi" w:hAnsiTheme="minorHAnsi" w:eastAsiaTheme="minorEastAsia"/>
        </w:rPr>
        <w:t>programme as a whole, to</w:t>
      </w:r>
      <w:proofErr w:type="gramEnd"/>
      <w:r w:rsidRPr="00D75194">
        <w:rPr>
          <w:rFonts w:asciiTheme="minorHAnsi" w:hAnsiTheme="minorHAnsi" w:eastAsiaTheme="minorEastAsia"/>
        </w:rPr>
        <w:t xml:space="preserve"> respond to shifting priorities across groups and countries. </w:t>
      </w:r>
    </w:p>
    <w:p w:rsidRPr="00D75194" w:rsidR="00F16A30" w:rsidP="2605B8D9" w:rsidRDefault="5D5CBF41" w14:paraId="3457123D" w14:textId="799AD1F2">
      <w:pPr>
        <w:spacing w:after="160" w:line="276" w:lineRule="auto"/>
        <w:rPr>
          <w:rFonts w:asciiTheme="minorHAnsi" w:hAnsiTheme="minorHAnsi" w:eastAsiaTheme="minorEastAsia"/>
        </w:rPr>
      </w:pPr>
      <w:r w:rsidRPr="00D75194">
        <w:rPr>
          <w:rFonts w:asciiTheme="minorHAnsi" w:hAnsiTheme="minorHAnsi" w:eastAsiaTheme="minorEastAsia"/>
        </w:rPr>
        <w:t xml:space="preserve">Individual capacity building remains in high demand, particularly given the increasing workload faced by negotiators. Notable and valued elements of the model include </w:t>
      </w:r>
      <w:r w:rsidRPr="00D75194" w:rsidR="00DB6353">
        <w:rPr>
          <w:rFonts w:asciiTheme="minorHAnsi" w:hAnsiTheme="minorHAnsi" w:eastAsiaTheme="minorEastAsia"/>
        </w:rPr>
        <w:t>Legal Response International (</w:t>
      </w:r>
      <w:r w:rsidRPr="00D75194">
        <w:rPr>
          <w:rFonts w:asciiTheme="minorHAnsi" w:hAnsiTheme="minorHAnsi" w:eastAsiaTheme="minorEastAsia"/>
        </w:rPr>
        <w:t>LRI</w:t>
      </w:r>
      <w:r w:rsidRPr="00D75194" w:rsidR="00DB6353">
        <w:rPr>
          <w:rFonts w:asciiTheme="minorHAnsi" w:hAnsiTheme="minorHAnsi" w:eastAsiaTheme="minorEastAsia"/>
        </w:rPr>
        <w:t>)</w:t>
      </w:r>
      <w:r w:rsidRPr="00D75194">
        <w:rPr>
          <w:rFonts w:asciiTheme="minorHAnsi" w:hAnsiTheme="minorHAnsi" w:eastAsiaTheme="minorEastAsia"/>
        </w:rPr>
        <w:t>, who as a TP provides not just legal training but sourcing of legal expertise through an extensive professional network. Another valued element of CASA’s model is the mentorship-based ‘</w:t>
      </w:r>
      <w:r w:rsidRPr="00D75194" w:rsidR="001B328B">
        <w:rPr>
          <w:rFonts w:asciiTheme="minorHAnsi" w:hAnsiTheme="minorHAnsi" w:eastAsiaTheme="minorEastAsia"/>
        </w:rPr>
        <w:t xml:space="preserve">elder’ </w:t>
      </w:r>
      <w:r w:rsidRPr="00D75194">
        <w:rPr>
          <w:rFonts w:asciiTheme="minorHAnsi" w:hAnsiTheme="minorHAnsi" w:eastAsiaTheme="minorEastAsia"/>
        </w:rPr>
        <w:t xml:space="preserve">model many TPs use to deliver capacity building and training of negotiators. Negotiators interviewed consistently noted that short-term training alone is insufficient; support throughout the full </w:t>
      </w:r>
      <w:r w:rsidRPr="2DCAEB50" w:rsidR="168B360F">
        <w:rPr>
          <w:rFonts w:asciiTheme="minorHAnsi" w:hAnsiTheme="minorHAnsi" w:eastAsiaTheme="minorEastAsia"/>
        </w:rPr>
        <w:t xml:space="preserve">annual negotiation </w:t>
      </w:r>
      <w:r w:rsidRPr="2DCAEB50" w:rsidR="0B08FAD8">
        <w:rPr>
          <w:rFonts w:asciiTheme="minorHAnsi" w:hAnsiTheme="minorHAnsi" w:eastAsiaTheme="minorEastAsia"/>
        </w:rPr>
        <w:t>cycle</w:t>
      </w:r>
      <w:r w:rsidRPr="2DCAEB50" w:rsidR="68273296">
        <w:rPr>
          <w:rFonts w:asciiTheme="minorHAnsi" w:hAnsiTheme="minorHAnsi" w:eastAsiaTheme="minorEastAsia"/>
        </w:rPr>
        <w:t>—</w:t>
      </w:r>
      <w:r w:rsidRPr="00D75194">
        <w:rPr>
          <w:rFonts w:asciiTheme="minorHAnsi" w:hAnsiTheme="minorHAnsi" w:eastAsiaTheme="minorEastAsia"/>
        </w:rPr>
        <w:t>not just during formal UNFCCC intersessional periods</w:t>
      </w:r>
      <w:r w:rsidRPr="00D75194" w:rsidR="00B1171A">
        <w:rPr>
          <w:rFonts w:asciiTheme="minorHAnsi" w:hAnsiTheme="minorHAnsi" w:eastAsiaTheme="minorEastAsia"/>
        </w:rPr>
        <w:t>—</w:t>
      </w:r>
      <w:r w:rsidRPr="00D75194">
        <w:rPr>
          <w:rFonts w:asciiTheme="minorHAnsi" w:hAnsiTheme="minorHAnsi" w:eastAsiaTheme="minorEastAsia"/>
        </w:rPr>
        <w:t xml:space="preserve">is critical. As the age profile of negotiators shifts, with a younger generation stepping forward to engage in UNFCCC, CASA is adapting to meet the evolving needs of junior negotiators. </w:t>
      </w:r>
    </w:p>
    <w:p w:rsidRPr="00D75194" w:rsidR="00F16A30" w:rsidP="2605B8D9" w:rsidRDefault="5D5CBF41" w14:paraId="4EB55DA7" w14:textId="7681293E">
      <w:pPr>
        <w:spacing w:after="160" w:line="276" w:lineRule="auto"/>
        <w:rPr>
          <w:rFonts w:asciiTheme="minorHAnsi" w:hAnsiTheme="minorHAnsi" w:eastAsiaTheme="minorEastAsia"/>
        </w:rPr>
      </w:pPr>
      <w:r w:rsidRPr="2DCAEB50">
        <w:rPr>
          <w:rFonts w:asciiTheme="minorHAnsi" w:hAnsiTheme="minorHAnsi" w:eastAsiaTheme="minorEastAsia"/>
          <w:b/>
          <w:bCs/>
        </w:rPr>
        <w:t>The O</w:t>
      </w:r>
      <w:r w:rsidRPr="2DCAEB50" w:rsidR="00DA1DD6">
        <w:rPr>
          <w:rFonts w:asciiTheme="minorHAnsi" w:hAnsiTheme="minorHAnsi" w:eastAsiaTheme="minorEastAsia"/>
          <w:b/>
          <w:bCs/>
        </w:rPr>
        <w:t>pportunity Fund (O</w:t>
      </w:r>
      <w:r w:rsidRPr="2DCAEB50">
        <w:rPr>
          <w:rFonts w:asciiTheme="minorHAnsi" w:hAnsiTheme="minorHAnsi" w:eastAsiaTheme="minorEastAsia"/>
          <w:b/>
          <w:bCs/>
        </w:rPr>
        <w:t>F</w:t>
      </w:r>
      <w:r w:rsidRPr="2DCAEB50" w:rsidR="00DA1DD6">
        <w:rPr>
          <w:rFonts w:asciiTheme="minorHAnsi" w:hAnsiTheme="minorHAnsi" w:eastAsiaTheme="minorEastAsia"/>
          <w:b/>
          <w:bCs/>
        </w:rPr>
        <w:t>)</w:t>
      </w:r>
      <w:r w:rsidRPr="2DCAEB50" w:rsidR="61B55B57">
        <w:rPr>
          <w:rFonts w:asciiTheme="minorHAnsi" w:hAnsiTheme="minorHAnsi" w:eastAsiaTheme="minorEastAsia"/>
          <w:b/>
          <w:bCs/>
        </w:rPr>
        <w:t xml:space="preserve">– </w:t>
      </w:r>
      <w:r w:rsidR="006211A1">
        <w:rPr>
          <w:rFonts w:asciiTheme="minorHAnsi" w:hAnsiTheme="minorHAnsi" w:eastAsiaTheme="minorEastAsia"/>
          <w:b/>
          <w:bCs/>
        </w:rPr>
        <w:t>t</w:t>
      </w:r>
      <w:r w:rsidRPr="2DCAEB50" w:rsidR="2516FD9B">
        <w:rPr>
          <w:rFonts w:asciiTheme="minorHAnsi" w:hAnsiTheme="minorHAnsi" w:eastAsiaTheme="minorEastAsia"/>
          <w:b/>
          <w:bCs/>
        </w:rPr>
        <w:t>he third work pack</w:t>
      </w:r>
      <w:r w:rsidRPr="2DCAEB50" w:rsidR="001F1B91">
        <w:rPr>
          <w:rFonts w:asciiTheme="minorHAnsi" w:hAnsiTheme="minorHAnsi" w:eastAsiaTheme="minorEastAsia"/>
          <w:b/>
          <w:bCs/>
        </w:rPr>
        <w:t>a</w:t>
      </w:r>
      <w:r w:rsidRPr="2DCAEB50" w:rsidR="2516FD9B">
        <w:rPr>
          <w:rFonts w:asciiTheme="minorHAnsi" w:hAnsiTheme="minorHAnsi" w:eastAsiaTheme="minorEastAsia"/>
          <w:b/>
          <w:bCs/>
        </w:rPr>
        <w:t xml:space="preserve">ge under CASA’s delivery – </w:t>
      </w:r>
      <w:r w:rsidRPr="00D75194">
        <w:rPr>
          <w:rFonts w:asciiTheme="minorHAnsi" w:hAnsiTheme="minorHAnsi" w:eastAsiaTheme="minorEastAsia"/>
          <w:b/>
          <w:bCs/>
        </w:rPr>
        <w:t>has expanded the pool of TPs</w:t>
      </w:r>
      <w:r w:rsidRPr="00D75194" w:rsidR="00635D32">
        <w:rPr>
          <w:rFonts w:asciiTheme="minorHAnsi" w:hAnsiTheme="minorHAnsi" w:eastAsiaTheme="minorEastAsia"/>
          <w:b/>
          <w:bCs/>
        </w:rPr>
        <w:t>’</w:t>
      </w:r>
      <w:r w:rsidRPr="00D75194">
        <w:rPr>
          <w:rFonts w:asciiTheme="minorHAnsi" w:hAnsiTheme="minorHAnsi" w:eastAsiaTheme="minorEastAsia"/>
          <w:b/>
          <w:bCs/>
        </w:rPr>
        <w:t xml:space="preserve"> and CASA’s ‘stock of assets</w:t>
      </w:r>
      <w:r w:rsidRPr="00D75194" w:rsidR="003546C6">
        <w:rPr>
          <w:rFonts w:asciiTheme="minorHAnsi" w:hAnsiTheme="minorHAnsi" w:eastAsiaTheme="minorEastAsia"/>
          <w:b/>
          <w:bCs/>
        </w:rPr>
        <w:t>’</w:t>
      </w:r>
      <w:r w:rsidRPr="00D75194">
        <w:rPr>
          <w:rFonts w:asciiTheme="minorHAnsi" w:hAnsiTheme="minorHAnsi" w:eastAsiaTheme="minorEastAsia"/>
          <w:b/>
          <w:bCs/>
        </w:rPr>
        <w:t xml:space="preserve">, enhancing the programme’s agility and reach. It is also meeting needs beyond the core negotiating groups, </w:t>
      </w:r>
      <w:r w:rsidRPr="00D75194" w:rsidR="003546C6">
        <w:rPr>
          <w:rFonts w:asciiTheme="minorHAnsi" w:hAnsiTheme="minorHAnsi" w:eastAsiaTheme="minorEastAsia"/>
          <w:b/>
          <w:bCs/>
        </w:rPr>
        <w:t xml:space="preserve">by </w:t>
      </w:r>
      <w:r w:rsidRPr="00D75194">
        <w:rPr>
          <w:rFonts w:asciiTheme="minorHAnsi" w:hAnsiTheme="minorHAnsi" w:eastAsiaTheme="minorEastAsia"/>
          <w:b/>
          <w:bCs/>
        </w:rPr>
        <w:t>supporting a broader range of stakeholders.</w:t>
      </w:r>
      <w:r w:rsidRPr="00D75194">
        <w:rPr>
          <w:rFonts w:asciiTheme="minorHAnsi" w:hAnsiTheme="minorHAnsi" w:eastAsiaTheme="minorEastAsia"/>
        </w:rPr>
        <w:t xml:space="preserve"> </w:t>
      </w:r>
    </w:p>
    <w:p w:rsidRPr="00D75194" w:rsidR="00F16A30" w:rsidP="002D5998" w:rsidRDefault="5D5CBF41" w14:paraId="725BB531" w14:textId="59FFD453">
      <w:pPr>
        <w:spacing w:before="60" w:after="60"/>
        <w:rPr>
          <w:rFonts w:asciiTheme="minorHAnsi" w:hAnsiTheme="minorHAnsi" w:eastAsiaTheme="minorEastAsia"/>
        </w:rPr>
      </w:pPr>
      <w:r w:rsidRPr="00D75194">
        <w:rPr>
          <w:rFonts w:asciiTheme="minorHAnsi" w:hAnsiTheme="minorHAnsi" w:eastAsiaTheme="minorEastAsia"/>
        </w:rPr>
        <w:t>According to interviews with recipients of CASA support, the programme’s expertise is widely regarded as sufficient and responsive to a challenging context. However, some challenges to relevance persist. Transparency in the demand-led model varies across TPs, with inconsistent evidence of demand and delivery. CASA’s increased focus on domestic implementation</w:t>
      </w:r>
      <w:r w:rsidRPr="00D75194" w:rsidR="00406F34">
        <w:rPr>
          <w:rFonts w:asciiTheme="minorHAnsi" w:hAnsiTheme="minorHAnsi" w:eastAsiaTheme="minorEastAsia"/>
        </w:rPr>
        <w:t>—</w:t>
      </w:r>
      <w:r w:rsidRPr="00D75194">
        <w:rPr>
          <w:rFonts w:asciiTheme="minorHAnsi" w:hAnsiTheme="minorHAnsi" w:eastAsiaTheme="minorEastAsia"/>
        </w:rPr>
        <w:t xml:space="preserve">via </w:t>
      </w:r>
      <w:r w:rsidRPr="00D75194" w:rsidR="009E5E46">
        <w:t>Consorcio de Investigación Económica y Social (</w:t>
      </w:r>
      <w:r w:rsidRPr="00D75194" w:rsidR="00FE32A7">
        <w:t>Economic and Social Research Consortium (</w:t>
      </w:r>
      <w:r w:rsidRPr="00D75194">
        <w:rPr>
          <w:rFonts w:asciiTheme="minorHAnsi" w:hAnsiTheme="minorHAnsi" w:eastAsiaTheme="minorEastAsia"/>
        </w:rPr>
        <w:t>CIES</w:t>
      </w:r>
      <w:r w:rsidRPr="00D75194" w:rsidR="00FE32A7">
        <w:rPr>
          <w:rFonts w:asciiTheme="minorHAnsi" w:hAnsiTheme="minorHAnsi" w:eastAsiaTheme="minorEastAsia"/>
        </w:rPr>
        <w:t>)</w:t>
      </w:r>
      <w:r w:rsidRPr="00D75194" w:rsidR="009E5E46">
        <w:rPr>
          <w:rFonts w:asciiTheme="minorHAnsi" w:hAnsiTheme="minorHAnsi" w:eastAsiaTheme="minorEastAsia"/>
        </w:rPr>
        <w:t>)</w:t>
      </w:r>
      <w:r w:rsidRPr="00D75194">
        <w:rPr>
          <w:rFonts w:asciiTheme="minorHAnsi" w:hAnsiTheme="minorHAnsi" w:eastAsiaTheme="minorEastAsia"/>
        </w:rPr>
        <w:t>, LRI, and the OF</w:t>
      </w:r>
      <w:r w:rsidRPr="00D75194" w:rsidR="00406F34">
        <w:rPr>
          <w:rFonts w:asciiTheme="minorHAnsi" w:hAnsiTheme="minorHAnsi" w:eastAsiaTheme="minorEastAsia"/>
        </w:rPr>
        <w:t>—</w:t>
      </w:r>
      <w:r w:rsidRPr="00D75194">
        <w:rPr>
          <w:rFonts w:asciiTheme="minorHAnsi" w:hAnsiTheme="minorHAnsi" w:eastAsiaTheme="minorEastAsia"/>
        </w:rPr>
        <w:t>aims to improve strategic effectiveness amid budget constraints. While some stakeholders question this shift, those receiving legal implementation support from LRI view the domestic implementation support as essential. Finally, as English remains dominant in the UNFCCC space, translation support</w:t>
      </w:r>
      <w:r w:rsidRPr="00D75194" w:rsidR="00406F34">
        <w:rPr>
          <w:rFonts w:asciiTheme="minorHAnsi" w:hAnsiTheme="minorHAnsi" w:eastAsiaTheme="minorEastAsia"/>
        </w:rPr>
        <w:t>—</w:t>
      </w:r>
      <w:r w:rsidRPr="00D75194">
        <w:rPr>
          <w:rFonts w:asciiTheme="minorHAnsi" w:hAnsiTheme="minorHAnsi" w:eastAsiaTheme="minorEastAsia"/>
        </w:rPr>
        <w:t>such as LRI’s efforts to expand French and Spanish access</w:t>
      </w:r>
      <w:r w:rsidRPr="00D75194" w:rsidR="00406F34">
        <w:rPr>
          <w:rFonts w:asciiTheme="minorHAnsi" w:hAnsiTheme="minorHAnsi" w:eastAsiaTheme="minorEastAsia"/>
        </w:rPr>
        <w:t>—</w:t>
      </w:r>
      <w:r w:rsidRPr="00D75194">
        <w:rPr>
          <w:rFonts w:asciiTheme="minorHAnsi" w:hAnsiTheme="minorHAnsi" w:eastAsiaTheme="minorEastAsia"/>
        </w:rPr>
        <w:t xml:space="preserve">remains important. </w:t>
      </w:r>
    </w:p>
    <w:p w:rsidRPr="00D75194" w:rsidR="00F16A30" w:rsidP="00A66917" w:rsidRDefault="5D5CBF41" w14:paraId="01B79123" w14:textId="62AFE824">
      <w:pPr>
        <w:pStyle w:val="Heading3"/>
        <w:numPr>
          <w:ilvl w:val="0"/>
          <w:numId w:val="0"/>
        </w:numPr>
        <w:ind w:left="851" w:hanging="851"/>
      </w:pPr>
      <w:r w:rsidRPr="00D75194">
        <w:t xml:space="preserve">Coherence </w:t>
      </w:r>
    </w:p>
    <w:p w:rsidRPr="00D75194" w:rsidR="00F16A30" w:rsidP="2605B8D9" w:rsidRDefault="5D5CBF41" w14:paraId="2812C271" w14:textId="7E41317A">
      <w:pPr>
        <w:spacing w:after="160" w:line="276" w:lineRule="auto"/>
        <w:rPr>
          <w:rFonts w:asciiTheme="minorHAnsi" w:hAnsiTheme="minorHAnsi" w:eastAsiaTheme="minorEastAsia"/>
        </w:rPr>
      </w:pPr>
      <w:r w:rsidRPr="00D75194">
        <w:rPr>
          <w:rFonts w:asciiTheme="minorHAnsi" w:hAnsiTheme="minorHAnsi" w:eastAsiaTheme="minorEastAsia"/>
          <w:b/>
          <w:bCs/>
        </w:rPr>
        <w:t>There is strong evidence that CASA interventions demonstrate coherence across time.</w:t>
      </w:r>
      <w:r w:rsidRPr="00D75194">
        <w:rPr>
          <w:rFonts w:asciiTheme="minorHAnsi" w:hAnsiTheme="minorHAnsi" w:eastAsiaTheme="minorEastAsia"/>
        </w:rPr>
        <w:t xml:space="preserve"> The programme has maintained a consistent delivery model—providing demand-led, adaptive support through TPs—while </w:t>
      </w:r>
      <w:r w:rsidRPr="00D75194">
        <w:rPr>
          <w:rFonts w:asciiTheme="minorHAnsi" w:hAnsiTheme="minorHAnsi" w:eastAsiaTheme="minorEastAsia"/>
          <w:b/>
          <w:bCs/>
        </w:rPr>
        <w:t>the OF has acted as a mechanism to enhance this delivery model through increased flexibility and responsiveness</w:t>
      </w:r>
      <w:r w:rsidRPr="00D75194">
        <w:rPr>
          <w:rFonts w:asciiTheme="minorHAnsi" w:hAnsiTheme="minorHAnsi" w:eastAsiaTheme="minorEastAsia"/>
        </w:rPr>
        <w:t>. The introduction of the OF has further reinforced coherence by enabling CASA to build on previous UK support and</w:t>
      </w:r>
      <w:r w:rsidRPr="00D75194" w:rsidR="00622170">
        <w:rPr>
          <w:rFonts w:asciiTheme="minorHAnsi" w:hAnsiTheme="minorHAnsi" w:eastAsiaTheme="minorEastAsia"/>
        </w:rPr>
        <w:t xml:space="preserve"> to</w:t>
      </w:r>
      <w:r w:rsidRPr="00D75194">
        <w:rPr>
          <w:rFonts w:asciiTheme="minorHAnsi" w:hAnsiTheme="minorHAnsi" w:eastAsiaTheme="minorEastAsia"/>
        </w:rPr>
        <w:t xml:space="preserve"> fund organisations with established track records. Former recipients of CASA support have also transitioned into TP roles, deepening institutional memory and strengthening ties with supported groups. </w:t>
      </w:r>
      <w:r w:rsidRPr="00D75194">
        <w:rPr>
          <w:rFonts w:asciiTheme="minorHAnsi" w:hAnsiTheme="minorHAnsi" w:eastAsiaTheme="minorEastAsia"/>
          <w:b/>
          <w:bCs/>
        </w:rPr>
        <w:t>Long-term relationships with negotiating groups and country delegations have been sustained</w:t>
      </w:r>
      <w:r w:rsidRPr="00D75194">
        <w:rPr>
          <w:rFonts w:asciiTheme="minorHAnsi" w:hAnsiTheme="minorHAnsi" w:eastAsiaTheme="minorEastAsia"/>
        </w:rPr>
        <w:t xml:space="preserve">, supported by continuity in funding and personnel. This has enabled TPs to build trust and strengthen capacity within negotiating groups and delegations over time. </w:t>
      </w:r>
    </w:p>
    <w:p w:rsidRPr="00D75194" w:rsidR="00F16A30" w:rsidP="2605B8D9" w:rsidRDefault="5D5CBF41" w14:paraId="3F9EFD01" w14:textId="4B34FAF4">
      <w:pPr>
        <w:spacing w:after="160" w:line="276" w:lineRule="auto"/>
        <w:rPr>
          <w:rFonts w:asciiTheme="minorHAnsi" w:hAnsiTheme="minorHAnsi" w:eastAsiaTheme="minorEastAsia"/>
        </w:rPr>
      </w:pPr>
      <w:r w:rsidRPr="00D75194">
        <w:rPr>
          <w:rFonts w:asciiTheme="minorHAnsi" w:hAnsiTheme="minorHAnsi" w:eastAsiaTheme="minorEastAsia"/>
        </w:rPr>
        <w:t>While structured collaboration between TPs has varied, particularly since the transition from PwC’s management of CASA I, collaboration often occurs organically through negotiation processes. Some perceived duplication and issues with collaboration have been noted, but the demand-led model helps mitigate these issues. Differences in how TPs present themselves</w:t>
      </w:r>
      <w:r w:rsidRPr="00D75194" w:rsidR="00DF5E21">
        <w:rPr>
          <w:rFonts w:asciiTheme="minorHAnsi" w:hAnsiTheme="minorHAnsi" w:eastAsiaTheme="minorEastAsia"/>
        </w:rPr>
        <w:t>—</w:t>
      </w:r>
      <w:r w:rsidRPr="00D75194">
        <w:rPr>
          <w:rFonts w:asciiTheme="minorHAnsi" w:hAnsiTheme="minorHAnsi" w:eastAsiaTheme="minorEastAsia"/>
        </w:rPr>
        <w:t>some acting under their own organisational brands, others under the CASA identity</w:t>
      </w:r>
      <w:r w:rsidRPr="00D75194" w:rsidR="00716DB1">
        <w:rPr>
          <w:rFonts w:asciiTheme="minorHAnsi" w:hAnsiTheme="minorHAnsi" w:eastAsiaTheme="minorEastAsia"/>
        </w:rPr>
        <w:t>—</w:t>
      </w:r>
      <w:r w:rsidRPr="00D75194">
        <w:rPr>
          <w:rFonts w:asciiTheme="minorHAnsi" w:hAnsiTheme="minorHAnsi" w:eastAsiaTheme="minorEastAsia"/>
        </w:rPr>
        <w:t>may affect the visibility of the programme. This has sometimes led to recipients of support being unaware of the spread of CASA II’s offering</w:t>
      </w:r>
      <w:r w:rsidRPr="00D75194" w:rsidR="00EF6829">
        <w:rPr>
          <w:rFonts w:asciiTheme="minorHAnsi" w:hAnsiTheme="minorHAnsi" w:eastAsiaTheme="minorEastAsia"/>
        </w:rPr>
        <w:t>,</w:t>
      </w:r>
      <w:r w:rsidRPr="00D75194">
        <w:rPr>
          <w:rFonts w:asciiTheme="minorHAnsi" w:hAnsiTheme="minorHAnsi" w:eastAsiaTheme="minorEastAsia"/>
        </w:rPr>
        <w:t xml:space="preserve"> and of other TPs they could receive support from, which may be balanced by the strategic need of the programme to be viewed as independent from its donor.</w:t>
      </w:r>
      <w:r w:rsidRPr="00D75194" w:rsidDel="006B601D">
        <w:rPr>
          <w:rFonts w:asciiTheme="minorHAnsi" w:hAnsiTheme="minorHAnsi" w:eastAsiaTheme="minorEastAsia"/>
        </w:rPr>
        <w:t xml:space="preserve"> </w:t>
      </w:r>
    </w:p>
    <w:p w:rsidRPr="00D75194" w:rsidR="00F16A30" w:rsidP="69D2E2AA" w:rsidRDefault="5D5CBF41" w14:paraId="3CD0FF66" w14:textId="10A069BA">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Overall, CASA II’s evolution reflects a measured adaptation </w:t>
      </w:r>
      <w:r w:rsidRPr="00D75194">
        <w:rPr>
          <w:rFonts w:asciiTheme="minorHAnsi" w:hAnsiTheme="minorHAnsi" w:eastAsiaTheme="minorEastAsia"/>
        </w:rPr>
        <w:t>that builds on the foundations of predecessor programmes (</w:t>
      </w:r>
      <w:r w:rsidRPr="00D75194" w:rsidR="00ED3B47">
        <w:rPr>
          <w:rFonts w:asciiTheme="minorHAnsi" w:hAnsiTheme="minorHAnsi" w:eastAsiaTheme="minorEastAsia"/>
        </w:rPr>
        <w:t>the Climate Development Knowledge Network (</w:t>
      </w:r>
      <w:r w:rsidRPr="00D75194">
        <w:rPr>
          <w:rFonts w:asciiTheme="minorHAnsi" w:hAnsiTheme="minorHAnsi" w:eastAsiaTheme="minorEastAsia"/>
        </w:rPr>
        <w:t>CDKN</w:t>
      </w:r>
      <w:r w:rsidRPr="00D75194" w:rsidR="00ED3B47">
        <w:rPr>
          <w:rFonts w:asciiTheme="minorHAnsi" w:hAnsiTheme="minorHAnsi" w:eastAsiaTheme="minorEastAsia"/>
        </w:rPr>
        <w:t>)</w:t>
      </w:r>
      <w:r w:rsidRPr="00D75194">
        <w:rPr>
          <w:rFonts w:asciiTheme="minorHAnsi" w:hAnsiTheme="minorHAnsi" w:eastAsiaTheme="minorEastAsia"/>
        </w:rPr>
        <w:t xml:space="preserve">, </w:t>
      </w:r>
      <w:r w:rsidRPr="00D75194" w:rsidR="00EB76A3">
        <w:rPr>
          <w:rFonts w:asciiTheme="minorHAnsi" w:hAnsiTheme="minorHAnsi" w:eastAsiaTheme="minorEastAsia"/>
        </w:rPr>
        <w:t xml:space="preserve">the </w:t>
      </w:r>
      <w:r w:rsidRPr="00D75194" w:rsidR="007D6325">
        <w:rPr>
          <w:rFonts w:asciiTheme="minorHAnsi" w:hAnsiTheme="minorHAnsi" w:eastAsiaTheme="minorEastAsia"/>
        </w:rPr>
        <w:t xml:space="preserve">Negotiations Support </w:t>
      </w:r>
      <w:r w:rsidRPr="2DCAEB50" w:rsidR="007D6325">
        <w:rPr>
          <w:rFonts w:asciiTheme="minorHAnsi" w:hAnsiTheme="minorHAnsi" w:eastAsiaTheme="minorEastAsia"/>
        </w:rPr>
        <w:t>Programme</w:t>
      </w:r>
      <w:r w:rsidRPr="00D75194">
        <w:rPr>
          <w:rFonts w:asciiTheme="minorHAnsi" w:hAnsiTheme="minorHAnsi" w:eastAsiaTheme="minorEastAsia"/>
        </w:rPr>
        <w:t xml:space="preserve">, CASA I), demonstrating coherence in both strategy, implementation, and objectives over time. </w:t>
      </w:r>
    </w:p>
    <w:p w:rsidRPr="00D75194" w:rsidR="00F16A30" w:rsidP="00A66917" w:rsidRDefault="5D5CBF41" w14:paraId="3EC65640" w14:textId="37684DA4">
      <w:pPr>
        <w:pStyle w:val="Heading3"/>
        <w:numPr>
          <w:ilvl w:val="0"/>
          <w:numId w:val="0"/>
        </w:numPr>
        <w:ind w:left="851" w:hanging="851"/>
      </w:pPr>
      <w:r w:rsidRPr="00D75194">
        <w:t xml:space="preserve">Efficiency </w:t>
      </w:r>
    </w:p>
    <w:p w:rsidRPr="00D75194" w:rsidR="00F16A30" w:rsidP="2605B8D9" w:rsidRDefault="5D5CBF41" w14:paraId="7F56DD43" w14:textId="4E051325">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The CASA II programme </w:t>
      </w:r>
      <w:r w:rsidRPr="00D75194" w:rsidR="00694ADD">
        <w:rPr>
          <w:rFonts w:asciiTheme="minorHAnsi" w:hAnsiTheme="minorHAnsi" w:eastAsiaTheme="minorEastAsia"/>
          <w:b/>
          <w:bCs/>
        </w:rPr>
        <w:t xml:space="preserve">has </w:t>
      </w:r>
      <w:r w:rsidRPr="00D75194">
        <w:rPr>
          <w:rFonts w:asciiTheme="minorHAnsi" w:hAnsiTheme="minorHAnsi" w:eastAsiaTheme="minorEastAsia"/>
          <w:b/>
          <w:bCs/>
        </w:rPr>
        <w:t>demonstrated</w:t>
      </w:r>
      <w:r w:rsidRPr="00D75194">
        <w:rPr>
          <w:rFonts w:asciiTheme="minorHAnsi" w:hAnsiTheme="minorHAnsi" w:eastAsiaTheme="minorEastAsia"/>
        </w:rPr>
        <w:t xml:space="preserve"> </w:t>
      </w:r>
      <w:r w:rsidRPr="00D75194">
        <w:rPr>
          <w:rFonts w:asciiTheme="minorHAnsi" w:hAnsiTheme="minorHAnsi" w:eastAsiaTheme="minorEastAsia"/>
          <w:b/>
          <w:bCs/>
        </w:rPr>
        <w:t xml:space="preserve">strong overall </w:t>
      </w:r>
      <w:r w:rsidRPr="5293FB5B" w:rsidR="00B079A3">
        <w:rPr>
          <w:rFonts w:asciiTheme="minorHAnsi" w:hAnsiTheme="minorHAnsi" w:eastAsiaTheme="minorEastAsia"/>
          <w:b/>
          <w:bCs/>
        </w:rPr>
        <w:t>VFM</w:t>
      </w:r>
      <w:r w:rsidRPr="00D75194">
        <w:rPr>
          <w:rFonts w:asciiTheme="minorHAnsi" w:hAnsiTheme="minorHAnsi" w:eastAsiaTheme="minorEastAsia"/>
        </w:rPr>
        <w:t xml:space="preserve">, with 86% of indicators assessed as either meeting or exceeding expectations, based on the </w:t>
      </w:r>
      <w:r w:rsidRPr="5293FB5B" w:rsidR="00B079A3">
        <w:rPr>
          <w:rFonts w:asciiTheme="minorHAnsi" w:hAnsiTheme="minorHAnsi" w:eastAsiaTheme="minorEastAsia"/>
        </w:rPr>
        <w:t>VFM</w:t>
      </w:r>
      <w:r w:rsidRPr="00D75194">
        <w:rPr>
          <w:rFonts w:asciiTheme="minorHAnsi" w:hAnsiTheme="minorHAnsi" w:eastAsiaTheme="minorEastAsia"/>
        </w:rPr>
        <w:t xml:space="preserve"> rubric developed for use in this evaluation. This marks a clear improvement on the </w:t>
      </w:r>
      <w:r w:rsidRPr="5293FB5B" w:rsidR="00494461">
        <w:rPr>
          <w:rFonts w:asciiTheme="minorHAnsi" w:hAnsiTheme="minorHAnsi" w:eastAsiaTheme="minorEastAsia"/>
        </w:rPr>
        <w:t>interim</w:t>
      </w:r>
      <w:r w:rsidRPr="00D75194" w:rsidR="00494461">
        <w:rPr>
          <w:rFonts w:asciiTheme="minorHAnsi" w:hAnsiTheme="minorHAnsi" w:eastAsiaTheme="minorEastAsia"/>
        </w:rPr>
        <w:t xml:space="preserve"> evaluation</w:t>
      </w:r>
      <w:r w:rsidRPr="00D75194">
        <w:rPr>
          <w:rFonts w:asciiTheme="minorHAnsi" w:hAnsiTheme="minorHAnsi" w:eastAsiaTheme="minorEastAsia"/>
        </w:rPr>
        <w:t xml:space="preserve"> and reflects solid performance across the 5Es framework: </w:t>
      </w:r>
      <w:r w:rsidRPr="5293FB5B" w:rsidR="1DF6E20A">
        <w:rPr>
          <w:rFonts w:asciiTheme="minorHAnsi" w:hAnsiTheme="minorHAnsi" w:eastAsiaTheme="minorEastAsia"/>
        </w:rPr>
        <w:t>e</w:t>
      </w:r>
      <w:r w:rsidRPr="5293FB5B" w:rsidR="0B08FAD8">
        <w:rPr>
          <w:rFonts w:asciiTheme="minorHAnsi" w:hAnsiTheme="minorHAnsi" w:eastAsiaTheme="minorEastAsia"/>
        </w:rPr>
        <w:t xml:space="preserve">conomy, </w:t>
      </w:r>
      <w:r w:rsidRPr="5293FB5B" w:rsidR="1DF6E20A">
        <w:rPr>
          <w:rFonts w:asciiTheme="minorHAnsi" w:hAnsiTheme="minorHAnsi" w:eastAsiaTheme="minorEastAsia"/>
        </w:rPr>
        <w:t>e</w:t>
      </w:r>
      <w:r w:rsidRPr="5293FB5B" w:rsidR="0B08FAD8">
        <w:rPr>
          <w:rFonts w:asciiTheme="minorHAnsi" w:hAnsiTheme="minorHAnsi" w:eastAsiaTheme="minorEastAsia"/>
        </w:rPr>
        <w:t xml:space="preserve">fficiency, </w:t>
      </w:r>
      <w:r w:rsidRPr="5293FB5B" w:rsidR="1DF6E20A">
        <w:rPr>
          <w:rFonts w:asciiTheme="minorHAnsi" w:hAnsiTheme="minorHAnsi" w:eastAsiaTheme="minorEastAsia"/>
        </w:rPr>
        <w:t>e</w:t>
      </w:r>
      <w:r w:rsidRPr="5293FB5B" w:rsidR="0B08FAD8">
        <w:rPr>
          <w:rFonts w:asciiTheme="minorHAnsi" w:hAnsiTheme="minorHAnsi" w:eastAsiaTheme="minorEastAsia"/>
        </w:rPr>
        <w:t xml:space="preserve">ffectiveness, </w:t>
      </w:r>
      <w:r w:rsidRPr="5293FB5B" w:rsidR="1DF6E20A">
        <w:rPr>
          <w:rFonts w:asciiTheme="minorHAnsi" w:hAnsiTheme="minorHAnsi" w:eastAsiaTheme="minorEastAsia"/>
        </w:rPr>
        <w:t>c</w:t>
      </w:r>
      <w:r w:rsidRPr="5293FB5B" w:rsidR="0B08FAD8">
        <w:rPr>
          <w:rFonts w:asciiTheme="minorHAnsi" w:hAnsiTheme="minorHAnsi" w:eastAsiaTheme="minorEastAsia"/>
        </w:rPr>
        <w:t>ost</w:t>
      </w:r>
      <w:r w:rsidRPr="00D75194">
        <w:rPr>
          <w:rFonts w:asciiTheme="minorHAnsi" w:hAnsiTheme="minorHAnsi" w:eastAsiaTheme="minorEastAsia"/>
        </w:rPr>
        <w:t xml:space="preserve">-effectiveness, and </w:t>
      </w:r>
      <w:r w:rsidRPr="5293FB5B" w:rsidR="00B26CA3">
        <w:rPr>
          <w:rFonts w:asciiTheme="minorHAnsi" w:hAnsiTheme="minorHAnsi" w:eastAsiaTheme="minorEastAsia"/>
        </w:rPr>
        <w:t>e</w:t>
      </w:r>
      <w:r w:rsidRPr="5293FB5B">
        <w:rPr>
          <w:rFonts w:asciiTheme="minorHAnsi" w:hAnsiTheme="minorHAnsi" w:eastAsiaTheme="minorEastAsia"/>
        </w:rPr>
        <w:t>quity</w:t>
      </w:r>
      <w:r w:rsidRPr="00D75194">
        <w:rPr>
          <w:rFonts w:asciiTheme="minorHAnsi" w:hAnsiTheme="minorHAnsi" w:eastAsiaTheme="minorEastAsia"/>
        </w:rPr>
        <w:t xml:space="preserve">. </w:t>
      </w:r>
    </w:p>
    <w:p w:rsidRPr="00D75194" w:rsidR="00F16A30" w:rsidP="2605B8D9" w:rsidRDefault="5D5CBF41" w14:paraId="7BAF71AD" w14:textId="6BBFA1F4">
      <w:pPr>
        <w:spacing w:after="160" w:line="276" w:lineRule="auto"/>
        <w:rPr>
          <w:rFonts w:asciiTheme="minorHAnsi" w:hAnsiTheme="minorHAnsi" w:eastAsiaTheme="minorEastAsia"/>
        </w:rPr>
      </w:pPr>
      <w:r w:rsidRPr="00D75194">
        <w:rPr>
          <w:rFonts w:asciiTheme="minorHAnsi" w:hAnsiTheme="minorHAnsi" w:eastAsiaTheme="minorEastAsia"/>
        </w:rPr>
        <w:t>Data informing the VFM analysis</w:t>
      </w:r>
      <w:r w:rsidRPr="00D75194" w:rsidDel="002F0581">
        <w:rPr>
          <w:rFonts w:asciiTheme="minorHAnsi" w:hAnsiTheme="minorHAnsi" w:eastAsiaTheme="minorEastAsia"/>
        </w:rPr>
        <w:t xml:space="preserve"> </w:t>
      </w:r>
      <w:r w:rsidR="00594929">
        <w:rPr>
          <w:rFonts w:asciiTheme="minorHAnsi" w:hAnsiTheme="minorHAnsi" w:eastAsiaTheme="minorEastAsia"/>
        </w:rPr>
        <w:t>w</w:t>
      </w:r>
      <w:r w:rsidRPr="00D75194" w:rsidR="002F0581">
        <w:rPr>
          <w:rFonts w:asciiTheme="minorHAnsi" w:hAnsiTheme="minorHAnsi" w:eastAsiaTheme="minorEastAsia"/>
        </w:rPr>
        <w:t xml:space="preserve">ere </w:t>
      </w:r>
      <w:r w:rsidRPr="00D75194">
        <w:rPr>
          <w:rFonts w:asciiTheme="minorHAnsi" w:hAnsiTheme="minorHAnsi" w:eastAsiaTheme="minorEastAsia"/>
        </w:rPr>
        <w:t>limited but served to build a fair picture of the programme’s value. The LEP was provided with</w:t>
      </w:r>
      <w:r w:rsidRPr="00D75194" w:rsidR="005F1913">
        <w:rPr>
          <w:rFonts w:asciiTheme="minorHAnsi" w:hAnsiTheme="minorHAnsi" w:eastAsiaTheme="minorEastAsia"/>
        </w:rPr>
        <w:t xml:space="preserve"> the following:</w:t>
      </w:r>
      <w:r w:rsidRPr="00D75194">
        <w:rPr>
          <w:rFonts w:asciiTheme="minorHAnsi" w:hAnsiTheme="minorHAnsi" w:eastAsiaTheme="minorEastAsia"/>
        </w:rPr>
        <w:t xml:space="preserve"> detailed invoices</w:t>
      </w:r>
      <w:r w:rsidRPr="00D75194" w:rsidR="005F1913">
        <w:rPr>
          <w:rFonts w:asciiTheme="minorHAnsi" w:hAnsiTheme="minorHAnsi" w:eastAsiaTheme="minorEastAsia"/>
        </w:rPr>
        <w:t xml:space="preserve"> submitted</w:t>
      </w:r>
      <w:r w:rsidRPr="00D75194">
        <w:rPr>
          <w:rFonts w:asciiTheme="minorHAnsi" w:hAnsiTheme="minorHAnsi" w:eastAsiaTheme="minorEastAsia"/>
        </w:rPr>
        <w:t xml:space="preserve"> to DESNZ, covering the programme period up until November 2024, and a final summary invoice from April 2025; bi-monthly reports to DESNZ up until November 2024; a VFM analysis based on the programme’s VFM Framework (though this was missing source data); and the final programme logframe, covering </w:t>
      </w:r>
      <w:r w:rsidRPr="00D75194" w:rsidR="005F1913">
        <w:rPr>
          <w:rFonts w:asciiTheme="minorHAnsi" w:hAnsiTheme="minorHAnsi" w:eastAsiaTheme="minorEastAsia"/>
        </w:rPr>
        <w:t xml:space="preserve">the period </w:t>
      </w:r>
      <w:r w:rsidRPr="00D75194">
        <w:rPr>
          <w:rFonts w:asciiTheme="minorHAnsi" w:hAnsiTheme="minorHAnsi" w:eastAsiaTheme="minorEastAsia"/>
        </w:rPr>
        <w:t>up to March 2025 (supported by the programme’s backend monitoring data). The assessment also used the Negotiation Tracker, and original workplans containing budgets.</w:t>
      </w:r>
      <w:r w:rsidRPr="00D75194" w:rsidDel="006B601D">
        <w:rPr>
          <w:rFonts w:asciiTheme="minorHAnsi" w:hAnsiTheme="minorHAnsi" w:eastAsiaTheme="minorEastAsia"/>
        </w:rPr>
        <w:t xml:space="preserve"> </w:t>
      </w:r>
    </w:p>
    <w:p w:rsidRPr="00D75194" w:rsidR="00F16A30" w:rsidP="2605B8D9" w:rsidRDefault="5D5CBF41" w14:paraId="414C2F90" w14:textId="2B2C41C2">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CASA II </w:t>
      </w:r>
      <w:r w:rsidRPr="00D75194" w:rsidR="00694ADD">
        <w:rPr>
          <w:rFonts w:asciiTheme="minorHAnsi" w:hAnsiTheme="minorHAnsi" w:eastAsiaTheme="minorEastAsia"/>
          <w:b/>
          <w:bCs/>
        </w:rPr>
        <w:t xml:space="preserve">has </w:t>
      </w:r>
      <w:r w:rsidRPr="00D75194">
        <w:rPr>
          <w:rFonts w:asciiTheme="minorHAnsi" w:hAnsiTheme="minorHAnsi" w:eastAsiaTheme="minorEastAsia"/>
          <w:b/>
          <w:bCs/>
        </w:rPr>
        <w:t>maintained</w:t>
      </w:r>
      <w:r w:rsidRPr="00D75194">
        <w:rPr>
          <w:rFonts w:asciiTheme="minorHAnsi" w:hAnsiTheme="minorHAnsi" w:eastAsiaTheme="minorEastAsia"/>
        </w:rPr>
        <w:t xml:space="preserve"> </w:t>
      </w:r>
      <w:r w:rsidRPr="00D75194">
        <w:rPr>
          <w:rFonts w:asciiTheme="minorHAnsi" w:hAnsiTheme="minorHAnsi" w:eastAsiaTheme="minorEastAsia"/>
          <w:b/>
          <w:bCs/>
        </w:rPr>
        <w:t>tight budget control</w:t>
      </w:r>
      <w:r w:rsidRPr="00D75194">
        <w:rPr>
          <w:rFonts w:asciiTheme="minorHAnsi" w:hAnsiTheme="minorHAnsi" w:eastAsiaTheme="minorEastAsia"/>
        </w:rPr>
        <w:t xml:space="preserve"> across work packages, </w:t>
      </w:r>
      <w:r w:rsidRPr="00D75194" w:rsidR="00694ADD">
        <w:rPr>
          <w:rFonts w:asciiTheme="minorHAnsi" w:hAnsiTheme="minorHAnsi" w:eastAsiaTheme="minorEastAsia"/>
        </w:rPr>
        <w:t xml:space="preserve">has </w:t>
      </w:r>
      <w:r w:rsidRPr="00D75194">
        <w:rPr>
          <w:rFonts w:asciiTheme="minorHAnsi" w:hAnsiTheme="minorHAnsi" w:eastAsiaTheme="minorEastAsia"/>
        </w:rPr>
        <w:t xml:space="preserve">kept management fees low (7.4%), and </w:t>
      </w:r>
      <w:r w:rsidRPr="00D75194" w:rsidR="00694ADD">
        <w:rPr>
          <w:rFonts w:asciiTheme="minorHAnsi" w:hAnsiTheme="minorHAnsi" w:eastAsiaTheme="minorEastAsia"/>
        </w:rPr>
        <w:t xml:space="preserve">has </w:t>
      </w:r>
      <w:r w:rsidRPr="00D75194">
        <w:rPr>
          <w:rFonts w:asciiTheme="minorHAnsi" w:hAnsiTheme="minorHAnsi" w:eastAsiaTheme="minorEastAsia"/>
        </w:rPr>
        <w:t>deployed senior technical inputs strategically</w:t>
      </w:r>
      <w:r w:rsidR="00642446">
        <w:rPr>
          <w:rFonts w:asciiTheme="minorHAnsi" w:hAnsiTheme="minorHAnsi" w:eastAsiaTheme="minorEastAsia"/>
        </w:rPr>
        <w:t>.</w:t>
      </w:r>
    </w:p>
    <w:p w:rsidRPr="00D75194" w:rsidR="00F16A30" w:rsidP="2605B8D9" w:rsidRDefault="5D5CBF41" w14:paraId="549B35EE" w14:textId="3CAB04E2">
      <w:pPr>
        <w:spacing w:after="160" w:line="276" w:lineRule="auto"/>
        <w:rPr>
          <w:rFonts w:asciiTheme="minorHAnsi" w:hAnsiTheme="minorHAnsi" w:eastAsiaTheme="minorEastAsia"/>
        </w:rPr>
      </w:pPr>
      <w:r w:rsidRPr="00D75194">
        <w:rPr>
          <w:rFonts w:asciiTheme="minorHAnsi" w:hAnsiTheme="minorHAnsi" w:eastAsiaTheme="minorEastAsia"/>
        </w:rPr>
        <w:t xml:space="preserve">Efficiency </w:t>
      </w:r>
      <w:r w:rsidRPr="00D75194" w:rsidR="0018220E">
        <w:rPr>
          <w:rFonts w:asciiTheme="minorHAnsi" w:hAnsiTheme="minorHAnsi" w:eastAsiaTheme="minorEastAsia"/>
        </w:rPr>
        <w:t xml:space="preserve">has </w:t>
      </w:r>
      <w:r w:rsidRPr="00D75194">
        <w:rPr>
          <w:rFonts w:asciiTheme="minorHAnsi" w:hAnsiTheme="minorHAnsi" w:eastAsiaTheme="minorEastAsia"/>
        </w:rPr>
        <w:t xml:space="preserve">also </w:t>
      </w:r>
      <w:r w:rsidRPr="00D75194" w:rsidR="0018220E">
        <w:rPr>
          <w:rFonts w:asciiTheme="minorHAnsi" w:hAnsiTheme="minorHAnsi" w:eastAsiaTheme="minorEastAsia"/>
        </w:rPr>
        <w:t xml:space="preserve">been </w:t>
      </w:r>
      <w:r w:rsidRPr="00D75194">
        <w:rPr>
          <w:rFonts w:asciiTheme="minorHAnsi" w:hAnsiTheme="minorHAnsi" w:eastAsiaTheme="minorEastAsia"/>
        </w:rPr>
        <w:t xml:space="preserve">sound: costs </w:t>
      </w:r>
      <w:r w:rsidRPr="00D75194" w:rsidR="0018220E">
        <w:rPr>
          <w:rFonts w:asciiTheme="minorHAnsi" w:hAnsiTheme="minorHAnsi" w:eastAsiaTheme="minorEastAsia"/>
        </w:rPr>
        <w:t xml:space="preserve">have been </w:t>
      </w:r>
      <w:r w:rsidRPr="00D75194">
        <w:rPr>
          <w:rFonts w:asciiTheme="minorHAnsi" w:hAnsiTheme="minorHAnsi" w:eastAsiaTheme="minorEastAsia"/>
        </w:rPr>
        <w:t xml:space="preserve">broadly proportionate to support levels, and 87.5% of output indicators </w:t>
      </w:r>
      <w:r w:rsidRPr="00D75194" w:rsidR="0018220E">
        <w:rPr>
          <w:rFonts w:asciiTheme="minorHAnsi" w:hAnsiTheme="minorHAnsi" w:eastAsiaTheme="minorEastAsia"/>
        </w:rPr>
        <w:t xml:space="preserve">have been </w:t>
      </w:r>
      <w:r w:rsidRPr="00D75194">
        <w:rPr>
          <w:rFonts w:asciiTheme="minorHAnsi" w:hAnsiTheme="minorHAnsi" w:eastAsiaTheme="minorEastAsia"/>
        </w:rPr>
        <w:t xml:space="preserve">achieved. Though limited quantitative data </w:t>
      </w:r>
      <w:r w:rsidRPr="00D75194" w:rsidR="007C1096">
        <w:rPr>
          <w:rFonts w:asciiTheme="minorHAnsi" w:hAnsiTheme="minorHAnsi" w:eastAsiaTheme="minorEastAsia"/>
        </w:rPr>
        <w:t xml:space="preserve">were </w:t>
      </w:r>
      <w:r w:rsidRPr="00D75194">
        <w:rPr>
          <w:rFonts w:asciiTheme="minorHAnsi" w:hAnsiTheme="minorHAnsi" w:eastAsiaTheme="minorEastAsia"/>
        </w:rPr>
        <w:t xml:space="preserve">available on timeliness </w:t>
      </w:r>
      <w:r w:rsidRPr="00D75194" w:rsidR="007C1096">
        <w:rPr>
          <w:rFonts w:asciiTheme="minorHAnsi" w:hAnsiTheme="minorHAnsi" w:eastAsiaTheme="minorEastAsia"/>
        </w:rPr>
        <w:t xml:space="preserve">and </w:t>
      </w:r>
      <w:r w:rsidRPr="00D75194">
        <w:rPr>
          <w:rFonts w:asciiTheme="minorHAnsi" w:hAnsiTheme="minorHAnsi" w:eastAsiaTheme="minorEastAsia"/>
        </w:rPr>
        <w:t xml:space="preserve">coordination, no major delivery issues were reported. </w:t>
      </w:r>
      <w:r w:rsidRPr="3C858BE1" w:rsidR="0B08FAD8">
        <w:rPr>
          <w:rFonts w:asciiTheme="minorHAnsi" w:hAnsiTheme="minorHAnsi" w:eastAsiaTheme="minorEastAsia"/>
        </w:rPr>
        <w:t>Effectiveness</w:t>
      </w:r>
      <w:r w:rsidR="00BB7587">
        <w:rPr>
          <w:rFonts w:asciiTheme="minorHAnsi" w:hAnsiTheme="minorHAnsi" w:eastAsiaTheme="minorEastAsia"/>
        </w:rPr>
        <w:t xml:space="preserve"> </w:t>
      </w:r>
      <w:r w:rsidRPr="3C858BE1" w:rsidR="0018220E">
        <w:rPr>
          <w:rFonts w:asciiTheme="minorHAnsi" w:hAnsiTheme="minorHAnsi" w:eastAsiaTheme="minorEastAsia"/>
        </w:rPr>
        <w:t>shows</w:t>
      </w:r>
      <w:r w:rsidRPr="00D75194" w:rsidR="0018220E">
        <w:rPr>
          <w:rFonts w:asciiTheme="minorHAnsi" w:hAnsiTheme="minorHAnsi" w:eastAsiaTheme="minorEastAsia"/>
        </w:rPr>
        <w:t xml:space="preserve"> </w:t>
      </w:r>
      <w:r w:rsidRPr="00D75194">
        <w:rPr>
          <w:rFonts w:asciiTheme="minorHAnsi" w:hAnsiTheme="minorHAnsi" w:eastAsiaTheme="minorEastAsia"/>
        </w:rPr>
        <w:t>mixed results, with strong performance on three</w:t>
      </w:r>
      <w:r w:rsidRPr="00D75194" w:rsidR="00203D6A">
        <w:rPr>
          <w:rFonts w:asciiTheme="minorHAnsi" w:hAnsiTheme="minorHAnsi" w:eastAsiaTheme="minorEastAsia"/>
        </w:rPr>
        <w:t xml:space="preserve"> out</w:t>
      </w:r>
      <w:r w:rsidRPr="00D75194">
        <w:rPr>
          <w:rFonts w:asciiTheme="minorHAnsi" w:hAnsiTheme="minorHAnsi" w:eastAsiaTheme="minorEastAsia"/>
        </w:rPr>
        <w:t xml:space="preserve"> of four outcome indicators, but weaker progress along change pathways. </w:t>
      </w:r>
    </w:p>
    <w:p w:rsidRPr="00D75194" w:rsidR="00F16A30" w:rsidP="2605B8D9" w:rsidRDefault="5D5CBF41" w14:paraId="100B3024" w14:textId="07E72460">
      <w:pPr>
        <w:spacing w:after="160" w:line="276" w:lineRule="auto"/>
        <w:rPr>
          <w:rFonts w:asciiTheme="minorHAnsi" w:hAnsiTheme="minorHAnsi" w:eastAsiaTheme="minorEastAsia"/>
        </w:rPr>
      </w:pPr>
      <w:r w:rsidRPr="00D75194">
        <w:rPr>
          <w:rFonts w:asciiTheme="minorHAnsi" w:hAnsiTheme="minorHAnsi" w:eastAsiaTheme="minorEastAsia"/>
        </w:rPr>
        <w:t xml:space="preserve">Cost-effectiveness </w:t>
      </w:r>
      <w:r w:rsidRPr="00D75194" w:rsidR="0018220E">
        <w:rPr>
          <w:rFonts w:asciiTheme="minorHAnsi" w:hAnsiTheme="minorHAnsi" w:eastAsiaTheme="minorEastAsia"/>
        </w:rPr>
        <w:t xml:space="preserve">has been </w:t>
      </w:r>
      <w:r w:rsidRPr="00D75194">
        <w:rPr>
          <w:rFonts w:asciiTheme="minorHAnsi" w:hAnsiTheme="minorHAnsi" w:eastAsiaTheme="minorEastAsia"/>
        </w:rPr>
        <w:t>demonstrated through strategic resource allocation. The LDC Group—CASA’s largest investment area—</w:t>
      </w:r>
      <w:r w:rsidRPr="00D75194" w:rsidR="0018220E">
        <w:rPr>
          <w:rFonts w:asciiTheme="minorHAnsi" w:hAnsiTheme="minorHAnsi" w:eastAsiaTheme="minorEastAsia"/>
        </w:rPr>
        <w:t xml:space="preserve">has </w:t>
      </w:r>
      <w:r w:rsidRPr="00D75194">
        <w:rPr>
          <w:rFonts w:asciiTheme="minorHAnsi" w:hAnsiTheme="minorHAnsi" w:eastAsiaTheme="minorEastAsia"/>
        </w:rPr>
        <w:t xml:space="preserve">achieved the strongest institutional and negotiation outcomes. </w:t>
      </w:r>
      <w:r w:rsidRPr="3C858BE1" w:rsidR="0B08FAD8">
        <w:rPr>
          <w:rFonts w:asciiTheme="minorHAnsi" w:hAnsiTheme="minorHAnsi" w:eastAsiaTheme="minorEastAsia"/>
        </w:rPr>
        <w:t>Expenditures</w:t>
      </w:r>
      <w:r w:rsidR="00BB7587">
        <w:rPr>
          <w:rFonts w:asciiTheme="minorHAnsi" w:hAnsiTheme="minorHAnsi" w:eastAsiaTheme="minorEastAsia"/>
        </w:rPr>
        <w:t xml:space="preserve"> </w:t>
      </w:r>
      <w:r w:rsidRPr="3C858BE1" w:rsidR="001947CA">
        <w:rPr>
          <w:rFonts w:asciiTheme="minorHAnsi" w:hAnsiTheme="minorHAnsi" w:eastAsiaTheme="minorEastAsia"/>
        </w:rPr>
        <w:t>have</w:t>
      </w:r>
      <w:r w:rsidRPr="00D75194" w:rsidR="001947CA">
        <w:rPr>
          <w:rFonts w:asciiTheme="minorHAnsi" w:hAnsiTheme="minorHAnsi" w:eastAsiaTheme="minorEastAsia"/>
        </w:rPr>
        <w:t xml:space="preserve"> been </w:t>
      </w:r>
      <w:r w:rsidRPr="00D75194">
        <w:rPr>
          <w:rFonts w:asciiTheme="minorHAnsi" w:hAnsiTheme="minorHAnsi" w:eastAsiaTheme="minorEastAsia"/>
        </w:rPr>
        <w:t xml:space="preserve">aligned with strategic intent across all groups, and delivery </w:t>
      </w:r>
      <w:r w:rsidRPr="00D75194" w:rsidR="001947CA">
        <w:rPr>
          <w:rFonts w:asciiTheme="minorHAnsi" w:hAnsiTheme="minorHAnsi" w:eastAsiaTheme="minorEastAsia"/>
        </w:rPr>
        <w:t xml:space="preserve">has </w:t>
      </w:r>
      <w:r w:rsidRPr="00D75194">
        <w:rPr>
          <w:rFonts w:asciiTheme="minorHAnsi" w:hAnsiTheme="minorHAnsi" w:eastAsiaTheme="minorEastAsia"/>
        </w:rPr>
        <w:t>remained within budget. See Annex I for further detail</w:t>
      </w:r>
      <w:r w:rsidRPr="00D75194" w:rsidR="004D0742">
        <w:rPr>
          <w:rFonts w:asciiTheme="minorHAnsi" w:hAnsiTheme="minorHAnsi" w:eastAsiaTheme="minorEastAsia"/>
        </w:rPr>
        <w:t>s</w:t>
      </w:r>
      <w:r w:rsidRPr="00D75194">
        <w:rPr>
          <w:rFonts w:asciiTheme="minorHAnsi" w:hAnsiTheme="minorHAnsi" w:eastAsiaTheme="minorEastAsia"/>
        </w:rPr>
        <w:t xml:space="preserve"> on the LDC Group</w:t>
      </w:r>
      <w:r w:rsidRPr="00D75194" w:rsidR="004D0742">
        <w:rPr>
          <w:rFonts w:asciiTheme="minorHAnsi" w:hAnsiTheme="minorHAnsi" w:eastAsiaTheme="minorEastAsia"/>
        </w:rPr>
        <w:t>’s</w:t>
      </w:r>
      <w:r w:rsidRPr="00D75194">
        <w:rPr>
          <w:rFonts w:asciiTheme="minorHAnsi" w:hAnsiTheme="minorHAnsi" w:eastAsiaTheme="minorEastAsia"/>
        </w:rPr>
        <w:t xml:space="preserve"> contribution. </w:t>
      </w:r>
    </w:p>
    <w:p w:rsidRPr="00D75194" w:rsidR="00F16A30" w:rsidP="2605B8D9" w:rsidRDefault="5D5CBF41" w14:paraId="3977B561" w14:textId="368237FF">
      <w:pPr>
        <w:spacing w:after="160" w:line="276" w:lineRule="auto"/>
        <w:rPr>
          <w:rFonts w:asciiTheme="minorHAnsi" w:hAnsiTheme="minorHAnsi" w:eastAsiaTheme="minorEastAsia"/>
        </w:rPr>
      </w:pPr>
      <w:r w:rsidRPr="00D75194">
        <w:rPr>
          <w:rFonts w:asciiTheme="minorHAnsi" w:hAnsiTheme="minorHAnsi" w:eastAsiaTheme="minorEastAsia"/>
        </w:rPr>
        <w:t xml:space="preserve">Finally, </w:t>
      </w:r>
      <w:r w:rsidRPr="00D75194">
        <w:rPr>
          <w:rFonts w:asciiTheme="minorHAnsi" w:hAnsiTheme="minorHAnsi" w:eastAsiaTheme="minorEastAsia"/>
          <w:b/>
          <w:bCs/>
        </w:rPr>
        <w:t>CASA II</w:t>
      </w:r>
      <w:r w:rsidRPr="00D75194" w:rsidR="00086427">
        <w:rPr>
          <w:rFonts w:asciiTheme="minorHAnsi" w:hAnsiTheme="minorHAnsi" w:eastAsiaTheme="minorEastAsia"/>
          <w:b/>
          <w:bCs/>
        </w:rPr>
        <w:t xml:space="preserve"> has</w:t>
      </w:r>
      <w:r w:rsidRPr="00D75194">
        <w:rPr>
          <w:rFonts w:asciiTheme="minorHAnsi" w:hAnsiTheme="minorHAnsi" w:eastAsiaTheme="minorEastAsia"/>
        </w:rPr>
        <w:t xml:space="preserve"> </w:t>
      </w:r>
      <w:r w:rsidRPr="00D75194">
        <w:rPr>
          <w:rFonts w:asciiTheme="minorHAnsi" w:hAnsiTheme="minorHAnsi" w:eastAsiaTheme="minorEastAsia"/>
          <w:b/>
          <w:bCs/>
        </w:rPr>
        <w:t xml:space="preserve">exceeded expectations on </w:t>
      </w:r>
      <w:r w:rsidRPr="3C858BE1" w:rsidR="34FE5A31">
        <w:rPr>
          <w:rFonts w:asciiTheme="minorHAnsi" w:hAnsiTheme="minorHAnsi" w:eastAsiaTheme="minorEastAsia"/>
          <w:b/>
          <w:bCs/>
        </w:rPr>
        <w:t>equity</w:t>
      </w:r>
      <w:r w:rsidRPr="00D75194">
        <w:rPr>
          <w:rFonts w:asciiTheme="minorHAnsi" w:hAnsiTheme="minorHAnsi" w:eastAsiaTheme="minorEastAsia"/>
        </w:rPr>
        <w:t xml:space="preserve">, with women comprising over half of all negotiators supported. Youth and women/youth inclusion through the OF </w:t>
      </w:r>
      <w:r w:rsidRPr="00D75194" w:rsidR="00EF7953">
        <w:rPr>
          <w:rFonts w:asciiTheme="minorHAnsi" w:hAnsiTheme="minorHAnsi" w:eastAsiaTheme="minorEastAsia"/>
        </w:rPr>
        <w:t xml:space="preserve">has </w:t>
      </w:r>
      <w:r w:rsidRPr="00D75194">
        <w:rPr>
          <w:rFonts w:asciiTheme="minorHAnsi" w:hAnsiTheme="minorHAnsi" w:eastAsiaTheme="minorEastAsia"/>
        </w:rPr>
        <w:t xml:space="preserve">also </w:t>
      </w:r>
      <w:r w:rsidRPr="00D75194" w:rsidR="00EF7953">
        <w:rPr>
          <w:rFonts w:asciiTheme="minorHAnsi" w:hAnsiTheme="minorHAnsi" w:eastAsiaTheme="minorEastAsia"/>
        </w:rPr>
        <w:t xml:space="preserve">been </w:t>
      </w:r>
      <w:r w:rsidRPr="00D75194">
        <w:rPr>
          <w:rFonts w:asciiTheme="minorHAnsi" w:hAnsiTheme="minorHAnsi" w:eastAsiaTheme="minorEastAsia"/>
        </w:rPr>
        <w:t xml:space="preserve">significant, although gender balance among youth </w:t>
      </w:r>
      <w:r w:rsidRPr="00D75194" w:rsidR="00331485">
        <w:rPr>
          <w:rFonts w:asciiTheme="minorHAnsi" w:hAnsiTheme="minorHAnsi" w:eastAsiaTheme="minorEastAsia"/>
        </w:rPr>
        <w:t xml:space="preserve">has been </w:t>
      </w:r>
      <w:r w:rsidRPr="00D75194">
        <w:rPr>
          <w:rFonts w:asciiTheme="minorHAnsi" w:hAnsiTheme="minorHAnsi" w:eastAsiaTheme="minorEastAsia"/>
        </w:rPr>
        <w:t xml:space="preserve">more limited. </w:t>
      </w:r>
      <w:r w:rsidRPr="3C858BE1" w:rsidR="0B08FAD8">
        <w:rPr>
          <w:rFonts w:asciiTheme="minorHAnsi" w:hAnsiTheme="minorHAnsi" w:eastAsiaTheme="minorEastAsia"/>
        </w:rPr>
        <w:t xml:space="preserve">Taken together, CASA II </w:t>
      </w:r>
      <w:r w:rsidR="00BB7587">
        <w:rPr>
          <w:rFonts w:asciiTheme="minorHAnsi" w:hAnsiTheme="minorHAnsi" w:eastAsiaTheme="minorEastAsia"/>
        </w:rPr>
        <w:t>demo</w:t>
      </w:r>
      <w:r w:rsidRPr="3C858BE1" w:rsidR="210BC790">
        <w:rPr>
          <w:rFonts w:asciiTheme="minorHAnsi" w:hAnsiTheme="minorHAnsi" w:eastAsiaTheme="minorEastAsia"/>
        </w:rPr>
        <w:t>nstrates</w:t>
      </w:r>
      <w:r w:rsidRPr="3C858BE1" w:rsidR="59B2D081">
        <w:rPr>
          <w:rFonts w:asciiTheme="minorHAnsi" w:hAnsiTheme="minorHAnsi" w:eastAsiaTheme="minorEastAsia"/>
        </w:rPr>
        <w:t xml:space="preserve"> clear </w:t>
      </w:r>
      <w:r w:rsidRPr="3C858BE1" w:rsidR="00B079A3">
        <w:rPr>
          <w:rFonts w:asciiTheme="minorHAnsi" w:hAnsiTheme="minorHAnsi" w:eastAsiaTheme="minorEastAsia"/>
        </w:rPr>
        <w:t>VFM</w:t>
      </w:r>
      <w:r w:rsidRPr="00D75194">
        <w:rPr>
          <w:rFonts w:asciiTheme="minorHAnsi" w:hAnsiTheme="minorHAnsi" w:eastAsiaTheme="minorEastAsia"/>
        </w:rPr>
        <w:t xml:space="preserve">. </w:t>
      </w:r>
    </w:p>
    <w:p w:rsidRPr="00D75194" w:rsidR="00F16A30" w:rsidP="00A66917" w:rsidRDefault="5D5CBF41" w14:paraId="5202963A" w14:textId="7069FD4C">
      <w:pPr>
        <w:pStyle w:val="Heading3"/>
        <w:numPr>
          <w:ilvl w:val="0"/>
          <w:numId w:val="0"/>
        </w:numPr>
        <w:ind w:left="851" w:hanging="851"/>
      </w:pPr>
      <w:r w:rsidRPr="00D75194">
        <w:t xml:space="preserve">Effectiveness </w:t>
      </w:r>
    </w:p>
    <w:p w:rsidRPr="00D75194" w:rsidR="00F16A30" w:rsidP="2605B8D9" w:rsidRDefault="5D5CBF41" w14:paraId="226C7BE8" w14:textId="16C4DD30">
      <w:pPr>
        <w:spacing w:after="160" w:line="276" w:lineRule="auto"/>
        <w:rPr>
          <w:rFonts w:asciiTheme="minorHAnsi" w:hAnsiTheme="minorHAnsi" w:eastAsiaTheme="minorEastAsia"/>
        </w:rPr>
      </w:pPr>
      <w:r w:rsidRPr="00D75194">
        <w:rPr>
          <w:rFonts w:asciiTheme="minorHAnsi" w:hAnsiTheme="minorHAnsi" w:eastAsiaTheme="minorEastAsia"/>
          <w:b/>
          <w:bCs/>
        </w:rPr>
        <w:t>CASA II has made a series of critical and important contributions to strengthening negotiator capacity, negotiating group capability, and the successful delivery of domestic climate</w:t>
      </w:r>
      <w:r w:rsidRPr="00D75194" w:rsidR="00D901BC">
        <w:rPr>
          <w:rFonts w:asciiTheme="minorHAnsi" w:hAnsiTheme="minorHAnsi" w:eastAsiaTheme="minorEastAsia"/>
          <w:b/>
          <w:bCs/>
        </w:rPr>
        <w:t>-</w:t>
      </w:r>
      <w:r w:rsidRPr="00D75194">
        <w:rPr>
          <w:rFonts w:asciiTheme="minorHAnsi" w:hAnsiTheme="minorHAnsi" w:eastAsiaTheme="minorEastAsia"/>
          <w:b/>
          <w:bCs/>
        </w:rPr>
        <w:t xml:space="preserve">related policies. </w:t>
      </w:r>
      <w:r w:rsidRPr="00D75194">
        <w:rPr>
          <w:rFonts w:asciiTheme="minorHAnsi" w:hAnsiTheme="minorHAnsi" w:eastAsiaTheme="minorEastAsia"/>
        </w:rPr>
        <w:t xml:space="preserve">The CASA II programme and its predecessor programmes (CDKN, </w:t>
      </w:r>
      <w:r w:rsidRPr="00D75194" w:rsidR="00D901BC">
        <w:rPr>
          <w:rFonts w:asciiTheme="minorHAnsi" w:hAnsiTheme="minorHAnsi" w:eastAsiaTheme="minorEastAsia"/>
        </w:rPr>
        <w:t>Capacity Building for International Negotiations (</w:t>
      </w:r>
      <w:r w:rsidRPr="00D75194">
        <w:rPr>
          <w:rFonts w:asciiTheme="minorHAnsi" w:hAnsiTheme="minorHAnsi" w:eastAsiaTheme="minorEastAsia"/>
        </w:rPr>
        <w:t>CaBIN</w:t>
      </w:r>
      <w:r w:rsidRPr="00D75194" w:rsidR="00D901BC">
        <w:rPr>
          <w:rFonts w:asciiTheme="minorHAnsi" w:hAnsiTheme="minorHAnsi" w:eastAsiaTheme="minorEastAsia"/>
        </w:rPr>
        <w:t>)</w:t>
      </w:r>
      <w:r w:rsidRPr="00D75194">
        <w:rPr>
          <w:rFonts w:asciiTheme="minorHAnsi" w:hAnsiTheme="minorHAnsi" w:eastAsiaTheme="minorEastAsia"/>
        </w:rPr>
        <w:t xml:space="preserve">, CASA I) since 2010 have been a critical enabler of organisational capabilities, and then institutional and normative gains. Stand-out examples include the strengthening of </w:t>
      </w:r>
      <w:r w:rsidRPr="00D75194" w:rsidR="00DE3682">
        <w:rPr>
          <w:rFonts w:asciiTheme="minorHAnsi" w:hAnsiTheme="minorHAnsi" w:eastAsiaTheme="minorEastAsia"/>
        </w:rPr>
        <w:t xml:space="preserve">the organisational capability of the </w:t>
      </w:r>
      <w:r w:rsidRPr="00D75194">
        <w:rPr>
          <w:rFonts w:asciiTheme="minorHAnsi" w:hAnsiTheme="minorHAnsi" w:eastAsiaTheme="minorEastAsia"/>
        </w:rPr>
        <w:t xml:space="preserve">LDC Group and </w:t>
      </w:r>
      <w:r w:rsidRPr="00D75194" w:rsidR="003C59F2">
        <w:rPr>
          <w:rFonts w:asciiTheme="minorHAnsi" w:hAnsiTheme="minorHAnsi" w:eastAsiaTheme="minorEastAsia"/>
        </w:rPr>
        <w:t xml:space="preserve">the </w:t>
      </w:r>
      <w:r w:rsidRPr="00D75194">
        <w:rPr>
          <w:rFonts w:asciiTheme="minorHAnsi" w:hAnsiTheme="minorHAnsi" w:eastAsiaTheme="minorEastAsia"/>
        </w:rPr>
        <w:t>HAC</w:t>
      </w:r>
      <w:r w:rsidRPr="2DCAEB50" w:rsidR="0B08FAD8">
        <w:rPr>
          <w:rFonts w:asciiTheme="minorHAnsi" w:hAnsiTheme="minorHAnsi" w:eastAsiaTheme="minorEastAsia"/>
        </w:rPr>
        <w:t>.</w:t>
      </w:r>
      <w:r w:rsidRPr="00D75194">
        <w:rPr>
          <w:rFonts w:asciiTheme="minorHAnsi" w:hAnsiTheme="minorHAnsi" w:eastAsiaTheme="minorEastAsia"/>
        </w:rPr>
        <w:t xml:space="preserve"> Emerging structures</w:t>
      </w:r>
      <w:r w:rsidRPr="00D75194" w:rsidR="00030B10">
        <w:rPr>
          <w:rFonts w:asciiTheme="minorHAnsi" w:hAnsiTheme="minorHAnsi" w:eastAsiaTheme="minorEastAsia"/>
        </w:rPr>
        <w:t>,</w:t>
      </w:r>
      <w:r w:rsidRPr="00D75194">
        <w:rPr>
          <w:rFonts w:asciiTheme="minorHAnsi" w:hAnsiTheme="minorHAnsi" w:eastAsiaTheme="minorEastAsia"/>
        </w:rPr>
        <w:t xml:space="preserve"> such as the LDC Secretariat</w:t>
      </w:r>
      <w:r w:rsidRPr="00D75194" w:rsidR="00030B10">
        <w:rPr>
          <w:rFonts w:asciiTheme="minorHAnsi" w:hAnsiTheme="minorHAnsi" w:eastAsiaTheme="minorEastAsia"/>
        </w:rPr>
        <w:t>,</w:t>
      </w:r>
      <w:r w:rsidRPr="00D75194">
        <w:rPr>
          <w:rFonts w:asciiTheme="minorHAnsi" w:hAnsiTheme="minorHAnsi" w:eastAsiaTheme="minorEastAsia"/>
        </w:rPr>
        <w:t xml:space="preserve"> reflect sustainable institutional gains. Domestic implementation </w:t>
      </w:r>
      <w:r w:rsidRPr="00D75194" w:rsidR="00AA541A">
        <w:rPr>
          <w:rFonts w:asciiTheme="minorHAnsi" w:hAnsiTheme="minorHAnsi" w:eastAsiaTheme="minorEastAsia"/>
        </w:rPr>
        <w:t xml:space="preserve">has been </w:t>
      </w:r>
      <w:r w:rsidRPr="00D75194">
        <w:rPr>
          <w:rFonts w:asciiTheme="minorHAnsi" w:hAnsiTheme="minorHAnsi" w:eastAsiaTheme="minorEastAsia"/>
        </w:rPr>
        <w:t xml:space="preserve">catalysed through legal and policy support, such as LRI’s expanded model, which </w:t>
      </w:r>
      <w:r w:rsidRPr="00D75194" w:rsidR="00AA541A">
        <w:rPr>
          <w:rFonts w:asciiTheme="minorHAnsi" w:hAnsiTheme="minorHAnsi" w:eastAsiaTheme="minorEastAsia"/>
        </w:rPr>
        <w:t xml:space="preserve">has </w:t>
      </w:r>
      <w:r w:rsidRPr="00D75194">
        <w:rPr>
          <w:rFonts w:asciiTheme="minorHAnsi" w:hAnsiTheme="minorHAnsi" w:eastAsiaTheme="minorEastAsia"/>
        </w:rPr>
        <w:t>provided high</w:t>
      </w:r>
      <w:r w:rsidRPr="00D75194" w:rsidR="004324F2">
        <w:rPr>
          <w:rFonts w:asciiTheme="minorHAnsi" w:hAnsiTheme="minorHAnsi" w:eastAsiaTheme="minorEastAsia"/>
        </w:rPr>
        <w:t>-</w:t>
      </w:r>
      <w:r w:rsidRPr="00D75194">
        <w:rPr>
          <w:rFonts w:asciiTheme="minorHAnsi" w:hAnsiTheme="minorHAnsi" w:eastAsiaTheme="minorEastAsia"/>
        </w:rPr>
        <w:t>quality, pro bono legal assistance, directly strengthening legal frameworks and</w:t>
      </w:r>
      <w:r w:rsidRPr="00D75194" w:rsidR="00216B17">
        <w:rPr>
          <w:rFonts w:asciiTheme="minorHAnsi" w:hAnsiTheme="minorHAnsi" w:eastAsiaTheme="minorEastAsia"/>
        </w:rPr>
        <w:t xml:space="preserve"> the</w:t>
      </w:r>
      <w:r w:rsidRPr="00D75194">
        <w:rPr>
          <w:rFonts w:asciiTheme="minorHAnsi" w:hAnsiTheme="minorHAnsi" w:eastAsiaTheme="minorEastAsia"/>
        </w:rPr>
        <w:t xml:space="preserve"> capacities of negotiating delegations.</w:t>
      </w:r>
      <w:r w:rsidRPr="00D75194" w:rsidDel="006B601D">
        <w:rPr>
          <w:rFonts w:asciiTheme="minorHAnsi" w:hAnsiTheme="minorHAnsi" w:eastAsiaTheme="minorEastAsia"/>
        </w:rPr>
        <w:t xml:space="preserve"> </w:t>
      </w:r>
    </w:p>
    <w:p w:rsidRPr="00D75194" w:rsidR="00F16A30" w:rsidP="00D701F2" w:rsidRDefault="5D5CBF41" w14:paraId="0EEB3B94" w14:textId="553A8888">
      <w:pPr>
        <w:spacing w:before="60" w:after="60"/>
        <w:rPr>
          <w:rFonts w:asciiTheme="minorHAnsi" w:hAnsiTheme="minorHAnsi" w:eastAsiaTheme="minorEastAsia"/>
        </w:rPr>
      </w:pPr>
      <w:r w:rsidRPr="00D75194">
        <w:rPr>
          <w:rFonts w:asciiTheme="minorHAnsi" w:hAnsiTheme="minorHAnsi" w:eastAsiaTheme="minorEastAsia"/>
          <w:b/>
          <w:bCs/>
        </w:rPr>
        <w:t>TPs</w:t>
      </w:r>
      <w:r w:rsidRPr="00D75194" w:rsidDel="004324F2">
        <w:rPr>
          <w:rFonts w:asciiTheme="minorHAnsi" w:hAnsiTheme="minorHAnsi" w:eastAsiaTheme="minorEastAsia"/>
          <w:b/>
          <w:bCs/>
        </w:rPr>
        <w:t xml:space="preserve"> </w:t>
      </w:r>
      <w:r w:rsidRPr="00D75194" w:rsidR="004324F2">
        <w:rPr>
          <w:rFonts w:asciiTheme="minorHAnsi" w:hAnsiTheme="minorHAnsi" w:eastAsiaTheme="minorEastAsia"/>
          <w:b/>
          <w:bCs/>
        </w:rPr>
        <w:t xml:space="preserve">have been </w:t>
      </w:r>
      <w:r w:rsidRPr="00D75194">
        <w:rPr>
          <w:rFonts w:asciiTheme="minorHAnsi" w:hAnsiTheme="minorHAnsi" w:eastAsiaTheme="minorEastAsia"/>
          <w:b/>
          <w:bCs/>
        </w:rPr>
        <w:t>critical enablers of CASA II</w:t>
      </w:r>
      <w:r w:rsidRPr="00D75194" w:rsidR="004324F2">
        <w:rPr>
          <w:rFonts w:asciiTheme="minorHAnsi" w:hAnsiTheme="minorHAnsi" w:eastAsiaTheme="minorEastAsia"/>
          <w:b/>
          <w:bCs/>
        </w:rPr>
        <w:t>’s</w:t>
      </w:r>
      <w:r w:rsidRPr="00D75194">
        <w:rPr>
          <w:rFonts w:asciiTheme="minorHAnsi" w:hAnsiTheme="minorHAnsi" w:eastAsiaTheme="minorEastAsia"/>
          <w:b/>
          <w:bCs/>
        </w:rPr>
        <w:t xml:space="preserve"> effectiveness. </w:t>
      </w:r>
      <w:r w:rsidRPr="00D75194">
        <w:rPr>
          <w:rFonts w:asciiTheme="minorHAnsi" w:hAnsiTheme="minorHAnsi" w:eastAsiaTheme="minorEastAsia"/>
        </w:rPr>
        <w:t>Through longstanding, trust-based relationships, TPs</w:t>
      </w:r>
      <w:r w:rsidRPr="00D75194" w:rsidR="00F86D43">
        <w:rPr>
          <w:rFonts w:asciiTheme="minorHAnsi" w:hAnsiTheme="minorHAnsi" w:eastAsiaTheme="minorEastAsia"/>
        </w:rPr>
        <w:t>—</w:t>
      </w:r>
      <w:r w:rsidRPr="00D75194">
        <w:rPr>
          <w:rFonts w:asciiTheme="minorHAnsi" w:hAnsiTheme="minorHAnsi" w:eastAsiaTheme="minorEastAsia"/>
        </w:rPr>
        <w:t xml:space="preserve">such as </w:t>
      </w:r>
      <w:r w:rsidRPr="2DCAEB50" w:rsidR="00494461">
        <w:rPr>
          <w:rFonts w:asciiTheme="minorHAnsi" w:hAnsiTheme="minorHAnsi" w:eastAsiaTheme="minorEastAsia"/>
        </w:rPr>
        <w:t>Independent</w:t>
      </w:r>
      <w:r w:rsidRPr="00D75194" w:rsidR="00494461">
        <w:rPr>
          <w:rFonts w:asciiTheme="minorHAnsi" w:hAnsiTheme="minorHAnsi" w:eastAsiaTheme="minorEastAsia"/>
        </w:rPr>
        <w:t xml:space="preserve"> Diplomat</w:t>
      </w:r>
      <w:r w:rsidRPr="00D75194">
        <w:rPr>
          <w:rFonts w:asciiTheme="minorHAnsi" w:hAnsiTheme="minorHAnsi" w:eastAsiaTheme="minorEastAsia"/>
        </w:rPr>
        <w:t xml:space="preserve">, LRI, </w:t>
      </w:r>
      <w:r w:rsidRPr="00D75194" w:rsidR="004324F2">
        <w:rPr>
          <w:rFonts w:asciiTheme="minorHAnsi" w:hAnsiTheme="minorHAnsi" w:eastAsiaTheme="minorEastAsia"/>
        </w:rPr>
        <w:t xml:space="preserve">the </w:t>
      </w:r>
      <w:r w:rsidRPr="00D75194" w:rsidR="004324F2">
        <w:t>International Institute for Environment and Development</w:t>
      </w:r>
      <w:r w:rsidRPr="00D75194" w:rsidR="0082109B">
        <w:t xml:space="preserve"> </w:t>
      </w:r>
      <w:r w:rsidRPr="00D75194" w:rsidR="004324F2">
        <w:rPr>
          <w:rFonts w:asciiTheme="minorHAnsi" w:hAnsiTheme="minorHAnsi" w:eastAsiaTheme="minorEastAsia"/>
        </w:rPr>
        <w:t>(</w:t>
      </w:r>
      <w:r w:rsidRPr="00D75194">
        <w:rPr>
          <w:rFonts w:asciiTheme="minorHAnsi" w:hAnsiTheme="minorHAnsi" w:eastAsiaTheme="minorEastAsia"/>
        </w:rPr>
        <w:t>IIED</w:t>
      </w:r>
      <w:r w:rsidRPr="00D75194" w:rsidR="004324F2">
        <w:rPr>
          <w:rFonts w:asciiTheme="minorHAnsi" w:hAnsiTheme="minorHAnsi" w:eastAsiaTheme="minorEastAsia"/>
        </w:rPr>
        <w:t>),</w:t>
      </w:r>
      <w:r w:rsidRPr="00D75194">
        <w:rPr>
          <w:rFonts w:asciiTheme="minorHAnsi" w:hAnsiTheme="minorHAnsi" w:eastAsiaTheme="minorEastAsia"/>
        </w:rPr>
        <w:t xml:space="preserve"> and</w:t>
      </w:r>
      <w:r w:rsidRPr="00D75194" w:rsidDel="00494461">
        <w:rPr>
          <w:rFonts w:asciiTheme="minorHAnsi" w:hAnsiTheme="minorHAnsi" w:eastAsiaTheme="minorEastAsia"/>
        </w:rPr>
        <w:t xml:space="preserve"> </w:t>
      </w:r>
      <w:r w:rsidRPr="00D75194" w:rsidR="00494461">
        <w:rPr>
          <w:rFonts w:asciiTheme="minorHAnsi" w:hAnsiTheme="minorHAnsi" w:eastAsiaTheme="minorEastAsia"/>
        </w:rPr>
        <w:t>Climate Analytics</w:t>
      </w:r>
      <w:r w:rsidRPr="00D75194" w:rsidR="00F86D43">
        <w:rPr>
          <w:rFonts w:asciiTheme="minorHAnsi" w:hAnsiTheme="minorHAnsi" w:eastAsiaTheme="minorEastAsia"/>
        </w:rPr>
        <w:t>—</w:t>
      </w:r>
      <w:r w:rsidRPr="00D75194" w:rsidR="00F86F5D">
        <w:rPr>
          <w:rFonts w:asciiTheme="minorHAnsi" w:hAnsiTheme="minorHAnsi" w:eastAsiaTheme="minorEastAsia"/>
        </w:rPr>
        <w:t xml:space="preserve">have </w:t>
      </w:r>
      <w:r w:rsidRPr="00D75194">
        <w:rPr>
          <w:rFonts w:asciiTheme="minorHAnsi" w:hAnsiTheme="minorHAnsi" w:eastAsiaTheme="minorEastAsia"/>
        </w:rPr>
        <w:t xml:space="preserve">delivered tailored support that </w:t>
      </w:r>
      <w:r w:rsidRPr="00D75194" w:rsidR="00F86F5D">
        <w:rPr>
          <w:rFonts w:asciiTheme="minorHAnsi" w:hAnsiTheme="minorHAnsi" w:eastAsiaTheme="minorEastAsia"/>
        </w:rPr>
        <w:t xml:space="preserve">has </w:t>
      </w:r>
      <w:r w:rsidRPr="00D75194">
        <w:rPr>
          <w:rFonts w:asciiTheme="minorHAnsi" w:hAnsiTheme="minorHAnsi" w:eastAsiaTheme="minorEastAsia"/>
        </w:rPr>
        <w:t>enhanced negotiation preparation, alliance building, and legal capacity. While the relational delivery model led to CASA II exceeding its intended impact relative to its investment, concerns about an imbalance of power between TP</w:t>
      </w:r>
      <w:r w:rsidRPr="00D75194" w:rsidR="00965EB1">
        <w:rPr>
          <w:rFonts w:asciiTheme="minorHAnsi" w:hAnsiTheme="minorHAnsi" w:eastAsiaTheme="minorEastAsia"/>
        </w:rPr>
        <w:t>-</w:t>
      </w:r>
      <w:r w:rsidRPr="00D75194">
        <w:rPr>
          <w:rFonts w:asciiTheme="minorHAnsi" w:hAnsiTheme="minorHAnsi" w:eastAsiaTheme="minorEastAsia"/>
        </w:rPr>
        <w:t xml:space="preserve">supported groups, and unequal access to </w:t>
      </w:r>
      <w:r w:rsidRPr="00D75194">
        <w:rPr>
          <w:rFonts w:asciiTheme="minorHAnsi" w:hAnsiTheme="minorHAnsi" w:eastAsiaTheme="minorEastAsia"/>
        </w:rPr>
        <w:t>support, remain. Evidence from several interviews suggests that effectiveness is constrained when TPs support negotiator priorities but at the same time displace their agency.</w:t>
      </w:r>
      <w:r w:rsidRPr="00D75194" w:rsidDel="006B601D">
        <w:rPr>
          <w:rFonts w:asciiTheme="minorHAnsi" w:hAnsiTheme="minorHAnsi" w:eastAsiaTheme="minorEastAsia"/>
        </w:rPr>
        <w:t xml:space="preserve"> </w:t>
      </w:r>
    </w:p>
    <w:p w:rsidRPr="00D75194" w:rsidR="00F16A30" w:rsidP="2605B8D9" w:rsidRDefault="5D5CBF41" w14:paraId="58F366F0" w14:textId="4594A133">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Support through the OF </w:t>
      </w:r>
      <w:r w:rsidRPr="00D75194" w:rsidR="00E463E2">
        <w:rPr>
          <w:rFonts w:asciiTheme="minorHAnsi" w:hAnsiTheme="minorHAnsi" w:eastAsiaTheme="minorEastAsia"/>
          <w:b/>
          <w:bCs/>
        </w:rPr>
        <w:t xml:space="preserve">has </w:t>
      </w:r>
      <w:r w:rsidRPr="00D75194">
        <w:rPr>
          <w:rFonts w:asciiTheme="minorHAnsi" w:hAnsiTheme="minorHAnsi" w:eastAsiaTheme="minorEastAsia"/>
          <w:b/>
          <w:bCs/>
        </w:rPr>
        <w:t xml:space="preserve">enabled innovation and inclusion. </w:t>
      </w:r>
      <w:r w:rsidRPr="00D75194">
        <w:rPr>
          <w:rFonts w:asciiTheme="minorHAnsi" w:hAnsiTheme="minorHAnsi" w:eastAsiaTheme="minorEastAsia"/>
        </w:rPr>
        <w:t>New modalities (to CASA II), such as the negotiating group</w:t>
      </w:r>
      <w:r w:rsidRPr="00D75194" w:rsidR="00E463E2">
        <w:rPr>
          <w:rFonts w:asciiTheme="minorHAnsi" w:hAnsiTheme="minorHAnsi" w:eastAsiaTheme="minorEastAsia"/>
        </w:rPr>
        <w:t>-</w:t>
      </w:r>
      <w:r w:rsidRPr="00D75194">
        <w:rPr>
          <w:rFonts w:asciiTheme="minorHAnsi" w:hAnsiTheme="minorHAnsi" w:eastAsiaTheme="minorEastAsia"/>
        </w:rPr>
        <w:t>nominated youth fellowship and targeted capacity building for Nepal’s stakeholders,</w:t>
      </w:r>
      <w:r w:rsidRPr="00D75194" w:rsidR="00B17339">
        <w:rPr>
          <w:rFonts w:asciiTheme="minorHAnsi" w:hAnsiTheme="minorHAnsi" w:eastAsiaTheme="minorEastAsia"/>
        </w:rPr>
        <w:t xml:space="preserve"> </w:t>
      </w:r>
      <w:r w:rsidRPr="00D75194" w:rsidR="00BD1333">
        <w:rPr>
          <w:rFonts w:asciiTheme="minorHAnsi" w:hAnsiTheme="minorHAnsi" w:eastAsiaTheme="minorEastAsia"/>
        </w:rPr>
        <w:t>h</w:t>
      </w:r>
      <w:r w:rsidRPr="00D75194" w:rsidR="00B17339">
        <w:rPr>
          <w:rFonts w:asciiTheme="minorHAnsi" w:hAnsiTheme="minorHAnsi" w:eastAsiaTheme="minorEastAsia"/>
        </w:rPr>
        <w:t>ave</w:t>
      </w:r>
      <w:r w:rsidRPr="00D75194">
        <w:rPr>
          <w:rFonts w:asciiTheme="minorHAnsi" w:hAnsiTheme="minorHAnsi" w:eastAsiaTheme="minorEastAsia"/>
        </w:rPr>
        <w:t xml:space="preserve"> extended CASA II’s reach and impact. These efforts</w:t>
      </w:r>
      <w:r w:rsidRPr="00D75194" w:rsidR="00DE07F4">
        <w:rPr>
          <w:rFonts w:asciiTheme="minorHAnsi" w:hAnsiTheme="minorHAnsi" w:eastAsiaTheme="minorEastAsia"/>
        </w:rPr>
        <w:t xml:space="preserve"> have</w:t>
      </w:r>
      <w:r w:rsidRPr="00D75194">
        <w:rPr>
          <w:rFonts w:asciiTheme="minorHAnsi" w:hAnsiTheme="minorHAnsi" w:eastAsiaTheme="minorEastAsia"/>
        </w:rPr>
        <w:t xml:space="preserve"> reinforced thematic leadership and secured participation in key processes like the Mountainous Ranges </w:t>
      </w:r>
      <w:r w:rsidRPr="2DCAEB50" w:rsidR="72A60593">
        <w:rPr>
          <w:rFonts w:asciiTheme="minorHAnsi" w:hAnsiTheme="minorHAnsi" w:eastAsiaTheme="minorEastAsia"/>
        </w:rPr>
        <w:t>Agenda</w:t>
      </w:r>
      <w:r w:rsidRPr="2DCAEB50" w:rsidR="0B08FAD8">
        <w:rPr>
          <w:rFonts w:asciiTheme="minorHAnsi" w:hAnsiTheme="minorHAnsi" w:eastAsiaTheme="minorEastAsia"/>
        </w:rPr>
        <w:t>.</w:t>
      </w:r>
      <w:r w:rsidRPr="00D75194" w:rsidR="006B601D">
        <w:rPr>
          <w:rFonts w:asciiTheme="minorHAnsi" w:hAnsiTheme="minorHAnsi" w:eastAsiaTheme="minorEastAsia"/>
        </w:rPr>
        <w:t xml:space="preserve"> </w:t>
      </w:r>
    </w:p>
    <w:p w:rsidRPr="00D75194" w:rsidR="00F16A30" w:rsidP="2605B8D9" w:rsidRDefault="5D5CBF41" w14:paraId="3BE10557" w14:textId="78B0591A">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CASA II has overachieved across all logframe outputs and sustained a very high level of satisfaction with regards to </w:t>
      </w:r>
      <w:r w:rsidRPr="00D75194" w:rsidR="00055FF1">
        <w:rPr>
          <w:rFonts w:asciiTheme="minorHAnsi" w:hAnsiTheme="minorHAnsi" w:eastAsiaTheme="minorEastAsia"/>
          <w:b/>
          <w:bCs/>
        </w:rPr>
        <w:t>t</w:t>
      </w:r>
      <w:r w:rsidRPr="00D75194" w:rsidR="00E960D9">
        <w:rPr>
          <w:rFonts w:asciiTheme="minorHAnsi" w:hAnsiTheme="minorHAnsi" w:eastAsiaTheme="minorEastAsia"/>
          <w:b/>
          <w:bCs/>
        </w:rPr>
        <w:t>h</w:t>
      </w:r>
      <w:r w:rsidRPr="00D75194" w:rsidR="00055FF1">
        <w:rPr>
          <w:rFonts w:asciiTheme="minorHAnsi" w:hAnsiTheme="minorHAnsi" w:eastAsiaTheme="minorEastAsia"/>
          <w:b/>
          <w:bCs/>
        </w:rPr>
        <w:t xml:space="preserve">e </w:t>
      </w:r>
      <w:r w:rsidRPr="00D75194">
        <w:rPr>
          <w:rFonts w:asciiTheme="minorHAnsi" w:hAnsiTheme="minorHAnsi" w:eastAsiaTheme="minorEastAsia"/>
          <w:b/>
          <w:bCs/>
        </w:rPr>
        <w:t xml:space="preserve">support provided. </w:t>
      </w:r>
      <w:r w:rsidRPr="00D75194" w:rsidR="00E960D9">
        <w:rPr>
          <w:rFonts w:asciiTheme="minorHAnsi" w:hAnsiTheme="minorHAnsi" w:eastAsiaTheme="minorEastAsia"/>
          <w:b/>
          <w:bCs/>
        </w:rPr>
        <w:t xml:space="preserve">However, </w:t>
      </w:r>
      <w:r w:rsidRPr="2DCAEB50" w:rsidR="00E960D9">
        <w:rPr>
          <w:rFonts w:asciiTheme="minorHAnsi" w:hAnsiTheme="minorHAnsi" w:eastAsiaTheme="minorEastAsia"/>
          <w:b/>
          <w:bCs/>
        </w:rPr>
        <w:t>t</w:t>
      </w:r>
      <w:r w:rsidRPr="2DCAEB50" w:rsidR="0B08FAD8">
        <w:rPr>
          <w:rFonts w:asciiTheme="minorHAnsi" w:hAnsiTheme="minorHAnsi" w:eastAsiaTheme="minorEastAsia"/>
          <w:b/>
          <w:bCs/>
        </w:rPr>
        <w:t>he</w:t>
      </w:r>
      <w:r w:rsidRPr="00D75194">
        <w:rPr>
          <w:rFonts w:asciiTheme="minorHAnsi" w:hAnsiTheme="minorHAnsi" w:eastAsiaTheme="minorEastAsia"/>
          <w:b/>
          <w:bCs/>
        </w:rPr>
        <w:t xml:space="preserve"> LEP team question whether the level of</w:t>
      </w:r>
      <w:r w:rsidRPr="00D75194" w:rsidR="00EF3BE8">
        <w:rPr>
          <w:rFonts w:asciiTheme="minorHAnsi" w:hAnsiTheme="minorHAnsi" w:eastAsiaTheme="minorEastAsia"/>
          <w:b/>
          <w:bCs/>
        </w:rPr>
        <w:t xml:space="preserve"> the</w:t>
      </w:r>
      <w:r w:rsidRPr="00D75194">
        <w:rPr>
          <w:rFonts w:asciiTheme="minorHAnsi" w:hAnsiTheme="minorHAnsi" w:eastAsiaTheme="minorEastAsia"/>
          <w:b/>
          <w:bCs/>
        </w:rPr>
        <w:t xml:space="preserve"> programme</w:t>
      </w:r>
      <w:r w:rsidRPr="00D75194" w:rsidR="00EF3BE8">
        <w:rPr>
          <w:rFonts w:asciiTheme="minorHAnsi" w:hAnsiTheme="minorHAnsi" w:eastAsiaTheme="minorEastAsia"/>
          <w:b/>
          <w:bCs/>
        </w:rPr>
        <w:t>’s</w:t>
      </w:r>
      <w:r w:rsidRPr="00D75194">
        <w:rPr>
          <w:rFonts w:asciiTheme="minorHAnsi" w:hAnsiTheme="minorHAnsi" w:eastAsiaTheme="minorEastAsia"/>
          <w:b/>
          <w:bCs/>
        </w:rPr>
        <w:t xml:space="preserve"> ambition </w:t>
      </w:r>
      <w:r w:rsidRPr="00D75194" w:rsidR="00EF3BE8">
        <w:rPr>
          <w:rFonts w:asciiTheme="minorHAnsi" w:hAnsiTheme="minorHAnsi" w:eastAsiaTheme="minorEastAsia"/>
          <w:b/>
          <w:bCs/>
        </w:rPr>
        <w:t xml:space="preserve">has been </w:t>
      </w:r>
      <w:r w:rsidRPr="00D75194">
        <w:rPr>
          <w:rFonts w:asciiTheme="minorHAnsi" w:hAnsiTheme="minorHAnsi" w:eastAsiaTheme="minorEastAsia"/>
          <w:b/>
          <w:bCs/>
        </w:rPr>
        <w:t>inappropriate</w:t>
      </w:r>
      <w:r w:rsidRPr="00D75194" w:rsidR="007055F8">
        <w:rPr>
          <w:rFonts w:asciiTheme="minorHAnsi" w:hAnsiTheme="minorHAnsi" w:eastAsiaTheme="minorEastAsia"/>
          <w:b/>
          <w:bCs/>
        </w:rPr>
        <w:t>,</w:t>
      </w:r>
      <w:r w:rsidRPr="00D75194">
        <w:rPr>
          <w:rFonts w:asciiTheme="minorHAnsi" w:hAnsiTheme="minorHAnsi" w:eastAsiaTheme="minorEastAsia"/>
          <w:b/>
          <w:bCs/>
        </w:rPr>
        <w:t xml:space="preserve"> or too modest, given historic achievements.</w:t>
      </w:r>
      <w:r w:rsidRPr="00D75194">
        <w:rPr>
          <w:rFonts w:asciiTheme="minorHAnsi" w:hAnsiTheme="minorHAnsi" w:eastAsiaTheme="minorEastAsia"/>
        </w:rPr>
        <w:t xml:space="preserve"> So, while</w:t>
      </w:r>
      <w:r w:rsidRPr="00D75194">
        <w:rPr>
          <w:rFonts w:asciiTheme="minorHAnsi" w:hAnsiTheme="minorHAnsi" w:eastAsiaTheme="minorEastAsia"/>
          <w:b/>
          <w:bCs/>
        </w:rPr>
        <w:t xml:space="preserve"> </w:t>
      </w:r>
      <w:r w:rsidRPr="00D75194">
        <w:rPr>
          <w:rFonts w:asciiTheme="minorHAnsi" w:hAnsiTheme="minorHAnsi" w:eastAsiaTheme="minorEastAsia"/>
        </w:rPr>
        <w:t>the overwhelming strength of CASA II’s logframe performance, across both individual negotiator and negotiating group capabilities, seems to validate the findings, the LEP team would caution against an exaggerated positive view of performance relative to strong historical results.</w:t>
      </w:r>
      <w:r w:rsidRPr="00D75194" w:rsidDel="006B601D">
        <w:rPr>
          <w:rFonts w:asciiTheme="minorHAnsi" w:hAnsiTheme="minorHAnsi" w:eastAsiaTheme="minorEastAsia"/>
        </w:rPr>
        <w:t xml:space="preserve"> </w:t>
      </w:r>
    </w:p>
    <w:p w:rsidRPr="00D75194" w:rsidR="00F16A30" w:rsidP="00A66917" w:rsidRDefault="5D5CBF41" w14:paraId="40DA0490" w14:textId="47D2B707">
      <w:pPr>
        <w:pStyle w:val="Heading3"/>
        <w:numPr>
          <w:ilvl w:val="0"/>
          <w:numId w:val="0"/>
        </w:numPr>
        <w:ind w:left="851" w:hanging="851"/>
      </w:pPr>
      <w:r w:rsidRPr="00D75194">
        <w:t xml:space="preserve">Impact </w:t>
      </w:r>
    </w:p>
    <w:p w:rsidRPr="00D75194" w:rsidR="00F16A30" w:rsidP="2605B8D9" w:rsidRDefault="5D5CBF41" w14:paraId="3E5DE2F3" w14:textId="0239E332">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CASA II has made critical and important contributions to achieving a fairer negotiation process that includes meaningful participation from groups of </w:t>
      </w:r>
      <w:r w:rsidRPr="00D75194" w:rsidR="002D5998">
        <w:rPr>
          <w:rFonts w:asciiTheme="minorHAnsi" w:hAnsiTheme="minorHAnsi" w:eastAsiaTheme="minorEastAsia"/>
          <w:b/>
          <w:bCs/>
        </w:rPr>
        <w:t>high ambition</w:t>
      </w:r>
      <w:r w:rsidRPr="00D75194">
        <w:rPr>
          <w:rFonts w:asciiTheme="minorHAnsi" w:hAnsiTheme="minorHAnsi" w:eastAsiaTheme="minorEastAsia"/>
          <w:b/>
          <w:bCs/>
        </w:rPr>
        <w:t xml:space="preserve"> developing countries and negotiated outcomes that reflect the positions of these groups.</w:t>
      </w:r>
      <w:r w:rsidRPr="00D75194" w:rsidDel="006B601D">
        <w:rPr>
          <w:rFonts w:asciiTheme="minorHAnsi" w:hAnsiTheme="minorHAnsi" w:eastAsiaTheme="minorEastAsia"/>
          <w:b/>
          <w:bCs/>
        </w:rPr>
        <w:t xml:space="preserve"> </w:t>
      </w:r>
      <w:r w:rsidRPr="00D75194">
        <w:rPr>
          <w:rFonts w:asciiTheme="minorHAnsi" w:hAnsiTheme="minorHAnsi" w:eastAsiaTheme="minorEastAsia"/>
        </w:rPr>
        <w:t xml:space="preserve">We can see CASA’s impact occurring across four different planes: </w:t>
      </w:r>
      <w:r w:rsidRPr="00D75194">
        <w:rPr>
          <w:rFonts w:asciiTheme="minorHAnsi" w:hAnsiTheme="minorHAnsi" w:eastAsiaTheme="minorEastAsia"/>
          <w:b/>
          <w:bCs/>
        </w:rPr>
        <w:t>individual capacity</w:t>
      </w:r>
      <w:r w:rsidRPr="00D75194">
        <w:rPr>
          <w:rFonts w:asciiTheme="minorHAnsi" w:hAnsiTheme="minorHAnsi" w:eastAsiaTheme="minorEastAsia"/>
        </w:rPr>
        <w:t xml:space="preserve">, </w:t>
      </w:r>
      <w:r w:rsidRPr="00D75194">
        <w:rPr>
          <w:rFonts w:asciiTheme="minorHAnsi" w:hAnsiTheme="minorHAnsi" w:eastAsiaTheme="minorEastAsia"/>
          <w:b/>
          <w:bCs/>
        </w:rPr>
        <w:t>organisational capability</w:t>
      </w:r>
      <w:r w:rsidRPr="00D75194">
        <w:rPr>
          <w:rFonts w:asciiTheme="minorHAnsi" w:hAnsiTheme="minorHAnsi" w:eastAsiaTheme="minorEastAsia"/>
        </w:rPr>
        <w:t xml:space="preserve">, </w:t>
      </w:r>
      <w:r w:rsidRPr="00D75194">
        <w:rPr>
          <w:rFonts w:asciiTheme="minorHAnsi" w:hAnsiTheme="minorHAnsi" w:eastAsiaTheme="minorEastAsia"/>
          <w:b/>
          <w:bCs/>
        </w:rPr>
        <w:t>institutional change</w:t>
      </w:r>
      <w:r w:rsidRPr="00D75194">
        <w:rPr>
          <w:rFonts w:asciiTheme="minorHAnsi" w:hAnsiTheme="minorHAnsi" w:eastAsiaTheme="minorEastAsia"/>
        </w:rPr>
        <w:t xml:space="preserve">, and </w:t>
      </w:r>
      <w:r w:rsidRPr="00D75194">
        <w:rPr>
          <w:rFonts w:asciiTheme="minorHAnsi" w:hAnsiTheme="minorHAnsi" w:eastAsiaTheme="minorEastAsia"/>
          <w:b/>
          <w:bCs/>
        </w:rPr>
        <w:t>normative gains</w:t>
      </w:r>
      <w:r w:rsidRPr="00D75194">
        <w:rPr>
          <w:rFonts w:asciiTheme="minorHAnsi" w:hAnsiTheme="minorHAnsi" w:eastAsiaTheme="minorEastAsia"/>
        </w:rPr>
        <w:t>. The following impact analysis is framed around these four areas.</w:t>
      </w:r>
      <w:r w:rsidRPr="00D75194" w:rsidDel="006B601D">
        <w:rPr>
          <w:rFonts w:asciiTheme="minorHAnsi" w:hAnsiTheme="minorHAnsi" w:eastAsiaTheme="minorEastAsia"/>
        </w:rPr>
        <w:t xml:space="preserve"> </w:t>
      </w:r>
    </w:p>
    <w:p w:rsidRPr="00D75194" w:rsidR="00F16A30" w:rsidP="2605B8D9" w:rsidRDefault="5D5CBF41" w14:paraId="2FEB25FF" w14:textId="5AC99A42">
      <w:pPr>
        <w:spacing w:after="160" w:line="276" w:lineRule="auto"/>
        <w:rPr>
          <w:rFonts w:asciiTheme="minorHAnsi" w:hAnsiTheme="minorHAnsi" w:eastAsiaTheme="minorEastAsia"/>
        </w:rPr>
      </w:pPr>
      <w:r w:rsidRPr="00D75194">
        <w:rPr>
          <w:rFonts w:asciiTheme="minorHAnsi" w:hAnsiTheme="minorHAnsi" w:eastAsiaTheme="minorEastAsia"/>
          <w:b/>
          <w:bCs/>
        </w:rPr>
        <w:t>Global South negotiators have significantly increased</w:t>
      </w:r>
      <w:r w:rsidRPr="00D75194" w:rsidR="0080555D">
        <w:rPr>
          <w:rFonts w:asciiTheme="minorHAnsi" w:hAnsiTheme="minorHAnsi" w:eastAsiaTheme="minorEastAsia"/>
          <w:b/>
          <w:bCs/>
        </w:rPr>
        <w:t xml:space="preserve"> their</w:t>
      </w:r>
      <w:r w:rsidRPr="00D75194">
        <w:rPr>
          <w:rFonts w:asciiTheme="minorHAnsi" w:hAnsiTheme="minorHAnsi" w:eastAsiaTheme="minorEastAsia"/>
          <w:b/>
          <w:bCs/>
        </w:rPr>
        <w:t xml:space="preserve"> capacity and capability to engage in international climate negotiations.</w:t>
      </w:r>
      <w:r w:rsidRPr="00D75194">
        <w:rPr>
          <w:rFonts w:asciiTheme="minorHAnsi" w:hAnsiTheme="minorHAnsi" w:eastAsiaTheme="minorEastAsia"/>
        </w:rPr>
        <w:t xml:space="preserve"> Critical contributions are evident in the individual negotiator capacity building and increased organisational capabilities that CASA has invested in, such as the LDC Group developing into a more formalised organisation, developing and growing </w:t>
      </w:r>
      <w:r w:rsidRPr="00D75194" w:rsidR="006A3299">
        <w:rPr>
          <w:rFonts w:asciiTheme="minorHAnsi" w:hAnsiTheme="minorHAnsi" w:eastAsiaTheme="minorEastAsia"/>
        </w:rPr>
        <w:t>its</w:t>
      </w:r>
      <w:r w:rsidRPr="00D75194">
        <w:rPr>
          <w:rFonts w:asciiTheme="minorHAnsi" w:hAnsiTheme="minorHAnsi" w:eastAsiaTheme="minorEastAsia"/>
        </w:rPr>
        <w:t xml:space="preserve"> systems and processes </w:t>
      </w:r>
      <w:r w:rsidRPr="00D75194" w:rsidR="006A3299">
        <w:rPr>
          <w:rFonts w:asciiTheme="minorHAnsi" w:hAnsiTheme="minorHAnsi" w:eastAsiaTheme="minorEastAsia"/>
        </w:rPr>
        <w:t>so</w:t>
      </w:r>
      <w:r w:rsidRPr="00D75194" w:rsidR="00655E66">
        <w:rPr>
          <w:rFonts w:asciiTheme="minorHAnsi" w:hAnsiTheme="minorHAnsi" w:eastAsiaTheme="minorEastAsia"/>
        </w:rPr>
        <w:t xml:space="preserve"> that </w:t>
      </w:r>
      <w:r w:rsidRPr="00D75194" w:rsidR="006A3299">
        <w:rPr>
          <w:rFonts w:asciiTheme="minorHAnsi" w:hAnsiTheme="minorHAnsi" w:eastAsiaTheme="minorEastAsia"/>
        </w:rPr>
        <w:t>it is a</w:t>
      </w:r>
      <w:r w:rsidRPr="00D75194" w:rsidR="00655E66">
        <w:rPr>
          <w:rFonts w:asciiTheme="minorHAnsi" w:hAnsiTheme="minorHAnsi" w:eastAsiaTheme="minorEastAsia"/>
        </w:rPr>
        <w:t xml:space="preserve"> more</w:t>
      </w:r>
      <w:r w:rsidRPr="00D75194">
        <w:rPr>
          <w:rFonts w:asciiTheme="minorHAnsi" w:hAnsiTheme="minorHAnsi" w:eastAsiaTheme="minorEastAsia"/>
        </w:rPr>
        <w:t xml:space="preserve"> resilient and influential agent in the climate negotiations landscape.</w:t>
      </w:r>
    </w:p>
    <w:p w:rsidRPr="00D75194" w:rsidR="00267455" w:rsidP="00267455" w:rsidRDefault="5D5CBF41" w14:paraId="0B368F27" w14:textId="4C8AE976">
      <w:pPr>
        <w:spacing w:before="60" w:after="60"/>
      </w:pPr>
      <w:r w:rsidRPr="00D75194">
        <w:rPr>
          <w:rFonts w:asciiTheme="minorHAnsi" w:hAnsiTheme="minorHAnsi" w:eastAsiaTheme="minorEastAsia"/>
          <w:b/>
          <w:bCs/>
        </w:rPr>
        <w:t xml:space="preserve">There is some evidence that CASA has made important contributions to </w:t>
      </w:r>
      <w:r w:rsidRPr="2DCAEB50">
        <w:rPr>
          <w:rFonts w:asciiTheme="minorHAnsi" w:hAnsiTheme="minorHAnsi" w:eastAsiaTheme="minorEastAsia"/>
          <w:b/>
          <w:bCs/>
        </w:rPr>
        <w:t>enabl</w:t>
      </w:r>
      <w:r w:rsidRPr="2DCAEB50" w:rsidR="006E7C1A">
        <w:rPr>
          <w:rFonts w:asciiTheme="minorHAnsi" w:hAnsiTheme="minorHAnsi" w:eastAsiaTheme="minorEastAsia"/>
          <w:b/>
          <w:bCs/>
        </w:rPr>
        <w:t>ing</w:t>
      </w:r>
      <w:r w:rsidRPr="00D75194">
        <w:rPr>
          <w:rFonts w:asciiTheme="minorHAnsi" w:hAnsiTheme="minorHAnsi" w:eastAsiaTheme="minorEastAsia"/>
          <w:b/>
          <w:bCs/>
        </w:rPr>
        <w:t xml:space="preserve"> negotiating groups to access, engage in, and influence climate negotiations.</w:t>
      </w:r>
      <w:r w:rsidRPr="00D75194">
        <w:rPr>
          <w:rFonts w:asciiTheme="minorHAnsi" w:hAnsiTheme="minorHAnsi" w:eastAsiaTheme="minorEastAsia"/>
        </w:rPr>
        <w:t xml:space="preserve"> These findings relate to the institutional changes and normative gains that CASA has supported. The degree of contribution at this level </w:t>
      </w:r>
      <w:r w:rsidRPr="00D75194" w:rsidR="0048259B">
        <w:rPr>
          <w:rFonts w:asciiTheme="minorHAnsi" w:hAnsiTheme="minorHAnsi" w:eastAsiaTheme="minorEastAsia"/>
        </w:rPr>
        <w:t xml:space="preserve">is </w:t>
      </w:r>
      <w:r w:rsidRPr="00D75194">
        <w:rPr>
          <w:rFonts w:asciiTheme="minorHAnsi" w:hAnsiTheme="minorHAnsi" w:eastAsiaTheme="minorEastAsia"/>
        </w:rPr>
        <w:t xml:space="preserve">inherently more tenuous, however, given the very complex environment in which such decisions and changes occur. Examples include </w:t>
      </w:r>
      <w:r w:rsidRPr="2DCAEB50" w:rsidR="00494461">
        <w:rPr>
          <w:rFonts w:asciiTheme="minorHAnsi" w:hAnsiTheme="minorHAnsi" w:eastAsiaTheme="minorEastAsia"/>
        </w:rPr>
        <w:t>Independent</w:t>
      </w:r>
      <w:r w:rsidRPr="00D75194" w:rsidR="00494461">
        <w:rPr>
          <w:rFonts w:asciiTheme="minorHAnsi" w:hAnsiTheme="minorHAnsi" w:eastAsiaTheme="minorEastAsia"/>
        </w:rPr>
        <w:t xml:space="preserve"> Diplomat</w:t>
      </w:r>
      <w:r w:rsidRPr="00D75194">
        <w:rPr>
          <w:rFonts w:asciiTheme="minorHAnsi" w:hAnsiTheme="minorHAnsi" w:eastAsiaTheme="minorEastAsia"/>
        </w:rPr>
        <w:t xml:space="preserve">, pointed to for </w:t>
      </w:r>
      <w:r w:rsidRPr="2DCAEB50" w:rsidR="5D6257B3">
        <w:rPr>
          <w:rFonts w:asciiTheme="minorHAnsi" w:hAnsiTheme="minorHAnsi" w:eastAsiaTheme="minorEastAsia"/>
        </w:rPr>
        <w:t>the</w:t>
      </w:r>
      <w:r w:rsidR="00BB7587">
        <w:rPr>
          <w:rFonts w:asciiTheme="minorHAnsi" w:hAnsiTheme="minorHAnsi" w:eastAsiaTheme="minorEastAsia"/>
        </w:rPr>
        <w:t xml:space="preserve"> </w:t>
      </w:r>
      <w:r w:rsidRPr="00D75194">
        <w:rPr>
          <w:rFonts w:asciiTheme="minorHAnsi" w:hAnsiTheme="minorHAnsi" w:eastAsiaTheme="minorEastAsia"/>
        </w:rPr>
        <w:t xml:space="preserve">vital role </w:t>
      </w:r>
      <w:r w:rsidRPr="00D75194" w:rsidR="008B707B">
        <w:rPr>
          <w:rFonts w:asciiTheme="minorHAnsi" w:hAnsiTheme="minorHAnsi" w:eastAsiaTheme="minorEastAsia"/>
        </w:rPr>
        <w:t xml:space="preserve">it played </w:t>
      </w:r>
      <w:r w:rsidRPr="00D75194">
        <w:rPr>
          <w:rFonts w:asciiTheme="minorHAnsi" w:hAnsiTheme="minorHAnsi" w:eastAsiaTheme="minorEastAsia"/>
        </w:rPr>
        <w:t xml:space="preserve">in supporting </w:t>
      </w:r>
      <w:r w:rsidRPr="00D75194" w:rsidR="00267455">
        <w:rPr>
          <w:rFonts w:asciiTheme="minorHAnsi" w:hAnsiTheme="minorHAnsi" w:eastAsiaTheme="minorEastAsia"/>
        </w:rPr>
        <w:t xml:space="preserve">the </w:t>
      </w:r>
      <w:r w:rsidRPr="00D75194" w:rsidR="00267455">
        <w:t xml:space="preserve">Republic of the Marshall Islands </w:t>
      </w:r>
    </w:p>
    <w:p w:rsidRPr="00D75194" w:rsidR="00F16A30" w:rsidP="2605B8D9" w:rsidRDefault="00267455" w14:paraId="1A464B63" w14:textId="377E416F">
      <w:pPr>
        <w:spacing w:after="160" w:line="276" w:lineRule="auto"/>
        <w:rPr>
          <w:rFonts w:asciiTheme="minorHAnsi" w:hAnsiTheme="minorHAnsi" w:eastAsiaTheme="minorEastAsia"/>
        </w:rPr>
      </w:pPr>
      <w:r w:rsidRPr="00D75194">
        <w:rPr>
          <w:rFonts w:asciiTheme="minorHAnsi" w:hAnsiTheme="minorHAnsi" w:eastAsiaTheme="minorEastAsia"/>
        </w:rPr>
        <w:t>(</w:t>
      </w:r>
      <w:r w:rsidRPr="00D75194" w:rsidR="5D5CBF41">
        <w:rPr>
          <w:rFonts w:asciiTheme="minorHAnsi" w:hAnsiTheme="minorHAnsi" w:eastAsiaTheme="minorEastAsia"/>
        </w:rPr>
        <w:t>RMI</w:t>
      </w:r>
      <w:r w:rsidRPr="00D75194">
        <w:rPr>
          <w:rFonts w:asciiTheme="minorHAnsi" w:hAnsiTheme="minorHAnsi" w:eastAsiaTheme="minorEastAsia"/>
        </w:rPr>
        <w:t>)</w:t>
      </w:r>
      <w:r w:rsidRPr="00D75194" w:rsidR="5D5CBF41">
        <w:rPr>
          <w:rFonts w:asciiTheme="minorHAnsi" w:hAnsiTheme="minorHAnsi" w:eastAsiaTheme="minorEastAsia"/>
        </w:rPr>
        <w:t xml:space="preserve"> and its role as the </w:t>
      </w:r>
      <w:r w:rsidRPr="00D75194" w:rsidR="00D92319">
        <w:rPr>
          <w:rFonts w:asciiTheme="minorHAnsi" w:hAnsiTheme="minorHAnsi" w:eastAsiaTheme="minorEastAsia"/>
        </w:rPr>
        <w:t xml:space="preserve">chair </w:t>
      </w:r>
      <w:r w:rsidRPr="00D75194" w:rsidR="5D5CBF41">
        <w:rPr>
          <w:rFonts w:asciiTheme="minorHAnsi" w:hAnsiTheme="minorHAnsi" w:eastAsiaTheme="minorEastAsia"/>
        </w:rPr>
        <w:t xml:space="preserve">of the HAC, which has in turn influenced </w:t>
      </w:r>
      <w:r w:rsidRPr="2DCAEB50" w:rsidR="5F836FA2">
        <w:rPr>
          <w:rFonts w:asciiTheme="minorHAnsi" w:hAnsiTheme="minorHAnsi" w:eastAsiaTheme="minorEastAsia"/>
        </w:rPr>
        <w:t xml:space="preserve">the achievement of </w:t>
      </w:r>
      <w:r w:rsidRPr="00D75194" w:rsidR="5D5CBF41">
        <w:rPr>
          <w:rFonts w:asciiTheme="minorHAnsi" w:hAnsiTheme="minorHAnsi" w:eastAsiaTheme="minorEastAsia"/>
        </w:rPr>
        <w:t>more ambitious outcomes by the HAC.</w:t>
      </w:r>
      <w:r w:rsidRPr="00D75194" w:rsidDel="006B601D" w:rsidR="5D5CBF41">
        <w:rPr>
          <w:rFonts w:asciiTheme="minorHAnsi" w:hAnsiTheme="minorHAnsi" w:eastAsiaTheme="minorEastAsia"/>
        </w:rPr>
        <w:t xml:space="preserve"> </w:t>
      </w:r>
    </w:p>
    <w:p w:rsidRPr="00D75194" w:rsidR="00F16A30" w:rsidP="2605B8D9" w:rsidRDefault="5D5CBF41" w14:paraId="255C448B" w14:textId="3A3C25F8">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Normative gains relate to the aspect of CASA’s objectives </w:t>
      </w:r>
      <w:r w:rsidRPr="00D75194" w:rsidR="00667957">
        <w:rPr>
          <w:rFonts w:asciiTheme="minorHAnsi" w:hAnsiTheme="minorHAnsi" w:eastAsiaTheme="minorEastAsia"/>
          <w:b/>
          <w:bCs/>
        </w:rPr>
        <w:t xml:space="preserve">relating to </w:t>
      </w:r>
      <w:r w:rsidRPr="2DCAEB50" w:rsidR="4A1B0B11">
        <w:rPr>
          <w:rFonts w:asciiTheme="minorHAnsi" w:hAnsiTheme="minorHAnsi" w:eastAsiaTheme="minorEastAsia"/>
          <w:b/>
          <w:bCs/>
        </w:rPr>
        <w:t>“</w:t>
      </w:r>
      <w:r w:rsidRPr="00D75194">
        <w:rPr>
          <w:rFonts w:asciiTheme="minorHAnsi" w:hAnsiTheme="minorHAnsi" w:eastAsiaTheme="minorEastAsia"/>
          <w:b/>
          <w:bCs/>
        </w:rPr>
        <w:t xml:space="preserve">a fairer negotiation </w:t>
      </w:r>
      <w:r w:rsidRPr="00D75194" w:rsidR="00667957">
        <w:rPr>
          <w:rFonts w:asciiTheme="minorHAnsi" w:hAnsiTheme="minorHAnsi" w:eastAsiaTheme="minorEastAsia"/>
          <w:b/>
          <w:bCs/>
        </w:rPr>
        <w:t xml:space="preserve">process” </w:t>
      </w:r>
      <w:r w:rsidRPr="00D75194">
        <w:rPr>
          <w:rFonts w:asciiTheme="minorHAnsi" w:hAnsiTheme="minorHAnsi" w:eastAsiaTheme="minorEastAsia"/>
          <w:b/>
          <w:bCs/>
        </w:rPr>
        <w:t xml:space="preserve">and </w:t>
      </w:r>
      <w:r w:rsidRPr="2DCAEB50" w:rsidR="4A1B0B11">
        <w:rPr>
          <w:rFonts w:asciiTheme="minorHAnsi" w:hAnsiTheme="minorHAnsi" w:eastAsiaTheme="minorEastAsia"/>
          <w:b/>
          <w:bCs/>
        </w:rPr>
        <w:t>“</w:t>
      </w:r>
      <w:r w:rsidRPr="00D75194">
        <w:rPr>
          <w:rFonts w:asciiTheme="minorHAnsi" w:hAnsiTheme="minorHAnsi" w:eastAsiaTheme="minorEastAsia"/>
          <w:b/>
          <w:bCs/>
        </w:rPr>
        <w:t xml:space="preserve">meaningful </w:t>
      </w:r>
      <w:r w:rsidRPr="00D75194" w:rsidR="00667957">
        <w:rPr>
          <w:rFonts w:asciiTheme="minorHAnsi" w:hAnsiTheme="minorHAnsi" w:eastAsiaTheme="minorEastAsia"/>
          <w:b/>
          <w:bCs/>
        </w:rPr>
        <w:t xml:space="preserve">participation” </w:t>
      </w:r>
      <w:r w:rsidRPr="00D75194">
        <w:rPr>
          <w:rFonts w:asciiTheme="minorHAnsi" w:hAnsiTheme="minorHAnsi" w:eastAsiaTheme="minorEastAsia"/>
          <w:b/>
          <w:bCs/>
        </w:rPr>
        <w:t>around climate negotiations.</w:t>
      </w:r>
      <w:r w:rsidRPr="00D75194">
        <w:rPr>
          <w:rFonts w:asciiTheme="minorHAnsi" w:hAnsiTheme="minorHAnsi" w:eastAsiaTheme="minorEastAsia"/>
        </w:rPr>
        <w:t xml:space="preserve"> Based on responses from stakeholders, </w:t>
      </w:r>
      <w:r w:rsidRPr="00D75194" w:rsidR="0024101B">
        <w:rPr>
          <w:rFonts w:asciiTheme="minorHAnsi" w:hAnsiTheme="minorHAnsi" w:eastAsiaTheme="minorEastAsia"/>
        </w:rPr>
        <w:t xml:space="preserve">the idea of </w:t>
      </w:r>
      <w:r w:rsidRPr="2DCAEB50" w:rsidR="3E2F9FD5">
        <w:rPr>
          <w:rFonts w:asciiTheme="minorHAnsi" w:hAnsiTheme="minorHAnsi" w:eastAsiaTheme="minorEastAsia"/>
        </w:rPr>
        <w:t>“</w:t>
      </w:r>
      <w:r w:rsidRPr="00D75194">
        <w:rPr>
          <w:rFonts w:asciiTheme="minorHAnsi" w:hAnsiTheme="minorHAnsi" w:eastAsiaTheme="minorEastAsia"/>
        </w:rPr>
        <w:t xml:space="preserve">fairer negotiation </w:t>
      </w:r>
      <w:r w:rsidRPr="00D75194" w:rsidR="001A3308">
        <w:rPr>
          <w:rFonts w:asciiTheme="minorHAnsi" w:hAnsiTheme="minorHAnsi" w:eastAsiaTheme="minorEastAsia"/>
        </w:rPr>
        <w:t xml:space="preserve">processes” </w:t>
      </w:r>
      <w:r w:rsidRPr="00D75194">
        <w:rPr>
          <w:rFonts w:asciiTheme="minorHAnsi" w:hAnsiTheme="minorHAnsi" w:eastAsiaTheme="minorEastAsia"/>
        </w:rPr>
        <w:t xml:space="preserve">is generally seen to relate to the inclusion (attendance and participation) of marginalised or otherwise excluded voices in climate negotiations. </w:t>
      </w:r>
      <w:r w:rsidRPr="00D75194" w:rsidR="00837083">
        <w:rPr>
          <w:rFonts w:asciiTheme="minorHAnsi" w:hAnsiTheme="minorHAnsi" w:eastAsiaTheme="minorEastAsia"/>
        </w:rPr>
        <w:t xml:space="preserve">Based </w:t>
      </w:r>
      <w:r w:rsidRPr="2DCAEB50" w:rsidR="196FD1F6">
        <w:rPr>
          <w:rFonts w:asciiTheme="minorHAnsi" w:hAnsiTheme="minorHAnsi" w:eastAsiaTheme="minorEastAsia"/>
        </w:rPr>
        <w:t>o</w:t>
      </w:r>
      <w:r w:rsidRPr="2DCAEB50" w:rsidR="29CA5350">
        <w:rPr>
          <w:rFonts w:asciiTheme="minorHAnsi" w:hAnsiTheme="minorHAnsi" w:eastAsiaTheme="minorEastAsia"/>
        </w:rPr>
        <w:t>n</w:t>
      </w:r>
      <w:r w:rsidRPr="00D75194" w:rsidR="008E10D7">
        <w:rPr>
          <w:rFonts w:asciiTheme="minorHAnsi" w:hAnsiTheme="minorHAnsi" w:eastAsiaTheme="minorEastAsia"/>
        </w:rPr>
        <w:t xml:space="preserve"> </w:t>
      </w:r>
      <w:r w:rsidRPr="00D75194">
        <w:rPr>
          <w:rFonts w:asciiTheme="minorHAnsi" w:hAnsiTheme="minorHAnsi" w:eastAsiaTheme="minorEastAsia"/>
        </w:rPr>
        <w:t xml:space="preserve">this view, there is strong evidence of CASA making critical contributions to fairer negotiation processes. For </w:t>
      </w:r>
      <w:r w:rsidRPr="2DCAEB50" w:rsidR="7CF279F6">
        <w:rPr>
          <w:rFonts w:asciiTheme="minorHAnsi" w:hAnsiTheme="minorHAnsi" w:eastAsiaTheme="minorEastAsia"/>
        </w:rPr>
        <w:t>“</w:t>
      </w:r>
      <w:r w:rsidRPr="00D75194">
        <w:rPr>
          <w:rFonts w:asciiTheme="minorHAnsi" w:hAnsiTheme="minorHAnsi" w:eastAsiaTheme="minorEastAsia"/>
        </w:rPr>
        <w:t xml:space="preserve">meaningful </w:t>
      </w:r>
      <w:r w:rsidRPr="2DCAEB50" w:rsidR="7CF279F6">
        <w:rPr>
          <w:rFonts w:asciiTheme="minorHAnsi" w:hAnsiTheme="minorHAnsi" w:eastAsiaTheme="minorEastAsia"/>
        </w:rPr>
        <w:t>participation</w:t>
      </w:r>
      <w:r w:rsidRPr="00D75194" w:rsidR="006113F4">
        <w:rPr>
          <w:rFonts w:asciiTheme="minorHAnsi" w:hAnsiTheme="minorHAnsi" w:eastAsiaTheme="minorEastAsia"/>
        </w:rPr>
        <w:t>”</w:t>
      </w:r>
      <w:r w:rsidRPr="00D75194">
        <w:rPr>
          <w:rFonts w:asciiTheme="minorHAnsi" w:hAnsiTheme="minorHAnsi" w:eastAsiaTheme="minorEastAsia"/>
        </w:rPr>
        <w:t xml:space="preserve">, this relates to CASA’s support to participants’ ability to engage with </w:t>
      </w:r>
      <w:r w:rsidRPr="2DCAEB50" w:rsidR="0B08FAD8">
        <w:rPr>
          <w:rFonts w:asciiTheme="minorHAnsi" w:hAnsiTheme="minorHAnsi" w:eastAsiaTheme="minorEastAsia"/>
        </w:rPr>
        <w:t>technical</w:t>
      </w:r>
      <w:r w:rsidRPr="2DCAEB50" w:rsidR="6C848DEB">
        <w:rPr>
          <w:rFonts w:asciiTheme="minorHAnsi" w:hAnsiTheme="minorHAnsi" w:eastAsiaTheme="minorEastAsia"/>
        </w:rPr>
        <w:t xml:space="preserve"> information</w:t>
      </w:r>
      <w:r w:rsidRPr="00D75194">
        <w:rPr>
          <w:rFonts w:asciiTheme="minorHAnsi" w:hAnsiTheme="minorHAnsi" w:eastAsiaTheme="minorEastAsia"/>
        </w:rPr>
        <w:t xml:space="preserve">, </w:t>
      </w:r>
      <w:r w:rsidRPr="00D75194" w:rsidR="00BD3F70">
        <w:rPr>
          <w:rFonts w:asciiTheme="minorHAnsi" w:hAnsiTheme="minorHAnsi" w:eastAsiaTheme="minorEastAsia"/>
        </w:rPr>
        <w:t xml:space="preserve">and </w:t>
      </w:r>
      <w:r w:rsidRPr="00D75194">
        <w:rPr>
          <w:rFonts w:asciiTheme="minorHAnsi" w:hAnsiTheme="minorHAnsi" w:eastAsiaTheme="minorEastAsia"/>
        </w:rPr>
        <w:t xml:space="preserve">to understand the complex processes around the negotiations, and for both individuals and groups to </w:t>
      </w:r>
      <w:proofErr w:type="gramStart"/>
      <w:r w:rsidRPr="00D75194">
        <w:rPr>
          <w:rFonts w:asciiTheme="minorHAnsi" w:hAnsiTheme="minorHAnsi" w:eastAsiaTheme="minorEastAsia"/>
        </w:rPr>
        <w:t>actually wield</w:t>
      </w:r>
      <w:proofErr w:type="gramEnd"/>
      <w:r w:rsidRPr="00D75194">
        <w:rPr>
          <w:rFonts w:asciiTheme="minorHAnsi" w:hAnsiTheme="minorHAnsi" w:eastAsiaTheme="minorEastAsia"/>
        </w:rPr>
        <w:t xml:space="preserve"> influence over negotiation outcomes, for which there is similarly strong evidence of critical contributions from CASA.</w:t>
      </w:r>
      <w:r w:rsidRPr="00D75194" w:rsidDel="006B601D">
        <w:rPr>
          <w:rFonts w:asciiTheme="minorHAnsi" w:hAnsiTheme="minorHAnsi" w:eastAsiaTheme="minorEastAsia"/>
        </w:rPr>
        <w:t xml:space="preserve"> </w:t>
      </w:r>
    </w:p>
    <w:p w:rsidRPr="00D75194" w:rsidR="00F16A30" w:rsidP="2605B8D9" w:rsidRDefault="5D5CBF41" w14:paraId="64A64041" w14:textId="6CEE09AF">
      <w:pPr>
        <w:spacing w:after="160" w:line="276" w:lineRule="auto"/>
        <w:rPr>
          <w:rFonts w:asciiTheme="minorHAnsi" w:hAnsiTheme="minorHAnsi" w:eastAsiaTheme="minorEastAsia"/>
        </w:rPr>
      </w:pPr>
      <w:r w:rsidRPr="00D75194">
        <w:rPr>
          <w:rFonts w:asciiTheme="minorHAnsi" w:hAnsiTheme="minorHAnsi" w:eastAsiaTheme="minorEastAsia"/>
          <w:b/>
          <w:bCs/>
        </w:rPr>
        <w:t xml:space="preserve">There is </w:t>
      </w:r>
      <w:r w:rsidRPr="00D75194">
        <w:rPr>
          <w:rFonts w:asciiTheme="minorHAnsi" w:hAnsiTheme="minorHAnsi" w:eastAsiaTheme="minorEastAsia"/>
          <w:b/>
          <w:bCs/>
          <w:i/>
          <w:iCs/>
        </w:rPr>
        <w:t>some evidence</w:t>
      </w:r>
      <w:r w:rsidRPr="00D75194">
        <w:rPr>
          <w:rFonts w:asciiTheme="minorHAnsi" w:hAnsiTheme="minorHAnsi" w:eastAsiaTheme="minorEastAsia"/>
          <w:b/>
          <w:bCs/>
        </w:rPr>
        <w:t xml:space="preserve"> of CASA making </w:t>
      </w:r>
      <w:r w:rsidRPr="00D75194">
        <w:rPr>
          <w:rFonts w:asciiTheme="minorHAnsi" w:hAnsiTheme="minorHAnsi" w:eastAsiaTheme="minorEastAsia"/>
          <w:b/>
          <w:bCs/>
          <w:i/>
          <w:iCs/>
        </w:rPr>
        <w:t>some contribution</w:t>
      </w:r>
      <w:r w:rsidRPr="00D75194">
        <w:rPr>
          <w:rFonts w:asciiTheme="minorHAnsi" w:hAnsiTheme="minorHAnsi" w:eastAsiaTheme="minorEastAsia"/>
          <w:b/>
          <w:bCs/>
        </w:rPr>
        <w:t xml:space="preserve"> to enabling national actors to implement international commitments at the domestic level.</w:t>
      </w:r>
      <w:r w:rsidRPr="00D75194">
        <w:rPr>
          <w:rFonts w:asciiTheme="minorHAnsi" w:hAnsiTheme="minorHAnsi" w:eastAsiaTheme="minorEastAsia"/>
        </w:rPr>
        <w:t xml:space="preserve"> As this is a relatively recent area of focus for CASA, the </w:t>
      </w:r>
      <w:r w:rsidRPr="00D75194">
        <w:rPr>
          <w:rFonts w:asciiTheme="minorHAnsi" w:hAnsiTheme="minorHAnsi" w:eastAsiaTheme="minorEastAsia"/>
        </w:rPr>
        <w:t>accumulated evidence of its impact</w:t>
      </w:r>
      <w:r w:rsidRPr="00D75194" w:rsidR="00FE36F0">
        <w:rPr>
          <w:rFonts w:asciiTheme="minorHAnsi" w:hAnsiTheme="minorHAnsi" w:eastAsiaTheme="minorEastAsia"/>
        </w:rPr>
        <w:t xml:space="preserve"> here</w:t>
      </w:r>
      <w:r w:rsidRPr="00D75194">
        <w:rPr>
          <w:rFonts w:asciiTheme="minorHAnsi" w:hAnsiTheme="minorHAnsi" w:eastAsiaTheme="minorEastAsia"/>
        </w:rPr>
        <w:t xml:space="preserve"> is still limited. There are indications, however, that CASA may be on course to make important contributions in the years ahead if its trajectory of support </w:t>
      </w:r>
      <w:r w:rsidR="00824099">
        <w:rPr>
          <w:rFonts w:asciiTheme="minorHAnsi" w:hAnsiTheme="minorHAnsi" w:eastAsiaTheme="minorEastAsia"/>
        </w:rPr>
        <w:t>i</w:t>
      </w:r>
      <w:r w:rsidRPr="00D75194" w:rsidR="0060164A">
        <w:rPr>
          <w:rFonts w:asciiTheme="minorHAnsi" w:hAnsiTheme="minorHAnsi" w:eastAsiaTheme="minorEastAsia"/>
        </w:rPr>
        <w:t xml:space="preserve">s </w:t>
      </w:r>
      <w:r w:rsidRPr="00D75194">
        <w:rPr>
          <w:rFonts w:asciiTheme="minorHAnsi" w:hAnsiTheme="minorHAnsi" w:eastAsiaTheme="minorEastAsia"/>
        </w:rPr>
        <w:t>consistent.</w:t>
      </w:r>
    </w:p>
    <w:p w:rsidRPr="00D75194" w:rsidR="00F16A30" w:rsidP="2605B8D9" w:rsidRDefault="5D5CBF41" w14:paraId="5037B957" w14:textId="325E27F7">
      <w:pPr>
        <w:spacing w:after="160" w:line="276" w:lineRule="auto"/>
        <w:rPr>
          <w:rFonts w:asciiTheme="minorHAnsi" w:hAnsiTheme="minorHAnsi" w:eastAsiaTheme="minorEastAsia"/>
        </w:rPr>
      </w:pPr>
      <w:r w:rsidRPr="00D75194">
        <w:rPr>
          <w:rFonts w:asciiTheme="minorHAnsi" w:hAnsiTheme="minorHAnsi" w:eastAsiaTheme="minorEastAsia"/>
          <w:b/>
          <w:bCs/>
        </w:rPr>
        <w:t>The evaluation also found supporting evidence to validate CASA’s ICF KPI 15 reporting across multiple criteria, which provides further confidence in the recent ICF KPI 15 scoring of 4</w:t>
      </w:r>
      <w:r w:rsidRPr="00D75194" w:rsidR="008D07AC">
        <w:rPr>
          <w:rFonts w:asciiTheme="minorHAnsi" w:hAnsiTheme="minorHAnsi" w:eastAsiaTheme="minorEastAsia"/>
          <w:b/>
          <w:bCs/>
        </w:rPr>
        <w:t>—</w:t>
      </w:r>
      <w:r w:rsidRPr="00D75194">
        <w:rPr>
          <w:rFonts w:asciiTheme="minorHAnsi" w:hAnsiTheme="minorHAnsi" w:eastAsiaTheme="minorEastAsia"/>
          <w:b/>
          <w:bCs/>
        </w:rPr>
        <w:t>partial evidence that suggests transformational change is likely</w:t>
      </w:r>
      <w:r w:rsidRPr="00D75194">
        <w:rPr>
          <w:rFonts w:asciiTheme="minorHAnsi" w:hAnsiTheme="minorHAnsi" w:eastAsiaTheme="minorEastAsia"/>
        </w:rPr>
        <w:t>. CASA has created pockets and areas of transformation (‘tipping points’) that have created significant, sustainable change, notably through the OF and innovative models found in the LDC</w:t>
      </w:r>
      <w:r w:rsidRPr="2DCAEB50" w:rsidR="0FAF7AF9">
        <w:rPr>
          <w:rFonts w:asciiTheme="minorHAnsi" w:hAnsiTheme="minorHAnsi" w:eastAsiaTheme="minorEastAsia"/>
        </w:rPr>
        <w:t>–</w:t>
      </w:r>
      <w:r w:rsidRPr="00D75194" w:rsidR="008445F5">
        <w:rPr>
          <w:rFonts w:asciiTheme="minorHAnsi" w:hAnsiTheme="minorHAnsi" w:eastAsiaTheme="minorEastAsia"/>
        </w:rPr>
        <w:t>Climate Leadership Initiative (</w:t>
      </w:r>
      <w:r w:rsidRPr="00D75194">
        <w:rPr>
          <w:rFonts w:asciiTheme="minorHAnsi" w:hAnsiTheme="minorHAnsi" w:eastAsiaTheme="minorEastAsia"/>
        </w:rPr>
        <w:t>CLI</w:t>
      </w:r>
      <w:r w:rsidRPr="00D75194" w:rsidR="008445F5">
        <w:rPr>
          <w:rFonts w:asciiTheme="minorHAnsi" w:hAnsiTheme="minorHAnsi" w:eastAsiaTheme="minorEastAsia"/>
        </w:rPr>
        <w:t>)</w:t>
      </w:r>
      <w:r w:rsidRPr="00D75194">
        <w:rPr>
          <w:rFonts w:asciiTheme="minorHAnsi" w:hAnsiTheme="minorHAnsi" w:eastAsiaTheme="minorEastAsia"/>
        </w:rPr>
        <w:t xml:space="preserve"> collaboration and the New Generation Programme</w:t>
      </w:r>
      <w:r w:rsidRPr="00D75194" w:rsidR="00435588">
        <w:rPr>
          <w:rFonts w:asciiTheme="minorHAnsi" w:hAnsiTheme="minorHAnsi" w:eastAsiaTheme="minorEastAsia"/>
        </w:rPr>
        <w:t xml:space="preserve"> (NGP)</w:t>
      </w:r>
      <w:r w:rsidRPr="00D75194">
        <w:rPr>
          <w:rFonts w:asciiTheme="minorHAnsi" w:hAnsiTheme="minorHAnsi" w:eastAsiaTheme="minorEastAsia"/>
        </w:rPr>
        <w:t>. These tipping points have changed the institutional or organisational landscape within the UNFCCC.</w:t>
      </w:r>
      <w:r w:rsidRPr="00D75194" w:rsidR="006B601D">
        <w:rPr>
          <w:rFonts w:asciiTheme="minorHAnsi" w:hAnsiTheme="minorHAnsi" w:eastAsiaTheme="minorEastAsia"/>
        </w:rPr>
        <w:t xml:space="preserve"> </w:t>
      </w:r>
    </w:p>
    <w:p w:rsidRPr="00D75194" w:rsidR="00F16A30" w:rsidP="00A66917" w:rsidRDefault="5D5CBF41" w14:paraId="7B51E509" w14:textId="781801BD">
      <w:pPr>
        <w:pStyle w:val="Heading3"/>
        <w:numPr>
          <w:ilvl w:val="0"/>
          <w:numId w:val="0"/>
        </w:numPr>
        <w:ind w:left="851" w:hanging="851"/>
      </w:pPr>
      <w:r w:rsidRPr="00D75194">
        <w:t xml:space="preserve">Sustainability </w:t>
      </w:r>
    </w:p>
    <w:p w:rsidRPr="00D75194" w:rsidR="00F16A30" w:rsidP="2605B8D9" w:rsidRDefault="5D5CBF41" w14:paraId="0C1763D6" w14:textId="0BA2B539">
      <w:pPr>
        <w:spacing w:after="160" w:line="276" w:lineRule="auto"/>
        <w:rPr>
          <w:rFonts w:asciiTheme="minorHAnsi" w:hAnsiTheme="minorHAnsi" w:eastAsiaTheme="minorEastAsia"/>
        </w:rPr>
      </w:pPr>
      <w:r w:rsidRPr="00D75194">
        <w:rPr>
          <w:rFonts w:asciiTheme="minorHAnsi" w:hAnsiTheme="minorHAnsi" w:eastAsiaTheme="minorEastAsia"/>
          <w:b/>
          <w:bCs/>
        </w:rPr>
        <w:t>Evidence of CASA’s contribution to sustainability is mixed.</w:t>
      </w:r>
      <w:r w:rsidRPr="00D75194">
        <w:rPr>
          <w:rFonts w:asciiTheme="minorHAnsi" w:hAnsiTheme="minorHAnsi" w:eastAsiaTheme="minorEastAsia"/>
        </w:rPr>
        <w:t xml:space="preserve"> In the absence of a clear strategy for sustainability within CASA, </w:t>
      </w:r>
      <w:r w:rsidRPr="2DCAEB50" w:rsidR="05502498">
        <w:rPr>
          <w:rFonts w:asciiTheme="minorHAnsi" w:hAnsiTheme="minorHAnsi" w:eastAsiaTheme="minorEastAsia"/>
        </w:rPr>
        <w:t>respondent’s</w:t>
      </w:r>
      <w:r w:rsidRPr="00D75194">
        <w:rPr>
          <w:rFonts w:asciiTheme="minorHAnsi" w:hAnsiTheme="minorHAnsi" w:eastAsiaTheme="minorEastAsia"/>
        </w:rPr>
        <w:t xml:space="preserve"> views on </w:t>
      </w:r>
      <w:r w:rsidRPr="2DCAEB50" w:rsidR="05502498">
        <w:rPr>
          <w:rFonts w:asciiTheme="minorHAnsi" w:hAnsiTheme="minorHAnsi" w:eastAsiaTheme="minorEastAsia"/>
        </w:rPr>
        <w:t xml:space="preserve">the programme’s </w:t>
      </w:r>
      <w:r w:rsidRPr="00D75194">
        <w:rPr>
          <w:rFonts w:asciiTheme="minorHAnsi" w:hAnsiTheme="minorHAnsi" w:eastAsiaTheme="minorEastAsia"/>
        </w:rPr>
        <w:t xml:space="preserve">sustainability </w:t>
      </w:r>
      <w:r w:rsidRPr="2DCAEB50" w:rsidR="05502498">
        <w:rPr>
          <w:rFonts w:asciiTheme="minorHAnsi" w:hAnsiTheme="minorHAnsi" w:eastAsiaTheme="minorEastAsia"/>
        </w:rPr>
        <w:t xml:space="preserve">largely focus on the following areas: </w:t>
      </w:r>
      <w:r w:rsidRPr="2DCAEB50" w:rsidR="0B08FAD8">
        <w:rPr>
          <w:rFonts w:asciiTheme="minorHAnsi" w:hAnsiTheme="minorHAnsi" w:eastAsiaTheme="minorEastAsia"/>
        </w:rPr>
        <w:t>the</w:t>
      </w:r>
      <w:r w:rsidRPr="2DCAEB50" w:rsidDel="0023455F">
        <w:rPr>
          <w:rFonts w:asciiTheme="minorHAnsi" w:hAnsiTheme="minorHAnsi" w:eastAsiaTheme="minorEastAsia"/>
        </w:rPr>
        <w:t xml:space="preserve"> </w:t>
      </w:r>
      <w:r w:rsidRPr="00D75194" w:rsidR="0023455F">
        <w:rPr>
          <w:rFonts w:asciiTheme="minorHAnsi" w:hAnsiTheme="minorHAnsi" w:eastAsiaTheme="minorEastAsia"/>
          <w:b/>
          <w:bCs/>
        </w:rPr>
        <w:t xml:space="preserve">organisational </w:t>
      </w:r>
      <w:r w:rsidRPr="00D75194">
        <w:rPr>
          <w:rFonts w:asciiTheme="minorHAnsi" w:hAnsiTheme="minorHAnsi" w:eastAsiaTheme="minorEastAsia"/>
          <w:b/>
          <w:bCs/>
        </w:rPr>
        <w:t>development</w:t>
      </w:r>
      <w:r w:rsidRPr="00D75194">
        <w:rPr>
          <w:rFonts w:asciiTheme="minorHAnsi" w:hAnsiTheme="minorHAnsi" w:eastAsiaTheme="minorEastAsia"/>
        </w:rPr>
        <w:t xml:space="preserve"> that CASA has supported, primarily around strengthening negotiating groups, for which there is strong evidence of CASA’s contribution; </w:t>
      </w:r>
      <w:r w:rsidRPr="00D75194">
        <w:rPr>
          <w:rFonts w:asciiTheme="minorHAnsi" w:hAnsiTheme="minorHAnsi" w:eastAsiaTheme="minorEastAsia"/>
          <w:b/>
          <w:bCs/>
        </w:rPr>
        <w:t>domestic institutions</w:t>
      </w:r>
      <w:r w:rsidRPr="00D75194">
        <w:rPr>
          <w:rFonts w:asciiTheme="minorHAnsi" w:hAnsiTheme="minorHAnsi" w:eastAsiaTheme="minorEastAsia"/>
        </w:rPr>
        <w:t xml:space="preserve"> that are able to retain capabilities and implement national priorities on climate change, for which there is limited evidence of CASA’s </w:t>
      </w:r>
      <w:r w:rsidRPr="2DCAEB50" w:rsidR="0B08FAD8">
        <w:rPr>
          <w:rFonts w:asciiTheme="minorHAnsi" w:hAnsiTheme="minorHAnsi" w:eastAsiaTheme="minorEastAsia"/>
        </w:rPr>
        <w:t>contribution</w:t>
      </w:r>
      <w:r w:rsidRPr="00D75194">
        <w:rPr>
          <w:rFonts w:asciiTheme="minorHAnsi" w:hAnsiTheme="minorHAnsi" w:eastAsiaTheme="minorEastAsia"/>
        </w:rPr>
        <w:t xml:space="preserve">; and </w:t>
      </w:r>
      <w:r w:rsidRPr="00D75194">
        <w:rPr>
          <w:rFonts w:asciiTheme="minorHAnsi" w:hAnsiTheme="minorHAnsi" w:eastAsiaTheme="minorEastAsia"/>
          <w:b/>
          <w:bCs/>
        </w:rPr>
        <w:t>generating funding</w:t>
      </w:r>
      <w:r w:rsidRPr="00D75194" w:rsidR="004D2F2C">
        <w:rPr>
          <w:rFonts w:asciiTheme="minorHAnsi" w:hAnsiTheme="minorHAnsi" w:eastAsiaTheme="minorEastAsia"/>
          <w:b/>
          <w:bCs/>
        </w:rPr>
        <w:t xml:space="preserve"> </w:t>
      </w:r>
      <w:r w:rsidRPr="2DCAEB50" w:rsidR="248C9691">
        <w:rPr>
          <w:rFonts w:asciiTheme="minorHAnsi" w:hAnsiTheme="minorHAnsi" w:eastAsiaTheme="minorEastAsia"/>
        </w:rPr>
        <w:t>(</w:t>
      </w:r>
      <w:r w:rsidRPr="00D75194">
        <w:rPr>
          <w:rFonts w:asciiTheme="minorHAnsi" w:hAnsiTheme="minorHAnsi" w:eastAsiaTheme="minorEastAsia"/>
        </w:rPr>
        <w:t>seen as a</w:t>
      </w:r>
      <w:r w:rsidRPr="00D75194" w:rsidR="00363210">
        <w:rPr>
          <w:rFonts w:asciiTheme="minorHAnsi" w:hAnsiTheme="minorHAnsi" w:eastAsiaTheme="minorEastAsia"/>
        </w:rPr>
        <w:t>n ongoing</w:t>
      </w:r>
      <w:r w:rsidRPr="00D75194" w:rsidDel="00363210">
        <w:rPr>
          <w:rFonts w:asciiTheme="minorHAnsi" w:hAnsiTheme="minorHAnsi" w:eastAsiaTheme="minorEastAsia"/>
        </w:rPr>
        <w:t xml:space="preserve"> </w:t>
      </w:r>
      <w:r w:rsidRPr="00D75194" w:rsidR="004D2F2C">
        <w:rPr>
          <w:rFonts w:asciiTheme="minorHAnsi" w:hAnsiTheme="minorHAnsi" w:eastAsiaTheme="minorEastAsia"/>
        </w:rPr>
        <w:t xml:space="preserve">requirement if actors are </w:t>
      </w:r>
      <w:r w:rsidRPr="00D75194">
        <w:rPr>
          <w:rFonts w:asciiTheme="minorHAnsi" w:hAnsiTheme="minorHAnsi" w:eastAsiaTheme="minorEastAsia"/>
        </w:rPr>
        <w:t>to participate and engage in negotiations</w:t>
      </w:r>
      <w:r w:rsidRPr="00D75194" w:rsidR="004D2F2C">
        <w:rPr>
          <w:rFonts w:asciiTheme="minorHAnsi" w:hAnsiTheme="minorHAnsi" w:eastAsiaTheme="minorEastAsia"/>
        </w:rPr>
        <w:t>)</w:t>
      </w:r>
      <w:r w:rsidRPr="00D75194">
        <w:rPr>
          <w:rFonts w:asciiTheme="minorHAnsi" w:hAnsiTheme="minorHAnsi" w:eastAsiaTheme="minorEastAsia"/>
        </w:rPr>
        <w:t>,</w:t>
      </w:r>
      <w:r w:rsidRPr="00D75194" w:rsidDel="009E558E">
        <w:rPr>
          <w:rFonts w:asciiTheme="minorHAnsi" w:hAnsiTheme="minorHAnsi" w:eastAsiaTheme="minorEastAsia"/>
        </w:rPr>
        <w:t xml:space="preserve"> </w:t>
      </w:r>
      <w:r w:rsidRPr="00D75194" w:rsidR="009E558E">
        <w:rPr>
          <w:rFonts w:asciiTheme="minorHAnsi" w:hAnsiTheme="minorHAnsi" w:eastAsiaTheme="minorEastAsia"/>
        </w:rPr>
        <w:t xml:space="preserve">to </w:t>
      </w:r>
      <w:r w:rsidRPr="00D75194">
        <w:rPr>
          <w:rFonts w:asciiTheme="minorHAnsi" w:hAnsiTheme="minorHAnsi" w:eastAsiaTheme="minorEastAsia"/>
        </w:rPr>
        <w:t>which CASA has provided only marginal contributions (apart from its own direct support, which is not a sustainability feature).</w:t>
      </w:r>
      <w:r w:rsidRPr="00D75194" w:rsidDel="006B601D">
        <w:rPr>
          <w:rFonts w:asciiTheme="minorHAnsi" w:hAnsiTheme="minorHAnsi" w:eastAsiaTheme="minorEastAsia"/>
        </w:rPr>
        <w:t xml:space="preserve"> </w:t>
      </w:r>
    </w:p>
    <w:p w:rsidRPr="00D75194" w:rsidR="00F16A30" w:rsidP="2605B8D9" w:rsidRDefault="5D5CBF41" w14:paraId="57DED5E7" w14:textId="1114EC47">
      <w:pPr>
        <w:spacing w:after="160" w:line="276" w:lineRule="auto"/>
        <w:rPr>
          <w:rFonts w:asciiTheme="minorHAnsi" w:hAnsiTheme="minorHAnsi" w:eastAsiaTheme="minorEastAsia"/>
        </w:rPr>
      </w:pPr>
      <w:r w:rsidRPr="00D75194">
        <w:rPr>
          <w:rFonts w:asciiTheme="minorHAnsi" w:hAnsiTheme="minorHAnsi" w:eastAsiaTheme="minorEastAsia"/>
        </w:rPr>
        <w:t xml:space="preserve">The impacts of CASA on building </w:t>
      </w:r>
      <w:r w:rsidRPr="00D75194">
        <w:rPr>
          <w:rFonts w:asciiTheme="minorHAnsi" w:hAnsiTheme="minorHAnsi" w:eastAsiaTheme="minorEastAsia"/>
          <w:b/>
          <w:bCs/>
        </w:rPr>
        <w:t>individual capacity</w:t>
      </w:r>
      <w:r w:rsidRPr="00D75194">
        <w:rPr>
          <w:rFonts w:asciiTheme="minorHAnsi" w:hAnsiTheme="minorHAnsi" w:eastAsiaTheme="minorEastAsia"/>
        </w:rPr>
        <w:t xml:space="preserve"> </w:t>
      </w:r>
      <w:r w:rsidRPr="00D75194" w:rsidR="008D447C">
        <w:rPr>
          <w:rFonts w:asciiTheme="minorHAnsi" w:hAnsiTheme="minorHAnsi" w:eastAsiaTheme="minorEastAsia"/>
        </w:rPr>
        <w:t>are</w:t>
      </w:r>
      <w:r w:rsidRPr="00D75194">
        <w:rPr>
          <w:rFonts w:asciiTheme="minorHAnsi" w:hAnsiTheme="minorHAnsi" w:eastAsiaTheme="minorEastAsia"/>
        </w:rPr>
        <w:t xml:space="preserve"> clear</w:t>
      </w:r>
      <w:r w:rsidRPr="00D75194" w:rsidR="00655D52">
        <w:rPr>
          <w:rFonts w:asciiTheme="minorHAnsi" w:hAnsiTheme="minorHAnsi" w:eastAsiaTheme="minorEastAsia"/>
        </w:rPr>
        <w:t>—</w:t>
      </w:r>
      <w:r w:rsidRPr="00D75194">
        <w:rPr>
          <w:rFonts w:asciiTheme="minorHAnsi" w:hAnsiTheme="minorHAnsi" w:eastAsiaTheme="minorEastAsia"/>
        </w:rPr>
        <w:t xml:space="preserve">many individuals have grown in their ability to effectively engage in international climate negotiations. However, the durability of improved individual capacities will depend significantly on the organisational capabilities that surround them. </w:t>
      </w:r>
      <w:r w:rsidRPr="00D75194" w:rsidR="00AD1C00">
        <w:rPr>
          <w:rFonts w:asciiTheme="minorHAnsi" w:hAnsiTheme="minorHAnsi" w:eastAsiaTheme="minorEastAsia"/>
        </w:rPr>
        <w:t xml:space="preserve">Furthermore, </w:t>
      </w:r>
      <w:r w:rsidRPr="00D75194">
        <w:rPr>
          <w:rFonts w:asciiTheme="minorHAnsi" w:hAnsiTheme="minorHAnsi" w:eastAsiaTheme="minorEastAsia"/>
        </w:rPr>
        <w:t>the struggles with turnover in the public sector are well known and challenge the retention of new capacity.</w:t>
      </w:r>
      <w:r w:rsidRPr="00D75194" w:rsidDel="006B601D">
        <w:rPr>
          <w:rFonts w:asciiTheme="minorHAnsi" w:hAnsiTheme="minorHAnsi" w:eastAsiaTheme="minorEastAsia"/>
        </w:rPr>
        <w:t xml:space="preserve"> </w:t>
      </w:r>
    </w:p>
    <w:p w:rsidRPr="00D75194" w:rsidR="00F16A30" w:rsidP="2605B8D9" w:rsidRDefault="5D5CBF41" w14:paraId="79AD0F73" w14:textId="42FEB711">
      <w:pPr>
        <w:spacing w:after="160" w:line="276" w:lineRule="auto"/>
        <w:rPr>
          <w:rFonts w:asciiTheme="minorHAnsi" w:hAnsiTheme="minorHAnsi" w:eastAsiaTheme="minorEastAsia"/>
        </w:rPr>
      </w:pPr>
      <w:r w:rsidRPr="00D75194">
        <w:rPr>
          <w:rFonts w:asciiTheme="minorHAnsi" w:hAnsiTheme="minorHAnsi" w:eastAsiaTheme="minorEastAsia"/>
        </w:rPr>
        <w:t xml:space="preserve">The </w:t>
      </w:r>
      <w:r w:rsidRPr="00D75194">
        <w:rPr>
          <w:rFonts w:asciiTheme="minorHAnsi" w:hAnsiTheme="minorHAnsi" w:eastAsiaTheme="minorEastAsia"/>
          <w:b/>
          <w:bCs/>
        </w:rPr>
        <w:t>organisational growth and development</w:t>
      </w:r>
      <w:r w:rsidRPr="00D75194">
        <w:rPr>
          <w:rFonts w:asciiTheme="minorHAnsi" w:hAnsiTheme="minorHAnsi" w:eastAsiaTheme="minorEastAsia"/>
        </w:rPr>
        <w:t xml:space="preserve"> that CASA has contributed to presents a greater level of likely durability than individual capacities, with examples of CASA’s contributions again prevalent throughout this analysis. </w:t>
      </w:r>
    </w:p>
    <w:p w:rsidRPr="00D75194" w:rsidR="00F16A30" w:rsidP="2605B8D9" w:rsidRDefault="5D5CBF41" w14:paraId="25684696" w14:textId="0F1CFF60">
      <w:pPr>
        <w:spacing w:after="160" w:line="276" w:lineRule="auto"/>
        <w:rPr>
          <w:rFonts w:asciiTheme="minorHAnsi" w:hAnsiTheme="minorHAnsi" w:eastAsiaTheme="minorEastAsia"/>
        </w:rPr>
      </w:pPr>
      <w:r w:rsidRPr="00D75194">
        <w:rPr>
          <w:rFonts w:asciiTheme="minorHAnsi" w:hAnsiTheme="minorHAnsi" w:eastAsiaTheme="minorEastAsia"/>
        </w:rPr>
        <w:t xml:space="preserve">The </w:t>
      </w:r>
      <w:r w:rsidRPr="00D75194">
        <w:rPr>
          <w:rFonts w:asciiTheme="minorHAnsi" w:hAnsiTheme="minorHAnsi" w:eastAsiaTheme="minorEastAsia"/>
          <w:b/>
          <w:bCs/>
        </w:rPr>
        <w:t>institutional changes</w:t>
      </w:r>
      <w:r w:rsidRPr="00D75194">
        <w:rPr>
          <w:rFonts w:asciiTheme="minorHAnsi" w:hAnsiTheme="minorHAnsi" w:eastAsiaTheme="minorEastAsia"/>
        </w:rPr>
        <w:t xml:space="preserve"> that CASA has contributed to are likely </w:t>
      </w:r>
      <w:r w:rsidRPr="00D75194" w:rsidR="00DE02E4">
        <w:rPr>
          <w:rFonts w:asciiTheme="minorHAnsi" w:hAnsiTheme="minorHAnsi" w:eastAsiaTheme="minorEastAsia"/>
        </w:rPr>
        <w:t xml:space="preserve">to be </w:t>
      </w:r>
      <w:r w:rsidRPr="00D75194">
        <w:rPr>
          <w:rFonts w:asciiTheme="minorHAnsi" w:hAnsiTheme="minorHAnsi" w:eastAsiaTheme="minorEastAsia"/>
        </w:rPr>
        <w:t>the most durable</w:t>
      </w:r>
      <w:r w:rsidRPr="00D75194" w:rsidR="00DE02E4">
        <w:rPr>
          <w:rFonts w:asciiTheme="minorHAnsi" w:hAnsiTheme="minorHAnsi" w:eastAsiaTheme="minorEastAsia"/>
        </w:rPr>
        <w:t xml:space="preserve">, </w:t>
      </w:r>
      <w:r w:rsidRPr="2DCAEB50" w:rsidR="0C6A3FAF">
        <w:rPr>
          <w:rFonts w:asciiTheme="minorHAnsi" w:hAnsiTheme="minorHAnsi" w:eastAsiaTheme="minorEastAsia"/>
        </w:rPr>
        <w:t>while</w:t>
      </w:r>
      <w:r w:rsidRPr="00D75194" w:rsidR="00376204">
        <w:rPr>
          <w:rFonts w:asciiTheme="minorHAnsi" w:hAnsiTheme="minorHAnsi" w:eastAsiaTheme="minorEastAsia"/>
        </w:rPr>
        <w:t xml:space="preserve"> also</w:t>
      </w:r>
      <w:r w:rsidRPr="00D75194">
        <w:rPr>
          <w:rFonts w:asciiTheme="minorHAnsi" w:hAnsiTheme="minorHAnsi" w:eastAsiaTheme="minorEastAsia"/>
        </w:rPr>
        <w:t xml:space="preserve"> </w:t>
      </w:r>
      <w:r w:rsidRPr="00D75194" w:rsidR="00116477">
        <w:rPr>
          <w:rFonts w:asciiTheme="minorHAnsi" w:hAnsiTheme="minorHAnsi" w:eastAsiaTheme="minorEastAsia"/>
        </w:rPr>
        <w:t>be</w:t>
      </w:r>
      <w:r w:rsidRPr="00D75194" w:rsidR="00F15A45">
        <w:rPr>
          <w:rFonts w:asciiTheme="minorHAnsi" w:hAnsiTheme="minorHAnsi" w:eastAsiaTheme="minorEastAsia"/>
        </w:rPr>
        <w:t>ing</w:t>
      </w:r>
      <w:r w:rsidRPr="00D75194" w:rsidR="00116477">
        <w:rPr>
          <w:rFonts w:asciiTheme="minorHAnsi" w:hAnsiTheme="minorHAnsi" w:eastAsiaTheme="minorEastAsia"/>
        </w:rPr>
        <w:t xml:space="preserve"> </w:t>
      </w:r>
      <w:r w:rsidRPr="00D75194">
        <w:rPr>
          <w:rFonts w:asciiTheme="minorHAnsi" w:hAnsiTheme="minorHAnsi" w:eastAsiaTheme="minorEastAsia"/>
        </w:rPr>
        <w:t>the most challenging to achieve</w:t>
      </w:r>
      <w:r w:rsidRPr="00D75194" w:rsidR="00DE02E4">
        <w:rPr>
          <w:rFonts w:asciiTheme="minorHAnsi" w:hAnsiTheme="minorHAnsi" w:eastAsiaTheme="minorEastAsia"/>
        </w:rPr>
        <w:t xml:space="preserve">. </w:t>
      </w:r>
      <w:r w:rsidRPr="00D75194" w:rsidR="0015003F">
        <w:rPr>
          <w:rFonts w:asciiTheme="minorHAnsi" w:hAnsiTheme="minorHAnsi" w:eastAsiaTheme="minorEastAsia"/>
        </w:rPr>
        <w:t>E</w:t>
      </w:r>
      <w:r w:rsidRPr="00D75194" w:rsidR="00DE02E4">
        <w:rPr>
          <w:rFonts w:asciiTheme="minorHAnsi" w:hAnsiTheme="minorHAnsi" w:eastAsiaTheme="minorEastAsia"/>
        </w:rPr>
        <w:t>xample</w:t>
      </w:r>
      <w:r w:rsidRPr="00D75194" w:rsidR="0015003F">
        <w:rPr>
          <w:rFonts w:asciiTheme="minorHAnsi" w:hAnsiTheme="minorHAnsi" w:eastAsiaTheme="minorEastAsia"/>
        </w:rPr>
        <w:t>s are</w:t>
      </w:r>
      <w:r w:rsidRPr="00D75194" w:rsidDel="00DE02E4">
        <w:rPr>
          <w:rFonts w:asciiTheme="minorHAnsi" w:hAnsiTheme="minorHAnsi" w:eastAsiaTheme="minorEastAsia"/>
        </w:rPr>
        <w:t xml:space="preserve"> </w:t>
      </w:r>
      <w:r w:rsidRPr="00D75194">
        <w:rPr>
          <w:rFonts w:asciiTheme="minorHAnsi" w:hAnsiTheme="minorHAnsi" w:eastAsiaTheme="minorEastAsia"/>
        </w:rPr>
        <w:t xml:space="preserve">the commitment to double adaptation finance agreed at </w:t>
      </w:r>
      <w:r w:rsidRPr="00D75194" w:rsidR="00AC4F5D">
        <w:rPr>
          <w:rFonts w:asciiTheme="minorHAnsi" w:hAnsiTheme="minorHAnsi" w:eastAsiaTheme="minorEastAsia"/>
        </w:rPr>
        <w:t>Conference of the Parties (</w:t>
      </w:r>
      <w:r w:rsidRPr="00D75194">
        <w:rPr>
          <w:rFonts w:asciiTheme="minorHAnsi" w:hAnsiTheme="minorHAnsi" w:eastAsiaTheme="minorEastAsia"/>
        </w:rPr>
        <w:t>COP</w:t>
      </w:r>
      <w:r w:rsidRPr="00D75194" w:rsidR="00AC4F5D">
        <w:rPr>
          <w:rFonts w:asciiTheme="minorHAnsi" w:hAnsiTheme="minorHAnsi" w:eastAsiaTheme="minorEastAsia"/>
        </w:rPr>
        <w:t xml:space="preserve">) </w:t>
      </w:r>
      <w:r w:rsidRPr="00D75194">
        <w:rPr>
          <w:rFonts w:asciiTheme="minorHAnsi" w:hAnsiTheme="minorHAnsi" w:eastAsiaTheme="minorEastAsia"/>
        </w:rPr>
        <w:t>26</w:t>
      </w:r>
      <w:r w:rsidRPr="00D75194" w:rsidR="00D362B4">
        <w:rPr>
          <w:rFonts w:asciiTheme="minorHAnsi" w:hAnsiTheme="minorHAnsi" w:eastAsiaTheme="minorEastAsia"/>
        </w:rPr>
        <w:t xml:space="preserve"> and</w:t>
      </w:r>
      <w:r w:rsidRPr="00D75194">
        <w:rPr>
          <w:rFonts w:asciiTheme="minorHAnsi" w:hAnsiTheme="minorHAnsi" w:eastAsiaTheme="minorEastAsia"/>
        </w:rPr>
        <w:t xml:space="preserve"> the influence in the 1.5-degree commitment within the Paris Agreement</w:t>
      </w:r>
      <w:r w:rsidRPr="2DCAEB50" w:rsidR="0B08FAD8">
        <w:rPr>
          <w:rFonts w:asciiTheme="minorHAnsi" w:hAnsiTheme="minorHAnsi" w:eastAsiaTheme="minorEastAsia"/>
        </w:rPr>
        <w:t>.</w:t>
      </w:r>
      <w:r w:rsidRPr="00D75194">
        <w:rPr>
          <w:rFonts w:asciiTheme="minorHAnsi" w:hAnsiTheme="minorHAnsi" w:eastAsiaTheme="minorEastAsia"/>
        </w:rPr>
        <w:t xml:space="preserve"> This is because the institutional processes themselves are not easily changed, making the very challenge of achieving a result the thing that safeguards its durability.</w:t>
      </w:r>
      <w:r w:rsidRPr="00D75194" w:rsidDel="006B601D">
        <w:rPr>
          <w:rFonts w:asciiTheme="minorHAnsi" w:hAnsiTheme="minorHAnsi" w:eastAsiaTheme="minorEastAsia"/>
        </w:rPr>
        <w:t xml:space="preserve"> </w:t>
      </w:r>
    </w:p>
    <w:p w:rsidRPr="00D75194" w:rsidR="00F16A30" w:rsidP="2605B8D9" w:rsidRDefault="5D5CBF41" w14:paraId="66BF1D78" w14:textId="5EB28693">
      <w:pPr>
        <w:spacing w:after="160" w:line="276" w:lineRule="auto"/>
        <w:rPr>
          <w:rFonts w:asciiTheme="minorHAnsi" w:hAnsiTheme="minorHAnsi" w:eastAsiaTheme="minorEastAsia"/>
        </w:rPr>
      </w:pPr>
      <w:r w:rsidRPr="00D75194">
        <w:rPr>
          <w:rFonts w:asciiTheme="minorHAnsi" w:hAnsiTheme="minorHAnsi" w:eastAsiaTheme="minorEastAsia"/>
        </w:rPr>
        <w:t>In sum, we believe the highly relational delivery model that CASA utilises</w:t>
      </w:r>
      <w:r w:rsidRPr="00D75194" w:rsidR="00691FAD">
        <w:rPr>
          <w:rFonts w:asciiTheme="minorHAnsi" w:hAnsiTheme="minorHAnsi" w:eastAsiaTheme="minorEastAsia"/>
        </w:rPr>
        <w:t>—</w:t>
      </w:r>
      <w:r w:rsidRPr="00D75194">
        <w:rPr>
          <w:rFonts w:asciiTheme="minorHAnsi" w:hAnsiTheme="minorHAnsi" w:eastAsiaTheme="minorEastAsia"/>
        </w:rPr>
        <w:t>leveraging TP capabilities to the point of embedding them in processes, negotiations, and real-time technical advice</w:t>
      </w:r>
      <w:r w:rsidRPr="00D75194" w:rsidR="00691FAD">
        <w:rPr>
          <w:rFonts w:asciiTheme="minorHAnsi" w:hAnsiTheme="minorHAnsi" w:eastAsiaTheme="minorEastAsia"/>
        </w:rPr>
        <w:t>—</w:t>
      </w:r>
      <w:r w:rsidRPr="00D75194">
        <w:rPr>
          <w:rFonts w:asciiTheme="minorHAnsi" w:hAnsiTheme="minorHAnsi" w:eastAsiaTheme="minorEastAsia"/>
        </w:rPr>
        <w:t xml:space="preserve">has enabled CASA to achieve considerable and disproportional impact from its inputs. However, </w:t>
      </w:r>
      <w:r w:rsidRPr="00D75194" w:rsidR="00C05622">
        <w:rPr>
          <w:rFonts w:asciiTheme="minorHAnsi" w:hAnsiTheme="minorHAnsi" w:eastAsiaTheme="minorEastAsia"/>
        </w:rPr>
        <w:t xml:space="preserve">in </w:t>
      </w:r>
      <w:r w:rsidRPr="2DCAEB50" w:rsidR="1CF70A85">
        <w:rPr>
          <w:rFonts w:asciiTheme="minorHAnsi" w:hAnsiTheme="minorHAnsi" w:eastAsiaTheme="minorEastAsia"/>
        </w:rPr>
        <w:t>applying</w:t>
      </w:r>
      <w:r w:rsidRPr="00D75194" w:rsidR="00C05622">
        <w:rPr>
          <w:rFonts w:asciiTheme="minorHAnsi" w:hAnsiTheme="minorHAnsi" w:eastAsiaTheme="minorEastAsia"/>
        </w:rPr>
        <w:t xml:space="preserve"> this approach</w:t>
      </w:r>
      <w:r w:rsidRPr="00D75194">
        <w:rPr>
          <w:rFonts w:asciiTheme="minorHAnsi" w:hAnsiTheme="minorHAnsi" w:eastAsiaTheme="minorEastAsia"/>
        </w:rPr>
        <w:t>, the organisational development of certain groups</w:t>
      </w:r>
      <w:r w:rsidRPr="00D75194" w:rsidR="00C72B7B">
        <w:rPr>
          <w:rFonts w:asciiTheme="minorHAnsi" w:hAnsiTheme="minorHAnsi" w:eastAsiaTheme="minorEastAsia"/>
        </w:rPr>
        <w:t xml:space="preserve">, </w:t>
      </w:r>
      <w:r w:rsidRPr="00D75194">
        <w:rPr>
          <w:rFonts w:asciiTheme="minorHAnsi" w:hAnsiTheme="minorHAnsi" w:eastAsiaTheme="minorEastAsia"/>
        </w:rPr>
        <w:t>and even delegations</w:t>
      </w:r>
      <w:r w:rsidRPr="00D75194" w:rsidR="00C72B7B">
        <w:rPr>
          <w:rFonts w:asciiTheme="minorHAnsi" w:hAnsiTheme="minorHAnsi" w:eastAsiaTheme="minorEastAsia"/>
        </w:rPr>
        <w:t xml:space="preserve">, </w:t>
      </w:r>
      <w:r w:rsidRPr="2DCAEB50" w:rsidR="0B08FAD8">
        <w:rPr>
          <w:rFonts w:asciiTheme="minorHAnsi" w:hAnsiTheme="minorHAnsi" w:eastAsiaTheme="minorEastAsia"/>
        </w:rPr>
        <w:t>ha</w:t>
      </w:r>
      <w:r w:rsidRPr="2DCAEB50" w:rsidR="44653A87">
        <w:rPr>
          <w:rFonts w:asciiTheme="minorHAnsi" w:hAnsiTheme="minorHAnsi" w:eastAsiaTheme="minorEastAsia"/>
        </w:rPr>
        <w:t>s</w:t>
      </w:r>
      <w:r w:rsidRPr="00D75194">
        <w:rPr>
          <w:rFonts w:asciiTheme="minorHAnsi" w:hAnsiTheme="minorHAnsi" w:eastAsiaTheme="minorEastAsia"/>
        </w:rPr>
        <w:t xml:space="preserve"> not generally been the key </w:t>
      </w:r>
      <w:r w:rsidRPr="2DCAEB50" w:rsidR="0B08FAD8">
        <w:rPr>
          <w:rFonts w:asciiTheme="minorHAnsi" w:hAnsiTheme="minorHAnsi" w:eastAsiaTheme="minorEastAsia"/>
        </w:rPr>
        <w:t>force</w:t>
      </w:r>
      <w:r w:rsidRPr="00D75194">
        <w:rPr>
          <w:rFonts w:asciiTheme="minorHAnsi" w:hAnsiTheme="minorHAnsi" w:eastAsiaTheme="minorEastAsia"/>
        </w:rPr>
        <w:t xml:space="preserve"> driving that change, and the reliance on CASA</w:t>
      </w:r>
      <w:r w:rsidRPr="00D75194" w:rsidR="00B05067">
        <w:rPr>
          <w:rFonts w:asciiTheme="minorHAnsi" w:hAnsiTheme="minorHAnsi" w:eastAsiaTheme="minorEastAsia"/>
        </w:rPr>
        <w:t>’s</w:t>
      </w:r>
      <w:r w:rsidRPr="00D75194">
        <w:rPr>
          <w:rFonts w:asciiTheme="minorHAnsi" w:hAnsiTheme="minorHAnsi" w:eastAsiaTheme="minorEastAsia"/>
        </w:rPr>
        <w:t xml:space="preserve"> support has proven fundamental</w:t>
      </w:r>
      <w:r w:rsidRPr="00D75194" w:rsidR="005F34F0">
        <w:rPr>
          <w:rFonts w:asciiTheme="minorHAnsi" w:hAnsiTheme="minorHAnsi" w:eastAsiaTheme="minorEastAsia"/>
        </w:rPr>
        <w:t>—</w:t>
      </w:r>
      <w:r w:rsidRPr="00D75194">
        <w:rPr>
          <w:rFonts w:asciiTheme="minorHAnsi" w:hAnsiTheme="minorHAnsi" w:eastAsiaTheme="minorEastAsia"/>
        </w:rPr>
        <w:t xml:space="preserve">and at times existential. As such, </w:t>
      </w:r>
      <w:r w:rsidRPr="00D75194">
        <w:rPr>
          <w:rFonts w:asciiTheme="minorHAnsi" w:hAnsiTheme="minorHAnsi" w:eastAsiaTheme="minorEastAsia"/>
          <w:b/>
          <w:bCs/>
        </w:rPr>
        <w:t>CASA’s impact is notable but has come at the cost of its sustainability</w:t>
      </w:r>
      <w:r w:rsidRPr="00D75194">
        <w:rPr>
          <w:rFonts w:asciiTheme="minorHAnsi" w:hAnsiTheme="minorHAnsi" w:eastAsiaTheme="minorEastAsia"/>
        </w:rPr>
        <w:t>.</w:t>
      </w:r>
      <w:r w:rsidRPr="00D75194" w:rsidDel="006B601D">
        <w:rPr>
          <w:rFonts w:asciiTheme="minorHAnsi" w:hAnsiTheme="minorHAnsi" w:eastAsiaTheme="minorEastAsia"/>
        </w:rPr>
        <w:t xml:space="preserve"> </w:t>
      </w:r>
    </w:p>
    <w:p w:rsidRPr="00D75194" w:rsidR="00F16A30" w:rsidP="00A66917" w:rsidRDefault="5D5CBF41" w14:paraId="535393A0" w14:textId="25C385A7">
      <w:pPr>
        <w:pStyle w:val="Heading3"/>
        <w:numPr>
          <w:ilvl w:val="0"/>
          <w:numId w:val="0"/>
        </w:numPr>
      </w:pPr>
      <w:r>
        <w:t xml:space="preserve">Gender </w:t>
      </w:r>
      <w:r w:rsidR="002B147A">
        <w:t>e</w:t>
      </w:r>
      <w:r w:rsidR="0B08FAD8">
        <w:t xml:space="preserve">quality and </w:t>
      </w:r>
      <w:r w:rsidR="22A25F43">
        <w:t>s</w:t>
      </w:r>
      <w:r w:rsidR="0B08FAD8">
        <w:t xml:space="preserve">ocial </w:t>
      </w:r>
      <w:r w:rsidR="002B147A">
        <w:t>i</w:t>
      </w:r>
      <w:r>
        <w:t>nclusion</w:t>
      </w:r>
    </w:p>
    <w:p w:rsidRPr="00D75194" w:rsidR="00F16A30" w:rsidP="2605B8D9" w:rsidRDefault="5D5CBF41" w14:paraId="7CBDE9D5" w14:textId="480BA645">
      <w:pPr>
        <w:spacing w:after="160" w:line="276" w:lineRule="auto"/>
        <w:rPr>
          <w:rFonts w:asciiTheme="minorHAnsi" w:hAnsiTheme="minorHAnsi" w:eastAsiaTheme="minorEastAsia"/>
        </w:rPr>
      </w:pPr>
      <w:r w:rsidRPr="00D75194">
        <w:rPr>
          <w:rFonts w:asciiTheme="minorHAnsi" w:hAnsiTheme="minorHAnsi" w:eastAsiaTheme="minorEastAsia"/>
        </w:rPr>
        <w:t xml:space="preserve">Gender </w:t>
      </w:r>
      <w:r w:rsidRPr="2DCAEB50" w:rsidR="007274ED">
        <w:rPr>
          <w:rFonts w:asciiTheme="minorHAnsi" w:hAnsiTheme="minorHAnsi" w:eastAsiaTheme="minorEastAsia"/>
        </w:rPr>
        <w:t>e</w:t>
      </w:r>
      <w:r w:rsidRPr="2DCAEB50" w:rsidR="0B08FAD8">
        <w:rPr>
          <w:rFonts w:asciiTheme="minorHAnsi" w:hAnsiTheme="minorHAnsi" w:eastAsiaTheme="minorEastAsia"/>
        </w:rPr>
        <w:t>quality</w:t>
      </w:r>
      <w:r w:rsidRPr="00D75194">
        <w:rPr>
          <w:rFonts w:asciiTheme="minorHAnsi" w:hAnsiTheme="minorHAnsi" w:eastAsiaTheme="minorEastAsia"/>
        </w:rPr>
        <w:t xml:space="preserve"> and </w:t>
      </w:r>
      <w:r w:rsidRPr="2DCAEB50" w:rsidR="04247140">
        <w:rPr>
          <w:rFonts w:asciiTheme="minorHAnsi" w:hAnsiTheme="minorHAnsi" w:eastAsiaTheme="minorEastAsia"/>
        </w:rPr>
        <w:t>s</w:t>
      </w:r>
      <w:r w:rsidRPr="2DCAEB50" w:rsidR="0B08FAD8">
        <w:rPr>
          <w:rFonts w:asciiTheme="minorHAnsi" w:hAnsiTheme="minorHAnsi" w:eastAsiaTheme="minorEastAsia"/>
        </w:rPr>
        <w:t xml:space="preserve">ocial </w:t>
      </w:r>
      <w:r w:rsidRPr="2DCAEB50" w:rsidR="04247140">
        <w:rPr>
          <w:rFonts w:asciiTheme="minorHAnsi" w:hAnsiTheme="minorHAnsi" w:eastAsiaTheme="minorEastAsia"/>
        </w:rPr>
        <w:t>i</w:t>
      </w:r>
      <w:r w:rsidRPr="2DCAEB50" w:rsidR="0B08FAD8">
        <w:rPr>
          <w:rFonts w:asciiTheme="minorHAnsi" w:hAnsiTheme="minorHAnsi" w:eastAsiaTheme="minorEastAsia"/>
        </w:rPr>
        <w:t>nclusion</w:t>
      </w:r>
      <w:r w:rsidRPr="00D75194">
        <w:rPr>
          <w:rFonts w:asciiTheme="minorHAnsi" w:hAnsiTheme="minorHAnsi" w:eastAsiaTheme="minorEastAsia"/>
        </w:rPr>
        <w:t xml:space="preserve"> (GESI) has been a crosscutting theme of the evaluation questions addressed in this report. </w:t>
      </w:r>
      <w:r w:rsidRPr="00D75194">
        <w:rPr>
          <w:rFonts w:asciiTheme="minorHAnsi" w:hAnsiTheme="minorHAnsi" w:eastAsiaTheme="minorEastAsia"/>
          <w:b/>
          <w:bCs/>
        </w:rPr>
        <w:t>CASA II has notably intensified its efforts to incorporate and engage women, youth, and groups from the Global South in climate negotiation arenas.</w:t>
      </w:r>
      <w:r w:rsidRPr="00D75194">
        <w:rPr>
          <w:rFonts w:asciiTheme="minorHAnsi" w:hAnsiTheme="minorHAnsi" w:eastAsiaTheme="minorEastAsia"/>
        </w:rPr>
        <w:t xml:space="preserve"> This commitment is evidenced by both quantitative and qualitative data derived from key documents and KIIs conducted during the </w:t>
      </w:r>
      <w:r w:rsidRPr="2DCAEB50" w:rsidR="00494461">
        <w:rPr>
          <w:rFonts w:asciiTheme="minorHAnsi" w:hAnsiTheme="minorHAnsi" w:eastAsiaTheme="minorEastAsia"/>
        </w:rPr>
        <w:t>final</w:t>
      </w:r>
      <w:r w:rsidRPr="00D75194" w:rsidR="00494461">
        <w:rPr>
          <w:rFonts w:asciiTheme="minorHAnsi" w:hAnsiTheme="minorHAnsi" w:eastAsiaTheme="minorEastAsia"/>
        </w:rPr>
        <w:t xml:space="preserve"> evaluation</w:t>
      </w:r>
      <w:r w:rsidRPr="00D75194">
        <w:rPr>
          <w:rFonts w:asciiTheme="minorHAnsi" w:hAnsiTheme="minorHAnsi" w:eastAsiaTheme="minorEastAsia"/>
        </w:rPr>
        <w:t xml:space="preserve">. </w:t>
      </w:r>
    </w:p>
    <w:p w:rsidRPr="00D75194" w:rsidR="0423DAD5" w:rsidP="0423DAD5" w:rsidRDefault="5D5CBF41" w14:paraId="58735EA4" w14:textId="59E123C5">
      <w:pPr>
        <w:spacing w:after="160" w:line="276" w:lineRule="auto"/>
        <w:rPr>
          <w:rFonts w:asciiTheme="minorHAnsi" w:hAnsiTheme="minorHAnsi" w:eastAsiaTheme="minorEastAsia"/>
        </w:rPr>
      </w:pPr>
      <w:r w:rsidRPr="00D75194">
        <w:rPr>
          <w:rFonts w:asciiTheme="minorHAnsi" w:hAnsiTheme="minorHAnsi" w:eastAsiaTheme="minorEastAsia"/>
        </w:rPr>
        <w:t xml:space="preserve">The programme has achieved a significant increase in the proportion of females trained under CASA, rising from 41% in 2024 to 52% in 2025, thereby surpassing the target set for 2025. Additionally, in Phase </w:t>
      </w:r>
      <w:r w:rsidRPr="2DCAEB50" w:rsidR="0CD10FCA">
        <w:rPr>
          <w:rFonts w:asciiTheme="minorHAnsi" w:hAnsiTheme="minorHAnsi" w:eastAsiaTheme="minorEastAsia"/>
        </w:rPr>
        <w:t>II</w:t>
      </w:r>
      <w:r w:rsidRPr="00D75194">
        <w:rPr>
          <w:rFonts w:asciiTheme="minorHAnsi" w:hAnsiTheme="minorHAnsi" w:eastAsiaTheme="minorEastAsia"/>
        </w:rPr>
        <w:t xml:space="preserve">, 50% of CASA's TPs from </w:t>
      </w:r>
      <w:r w:rsidRPr="2DCAEB50" w:rsidR="2540201A">
        <w:rPr>
          <w:rFonts w:asciiTheme="minorHAnsi" w:hAnsiTheme="minorHAnsi" w:eastAsiaTheme="minorEastAsia"/>
        </w:rPr>
        <w:t>Work</w:t>
      </w:r>
      <w:r w:rsidRPr="2DCAEB50" w:rsidR="6596D0F5">
        <w:rPr>
          <w:rFonts w:asciiTheme="minorHAnsi" w:hAnsiTheme="minorHAnsi" w:eastAsiaTheme="minorEastAsia"/>
        </w:rPr>
        <w:t xml:space="preserve"> P</w:t>
      </w:r>
      <w:r w:rsidRPr="2DCAEB50" w:rsidR="6E4F5717">
        <w:rPr>
          <w:rFonts w:asciiTheme="minorHAnsi" w:hAnsiTheme="minorHAnsi" w:eastAsiaTheme="minorEastAsia"/>
        </w:rPr>
        <w:t>ackage</w:t>
      </w:r>
      <w:r w:rsidRPr="00D75194" w:rsidR="00631689">
        <w:rPr>
          <w:rFonts w:asciiTheme="minorHAnsi" w:hAnsiTheme="minorHAnsi" w:eastAsiaTheme="minorEastAsia"/>
        </w:rPr>
        <w:t xml:space="preserve"> 2 </w:t>
      </w:r>
      <w:r w:rsidRPr="00D75194">
        <w:rPr>
          <w:rFonts w:asciiTheme="minorHAnsi" w:hAnsiTheme="minorHAnsi" w:eastAsiaTheme="minorEastAsia"/>
        </w:rPr>
        <w:t xml:space="preserve">and </w:t>
      </w:r>
      <w:r w:rsidRPr="2DCAEB50" w:rsidR="5355C4D8">
        <w:rPr>
          <w:rFonts w:asciiTheme="minorHAnsi" w:hAnsiTheme="minorHAnsi" w:eastAsiaTheme="minorEastAsia"/>
        </w:rPr>
        <w:t>Work</w:t>
      </w:r>
      <w:r w:rsidRPr="2DCAEB50" w:rsidR="2E98615B">
        <w:rPr>
          <w:rFonts w:asciiTheme="minorHAnsi" w:hAnsiTheme="minorHAnsi" w:eastAsiaTheme="minorEastAsia"/>
        </w:rPr>
        <w:t xml:space="preserve"> Package </w:t>
      </w:r>
      <w:r w:rsidRPr="2DCAEB50" w:rsidR="2540201A">
        <w:rPr>
          <w:rFonts w:asciiTheme="minorHAnsi" w:hAnsiTheme="minorHAnsi" w:eastAsiaTheme="minorEastAsia"/>
        </w:rPr>
        <w:t>plan</w:t>
      </w:r>
      <w:r w:rsidRPr="00D75194" w:rsidR="00631689">
        <w:rPr>
          <w:rFonts w:asciiTheme="minorHAnsi" w:hAnsiTheme="minorHAnsi" w:eastAsiaTheme="minorEastAsia"/>
        </w:rPr>
        <w:t xml:space="preserve"> 3 </w:t>
      </w:r>
      <w:proofErr w:type="gramStart"/>
      <w:r w:rsidRPr="00D75194">
        <w:rPr>
          <w:rFonts w:asciiTheme="minorHAnsi" w:hAnsiTheme="minorHAnsi" w:eastAsiaTheme="minorEastAsia"/>
        </w:rPr>
        <w:t>were located in</w:t>
      </w:r>
      <w:proofErr w:type="gramEnd"/>
      <w:r w:rsidRPr="00D75194">
        <w:rPr>
          <w:rFonts w:asciiTheme="minorHAnsi" w:hAnsiTheme="minorHAnsi" w:eastAsiaTheme="minorEastAsia"/>
        </w:rPr>
        <w:t xml:space="preserve"> the Global South, with two OF initiatives established in the region in 2024.</w:t>
      </w:r>
      <w:r w:rsidRPr="00D75194" w:rsidDel="006B601D">
        <w:rPr>
          <w:rFonts w:asciiTheme="minorHAnsi" w:hAnsiTheme="minorHAnsi" w:eastAsiaTheme="minorEastAsia"/>
        </w:rPr>
        <w:t xml:space="preserve"> </w:t>
      </w:r>
    </w:p>
    <w:p w:rsidRPr="00D75194" w:rsidR="00F16A30" w:rsidP="00836E7B" w:rsidRDefault="5D5CBF41" w14:paraId="1AE6B2E4" w14:textId="087D6A6B">
      <w:pPr>
        <w:pStyle w:val="Heading2"/>
        <w:numPr>
          <w:ilvl w:val="0"/>
          <w:numId w:val="0"/>
        </w:numPr>
        <w:ind w:left="851" w:hanging="851"/>
      </w:pPr>
      <w:bookmarkStart w:name="_Toc204780048" w:id="20"/>
      <w:bookmarkStart w:name="_Toc204796551" w:id="21"/>
      <w:bookmarkStart w:name="_Toc214452903" w:id="22"/>
      <w:r w:rsidRPr="00D75194">
        <w:t xml:space="preserve">Lessons </w:t>
      </w:r>
      <w:r w:rsidRPr="00D75194" w:rsidR="00746D37">
        <w:t xml:space="preserve">and </w:t>
      </w:r>
      <w:bookmarkEnd w:id="20"/>
      <w:bookmarkEnd w:id="21"/>
      <w:r w:rsidR="00746D37">
        <w:t>r</w:t>
      </w:r>
      <w:r>
        <w:t>ecommendations</w:t>
      </w:r>
      <w:bookmarkEnd w:id="22"/>
      <w:r w:rsidRPr="00D75194">
        <w:t xml:space="preserve"> </w:t>
      </w:r>
    </w:p>
    <w:p w:rsidRPr="00D75194" w:rsidR="00F16A30" w:rsidP="00FD3A35" w:rsidRDefault="00836E7B" w14:paraId="2DF43654" w14:textId="4233207A">
      <w:pPr>
        <w:spacing w:after="160" w:line="276" w:lineRule="auto"/>
        <w:rPr>
          <w:rFonts w:asciiTheme="minorHAnsi" w:hAnsiTheme="minorHAnsi" w:eastAsiaTheme="minorEastAsia"/>
          <w:b/>
        </w:rPr>
      </w:pPr>
      <w:r w:rsidRPr="00D75194">
        <w:rPr>
          <w:rFonts w:asciiTheme="minorHAnsi" w:hAnsiTheme="minorHAnsi" w:eastAsiaTheme="minorEastAsia"/>
          <w:b/>
          <w:bCs/>
        </w:rPr>
        <w:br/>
      </w:r>
      <w:r w:rsidRPr="00D75194" w:rsidR="5D5CBF41">
        <w:rPr>
          <w:rFonts w:asciiTheme="minorHAnsi" w:hAnsiTheme="minorHAnsi" w:eastAsiaTheme="minorEastAsia"/>
          <w:b/>
          <w:bCs/>
        </w:rPr>
        <w:t>Lesson 1: Sustainability must be designed, not assumed</w:t>
      </w:r>
      <w:r w:rsidRPr="00D75194" w:rsidR="5D5CBF41">
        <w:rPr>
          <w:rFonts w:asciiTheme="minorHAnsi" w:hAnsiTheme="minorHAnsi" w:eastAsiaTheme="minorEastAsia"/>
          <w:b/>
        </w:rPr>
        <w:t xml:space="preserve"> </w:t>
      </w:r>
    </w:p>
    <w:p w:rsidRPr="00D75194" w:rsidR="00F16A30" w:rsidP="2605B8D9" w:rsidRDefault="5D5CBF41" w14:paraId="2ADB344E" w14:textId="5475A289">
      <w:pPr>
        <w:spacing w:after="160" w:line="276" w:lineRule="auto"/>
        <w:rPr>
          <w:rFonts w:asciiTheme="minorHAnsi" w:hAnsiTheme="minorHAnsi" w:eastAsiaTheme="minorEastAsia"/>
        </w:rPr>
      </w:pPr>
      <w:r w:rsidRPr="00D75194">
        <w:rPr>
          <w:rFonts w:asciiTheme="minorHAnsi" w:hAnsiTheme="minorHAnsi" w:eastAsiaTheme="minorEastAsia"/>
        </w:rPr>
        <w:t>CASA’s delivery model</w:t>
      </w:r>
      <w:r w:rsidRPr="00D75194" w:rsidR="00D62337">
        <w:rPr>
          <w:rFonts w:asciiTheme="minorHAnsi" w:hAnsiTheme="minorHAnsi" w:eastAsiaTheme="minorEastAsia"/>
        </w:rPr>
        <w:t xml:space="preserve"> has</w:t>
      </w:r>
      <w:r w:rsidRPr="00D75194">
        <w:rPr>
          <w:rFonts w:asciiTheme="minorHAnsi" w:hAnsiTheme="minorHAnsi" w:eastAsiaTheme="minorEastAsia"/>
        </w:rPr>
        <w:t xml:space="preserve"> delivered impact through TPs</w:t>
      </w:r>
      <w:r w:rsidRPr="00D75194" w:rsidR="006C23E5">
        <w:rPr>
          <w:rFonts w:asciiTheme="minorHAnsi" w:hAnsiTheme="minorHAnsi" w:eastAsiaTheme="minorEastAsia"/>
        </w:rPr>
        <w:t>,</w:t>
      </w:r>
      <w:r w:rsidRPr="00D75194">
        <w:rPr>
          <w:rFonts w:asciiTheme="minorHAnsi" w:hAnsiTheme="minorHAnsi" w:eastAsiaTheme="minorEastAsia"/>
        </w:rPr>
        <w:t xml:space="preserve"> rather than through direct support to negotiating groups. Sustainable results require embedded systems, retained knowledge, and forward planning. </w:t>
      </w:r>
    </w:p>
    <w:p w:rsidRPr="00D75194" w:rsidR="00F16A30" w:rsidP="00A66917" w:rsidRDefault="5D5CBF41" w14:paraId="355BB494" w14:textId="2E4BDED0">
      <w:pPr>
        <w:pStyle w:val="ListParagraph"/>
        <w:numPr>
          <w:ilvl w:val="0"/>
          <w:numId w:val="45"/>
        </w:numPr>
        <w:spacing w:after="160" w:line="276" w:lineRule="auto"/>
        <w:rPr>
          <w:rFonts w:asciiTheme="minorHAnsi" w:hAnsiTheme="minorHAnsi" w:eastAsiaTheme="minorEastAsia"/>
        </w:rPr>
      </w:pPr>
      <w:r w:rsidRPr="00D75194">
        <w:rPr>
          <w:rFonts w:asciiTheme="minorHAnsi" w:hAnsiTheme="minorHAnsi" w:eastAsiaTheme="minorEastAsia"/>
        </w:rPr>
        <w:t xml:space="preserve">1.1: Support negotiating group governance structures, strategy processes, and coordinator continuity. </w:t>
      </w:r>
    </w:p>
    <w:p w:rsidRPr="00D75194" w:rsidR="00F16A30" w:rsidP="00A66917" w:rsidRDefault="5D5CBF41" w14:paraId="41F3A366" w14:textId="5BB026C7">
      <w:pPr>
        <w:pStyle w:val="ListParagraph"/>
        <w:numPr>
          <w:ilvl w:val="0"/>
          <w:numId w:val="45"/>
        </w:numPr>
        <w:spacing w:after="160" w:line="276" w:lineRule="auto"/>
        <w:rPr>
          <w:rFonts w:asciiTheme="minorHAnsi" w:hAnsiTheme="minorHAnsi" w:eastAsiaTheme="minorEastAsia"/>
        </w:rPr>
      </w:pPr>
      <w:r w:rsidRPr="00D75194">
        <w:rPr>
          <w:rFonts w:asciiTheme="minorHAnsi" w:hAnsiTheme="minorHAnsi" w:eastAsiaTheme="minorEastAsia"/>
        </w:rPr>
        <w:t xml:space="preserve">1.2: Shift TP roles from delivery to enablement, embedding structured transition plans into all workstreams. </w:t>
      </w:r>
    </w:p>
    <w:p w:rsidRPr="00D75194" w:rsidR="0423DAD5" w:rsidP="0423DAD5" w:rsidRDefault="5D5CBF41" w14:paraId="148D9563" w14:textId="4BB7AC45">
      <w:pPr>
        <w:pStyle w:val="ListParagraph"/>
        <w:numPr>
          <w:ilvl w:val="0"/>
          <w:numId w:val="45"/>
        </w:numPr>
        <w:spacing w:after="160" w:line="276" w:lineRule="auto"/>
        <w:rPr>
          <w:rFonts w:asciiTheme="minorHAnsi" w:hAnsiTheme="minorHAnsi" w:eastAsiaTheme="minorEastAsia"/>
        </w:rPr>
      </w:pPr>
      <w:r w:rsidRPr="00D75194">
        <w:rPr>
          <w:rFonts w:asciiTheme="minorHAnsi" w:hAnsiTheme="minorHAnsi" w:eastAsiaTheme="minorEastAsia"/>
        </w:rPr>
        <w:t xml:space="preserve">1.3: Codify and clarify roles for group secretariats, ensuring alignment with </w:t>
      </w:r>
      <w:r w:rsidRPr="00D75194" w:rsidR="006C23E5">
        <w:rPr>
          <w:rFonts w:asciiTheme="minorHAnsi" w:hAnsiTheme="minorHAnsi" w:eastAsiaTheme="minorEastAsia"/>
        </w:rPr>
        <w:t xml:space="preserve">chairs </w:t>
      </w:r>
      <w:r w:rsidRPr="00D75194">
        <w:rPr>
          <w:rFonts w:asciiTheme="minorHAnsi" w:hAnsiTheme="minorHAnsi" w:eastAsiaTheme="minorEastAsia"/>
        </w:rPr>
        <w:t xml:space="preserve">and stakeholders. </w:t>
      </w:r>
    </w:p>
    <w:p w:rsidRPr="00D75194" w:rsidR="00F16A30" w:rsidP="00FD3A35" w:rsidRDefault="5D5CBF41" w14:paraId="101A84CC" w14:textId="3195BE6E">
      <w:pPr>
        <w:spacing w:after="160" w:line="276" w:lineRule="auto"/>
        <w:rPr>
          <w:rFonts w:asciiTheme="minorHAnsi" w:hAnsiTheme="minorHAnsi" w:eastAsiaTheme="minorEastAsia"/>
          <w:b/>
        </w:rPr>
      </w:pPr>
      <w:r w:rsidRPr="00D75194">
        <w:rPr>
          <w:rFonts w:asciiTheme="minorHAnsi" w:hAnsiTheme="minorHAnsi" w:eastAsiaTheme="minorEastAsia"/>
          <w:b/>
          <w:bCs/>
        </w:rPr>
        <w:t>Lesson 2: Ownership, legitimacy, and capability are critical to</w:t>
      </w:r>
      <w:r w:rsidRPr="00D75194" w:rsidR="00456B2D">
        <w:rPr>
          <w:rFonts w:asciiTheme="minorHAnsi" w:hAnsiTheme="minorHAnsi" w:eastAsiaTheme="minorEastAsia"/>
          <w:b/>
          <w:bCs/>
        </w:rPr>
        <w:t xml:space="preserve"> ensur</w:t>
      </w:r>
      <w:r w:rsidRPr="00D75194" w:rsidR="00CE095B">
        <w:rPr>
          <w:rFonts w:asciiTheme="minorHAnsi" w:hAnsiTheme="minorHAnsi" w:eastAsiaTheme="minorEastAsia"/>
          <w:b/>
          <w:bCs/>
        </w:rPr>
        <w:t>e that</w:t>
      </w:r>
      <w:r w:rsidRPr="00D75194" w:rsidR="00456B2D">
        <w:rPr>
          <w:rFonts w:asciiTheme="minorHAnsi" w:hAnsiTheme="minorHAnsi" w:eastAsiaTheme="minorEastAsia"/>
          <w:b/>
          <w:bCs/>
        </w:rPr>
        <w:t xml:space="preserve"> outcomes are</w:t>
      </w:r>
      <w:r w:rsidRPr="00D75194">
        <w:rPr>
          <w:rFonts w:asciiTheme="minorHAnsi" w:hAnsiTheme="minorHAnsi" w:eastAsiaTheme="minorEastAsia"/>
          <w:b/>
          <w:bCs/>
        </w:rPr>
        <w:t xml:space="preserve"> durable</w:t>
      </w:r>
    </w:p>
    <w:p w:rsidRPr="00D75194" w:rsidR="00F16A30" w:rsidP="2605B8D9" w:rsidRDefault="5D5CBF41" w14:paraId="17C77819" w14:textId="55E176C2">
      <w:pPr>
        <w:spacing w:after="160" w:line="276" w:lineRule="auto"/>
        <w:rPr>
          <w:rFonts w:asciiTheme="minorHAnsi" w:hAnsiTheme="minorHAnsi" w:eastAsiaTheme="minorEastAsia"/>
        </w:rPr>
      </w:pPr>
      <w:r w:rsidRPr="00D75194">
        <w:rPr>
          <w:rFonts w:asciiTheme="minorHAnsi" w:hAnsiTheme="minorHAnsi" w:eastAsiaTheme="minorEastAsia"/>
        </w:rPr>
        <w:t xml:space="preserve">CASA’s impact </w:t>
      </w:r>
      <w:r w:rsidRPr="00D75194" w:rsidR="004F2135">
        <w:rPr>
          <w:rFonts w:asciiTheme="minorHAnsi" w:hAnsiTheme="minorHAnsi" w:eastAsiaTheme="minorEastAsia"/>
        </w:rPr>
        <w:t xml:space="preserve">has been </w:t>
      </w:r>
      <w:r w:rsidRPr="00D75194">
        <w:rPr>
          <w:rFonts w:asciiTheme="minorHAnsi" w:hAnsiTheme="minorHAnsi" w:eastAsiaTheme="minorEastAsia"/>
        </w:rPr>
        <w:t xml:space="preserve">strongest when negotiating groups themselves </w:t>
      </w:r>
      <w:r w:rsidRPr="00D75194" w:rsidR="004F2135">
        <w:rPr>
          <w:rFonts w:asciiTheme="minorHAnsi" w:hAnsiTheme="minorHAnsi" w:eastAsiaTheme="minorEastAsia"/>
        </w:rPr>
        <w:t xml:space="preserve">have been </w:t>
      </w:r>
      <w:r w:rsidRPr="00D75194">
        <w:rPr>
          <w:rFonts w:asciiTheme="minorHAnsi" w:hAnsiTheme="minorHAnsi" w:eastAsiaTheme="minorEastAsia"/>
        </w:rPr>
        <w:t>able to articulate needs</w:t>
      </w:r>
      <w:r w:rsidRPr="00D75194" w:rsidR="00D01A09">
        <w:rPr>
          <w:rFonts w:asciiTheme="minorHAnsi" w:hAnsiTheme="minorHAnsi" w:eastAsiaTheme="minorEastAsia"/>
        </w:rPr>
        <w:t xml:space="preserve"> and</w:t>
      </w:r>
      <w:r w:rsidRPr="00D75194">
        <w:rPr>
          <w:rFonts w:asciiTheme="minorHAnsi" w:hAnsiTheme="minorHAnsi" w:eastAsiaTheme="minorEastAsia"/>
        </w:rPr>
        <w:t xml:space="preserve"> set strategic </w:t>
      </w:r>
      <w:r w:rsidRPr="00D75194" w:rsidR="006D65B7">
        <w:rPr>
          <w:rFonts w:asciiTheme="minorHAnsi" w:hAnsiTheme="minorHAnsi" w:eastAsiaTheme="minorEastAsia"/>
        </w:rPr>
        <w:t>direction and</w:t>
      </w:r>
      <w:r w:rsidRPr="00D75194">
        <w:rPr>
          <w:rFonts w:asciiTheme="minorHAnsi" w:hAnsiTheme="minorHAnsi" w:eastAsiaTheme="minorEastAsia"/>
        </w:rPr>
        <w:t xml:space="preserve"> </w:t>
      </w:r>
      <w:r w:rsidRPr="00D75194" w:rsidR="00D01A09">
        <w:rPr>
          <w:rFonts w:asciiTheme="minorHAnsi" w:hAnsiTheme="minorHAnsi" w:eastAsiaTheme="minorEastAsia"/>
        </w:rPr>
        <w:t xml:space="preserve">have been </w:t>
      </w:r>
      <w:r w:rsidRPr="00D75194">
        <w:rPr>
          <w:rFonts w:asciiTheme="minorHAnsi" w:hAnsiTheme="minorHAnsi" w:eastAsiaTheme="minorEastAsia"/>
        </w:rPr>
        <w:t>led by highly capable leaders with a degree of political and financial support from national governments.</w:t>
      </w:r>
      <w:r w:rsidRPr="00D75194" w:rsidDel="006B601D">
        <w:rPr>
          <w:rFonts w:asciiTheme="minorHAnsi" w:hAnsiTheme="minorHAnsi" w:eastAsiaTheme="minorEastAsia"/>
        </w:rPr>
        <w:t xml:space="preserve"> </w:t>
      </w:r>
    </w:p>
    <w:p w:rsidRPr="00D75194" w:rsidR="00F16A30" w:rsidP="00A66917" w:rsidRDefault="5D5CBF41" w14:paraId="63672C31" w14:textId="60814B3B">
      <w:pPr>
        <w:pStyle w:val="ListParagraph"/>
        <w:numPr>
          <w:ilvl w:val="0"/>
          <w:numId w:val="46"/>
        </w:numPr>
        <w:spacing w:after="160" w:line="276" w:lineRule="auto"/>
        <w:rPr>
          <w:rFonts w:asciiTheme="minorHAnsi" w:hAnsiTheme="minorHAnsi" w:eastAsiaTheme="minorEastAsia"/>
        </w:rPr>
      </w:pPr>
      <w:r w:rsidRPr="00D75194">
        <w:rPr>
          <w:rFonts w:asciiTheme="minorHAnsi" w:hAnsiTheme="minorHAnsi" w:eastAsiaTheme="minorEastAsia"/>
        </w:rPr>
        <w:t>2.1: Continue</w:t>
      </w:r>
      <w:r w:rsidRPr="00D75194" w:rsidR="00CF4260">
        <w:rPr>
          <w:rFonts w:asciiTheme="minorHAnsi" w:hAnsiTheme="minorHAnsi" w:eastAsiaTheme="minorEastAsia"/>
        </w:rPr>
        <w:t>,</w:t>
      </w:r>
      <w:r w:rsidRPr="00D75194">
        <w:rPr>
          <w:rFonts w:asciiTheme="minorHAnsi" w:hAnsiTheme="minorHAnsi" w:eastAsiaTheme="minorEastAsia"/>
        </w:rPr>
        <w:t xml:space="preserve"> and expand</w:t>
      </w:r>
      <w:r w:rsidRPr="00D75194" w:rsidR="00CF4260">
        <w:rPr>
          <w:rFonts w:asciiTheme="minorHAnsi" w:hAnsiTheme="minorHAnsi" w:eastAsiaTheme="minorEastAsia"/>
        </w:rPr>
        <w:t>,</w:t>
      </w:r>
      <w:r w:rsidRPr="00D75194">
        <w:rPr>
          <w:rFonts w:asciiTheme="minorHAnsi" w:hAnsiTheme="minorHAnsi" w:eastAsiaTheme="minorEastAsia"/>
        </w:rPr>
        <w:t xml:space="preserve"> group-nominated fellow selection and embed these models in other programme mechanisms. </w:t>
      </w:r>
    </w:p>
    <w:p w:rsidRPr="00D75194" w:rsidR="00F16A30" w:rsidP="00A66917" w:rsidRDefault="5D5CBF41" w14:paraId="252CE499" w14:textId="0EF5790F">
      <w:pPr>
        <w:pStyle w:val="ListParagraph"/>
        <w:numPr>
          <w:ilvl w:val="0"/>
          <w:numId w:val="46"/>
        </w:numPr>
        <w:spacing w:after="160" w:line="276" w:lineRule="auto"/>
        <w:rPr>
          <w:rFonts w:asciiTheme="minorHAnsi" w:hAnsiTheme="minorHAnsi" w:eastAsiaTheme="minorEastAsia"/>
        </w:rPr>
      </w:pPr>
      <w:r w:rsidRPr="00D75194">
        <w:rPr>
          <w:rFonts w:asciiTheme="minorHAnsi" w:hAnsiTheme="minorHAnsi" w:eastAsiaTheme="minorEastAsia"/>
        </w:rPr>
        <w:t xml:space="preserve">2.2: Continue to provide direct support to negotiating group governance, including internal strategy-setting, documentation, and coordination. </w:t>
      </w:r>
    </w:p>
    <w:p w:rsidRPr="00D75194" w:rsidR="0423DAD5" w:rsidP="0423DAD5" w:rsidRDefault="5D5CBF41" w14:paraId="3915ECB5" w14:textId="0EFCF143">
      <w:pPr>
        <w:pStyle w:val="ListParagraph"/>
        <w:numPr>
          <w:ilvl w:val="0"/>
          <w:numId w:val="46"/>
        </w:numPr>
        <w:spacing w:after="160" w:line="276" w:lineRule="auto"/>
        <w:rPr>
          <w:rFonts w:asciiTheme="minorHAnsi" w:hAnsiTheme="minorHAnsi" w:eastAsiaTheme="minorEastAsia"/>
        </w:rPr>
      </w:pPr>
      <w:r w:rsidRPr="00D75194">
        <w:rPr>
          <w:rFonts w:asciiTheme="minorHAnsi" w:hAnsiTheme="minorHAnsi" w:eastAsiaTheme="minorEastAsia"/>
        </w:rPr>
        <w:t xml:space="preserve">2.3: Negotiate group-led approaches with accountability mechanisms (e.g. joint planning processes with TPs). </w:t>
      </w:r>
    </w:p>
    <w:p w:rsidRPr="00D75194" w:rsidR="00F16A30" w:rsidP="00FD3A35" w:rsidRDefault="5D5CBF41" w14:paraId="3106B978" w14:textId="3B39AC28">
      <w:pPr>
        <w:spacing w:after="160" w:line="276" w:lineRule="auto"/>
        <w:rPr>
          <w:rFonts w:asciiTheme="minorHAnsi" w:hAnsiTheme="minorHAnsi" w:eastAsiaTheme="minorEastAsia"/>
          <w:b/>
        </w:rPr>
      </w:pPr>
      <w:r w:rsidRPr="00D75194">
        <w:rPr>
          <w:rFonts w:asciiTheme="minorHAnsi" w:hAnsiTheme="minorHAnsi" w:eastAsiaTheme="minorEastAsia"/>
          <w:b/>
          <w:bCs/>
        </w:rPr>
        <w:t>Lesson 3: Equity and access require structural solutions</w:t>
      </w:r>
      <w:r w:rsidRPr="00D75194" w:rsidDel="006B601D">
        <w:rPr>
          <w:rFonts w:asciiTheme="minorHAnsi" w:hAnsiTheme="minorHAnsi" w:eastAsiaTheme="minorEastAsia"/>
          <w:b/>
          <w:bCs/>
        </w:rPr>
        <w:t xml:space="preserve"> </w:t>
      </w:r>
    </w:p>
    <w:p w:rsidRPr="00D75194" w:rsidR="00F16A30" w:rsidP="2605B8D9" w:rsidRDefault="5D5CBF41" w14:paraId="253D5464" w14:textId="22399EAB">
      <w:pPr>
        <w:spacing w:after="160" w:line="276" w:lineRule="auto"/>
        <w:rPr>
          <w:rFonts w:asciiTheme="minorHAnsi" w:hAnsiTheme="minorHAnsi" w:eastAsiaTheme="minorEastAsia"/>
        </w:rPr>
      </w:pPr>
      <w:r w:rsidRPr="00D75194">
        <w:rPr>
          <w:rFonts w:asciiTheme="minorHAnsi" w:hAnsiTheme="minorHAnsi" w:eastAsiaTheme="minorEastAsia"/>
        </w:rPr>
        <w:t>Inclusion</w:t>
      </w:r>
      <w:r w:rsidRPr="00D75194" w:rsidR="004C73D7">
        <w:rPr>
          <w:rFonts w:asciiTheme="minorHAnsi" w:hAnsiTheme="minorHAnsi" w:eastAsiaTheme="minorEastAsia"/>
        </w:rPr>
        <w:t xml:space="preserve"> has been</w:t>
      </w:r>
      <w:r w:rsidRPr="00D75194">
        <w:rPr>
          <w:rFonts w:asciiTheme="minorHAnsi" w:hAnsiTheme="minorHAnsi" w:eastAsiaTheme="minorEastAsia"/>
        </w:rPr>
        <w:t xml:space="preserve"> improved through access-focused initiatives, but enduring barriers remain in financing, language, delegation structure, and leadership pipelines. </w:t>
      </w:r>
    </w:p>
    <w:p w:rsidRPr="00D75194" w:rsidR="00F16A30" w:rsidP="00A66917" w:rsidRDefault="5D5CBF41" w14:paraId="53819EAA" w14:textId="463F2A39">
      <w:pPr>
        <w:pStyle w:val="ListParagraph"/>
        <w:numPr>
          <w:ilvl w:val="0"/>
          <w:numId w:val="47"/>
        </w:numPr>
        <w:spacing w:after="160" w:line="276" w:lineRule="auto"/>
        <w:rPr>
          <w:rFonts w:asciiTheme="minorHAnsi" w:hAnsiTheme="minorHAnsi" w:eastAsiaTheme="minorEastAsia"/>
        </w:rPr>
      </w:pPr>
      <w:r w:rsidRPr="00D75194">
        <w:rPr>
          <w:rFonts w:asciiTheme="minorHAnsi" w:hAnsiTheme="minorHAnsi" w:eastAsiaTheme="minorEastAsia"/>
        </w:rPr>
        <w:t xml:space="preserve">3.1: Support negotiators to access external funding, with TPs and DAI resourced to provide light-touch guidance and signposting. </w:t>
      </w:r>
    </w:p>
    <w:p w:rsidRPr="00D75194" w:rsidR="00F16A30" w:rsidP="00A66917" w:rsidRDefault="5D5CBF41" w14:paraId="65B0A753" w14:textId="592F4C16">
      <w:pPr>
        <w:pStyle w:val="ListParagraph"/>
        <w:numPr>
          <w:ilvl w:val="0"/>
          <w:numId w:val="47"/>
        </w:numPr>
        <w:spacing w:after="160" w:line="276" w:lineRule="auto"/>
        <w:rPr>
          <w:rFonts w:asciiTheme="minorHAnsi" w:hAnsiTheme="minorHAnsi" w:eastAsiaTheme="minorEastAsia"/>
        </w:rPr>
      </w:pPr>
      <w:r w:rsidRPr="00D75194">
        <w:rPr>
          <w:rFonts w:asciiTheme="minorHAnsi" w:hAnsiTheme="minorHAnsi" w:eastAsiaTheme="minorEastAsia"/>
        </w:rPr>
        <w:t xml:space="preserve">3.2: Ensure the </w:t>
      </w:r>
      <w:r w:rsidR="000756A5">
        <w:rPr>
          <w:rFonts w:asciiTheme="minorHAnsi" w:hAnsiTheme="minorHAnsi" w:eastAsiaTheme="minorEastAsia"/>
        </w:rPr>
        <w:t>O</w:t>
      </w:r>
      <w:r w:rsidRPr="3C858BE1" w:rsidR="005025FC">
        <w:rPr>
          <w:rFonts w:asciiTheme="minorHAnsi" w:hAnsiTheme="minorHAnsi" w:eastAsiaTheme="minorEastAsia"/>
        </w:rPr>
        <w:t>F</w:t>
      </w:r>
      <w:r w:rsidRPr="00D75194">
        <w:rPr>
          <w:rFonts w:asciiTheme="minorHAnsi" w:hAnsiTheme="minorHAnsi" w:eastAsiaTheme="minorEastAsia"/>
        </w:rPr>
        <w:t xml:space="preserve"> remains a core feature of the programme, providing flexible, GESI-oriented support that negotiating groups can shape.</w:t>
      </w:r>
      <w:r w:rsidRPr="00D75194" w:rsidDel="006B601D">
        <w:rPr>
          <w:rFonts w:asciiTheme="minorHAnsi" w:hAnsiTheme="minorHAnsi" w:eastAsiaTheme="minorEastAsia"/>
        </w:rPr>
        <w:t xml:space="preserve"> </w:t>
      </w:r>
    </w:p>
    <w:p w:rsidRPr="00D75194" w:rsidR="00F16A30" w:rsidP="2605B8D9" w:rsidRDefault="5D5CBF41" w14:paraId="43AB3DBE" w14:textId="0846C35C">
      <w:pPr>
        <w:pStyle w:val="ListParagraph"/>
        <w:numPr>
          <w:ilvl w:val="0"/>
          <w:numId w:val="47"/>
        </w:numPr>
        <w:spacing w:after="160" w:line="276" w:lineRule="auto"/>
        <w:rPr>
          <w:rFonts w:asciiTheme="minorHAnsi" w:hAnsiTheme="minorHAnsi" w:eastAsiaTheme="minorEastAsia"/>
        </w:rPr>
      </w:pPr>
      <w:r w:rsidRPr="00D75194">
        <w:rPr>
          <w:rFonts w:asciiTheme="minorHAnsi" w:hAnsiTheme="minorHAnsi" w:eastAsiaTheme="minorEastAsia"/>
        </w:rPr>
        <w:t xml:space="preserve">3.3: Invest in mentorship and alumni engagement, particularly for underrepresented negotiators, and compensate mentors from the Global South. </w:t>
      </w:r>
    </w:p>
    <w:p w:rsidRPr="00D75194" w:rsidR="00F16A30" w:rsidP="2605B8D9" w:rsidRDefault="5D5CBF41" w14:paraId="09AA929B" w14:textId="246C0D2E">
      <w:pPr>
        <w:spacing w:after="160" w:line="276" w:lineRule="auto"/>
        <w:rPr>
          <w:rFonts w:asciiTheme="minorHAnsi" w:hAnsiTheme="minorHAnsi" w:eastAsiaTheme="minorEastAsia"/>
          <w:b/>
          <w:bCs/>
        </w:rPr>
      </w:pPr>
      <w:r w:rsidRPr="00D75194">
        <w:rPr>
          <w:rFonts w:asciiTheme="minorHAnsi" w:hAnsiTheme="minorHAnsi" w:eastAsiaTheme="minorEastAsia"/>
          <w:b/>
          <w:bCs/>
        </w:rPr>
        <w:t xml:space="preserve">Lesson 4: Flexible, trusted support is CASA’s signature strength </w:t>
      </w:r>
    </w:p>
    <w:p w:rsidRPr="00D75194" w:rsidR="00F16A30" w:rsidP="2605B8D9" w:rsidRDefault="5D5CBF41" w14:paraId="5455630C" w14:textId="10FEB6B7">
      <w:pPr>
        <w:spacing w:after="160" w:line="276" w:lineRule="auto"/>
        <w:rPr>
          <w:rFonts w:asciiTheme="minorHAnsi" w:hAnsiTheme="minorHAnsi" w:eastAsiaTheme="minorEastAsia"/>
        </w:rPr>
      </w:pPr>
      <w:r w:rsidRPr="00D75194">
        <w:rPr>
          <w:rFonts w:asciiTheme="minorHAnsi" w:hAnsiTheme="minorHAnsi" w:eastAsiaTheme="minorEastAsia"/>
        </w:rPr>
        <w:t>Real-time, demand-led support</w:t>
      </w:r>
      <w:r w:rsidRPr="3C858BE1" w:rsidR="0B08FAD8">
        <w:rPr>
          <w:rFonts w:asciiTheme="minorHAnsi" w:hAnsiTheme="minorHAnsi" w:eastAsiaTheme="minorEastAsia"/>
        </w:rPr>
        <w:t>—</w:t>
      </w:r>
      <w:r w:rsidRPr="00D75194">
        <w:rPr>
          <w:rFonts w:asciiTheme="minorHAnsi" w:hAnsiTheme="minorHAnsi" w:eastAsiaTheme="minorEastAsia"/>
        </w:rPr>
        <w:t>especially during negotiations</w:t>
      </w:r>
      <w:r w:rsidRPr="3C858BE1" w:rsidR="0B08FAD8">
        <w:rPr>
          <w:rFonts w:asciiTheme="minorHAnsi" w:hAnsiTheme="minorHAnsi" w:eastAsiaTheme="minorEastAsia"/>
        </w:rPr>
        <w:t>—</w:t>
      </w:r>
      <w:r w:rsidRPr="00D75194" w:rsidR="00571EC5">
        <w:rPr>
          <w:rFonts w:asciiTheme="minorHAnsi" w:hAnsiTheme="minorHAnsi" w:eastAsiaTheme="minorEastAsia"/>
        </w:rPr>
        <w:t xml:space="preserve">has </w:t>
      </w:r>
      <w:r w:rsidRPr="00D75194">
        <w:rPr>
          <w:rFonts w:asciiTheme="minorHAnsi" w:hAnsiTheme="minorHAnsi" w:eastAsiaTheme="minorEastAsia"/>
        </w:rPr>
        <w:t>delivered exceptional value. This flexibility must be protected and strengthen</w:t>
      </w:r>
      <w:r w:rsidRPr="00D75194" w:rsidR="00215070">
        <w:rPr>
          <w:rFonts w:asciiTheme="minorHAnsi" w:hAnsiTheme="minorHAnsi" w:eastAsiaTheme="minorEastAsia"/>
        </w:rPr>
        <w:t>ed</w:t>
      </w:r>
      <w:r w:rsidRPr="00D75194">
        <w:rPr>
          <w:rFonts w:asciiTheme="minorHAnsi" w:hAnsiTheme="minorHAnsi" w:eastAsiaTheme="minorEastAsia"/>
        </w:rPr>
        <w:t xml:space="preserve">. </w:t>
      </w:r>
    </w:p>
    <w:p w:rsidRPr="00D75194" w:rsidR="00F16A30" w:rsidP="00A66917" w:rsidRDefault="5D5CBF41" w14:paraId="5F229B89" w14:textId="6AD28EEF">
      <w:pPr>
        <w:pStyle w:val="ListParagraph"/>
        <w:numPr>
          <w:ilvl w:val="0"/>
          <w:numId w:val="48"/>
        </w:numPr>
        <w:spacing w:after="160" w:line="276" w:lineRule="auto"/>
        <w:rPr>
          <w:rFonts w:asciiTheme="minorHAnsi" w:hAnsiTheme="minorHAnsi" w:eastAsiaTheme="minorEastAsia"/>
        </w:rPr>
      </w:pPr>
      <w:r w:rsidRPr="00D75194">
        <w:rPr>
          <w:rFonts w:asciiTheme="minorHAnsi" w:hAnsiTheme="minorHAnsi" w:eastAsiaTheme="minorEastAsia"/>
        </w:rPr>
        <w:t>4.1: Protect</w:t>
      </w:r>
      <w:r w:rsidRPr="00D75194" w:rsidR="0042146F">
        <w:rPr>
          <w:rFonts w:asciiTheme="minorHAnsi" w:hAnsiTheme="minorHAnsi" w:eastAsiaTheme="minorEastAsia"/>
        </w:rPr>
        <w:t xml:space="preserve"> the</w:t>
      </w:r>
      <w:r w:rsidRPr="00D75194">
        <w:rPr>
          <w:rFonts w:asciiTheme="minorHAnsi" w:hAnsiTheme="minorHAnsi" w:eastAsiaTheme="minorEastAsia"/>
        </w:rPr>
        <w:t xml:space="preserve"> budget and operational space for in-COP support (e.g. legal drafting, strategic advice via informal channels). </w:t>
      </w:r>
    </w:p>
    <w:p w:rsidRPr="00D75194" w:rsidR="00F16A30" w:rsidP="00A66917" w:rsidRDefault="5D5CBF41" w14:paraId="74A4A08C" w14:textId="152F8B37">
      <w:pPr>
        <w:pStyle w:val="ListParagraph"/>
        <w:numPr>
          <w:ilvl w:val="0"/>
          <w:numId w:val="48"/>
        </w:numPr>
        <w:spacing w:after="160" w:line="276" w:lineRule="auto"/>
        <w:rPr>
          <w:rFonts w:asciiTheme="minorHAnsi" w:hAnsiTheme="minorHAnsi" w:eastAsiaTheme="minorEastAsia"/>
        </w:rPr>
      </w:pPr>
      <w:r w:rsidRPr="00D75194">
        <w:rPr>
          <w:rFonts w:asciiTheme="minorHAnsi" w:hAnsiTheme="minorHAnsi" w:eastAsiaTheme="minorEastAsia"/>
        </w:rPr>
        <w:t xml:space="preserve">4.2: Retain </w:t>
      </w:r>
      <w:r w:rsidRPr="3C858BE1">
        <w:rPr>
          <w:rFonts w:asciiTheme="minorHAnsi" w:hAnsiTheme="minorHAnsi" w:eastAsiaTheme="minorEastAsia"/>
        </w:rPr>
        <w:t>TPs</w:t>
      </w:r>
      <w:r w:rsidRPr="3C858BE1" w:rsidR="00183F20">
        <w:rPr>
          <w:rFonts w:asciiTheme="minorHAnsi" w:hAnsiTheme="minorHAnsi" w:eastAsiaTheme="minorEastAsia"/>
        </w:rPr>
        <w:t>’</w:t>
      </w:r>
      <w:r w:rsidRPr="00D75194">
        <w:rPr>
          <w:rFonts w:asciiTheme="minorHAnsi" w:hAnsiTheme="minorHAnsi" w:eastAsiaTheme="minorEastAsia"/>
        </w:rPr>
        <w:t xml:space="preserve"> mechanisms for demand-led deployment, rather than rigid workplans. </w:t>
      </w:r>
    </w:p>
    <w:p w:rsidRPr="00D75194" w:rsidR="00F16A30" w:rsidP="2605B8D9" w:rsidRDefault="5D5CBF41" w14:paraId="208559D5" w14:textId="7D29FD48">
      <w:pPr>
        <w:spacing w:after="160" w:line="276" w:lineRule="auto"/>
        <w:rPr>
          <w:rFonts w:asciiTheme="minorHAnsi" w:hAnsiTheme="minorHAnsi" w:eastAsiaTheme="minorEastAsia"/>
          <w:b/>
          <w:bCs/>
        </w:rPr>
      </w:pPr>
      <w:r w:rsidRPr="00D75194">
        <w:rPr>
          <w:rFonts w:asciiTheme="minorHAnsi" w:hAnsiTheme="minorHAnsi" w:eastAsiaTheme="minorEastAsia"/>
          <w:b/>
          <w:bCs/>
        </w:rPr>
        <w:t xml:space="preserve">Lesson 5: Knowledge-sharing, coordination, and learning need stronger systems </w:t>
      </w:r>
    </w:p>
    <w:p w:rsidRPr="00D75194" w:rsidR="00F16A30" w:rsidP="2605B8D9" w:rsidRDefault="000756A5" w14:paraId="20E2885C" w14:textId="6924D6DB">
      <w:pPr>
        <w:spacing w:after="160" w:line="276" w:lineRule="auto"/>
        <w:rPr>
          <w:rFonts w:asciiTheme="minorHAnsi" w:hAnsiTheme="minorHAnsi" w:eastAsiaTheme="minorEastAsia"/>
        </w:rPr>
      </w:pPr>
      <w:r>
        <w:rPr>
          <w:rFonts w:asciiTheme="minorHAnsi" w:hAnsiTheme="minorHAnsi" w:eastAsiaTheme="minorEastAsia"/>
        </w:rPr>
        <w:t>T</w:t>
      </w:r>
      <w:r w:rsidRPr="3C858BE1" w:rsidR="00690A66">
        <w:rPr>
          <w:rFonts w:asciiTheme="minorHAnsi" w:hAnsiTheme="minorHAnsi" w:eastAsiaTheme="minorEastAsia"/>
        </w:rPr>
        <w:t>P</w:t>
      </w:r>
      <w:r w:rsidRPr="3C858BE1" w:rsidR="5D5CBF41">
        <w:rPr>
          <w:rFonts w:asciiTheme="minorHAnsi" w:hAnsiTheme="minorHAnsi" w:eastAsiaTheme="minorEastAsia"/>
        </w:rPr>
        <w:t>s</w:t>
      </w:r>
      <w:r w:rsidRPr="00D75194" w:rsidR="5D5CBF41">
        <w:rPr>
          <w:rFonts w:asciiTheme="minorHAnsi" w:hAnsiTheme="minorHAnsi" w:eastAsiaTheme="minorEastAsia"/>
        </w:rPr>
        <w:t xml:space="preserve"> operate with autonomy, but clearer coordination and shared learning mechanisms would improve effectiveness and reduce duplication. </w:t>
      </w:r>
    </w:p>
    <w:p w:rsidRPr="00D75194" w:rsidR="00F16A30" w:rsidP="00A66917" w:rsidRDefault="5D5CBF41" w14:paraId="29702CCA" w14:textId="7413C25A">
      <w:pPr>
        <w:pStyle w:val="ListParagraph"/>
        <w:numPr>
          <w:ilvl w:val="0"/>
          <w:numId w:val="49"/>
        </w:numPr>
        <w:spacing w:after="160" w:line="276" w:lineRule="auto"/>
        <w:rPr>
          <w:rFonts w:asciiTheme="minorHAnsi" w:hAnsiTheme="minorHAnsi" w:eastAsiaTheme="minorEastAsia"/>
        </w:rPr>
      </w:pPr>
      <w:r w:rsidRPr="00D75194">
        <w:rPr>
          <w:rFonts w:asciiTheme="minorHAnsi" w:hAnsiTheme="minorHAnsi" w:eastAsiaTheme="minorEastAsia"/>
        </w:rPr>
        <w:t xml:space="preserve">5.1: Require greater transparency from </w:t>
      </w:r>
      <w:r w:rsidR="00E5080C">
        <w:rPr>
          <w:rFonts w:asciiTheme="minorHAnsi" w:hAnsiTheme="minorHAnsi" w:eastAsiaTheme="minorEastAsia"/>
        </w:rPr>
        <w:t>T</w:t>
      </w:r>
      <w:r w:rsidRPr="3C858BE1" w:rsidR="00690A66">
        <w:rPr>
          <w:rFonts w:asciiTheme="minorHAnsi" w:hAnsiTheme="minorHAnsi" w:eastAsiaTheme="minorEastAsia"/>
        </w:rPr>
        <w:t>P</w:t>
      </w:r>
      <w:r w:rsidRPr="3C858BE1">
        <w:rPr>
          <w:rFonts w:asciiTheme="minorHAnsi" w:hAnsiTheme="minorHAnsi" w:eastAsiaTheme="minorEastAsia"/>
        </w:rPr>
        <w:t>s</w:t>
      </w:r>
      <w:r w:rsidRPr="00D75194">
        <w:rPr>
          <w:rFonts w:asciiTheme="minorHAnsi" w:hAnsiTheme="minorHAnsi" w:eastAsiaTheme="minorEastAsia"/>
        </w:rPr>
        <w:t xml:space="preserve"> about other funding relationships with negotiating groups. </w:t>
      </w:r>
    </w:p>
    <w:p w:rsidRPr="00D75194" w:rsidR="00F16A30" w:rsidP="00A66917" w:rsidRDefault="5D5CBF41" w14:paraId="1CC9DD0A" w14:textId="686BFE42">
      <w:pPr>
        <w:pStyle w:val="ListParagraph"/>
        <w:numPr>
          <w:ilvl w:val="0"/>
          <w:numId w:val="49"/>
        </w:numPr>
        <w:spacing w:after="160" w:line="276" w:lineRule="auto"/>
        <w:rPr>
          <w:rFonts w:asciiTheme="minorHAnsi" w:hAnsiTheme="minorHAnsi" w:eastAsiaTheme="minorEastAsia"/>
        </w:rPr>
      </w:pPr>
      <w:r w:rsidRPr="00D75194">
        <w:rPr>
          <w:rFonts w:asciiTheme="minorHAnsi" w:hAnsiTheme="minorHAnsi" w:eastAsiaTheme="minorEastAsia"/>
        </w:rPr>
        <w:t>5.2: Establish joint planning and regular coordination mechanisms among TPs supporting the same group.</w:t>
      </w:r>
    </w:p>
    <w:p w:rsidRPr="00D75194" w:rsidR="00F16A30" w:rsidP="00A66917" w:rsidRDefault="5D5CBF41" w14:paraId="54982EC9" w14:textId="0E05CF6E">
      <w:pPr>
        <w:pStyle w:val="ListParagraph"/>
        <w:numPr>
          <w:ilvl w:val="0"/>
          <w:numId w:val="49"/>
        </w:numPr>
        <w:spacing w:after="160" w:line="276" w:lineRule="auto"/>
        <w:rPr>
          <w:rFonts w:asciiTheme="minorHAnsi" w:hAnsiTheme="minorHAnsi" w:eastAsiaTheme="minorEastAsia"/>
        </w:rPr>
      </w:pPr>
      <w:r w:rsidRPr="00D75194">
        <w:rPr>
          <w:rFonts w:asciiTheme="minorHAnsi" w:hAnsiTheme="minorHAnsi" w:eastAsiaTheme="minorEastAsia"/>
        </w:rPr>
        <w:t>5.3: Improve documentation and internal knowledge-sharing, including on what works across negotiating groups and how influence is achieved.</w:t>
      </w:r>
    </w:p>
    <w:p w:rsidRPr="00D75194" w:rsidR="00F16A30" w:rsidP="00A66917" w:rsidRDefault="5D5CBF41" w14:paraId="691FE24D" w14:textId="345AFBC9">
      <w:pPr>
        <w:pStyle w:val="ListParagraph"/>
        <w:numPr>
          <w:ilvl w:val="0"/>
          <w:numId w:val="49"/>
        </w:numPr>
        <w:spacing w:after="160" w:line="276" w:lineRule="auto"/>
        <w:rPr>
          <w:rFonts w:asciiTheme="minorHAnsi" w:hAnsiTheme="minorHAnsi" w:eastAsiaTheme="minorEastAsia"/>
        </w:rPr>
      </w:pPr>
      <w:r w:rsidRPr="00D75194">
        <w:rPr>
          <w:rFonts w:asciiTheme="minorHAnsi" w:hAnsiTheme="minorHAnsi" w:eastAsiaTheme="minorEastAsia"/>
        </w:rPr>
        <w:t xml:space="preserve">5.4: Integrate outcome-focused </w:t>
      </w:r>
      <w:r w:rsidRPr="00D75194" w:rsidR="0012321F">
        <w:rPr>
          <w:rFonts w:asciiTheme="minorHAnsi" w:hAnsiTheme="minorHAnsi" w:eastAsiaTheme="minorEastAsia"/>
        </w:rPr>
        <w:t>monitoring, evaluation, and learning (</w:t>
      </w:r>
      <w:r w:rsidRPr="00D75194">
        <w:rPr>
          <w:rFonts w:asciiTheme="minorHAnsi" w:hAnsiTheme="minorHAnsi" w:eastAsiaTheme="minorEastAsia"/>
        </w:rPr>
        <w:t>MEL</w:t>
      </w:r>
      <w:r w:rsidRPr="00D75194" w:rsidR="0012321F">
        <w:rPr>
          <w:rFonts w:asciiTheme="minorHAnsi" w:hAnsiTheme="minorHAnsi" w:eastAsiaTheme="minorEastAsia"/>
        </w:rPr>
        <w:t>)</w:t>
      </w:r>
      <w:r w:rsidRPr="00D75194">
        <w:rPr>
          <w:rFonts w:asciiTheme="minorHAnsi" w:hAnsiTheme="minorHAnsi" w:eastAsiaTheme="minorEastAsia"/>
        </w:rPr>
        <w:t xml:space="preserve"> and learning tools (e.g. outcome harvesting, contribution analysis, </w:t>
      </w:r>
      <w:r w:rsidRPr="00D75194" w:rsidR="00425D7E">
        <w:rPr>
          <w:rFonts w:asciiTheme="minorHAnsi" w:hAnsiTheme="minorHAnsi" w:eastAsiaTheme="minorEastAsia"/>
        </w:rPr>
        <w:t xml:space="preserve">level of effort </w:t>
      </w:r>
      <w:r w:rsidRPr="00D75194">
        <w:rPr>
          <w:rFonts w:asciiTheme="minorHAnsi" w:hAnsiTheme="minorHAnsi" w:eastAsiaTheme="minorEastAsia"/>
        </w:rPr>
        <w:t>tracking) into coordination systems.</w:t>
      </w:r>
    </w:p>
    <w:p w:rsidRPr="00D75194" w:rsidR="00F16A30" w:rsidP="004456D7" w:rsidRDefault="00F16A30" w14:paraId="3D65F37B" w14:textId="52E1140C">
      <w:pPr>
        <w:spacing w:after="0"/>
        <w:rPr>
          <w:rFonts w:asciiTheme="minorHAnsi" w:hAnsiTheme="minorHAnsi" w:eastAsiaTheme="minorEastAsia"/>
          <w:b/>
        </w:rPr>
      </w:pPr>
    </w:p>
    <w:p w:rsidRPr="00D75194" w:rsidR="00CE5264" w:rsidP="2605B8D9" w:rsidRDefault="00CE5264" w14:paraId="1F773C48" w14:textId="77777777">
      <w:pPr>
        <w:pStyle w:val="Heading1"/>
        <w:numPr>
          <w:ilvl w:val="0"/>
          <w:numId w:val="0"/>
        </w:numPr>
        <w:sectPr w:rsidRPr="00D75194" w:rsidR="00CE5264" w:rsidSect="00A37BAB">
          <w:headerReference w:type="default" r:id="rId28"/>
          <w:footerReference w:type="default" r:id="rId29"/>
          <w:pgSz w:w="11906" w:h="16838" w:orient="portrait" w:code="9"/>
          <w:pgMar w:top="1616" w:right="1021" w:bottom="1758" w:left="1021" w:header="709" w:footer="992" w:gutter="0"/>
          <w:pgNumType w:fmt="lowerRoman"/>
          <w:cols w:space="708"/>
          <w:docGrid w:linePitch="360"/>
        </w:sectPr>
      </w:pPr>
    </w:p>
    <w:p w:rsidRPr="00D75194" w:rsidR="00962564" w:rsidP="00962564" w:rsidRDefault="004456D7" w14:paraId="5C72B18F" w14:textId="28E38D56">
      <w:pPr>
        <w:pStyle w:val="Heading1"/>
      </w:pPr>
      <w:bookmarkStart w:name="_Toc214452904" w:id="23"/>
      <w:r w:rsidRPr="00D75194">
        <w:t>Introduction</w:t>
      </w:r>
      <w:bookmarkEnd w:id="23"/>
    </w:p>
    <w:p w:rsidRPr="00D75194" w:rsidR="00A2221C" w:rsidP="00A2221C" w:rsidRDefault="003D6229" w14:paraId="5218A702" w14:textId="0B9DDA60">
      <w:r w:rsidRPr="00D75194">
        <w:t>Since 1992, the United Nations Framework Convention on Climate Change (UNFCCC) has brought together almost every country</w:t>
      </w:r>
      <w:r w:rsidRPr="00D75194" w:rsidR="000F5AB0">
        <w:t xml:space="preserve"> in the world in</w:t>
      </w:r>
      <w:r w:rsidRPr="00D75194">
        <w:t xml:space="preserve"> global climate summits, referred to as Conference of the Parties (COP), to build consensus on the global approach to tackling climate change. Countries that are</w:t>
      </w:r>
      <w:r w:rsidRPr="00D75194" w:rsidR="000F5AB0">
        <w:t xml:space="preserve"> the</w:t>
      </w:r>
      <w:r w:rsidRPr="00D75194">
        <w:t xml:space="preserve"> poorest and most vulnerable to climate change stand to suffer the most from </w:t>
      </w:r>
      <w:r w:rsidRPr="00D75194" w:rsidR="000F5AB0">
        <w:t xml:space="preserve">the </w:t>
      </w:r>
      <w:r w:rsidRPr="00D75194">
        <w:t>impacts</w:t>
      </w:r>
      <w:r w:rsidRPr="00D75194" w:rsidR="000F5AB0">
        <w:t xml:space="preserve"> of climate change</w:t>
      </w:r>
      <w:r w:rsidRPr="00D75194">
        <w:t>. The United Kingdom (UK) currently provides support to strengthen the capacity of groups and coalitions of climate</w:t>
      </w:r>
      <w:r w:rsidRPr="00D75194" w:rsidR="00866B2B">
        <w:t>-</w:t>
      </w:r>
      <w:r w:rsidRPr="00D75194">
        <w:t>vulnerable countries to participate effectively in the UNFCCC and related international fora. This support is delivered through the Climate Ambition Support Alliance (CASA) programme,</w:t>
      </w:r>
      <w:r w:rsidRPr="00D75194" w:rsidR="00866B2B">
        <w:t xml:space="preserve"> which is</w:t>
      </w:r>
      <w:r w:rsidRPr="00D75194">
        <w:t xml:space="preserve"> currently in its second phase (CASA II), funded by the Department for Energy Security and Net Zero (DESNZ). </w:t>
      </w:r>
      <w:r w:rsidRPr="00D75194" w:rsidR="00A2221C">
        <w:t xml:space="preserve">Previous iterations of the programme began in 2011 with the Climate Window of the Advocacy Fund, delivered through the UK’s </w:t>
      </w:r>
      <w:r w:rsidRPr="00D75194" w:rsidR="00902B99">
        <w:t xml:space="preserve">Climate Development Knowledge Network </w:t>
      </w:r>
      <w:r w:rsidRPr="00D75194" w:rsidR="00A2221C">
        <w:t>(CDKN). This support continued in 2016 through the Negotiations Support Programme, which built on the achievements of CDKN and sought to build alliances between nations to overcome the ‘developing</w:t>
      </w:r>
      <w:r w:rsidRPr="00D75194" w:rsidR="00731368">
        <w:t>–</w:t>
      </w:r>
      <w:r w:rsidRPr="00D75194" w:rsidR="00A2221C">
        <w:t xml:space="preserve">developed’ divide. In 2019 the Capacity Building for International Negotiations (CaBIN) programme replaced the </w:t>
      </w:r>
      <w:r w:rsidRPr="00D75194" w:rsidR="007D6325">
        <w:t>Negotiations Support Programme</w:t>
      </w:r>
      <w:r w:rsidRPr="00D75194" w:rsidR="00A2221C">
        <w:t xml:space="preserve">. The CaBIN programme was later renamed the Climate Ambition Support Alliance (CASA) to reflect the updated focus of the programme’s intended impact: to support the ambition to keep global warming to less than 1.5 degrees. </w:t>
      </w:r>
    </w:p>
    <w:p w:rsidRPr="00D75194" w:rsidR="003D6229" w:rsidP="00A2221C" w:rsidRDefault="003D6229" w14:paraId="5415A52A" w14:textId="4E4A69FD">
      <w:r w:rsidRPr="00D75194">
        <w:t xml:space="preserve">Oversight and management of the </w:t>
      </w:r>
      <w:r w:rsidRPr="00D75194" w:rsidR="00A2221C">
        <w:t xml:space="preserve">CASA II </w:t>
      </w:r>
      <w:r w:rsidRPr="00D75194">
        <w:t xml:space="preserve">programme is provided by DAI Global, and the CASA II work packages are implemented through eight </w:t>
      </w:r>
      <w:r w:rsidRPr="00D75194" w:rsidR="00AB75C8">
        <w:t xml:space="preserve">core </w:t>
      </w:r>
      <w:r w:rsidRPr="00D75194">
        <w:t>Technical Partners (TPs)</w:t>
      </w:r>
      <w:r w:rsidRPr="00D75194" w:rsidR="006C3A54">
        <w:t xml:space="preserve">: Climate Analytics; </w:t>
      </w:r>
      <w:r w:rsidRPr="00D75194" w:rsidR="00A5516F">
        <w:t>Climate Analytics Ne</w:t>
      </w:r>
      <w:r w:rsidRPr="00D75194" w:rsidR="0006319E">
        <w:t>w</w:t>
      </w:r>
      <w:r w:rsidRPr="00D75194" w:rsidR="00A5516F">
        <w:t xml:space="preserve"> York</w:t>
      </w:r>
      <w:r w:rsidRPr="00D75194" w:rsidR="00464FB5">
        <w:t>; the</w:t>
      </w:r>
      <w:r w:rsidRPr="00D75194" w:rsidR="0006319E">
        <w:t xml:space="preserve"> </w:t>
      </w:r>
      <w:r w:rsidRPr="00D75194" w:rsidR="00A45460">
        <w:t xml:space="preserve">International Institute for Environment and Development </w:t>
      </w:r>
      <w:r w:rsidRPr="00D75194" w:rsidR="00994D47">
        <w:t>(</w:t>
      </w:r>
      <w:r w:rsidRPr="00D75194" w:rsidR="006C3A54">
        <w:t>IIED</w:t>
      </w:r>
      <w:r w:rsidRPr="00D75194" w:rsidR="00994D47">
        <w:t>)</w:t>
      </w:r>
      <w:r w:rsidRPr="00D75194" w:rsidR="00E626F9">
        <w:t>; the</w:t>
      </w:r>
      <w:r w:rsidRPr="00D75194" w:rsidR="00994D47">
        <w:t xml:space="preserve"> </w:t>
      </w:r>
      <w:r w:rsidRPr="00D75194" w:rsidR="003810F3">
        <w:t>Overseas Development Institute (ODI</w:t>
      </w:r>
      <w:r w:rsidRPr="00D75194" w:rsidR="003B5227">
        <w:t>)</w:t>
      </w:r>
      <w:r w:rsidRPr="00D75194" w:rsidR="0079247F">
        <w:t>;</w:t>
      </w:r>
      <w:r w:rsidRPr="00D75194" w:rsidR="003B5227">
        <w:t xml:space="preserve"> </w:t>
      </w:r>
      <w:r w:rsidRPr="00D75194" w:rsidR="008346FC">
        <w:t xml:space="preserve">Legal Response International </w:t>
      </w:r>
      <w:r w:rsidRPr="00D75194" w:rsidR="007C597A">
        <w:t>(LRI</w:t>
      </w:r>
      <w:r w:rsidRPr="00D75194" w:rsidR="0079247F">
        <w:t xml:space="preserve">); </w:t>
      </w:r>
      <w:r w:rsidRPr="00D75194" w:rsidR="008F1C23">
        <w:t>Independent Diplomat</w:t>
      </w:r>
      <w:r w:rsidRPr="00D75194" w:rsidR="007618B8">
        <w:t>;</w:t>
      </w:r>
      <w:r w:rsidRPr="00D75194" w:rsidR="008F1C23">
        <w:t xml:space="preserve"> </w:t>
      </w:r>
      <w:r w:rsidRPr="00D75194" w:rsidR="003810F3">
        <w:t>Germanwatch</w:t>
      </w:r>
      <w:r w:rsidRPr="00D75194" w:rsidR="007618B8">
        <w:t>;</w:t>
      </w:r>
      <w:r w:rsidRPr="00D75194" w:rsidR="003810F3">
        <w:t xml:space="preserve"> </w:t>
      </w:r>
      <w:r w:rsidRPr="00D75194" w:rsidR="00D20DFF">
        <w:t>Consorcio de Investigación Económica y Social (</w:t>
      </w:r>
      <w:r w:rsidRPr="00D75194" w:rsidR="00C83777">
        <w:t>Economic and Social Research Consortium</w:t>
      </w:r>
      <w:r w:rsidRPr="00D75194" w:rsidR="00A70C4A">
        <w:t xml:space="preserve"> (CIES</w:t>
      </w:r>
      <w:r w:rsidRPr="00D75194" w:rsidR="00FE32A7">
        <w:t>)</w:t>
      </w:r>
      <w:r w:rsidRPr="00D75194" w:rsidR="00D20DFF">
        <w:t>)</w:t>
      </w:r>
      <w:r w:rsidRPr="00D75194" w:rsidR="000673EB">
        <w:t>; and the</w:t>
      </w:r>
      <w:r w:rsidRPr="00D75194" w:rsidR="005116A3">
        <w:t xml:space="preserve"> </w:t>
      </w:r>
      <w:r w:rsidRPr="00D75194" w:rsidR="00F63693">
        <w:t>International Centre for Climate Change and Development (</w:t>
      </w:r>
      <w:r w:rsidRPr="00D75194" w:rsidR="005116A3">
        <w:t>ICCCAD</w:t>
      </w:r>
      <w:r w:rsidRPr="00D75194" w:rsidR="00F63693">
        <w:t>)</w:t>
      </w:r>
      <w:r w:rsidRPr="00D75194">
        <w:t>. </w:t>
      </w:r>
    </w:p>
    <w:p w:rsidRPr="00D75194" w:rsidR="00407340" w:rsidP="00407340" w:rsidRDefault="00407340" w14:paraId="69A51543" w14:textId="17DF2E19">
      <w:r w:rsidRPr="00D75194">
        <w:t xml:space="preserve">NIRAS </w:t>
      </w:r>
      <w:r w:rsidRPr="00D75194" w:rsidR="00731C98">
        <w:t xml:space="preserve">was </w:t>
      </w:r>
      <w:r w:rsidRPr="00D75194">
        <w:t xml:space="preserve">contracted by DESNZ </w:t>
      </w:r>
      <w:r w:rsidRPr="00D75194" w:rsidR="00731C98">
        <w:t>as Learning and Evaluation Partner (LEP)</w:t>
      </w:r>
      <w:r w:rsidRPr="00D75194" w:rsidR="00CE0FE3">
        <w:t>,</w:t>
      </w:r>
      <w:r w:rsidRPr="00D75194" w:rsidR="00731C98">
        <w:t xml:space="preserve"> </w:t>
      </w:r>
      <w:r w:rsidRPr="00D75194">
        <w:t>to deliver learning and independent evaluation services to the CASA II programme from September 2023 until the end of July 2025. As the LEP</w:t>
      </w:r>
      <w:r w:rsidRPr="00D75194" w:rsidR="000E4CCE">
        <w:t>,</w:t>
      </w:r>
      <w:r w:rsidRPr="00D75194">
        <w:t xml:space="preserve"> we are assessing the effectiveness of the UK’s support to climate</w:t>
      </w:r>
      <w:r w:rsidRPr="00D75194" w:rsidR="00611363">
        <w:t>-</w:t>
      </w:r>
      <w:r w:rsidRPr="00D75194">
        <w:t xml:space="preserve">vulnerable country negotiating groups and providing lessons to shape the future of CASA. An </w:t>
      </w:r>
      <w:r w:rsidRPr="00D75194" w:rsidR="00C13B04">
        <w:t>i</w:t>
      </w:r>
      <w:r w:rsidRPr="00D75194">
        <w:t xml:space="preserve">nterim </w:t>
      </w:r>
      <w:r w:rsidRPr="00D75194" w:rsidR="00C13B04">
        <w:t>e</w:t>
      </w:r>
      <w:r w:rsidRPr="00D75194">
        <w:t xml:space="preserve">valuation was conducted in 2024, and a </w:t>
      </w:r>
      <w:r w:rsidRPr="00D75194" w:rsidR="00494461">
        <w:t>f</w:t>
      </w:r>
      <w:r w:rsidRPr="00D75194">
        <w:t xml:space="preserve">inal </w:t>
      </w:r>
      <w:r w:rsidRPr="00D75194" w:rsidR="00494461">
        <w:t>e</w:t>
      </w:r>
      <w:r w:rsidRPr="00D75194">
        <w:t>valuation</w:t>
      </w:r>
      <w:r w:rsidRPr="00D75194" w:rsidR="00B20855">
        <w:t xml:space="preserve"> </w:t>
      </w:r>
      <w:r w:rsidRPr="00D75194" w:rsidR="005240D3">
        <w:t>was</w:t>
      </w:r>
      <w:r w:rsidRPr="00D75194">
        <w:t xml:space="preserve"> undertaken from </w:t>
      </w:r>
      <w:r w:rsidRPr="00D75194" w:rsidR="00E94251">
        <w:t>September 2024</w:t>
      </w:r>
      <w:r w:rsidRPr="00D75194">
        <w:t xml:space="preserve"> </w:t>
      </w:r>
      <w:r w:rsidRPr="00D75194" w:rsidR="00EF1979">
        <w:t xml:space="preserve">to </w:t>
      </w:r>
      <w:r w:rsidRPr="00D75194">
        <w:t>July 2025.</w:t>
      </w:r>
      <w:r w:rsidRPr="00D75194" w:rsidR="006B601D">
        <w:t xml:space="preserve"> </w:t>
      </w:r>
    </w:p>
    <w:p w:rsidRPr="00D75194" w:rsidR="00407340" w:rsidP="00407340" w:rsidRDefault="00407340" w14:paraId="7D2DA060" w14:textId="7D155409">
      <w:r w:rsidRPr="00D75194">
        <w:t>The overarching evaluation objectives for the evaluation are:    </w:t>
      </w:r>
    </w:p>
    <w:p w:rsidRPr="00D75194" w:rsidR="00407340" w:rsidP="00866E69" w:rsidRDefault="008C5C48" w14:paraId="5A6E7870" w14:textId="358F2F41">
      <w:pPr>
        <w:numPr>
          <w:ilvl w:val="0"/>
          <w:numId w:val="23"/>
        </w:numPr>
      </w:pPr>
      <w:r w:rsidRPr="00D75194">
        <w:t>t</w:t>
      </w:r>
      <w:r w:rsidRPr="00D75194" w:rsidR="00407340">
        <w:t>o understand the effectiveness of the UK’s long-term support from 2011</w:t>
      </w:r>
      <w:r w:rsidRPr="00D75194" w:rsidR="002962AF">
        <w:t xml:space="preserve"> to </w:t>
      </w:r>
      <w:r w:rsidRPr="00D75194" w:rsidR="00407340">
        <w:t>2022;    </w:t>
      </w:r>
    </w:p>
    <w:p w:rsidRPr="00D75194" w:rsidR="00407340" w:rsidP="00866E69" w:rsidRDefault="002962AF" w14:paraId="5B0F3A60" w14:textId="1CFC426F">
      <w:pPr>
        <w:numPr>
          <w:ilvl w:val="0"/>
          <w:numId w:val="24"/>
        </w:numPr>
      </w:pPr>
      <w:r w:rsidRPr="00D75194">
        <w:t>t</w:t>
      </w:r>
      <w:r w:rsidRPr="00D75194" w:rsidR="00407340">
        <w:t>o understand the effectiveness of the design and delivery of CASA II (from 2022</w:t>
      </w:r>
      <w:r w:rsidRPr="00D75194" w:rsidR="00E97699">
        <w:t xml:space="preserve"> to </w:t>
      </w:r>
      <w:r w:rsidRPr="00D75194" w:rsidR="00407340">
        <w:t>2025) against its intended outputs and outcomes; and    </w:t>
      </w:r>
    </w:p>
    <w:p w:rsidRPr="00D75194" w:rsidR="00407340" w:rsidP="00866E69" w:rsidRDefault="00C26422" w14:paraId="723F5EF9" w14:textId="0C8319EA">
      <w:pPr>
        <w:numPr>
          <w:ilvl w:val="0"/>
          <w:numId w:val="25"/>
        </w:numPr>
      </w:pPr>
      <w:r w:rsidRPr="00D75194">
        <w:t xml:space="preserve">to </w:t>
      </w:r>
      <w:r w:rsidRPr="00D75194" w:rsidR="00407340">
        <w:t>inform the evolution of CASA and thinking on the future of the UK’s support to climate</w:t>
      </w:r>
      <w:r w:rsidRPr="00D75194" w:rsidR="004A1A6E">
        <w:t>-</w:t>
      </w:r>
      <w:r w:rsidRPr="00D75194" w:rsidR="00407340">
        <w:t>vulnerable country negotiating groups.    </w:t>
      </w:r>
    </w:p>
    <w:p w:rsidRPr="00D75194" w:rsidR="003D6229" w:rsidP="00BF3DBD" w:rsidRDefault="00407340" w14:paraId="542A3568" w14:textId="1F799A25">
      <w:r w:rsidRPr="00D75194">
        <w:t xml:space="preserve">While the </w:t>
      </w:r>
      <w:r w:rsidRPr="00D75194" w:rsidR="00494461">
        <w:t>interim evaluation</w:t>
      </w:r>
      <w:r w:rsidRPr="00D75194">
        <w:t xml:space="preserve"> focused on </w:t>
      </w:r>
      <w:r w:rsidRPr="00D75194" w:rsidR="00D40706">
        <w:t xml:space="preserve">a </w:t>
      </w:r>
      <w:r w:rsidRPr="00D75194">
        <w:t xml:space="preserve">process-oriented assessment of the programme, the </w:t>
      </w:r>
      <w:r w:rsidRPr="00D75194" w:rsidR="00494461">
        <w:t xml:space="preserve">final evaluation </w:t>
      </w:r>
      <w:r w:rsidRPr="00D75194">
        <w:t>emphasise</w:t>
      </w:r>
      <w:r w:rsidRPr="00D75194" w:rsidR="00A7101D">
        <w:t>s</w:t>
      </w:r>
      <w:r w:rsidRPr="00D75194">
        <w:t xml:space="preserve"> assessing impact and sustainability. This </w:t>
      </w:r>
      <w:r w:rsidRPr="00D75194" w:rsidR="00914EEE">
        <w:t xml:space="preserve">has </w:t>
      </w:r>
      <w:r w:rsidRPr="00D75194">
        <w:t>reduce</w:t>
      </w:r>
      <w:r w:rsidRPr="00D75194" w:rsidR="00C47F6D">
        <w:t>d</w:t>
      </w:r>
      <w:r w:rsidRPr="00D75194">
        <w:t xml:space="preserve"> the scope of </w:t>
      </w:r>
      <w:r w:rsidRPr="00D75194" w:rsidR="00914EEE">
        <w:t>the e</w:t>
      </w:r>
      <w:r w:rsidRPr="00D75194">
        <w:t xml:space="preserve">valuation </w:t>
      </w:r>
      <w:r w:rsidRPr="00D75194" w:rsidR="00914EEE">
        <w:t>q</w:t>
      </w:r>
      <w:r w:rsidRPr="00D75194">
        <w:t xml:space="preserve">uestions centred on process aspects </w:t>
      </w:r>
      <w:r w:rsidRPr="00D75194" w:rsidR="00C47F6D">
        <w:t>of</w:t>
      </w:r>
      <w:r w:rsidRPr="00D75194">
        <w:t xml:space="preserve"> relevance, coherence, and efficiency, and </w:t>
      </w:r>
      <w:r w:rsidRPr="00D75194" w:rsidR="00283588">
        <w:t xml:space="preserve">has </w:t>
      </w:r>
      <w:r w:rsidRPr="00D75194">
        <w:t>place</w:t>
      </w:r>
      <w:r w:rsidRPr="00D75194" w:rsidR="00C47F6D">
        <w:t>d</w:t>
      </w:r>
      <w:r w:rsidRPr="00D75194">
        <w:t xml:space="preserve"> greater emphasis on effectiveness and how it relates to impact and sustainability. </w:t>
      </w:r>
      <w:r w:rsidRPr="00D75194" w:rsidR="003D6229">
        <w:t xml:space="preserve">The activities undertaken during </w:t>
      </w:r>
      <w:r w:rsidRPr="00D75194" w:rsidR="00E56738">
        <w:t xml:space="preserve">the </w:t>
      </w:r>
      <w:r w:rsidRPr="00D75194" w:rsidR="003D6229">
        <w:t>period</w:t>
      </w:r>
      <w:r w:rsidRPr="00D75194" w:rsidR="00E56738">
        <w:t xml:space="preserve"> of the final evaluation (September 2024–July 2025)</w:t>
      </w:r>
      <w:r w:rsidRPr="00D75194" w:rsidR="003D6229">
        <w:t xml:space="preserve"> included</w:t>
      </w:r>
      <w:r w:rsidRPr="00D75194" w:rsidR="00C7093E">
        <w:t xml:space="preserve"> the following</w:t>
      </w:r>
      <w:r w:rsidRPr="00D75194" w:rsidR="003D6229">
        <w:t>: </w:t>
      </w:r>
    </w:p>
    <w:p w:rsidRPr="00D75194" w:rsidR="003D6229" w:rsidP="00866E69" w:rsidRDefault="66D3347C" w14:paraId="724FB69D" w14:textId="14CEBA9F">
      <w:pPr>
        <w:numPr>
          <w:ilvl w:val="0"/>
          <w:numId w:val="16"/>
        </w:numPr>
      </w:pPr>
      <w:r w:rsidRPr="204B2F05">
        <w:rPr>
          <w:b/>
          <w:bCs/>
        </w:rPr>
        <w:t>International Climate Finance (ICF) Key Performance Indicator (</w:t>
      </w:r>
      <w:r w:rsidRPr="204B2F05" w:rsidR="3296F686">
        <w:rPr>
          <w:b/>
          <w:bCs/>
        </w:rPr>
        <w:t>KPI</w:t>
      </w:r>
      <w:r w:rsidRPr="204B2F05">
        <w:rPr>
          <w:b/>
          <w:bCs/>
        </w:rPr>
        <w:t>)</w:t>
      </w:r>
      <w:r w:rsidRPr="204B2F05" w:rsidR="35063D92">
        <w:rPr>
          <w:b/>
          <w:bCs/>
        </w:rPr>
        <w:t xml:space="preserve"> </w:t>
      </w:r>
      <w:r w:rsidRPr="204B2F05" w:rsidR="3296F686">
        <w:rPr>
          <w:b/>
          <w:bCs/>
        </w:rPr>
        <w:t>15 report:</w:t>
      </w:r>
      <w:r w:rsidR="3296F686">
        <w:t xml:space="preserve"> As part of the LEP support, NIRAS reviewed and revised the methodology used to assess</w:t>
      </w:r>
      <w:r w:rsidR="7B8013A9">
        <w:t xml:space="preserve"> ICF</w:t>
      </w:r>
      <w:r w:rsidR="3296F686">
        <w:t xml:space="preserve"> KPI</w:t>
      </w:r>
      <w:r w:rsidR="7B8013A9">
        <w:t xml:space="preserve"> </w:t>
      </w:r>
      <w:r w:rsidR="3296F686">
        <w:t>15 for CASA II and prepared annual reporting against the methodology for the years 2023/2024 and 2024/2025. The KPI report set out the revised methodology and approach to the assessment, as well as the KPI</w:t>
      </w:r>
      <w:r w:rsidR="7B8013A9">
        <w:t xml:space="preserve"> </w:t>
      </w:r>
      <w:r w:rsidR="3296F686">
        <w:t>15 analysis and scoring. </w:t>
      </w:r>
    </w:p>
    <w:p w:rsidRPr="00D75194" w:rsidR="003D6229" w:rsidP="00866E69" w:rsidRDefault="003D6229" w14:paraId="62A3B6BE" w14:textId="7D02EAED">
      <w:pPr>
        <w:numPr>
          <w:ilvl w:val="0"/>
          <w:numId w:val="17"/>
        </w:numPr>
      </w:pPr>
      <w:r w:rsidRPr="00D75194">
        <w:rPr>
          <w:b/>
          <w:bCs/>
        </w:rPr>
        <w:t>Data collection:</w:t>
      </w:r>
      <w:r w:rsidRPr="00D75194">
        <w:t xml:space="preserve"> To generate findings against the </w:t>
      </w:r>
      <w:r w:rsidRPr="00D75194" w:rsidR="00647C7D">
        <w:t>evaluation q</w:t>
      </w:r>
      <w:r w:rsidRPr="00D75194" w:rsidR="0086072B">
        <w:t>uestion</w:t>
      </w:r>
      <w:r w:rsidRPr="00D75194">
        <w:t xml:space="preserve">s, the LEP team collected primary data by carrying out consultations with key stakeholders via </w:t>
      </w:r>
      <w:r w:rsidRPr="00D75194" w:rsidR="00647C7D">
        <w:t>k</w:t>
      </w:r>
      <w:r w:rsidRPr="00D75194">
        <w:t xml:space="preserve">ey </w:t>
      </w:r>
      <w:r w:rsidRPr="00D75194" w:rsidR="00647C7D">
        <w:t>i</w:t>
      </w:r>
      <w:r w:rsidRPr="00D75194">
        <w:t xml:space="preserve">nformant </w:t>
      </w:r>
      <w:r w:rsidRPr="00D75194" w:rsidR="00647C7D">
        <w:t>i</w:t>
      </w:r>
      <w:r w:rsidRPr="00D75194">
        <w:t xml:space="preserve">nterviews (KIIs) </w:t>
      </w:r>
      <w:r w:rsidRPr="00D75194" w:rsidR="000329B1">
        <w:t xml:space="preserve">virtually </w:t>
      </w:r>
      <w:r w:rsidRPr="00D75194">
        <w:t xml:space="preserve">and attending </w:t>
      </w:r>
      <w:r w:rsidRPr="00D75194" w:rsidR="00F94715">
        <w:t xml:space="preserve">the Subsidiary Body </w:t>
      </w:r>
      <w:r w:rsidRPr="00D75194" w:rsidR="00AC4F5D">
        <w:t xml:space="preserve">62 </w:t>
      </w:r>
      <w:r w:rsidRPr="00D75194" w:rsidR="00F94715">
        <w:t>(SB 62</w:t>
      </w:r>
      <w:r w:rsidRPr="00D75194" w:rsidR="00AC4F5D">
        <w:t>)</w:t>
      </w:r>
      <w:r w:rsidRPr="00D75194" w:rsidR="00F94715">
        <w:t xml:space="preserve"> in Bonn in June 2024 and </w:t>
      </w:r>
      <w:r w:rsidRPr="00D75194" w:rsidR="00DF37F4">
        <w:t>COP</w:t>
      </w:r>
      <w:r w:rsidRPr="00D75194" w:rsidR="00B75D2F">
        <w:t xml:space="preserve">29 </w:t>
      </w:r>
      <w:r w:rsidRPr="00D75194">
        <w:t xml:space="preserve">in </w:t>
      </w:r>
      <w:r w:rsidRPr="00D75194" w:rsidR="00B75D2F">
        <w:t>November</w:t>
      </w:r>
      <w:r w:rsidRPr="00D75194">
        <w:t xml:space="preserve"> 2024</w:t>
      </w:r>
      <w:r w:rsidRPr="00D75194" w:rsidR="00F94715">
        <w:t>,</w:t>
      </w:r>
      <w:r w:rsidRPr="00D75194" w:rsidR="00E94251">
        <w:t xml:space="preserve"> </w:t>
      </w:r>
      <w:r w:rsidRPr="00D75194">
        <w:t xml:space="preserve">where </w:t>
      </w:r>
      <w:r w:rsidRPr="00D75194" w:rsidR="00817071">
        <w:t xml:space="preserve">the LEP team </w:t>
      </w:r>
      <w:r w:rsidRPr="00D75194" w:rsidR="00FE3401">
        <w:t xml:space="preserve">undertook </w:t>
      </w:r>
      <w:r w:rsidRPr="00D75194">
        <w:t xml:space="preserve">direct observation and engagement with the negotiations process. This evidence base was further expanded through identifying, coding, and analysing </w:t>
      </w:r>
      <w:r w:rsidRPr="00D75194" w:rsidR="00CC3806">
        <w:t>35</w:t>
      </w:r>
      <w:r w:rsidRPr="00D75194">
        <w:t xml:space="preserve"> </w:t>
      </w:r>
      <w:r w:rsidRPr="00D75194" w:rsidR="00D3025C">
        <w:t xml:space="preserve">programme </w:t>
      </w:r>
      <w:r w:rsidRPr="00D75194">
        <w:t>documents.</w:t>
      </w:r>
      <w:r w:rsidRPr="00D75194" w:rsidR="006B601D">
        <w:t xml:space="preserve"> </w:t>
      </w:r>
    </w:p>
    <w:p w:rsidRPr="00D75194" w:rsidR="00DD3889" w:rsidP="00866E69" w:rsidRDefault="00DD3889" w14:paraId="6975CC99" w14:textId="5FDCCCE7">
      <w:pPr>
        <w:numPr>
          <w:ilvl w:val="0"/>
          <w:numId w:val="17"/>
        </w:numPr>
      </w:pPr>
      <w:r w:rsidRPr="00D75194">
        <w:rPr>
          <w:b/>
          <w:bCs/>
        </w:rPr>
        <w:t>Contribution stories:</w:t>
      </w:r>
      <w:r w:rsidRPr="00D75194">
        <w:t xml:space="preserve"> </w:t>
      </w:r>
      <w:r w:rsidRPr="00D75194" w:rsidR="0001194A">
        <w:t xml:space="preserve">A set of six contribution stories were produced for the </w:t>
      </w:r>
      <w:r w:rsidRPr="00D75194" w:rsidR="00494461">
        <w:t>final evaluation</w:t>
      </w:r>
      <w:r w:rsidRPr="00D75194" w:rsidR="0001194A">
        <w:t>.</w:t>
      </w:r>
      <w:r w:rsidRPr="00D75194" w:rsidR="006B601D">
        <w:t xml:space="preserve"> </w:t>
      </w:r>
      <w:r w:rsidRPr="00D75194" w:rsidR="0001194A">
        <w:t xml:space="preserve">These can be found in Annex </w:t>
      </w:r>
      <w:r w:rsidRPr="00D75194" w:rsidR="00435074">
        <w:t>I</w:t>
      </w:r>
      <w:r w:rsidRPr="00D75194" w:rsidR="0001194A">
        <w:t xml:space="preserve"> and form the analytical basis, alongside other documents and KIIs, for the </w:t>
      </w:r>
      <w:r w:rsidRPr="00D75194" w:rsidR="00FE3401">
        <w:rPr>
          <w:i/>
          <w:iCs/>
        </w:rPr>
        <w:t>effectiveness</w:t>
      </w:r>
      <w:r w:rsidRPr="00D75194" w:rsidR="00FE3401">
        <w:t xml:space="preserve"> </w:t>
      </w:r>
      <w:r w:rsidRPr="00D75194" w:rsidR="0001194A">
        <w:t xml:space="preserve">findings. </w:t>
      </w:r>
    </w:p>
    <w:p w:rsidRPr="00D75194" w:rsidR="003D6229" w:rsidP="00866E69" w:rsidRDefault="003D6229" w14:paraId="3DA67AAE" w14:textId="02384915">
      <w:pPr>
        <w:numPr>
          <w:ilvl w:val="0"/>
          <w:numId w:val="18"/>
        </w:numPr>
      </w:pPr>
      <w:r w:rsidRPr="00D75194">
        <w:rPr>
          <w:b/>
          <w:bCs/>
        </w:rPr>
        <w:t>Validation workshop</w:t>
      </w:r>
      <w:r w:rsidRPr="00D75194">
        <w:t xml:space="preserve">: A presentation of preliminary findings was provided by the LEP team to DESNZ and DAI stakeholders on </w:t>
      </w:r>
      <w:r w:rsidRPr="00D75194" w:rsidR="008B3E6B">
        <w:t>29</w:t>
      </w:r>
      <w:r w:rsidRPr="00D75194">
        <w:t xml:space="preserve"> Ju</w:t>
      </w:r>
      <w:r w:rsidRPr="00D75194" w:rsidR="008B3E6B">
        <w:t>ne</w:t>
      </w:r>
      <w:r w:rsidRPr="00D75194" w:rsidR="009B5CED">
        <w:t xml:space="preserve"> 202</w:t>
      </w:r>
      <w:r w:rsidRPr="00D75194" w:rsidR="008B3E6B">
        <w:t>5</w:t>
      </w:r>
      <w:r w:rsidRPr="00D75194">
        <w:t xml:space="preserve">. The workshop provided an overview of the early analysis conducted by the LEP team and provisional findings from this analysis, with the purpose of eliciting any feedback or reflections from the DESNZ and DAI stakeholders to help further refine </w:t>
      </w:r>
      <w:r w:rsidRPr="00D75194" w:rsidR="00BE30D4">
        <w:t xml:space="preserve">and </w:t>
      </w:r>
      <w:r w:rsidRPr="00D75194" w:rsidR="00FE3401">
        <w:t xml:space="preserve">add </w:t>
      </w:r>
      <w:r w:rsidRPr="00D75194">
        <w:t xml:space="preserve">nuance </w:t>
      </w:r>
      <w:r w:rsidRPr="00D75194" w:rsidR="00FE3401">
        <w:t xml:space="preserve">to </w:t>
      </w:r>
      <w:r w:rsidRPr="00D75194">
        <w:t>the findings in this report.</w:t>
      </w:r>
      <w:r w:rsidRPr="00D75194" w:rsidR="006B601D">
        <w:t xml:space="preserve"> </w:t>
      </w:r>
    </w:p>
    <w:p w:rsidRPr="00D75194" w:rsidR="00B42AD7" w:rsidP="00E7258A" w:rsidRDefault="00E7258A" w14:paraId="64CEDC33" w14:textId="385C8089">
      <w:r w:rsidRPr="00D75194">
        <w:t xml:space="preserve">This report provides an overview of the </w:t>
      </w:r>
      <w:r w:rsidRPr="00D75194" w:rsidR="00494461">
        <w:t xml:space="preserve">final evaluation </w:t>
      </w:r>
      <w:r w:rsidRPr="00D75194">
        <w:t xml:space="preserve">results, including </w:t>
      </w:r>
      <w:r w:rsidRPr="00D75194" w:rsidR="00856422">
        <w:t xml:space="preserve">sections on </w:t>
      </w:r>
      <w:r w:rsidRPr="00D75194">
        <w:rPr>
          <w:b/>
          <w:bCs/>
        </w:rPr>
        <w:t>method</w:t>
      </w:r>
      <w:r w:rsidRPr="00D75194" w:rsidR="00B42AD7">
        <w:rPr>
          <w:b/>
          <w:bCs/>
        </w:rPr>
        <w:t>s</w:t>
      </w:r>
      <w:r w:rsidRPr="00D75194" w:rsidR="00856422">
        <w:t xml:space="preserve"> (</w:t>
      </w:r>
      <w:r w:rsidRPr="00D75194" w:rsidR="00083766">
        <w:t>S</w:t>
      </w:r>
      <w:r w:rsidRPr="00D75194" w:rsidR="00856422">
        <w:t xml:space="preserve">ection </w:t>
      </w:r>
      <w:r w:rsidRPr="00D75194" w:rsidR="00140F60">
        <w:t>2</w:t>
      </w:r>
      <w:r w:rsidRPr="00D75194" w:rsidR="00856422">
        <w:t>)</w:t>
      </w:r>
      <w:r w:rsidRPr="00D75194">
        <w:t xml:space="preserve">, </w:t>
      </w:r>
      <w:r w:rsidRPr="00D75194">
        <w:rPr>
          <w:b/>
          <w:bCs/>
        </w:rPr>
        <w:t>findings</w:t>
      </w:r>
      <w:r w:rsidRPr="00D75194">
        <w:t xml:space="preserve"> across all </w:t>
      </w:r>
      <w:r w:rsidRPr="00D75194" w:rsidR="00083766">
        <w:t xml:space="preserve">evaluation questions </w:t>
      </w:r>
      <w:r w:rsidRPr="00D75194" w:rsidR="00856422">
        <w:t>(</w:t>
      </w:r>
      <w:r w:rsidRPr="00D75194" w:rsidR="00083766">
        <w:t>S</w:t>
      </w:r>
      <w:r w:rsidRPr="00D75194" w:rsidR="00856422">
        <w:t xml:space="preserve">ection </w:t>
      </w:r>
      <w:r w:rsidRPr="00D75194" w:rsidR="00140F60">
        <w:t>3</w:t>
      </w:r>
      <w:r w:rsidRPr="00D75194" w:rsidR="00856422">
        <w:t>)</w:t>
      </w:r>
      <w:r w:rsidRPr="00D75194">
        <w:t xml:space="preserve">, </w:t>
      </w:r>
      <w:r w:rsidRPr="00D75194" w:rsidR="00083766">
        <w:t>g</w:t>
      </w:r>
      <w:r w:rsidRPr="00D75194" w:rsidR="0030401E">
        <w:t xml:space="preserve">ender </w:t>
      </w:r>
      <w:r w:rsidRPr="00D75194" w:rsidR="00083766">
        <w:t>e</w:t>
      </w:r>
      <w:r w:rsidRPr="00D75194" w:rsidR="0030401E">
        <w:t xml:space="preserve">quality and </w:t>
      </w:r>
      <w:r w:rsidRPr="00D75194" w:rsidR="00083766">
        <w:t>s</w:t>
      </w:r>
      <w:r w:rsidRPr="00D75194" w:rsidR="0030401E">
        <w:t xml:space="preserve">ocial </w:t>
      </w:r>
      <w:r w:rsidRPr="00D75194" w:rsidR="00083766">
        <w:t>i</w:t>
      </w:r>
      <w:r w:rsidRPr="00D75194" w:rsidR="0030401E">
        <w:t>nclusion (</w:t>
      </w:r>
      <w:r w:rsidRPr="00D75194">
        <w:rPr>
          <w:b/>
          <w:bCs/>
        </w:rPr>
        <w:t>GESI</w:t>
      </w:r>
      <w:r w:rsidRPr="00D75194" w:rsidR="0030401E">
        <w:rPr>
          <w:b/>
          <w:bCs/>
        </w:rPr>
        <w:t>)</w:t>
      </w:r>
      <w:r w:rsidRPr="00D75194" w:rsidR="001C3661">
        <w:t xml:space="preserve"> (</w:t>
      </w:r>
      <w:r w:rsidRPr="00D75194" w:rsidR="00004071">
        <w:t xml:space="preserve">Section </w:t>
      </w:r>
      <w:r w:rsidRPr="00D75194" w:rsidR="00140F60">
        <w:t>4</w:t>
      </w:r>
      <w:r w:rsidRPr="00D75194" w:rsidR="001C3661">
        <w:t>)</w:t>
      </w:r>
      <w:r w:rsidRPr="00D75194">
        <w:t xml:space="preserve">, </w:t>
      </w:r>
      <w:r w:rsidRPr="00D75194" w:rsidR="006D077E">
        <w:rPr>
          <w:b/>
          <w:bCs/>
        </w:rPr>
        <w:t>conclusions</w:t>
      </w:r>
      <w:r w:rsidRPr="00D75194" w:rsidR="006D077E">
        <w:t xml:space="preserve"> (</w:t>
      </w:r>
      <w:r w:rsidRPr="00D75194" w:rsidR="00004071">
        <w:t xml:space="preserve">Section </w:t>
      </w:r>
      <w:r w:rsidRPr="00D75194" w:rsidR="00140F60">
        <w:t>5</w:t>
      </w:r>
      <w:r w:rsidRPr="00D75194" w:rsidR="006D077E">
        <w:t xml:space="preserve">), and </w:t>
      </w:r>
      <w:r w:rsidRPr="00D75194" w:rsidR="006D077E">
        <w:rPr>
          <w:b/>
          <w:bCs/>
        </w:rPr>
        <w:t>recommendations</w:t>
      </w:r>
      <w:r w:rsidRPr="00D75194" w:rsidR="006D077E">
        <w:t xml:space="preserve"> (section </w:t>
      </w:r>
      <w:r w:rsidRPr="00D75194" w:rsidR="000C0295">
        <w:t>6</w:t>
      </w:r>
      <w:r w:rsidRPr="00D75194" w:rsidR="006D077E">
        <w:t>)</w:t>
      </w:r>
      <w:r w:rsidRPr="00D75194">
        <w:t xml:space="preserve">. </w:t>
      </w:r>
      <w:r w:rsidRPr="00D75194" w:rsidR="001E084D">
        <w:t>The</w:t>
      </w:r>
      <w:r w:rsidRPr="00D75194" w:rsidR="003D3BBF">
        <w:t xml:space="preserve"> contribution stories </w:t>
      </w:r>
      <w:r w:rsidRPr="00D75194" w:rsidR="00464C03">
        <w:t xml:space="preserve">(case studies) </w:t>
      </w:r>
      <w:r w:rsidRPr="00D75194" w:rsidR="003D3BBF">
        <w:t xml:space="preserve">are attached as an </w:t>
      </w:r>
      <w:r w:rsidRPr="00D75194" w:rsidR="00DF19D3">
        <w:t xml:space="preserve">annex to </w:t>
      </w:r>
      <w:r w:rsidRPr="00D75194" w:rsidR="00004071">
        <w:t xml:space="preserve">the </w:t>
      </w:r>
      <w:r w:rsidRPr="00D75194" w:rsidR="00DF19D3">
        <w:t>report</w:t>
      </w:r>
      <w:r w:rsidRPr="00D75194" w:rsidR="00B42AD7">
        <w:t xml:space="preserve">. </w:t>
      </w:r>
    </w:p>
    <w:p w:rsidRPr="00D75194" w:rsidR="00244BA9" w:rsidP="00962564" w:rsidRDefault="00244BA9" w14:paraId="208FDADE" w14:textId="77777777"/>
    <w:p w:rsidRPr="00D75194" w:rsidR="003E17BC" w:rsidP="00962564" w:rsidRDefault="003E17BC" w14:paraId="56D182F6" w14:textId="77777777"/>
    <w:p w:rsidRPr="00D75194" w:rsidR="004456D7" w:rsidP="004456D7" w:rsidRDefault="004456D7" w14:paraId="339DA16C" w14:textId="4DC90873">
      <w:pPr>
        <w:spacing w:after="0"/>
        <w:rPr>
          <w:rFonts w:cs="Arial" w:eastAsiaTheme="majorEastAsia"/>
          <w:b/>
          <w:sz w:val="28"/>
          <w:szCs w:val="32"/>
        </w:rPr>
      </w:pPr>
      <w:r w:rsidRPr="00D75194">
        <w:br w:type="page"/>
      </w:r>
    </w:p>
    <w:p w:rsidRPr="00D75194" w:rsidR="004456D7" w:rsidP="004456D7" w:rsidRDefault="004456D7" w14:paraId="15E98D7D" w14:textId="35BAC34C">
      <w:pPr>
        <w:pStyle w:val="Heading1"/>
      </w:pPr>
      <w:bookmarkStart w:name="_Toc214452905" w:id="24"/>
      <w:r w:rsidRPr="00D75194">
        <w:t>Methodology</w:t>
      </w:r>
      <w:bookmarkEnd w:id="24"/>
      <w:r w:rsidRPr="00D75194">
        <w:t xml:space="preserve"> </w:t>
      </w:r>
    </w:p>
    <w:p w:rsidRPr="00D75194" w:rsidR="0067244D" w:rsidP="0067244D" w:rsidRDefault="0067244D" w14:paraId="61AE895D" w14:textId="14D4593F">
      <w:pPr>
        <w:pStyle w:val="Heading2"/>
      </w:pPr>
      <w:bookmarkStart w:name="_Toc214452906" w:id="25"/>
      <w:r w:rsidRPr="00D75194">
        <w:t>Overview</w:t>
      </w:r>
      <w:bookmarkEnd w:id="25"/>
      <w:r w:rsidRPr="00D75194">
        <w:t xml:space="preserve"> </w:t>
      </w:r>
    </w:p>
    <w:p w:rsidRPr="00D75194" w:rsidR="00E31E37" w:rsidP="00E31E37" w:rsidRDefault="00F01E37" w14:paraId="56171C96" w14:textId="4A911A1B">
      <w:r w:rsidRPr="00D75194">
        <w:t>In t</w:t>
      </w:r>
      <w:r w:rsidRPr="00D75194" w:rsidR="00E31E37">
        <w:t>he LEP</w:t>
      </w:r>
      <w:r w:rsidRPr="00D75194">
        <w:t>’s</w:t>
      </w:r>
      <w:r w:rsidRPr="00D75194" w:rsidR="00E31E37">
        <w:t xml:space="preserve"> proposal </w:t>
      </w:r>
      <w:r w:rsidRPr="00D75194" w:rsidR="00BD46B6">
        <w:t xml:space="preserve">setting out how it would </w:t>
      </w:r>
      <w:r w:rsidRPr="00D75194" w:rsidR="3BCFB8EF">
        <w:t>undertake</w:t>
      </w:r>
      <w:r w:rsidRPr="00D75194">
        <w:t xml:space="preserve"> </w:t>
      </w:r>
      <w:r w:rsidRPr="00D75194" w:rsidR="00E31E37">
        <w:t>the CASA II evaluation</w:t>
      </w:r>
      <w:r w:rsidRPr="00D75194">
        <w:t>, the methodology proposed</w:t>
      </w:r>
      <w:r w:rsidRPr="00D75194" w:rsidR="00E31E37">
        <w:t xml:space="preserve"> was </w:t>
      </w:r>
      <w:r w:rsidRPr="00D75194" w:rsidR="002913BE">
        <w:t>c</w:t>
      </w:r>
      <w:r w:rsidRPr="00D75194" w:rsidR="00E31E37">
        <w:t xml:space="preserve">ontribution </w:t>
      </w:r>
      <w:r w:rsidRPr="00D75194" w:rsidR="002913BE">
        <w:t>t</w:t>
      </w:r>
      <w:r w:rsidRPr="00D75194" w:rsidR="00E31E37">
        <w:t xml:space="preserve">racing, which </w:t>
      </w:r>
      <w:r w:rsidRPr="00D75194" w:rsidR="00456A0C">
        <w:t>is</w:t>
      </w:r>
      <w:r w:rsidRPr="00D75194" w:rsidR="00BD46B6">
        <w:t xml:space="preserve"> </w:t>
      </w:r>
      <w:r w:rsidRPr="00D75194" w:rsidR="00E31E37">
        <w:t xml:space="preserve">a hybrid methodology </w:t>
      </w:r>
      <w:r w:rsidRPr="00D75194" w:rsidR="00456A0C">
        <w:t xml:space="preserve">that brings together </w:t>
      </w:r>
      <w:r w:rsidRPr="00D75194" w:rsidR="00E31E37">
        <w:t xml:space="preserve">contribution analysis and process tracing. Both methods are theory-based and heavily dependent on robust and extensive evidence sources, a strong </w:t>
      </w:r>
      <w:r w:rsidRPr="00D75194" w:rsidR="2A777156">
        <w:t>t</w:t>
      </w:r>
      <w:r w:rsidRPr="00D75194" w:rsidR="00E31E37">
        <w:t xml:space="preserve">heory of </w:t>
      </w:r>
      <w:r w:rsidR="00456A0C">
        <w:t>c</w:t>
      </w:r>
      <w:r w:rsidRPr="00D75194" w:rsidR="00E31E37">
        <w:t>hange</w:t>
      </w:r>
      <w:r w:rsidRPr="00D75194" w:rsidR="00BF6BB8">
        <w:t xml:space="preserve"> (ToC)</w:t>
      </w:r>
      <w:r w:rsidRPr="00D75194" w:rsidR="00E31E37">
        <w:t xml:space="preserve">, and </w:t>
      </w:r>
      <w:proofErr w:type="gramStart"/>
      <w:r w:rsidRPr="00D75194" w:rsidR="00E31E37">
        <w:t>fairly extensive</w:t>
      </w:r>
      <w:proofErr w:type="gramEnd"/>
      <w:r w:rsidRPr="00D75194" w:rsidR="00E31E37">
        <w:t xml:space="preserve"> stakeholder engagement to critique contribution claims (in the context of ‘contribution courts’).</w:t>
      </w:r>
      <w:r w:rsidRPr="00D75194" w:rsidR="008E6F52">
        <w:t xml:space="preserve"> </w:t>
      </w:r>
    </w:p>
    <w:p w:rsidRPr="00D75194" w:rsidR="00E31E37" w:rsidP="00E31E37" w:rsidRDefault="00E31E37" w14:paraId="4FB07A09" w14:textId="7C2878BA">
      <w:r w:rsidRPr="00D75194">
        <w:t xml:space="preserve">However, as the LEP scoping phase </w:t>
      </w:r>
      <w:r w:rsidRPr="00D75194" w:rsidR="00E77CA1">
        <w:t xml:space="preserve">for the </w:t>
      </w:r>
      <w:r w:rsidR="00494461">
        <w:t>interim</w:t>
      </w:r>
      <w:r w:rsidRPr="00D75194" w:rsidR="00494461">
        <w:t xml:space="preserve"> evaluation</w:t>
      </w:r>
      <w:r w:rsidRPr="00D75194">
        <w:t xml:space="preserve"> progressed, two significant limitations became apparent, </w:t>
      </w:r>
      <w:r w:rsidRPr="00D75194" w:rsidR="00960FEB">
        <w:t xml:space="preserve">which had </w:t>
      </w:r>
      <w:r w:rsidRPr="00D75194">
        <w:t>implications for the overall methodology</w:t>
      </w:r>
      <w:r w:rsidRPr="00D75194" w:rsidR="00FD3272">
        <w:t xml:space="preserve"> of the </w:t>
      </w:r>
      <w:r w:rsidR="00494461">
        <w:t>final</w:t>
      </w:r>
      <w:r w:rsidRPr="00D75194" w:rsidR="00494461">
        <w:t xml:space="preserve"> evaluation</w:t>
      </w:r>
      <w:r w:rsidRPr="00D75194">
        <w:t xml:space="preserve">: 1) the need to revise and strengthen the programme’s </w:t>
      </w:r>
      <w:r w:rsidR="00690A66">
        <w:t>ToC</w:t>
      </w:r>
      <w:r w:rsidR="709B23F2">
        <w:t>;</w:t>
      </w:r>
      <w:r w:rsidRPr="00D75194">
        <w:t xml:space="preserve"> and 2) the evidentiary gaps in CASA II’s monitoring system. As a result, and in agreement with DESNZ, the scope of the </w:t>
      </w:r>
      <w:r w:rsidR="00494461">
        <w:t>interim</w:t>
      </w:r>
      <w:r w:rsidRPr="00D75194" w:rsidR="00494461">
        <w:t xml:space="preserve"> evaluation</w:t>
      </w:r>
      <w:r w:rsidRPr="00D75194">
        <w:t xml:space="preserve"> was truncated from assessing impact to focusing on the programme’s progress towards its intended objectives. It was also agreed that the </w:t>
      </w:r>
      <w:r w:rsidR="00494461">
        <w:t>interim</w:t>
      </w:r>
      <w:r w:rsidRPr="00D75194" w:rsidR="00494461">
        <w:t xml:space="preserve"> evaluation</w:t>
      </w:r>
      <w:r w:rsidRPr="00D75194">
        <w:t xml:space="preserve"> would constructively look to identify evidence gaps that could (ideally) be remedied in time for the </w:t>
      </w:r>
      <w:r w:rsidR="00494461">
        <w:t>final</w:t>
      </w:r>
      <w:r w:rsidRPr="00D75194" w:rsidR="00494461">
        <w:t xml:space="preserve"> evaluation</w:t>
      </w:r>
      <w:r w:rsidRPr="00D75194">
        <w:t xml:space="preserve">, and to provide an evidence base that could feed into the </w:t>
      </w:r>
      <w:r w:rsidRPr="00D75194" w:rsidR="00F5504E">
        <w:t xml:space="preserve">development of the </w:t>
      </w:r>
      <w:r w:rsidRPr="00D75194">
        <w:t xml:space="preserve">CASA III </w:t>
      </w:r>
      <w:r w:rsidR="3B53009D">
        <w:t>b</w:t>
      </w:r>
      <w:r>
        <w:t xml:space="preserve">usiness </w:t>
      </w:r>
      <w:r w:rsidR="3B53009D">
        <w:t>c</w:t>
      </w:r>
      <w:r>
        <w:t>ase</w:t>
      </w:r>
      <w:r w:rsidRPr="00D75194">
        <w:t xml:space="preserve">. </w:t>
      </w:r>
    </w:p>
    <w:p w:rsidRPr="00D75194" w:rsidR="00F75F01" w:rsidP="0019006A" w:rsidRDefault="009A2250" w14:paraId="6DEF2AD4" w14:textId="1846CECC">
      <w:r w:rsidRPr="00D75194">
        <w:t>In lieu of contribution tracing, we blended the principles of outcome harvesting</w:t>
      </w:r>
      <w:r w:rsidRPr="00D75194">
        <w:rPr>
          <w:rStyle w:val="FootnoteReference"/>
        </w:rPr>
        <w:footnoteReference w:id="2"/>
      </w:r>
      <w:r w:rsidRPr="00D75194">
        <w:t xml:space="preserve"> with contribution analysis</w:t>
      </w:r>
      <w:r w:rsidRPr="00D75194">
        <w:rPr>
          <w:rStyle w:val="FootnoteReference"/>
        </w:rPr>
        <w:footnoteReference w:id="3"/>
      </w:r>
      <w:r w:rsidRPr="00D75194">
        <w:t xml:space="preserve"> to evaluate CASA II’s role in bringing about outcomes of interest. </w:t>
      </w:r>
      <w:r w:rsidRPr="00D75194" w:rsidR="00F75F01">
        <w:t>We used a theory-based approach to evaluate CASA II. This means we looked at the three pathways outlined in</w:t>
      </w:r>
      <w:r w:rsidRPr="00D75194" w:rsidR="00473B3E">
        <w:t xml:space="preserve"> a refreshed</w:t>
      </w:r>
      <w:r w:rsidRPr="00D75194" w:rsidR="00F75F01">
        <w:t xml:space="preserve"> ToC (see </w:t>
      </w:r>
      <w:r w:rsidRPr="00D75194" w:rsidR="00435997">
        <w:t>F</w:t>
      </w:r>
      <w:r w:rsidRPr="00D75194" w:rsidR="006D0870">
        <w:t>igure 1</w:t>
      </w:r>
      <w:r w:rsidRPr="00D75194" w:rsidR="00435997">
        <w:t>)</w:t>
      </w:r>
      <w:r w:rsidRPr="00D75194" w:rsidR="00F75F01">
        <w:t>, the causal links, and the assumptions within the theory, and</w:t>
      </w:r>
      <w:r w:rsidRPr="00D75194" w:rsidR="00872450">
        <w:t xml:space="preserve"> we</w:t>
      </w:r>
      <w:r w:rsidRPr="00D75194" w:rsidR="00F75F01">
        <w:t xml:space="preserve"> then sought evidence that confirmed or challenged the theory. Case studies</w:t>
      </w:r>
      <w:r w:rsidRPr="00D75194" w:rsidR="0019006A">
        <w:t>—</w:t>
      </w:r>
      <w:r w:rsidRPr="00D75194" w:rsidR="004E4DF3">
        <w:t xml:space="preserve">framed as </w:t>
      </w:r>
      <w:r w:rsidRPr="00D75194" w:rsidR="00187045">
        <w:t>contribution stories</w:t>
      </w:r>
      <w:r w:rsidRPr="00D75194" w:rsidR="0019006A">
        <w:t>—</w:t>
      </w:r>
      <w:r w:rsidRPr="00D75194" w:rsidR="00F75F01">
        <w:t>were the key methodological tool for this final evaluation</w:t>
      </w:r>
      <w:r w:rsidRPr="00D75194" w:rsidR="004E4DF3">
        <w:t xml:space="preserve"> (Annex I)</w:t>
      </w:r>
      <w:r w:rsidRPr="00D75194" w:rsidR="00F75F01">
        <w:t>. These enabled us to analyse outcome</w:t>
      </w:r>
      <w:r w:rsidRPr="00D75194" w:rsidR="00E90AA7">
        <w:t>-</w:t>
      </w:r>
      <w:r w:rsidRPr="00D75194" w:rsidR="00F75F01">
        <w:t xml:space="preserve">level changes in relation to each ToC pathway, explore other actors and factors, and arrive at a conclusion about CASA II’s contribution and role with regards to that particular outcome. When examining the importance of other actors and factors, </w:t>
      </w:r>
      <w:r w:rsidRPr="00D75194" w:rsidR="43A19B65">
        <w:t xml:space="preserve">as well as the characteristics of the </w:t>
      </w:r>
      <w:r w:rsidRPr="00D75194" w:rsidR="00F75F01">
        <w:t>UNFCCC and other climate fora</w:t>
      </w:r>
      <w:r w:rsidRPr="00D75194" w:rsidR="46AC1F3F">
        <w:t xml:space="preserve">, </w:t>
      </w:r>
      <w:proofErr w:type="gramStart"/>
      <w:r w:rsidRPr="00D75194" w:rsidR="46AC1F3F">
        <w:t>with regard to</w:t>
      </w:r>
      <w:proofErr w:type="gramEnd"/>
      <w:r w:rsidRPr="00D75194" w:rsidR="46AC1F3F">
        <w:t xml:space="preserve"> </w:t>
      </w:r>
      <w:r w:rsidRPr="00D75194" w:rsidR="00F75F01">
        <w:t xml:space="preserve">characteristics in achieving CASA II results, we assessed what factors are required for success and whether approaches used in one context or by one TP may be likely to work elsewhere. </w:t>
      </w:r>
    </w:p>
    <w:p w:rsidRPr="00D75194" w:rsidR="00204136" w:rsidP="007C024E" w:rsidRDefault="00204136" w14:paraId="5496E3B7" w14:textId="6E890642">
      <w:r w:rsidRPr="00D75194">
        <w:t>All TPs were consulted and engaged with</w:t>
      </w:r>
      <w:r w:rsidRPr="00D75194" w:rsidR="00CC4A2B">
        <w:t xml:space="preserve"> the LEP </w:t>
      </w:r>
      <w:r w:rsidRPr="00D75194">
        <w:t xml:space="preserve">to develop a 'long list' of possible outcomes of interest. </w:t>
      </w:r>
      <w:r w:rsidR="0023032D">
        <w:t>N</w:t>
      </w:r>
      <w:r w:rsidRPr="00D75194" w:rsidR="006E5B49">
        <w:t xml:space="preserve">IRAS </w:t>
      </w:r>
      <w:r w:rsidRPr="00D75194">
        <w:t xml:space="preserve">developed selection criteria (included in the </w:t>
      </w:r>
      <w:r w:rsidRPr="00D75194" w:rsidR="00D7618E">
        <w:t xml:space="preserve">approach </w:t>
      </w:r>
      <w:r w:rsidR="46174817">
        <w:t>p</w:t>
      </w:r>
      <w:r w:rsidR="6EC595E8">
        <w:t>aper</w:t>
      </w:r>
      <w:r w:rsidRPr="00D75194">
        <w:t xml:space="preserve"> for the </w:t>
      </w:r>
      <w:r w:rsidR="00494461">
        <w:t>final</w:t>
      </w:r>
      <w:r w:rsidRPr="00D75194" w:rsidR="00494461">
        <w:t xml:space="preserve"> evaluation</w:t>
      </w:r>
      <w:r w:rsidRPr="00D75194">
        <w:t xml:space="preserve">) </w:t>
      </w:r>
      <w:r w:rsidR="2993F4A6">
        <w:t>for</w:t>
      </w:r>
      <w:r w:rsidRPr="00D75194">
        <w:t xml:space="preserve"> identify</w:t>
      </w:r>
      <w:r w:rsidRPr="00D75194" w:rsidR="00EC3426">
        <w:t>ing</w:t>
      </w:r>
      <w:r w:rsidRPr="00D75194">
        <w:t xml:space="preserve"> and select</w:t>
      </w:r>
      <w:r w:rsidRPr="00D75194" w:rsidR="00EC3426">
        <w:t>ing</w:t>
      </w:r>
      <w:r w:rsidRPr="00D75194" w:rsidR="00267581">
        <w:t>,</w:t>
      </w:r>
      <w:r w:rsidRPr="00D75194">
        <w:t xml:space="preserve"> from emerging outcome areas</w:t>
      </w:r>
      <w:r w:rsidRPr="00D75194" w:rsidDel="00267581">
        <w:t>,</w:t>
      </w:r>
      <w:r w:rsidRPr="00D75194">
        <w:t xml:space="preserve"> stories for consideration</w:t>
      </w:r>
      <w:r w:rsidRPr="00D75194" w:rsidR="0035198D">
        <w:t xml:space="preserve"> as case studies</w:t>
      </w:r>
      <w:r w:rsidRPr="00D75194">
        <w:t xml:space="preserve"> (we conducted three sifts</w:t>
      </w:r>
      <w:r w:rsidR="0C8DFC0B">
        <w:t xml:space="preserve"> of possible outcome areas</w:t>
      </w:r>
      <w:r w:rsidRPr="00D75194">
        <w:t xml:space="preserve">). </w:t>
      </w:r>
      <w:r w:rsidRPr="00D75194" w:rsidR="002F1F86">
        <w:t xml:space="preserve">Case studies were selected with a view to ensuring good coverage of the three outcome </w:t>
      </w:r>
      <w:r w:rsidR="24E47A0A">
        <w:t>p</w:t>
      </w:r>
      <w:r w:rsidR="31BBF4ED">
        <w:t>athways</w:t>
      </w:r>
      <w:r w:rsidRPr="00D75194" w:rsidR="002F1F86">
        <w:t>, reflecting the diversity of TPs and supported negotiating groups, and the potential of the cases to tell stories about a range of climate change issues and the evolution of CASA II. In addition, formal evaluation dimensions, such as sustainability and GESI, and the potential of counter-factual evidence</w:t>
      </w:r>
      <w:r w:rsidRPr="00D75194" w:rsidR="00B65C69">
        <w:t>,</w:t>
      </w:r>
      <w:r w:rsidRPr="00D75194" w:rsidR="002F1F86">
        <w:t xml:space="preserve"> needed to be included. </w:t>
      </w:r>
      <w:r w:rsidRPr="00D75194">
        <w:t>To ensure we avoided</w:t>
      </w:r>
      <w:r w:rsidRPr="00D75194" w:rsidR="00B65C69">
        <w:t xml:space="preserve"> looking</w:t>
      </w:r>
      <w:r w:rsidRPr="00D75194">
        <w:t xml:space="preserve"> only</w:t>
      </w:r>
      <w:r w:rsidRPr="00D75194" w:rsidR="00B65C69">
        <w:t xml:space="preserve"> at</w:t>
      </w:r>
      <w:r w:rsidRPr="00D75194">
        <w:t xml:space="preserve"> 'success stories’</w:t>
      </w:r>
      <w:r w:rsidRPr="00D75194" w:rsidR="002E4907">
        <w:t xml:space="preserve">, </w:t>
      </w:r>
      <w:r w:rsidRPr="00D75194">
        <w:t>we also developed a longlist through triangulation of inputs (</w:t>
      </w:r>
      <w:r w:rsidR="312E1F63">
        <w:t xml:space="preserve">from the </w:t>
      </w:r>
      <w:r w:rsidRPr="00D75194">
        <w:t xml:space="preserve">LEP, DAI, </w:t>
      </w:r>
      <w:r w:rsidR="01CCC4E7">
        <w:t xml:space="preserve">and </w:t>
      </w:r>
      <w:r w:rsidRPr="00D75194">
        <w:t xml:space="preserve">TPs, </w:t>
      </w:r>
      <w:r w:rsidR="4808C8DC">
        <w:t xml:space="preserve">and from </w:t>
      </w:r>
      <w:r w:rsidRPr="00D75194">
        <w:t xml:space="preserve">beneficiary discussions at </w:t>
      </w:r>
      <w:r w:rsidR="6EC595E8">
        <w:t>C</w:t>
      </w:r>
      <w:r w:rsidR="5F4B6108">
        <w:t>O</w:t>
      </w:r>
      <w:r w:rsidR="6EC595E8">
        <w:t>P</w:t>
      </w:r>
      <w:r w:rsidR="0ACD1E2C">
        <w:t>29</w:t>
      </w:r>
      <w:r w:rsidRPr="00D75194">
        <w:t xml:space="preserve">). Based on selection criteria, and </w:t>
      </w:r>
      <w:r w:rsidRPr="00D75194" w:rsidR="008F206A">
        <w:t xml:space="preserve">the </w:t>
      </w:r>
      <w:r w:rsidRPr="00D75194">
        <w:t xml:space="preserve">availability of evidence, a </w:t>
      </w:r>
      <w:r w:rsidR="6EC595E8">
        <w:t>shortlist</w:t>
      </w:r>
      <w:r w:rsidRPr="00D75194">
        <w:t xml:space="preserve"> of </w:t>
      </w:r>
      <w:r w:rsidRPr="00D75194" w:rsidR="007C024E">
        <w:t xml:space="preserve">six </w:t>
      </w:r>
      <w:r w:rsidRPr="00D75194">
        <w:t xml:space="preserve">case studies </w:t>
      </w:r>
      <w:r w:rsidRPr="00D75194" w:rsidR="007C024E">
        <w:t xml:space="preserve">was </w:t>
      </w:r>
      <w:r w:rsidRPr="00D75194">
        <w:t>produced</w:t>
      </w:r>
      <w:r w:rsidRPr="00D75194" w:rsidR="007C6E61">
        <w:t xml:space="preserve"> across all</w:t>
      </w:r>
      <w:r w:rsidRPr="00D75194">
        <w:t xml:space="preserve"> </w:t>
      </w:r>
      <w:r w:rsidRPr="00D75194" w:rsidR="008931E1">
        <w:t xml:space="preserve">ToC </w:t>
      </w:r>
      <w:r w:rsidRPr="00D75194">
        <w:t>pathways</w:t>
      </w:r>
      <w:r w:rsidRPr="00D75194" w:rsidR="00D80B10">
        <w:t>,</w:t>
      </w:r>
      <w:r w:rsidRPr="00D75194" w:rsidR="007C6E61">
        <w:t xml:space="preserve"> including the Opportunity Fund</w:t>
      </w:r>
      <w:r w:rsidRPr="00D75194" w:rsidR="00311EF3">
        <w:t xml:space="preserve"> (OF)</w:t>
      </w:r>
      <w:r w:rsidRPr="00D75194">
        <w:t>. The pathways are:</w:t>
      </w:r>
      <w:r w:rsidRPr="00D75194" w:rsidDel="006B601D">
        <w:t xml:space="preserve"> </w:t>
      </w:r>
    </w:p>
    <w:p w:rsidRPr="00D75194" w:rsidR="00204136" w:rsidP="00866E69" w:rsidRDefault="004F5585" w14:paraId="3BAACBA2" w14:textId="0CA0FA5C">
      <w:pPr>
        <w:numPr>
          <w:ilvl w:val="0"/>
          <w:numId w:val="34"/>
        </w:numPr>
        <w:jc w:val="left"/>
      </w:pPr>
      <w:r w:rsidRPr="00D75194">
        <w:rPr>
          <w:b/>
          <w:bCs/>
        </w:rPr>
        <w:t xml:space="preserve">capacity </w:t>
      </w:r>
      <w:r w:rsidRPr="00D75194" w:rsidR="00204136">
        <w:rPr>
          <w:b/>
          <w:bCs/>
        </w:rPr>
        <w:t>and institutional strengthening</w:t>
      </w:r>
      <w:r w:rsidRPr="00D75194">
        <w:rPr>
          <w:b/>
          <w:bCs/>
        </w:rPr>
        <w:t>;</w:t>
      </w:r>
    </w:p>
    <w:p w:rsidRPr="00D75194" w:rsidR="00204136" w:rsidP="00866E69" w:rsidRDefault="187F7A05" w14:paraId="2252CBC3" w14:textId="1EEF8B6B">
      <w:pPr>
        <w:numPr>
          <w:ilvl w:val="0"/>
          <w:numId w:val="34"/>
        </w:numPr>
        <w:jc w:val="left"/>
      </w:pPr>
      <w:r w:rsidRPr="7209888A">
        <w:rPr>
          <w:b/>
          <w:bCs/>
        </w:rPr>
        <w:t>a</w:t>
      </w:r>
      <w:r w:rsidRPr="7209888A" w:rsidR="00204136">
        <w:rPr>
          <w:b/>
          <w:bCs/>
        </w:rPr>
        <w:t>ccess</w:t>
      </w:r>
      <w:r w:rsidRPr="00D75194" w:rsidR="00204136">
        <w:rPr>
          <w:b/>
          <w:bCs/>
        </w:rPr>
        <w:t xml:space="preserve"> to and engagement in negotiations</w:t>
      </w:r>
      <w:r w:rsidRPr="00D75194" w:rsidR="004F5585">
        <w:rPr>
          <w:b/>
          <w:bCs/>
        </w:rPr>
        <w:t>; and</w:t>
      </w:r>
    </w:p>
    <w:p w:rsidRPr="00D75194" w:rsidR="00204136" w:rsidP="00866E69" w:rsidRDefault="187F7A05" w14:paraId="76151714" w14:textId="26ADD0D4">
      <w:pPr>
        <w:numPr>
          <w:ilvl w:val="0"/>
          <w:numId w:val="34"/>
        </w:numPr>
        <w:jc w:val="left"/>
        <w:sectPr w:rsidRPr="00D75194" w:rsidR="00204136" w:rsidSect="00F04ACE">
          <w:pgSz w:w="11906" w:h="16838" w:orient="portrait" w:code="9"/>
          <w:pgMar w:top="1616" w:right="1021" w:bottom="1758" w:left="1021" w:header="709" w:footer="992" w:gutter="0"/>
          <w:pgNumType w:start="1"/>
          <w:cols w:space="708"/>
          <w:docGrid w:linePitch="360"/>
        </w:sectPr>
      </w:pPr>
      <w:r w:rsidRPr="7209888A">
        <w:rPr>
          <w:b/>
          <w:bCs/>
        </w:rPr>
        <w:t>s</w:t>
      </w:r>
      <w:r w:rsidRPr="7209888A" w:rsidR="00EF4E02">
        <w:rPr>
          <w:b/>
          <w:bCs/>
        </w:rPr>
        <w:t>upport</w:t>
      </w:r>
      <w:r w:rsidRPr="00D75194" w:rsidR="00EF4E02">
        <w:rPr>
          <w:b/>
          <w:bCs/>
        </w:rPr>
        <w:t xml:space="preserve"> to i</w:t>
      </w:r>
      <w:r w:rsidRPr="00D75194" w:rsidR="00204136">
        <w:rPr>
          <w:b/>
          <w:bCs/>
        </w:rPr>
        <w:t xml:space="preserve">mplementation </w:t>
      </w:r>
      <w:r w:rsidRPr="00D75194" w:rsidR="00EF4E02">
        <w:rPr>
          <w:b/>
          <w:bCs/>
        </w:rPr>
        <w:t>and review mechanisms</w:t>
      </w:r>
      <w:r w:rsidRPr="00D75194" w:rsidR="004F5585">
        <w:rPr>
          <w:b/>
          <w:bCs/>
        </w:rPr>
        <w:t>.</w:t>
      </w:r>
    </w:p>
    <w:p w:rsidRPr="00D75194" w:rsidR="006D0870" w:rsidP="00314208" w:rsidRDefault="00204136" w14:paraId="2633C7A6" w14:textId="77777777">
      <w:pPr>
        <w:keepNext/>
      </w:pPr>
      <w:r w:rsidRPr="00D75194">
        <w:rPr>
          <w:noProof/>
        </w:rPr>
        <w:drawing>
          <wp:inline distT="0" distB="0" distL="0" distR="0" wp14:anchorId="2CA30C2A" wp14:editId="19EB03DD">
            <wp:extent cx="8912279" cy="4981575"/>
            <wp:effectExtent l="0" t="0" r="3175" b="0"/>
            <wp:docPr id="27857176" name="Picture 9" descr="Refreshed ToC graphic for CASA II. Describes the problem statement, constraints, inputs, outputs, pathways of change, outcome and impact of the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7176" name="Picture 9" descr="Refreshed ToC graphic for CASA II. Describes the problem statement, constraints, inputs, outputs, pathways of change, outcome and impact of the programm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49336" cy="5002288"/>
                    </a:xfrm>
                    <a:prstGeom prst="rect">
                      <a:avLst/>
                    </a:prstGeom>
                    <a:noFill/>
                  </pic:spPr>
                </pic:pic>
              </a:graphicData>
            </a:graphic>
          </wp:inline>
        </w:drawing>
      </w:r>
    </w:p>
    <w:p w:rsidRPr="00D75194" w:rsidR="00155A4A" w:rsidP="006D0870" w:rsidRDefault="006D0870" w14:paraId="0F05E5E2" w14:textId="3105BCFA">
      <w:pPr>
        <w:pStyle w:val="Caption"/>
      </w:pPr>
      <w:bookmarkStart w:name="_Toc214453002" w:id="26"/>
      <w:r w:rsidRPr="00D75194">
        <w:t xml:space="preserve">Figure </w:t>
      </w:r>
      <w:r w:rsidRPr="00D75194">
        <w:fldChar w:fldCharType="begin"/>
      </w:r>
      <w:r w:rsidRPr="00D75194">
        <w:instrText xml:space="preserve"> SEQ Figure \* ARABIC </w:instrText>
      </w:r>
      <w:r w:rsidRPr="00D75194">
        <w:fldChar w:fldCharType="separate"/>
      </w:r>
      <w:r w:rsidRPr="00D75194" w:rsidR="004D7A82">
        <w:t>1</w:t>
      </w:r>
      <w:r w:rsidRPr="00D75194">
        <w:fldChar w:fldCharType="end"/>
      </w:r>
      <w:r w:rsidRPr="00D75194" w:rsidR="00F76D3F">
        <w:t>:</w:t>
      </w:r>
      <w:r w:rsidRPr="00D75194">
        <w:t xml:space="preserve"> Refreshed ToC </w:t>
      </w:r>
      <w:r w:rsidRPr="00D75194" w:rsidR="00314208">
        <w:t xml:space="preserve">graphic </w:t>
      </w:r>
      <w:r w:rsidRPr="00D75194">
        <w:t>for CASA II</w:t>
      </w:r>
      <w:bookmarkEnd w:id="26"/>
    </w:p>
    <w:p w:rsidRPr="00D75194" w:rsidR="00204136" w:rsidP="009A5CBC" w:rsidRDefault="00204136" w14:paraId="279FBE7B" w14:textId="77777777">
      <w:pPr>
        <w:sectPr w:rsidRPr="00D75194" w:rsidR="00204136" w:rsidSect="00314208">
          <w:pgSz w:w="16838" w:h="11906" w:orient="landscape" w:code="9"/>
          <w:pgMar w:top="1021" w:right="1616" w:bottom="1021" w:left="1758" w:header="709" w:footer="992" w:gutter="0"/>
          <w:cols w:space="708"/>
          <w:docGrid w:linePitch="360"/>
        </w:sectPr>
      </w:pPr>
    </w:p>
    <w:p w:rsidRPr="00D75194" w:rsidR="00B61448" w:rsidP="00F75F01" w:rsidRDefault="00314208" w14:paraId="30E428F6" w14:textId="7408CFE2">
      <w:r w:rsidRPr="00D75194">
        <w:t xml:space="preserve">The list of case studies is outlined in </w:t>
      </w:r>
      <w:r w:rsidRPr="00D75194" w:rsidR="00383E5B">
        <w:t xml:space="preserve">Table </w:t>
      </w:r>
      <w:r w:rsidRPr="00D75194" w:rsidR="00DF19D3">
        <w:t>1</w:t>
      </w:r>
      <w:r w:rsidRPr="00D75194">
        <w:t xml:space="preserve">, </w:t>
      </w:r>
      <w:r w:rsidRPr="00D75194" w:rsidR="003B50CC">
        <w:t xml:space="preserve">showing </w:t>
      </w:r>
      <w:r w:rsidRPr="00D75194" w:rsidR="00383E5B">
        <w:t xml:space="preserve">which TP was involved, the outcome focus of the story, how it did or did not relate to the </w:t>
      </w:r>
      <w:r w:rsidRPr="00D75194" w:rsidR="00A2712A">
        <w:t>OF</w:t>
      </w:r>
      <w:r w:rsidRPr="00D75194" w:rsidR="003B50CC">
        <w:t>,</w:t>
      </w:r>
      <w:r w:rsidRPr="00D75194" w:rsidR="00383E5B">
        <w:t xml:space="preserve"> and </w:t>
      </w:r>
      <w:r w:rsidRPr="00D75194" w:rsidR="003B50CC">
        <w:t>the</w:t>
      </w:r>
      <w:r w:rsidRPr="00D75194" w:rsidR="00383E5B">
        <w:t xml:space="preserve"> </w:t>
      </w:r>
      <w:r w:rsidRPr="00D75194" w:rsidR="003B50CC">
        <w:t xml:space="preserve">ToC </w:t>
      </w:r>
      <w:r w:rsidRPr="00D75194" w:rsidR="00383E5B">
        <w:t xml:space="preserve">pathway it addressed. </w:t>
      </w:r>
    </w:p>
    <w:p w:rsidRPr="00D75194" w:rsidR="00DF19D3" w:rsidP="00DF19D3" w:rsidRDefault="003540CC" w14:paraId="4803EFB6" w14:textId="5E4A65D5">
      <w:pPr>
        <w:pStyle w:val="Caption"/>
        <w:keepNext/>
      </w:pPr>
      <w:bookmarkStart w:name="_Toc214452990" w:id="27"/>
      <w:r w:rsidRPr="00D75194">
        <w:t xml:space="preserve">Table </w:t>
      </w:r>
      <w:r w:rsidRPr="00D75194">
        <w:fldChar w:fldCharType="begin"/>
      </w:r>
      <w:r w:rsidRPr="00D75194">
        <w:instrText xml:space="preserve"> SEQ Table \* ARABIC </w:instrText>
      </w:r>
      <w:r w:rsidRPr="00D75194">
        <w:fldChar w:fldCharType="separate"/>
      </w:r>
      <w:r w:rsidRPr="00D75194" w:rsidR="004D7A82">
        <w:t>1</w:t>
      </w:r>
      <w:r w:rsidRPr="00D75194">
        <w:fldChar w:fldCharType="end"/>
      </w:r>
      <w:r>
        <w:t>: List</w:t>
      </w:r>
      <w:r w:rsidR="00DF19D3">
        <w:t xml:space="preserve"> of </w:t>
      </w:r>
      <w:r w:rsidR="006C60E3">
        <w:t>c</w:t>
      </w:r>
      <w:r w:rsidR="3DCAD85E">
        <w:t xml:space="preserve">ase </w:t>
      </w:r>
      <w:r w:rsidR="4E69D54A">
        <w:t>s</w:t>
      </w:r>
      <w:r w:rsidR="3DCAD85E">
        <w:t>tudies (</w:t>
      </w:r>
      <w:r w:rsidR="4E69D54A">
        <w:t>c</w:t>
      </w:r>
      <w:r w:rsidR="20B5E9BB">
        <w:t xml:space="preserve">ontribution </w:t>
      </w:r>
      <w:r w:rsidR="006C60E3">
        <w:t>s</w:t>
      </w:r>
      <w:r w:rsidR="00DF19D3">
        <w:t>tories</w:t>
      </w:r>
      <w:r>
        <w:t>)</w:t>
      </w:r>
      <w:bookmarkEnd w:id="27"/>
    </w:p>
    <w:tbl>
      <w:tblPr>
        <w:tblW w:w="9771" w:type="dxa"/>
        <w:tblLayout w:type="fixed"/>
        <w:tblCellMar>
          <w:left w:w="0" w:type="dxa"/>
          <w:right w:w="0" w:type="dxa"/>
        </w:tblCellMar>
        <w:tblLook w:val="04A0" w:firstRow="1" w:lastRow="0" w:firstColumn="1" w:lastColumn="0" w:noHBand="0" w:noVBand="1"/>
      </w:tblPr>
      <w:tblGrid>
        <w:gridCol w:w="559"/>
        <w:gridCol w:w="1471"/>
        <w:gridCol w:w="5615"/>
        <w:gridCol w:w="709"/>
        <w:gridCol w:w="472"/>
        <w:gridCol w:w="472"/>
        <w:gridCol w:w="473"/>
      </w:tblGrid>
      <w:tr w:rsidRPr="00D75194" w:rsidR="000C4EDD" w:rsidTr="33F0DBBB" w14:paraId="43B0C177" w14:textId="77777777">
        <w:trPr>
          <w:trHeight w:val="600"/>
        </w:trPr>
        <w:tc>
          <w:tcPr>
            <w:tcW w:w="559" w:type="dxa"/>
            <w:vMerge w:val="restart"/>
            <w:tcBorders>
              <w:top w:val="single" w:color="FFFFFF" w:themeColor="background1" w:sz="8" w:space="0"/>
              <w:left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0C4EDD" w:rsidP="002529D1" w:rsidRDefault="000C4EDD" w14:paraId="0B4AF850" w14:textId="7777777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w:t>
            </w:r>
          </w:p>
        </w:tc>
        <w:tc>
          <w:tcPr>
            <w:tcW w:w="1471" w:type="dxa"/>
            <w:vMerge w:val="restart"/>
            <w:tcBorders>
              <w:top w:val="single" w:color="FFFFFF" w:themeColor="background1" w:sz="8" w:space="0"/>
              <w:left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0C4EDD" w:rsidP="002529D1" w:rsidRDefault="00690A66" w14:paraId="5624BAC0" w14:textId="55DE4896">
            <w:pPr>
              <w:spacing w:after="160" w:line="256" w:lineRule="auto"/>
              <w:jc w:val="left"/>
              <w:rPr>
                <w:rFonts w:ascii="Arial" w:hAnsi="Arial" w:eastAsia="Times New Roman" w:cs="Arial"/>
                <w:sz w:val="18"/>
                <w:szCs w:val="18"/>
                <w:lang w:eastAsia="en-GB"/>
              </w:rPr>
            </w:pPr>
            <w:r w:rsidRPr="33F0DBBB">
              <w:rPr>
                <w:rFonts w:eastAsia="Times New Roman" w:cs="Segoe UI"/>
                <w:b/>
                <w:bCs/>
                <w:color w:val="FFFFFF" w:themeColor="light1"/>
                <w:kern w:val="2"/>
                <w:sz w:val="18"/>
                <w:szCs w:val="18"/>
                <w:lang w:eastAsia="en-GB"/>
              </w:rPr>
              <w:t>TP</w:t>
            </w:r>
          </w:p>
        </w:tc>
        <w:tc>
          <w:tcPr>
            <w:tcW w:w="5615" w:type="dxa"/>
            <w:vMerge w:val="restart"/>
            <w:tcBorders>
              <w:top w:val="single" w:color="FFFFFF" w:themeColor="background1" w:sz="8" w:space="0"/>
              <w:left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0C4EDD" w:rsidP="002529D1" w:rsidRDefault="000C4EDD" w14:paraId="5A1D3F99" w14:textId="6519E0D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 xml:space="preserve">Outcome </w:t>
            </w:r>
            <w:r w:rsidRPr="33F0DBBB" w:rsidR="00E16B87">
              <w:rPr>
                <w:rFonts w:eastAsia="Times New Roman" w:cs="Segoe UI"/>
                <w:b/>
                <w:bCs/>
                <w:color w:val="FFFFFF" w:themeColor="light1"/>
                <w:kern w:val="2"/>
                <w:sz w:val="18"/>
                <w:szCs w:val="18"/>
                <w:lang w:eastAsia="en-GB"/>
              </w:rPr>
              <w:t>d</w:t>
            </w:r>
            <w:r w:rsidRPr="33F0DBBB">
              <w:rPr>
                <w:rFonts w:eastAsia="Times New Roman" w:cs="Segoe UI"/>
                <w:b/>
                <w:bCs/>
                <w:color w:val="FFFFFF" w:themeColor="light1"/>
                <w:kern w:val="2"/>
                <w:sz w:val="18"/>
                <w:szCs w:val="18"/>
                <w:lang w:eastAsia="en-GB"/>
              </w:rPr>
              <w:t>escription</w:t>
            </w:r>
          </w:p>
        </w:tc>
        <w:tc>
          <w:tcPr>
            <w:tcW w:w="709" w:type="dxa"/>
            <w:vMerge w:val="restart"/>
            <w:tcBorders>
              <w:top w:val="single" w:color="FFFFFF" w:themeColor="background1" w:sz="8" w:space="0"/>
              <w:left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0C4EDD" w:rsidP="002529D1" w:rsidRDefault="00E16B87" w14:paraId="2F1DC758" w14:textId="1566979E">
            <w:pPr>
              <w:spacing w:after="160" w:line="256" w:lineRule="auto"/>
              <w:jc w:val="center"/>
              <w:rPr>
                <w:rFonts w:ascii="Arial" w:hAnsi="Arial" w:eastAsia="Times New Roman" w:cs="Arial"/>
                <w:sz w:val="18"/>
                <w:szCs w:val="18"/>
                <w:lang w:eastAsia="en-GB"/>
              </w:rPr>
            </w:pPr>
            <w:r w:rsidRPr="33F0DBBB">
              <w:rPr>
                <w:rFonts w:eastAsia="Times New Roman" w:cs="Segoe UI"/>
                <w:b/>
                <w:bCs/>
                <w:color w:val="FFFFFF" w:themeColor="light1"/>
                <w:kern w:val="2"/>
                <w:sz w:val="18"/>
                <w:szCs w:val="18"/>
                <w:lang w:eastAsia="en-GB"/>
              </w:rPr>
              <w:t>OF</w:t>
            </w:r>
          </w:p>
        </w:tc>
        <w:tc>
          <w:tcPr>
            <w:tcW w:w="1417" w:type="dxa"/>
            <w:gridSpan w:val="3"/>
            <w:tcBorders>
              <w:top w:val="single" w:color="FFFFFF" w:themeColor="background1" w:sz="8" w:space="0"/>
              <w:left w:val="single" w:color="FFFFFF" w:themeColor="background1" w:sz="8" w:space="0"/>
              <w:bottom w:val="single" w:color="FFFFFF" w:themeColor="background1" w:sz="4"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0C4EDD" w:rsidP="002529D1" w:rsidRDefault="000C4EDD" w14:paraId="247550FD" w14:textId="1CCA1EEF">
            <w:pPr>
              <w:spacing w:after="160" w:line="256" w:lineRule="auto"/>
              <w:jc w:val="center"/>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Pathway</w:t>
            </w:r>
          </w:p>
        </w:tc>
      </w:tr>
      <w:tr w:rsidRPr="00D75194" w:rsidR="000C4EDD" w:rsidTr="33F0DBBB" w14:paraId="34052D71" w14:textId="77777777">
        <w:trPr>
          <w:trHeight w:val="600"/>
        </w:trPr>
        <w:tc>
          <w:tcPr>
            <w:tcW w:w="559" w:type="dxa"/>
            <w:vMerge/>
            <w:tcMar>
              <w:top w:w="15" w:type="dxa"/>
              <w:left w:w="108" w:type="dxa"/>
              <w:bottom w:w="0" w:type="dxa"/>
              <w:right w:w="108" w:type="dxa"/>
            </w:tcMar>
            <w:vAlign w:val="center"/>
          </w:tcPr>
          <w:p w:rsidRPr="00D75194" w:rsidR="000C4EDD" w:rsidP="002529D1" w:rsidRDefault="000C4EDD" w14:paraId="452EECF2" w14:textId="77777777">
            <w:pPr>
              <w:spacing w:after="160" w:line="256" w:lineRule="auto"/>
              <w:jc w:val="left"/>
              <w:rPr>
                <w:rFonts w:eastAsia="Times New Roman" w:cs="Segoe UI"/>
                <w:b/>
                <w:color w:val="FFFFFF" w:themeColor="light1"/>
                <w:kern w:val="2"/>
                <w:sz w:val="18"/>
                <w:szCs w:val="18"/>
                <w:lang w:eastAsia="en-GB"/>
              </w:rPr>
            </w:pPr>
          </w:p>
        </w:tc>
        <w:tc>
          <w:tcPr>
            <w:tcW w:w="1471" w:type="dxa"/>
            <w:vMerge/>
            <w:tcMar>
              <w:top w:w="15" w:type="dxa"/>
              <w:left w:w="108" w:type="dxa"/>
              <w:bottom w:w="0" w:type="dxa"/>
              <w:right w:w="108" w:type="dxa"/>
            </w:tcMar>
            <w:vAlign w:val="center"/>
          </w:tcPr>
          <w:p w:rsidRPr="00D75194" w:rsidR="000C4EDD" w:rsidP="002529D1" w:rsidRDefault="000C4EDD" w14:paraId="3444CE37" w14:textId="77777777">
            <w:pPr>
              <w:spacing w:after="160" w:line="256" w:lineRule="auto"/>
              <w:jc w:val="left"/>
              <w:rPr>
                <w:rFonts w:eastAsia="Times New Roman" w:cs="Segoe UI"/>
                <w:b/>
                <w:color w:val="FFFFFF" w:themeColor="light1"/>
                <w:kern w:val="2"/>
                <w:sz w:val="18"/>
                <w:szCs w:val="18"/>
                <w:lang w:eastAsia="en-GB"/>
              </w:rPr>
            </w:pPr>
          </w:p>
        </w:tc>
        <w:tc>
          <w:tcPr>
            <w:tcW w:w="5615" w:type="dxa"/>
            <w:vMerge/>
            <w:tcMar>
              <w:top w:w="15" w:type="dxa"/>
              <w:left w:w="108" w:type="dxa"/>
              <w:bottom w:w="0" w:type="dxa"/>
              <w:right w:w="108" w:type="dxa"/>
            </w:tcMar>
            <w:vAlign w:val="center"/>
          </w:tcPr>
          <w:p w:rsidRPr="00D75194" w:rsidR="000C4EDD" w:rsidP="002529D1" w:rsidRDefault="000C4EDD" w14:paraId="4EA7E6B3" w14:textId="77777777">
            <w:pPr>
              <w:spacing w:after="160" w:line="256" w:lineRule="auto"/>
              <w:jc w:val="left"/>
              <w:rPr>
                <w:rFonts w:eastAsia="Times New Roman" w:cs="Segoe UI"/>
                <w:b/>
                <w:color w:val="FFFFFF" w:themeColor="light1"/>
                <w:kern w:val="2"/>
                <w:sz w:val="18"/>
                <w:szCs w:val="18"/>
                <w:lang w:eastAsia="en-GB"/>
              </w:rPr>
            </w:pPr>
          </w:p>
        </w:tc>
        <w:tc>
          <w:tcPr>
            <w:tcW w:w="709" w:type="dxa"/>
            <w:vMerge/>
            <w:tcMar>
              <w:top w:w="15" w:type="dxa"/>
              <w:left w:w="108" w:type="dxa"/>
              <w:bottom w:w="0" w:type="dxa"/>
              <w:right w:w="108" w:type="dxa"/>
            </w:tcMar>
            <w:vAlign w:val="center"/>
          </w:tcPr>
          <w:p w:rsidRPr="00D75194" w:rsidR="000C4EDD" w:rsidP="002529D1" w:rsidRDefault="000C4EDD" w14:paraId="1A4A4F40" w14:textId="77777777">
            <w:pPr>
              <w:spacing w:after="160" w:line="256" w:lineRule="auto"/>
              <w:jc w:val="center"/>
              <w:rPr>
                <w:rFonts w:eastAsia="Times New Roman" w:cs="Segoe UI"/>
                <w:b/>
                <w:color w:val="FFFFFF" w:themeColor="light1"/>
                <w:kern w:val="2"/>
                <w:sz w:val="18"/>
                <w:szCs w:val="18"/>
                <w:lang w:eastAsia="en-GB"/>
              </w:rPr>
            </w:pPr>
          </w:p>
        </w:tc>
        <w:tc>
          <w:tcPr>
            <w:tcW w:w="472" w:type="dxa"/>
            <w:tcBorders>
              <w:top w:val="single" w:color="FFFFFF" w:themeColor="background1" w:sz="4" w:space="0"/>
              <w:left w:val="single" w:color="FFFFFF" w:themeColor="background1" w:sz="8" w:space="0"/>
              <w:bottom w:val="single" w:color="FFFFFF" w:themeColor="background1" w:sz="24" w:space="0"/>
              <w:right w:val="single" w:color="FFFFFF" w:themeColor="background1" w:sz="8" w:space="0"/>
            </w:tcBorders>
            <w:shd w:val="clear" w:color="auto" w:fill="2B5A56" w:themeFill="accent5"/>
            <w:tcMar>
              <w:top w:w="15" w:type="dxa"/>
              <w:left w:w="108" w:type="dxa"/>
              <w:bottom w:w="0" w:type="dxa"/>
              <w:right w:w="108" w:type="dxa"/>
            </w:tcMar>
            <w:vAlign w:val="center"/>
          </w:tcPr>
          <w:p w:rsidRPr="00D75194" w:rsidR="000C4EDD" w:rsidP="002529D1" w:rsidRDefault="000C4EDD" w14:paraId="3BD4F073" w14:textId="634BAF80">
            <w:pPr>
              <w:spacing w:after="160" w:line="256" w:lineRule="auto"/>
              <w:jc w:val="center"/>
              <w:rPr>
                <w:rFonts w:eastAsia="Times New Roman" w:cs="Segoe UI"/>
                <w:b/>
                <w:color w:val="FFFFFF" w:themeColor="light1"/>
                <w:kern w:val="2"/>
                <w:sz w:val="18"/>
                <w:szCs w:val="18"/>
                <w:lang w:eastAsia="en-GB"/>
              </w:rPr>
            </w:pPr>
            <w:r w:rsidRPr="00D75194">
              <w:rPr>
                <w:rFonts w:eastAsia="Times New Roman" w:cs="Segoe UI"/>
                <w:b/>
                <w:color w:val="FFFFFF" w:themeColor="light1"/>
                <w:kern w:val="2"/>
                <w:sz w:val="18"/>
                <w:szCs w:val="18"/>
                <w:lang w:eastAsia="en-GB"/>
              </w:rPr>
              <w:t>1</w:t>
            </w:r>
          </w:p>
        </w:tc>
        <w:tc>
          <w:tcPr>
            <w:tcW w:w="472" w:type="dxa"/>
            <w:tcBorders>
              <w:top w:val="single" w:color="FFFFFF" w:themeColor="background1" w:sz="4" w:space="0"/>
              <w:left w:val="single" w:color="FFFFFF" w:themeColor="background1" w:sz="8" w:space="0"/>
              <w:bottom w:val="single" w:color="FFFFFF" w:themeColor="background1" w:sz="24" w:space="0"/>
              <w:right w:val="single" w:color="FFFFFF" w:themeColor="background1" w:sz="8" w:space="0"/>
            </w:tcBorders>
            <w:shd w:val="clear" w:color="auto" w:fill="2B5A56" w:themeFill="accent5"/>
            <w:vAlign w:val="center"/>
          </w:tcPr>
          <w:p w:rsidRPr="00D75194" w:rsidR="000C4EDD" w:rsidP="002529D1" w:rsidRDefault="000C4EDD" w14:paraId="73194F5B" w14:textId="6998BE67">
            <w:pPr>
              <w:spacing w:after="160" w:line="256" w:lineRule="auto"/>
              <w:jc w:val="center"/>
              <w:rPr>
                <w:rFonts w:eastAsia="Times New Roman" w:cs="Segoe UI"/>
                <w:b/>
                <w:color w:val="FFFFFF" w:themeColor="light1"/>
                <w:kern w:val="2"/>
                <w:sz w:val="18"/>
                <w:szCs w:val="18"/>
                <w:lang w:eastAsia="en-GB"/>
              </w:rPr>
            </w:pPr>
            <w:r w:rsidRPr="00D75194">
              <w:rPr>
                <w:rFonts w:eastAsia="Times New Roman" w:cs="Segoe UI"/>
                <w:b/>
                <w:color w:val="FFFFFF" w:themeColor="light1"/>
                <w:kern w:val="2"/>
                <w:sz w:val="18"/>
                <w:szCs w:val="18"/>
                <w:lang w:eastAsia="en-GB"/>
              </w:rPr>
              <w:t>2</w:t>
            </w:r>
          </w:p>
        </w:tc>
        <w:tc>
          <w:tcPr>
            <w:tcW w:w="473" w:type="dxa"/>
            <w:tcBorders>
              <w:top w:val="single" w:color="FFFFFF" w:themeColor="background1" w:sz="4" w:space="0"/>
              <w:left w:val="single" w:color="FFFFFF" w:themeColor="background1" w:sz="8" w:space="0"/>
              <w:bottom w:val="single" w:color="FFFFFF" w:themeColor="background1" w:sz="24" w:space="0"/>
              <w:right w:val="single" w:color="FFFFFF" w:themeColor="background1" w:sz="4" w:space="0"/>
            </w:tcBorders>
            <w:shd w:val="clear" w:color="auto" w:fill="2B5A56" w:themeFill="accent5"/>
            <w:vAlign w:val="center"/>
          </w:tcPr>
          <w:p w:rsidRPr="00D75194" w:rsidR="000C4EDD" w:rsidP="002529D1" w:rsidRDefault="000C4EDD" w14:paraId="2FCF0525" w14:textId="23CD6DC1">
            <w:pPr>
              <w:spacing w:after="160" w:line="256" w:lineRule="auto"/>
              <w:jc w:val="center"/>
              <w:rPr>
                <w:rFonts w:eastAsia="Times New Roman" w:cs="Segoe UI"/>
                <w:b/>
                <w:color w:val="FFFFFF" w:themeColor="light1"/>
                <w:kern w:val="2"/>
                <w:sz w:val="18"/>
                <w:szCs w:val="18"/>
                <w:lang w:eastAsia="en-GB"/>
              </w:rPr>
            </w:pPr>
            <w:r w:rsidRPr="00D75194">
              <w:rPr>
                <w:rFonts w:eastAsia="Times New Roman" w:cs="Segoe UI"/>
                <w:b/>
                <w:color w:val="FFFFFF" w:themeColor="light1"/>
                <w:kern w:val="2"/>
                <w:sz w:val="18"/>
                <w:szCs w:val="18"/>
                <w:lang w:eastAsia="en-GB"/>
              </w:rPr>
              <w:t>3</w:t>
            </w:r>
          </w:p>
        </w:tc>
      </w:tr>
      <w:tr w:rsidRPr="00D75194" w:rsidR="007C5608" w:rsidTr="33F0DBBB" w14:paraId="208AEC27" w14:textId="77777777">
        <w:trPr>
          <w:trHeight w:val="600"/>
        </w:trPr>
        <w:tc>
          <w:tcPr>
            <w:tcW w:w="559"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F75F01" w:rsidP="008141D2" w:rsidRDefault="00F75F01" w14:paraId="6EFADDFA" w14:textId="7777777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1</w:t>
            </w:r>
          </w:p>
        </w:tc>
        <w:tc>
          <w:tcPr>
            <w:tcW w:w="147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9A134A" w:rsidRDefault="00F75F01" w14:paraId="2922A14E" w14:textId="0727DE86">
            <w:pPr>
              <w:spacing w:after="160" w:line="256" w:lineRule="auto"/>
              <w:jc w:val="left"/>
              <w:rPr>
                <w:rFonts w:ascii="Arial" w:hAnsi="Arial" w:eastAsia="Times New Roman" w:cs="Arial"/>
                <w:sz w:val="18"/>
                <w:szCs w:val="18"/>
                <w:lang w:eastAsia="en-GB"/>
              </w:rPr>
            </w:pPr>
            <w:r w:rsidRPr="00D75194">
              <w:rPr>
                <w:rFonts w:eastAsia="Times New Roman" w:cs="Segoe UI"/>
                <w:kern w:val="2"/>
                <w:sz w:val="18"/>
                <w:szCs w:val="18"/>
                <w:lang w:eastAsia="en-GB"/>
              </w:rPr>
              <w:t>IIED,</w:t>
            </w:r>
            <w:r w:rsidRPr="00D75194" w:rsidR="009A134A">
              <w:rPr>
                <w:rFonts w:eastAsia="Times New Roman" w:cs="Segoe UI"/>
                <w:kern w:val="2"/>
                <w:sz w:val="18"/>
                <w:szCs w:val="18"/>
                <w:lang w:eastAsia="en-GB"/>
              </w:rPr>
              <w:t xml:space="preserve"> C</w:t>
            </w:r>
            <w:r w:rsidRPr="00D75194">
              <w:rPr>
                <w:rFonts w:eastAsia="Times New Roman" w:cs="Segoe UI"/>
                <w:kern w:val="2"/>
                <w:sz w:val="18"/>
                <w:szCs w:val="18"/>
                <w:lang w:eastAsia="en-GB"/>
              </w:rPr>
              <w:t>limate Analytics, Germanwatch</w:t>
            </w:r>
          </w:p>
        </w:tc>
        <w:tc>
          <w:tcPr>
            <w:tcW w:w="561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8141D2" w:rsidRDefault="00F75F01" w14:paraId="3092ECF4" w14:textId="1C94FB2C">
            <w:pPr>
              <w:spacing w:after="160" w:line="256" w:lineRule="auto"/>
              <w:jc w:val="left"/>
              <w:rPr>
                <w:rFonts w:ascii="Arial" w:hAnsi="Arial" w:eastAsia="Times New Roman" w:cs="Arial"/>
                <w:sz w:val="18"/>
                <w:szCs w:val="18"/>
                <w:lang w:eastAsia="en-GB"/>
              </w:rPr>
            </w:pPr>
            <w:r w:rsidRPr="00D75194">
              <w:rPr>
                <w:rFonts w:eastAsia="Times New Roman" w:cs="Segoe UI"/>
                <w:kern w:val="2"/>
                <w:sz w:val="18"/>
                <w:szCs w:val="18"/>
                <w:lang w:eastAsia="en-GB"/>
              </w:rPr>
              <w:t>A strengthened organisational infrastructure to support the</w:t>
            </w:r>
            <w:r w:rsidRPr="00D75194" w:rsidR="00AB3629">
              <w:t xml:space="preserve"> </w:t>
            </w:r>
            <w:r w:rsidRPr="00D75194" w:rsidR="00AB3629">
              <w:rPr>
                <w:rFonts w:eastAsia="Times New Roman" w:cs="Segoe UI"/>
                <w:kern w:val="2"/>
                <w:sz w:val="18"/>
                <w:szCs w:val="18"/>
                <w:lang w:eastAsia="en-GB"/>
              </w:rPr>
              <w:t>Least Developed Countries</w:t>
            </w:r>
            <w:r w:rsidRPr="00D75194">
              <w:rPr>
                <w:rFonts w:eastAsia="Times New Roman" w:cs="Segoe UI"/>
                <w:kern w:val="2"/>
                <w:sz w:val="18"/>
                <w:szCs w:val="18"/>
                <w:lang w:eastAsia="en-GB"/>
              </w:rPr>
              <w:t xml:space="preserve"> </w:t>
            </w:r>
            <w:r w:rsidRPr="00D75194" w:rsidR="00AB3629">
              <w:rPr>
                <w:rFonts w:eastAsia="Times New Roman" w:cs="Segoe UI"/>
                <w:kern w:val="2"/>
                <w:sz w:val="18"/>
                <w:szCs w:val="18"/>
                <w:lang w:eastAsia="en-GB"/>
              </w:rPr>
              <w:t>(</w:t>
            </w:r>
            <w:r w:rsidRPr="00D75194">
              <w:rPr>
                <w:rFonts w:eastAsia="Times New Roman" w:cs="Segoe UI"/>
                <w:kern w:val="2"/>
                <w:sz w:val="18"/>
                <w:szCs w:val="18"/>
                <w:lang w:eastAsia="en-GB"/>
              </w:rPr>
              <w:t>LDC</w:t>
            </w:r>
            <w:r w:rsidRPr="00D75194" w:rsidR="00AB3629">
              <w:rPr>
                <w:rFonts w:eastAsia="Times New Roman" w:cs="Segoe UI"/>
                <w:kern w:val="2"/>
                <w:sz w:val="18"/>
                <w:szCs w:val="18"/>
                <w:lang w:eastAsia="en-GB"/>
              </w:rPr>
              <w:t>)</w:t>
            </w:r>
            <w:r w:rsidRPr="00D75194">
              <w:rPr>
                <w:rFonts w:eastAsia="Times New Roman" w:cs="Segoe UI"/>
                <w:kern w:val="2"/>
                <w:sz w:val="18"/>
                <w:szCs w:val="18"/>
                <w:lang w:eastAsia="en-GB"/>
              </w:rPr>
              <w:t xml:space="preserve"> Group’s internal functions and external engagement. </w:t>
            </w:r>
          </w:p>
        </w:tc>
        <w:tc>
          <w:tcPr>
            <w:tcW w:w="709"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0F990849" w14:textId="77777777">
            <w:pPr>
              <w:spacing w:after="0" w:line="240" w:lineRule="auto"/>
              <w:jc w:val="left"/>
              <w:rPr>
                <w:rFonts w:ascii="Arial" w:hAnsi="Arial" w:eastAsia="Times New Roman" w:cs="Arial"/>
                <w:sz w:val="18"/>
                <w:szCs w:val="18"/>
                <w:lang w:eastAsia="en-GB"/>
              </w:rPr>
            </w:pPr>
          </w:p>
        </w:tc>
        <w:tc>
          <w:tcPr>
            <w:tcW w:w="472"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7CDFA278"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2"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2A68E083"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3" w:type="dxa"/>
            <w:tcBorders>
              <w:top w:val="single" w:color="FFFFFF" w:themeColor="background1" w:sz="24" w:space="0"/>
              <w:left w:val="single" w:color="FFFFFF" w:themeColor="background1" w:sz="8" w:space="0"/>
              <w:bottom w:val="single" w:color="FFFFFF" w:themeColor="background1" w:sz="8" w:space="0"/>
              <w:right w:val="single" w:color="FFFFFF" w:themeColor="background1" w:sz="4" w:space="0"/>
            </w:tcBorders>
            <w:shd w:val="clear" w:color="auto" w:fill="EAEFEF"/>
            <w:tcMar>
              <w:top w:w="15" w:type="dxa"/>
              <w:left w:w="108" w:type="dxa"/>
              <w:bottom w:w="0" w:type="dxa"/>
              <w:right w:w="108" w:type="dxa"/>
            </w:tcMar>
            <w:vAlign w:val="center"/>
            <w:hideMark/>
          </w:tcPr>
          <w:p w:rsidRPr="00D75194" w:rsidR="00F75F01" w:rsidP="002529D1" w:rsidRDefault="00F75F01" w14:paraId="1479D271"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r>
      <w:tr w:rsidRPr="00D75194" w:rsidR="00F75F01" w:rsidTr="33F0DBBB" w14:paraId="25605A3B" w14:textId="77777777">
        <w:trPr>
          <w:trHeight w:val="752"/>
        </w:trPr>
        <w:tc>
          <w:tcPr>
            <w:tcW w:w="55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F75F01" w:rsidP="008141D2" w:rsidRDefault="00F75F01" w14:paraId="0C92695D" w14:textId="7777777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2</w:t>
            </w:r>
          </w:p>
        </w:tc>
        <w:tc>
          <w:tcPr>
            <w:tcW w:w="147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9A134A" w:rsidRDefault="00A96F64" w14:paraId="67E0DC6A" w14:textId="35544525">
            <w:pPr>
              <w:spacing w:after="160" w:line="256" w:lineRule="auto"/>
              <w:jc w:val="left"/>
              <w:rPr>
                <w:rFonts w:eastAsia="Times New Roman" w:cs="Segoe UI"/>
                <w:kern w:val="2"/>
                <w:sz w:val="18"/>
                <w:szCs w:val="18"/>
                <w:lang w:eastAsia="en-GB"/>
              </w:rPr>
            </w:pPr>
            <w:r w:rsidRPr="00D75194">
              <w:rPr>
                <w:rFonts w:eastAsia="Times New Roman" w:cs="Segoe UI"/>
                <w:kern w:val="2"/>
                <w:sz w:val="18"/>
                <w:szCs w:val="18"/>
                <w:lang w:eastAsia="en-GB"/>
              </w:rPr>
              <w:t>Climate 2025/Climate Leadership Initiative</w:t>
            </w:r>
            <w:r w:rsidRPr="00D75194" w:rsidR="00DA16A7">
              <w:rPr>
                <w:rFonts w:eastAsia="Times New Roman" w:cs="Segoe UI"/>
                <w:kern w:val="2"/>
                <w:sz w:val="18"/>
                <w:szCs w:val="18"/>
                <w:lang w:eastAsia="en-GB"/>
              </w:rPr>
              <w:t xml:space="preserve"> (CLI)</w:t>
            </w:r>
          </w:p>
        </w:tc>
        <w:tc>
          <w:tcPr>
            <w:tcW w:w="56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8141D2" w:rsidRDefault="00F75F01" w14:paraId="3874C139" w14:textId="04EF4800">
            <w:pPr>
              <w:spacing w:after="160" w:line="256" w:lineRule="auto"/>
              <w:jc w:val="left"/>
              <w:rPr>
                <w:rFonts w:ascii="Arial" w:hAnsi="Arial" w:eastAsia="Times New Roman" w:cs="Arial"/>
                <w:sz w:val="18"/>
                <w:szCs w:val="18"/>
                <w:lang w:eastAsia="en-GB"/>
              </w:rPr>
            </w:pPr>
            <w:r w:rsidRPr="00D75194">
              <w:rPr>
                <w:rFonts w:eastAsia="Times New Roman" w:cs="Segoe UI"/>
                <w:kern w:val="2"/>
                <w:sz w:val="18"/>
                <w:szCs w:val="18"/>
                <w:lang w:eastAsia="en-GB"/>
              </w:rPr>
              <w:t>The New Generation Program</w:t>
            </w:r>
            <w:r w:rsidRPr="00D75194" w:rsidR="00435588">
              <w:rPr>
                <w:rFonts w:eastAsia="Times New Roman" w:cs="Segoe UI"/>
                <w:kern w:val="2"/>
                <w:sz w:val="18"/>
                <w:szCs w:val="18"/>
                <w:lang w:eastAsia="en-GB"/>
              </w:rPr>
              <w:t>me</w:t>
            </w:r>
            <w:r w:rsidRPr="00D75194">
              <w:rPr>
                <w:rFonts w:eastAsia="Times New Roman" w:cs="Segoe UI"/>
                <w:kern w:val="2"/>
                <w:sz w:val="18"/>
                <w:szCs w:val="18"/>
                <w:lang w:eastAsia="en-GB"/>
              </w:rPr>
              <w:t xml:space="preserve"> (NGP) evolved into a programme</w:t>
            </w:r>
            <w:r w:rsidRPr="00D75194" w:rsidR="00FE3D24">
              <w:rPr>
                <w:rFonts w:eastAsia="Times New Roman" w:cs="Segoe UI"/>
                <w:kern w:val="2"/>
                <w:sz w:val="18"/>
                <w:szCs w:val="18"/>
                <w:lang w:eastAsia="en-GB"/>
              </w:rPr>
              <w:t xml:space="preserve"> that was</w:t>
            </w:r>
            <w:r w:rsidRPr="00D75194">
              <w:rPr>
                <w:rFonts w:eastAsia="Times New Roman" w:cs="Segoe UI"/>
                <w:kern w:val="2"/>
                <w:sz w:val="18"/>
                <w:szCs w:val="18"/>
                <w:lang w:eastAsia="en-GB"/>
              </w:rPr>
              <w:t xml:space="preserve"> semi-embedded within negotiating group structures. </w:t>
            </w:r>
          </w:p>
        </w:tc>
        <w:tc>
          <w:tcPr>
            <w:tcW w:w="7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72258511"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246EC374"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484D10BB"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4F87BCBC" w14:textId="77777777">
            <w:pPr>
              <w:spacing w:after="0" w:line="240" w:lineRule="auto"/>
              <w:jc w:val="left"/>
              <w:rPr>
                <w:rFonts w:ascii="Arial" w:hAnsi="Arial" w:eastAsia="Times New Roman" w:cs="Arial"/>
                <w:sz w:val="18"/>
                <w:szCs w:val="18"/>
                <w:lang w:eastAsia="en-GB"/>
              </w:rPr>
            </w:pPr>
          </w:p>
        </w:tc>
      </w:tr>
      <w:tr w:rsidRPr="00D75194" w:rsidR="00F75F01" w:rsidTr="33F0DBBB" w14:paraId="0FAE2983" w14:textId="77777777">
        <w:trPr>
          <w:trHeight w:val="756"/>
        </w:trPr>
        <w:tc>
          <w:tcPr>
            <w:tcW w:w="55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F75F01" w:rsidP="008141D2" w:rsidRDefault="00F75F01" w14:paraId="7C724C6B" w14:textId="7777777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3</w:t>
            </w:r>
          </w:p>
        </w:tc>
        <w:tc>
          <w:tcPr>
            <w:tcW w:w="147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9A134A" w:rsidRDefault="00F75F01" w14:paraId="47EA8D8C" w14:textId="77777777">
            <w:pPr>
              <w:spacing w:after="160" w:line="256" w:lineRule="auto"/>
              <w:rPr>
                <w:rFonts w:ascii="Arial" w:hAnsi="Arial" w:eastAsia="Times New Roman" w:cs="Arial"/>
                <w:sz w:val="18"/>
                <w:szCs w:val="18"/>
                <w:lang w:eastAsia="en-GB"/>
              </w:rPr>
            </w:pPr>
            <w:r w:rsidRPr="00D75194">
              <w:rPr>
                <w:rFonts w:eastAsia="Times New Roman" w:cs="Segoe UI"/>
                <w:kern w:val="2"/>
                <w:sz w:val="18"/>
                <w:szCs w:val="18"/>
                <w:lang w:eastAsia="en-GB"/>
              </w:rPr>
              <w:t>LRI</w:t>
            </w:r>
          </w:p>
        </w:tc>
        <w:tc>
          <w:tcPr>
            <w:tcW w:w="56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8141D2" w:rsidRDefault="00F75F01" w14:paraId="0C450443" w14:textId="08BC516E">
            <w:pPr>
              <w:spacing w:after="160" w:line="256" w:lineRule="auto"/>
              <w:jc w:val="left"/>
              <w:rPr>
                <w:rFonts w:ascii="Arial" w:hAnsi="Arial" w:eastAsia="Times New Roman" w:cs="Arial"/>
                <w:sz w:val="18"/>
                <w:szCs w:val="18"/>
                <w:lang w:eastAsia="en-GB"/>
              </w:rPr>
            </w:pPr>
            <w:r w:rsidRPr="00D75194">
              <w:rPr>
                <w:rFonts w:eastAsia="Times New Roman" w:cs="Segoe UI"/>
                <w:kern w:val="2"/>
                <w:sz w:val="18"/>
                <w:szCs w:val="18"/>
                <w:lang w:eastAsia="en-GB"/>
              </w:rPr>
              <w:t xml:space="preserve">LRI successfully adapted their </w:t>
            </w:r>
            <w:r w:rsidRPr="00D75194" w:rsidR="003A1255">
              <w:rPr>
                <w:rFonts w:eastAsia="Times New Roman" w:cs="Segoe UI"/>
                <w:kern w:val="2"/>
                <w:sz w:val="18"/>
                <w:szCs w:val="18"/>
                <w:lang w:eastAsia="en-GB"/>
              </w:rPr>
              <w:t>t</w:t>
            </w:r>
            <w:r w:rsidRPr="00D75194">
              <w:rPr>
                <w:rFonts w:eastAsia="Times New Roman" w:cs="Segoe UI"/>
                <w:kern w:val="2"/>
                <w:sz w:val="18"/>
                <w:szCs w:val="18"/>
                <w:lang w:eastAsia="en-GB"/>
              </w:rPr>
              <w:t xml:space="preserve">echnical </w:t>
            </w:r>
            <w:r w:rsidRPr="00D75194" w:rsidR="003A1255">
              <w:rPr>
                <w:rFonts w:eastAsia="Times New Roman" w:cs="Segoe UI"/>
                <w:kern w:val="2"/>
                <w:sz w:val="18"/>
                <w:szCs w:val="18"/>
                <w:lang w:eastAsia="en-GB"/>
              </w:rPr>
              <w:t>a</w:t>
            </w:r>
            <w:r w:rsidRPr="00D75194">
              <w:rPr>
                <w:rFonts w:eastAsia="Times New Roman" w:cs="Segoe UI"/>
                <w:kern w:val="2"/>
                <w:sz w:val="18"/>
                <w:szCs w:val="18"/>
                <w:lang w:eastAsia="en-GB"/>
              </w:rPr>
              <w:t xml:space="preserve">ssistance model to include domestic implementation support. </w:t>
            </w:r>
          </w:p>
        </w:tc>
        <w:tc>
          <w:tcPr>
            <w:tcW w:w="7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4EC12DFE" w14:textId="77777777">
            <w:pPr>
              <w:spacing w:after="0" w:line="240" w:lineRule="auto"/>
              <w:jc w:val="left"/>
              <w:rPr>
                <w:rFonts w:ascii="Arial" w:hAnsi="Arial" w:eastAsia="Times New Roman" w:cs="Arial"/>
                <w:sz w:val="18"/>
                <w:szCs w:val="18"/>
                <w:lang w:eastAsia="en-GB"/>
              </w:rPr>
            </w:pP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640E5731" w14:textId="77777777">
            <w:pPr>
              <w:spacing w:after="0" w:line="240" w:lineRule="auto"/>
              <w:jc w:val="left"/>
              <w:rPr>
                <w:rFonts w:ascii="Times New Roman" w:hAnsi="Times New Roman" w:eastAsia="Times New Roman" w:cs="Times New Roman"/>
                <w:sz w:val="18"/>
                <w:szCs w:val="18"/>
                <w:lang w:eastAsia="en-GB"/>
              </w:rPr>
            </w:pP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1533DE8D"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01ED8258"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r>
      <w:tr w:rsidRPr="00D75194" w:rsidR="00F75F01" w:rsidTr="33F0DBBB" w14:paraId="06E141C6" w14:textId="77777777">
        <w:trPr>
          <w:trHeight w:val="911"/>
        </w:trPr>
        <w:tc>
          <w:tcPr>
            <w:tcW w:w="55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F75F01" w:rsidP="008141D2" w:rsidRDefault="00F75F01" w14:paraId="277B3B45" w14:textId="7777777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4</w:t>
            </w:r>
          </w:p>
        </w:tc>
        <w:tc>
          <w:tcPr>
            <w:tcW w:w="147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9A134A" w:rsidRDefault="00494461" w14:paraId="3D9D84C8" w14:textId="31D950D8">
            <w:pPr>
              <w:spacing w:after="160" w:line="256" w:lineRule="auto"/>
              <w:rPr>
                <w:rFonts w:ascii="Arial" w:hAnsi="Arial" w:eastAsia="Times New Roman" w:cs="Arial"/>
                <w:sz w:val="18"/>
                <w:szCs w:val="18"/>
                <w:lang w:eastAsia="en-GB"/>
              </w:rPr>
            </w:pPr>
            <w:r w:rsidRPr="00D75194">
              <w:rPr>
                <w:rFonts w:eastAsia="Times New Roman" w:cs="Segoe UI"/>
                <w:kern w:val="2"/>
                <w:sz w:val="18"/>
                <w:szCs w:val="18"/>
                <w:lang w:eastAsia="en-GB"/>
              </w:rPr>
              <w:t>Independent Diplomat</w:t>
            </w:r>
          </w:p>
        </w:tc>
        <w:tc>
          <w:tcPr>
            <w:tcW w:w="56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8141D2" w:rsidRDefault="00F75F01" w14:paraId="5EFBC7C4" w14:textId="53A58251">
            <w:pPr>
              <w:spacing w:after="160" w:line="256" w:lineRule="auto"/>
              <w:jc w:val="left"/>
              <w:rPr>
                <w:rFonts w:ascii="Arial" w:hAnsi="Arial" w:eastAsia="Times New Roman" w:cs="Arial"/>
                <w:sz w:val="18"/>
                <w:szCs w:val="18"/>
                <w:lang w:eastAsia="en-GB"/>
              </w:rPr>
            </w:pPr>
            <w:r w:rsidRPr="00D75194">
              <w:rPr>
                <w:rFonts w:eastAsia="Times New Roman" w:cs="Segoe UI"/>
                <w:kern w:val="2"/>
                <w:sz w:val="18"/>
                <w:szCs w:val="18"/>
                <w:lang w:eastAsia="en-GB"/>
              </w:rPr>
              <w:t xml:space="preserve">Sustained leadership and presence of </w:t>
            </w:r>
            <w:r w:rsidRPr="00D75194" w:rsidR="005D63FD">
              <w:rPr>
                <w:rFonts w:eastAsia="Times New Roman" w:cs="Segoe UI"/>
                <w:kern w:val="2"/>
                <w:sz w:val="18"/>
                <w:szCs w:val="18"/>
                <w:lang w:eastAsia="en-GB"/>
              </w:rPr>
              <w:t xml:space="preserve">the </w:t>
            </w:r>
            <w:r w:rsidRPr="00D75194" w:rsidR="00AB3629">
              <w:rPr>
                <w:rFonts w:eastAsia="Times New Roman" w:cs="Segoe UI"/>
                <w:kern w:val="2"/>
                <w:sz w:val="18"/>
                <w:szCs w:val="18"/>
                <w:lang w:eastAsia="en-GB"/>
              </w:rPr>
              <w:t>Republic of the Marshall Islands (</w:t>
            </w:r>
            <w:r w:rsidRPr="00D75194">
              <w:rPr>
                <w:rFonts w:eastAsia="Times New Roman" w:cs="Segoe UI"/>
                <w:kern w:val="2"/>
                <w:sz w:val="18"/>
                <w:szCs w:val="18"/>
                <w:lang w:eastAsia="en-GB"/>
              </w:rPr>
              <w:t>RMI</w:t>
            </w:r>
            <w:r w:rsidRPr="00D75194" w:rsidR="00AB3629">
              <w:rPr>
                <w:rFonts w:eastAsia="Times New Roman" w:cs="Segoe UI"/>
                <w:kern w:val="2"/>
                <w:sz w:val="18"/>
                <w:szCs w:val="18"/>
                <w:lang w:eastAsia="en-GB"/>
              </w:rPr>
              <w:t>)</w:t>
            </w:r>
            <w:r w:rsidRPr="00D75194">
              <w:rPr>
                <w:rFonts w:eastAsia="Times New Roman" w:cs="Segoe UI"/>
                <w:kern w:val="2"/>
                <w:sz w:val="18"/>
                <w:szCs w:val="18"/>
                <w:lang w:eastAsia="en-GB"/>
              </w:rPr>
              <w:t xml:space="preserve"> as the convenor and chair of the </w:t>
            </w:r>
            <w:r w:rsidRPr="00D75194" w:rsidR="00AB3629">
              <w:rPr>
                <w:rFonts w:eastAsia="Times New Roman" w:cs="Segoe UI"/>
                <w:kern w:val="2"/>
                <w:sz w:val="18"/>
                <w:szCs w:val="18"/>
                <w:lang w:eastAsia="en-GB"/>
              </w:rPr>
              <w:t>High Ambition Coalition (</w:t>
            </w:r>
            <w:r w:rsidRPr="00D75194">
              <w:rPr>
                <w:rFonts w:eastAsia="Times New Roman" w:cs="Segoe UI"/>
                <w:kern w:val="2"/>
                <w:sz w:val="18"/>
                <w:szCs w:val="18"/>
                <w:lang w:eastAsia="en-GB"/>
              </w:rPr>
              <w:t>HAC</w:t>
            </w:r>
            <w:r w:rsidRPr="00D75194" w:rsidR="00AB3629">
              <w:rPr>
                <w:rFonts w:eastAsia="Times New Roman" w:cs="Segoe UI"/>
                <w:kern w:val="2"/>
                <w:sz w:val="18"/>
                <w:szCs w:val="18"/>
                <w:lang w:eastAsia="en-GB"/>
              </w:rPr>
              <w:t>)</w:t>
            </w:r>
            <w:r w:rsidRPr="00D75194">
              <w:rPr>
                <w:rFonts w:eastAsia="Times New Roman" w:cs="Segoe UI"/>
                <w:kern w:val="2"/>
                <w:sz w:val="18"/>
                <w:szCs w:val="18"/>
                <w:lang w:eastAsia="en-GB"/>
              </w:rPr>
              <w:t xml:space="preserve"> influenced </w:t>
            </w:r>
            <w:r w:rsidRPr="00D75194" w:rsidR="007B6826">
              <w:rPr>
                <w:rFonts w:eastAsia="Times New Roman" w:cs="Segoe UI"/>
                <w:kern w:val="2"/>
                <w:sz w:val="18"/>
                <w:szCs w:val="18"/>
                <w:lang w:eastAsia="en-GB"/>
              </w:rPr>
              <w:t xml:space="preserve">the </w:t>
            </w:r>
            <w:r w:rsidRPr="00D75194">
              <w:rPr>
                <w:rFonts w:eastAsia="Times New Roman" w:cs="Segoe UI"/>
                <w:kern w:val="2"/>
                <w:sz w:val="18"/>
                <w:szCs w:val="18"/>
                <w:lang w:eastAsia="en-GB"/>
              </w:rPr>
              <w:t>outcomes of negotiations.</w:t>
            </w:r>
          </w:p>
        </w:tc>
        <w:tc>
          <w:tcPr>
            <w:tcW w:w="7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7C2BA59B" w14:textId="77777777">
            <w:pPr>
              <w:spacing w:after="0" w:line="240" w:lineRule="auto"/>
              <w:jc w:val="left"/>
              <w:rPr>
                <w:rFonts w:ascii="Arial" w:hAnsi="Arial" w:eastAsia="Times New Roman" w:cs="Arial"/>
                <w:sz w:val="18"/>
                <w:szCs w:val="18"/>
                <w:lang w:eastAsia="en-GB"/>
              </w:rPr>
            </w:pP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317D31BB" w14:textId="77777777">
            <w:pPr>
              <w:spacing w:after="0" w:line="240" w:lineRule="auto"/>
              <w:jc w:val="left"/>
              <w:rPr>
                <w:rFonts w:ascii="Times New Roman" w:hAnsi="Times New Roman" w:eastAsia="Times New Roman" w:cs="Times New Roman"/>
                <w:sz w:val="18"/>
                <w:szCs w:val="18"/>
                <w:lang w:eastAsia="en-GB"/>
              </w:rPr>
            </w:pP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2AE9A7AE"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60D28265"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r>
      <w:tr w:rsidRPr="00D75194" w:rsidR="00F75F01" w:rsidTr="33F0DBBB" w14:paraId="08A9245F" w14:textId="77777777">
        <w:trPr>
          <w:trHeight w:val="1222"/>
        </w:trPr>
        <w:tc>
          <w:tcPr>
            <w:tcW w:w="55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F75F01" w:rsidP="008141D2" w:rsidRDefault="00F75F01" w14:paraId="0AA4FDAF" w14:textId="7777777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5</w:t>
            </w:r>
          </w:p>
        </w:tc>
        <w:tc>
          <w:tcPr>
            <w:tcW w:w="147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9A134A" w:rsidRDefault="00DA16A7" w14:paraId="76A4D140" w14:textId="22016156">
            <w:pPr>
              <w:spacing w:after="160" w:line="256" w:lineRule="auto"/>
              <w:rPr>
                <w:rFonts w:ascii="Arial" w:hAnsi="Arial" w:eastAsia="Times New Roman" w:cs="Arial"/>
                <w:sz w:val="18"/>
                <w:szCs w:val="18"/>
                <w:lang w:eastAsia="en-GB"/>
              </w:rPr>
            </w:pPr>
            <w:r w:rsidRPr="00D75194">
              <w:rPr>
                <w:rFonts w:eastAsia="Times New Roman" w:cs="Segoe UI"/>
                <w:kern w:val="2"/>
                <w:sz w:val="18"/>
                <w:szCs w:val="18"/>
                <w:lang w:eastAsia="en-GB"/>
              </w:rPr>
              <w:t>Oxford Policy Management (</w:t>
            </w:r>
            <w:r w:rsidRPr="00D75194" w:rsidR="00F75F01">
              <w:rPr>
                <w:rFonts w:eastAsia="Times New Roman" w:cs="Segoe UI"/>
                <w:kern w:val="2"/>
                <w:sz w:val="18"/>
                <w:szCs w:val="18"/>
                <w:lang w:eastAsia="en-GB"/>
              </w:rPr>
              <w:t>OPM</w:t>
            </w:r>
            <w:r w:rsidRPr="00D75194">
              <w:rPr>
                <w:rFonts w:eastAsia="Times New Roman" w:cs="Segoe UI"/>
                <w:kern w:val="2"/>
                <w:sz w:val="18"/>
                <w:szCs w:val="18"/>
                <w:lang w:eastAsia="en-GB"/>
              </w:rPr>
              <w:t>)</w:t>
            </w:r>
            <w:r w:rsidRPr="00D75194" w:rsidR="008141D2">
              <w:rPr>
                <w:rFonts w:eastAsia="Times New Roman" w:cs="Segoe UI"/>
                <w:kern w:val="2"/>
                <w:sz w:val="18"/>
                <w:szCs w:val="18"/>
                <w:lang w:eastAsia="en-GB"/>
              </w:rPr>
              <w:t xml:space="preserve"> </w:t>
            </w:r>
            <w:r w:rsidRPr="00D75194" w:rsidR="00F75F01">
              <w:rPr>
                <w:rFonts w:eastAsia="Times New Roman" w:cs="Segoe UI"/>
                <w:kern w:val="2"/>
                <w:sz w:val="18"/>
                <w:szCs w:val="18"/>
                <w:lang w:eastAsia="en-GB"/>
              </w:rPr>
              <w:t>/ Practical Action</w:t>
            </w:r>
            <w:r w:rsidRPr="00D75194" w:rsidR="0097306B">
              <w:rPr>
                <w:rFonts w:eastAsia="Times New Roman" w:cs="Segoe UI"/>
                <w:kern w:val="2"/>
                <w:sz w:val="18"/>
                <w:szCs w:val="18"/>
                <w:lang w:eastAsia="en-GB"/>
              </w:rPr>
              <w:t xml:space="preserve"> </w:t>
            </w:r>
          </w:p>
        </w:tc>
        <w:tc>
          <w:tcPr>
            <w:tcW w:w="56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8141D2" w:rsidRDefault="005025FC" w14:paraId="2BFC8AAC" w14:textId="671F85A8">
            <w:pPr>
              <w:spacing w:after="160" w:line="256" w:lineRule="auto"/>
              <w:jc w:val="left"/>
              <w:rPr>
                <w:rFonts w:ascii="Arial" w:hAnsi="Arial" w:eastAsia="Times New Roman" w:cs="Arial"/>
                <w:sz w:val="18"/>
                <w:szCs w:val="18"/>
                <w:lang w:eastAsia="en-GB"/>
              </w:rPr>
            </w:pPr>
            <w:r w:rsidRPr="00D75194">
              <w:rPr>
                <w:rFonts w:eastAsia="Times New Roman" w:cs="Segoe UI"/>
                <w:kern w:val="2"/>
                <w:sz w:val="18"/>
                <w:szCs w:val="18"/>
                <w:lang w:eastAsia="en-GB"/>
              </w:rPr>
              <w:t>OF</w:t>
            </w:r>
            <w:r w:rsidRPr="00D75194" w:rsidR="00F75F01">
              <w:rPr>
                <w:rFonts w:eastAsia="Times New Roman" w:cs="Segoe UI"/>
                <w:kern w:val="2"/>
                <w:sz w:val="18"/>
                <w:szCs w:val="18"/>
                <w:lang w:eastAsia="en-GB"/>
              </w:rPr>
              <w:t xml:space="preserve"> grantees in Nepal strengthened government and stakeholders’ influence and engagement in UNFCCC and further enabled the country to take transformative actions to confront climate change both domestically and abroad. </w:t>
            </w:r>
          </w:p>
        </w:tc>
        <w:tc>
          <w:tcPr>
            <w:tcW w:w="7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1260BD3B"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2448449F"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037D467B"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AEFEF"/>
            <w:tcMar>
              <w:top w:w="15" w:type="dxa"/>
              <w:left w:w="108" w:type="dxa"/>
              <w:bottom w:w="0" w:type="dxa"/>
              <w:right w:w="108" w:type="dxa"/>
            </w:tcMar>
            <w:vAlign w:val="center"/>
            <w:hideMark/>
          </w:tcPr>
          <w:p w:rsidRPr="00D75194" w:rsidR="00F75F01" w:rsidP="002529D1" w:rsidRDefault="00F75F01" w14:paraId="7805916E"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r>
      <w:tr w:rsidRPr="00D75194" w:rsidR="00F75F01" w:rsidTr="33F0DBBB" w14:paraId="3B3A2912" w14:textId="77777777">
        <w:trPr>
          <w:trHeight w:val="1022"/>
        </w:trPr>
        <w:tc>
          <w:tcPr>
            <w:tcW w:w="55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B5A56" w:themeFill="accent5"/>
            <w:tcMar>
              <w:top w:w="15" w:type="dxa"/>
              <w:left w:w="108" w:type="dxa"/>
              <w:bottom w:w="0" w:type="dxa"/>
              <w:right w:w="108" w:type="dxa"/>
            </w:tcMar>
            <w:vAlign w:val="center"/>
            <w:hideMark/>
          </w:tcPr>
          <w:p w:rsidRPr="00D75194" w:rsidR="00F75F01" w:rsidP="008141D2" w:rsidRDefault="00F75F01" w14:paraId="5BE50A48" w14:textId="77777777">
            <w:pPr>
              <w:spacing w:after="160" w:line="256" w:lineRule="auto"/>
              <w:jc w:val="left"/>
              <w:rPr>
                <w:rFonts w:ascii="Arial" w:hAnsi="Arial" w:eastAsia="Times New Roman" w:cs="Arial"/>
                <w:sz w:val="18"/>
                <w:szCs w:val="18"/>
                <w:lang w:eastAsia="en-GB"/>
              </w:rPr>
            </w:pPr>
            <w:r w:rsidRPr="00D75194">
              <w:rPr>
                <w:rFonts w:eastAsia="Times New Roman" w:cs="Segoe UI"/>
                <w:b/>
                <w:color w:val="FFFFFF" w:themeColor="light1"/>
                <w:kern w:val="2"/>
                <w:sz w:val="18"/>
                <w:szCs w:val="18"/>
                <w:lang w:eastAsia="en-GB"/>
              </w:rPr>
              <w:t>6</w:t>
            </w:r>
          </w:p>
        </w:tc>
        <w:tc>
          <w:tcPr>
            <w:tcW w:w="147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9A134A" w:rsidRDefault="00F75F01" w14:paraId="7CC847B7" w14:textId="77777777">
            <w:pPr>
              <w:spacing w:after="160" w:line="256" w:lineRule="auto"/>
              <w:rPr>
                <w:rFonts w:ascii="Arial" w:hAnsi="Arial" w:eastAsia="Times New Roman" w:cs="Arial"/>
                <w:sz w:val="18"/>
                <w:szCs w:val="18"/>
                <w:lang w:eastAsia="en-GB"/>
              </w:rPr>
            </w:pPr>
            <w:r w:rsidRPr="00D75194">
              <w:rPr>
                <w:rFonts w:eastAsia="Times New Roman" w:cs="Segoe UI"/>
                <w:kern w:val="2"/>
                <w:sz w:val="18"/>
                <w:szCs w:val="18"/>
                <w:lang w:eastAsia="en-GB"/>
              </w:rPr>
              <w:t>CIES</w:t>
            </w:r>
          </w:p>
        </w:tc>
        <w:tc>
          <w:tcPr>
            <w:tcW w:w="56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8141D2" w:rsidRDefault="00F75F01" w14:paraId="2A743656" w14:textId="696C3CDF">
            <w:pPr>
              <w:spacing w:after="160" w:line="256" w:lineRule="auto"/>
              <w:jc w:val="left"/>
              <w:rPr>
                <w:rFonts w:ascii="Arial" w:hAnsi="Arial" w:eastAsia="Times New Roman" w:cs="Arial"/>
                <w:sz w:val="18"/>
                <w:szCs w:val="18"/>
                <w:lang w:eastAsia="en-GB"/>
              </w:rPr>
            </w:pPr>
            <w:r w:rsidRPr="00D75194">
              <w:rPr>
                <w:rFonts w:eastAsia="Times New Roman" w:cs="Segoe UI"/>
                <w:kern w:val="2"/>
                <w:sz w:val="18"/>
                <w:szCs w:val="18"/>
                <w:lang w:eastAsia="en-GB"/>
              </w:rPr>
              <w:t xml:space="preserve">CIES enhanced and </w:t>
            </w:r>
            <w:r w:rsidRPr="00D75194" w:rsidR="008A322B">
              <w:rPr>
                <w:rFonts w:eastAsia="Times New Roman" w:cs="Segoe UI"/>
                <w:kern w:val="2"/>
                <w:sz w:val="18"/>
                <w:szCs w:val="18"/>
                <w:lang w:eastAsia="en-GB"/>
              </w:rPr>
              <w:t xml:space="preserve">maintained </w:t>
            </w:r>
            <w:r w:rsidRPr="00D75194" w:rsidR="004127F8">
              <w:rPr>
                <w:rFonts w:eastAsia="Times New Roman" w:cs="Segoe UI"/>
                <w:kern w:val="2"/>
                <w:sz w:val="18"/>
                <w:szCs w:val="18"/>
                <w:lang w:eastAsia="en-GB"/>
              </w:rPr>
              <w:t>the</w:t>
            </w:r>
            <w:r w:rsidRPr="00D75194">
              <w:rPr>
                <w:rFonts w:eastAsia="Times New Roman" w:cs="Segoe UI"/>
                <w:kern w:val="2"/>
                <w:sz w:val="18"/>
                <w:szCs w:val="18"/>
                <w:lang w:eastAsia="en-GB"/>
              </w:rPr>
              <w:t xml:space="preserve"> capacity of negotiators, delegates</w:t>
            </w:r>
            <w:r w:rsidRPr="00D75194" w:rsidR="008A322B">
              <w:rPr>
                <w:rFonts w:eastAsia="Times New Roman" w:cs="Segoe UI"/>
                <w:kern w:val="2"/>
                <w:sz w:val="18"/>
                <w:szCs w:val="18"/>
                <w:lang w:eastAsia="en-GB"/>
              </w:rPr>
              <w:t>,</w:t>
            </w:r>
            <w:r w:rsidRPr="00D75194">
              <w:rPr>
                <w:rFonts w:eastAsia="Times New Roman" w:cs="Segoe UI"/>
                <w:kern w:val="2"/>
                <w:sz w:val="18"/>
                <w:szCs w:val="18"/>
                <w:lang w:eastAsia="en-GB"/>
              </w:rPr>
              <w:t xml:space="preserve"> and institutions within certain </w:t>
            </w:r>
            <w:r w:rsidRPr="00D75194" w:rsidR="00AB3629">
              <w:rPr>
                <w:rFonts w:eastAsia="Times New Roman" w:cs="Segoe UI"/>
                <w:kern w:val="2"/>
                <w:sz w:val="18"/>
                <w:szCs w:val="18"/>
                <w:lang w:eastAsia="en-GB"/>
              </w:rPr>
              <w:t>Independent Association of Latin America and the Caribbean (</w:t>
            </w:r>
            <w:r w:rsidRPr="00D75194">
              <w:rPr>
                <w:rFonts w:eastAsia="Times New Roman" w:cs="Segoe UI"/>
                <w:kern w:val="2"/>
                <w:sz w:val="18"/>
                <w:szCs w:val="18"/>
                <w:lang w:eastAsia="en-GB"/>
              </w:rPr>
              <w:t>AILAC</w:t>
            </w:r>
            <w:r w:rsidRPr="00D75194" w:rsidR="00AB3629">
              <w:rPr>
                <w:rFonts w:eastAsia="Times New Roman" w:cs="Segoe UI"/>
                <w:kern w:val="2"/>
                <w:sz w:val="18"/>
                <w:szCs w:val="18"/>
                <w:lang w:eastAsia="en-GB"/>
              </w:rPr>
              <w:t>)</w:t>
            </w:r>
            <w:r w:rsidRPr="00D75194">
              <w:rPr>
                <w:rFonts w:eastAsia="Times New Roman" w:cs="Segoe UI"/>
                <w:kern w:val="2"/>
                <w:sz w:val="18"/>
                <w:szCs w:val="18"/>
                <w:lang w:eastAsia="en-GB"/>
              </w:rPr>
              <w:t xml:space="preserve"> countries and helped them develop their own visions for the future</w:t>
            </w:r>
            <w:r w:rsidRPr="33F0DBBB" w:rsidR="005C0948">
              <w:rPr>
                <w:rFonts w:eastAsia="Times New Roman" w:cs="Segoe UI"/>
                <w:sz w:val="18"/>
                <w:szCs w:val="18"/>
                <w:lang w:eastAsia="en-GB"/>
              </w:rPr>
              <w:t xml:space="preserve">, </w:t>
            </w:r>
            <w:proofErr w:type="gramStart"/>
            <w:r w:rsidRPr="00D75194" w:rsidR="005C0948">
              <w:rPr>
                <w:rFonts w:eastAsia="Times New Roman" w:cs="Segoe UI"/>
                <w:kern w:val="2"/>
                <w:sz w:val="18"/>
                <w:szCs w:val="18"/>
                <w:lang w:eastAsia="en-GB"/>
              </w:rPr>
              <w:t>in regard</w:t>
            </w:r>
            <w:r w:rsidRPr="00D75194">
              <w:rPr>
                <w:rFonts w:eastAsia="Times New Roman" w:cs="Segoe UI"/>
                <w:kern w:val="2"/>
                <w:sz w:val="18"/>
                <w:szCs w:val="18"/>
                <w:lang w:eastAsia="en-GB"/>
              </w:rPr>
              <w:t xml:space="preserve"> to</w:t>
            </w:r>
            <w:proofErr w:type="gramEnd"/>
            <w:r w:rsidRPr="00D75194">
              <w:rPr>
                <w:rFonts w:eastAsia="Times New Roman" w:cs="Segoe UI"/>
                <w:kern w:val="2"/>
                <w:sz w:val="18"/>
                <w:szCs w:val="18"/>
                <w:lang w:eastAsia="en-GB"/>
              </w:rPr>
              <w:t xml:space="preserve"> confront</w:t>
            </w:r>
            <w:r w:rsidRPr="00D75194" w:rsidR="005C0948">
              <w:rPr>
                <w:rFonts w:eastAsia="Times New Roman" w:cs="Segoe UI"/>
                <w:kern w:val="2"/>
                <w:sz w:val="18"/>
                <w:szCs w:val="18"/>
                <w:lang w:eastAsia="en-GB"/>
              </w:rPr>
              <w:t>ing</w:t>
            </w:r>
            <w:r w:rsidRPr="00D75194">
              <w:rPr>
                <w:rFonts w:eastAsia="Times New Roman" w:cs="Segoe UI"/>
                <w:kern w:val="2"/>
                <w:sz w:val="18"/>
                <w:szCs w:val="18"/>
                <w:lang w:eastAsia="en-GB"/>
              </w:rPr>
              <w:t xml:space="preserve"> the impacts and risks of climate change. </w:t>
            </w:r>
          </w:p>
        </w:tc>
        <w:tc>
          <w:tcPr>
            <w:tcW w:w="7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475548A6" w14:textId="77777777">
            <w:pPr>
              <w:spacing w:after="0" w:line="240" w:lineRule="auto"/>
              <w:jc w:val="left"/>
              <w:rPr>
                <w:rFonts w:ascii="Arial" w:hAnsi="Arial" w:eastAsia="Times New Roman" w:cs="Arial"/>
                <w:sz w:val="18"/>
                <w:szCs w:val="18"/>
                <w:lang w:eastAsia="en-GB"/>
              </w:rPr>
            </w:pP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2DD0E61E"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c>
          <w:tcPr>
            <w:tcW w:w="472"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4218D042" w14:textId="77777777">
            <w:pPr>
              <w:spacing w:after="0" w:line="240" w:lineRule="auto"/>
              <w:jc w:val="left"/>
              <w:rPr>
                <w:rFonts w:ascii="Arial" w:hAnsi="Arial" w:eastAsia="Times New Roman" w:cs="Arial"/>
                <w:sz w:val="18"/>
                <w:szCs w:val="18"/>
                <w:lang w:eastAsia="en-GB"/>
              </w:rPr>
            </w:pPr>
          </w:p>
        </w:tc>
        <w:tc>
          <w:tcPr>
            <w:tcW w:w="47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5F7F7"/>
            <w:tcMar>
              <w:top w:w="15" w:type="dxa"/>
              <w:left w:w="108" w:type="dxa"/>
              <w:bottom w:w="0" w:type="dxa"/>
              <w:right w:w="108" w:type="dxa"/>
            </w:tcMar>
            <w:vAlign w:val="center"/>
            <w:hideMark/>
          </w:tcPr>
          <w:p w:rsidRPr="00D75194" w:rsidR="00F75F01" w:rsidP="002529D1" w:rsidRDefault="00F75F01" w14:paraId="4CFA5921" w14:textId="77777777">
            <w:pPr>
              <w:spacing w:after="160" w:line="256" w:lineRule="auto"/>
              <w:jc w:val="center"/>
              <w:rPr>
                <w:rFonts w:ascii="Arial" w:hAnsi="Arial" w:eastAsia="Times New Roman" w:cs="Arial"/>
                <w:sz w:val="18"/>
                <w:szCs w:val="18"/>
                <w:lang w:eastAsia="en-GB"/>
              </w:rPr>
            </w:pPr>
            <w:r w:rsidRPr="00D75194">
              <w:rPr>
                <w:rFonts w:eastAsia="Times New Roman" w:cs="Segoe UI"/>
                <w:kern w:val="2"/>
                <w:sz w:val="18"/>
                <w:szCs w:val="18"/>
                <w:lang w:eastAsia="en-GB"/>
              </w:rPr>
              <w:t>x</w:t>
            </w:r>
          </w:p>
        </w:tc>
      </w:tr>
    </w:tbl>
    <w:p w:rsidRPr="00D75194" w:rsidR="00E31E37" w:rsidP="00E31E37" w:rsidRDefault="00E31E37" w14:paraId="75E6D43A" w14:textId="2D342965">
      <w:r w:rsidRPr="00D75194">
        <w:t>Below</w:t>
      </w:r>
      <w:r w:rsidRPr="00D75194" w:rsidR="0002169F">
        <w:t>,</w:t>
      </w:r>
      <w:r w:rsidRPr="00D75194">
        <w:t xml:space="preserve"> </w:t>
      </w:r>
      <w:r w:rsidRPr="00D75194" w:rsidR="00744A6C">
        <w:t xml:space="preserve">the LEP team </w:t>
      </w:r>
      <w:r w:rsidR="0A1A1C98">
        <w:t>presents</w:t>
      </w:r>
      <w:r w:rsidRPr="00D75194">
        <w:t xml:space="preserve"> </w:t>
      </w:r>
      <w:r w:rsidRPr="00D75194" w:rsidR="00F6610A">
        <w:t xml:space="preserve">the </w:t>
      </w:r>
      <w:r w:rsidRPr="00D75194" w:rsidR="0099072A">
        <w:t>sources of evidence</w:t>
      </w:r>
      <w:r w:rsidRPr="00D75194" w:rsidR="009C5C83">
        <w:t xml:space="preserve"> </w:t>
      </w:r>
      <w:r w:rsidR="0FDEF4A8">
        <w:t>(</w:t>
      </w:r>
      <w:r w:rsidRPr="00D75194" w:rsidR="009C5C83">
        <w:t>and their strength)</w:t>
      </w:r>
      <w:r w:rsidRPr="00D75194" w:rsidR="003F76BF">
        <w:t>,</w:t>
      </w:r>
      <w:r w:rsidRPr="00D75194" w:rsidR="0099072A">
        <w:t xml:space="preserve"> </w:t>
      </w:r>
      <w:r w:rsidRPr="00D75194">
        <w:t xml:space="preserve">the evaluation questions that framed this </w:t>
      </w:r>
      <w:r w:rsidR="00494461">
        <w:t>final</w:t>
      </w:r>
      <w:r w:rsidRPr="00D75194" w:rsidR="00494461">
        <w:t xml:space="preserve"> evaluation</w:t>
      </w:r>
      <w:r w:rsidRPr="00D75194">
        <w:t xml:space="preserve">, a brief description of the team’s approach to the analysis, and limitations to the findings in this </w:t>
      </w:r>
      <w:r w:rsidR="00494461">
        <w:t>final</w:t>
      </w:r>
      <w:r w:rsidRPr="00D75194" w:rsidR="00494461">
        <w:t xml:space="preserve"> evaluation</w:t>
      </w:r>
      <w:r w:rsidRPr="00D75194">
        <w:t xml:space="preserve">. </w:t>
      </w:r>
    </w:p>
    <w:p w:rsidRPr="00D75194" w:rsidR="009C4BC0" w:rsidP="009C4BC0" w:rsidRDefault="009C4BC0" w14:paraId="2EF2C538" w14:textId="309697C4">
      <w:pPr>
        <w:pStyle w:val="Heading2"/>
      </w:pPr>
      <w:bookmarkStart w:name="_Toc214452907" w:id="28"/>
      <w:r w:rsidRPr="00D75194">
        <w:t xml:space="preserve">Sources </w:t>
      </w:r>
      <w:r w:rsidRPr="00D75194" w:rsidR="007A1294">
        <w:t>and</w:t>
      </w:r>
      <w:r w:rsidRPr="00D75194" w:rsidDel="007A1294">
        <w:t xml:space="preserve"> </w:t>
      </w:r>
      <w:r w:rsidRPr="00D75194" w:rsidR="007A1294">
        <w:t xml:space="preserve">strength </w:t>
      </w:r>
      <w:r w:rsidRPr="00D75194">
        <w:t xml:space="preserve">of </w:t>
      </w:r>
      <w:r w:rsidRPr="00D75194" w:rsidR="007A1294">
        <w:t>evidence</w:t>
      </w:r>
      <w:bookmarkEnd w:id="28"/>
      <w:r w:rsidRPr="00D75194" w:rsidR="007A1294">
        <w:t xml:space="preserve"> </w:t>
      </w:r>
    </w:p>
    <w:p w:rsidRPr="00D75194" w:rsidR="009C4BC0" w:rsidP="009C4BC0" w:rsidRDefault="009C4BC0" w14:paraId="675162AC" w14:textId="42DD1085">
      <w:r w:rsidRPr="00D75194">
        <w:t xml:space="preserve">Sources of evidence for this </w:t>
      </w:r>
      <w:r w:rsidR="00494461">
        <w:t>final</w:t>
      </w:r>
      <w:r w:rsidRPr="00D75194" w:rsidR="00494461">
        <w:t xml:space="preserve"> evaluation</w:t>
      </w:r>
      <w:r w:rsidRPr="00D75194" w:rsidR="009C5042">
        <w:t xml:space="preserve"> </w:t>
      </w:r>
      <w:r w:rsidRPr="00D75194">
        <w:t xml:space="preserve">included the following: </w:t>
      </w:r>
    </w:p>
    <w:p w:rsidRPr="00D75194" w:rsidR="009C4BC0" w:rsidP="00866E69" w:rsidRDefault="001C7DB7" w14:paraId="38434257" w14:textId="0D5BAC97">
      <w:pPr>
        <w:pStyle w:val="ListParagraph"/>
        <w:numPr>
          <w:ilvl w:val="0"/>
          <w:numId w:val="19"/>
        </w:numPr>
        <w:spacing w:after="160" w:line="259" w:lineRule="auto"/>
      </w:pPr>
      <w:r>
        <w:t>p</w:t>
      </w:r>
      <w:r w:rsidR="009C4BC0">
        <w:t>rimary data</w:t>
      </w:r>
      <w:r w:rsidR="3C2E34A7">
        <w:t xml:space="preserve"> (</w:t>
      </w:r>
      <w:r w:rsidR="009C4BC0">
        <w:t>KIIs</w:t>
      </w:r>
      <w:r w:rsidR="0023032D">
        <w:t>)</w:t>
      </w:r>
      <w:r>
        <w:t>;</w:t>
      </w:r>
      <w:r w:rsidR="009C4BC0">
        <w:t xml:space="preserve"> </w:t>
      </w:r>
    </w:p>
    <w:p w:rsidRPr="00D75194" w:rsidR="009C4BC0" w:rsidP="00866E69" w:rsidRDefault="001C7DB7" w14:paraId="0754E5FD" w14:textId="49C53C4F">
      <w:pPr>
        <w:pStyle w:val="ListParagraph"/>
        <w:numPr>
          <w:ilvl w:val="0"/>
          <w:numId w:val="19"/>
        </w:numPr>
        <w:spacing w:after="160" w:line="259" w:lineRule="auto"/>
      </w:pPr>
      <w:r w:rsidRPr="00D75194">
        <w:t xml:space="preserve">secondary </w:t>
      </w:r>
      <w:r w:rsidRPr="00D75194" w:rsidR="009C4BC0">
        <w:t>data</w:t>
      </w:r>
      <w:r w:rsidRPr="00D75194" w:rsidR="006E536A">
        <w:t xml:space="preserve"> (</w:t>
      </w:r>
      <w:r w:rsidRPr="00D75194" w:rsidR="009C4BC0">
        <w:t>document review</w:t>
      </w:r>
      <w:r w:rsidRPr="00D75194" w:rsidR="006E536A">
        <w:t>)</w:t>
      </w:r>
      <w:r w:rsidRPr="00D75194">
        <w:t>;</w:t>
      </w:r>
      <w:r w:rsidRPr="00D75194" w:rsidR="009C4BC0">
        <w:t xml:space="preserve"> </w:t>
      </w:r>
    </w:p>
    <w:p w:rsidR="00FB347D" w:rsidP="00FB347D" w:rsidRDefault="001C7DB7" w14:paraId="53475ED3" w14:textId="77777777">
      <w:pPr>
        <w:pStyle w:val="ListParagraph"/>
        <w:numPr>
          <w:ilvl w:val="0"/>
          <w:numId w:val="19"/>
        </w:numPr>
        <w:spacing w:after="160" w:line="259" w:lineRule="auto"/>
      </w:pPr>
      <w:r w:rsidRPr="00D75194">
        <w:t xml:space="preserve">secondary </w:t>
      </w:r>
      <w:r w:rsidRPr="00D75194" w:rsidR="009C4BC0">
        <w:t>analysis</w:t>
      </w:r>
      <w:r w:rsidRPr="00D75194" w:rsidR="006E536A">
        <w:t xml:space="preserve"> (</w:t>
      </w:r>
      <w:r w:rsidR="62B3FF9B">
        <w:t>c</w:t>
      </w:r>
      <w:r w:rsidR="009C4BC0">
        <w:t xml:space="preserve">ontribution </w:t>
      </w:r>
      <w:r w:rsidR="62B3FF9B">
        <w:t>s</w:t>
      </w:r>
      <w:r w:rsidR="009C4BC0">
        <w:t>tories</w:t>
      </w:r>
      <w:r w:rsidRPr="00D75194" w:rsidR="009C4BC0">
        <w:t xml:space="preserve"> and ICF KPI 15 report</w:t>
      </w:r>
      <w:r w:rsidRPr="00D75194" w:rsidR="006E536A">
        <w:t>)</w:t>
      </w:r>
      <w:r w:rsidRPr="00D75194" w:rsidR="00D51A99">
        <w:t>; and</w:t>
      </w:r>
    </w:p>
    <w:p w:rsidRPr="00D75194" w:rsidR="008B6B89" w:rsidP="00FB347D" w:rsidRDefault="008B6B89" w14:paraId="15653224" w14:textId="4B87EF10">
      <w:pPr>
        <w:pStyle w:val="ListParagraph"/>
        <w:numPr>
          <w:ilvl w:val="0"/>
          <w:numId w:val="19"/>
        </w:numPr>
        <w:spacing w:after="160" w:line="259" w:lineRule="auto"/>
      </w:pPr>
      <w:r w:rsidRPr="00D75194">
        <w:t>a ‘validation workshop’ with DESNZ and DAI stakeholders,</w:t>
      </w:r>
      <w:r w:rsidRPr="00D75194" w:rsidR="006E536A">
        <w:t xml:space="preserve"> conducted by the LEP team, </w:t>
      </w:r>
      <w:r w:rsidRPr="00D75194" w:rsidR="00E562D3">
        <w:t>in which</w:t>
      </w:r>
      <w:r w:rsidRPr="00D75194" w:rsidDel="006E536A">
        <w:t xml:space="preserve"> </w:t>
      </w:r>
      <w:r w:rsidRPr="00D75194" w:rsidR="00970C61">
        <w:t>the</w:t>
      </w:r>
      <w:r w:rsidRPr="00D75194">
        <w:t xml:space="preserve"> preliminary findings </w:t>
      </w:r>
      <w:r w:rsidRPr="00D75194" w:rsidR="00E562D3">
        <w:t xml:space="preserve">were presented </w:t>
      </w:r>
      <w:r w:rsidRPr="00D75194">
        <w:t>ahead of the</w:t>
      </w:r>
      <w:r w:rsidRPr="00D75194" w:rsidR="009B00B8">
        <w:t xml:space="preserve"> </w:t>
      </w:r>
      <w:r w:rsidRPr="00D75194">
        <w:t>submission</w:t>
      </w:r>
      <w:r w:rsidRPr="00D75194" w:rsidR="009B00B8">
        <w:t xml:space="preserve"> of the final evaluation report</w:t>
      </w:r>
      <w:r w:rsidRPr="00D75194" w:rsidR="00F629EC">
        <w:t>,</w:t>
      </w:r>
      <w:r w:rsidRPr="00D75194">
        <w:t xml:space="preserve"> </w:t>
      </w:r>
      <w:proofErr w:type="gramStart"/>
      <w:r w:rsidRPr="00D75194">
        <w:t>in order to</w:t>
      </w:r>
      <w:proofErr w:type="gramEnd"/>
      <w:r w:rsidRPr="00D75194">
        <w:t xml:space="preserve"> </w:t>
      </w:r>
      <w:r w:rsidR="1EEE51A3">
        <w:t>elicit</w:t>
      </w:r>
      <w:r w:rsidRPr="00D75194">
        <w:t xml:space="preserve"> critical engagement with the findings.</w:t>
      </w:r>
    </w:p>
    <w:p w:rsidRPr="00D75194" w:rsidR="009C4BC0" w:rsidP="009C4BC0" w:rsidRDefault="009C4BC0" w14:paraId="4C5CBCEB" w14:textId="4E24BF1A">
      <w:r w:rsidRPr="00D75194">
        <w:t>A total of 48 KIIs were conducted (from a target of 60</w:t>
      </w:r>
      <w:r w:rsidRPr="00D75194" w:rsidR="00A41AE1">
        <w:t>),</w:t>
      </w:r>
      <w:r w:rsidRPr="00D75194">
        <w:rPr>
          <w:rStyle w:val="FootnoteReference"/>
        </w:rPr>
        <w:footnoteReference w:id="4"/>
      </w:r>
      <w:r w:rsidRPr="00D75194" w:rsidR="00D11102">
        <w:t xml:space="preserve"> with 74 individuals. </w:t>
      </w:r>
      <w:r w:rsidRPr="00D75194">
        <w:t>A total of</w:t>
      </w:r>
      <w:r w:rsidRPr="00D75194" w:rsidR="00AC6D05">
        <w:t xml:space="preserve"> 35 </w:t>
      </w:r>
      <w:r w:rsidRPr="00D75194">
        <w:t>documents were reviewed and coded (1</w:t>
      </w:r>
      <w:r w:rsidRPr="00D75194" w:rsidR="00C27ABC">
        <w:t>3</w:t>
      </w:r>
      <w:r w:rsidRPr="00D75194">
        <w:t xml:space="preserve"> of </w:t>
      </w:r>
      <w:r w:rsidRPr="00D75194" w:rsidR="001F64DE">
        <w:t xml:space="preserve">these </w:t>
      </w:r>
      <w:r w:rsidRPr="00D75194">
        <w:t>were workplan-related).</w:t>
      </w:r>
      <w:r w:rsidRPr="00D75194">
        <w:rPr>
          <w:rStyle w:val="FootnoteReference"/>
        </w:rPr>
        <w:footnoteReference w:id="5"/>
      </w:r>
      <w:r w:rsidRPr="00D75194">
        <w:t xml:space="preserve"> </w:t>
      </w:r>
    </w:p>
    <w:p w:rsidRPr="00D75194" w:rsidR="009C4BC0" w:rsidP="009C4BC0" w:rsidRDefault="00784B99" w14:paraId="27587EDD" w14:textId="20ED0095">
      <w:r w:rsidRPr="00D75194">
        <w:t xml:space="preserve">The </w:t>
      </w:r>
      <w:r>
        <w:t>s</w:t>
      </w:r>
      <w:r w:rsidR="009C4BC0">
        <w:t>trength</w:t>
      </w:r>
      <w:r w:rsidRPr="00D75194" w:rsidR="009C4BC0">
        <w:t xml:space="preserve"> of </w:t>
      </w:r>
      <w:r w:rsidRPr="00D75194">
        <w:t xml:space="preserve">the </w:t>
      </w:r>
      <w:r w:rsidRPr="00D75194" w:rsidR="009C4BC0">
        <w:t xml:space="preserve">evidence </w:t>
      </w:r>
      <w:r w:rsidRPr="00D75194" w:rsidR="00D000B8">
        <w:t>was</w:t>
      </w:r>
      <w:r w:rsidRPr="00D75194" w:rsidR="00A06B9F">
        <w:t xml:space="preserve"> a</w:t>
      </w:r>
      <w:r w:rsidRPr="00D75194" w:rsidR="009C4BC0">
        <w:t xml:space="preserve">ssessed for each </w:t>
      </w:r>
      <w:r w:rsidRPr="00D75194" w:rsidR="00192331">
        <w:t xml:space="preserve">evaluation question </w:t>
      </w:r>
      <w:proofErr w:type="gramStart"/>
      <w:r w:rsidRPr="00D75194" w:rsidR="009C4BC0">
        <w:t>in order to</w:t>
      </w:r>
      <w:proofErr w:type="gramEnd"/>
      <w:r w:rsidRPr="00D75194" w:rsidR="009C4BC0">
        <w:t xml:space="preserve"> provide a transparent reflection on the evidence base for the analysis. The strength of </w:t>
      </w:r>
      <w:r w:rsidRPr="00D75194" w:rsidR="00E92637">
        <w:t xml:space="preserve">the </w:t>
      </w:r>
      <w:r w:rsidRPr="00D75194" w:rsidR="009C4BC0">
        <w:t>evidence was assessed against the rubric below</w:t>
      </w:r>
      <w:r w:rsidRPr="00D75194" w:rsidR="003E317E">
        <w:t xml:space="preserve"> (Table 2)</w:t>
      </w:r>
      <w:r w:rsidRPr="00D75194" w:rsidR="009C4BC0">
        <w:t xml:space="preserve">, </w:t>
      </w:r>
      <w:r w:rsidRPr="00D75194" w:rsidDel="00285883" w:rsidR="009C4BC0">
        <w:t xml:space="preserve">with </w:t>
      </w:r>
      <w:r w:rsidRPr="00D75194" w:rsidR="009C4BC0">
        <w:t>three possible ratings</w:t>
      </w:r>
      <w:r w:rsidRPr="00D75194" w:rsidR="009A11E0">
        <w:t xml:space="preserve"> (red–amber–green</w:t>
      </w:r>
      <w:r w:rsidR="5625BB3E">
        <w:t>)</w:t>
      </w:r>
      <w:r w:rsidR="19F855F2">
        <w:t xml:space="preserve">. </w:t>
      </w:r>
      <w:r w:rsidR="4DDC7F03">
        <w:t>S</w:t>
      </w:r>
      <w:r w:rsidR="009C4BC0">
        <w:t>tatements</w:t>
      </w:r>
      <w:r w:rsidRPr="00D75194" w:rsidDel="00C33BAE" w:rsidR="009C4BC0">
        <w:t xml:space="preserve"> </w:t>
      </w:r>
      <w:r w:rsidRPr="00D75194" w:rsidR="00C33BAE">
        <w:t>on</w:t>
      </w:r>
      <w:r w:rsidRPr="00D75194" w:rsidR="002C2337">
        <w:t>, and definitions of,</w:t>
      </w:r>
      <w:r w:rsidRPr="00D75194" w:rsidR="00C33BAE">
        <w:t xml:space="preserve"> </w:t>
      </w:r>
      <w:r w:rsidRPr="00D75194" w:rsidR="009C4BC0">
        <w:t>the evidence strength</w:t>
      </w:r>
      <w:r w:rsidRPr="00D75194" w:rsidR="00B663B1">
        <w:t xml:space="preserve"> </w:t>
      </w:r>
      <w:r w:rsidRPr="00D75194" w:rsidR="00271E7F">
        <w:t>were</w:t>
      </w:r>
      <w:r w:rsidRPr="00D75194" w:rsidR="00B663B1">
        <w:t xml:space="preserve"> also provided</w:t>
      </w:r>
      <w:r w:rsidRPr="00D75194" w:rsidR="009C4BC0">
        <w:t xml:space="preserve">. </w:t>
      </w:r>
    </w:p>
    <w:p w:rsidRPr="00D75194" w:rsidR="009C4BC0" w:rsidP="009C4BC0" w:rsidRDefault="009C4BC0" w14:paraId="00CF9633" w14:textId="44DB3A2F">
      <w:pPr>
        <w:pStyle w:val="Caption"/>
        <w:keepNext/>
      </w:pPr>
      <w:bookmarkStart w:name="_Toc214452991" w:id="29"/>
      <w:r w:rsidRPr="00D75194">
        <w:t xml:space="preserve">Table </w:t>
      </w:r>
      <w:r w:rsidRPr="00D75194">
        <w:fldChar w:fldCharType="begin"/>
      </w:r>
      <w:r w:rsidRPr="00D75194">
        <w:instrText xml:space="preserve"> SEQ Table \* ARABIC </w:instrText>
      </w:r>
      <w:r w:rsidRPr="00D75194">
        <w:fldChar w:fldCharType="separate"/>
      </w:r>
      <w:r w:rsidRPr="00D75194" w:rsidR="004D7A82">
        <w:t>2</w:t>
      </w:r>
      <w:r w:rsidRPr="00D75194">
        <w:fldChar w:fldCharType="end"/>
      </w:r>
      <w:r w:rsidRPr="00D75194">
        <w:t xml:space="preserve">: Strength of </w:t>
      </w:r>
      <w:r w:rsidR="00DC2B71">
        <w:t>e</w:t>
      </w:r>
      <w:r>
        <w:t>vidence</w:t>
      </w:r>
      <w:r w:rsidRPr="00D75194">
        <w:t xml:space="preserve"> rubric</w:t>
      </w:r>
      <w:bookmarkEnd w:id="29"/>
      <w:r w:rsidRPr="00D75194">
        <w:t xml:space="preserve"> </w:t>
      </w:r>
    </w:p>
    <w:tbl>
      <w:tblPr>
        <w:tblStyle w:val="TableGrid"/>
        <w:tblW w:w="0" w:type="auto"/>
        <w:tblLook w:val="04A0" w:firstRow="1" w:lastRow="0" w:firstColumn="1" w:lastColumn="0" w:noHBand="0" w:noVBand="1"/>
      </w:tblPr>
      <w:tblGrid>
        <w:gridCol w:w="1129"/>
        <w:gridCol w:w="2832"/>
        <w:gridCol w:w="5893"/>
      </w:tblGrid>
      <w:tr w:rsidRPr="00D75194" w:rsidR="009C4BC0" w:rsidTr="00CA38C7" w14:paraId="20BE734F" w14:textId="77777777">
        <w:trPr>
          <w:trHeight w:val="440"/>
        </w:trPr>
        <w:tc>
          <w:tcPr>
            <w:tcW w:w="1129" w:type="dxa"/>
            <w:shd w:val="clear" w:color="auto" w:fill="D9D9D9" w:themeFill="background1" w:themeFillShade="D9"/>
            <w:vAlign w:val="center"/>
          </w:tcPr>
          <w:p w:rsidRPr="00D75194" w:rsidR="009C4BC0" w:rsidRDefault="009C4BC0" w14:paraId="36C1D807" w14:textId="77777777">
            <w:pPr>
              <w:rPr>
                <w:b/>
                <w:bCs/>
                <w:sz w:val="18"/>
                <w:szCs w:val="18"/>
              </w:rPr>
            </w:pPr>
            <w:r w:rsidRPr="00D75194">
              <w:rPr>
                <w:b/>
                <w:bCs/>
                <w:sz w:val="18"/>
                <w:szCs w:val="18"/>
              </w:rPr>
              <w:t>Rating</w:t>
            </w:r>
          </w:p>
        </w:tc>
        <w:tc>
          <w:tcPr>
            <w:tcW w:w="2832" w:type="dxa"/>
            <w:shd w:val="clear" w:color="auto" w:fill="D9D9D9" w:themeFill="background1" w:themeFillShade="D9"/>
            <w:vAlign w:val="center"/>
          </w:tcPr>
          <w:p w:rsidRPr="00D75194" w:rsidR="009C4BC0" w:rsidRDefault="009C4BC0" w14:paraId="4589528B" w14:textId="77777777">
            <w:pPr>
              <w:rPr>
                <w:b/>
                <w:bCs/>
                <w:sz w:val="18"/>
                <w:szCs w:val="18"/>
              </w:rPr>
            </w:pPr>
            <w:r w:rsidRPr="00D75194">
              <w:rPr>
                <w:b/>
                <w:bCs/>
                <w:sz w:val="18"/>
                <w:szCs w:val="18"/>
              </w:rPr>
              <w:t>Statement</w:t>
            </w:r>
          </w:p>
        </w:tc>
        <w:tc>
          <w:tcPr>
            <w:tcW w:w="0" w:type="auto"/>
            <w:shd w:val="clear" w:color="auto" w:fill="D9D9D9" w:themeFill="background1" w:themeFillShade="D9"/>
            <w:vAlign w:val="center"/>
          </w:tcPr>
          <w:p w:rsidRPr="00D75194" w:rsidR="009C4BC0" w:rsidRDefault="009C4BC0" w14:paraId="4030872C" w14:textId="77777777">
            <w:pPr>
              <w:rPr>
                <w:b/>
                <w:bCs/>
                <w:sz w:val="18"/>
                <w:szCs w:val="18"/>
              </w:rPr>
            </w:pPr>
            <w:r w:rsidRPr="00D75194">
              <w:rPr>
                <w:b/>
                <w:bCs/>
                <w:sz w:val="18"/>
                <w:szCs w:val="18"/>
              </w:rPr>
              <w:t xml:space="preserve">Definition </w:t>
            </w:r>
          </w:p>
        </w:tc>
      </w:tr>
      <w:tr w:rsidRPr="00D75194" w:rsidR="009C4BC0" w:rsidTr="00CA38C7" w14:paraId="0226441A" w14:textId="77777777">
        <w:tc>
          <w:tcPr>
            <w:tcW w:w="1129" w:type="dxa"/>
            <w:shd w:val="clear" w:color="auto" w:fill="00B050"/>
            <w:vAlign w:val="center"/>
          </w:tcPr>
          <w:p w:rsidRPr="00D75194" w:rsidR="00CA38C7" w:rsidP="00CA38C7" w:rsidRDefault="009C4BC0" w14:paraId="2925AF78" w14:textId="77777777">
            <w:pPr>
              <w:spacing w:after="0"/>
              <w:jc w:val="left"/>
              <w:rPr>
                <w:b/>
                <w:bCs/>
                <w:sz w:val="18"/>
                <w:szCs w:val="18"/>
              </w:rPr>
            </w:pPr>
            <w:r w:rsidRPr="00D75194">
              <w:rPr>
                <w:b/>
                <w:bCs/>
                <w:sz w:val="18"/>
                <w:szCs w:val="18"/>
              </w:rPr>
              <w:t>Strong</w:t>
            </w:r>
            <w:r w:rsidRPr="00D75194" w:rsidR="005420A5">
              <w:rPr>
                <w:b/>
                <w:bCs/>
                <w:sz w:val="18"/>
                <w:szCs w:val="18"/>
              </w:rPr>
              <w:t xml:space="preserve"> </w:t>
            </w:r>
          </w:p>
          <w:p w:rsidRPr="00D75194" w:rsidR="009C4BC0" w:rsidP="00CA38C7" w:rsidRDefault="009C4BC0" w14:paraId="455A6CC0" w14:textId="17F18FC8">
            <w:pPr>
              <w:spacing w:after="0"/>
              <w:jc w:val="left"/>
              <w:rPr>
                <w:b/>
                <w:bCs/>
                <w:sz w:val="18"/>
                <w:szCs w:val="18"/>
              </w:rPr>
            </w:pPr>
            <w:r w:rsidRPr="00D75194">
              <w:rPr>
                <w:b/>
                <w:bCs/>
                <w:sz w:val="18"/>
                <w:szCs w:val="18"/>
              </w:rPr>
              <w:t xml:space="preserve">evidence </w:t>
            </w:r>
          </w:p>
        </w:tc>
        <w:tc>
          <w:tcPr>
            <w:tcW w:w="2832" w:type="dxa"/>
            <w:vAlign w:val="center"/>
          </w:tcPr>
          <w:p w:rsidRPr="00D75194" w:rsidR="009C4BC0" w:rsidRDefault="009C4BC0" w14:paraId="390ACD6E" w14:textId="77777777">
            <w:pPr>
              <w:rPr>
                <w:sz w:val="18"/>
                <w:szCs w:val="18"/>
              </w:rPr>
            </w:pPr>
            <w:r w:rsidRPr="00D75194">
              <w:rPr>
                <w:sz w:val="18"/>
                <w:szCs w:val="18"/>
              </w:rPr>
              <w:t xml:space="preserve">There is clear and corroborative evidence to make a judgement </w:t>
            </w:r>
          </w:p>
        </w:tc>
        <w:tc>
          <w:tcPr>
            <w:tcW w:w="0" w:type="auto"/>
            <w:vAlign w:val="center"/>
          </w:tcPr>
          <w:p w:rsidRPr="00D75194" w:rsidR="009C4BC0" w:rsidRDefault="009C4BC0" w14:paraId="6E77B9F8" w14:textId="56E7DF2B">
            <w:pPr>
              <w:rPr>
                <w:sz w:val="18"/>
                <w:szCs w:val="18"/>
              </w:rPr>
            </w:pPr>
            <w:r w:rsidRPr="00D75194">
              <w:rPr>
                <w:sz w:val="18"/>
                <w:szCs w:val="18"/>
              </w:rPr>
              <w:t xml:space="preserve">Evidence </w:t>
            </w:r>
            <w:r w:rsidRPr="00D75194" w:rsidR="00F40A26">
              <w:rPr>
                <w:sz w:val="18"/>
                <w:szCs w:val="18"/>
              </w:rPr>
              <w:t xml:space="preserve">can </w:t>
            </w:r>
            <w:r w:rsidRPr="00D75194">
              <w:rPr>
                <w:sz w:val="18"/>
                <w:szCs w:val="18"/>
              </w:rPr>
              <w:t xml:space="preserve">be corroborated </w:t>
            </w:r>
            <w:r w:rsidRPr="00D75194" w:rsidR="00C57D00">
              <w:rPr>
                <w:sz w:val="18"/>
                <w:szCs w:val="18"/>
              </w:rPr>
              <w:t xml:space="preserve">by </w:t>
            </w:r>
            <w:r w:rsidRPr="00D75194">
              <w:rPr>
                <w:sz w:val="18"/>
                <w:szCs w:val="18"/>
              </w:rPr>
              <w:t>monitoring data, programme documents, and primary data to support a judgement</w:t>
            </w:r>
          </w:p>
        </w:tc>
      </w:tr>
      <w:tr w:rsidRPr="00D75194" w:rsidR="009C4BC0" w:rsidTr="00CA38C7" w14:paraId="1EE0C519" w14:textId="77777777">
        <w:tc>
          <w:tcPr>
            <w:tcW w:w="1129" w:type="dxa"/>
            <w:shd w:val="clear" w:color="auto" w:fill="FFC000"/>
            <w:vAlign w:val="center"/>
          </w:tcPr>
          <w:p w:rsidRPr="00D75194" w:rsidR="00CA38C7" w:rsidP="00CA38C7" w:rsidRDefault="009C4BC0" w14:paraId="372EC4BC" w14:textId="77777777">
            <w:pPr>
              <w:spacing w:after="0"/>
              <w:jc w:val="left"/>
              <w:rPr>
                <w:b/>
                <w:bCs/>
                <w:sz w:val="18"/>
                <w:szCs w:val="18"/>
              </w:rPr>
            </w:pPr>
            <w:r w:rsidRPr="00D75194">
              <w:rPr>
                <w:b/>
                <w:bCs/>
                <w:sz w:val="18"/>
                <w:szCs w:val="18"/>
              </w:rPr>
              <w:t xml:space="preserve">Some </w:t>
            </w:r>
          </w:p>
          <w:p w:rsidRPr="00D75194" w:rsidR="009C4BC0" w:rsidP="00CA38C7" w:rsidRDefault="009C4BC0" w14:paraId="110F473B" w14:textId="25C950D5">
            <w:pPr>
              <w:spacing w:after="0"/>
              <w:jc w:val="left"/>
              <w:rPr>
                <w:b/>
                <w:bCs/>
                <w:sz w:val="18"/>
                <w:szCs w:val="18"/>
              </w:rPr>
            </w:pPr>
            <w:r w:rsidRPr="00D75194">
              <w:rPr>
                <w:b/>
                <w:bCs/>
                <w:sz w:val="18"/>
                <w:szCs w:val="18"/>
              </w:rPr>
              <w:t xml:space="preserve">evidence </w:t>
            </w:r>
          </w:p>
        </w:tc>
        <w:tc>
          <w:tcPr>
            <w:tcW w:w="2832" w:type="dxa"/>
            <w:vAlign w:val="center"/>
          </w:tcPr>
          <w:p w:rsidRPr="00D75194" w:rsidR="009C4BC0" w:rsidRDefault="009C4BC0" w14:paraId="122C553E" w14:textId="77777777">
            <w:pPr>
              <w:rPr>
                <w:sz w:val="18"/>
                <w:szCs w:val="18"/>
              </w:rPr>
            </w:pPr>
            <w:r w:rsidRPr="00D75194">
              <w:rPr>
                <w:sz w:val="18"/>
                <w:szCs w:val="18"/>
              </w:rPr>
              <w:t>There is some evidence to make an estimated judgement</w:t>
            </w:r>
          </w:p>
        </w:tc>
        <w:tc>
          <w:tcPr>
            <w:tcW w:w="0" w:type="auto"/>
            <w:vAlign w:val="center"/>
          </w:tcPr>
          <w:p w:rsidRPr="00D75194" w:rsidR="009C4BC0" w:rsidRDefault="009C4BC0" w14:paraId="49CED57C" w14:textId="7CD0AF3D">
            <w:pPr>
              <w:rPr>
                <w:sz w:val="18"/>
                <w:szCs w:val="18"/>
              </w:rPr>
            </w:pPr>
            <w:r w:rsidRPr="00D75194">
              <w:rPr>
                <w:sz w:val="18"/>
                <w:szCs w:val="18"/>
              </w:rPr>
              <w:t xml:space="preserve">Some evidence </w:t>
            </w:r>
            <w:r w:rsidRPr="33F0DBBB">
              <w:rPr>
                <w:sz w:val="18"/>
                <w:szCs w:val="18"/>
              </w:rPr>
              <w:t>among</w:t>
            </w:r>
            <w:r w:rsidRPr="00D75194">
              <w:rPr>
                <w:sz w:val="18"/>
                <w:szCs w:val="18"/>
              </w:rPr>
              <w:t xml:space="preserve"> monitoring data, programme documents, or primary data supports an estimated judgement</w:t>
            </w:r>
          </w:p>
        </w:tc>
      </w:tr>
      <w:tr w:rsidRPr="00D75194" w:rsidR="009C4BC0" w:rsidTr="00CA38C7" w14:paraId="44E936E3" w14:textId="77777777">
        <w:tc>
          <w:tcPr>
            <w:tcW w:w="1129" w:type="dxa"/>
            <w:shd w:val="clear" w:color="auto" w:fill="C00000"/>
            <w:vAlign w:val="center"/>
          </w:tcPr>
          <w:p w:rsidRPr="00D75194" w:rsidR="00CA38C7" w:rsidP="00CA38C7" w:rsidRDefault="009C4BC0" w14:paraId="1F08A120" w14:textId="77777777">
            <w:pPr>
              <w:spacing w:after="0"/>
              <w:jc w:val="left"/>
              <w:rPr>
                <w:b/>
                <w:bCs/>
                <w:sz w:val="18"/>
                <w:szCs w:val="18"/>
              </w:rPr>
            </w:pPr>
            <w:r w:rsidRPr="00D75194">
              <w:rPr>
                <w:b/>
                <w:bCs/>
                <w:sz w:val="18"/>
                <w:szCs w:val="18"/>
              </w:rPr>
              <w:t xml:space="preserve">Limited </w:t>
            </w:r>
          </w:p>
          <w:p w:rsidRPr="00D75194" w:rsidR="009C4BC0" w:rsidP="00CA38C7" w:rsidRDefault="009C4BC0" w14:paraId="2FF61BC3" w14:textId="671B57EA">
            <w:pPr>
              <w:spacing w:after="0"/>
              <w:jc w:val="left"/>
              <w:rPr>
                <w:b/>
                <w:bCs/>
                <w:sz w:val="18"/>
                <w:szCs w:val="18"/>
              </w:rPr>
            </w:pPr>
            <w:r w:rsidRPr="00D75194">
              <w:rPr>
                <w:b/>
                <w:bCs/>
                <w:sz w:val="18"/>
                <w:szCs w:val="18"/>
              </w:rPr>
              <w:t xml:space="preserve">evidence </w:t>
            </w:r>
          </w:p>
        </w:tc>
        <w:tc>
          <w:tcPr>
            <w:tcW w:w="2832" w:type="dxa"/>
            <w:vAlign w:val="center"/>
          </w:tcPr>
          <w:p w:rsidRPr="00D75194" w:rsidR="009C4BC0" w:rsidRDefault="009C4BC0" w14:paraId="0F93CCDA" w14:textId="77777777">
            <w:pPr>
              <w:rPr>
                <w:sz w:val="18"/>
                <w:szCs w:val="18"/>
              </w:rPr>
            </w:pPr>
            <w:r w:rsidRPr="00D75194">
              <w:rPr>
                <w:sz w:val="18"/>
                <w:szCs w:val="18"/>
                <w:lang w:eastAsia="en-GB"/>
              </w:rPr>
              <w:t>Insufficient evidence to make a judgement</w:t>
            </w:r>
          </w:p>
        </w:tc>
        <w:tc>
          <w:tcPr>
            <w:tcW w:w="0" w:type="auto"/>
            <w:vAlign w:val="center"/>
          </w:tcPr>
          <w:p w:rsidRPr="00D75194" w:rsidR="009C4BC0" w:rsidRDefault="009C4BC0" w14:paraId="342685D6" w14:textId="3628798E">
            <w:pPr>
              <w:rPr>
                <w:sz w:val="18"/>
                <w:szCs w:val="18"/>
              </w:rPr>
            </w:pPr>
            <w:r w:rsidRPr="00D75194">
              <w:rPr>
                <w:sz w:val="18"/>
                <w:szCs w:val="18"/>
              </w:rPr>
              <w:t xml:space="preserve">Evidence is </w:t>
            </w:r>
            <w:r w:rsidRPr="00D75194" w:rsidR="006F0E48">
              <w:rPr>
                <w:sz w:val="18"/>
                <w:szCs w:val="18"/>
              </w:rPr>
              <w:t xml:space="preserve">from a single source </w:t>
            </w:r>
            <w:r w:rsidRPr="00D75194">
              <w:rPr>
                <w:sz w:val="18"/>
                <w:szCs w:val="18"/>
              </w:rPr>
              <w:t>and</w:t>
            </w:r>
            <w:r w:rsidRPr="00D75194" w:rsidR="00091FD6">
              <w:rPr>
                <w:sz w:val="18"/>
                <w:szCs w:val="18"/>
              </w:rPr>
              <w:t>,</w:t>
            </w:r>
            <w:r w:rsidRPr="00D75194">
              <w:rPr>
                <w:sz w:val="18"/>
                <w:szCs w:val="18"/>
              </w:rPr>
              <w:t xml:space="preserve"> while </w:t>
            </w:r>
            <w:r w:rsidRPr="00D75194" w:rsidR="00091FD6">
              <w:rPr>
                <w:sz w:val="18"/>
                <w:szCs w:val="18"/>
              </w:rPr>
              <w:t xml:space="preserve">it </w:t>
            </w:r>
            <w:r w:rsidRPr="00D75194">
              <w:rPr>
                <w:sz w:val="18"/>
                <w:szCs w:val="18"/>
              </w:rPr>
              <w:t xml:space="preserve">may suggest a claim, is insufficient to support a valid judgement </w:t>
            </w:r>
          </w:p>
        </w:tc>
      </w:tr>
    </w:tbl>
    <w:p w:rsidRPr="00D75194" w:rsidR="000A6503" w:rsidP="000A6503" w:rsidRDefault="00DF19D3" w14:paraId="500DEBE3" w14:textId="4FC1B230">
      <w:r w:rsidRPr="00D75194">
        <w:br/>
      </w:r>
      <w:r w:rsidRPr="00D75194" w:rsidR="000A6503">
        <w:t>In addition, each contribution story assessed the scale of CASA II</w:t>
      </w:r>
      <w:r w:rsidRPr="00D75194" w:rsidR="00EB7902">
        <w:t>’s contribution</w:t>
      </w:r>
      <w:r w:rsidRPr="00D75194" w:rsidR="000A6503">
        <w:t xml:space="preserve">, which sits at the top of each contribution story found in Annex </w:t>
      </w:r>
      <w:r w:rsidRPr="00D75194" w:rsidR="003540CC">
        <w:t>I</w:t>
      </w:r>
      <w:r w:rsidRPr="00D75194" w:rsidR="000A6503">
        <w:t xml:space="preserve">. </w:t>
      </w:r>
    </w:p>
    <w:p w:rsidRPr="00D75194" w:rsidR="000A6503" w:rsidP="000A6503" w:rsidRDefault="000A6503" w14:paraId="411F3F7A" w14:textId="7F63A574">
      <w:pPr>
        <w:pStyle w:val="Caption"/>
      </w:pPr>
      <w:bookmarkStart w:name="_Toc214452992" w:id="30"/>
      <w:r w:rsidRPr="00D75194">
        <w:t xml:space="preserve">Table </w:t>
      </w:r>
      <w:r w:rsidRPr="00D75194">
        <w:fldChar w:fldCharType="begin"/>
      </w:r>
      <w:r w:rsidRPr="00D75194">
        <w:instrText xml:space="preserve"> SEQ Table \* ARABIC </w:instrText>
      </w:r>
      <w:r w:rsidRPr="00D75194">
        <w:fldChar w:fldCharType="separate"/>
      </w:r>
      <w:r w:rsidRPr="00D75194" w:rsidR="004D7A82">
        <w:t>3</w:t>
      </w:r>
      <w:r w:rsidRPr="00D75194">
        <w:fldChar w:fldCharType="end"/>
      </w:r>
      <w:r w:rsidRPr="00D75194" w:rsidR="00F76D3F">
        <w:t>:</w:t>
      </w:r>
      <w:r w:rsidRPr="00D75194">
        <w:t xml:space="preserve"> Assessing contribution </w:t>
      </w:r>
      <w:r w:rsidR="00D03349">
        <w:t>scale</w:t>
      </w:r>
      <w:bookmarkEnd w:id="30"/>
    </w:p>
    <w:tbl>
      <w:tblPr>
        <w:tblStyle w:val="GridTable4-Accent4"/>
        <w:tblW w:w="0" w:type="auto"/>
        <w:tblLook w:val="04A0" w:firstRow="1" w:lastRow="0" w:firstColumn="1" w:lastColumn="0" w:noHBand="0" w:noVBand="1"/>
      </w:tblPr>
      <w:tblGrid>
        <w:gridCol w:w="1125"/>
        <w:gridCol w:w="883"/>
        <w:gridCol w:w="1668"/>
        <w:gridCol w:w="1894"/>
        <w:gridCol w:w="2604"/>
        <w:gridCol w:w="1680"/>
      </w:tblGrid>
      <w:tr w:rsidRPr="00D75194" w:rsidR="00357B00" w:rsidTr="006A665A" w14:paraId="051A969E" w14:textId="77777777">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2B5A56" w:themeFill="accent5"/>
            <w:vAlign w:val="center"/>
          </w:tcPr>
          <w:p w:rsidRPr="00D75194" w:rsidR="00357B00" w:rsidRDefault="00357B00" w14:paraId="48CA43F2" w14:textId="77777777">
            <w:pPr>
              <w:rPr>
                <w:sz w:val="18"/>
                <w:szCs w:val="18"/>
              </w:rPr>
            </w:pPr>
            <w:r w:rsidRPr="00D75194">
              <w:rPr>
                <w:sz w:val="18"/>
                <w:szCs w:val="18"/>
              </w:rPr>
              <w:t xml:space="preserve">Extent of contribution </w:t>
            </w:r>
          </w:p>
        </w:tc>
      </w:tr>
      <w:tr w:rsidRPr="00D75194" w:rsidR="00822EE6" w14:paraId="787E88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Pr="00D75194" w:rsidR="005420A5" w:rsidRDefault="005420A5" w14:paraId="44E69281" w14:textId="77777777">
            <w:pPr>
              <w:rPr>
                <w:sz w:val="18"/>
                <w:szCs w:val="18"/>
              </w:rPr>
            </w:pPr>
          </w:p>
        </w:tc>
        <w:tc>
          <w:tcPr>
            <w:tcW w:w="0" w:type="auto"/>
            <w:vAlign w:val="center"/>
          </w:tcPr>
          <w:p w:rsidRPr="00D75194" w:rsidR="005420A5" w:rsidP="0098648B" w:rsidRDefault="005420A5" w14:paraId="5C8F2957" w14:textId="77777777">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D75194">
              <w:rPr>
                <w:b/>
                <w:bCs/>
                <w:sz w:val="18"/>
                <w:szCs w:val="18"/>
              </w:rPr>
              <w:t>Critical contribution</w:t>
            </w:r>
          </w:p>
        </w:tc>
        <w:tc>
          <w:tcPr>
            <w:tcW w:w="0" w:type="auto"/>
            <w:vAlign w:val="center"/>
          </w:tcPr>
          <w:p w:rsidRPr="00D75194" w:rsidR="005420A5" w:rsidP="0098648B" w:rsidRDefault="005420A5" w14:paraId="7B31DD92" w14:textId="77777777">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D75194">
              <w:rPr>
                <w:b/>
                <w:bCs/>
                <w:sz w:val="18"/>
                <w:szCs w:val="18"/>
              </w:rPr>
              <w:t>Important contribution</w:t>
            </w:r>
          </w:p>
        </w:tc>
        <w:tc>
          <w:tcPr>
            <w:tcW w:w="0" w:type="auto"/>
            <w:vAlign w:val="center"/>
          </w:tcPr>
          <w:p w:rsidRPr="00D75194" w:rsidR="005420A5" w:rsidP="0098648B" w:rsidRDefault="005420A5" w14:paraId="430E2A9E" w14:textId="77777777">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D75194">
              <w:rPr>
                <w:b/>
                <w:bCs/>
                <w:sz w:val="18"/>
                <w:szCs w:val="18"/>
              </w:rPr>
              <w:t>Some contribution</w:t>
            </w:r>
          </w:p>
        </w:tc>
        <w:tc>
          <w:tcPr>
            <w:tcW w:w="0" w:type="auto"/>
            <w:vAlign w:val="center"/>
          </w:tcPr>
          <w:p w:rsidRPr="00D75194" w:rsidR="005420A5" w:rsidP="0098648B" w:rsidRDefault="005420A5" w14:paraId="1185BD8D" w14:textId="77777777">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D75194">
              <w:rPr>
                <w:b/>
                <w:bCs/>
                <w:sz w:val="18"/>
                <w:szCs w:val="18"/>
              </w:rPr>
              <w:t>Negligible contribution</w:t>
            </w:r>
          </w:p>
        </w:tc>
      </w:tr>
      <w:tr w:rsidRPr="00D75194" w:rsidR="000A6503" w:rsidTr="005420A5" w14:paraId="2DD6A81A" w14:textId="77777777">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Pr="00D75194" w:rsidR="000A6503" w:rsidP="005420A5" w:rsidRDefault="000A6503" w14:paraId="000C0FD4" w14:textId="77777777">
            <w:pPr>
              <w:jc w:val="center"/>
              <w:rPr>
                <w:sz w:val="18"/>
                <w:szCs w:val="18"/>
              </w:rPr>
            </w:pPr>
            <w:r w:rsidRPr="00D75194">
              <w:rPr>
                <w:sz w:val="18"/>
                <w:szCs w:val="18"/>
              </w:rPr>
              <w:t>Strength of evidence</w:t>
            </w:r>
          </w:p>
        </w:tc>
        <w:tc>
          <w:tcPr>
            <w:tcW w:w="0" w:type="auto"/>
            <w:vAlign w:val="center"/>
          </w:tcPr>
          <w:p w:rsidRPr="00D75194" w:rsidR="000A6503" w:rsidP="0098648B" w:rsidRDefault="000A6503" w14:paraId="69C7F228" w14:textId="77777777">
            <w:pPr>
              <w:jc w:val="left"/>
              <w:cnfStyle w:val="000000000000" w:firstRow="0" w:lastRow="0" w:firstColumn="0" w:lastColumn="0" w:oddVBand="0" w:evenVBand="0" w:oddHBand="0" w:evenHBand="0" w:firstRowFirstColumn="0" w:firstRowLastColumn="0" w:lastRowFirstColumn="0" w:lastRowLastColumn="0"/>
              <w:rPr>
                <w:sz w:val="18"/>
                <w:szCs w:val="18"/>
              </w:rPr>
            </w:pPr>
            <w:r w:rsidRPr="00D75194">
              <w:rPr>
                <w:sz w:val="18"/>
                <w:szCs w:val="18"/>
              </w:rPr>
              <w:t>Strong evidence</w:t>
            </w:r>
          </w:p>
        </w:tc>
        <w:tc>
          <w:tcPr>
            <w:tcW w:w="0" w:type="auto"/>
            <w:vAlign w:val="center"/>
          </w:tcPr>
          <w:p w:rsidRPr="00D75194" w:rsidR="000A6503" w:rsidP="0098648B" w:rsidRDefault="000A6503" w14:paraId="36A1E6F0" w14:textId="77777777">
            <w:pPr>
              <w:jc w:val="left"/>
              <w:cnfStyle w:val="000000000000" w:firstRow="0" w:lastRow="0" w:firstColumn="0" w:lastColumn="0" w:oddVBand="0" w:evenVBand="0" w:oddHBand="0" w:evenHBand="0" w:firstRowFirstColumn="0" w:firstRowLastColumn="0" w:lastRowFirstColumn="0" w:lastRowLastColumn="0"/>
              <w:rPr>
                <w:sz w:val="18"/>
                <w:szCs w:val="18"/>
              </w:rPr>
            </w:pPr>
            <w:r w:rsidRPr="00D75194">
              <w:rPr>
                <w:b/>
                <w:bCs/>
                <w:sz w:val="18"/>
                <w:szCs w:val="18"/>
              </w:rPr>
              <w:t>Very confident</w:t>
            </w:r>
            <w:r w:rsidRPr="00D75194">
              <w:rPr>
                <w:sz w:val="18"/>
                <w:szCs w:val="18"/>
              </w:rPr>
              <w:t xml:space="preserve"> that CASA II made a </w:t>
            </w:r>
            <w:r w:rsidRPr="00D75194">
              <w:rPr>
                <w:b/>
                <w:bCs/>
                <w:sz w:val="18"/>
                <w:szCs w:val="18"/>
              </w:rPr>
              <w:t xml:space="preserve">critical </w:t>
            </w:r>
            <w:r w:rsidRPr="00D75194">
              <w:rPr>
                <w:sz w:val="18"/>
                <w:szCs w:val="18"/>
              </w:rPr>
              <w:t>contribution to the outcome</w:t>
            </w:r>
          </w:p>
        </w:tc>
        <w:tc>
          <w:tcPr>
            <w:tcW w:w="0" w:type="auto"/>
            <w:vAlign w:val="center"/>
          </w:tcPr>
          <w:p w:rsidRPr="00D75194" w:rsidR="000A6503" w:rsidP="0098648B" w:rsidRDefault="000A6503" w14:paraId="7C2556B5" w14:textId="77777777">
            <w:pPr>
              <w:jc w:val="left"/>
              <w:cnfStyle w:val="000000000000" w:firstRow="0" w:lastRow="0" w:firstColumn="0" w:lastColumn="0" w:oddVBand="0" w:evenVBand="0" w:oddHBand="0" w:evenHBand="0" w:firstRowFirstColumn="0" w:firstRowLastColumn="0" w:lastRowFirstColumn="0" w:lastRowLastColumn="0"/>
              <w:rPr>
                <w:sz w:val="18"/>
                <w:szCs w:val="18"/>
              </w:rPr>
            </w:pPr>
            <w:r w:rsidRPr="00D75194">
              <w:rPr>
                <w:b/>
                <w:bCs/>
                <w:sz w:val="18"/>
                <w:szCs w:val="18"/>
              </w:rPr>
              <w:t>Very confident</w:t>
            </w:r>
            <w:r w:rsidRPr="00D75194">
              <w:rPr>
                <w:sz w:val="18"/>
                <w:szCs w:val="18"/>
              </w:rPr>
              <w:t xml:space="preserve"> that CASA II made an </w:t>
            </w:r>
            <w:r w:rsidRPr="00D75194">
              <w:rPr>
                <w:b/>
                <w:bCs/>
                <w:sz w:val="18"/>
                <w:szCs w:val="18"/>
              </w:rPr>
              <w:t>important</w:t>
            </w:r>
            <w:r w:rsidRPr="00D75194">
              <w:rPr>
                <w:sz w:val="18"/>
                <w:szCs w:val="18"/>
              </w:rPr>
              <w:t xml:space="preserve"> contribution to the outcome</w:t>
            </w:r>
          </w:p>
        </w:tc>
        <w:tc>
          <w:tcPr>
            <w:tcW w:w="0" w:type="auto"/>
            <w:vAlign w:val="center"/>
          </w:tcPr>
          <w:p w:rsidRPr="00D75194" w:rsidR="000A6503" w:rsidP="0098648B" w:rsidRDefault="000A6503" w14:paraId="3F7C4F92" w14:textId="57B21D3F">
            <w:pPr>
              <w:jc w:val="left"/>
              <w:cnfStyle w:val="000000000000" w:firstRow="0" w:lastRow="0" w:firstColumn="0" w:lastColumn="0" w:oddVBand="0" w:evenVBand="0" w:oddHBand="0" w:evenHBand="0" w:firstRowFirstColumn="0" w:firstRowLastColumn="0" w:lastRowFirstColumn="0" w:lastRowLastColumn="0"/>
              <w:rPr>
                <w:sz w:val="18"/>
                <w:szCs w:val="18"/>
              </w:rPr>
            </w:pPr>
            <w:r w:rsidRPr="00D75194">
              <w:rPr>
                <w:b/>
                <w:bCs/>
                <w:sz w:val="18"/>
                <w:szCs w:val="18"/>
              </w:rPr>
              <w:t>Very confident</w:t>
            </w:r>
            <w:r w:rsidRPr="00D75194">
              <w:rPr>
                <w:sz w:val="18"/>
                <w:szCs w:val="18"/>
              </w:rPr>
              <w:t xml:space="preserve"> that CASA II made </w:t>
            </w:r>
            <w:r w:rsidRPr="00D75194">
              <w:rPr>
                <w:b/>
                <w:bCs/>
                <w:sz w:val="18"/>
                <w:szCs w:val="18"/>
              </w:rPr>
              <w:t>some</w:t>
            </w:r>
            <w:r w:rsidRPr="00D75194">
              <w:rPr>
                <w:sz w:val="18"/>
                <w:szCs w:val="18"/>
              </w:rPr>
              <w:t xml:space="preserve"> contribution to the outcome, alongside other factors, but </w:t>
            </w:r>
            <w:r w:rsidRPr="00D75194" w:rsidR="00F7225E">
              <w:rPr>
                <w:sz w:val="18"/>
                <w:szCs w:val="18"/>
              </w:rPr>
              <w:t xml:space="preserve">it </w:t>
            </w:r>
            <w:r w:rsidRPr="00D75194">
              <w:rPr>
                <w:sz w:val="18"/>
                <w:szCs w:val="18"/>
              </w:rPr>
              <w:t>was not the most important cause</w:t>
            </w:r>
          </w:p>
        </w:tc>
        <w:tc>
          <w:tcPr>
            <w:tcW w:w="0" w:type="auto"/>
            <w:vAlign w:val="center"/>
          </w:tcPr>
          <w:p w:rsidRPr="00D75194" w:rsidR="000A6503" w:rsidP="0098648B" w:rsidRDefault="000A6503" w14:paraId="1F056A95" w14:textId="541AA750">
            <w:pPr>
              <w:jc w:val="left"/>
              <w:cnfStyle w:val="000000000000" w:firstRow="0" w:lastRow="0" w:firstColumn="0" w:lastColumn="0" w:oddVBand="0" w:evenVBand="0" w:oddHBand="0" w:evenHBand="0" w:firstRowFirstColumn="0" w:firstRowLastColumn="0" w:lastRowFirstColumn="0" w:lastRowLastColumn="0"/>
              <w:rPr>
                <w:sz w:val="18"/>
                <w:szCs w:val="18"/>
              </w:rPr>
            </w:pPr>
            <w:r w:rsidRPr="00D75194">
              <w:rPr>
                <w:b/>
                <w:bCs/>
                <w:sz w:val="18"/>
                <w:szCs w:val="18"/>
              </w:rPr>
              <w:t>Very confident</w:t>
            </w:r>
            <w:r w:rsidRPr="00D75194">
              <w:rPr>
                <w:sz w:val="18"/>
                <w:szCs w:val="18"/>
              </w:rPr>
              <w:t xml:space="preserve"> that CASA II</w:t>
            </w:r>
            <w:r w:rsidRPr="00D75194" w:rsidR="00143AB4">
              <w:rPr>
                <w:sz w:val="18"/>
                <w:szCs w:val="18"/>
              </w:rPr>
              <w:t>’s</w:t>
            </w:r>
            <w:r w:rsidRPr="00D75194">
              <w:rPr>
                <w:sz w:val="18"/>
                <w:szCs w:val="18"/>
              </w:rPr>
              <w:t xml:space="preserve"> contribution to the outcome was negligible</w:t>
            </w:r>
          </w:p>
        </w:tc>
      </w:tr>
      <w:tr w:rsidRPr="00D75194" w:rsidR="007C5608" w:rsidTr="005420A5" w14:paraId="398033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Pr="00D75194" w:rsidR="000A6503" w:rsidRDefault="000A6503" w14:paraId="1EFBBC59" w14:textId="77777777">
            <w:pPr>
              <w:rPr>
                <w:sz w:val="18"/>
                <w:szCs w:val="18"/>
              </w:rPr>
            </w:pPr>
          </w:p>
        </w:tc>
        <w:tc>
          <w:tcPr>
            <w:tcW w:w="0" w:type="auto"/>
            <w:vAlign w:val="center"/>
          </w:tcPr>
          <w:p w:rsidRPr="00D75194" w:rsidR="000A6503" w:rsidP="0098648B" w:rsidRDefault="000A6503" w14:paraId="3A756013" w14:textId="77777777">
            <w:pPr>
              <w:jc w:val="left"/>
              <w:cnfStyle w:val="000000100000" w:firstRow="0" w:lastRow="0" w:firstColumn="0" w:lastColumn="0" w:oddVBand="0" w:evenVBand="0" w:oddHBand="1" w:evenHBand="0" w:firstRowFirstColumn="0" w:firstRowLastColumn="0" w:lastRowFirstColumn="0" w:lastRowLastColumn="0"/>
              <w:rPr>
                <w:sz w:val="18"/>
                <w:szCs w:val="18"/>
              </w:rPr>
            </w:pPr>
            <w:r w:rsidRPr="00D75194">
              <w:rPr>
                <w:sz w:val="18"/>
                <w:szCs w:val="18"/>
              </w:rPr>
              <w:t>Some evidence</w:t>
            </w:r>
          </w:p>
        </w:tc>
        <w:tc>
          <w:tcPr>
            <w:tcW w:w="0" w:type="auto"/>
            <w:vAlign w:val="center"/>
          </w:tcPr>
          <w:p w:rsidRPr="00D75194" w:rsidR="000A6503" w:rsidP="0098648B" w:rsidRDefault="000A6503" w14:paraId="43F38627" w14:textId="77777777">
            <w:pPr>
              <w:jc w:val="left"/>
              <w:cnfStyle w:val="000000100000" w:firstRow="0" w:lastRow="0" w:firstColumn="0" w:lastColumn="0" w:oddVBand="0" w:evenVBand="0" w:oddHBand="1" w:evenHBand="0" w:firstRowFirstColumn="0" w:firstRowLastColumn="0" w:lastRowFirstColumn="0" w:lastRowLastColumn="0"/>
              <w:rPr>
                <w:sz w:val="18"/>
                <w:szCs w:val="18"/>
              </w:rPr>
            </w:pPr>
            <w:r w:rsidRPr="00D75194">
              <w:rPr>
                <w:sz w:val="18"/>
                <w:szCs w:val="18"/>
              </w:rPr>
              <w:t xml:space="preserve">More confident than not that CASA II made a </w:t>
            </w:r>
            <w:r w:rsidRPr="00D75194">
              <w:rPr>
                <w:b/>
                <w:bCs/>
                <w:sz w:val="18"/>
                <w:szCs w:val="18"/>
              </w:rPr>
              <w:t>critical</w:t>
            </w:r>
            <w:r w:rsidRPr="00D75194">
              <w:rPr>
                <w:sz w:val="18"/>
                <w:szCs w:val="18"/>
              </w:rPr>
              <w:t xml:space="preserve"> contribution to the outcome</w:t>
            </w:r>
          </w:p>
        </w:tc>
        <w:tc>
          <w:tcPr>
            <w:tcW w:w="0" w:type="auto"/>
            <w:vAlign w:val="center"/>
          </w:tcPr>
          <w:p w:rsidRPr="00D75194" w:rsidR="000A6503" w:rsidP="0098648B" w:rsidRDefault="000A6503" w14:paraId="706E6A6B" w14:textId="77777777">
            <w:pPr>
              <w:jc w:val="left"/>
              <w:cnfStyle w:val="000000100000" w:firstRow="0" w:lastRow="0" w:firstColumn="0" w:lastColumn="0" w:oddVBand="0" w:evenVBand="0" w:oddHBand="1" w:evenHBand="0" w:firstRowFirstColumn="0" w:firstRowLastColumn="0" w:lastRowFirstColumn="0" w:lastRowLastColumn="0"/>
              <w:rPr>
                <w:sz w:val="18"/>
                <w:szCs w:val="18"/>
              </w:rPr>
            </w:pPr>
            <w:r w:rsidRPr="00D75194">
              <w:rPr>
                <w:sz w:val="18"/>
                <w:szCs w:val="18"/>
              </w:rPr>
              <w:t xml:space="preserve">More confident than not that CASA II made an </w:t>
            </w:r>
            <w:r w:rsidRPr="00D75194">
              <w:rPr>
                <w:b/>
                <w:bCs/>
                <w:sz w:val="18"/>
                <w:szCs w:val="18"/>
              </w:rPr>
              <w:t>important</w:t>
            </w:r>
            <w:r w:rsidRPr="00D75194">
              <w:rPr>
                <w:sz w:val="18"/>
                <w:szCs w:val="18"/>
              </w:rPr>
              <w:t xml:space="preserve"> contribution to the outcome</w:t>
            </w:r>
          </w:p>
        </w:tc>
        <w:tc>
          <w:tcPr>
            <w:tcW w:w="0" w:type="auto"/>
            <w:vAlign w:val="center"/>
          </w:tcPr>
          <w:p w:rsidRPr="00D75194" w:rsidR="000A6503" w:rsidP="0098648B" w:rsidRDefault="000A6503" w14:paraId="56F58C6C" w14:textId="1CD4C65A">
            <w:pPr>
              <w:jc w:val="left"/>
              <w:cnfStyle w:val="000000100000" w:firstRow="0" w:lastRow="0" w:firstColumn="0" w:lastColumn="0" w:oddVBand="0" w:evenVBand="0" w:oddHBand="1" w:evenHBand="0" w:firstRowFirstColumn="0" w:firstRowLastColumn="0" w:lastRowFirstColumn="0" w:lastRowLastColumn="0"/>
              <w:rPr>
                <w:sz w:val="18"/>
                <w:szCs w:val="18"/>
              </w:rPr>
            </w:pPr>
            <w:r w:rsidRPr="00D75194">
              <w:rPr>
                <w:sz w:val="18"/>
                <w:szCs w:val="18"/>
              </w:rPr>
              <w:t xml:space="preserve">More confident than not that CASA II made </w:t>
            </w:r>
            <w:r w:rsidRPr="00D75194">
              <w:rPr>
                <w:b/>
                <w:bCs/>
                <w:sz w:val="18"/>
                <w:szCs w:val="18"/>
              </w:rPr>
              <w:t>some</w:t>
            </w:r>
            <w:r w:rsidRPr="00D75194">
              <w:rPr>
                <w:sz w:val="18"/>
                <w:szCs w:val="18"/>
              </w:rPr>
              <w:t xml:space="preserve"> contribution to the outcome, alongside other factors, but </w:t>
            </w:r>
            <w:r w:rsidRPr="00D75194" w:rsidR="00FB3C2C">
              <w:rPr>
                <w:sz w:val="18"/>
                <w:szCs w:val="18"/>
              </w:rPr>
              <w:t xml:space="preserve">it </w:t>
            </w:r>
            <w:r w:rsidRPr="00D75194">
              <w:rPr>
                <w:sz w:val="18"/>
                <w:szCs w:val="18"/>
              </w:rPr>
              <w:t>was not the most important cause</w:t>
            </w:r>
          </w:p>
        </w:tc>
        <w:tc>
          <w:tcPr>
            <w:tcW w:w="0" w:type="auto"/>
            <w:vAlign w:val="center"/>
          </w:tcPr>
          <w:p w:rsidRPr="00D75194" w:rsidR="000A6503" w:rsidP="0098648B" w:rsidRDefault="000A6503" w14:paraId="2518E753" w14:textId="5A1CB553">
            <w:pPr>
              <w:jc w:val="left"/>
              <w:cnfStyle w:val="000000100000" w:firstRow="0" w:lastRow="0" w:firstColumn="0" w:lastColumn="0" w:oddVBand="0" w:evenVBand="0" w:oddHBand="1" w:evenHBand="0" w:firstRowFirstColumn="0" w:firstRowLastColumn="0" w:lastRowFirstColumn="0" w:lastRowLastColumn="0"/>
              <w:rPr>
                <w:sz w:val="18"/>
                <w:szCs w:val="18"/>
              </w:rPr>
            </w:pPr>
            <w:r w:rsidRPr="00D75194">
              <w:rPr>
                <w:sz w:val="18"/>
                <w:szCs w:val="18"/>
              </w:rPr>
              <w:t>More confident than not that CASA II</w:t>
            </w:r>
            <w:r w:rsidRPr="00D75194" w:rsidR="00143AB4">
              <w:rPr>
                <w:sz w:val="18"/>
                <w:szCs w:val="18"/>
              </w:rPr>
              <w:t>’s</w:t>
            </w:r>
            <w:r w:rsidRPr="00D75194">
              <w:rPr>
                <w:sz w:val="18"/>
                <w:szCs w:val="18"/>
              </w:rPr>
              <w:t xml:space="preserve"> contribution to the outcome was </w:t>
            </w:r>
            <w:r w:rsidRPr="00D75194">
              <w:rPr>
                <w:b/>
                <w:bCs/>
                <w:sz w:val="18"/>
                <w:szCs w:val="18"/>
              </w:rPr>
              <w:t>negligible</w:t>
            </w:r>
          </w:p>
        </w:tc>
      </w:tr>
      <w:tr w:rsidRPr="00D75194" w:rsidR="000A6503" w:rsidTr="005420A5" w14:paraId="7F87D2C9" w14:textId="77777777">
        <w:trPr>
          <w:trHeight w:val="574"/>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Pr="00D75194" w:rsidR="000A6503" w:rsidRDefault="000A6503" w14:paraId="0BECD884" w14:textId="77777777">
            <w:pPr>
              <w:rPr>
                <w:sz w:val="18"/>
                <w:szCs w:val="18"/>
              </w:rPr>
            </w:pPr>
          </w:p>
        </w:tc>
        <w:tc>
          <w:tcPr>
            <w:tcW w:w="0" w:type="auto"/>
            <w:vAlign w:val="center"/>
          </w:tcPr>
          <w:p w:rsidRPr="00D75194" w:rsidR="000A6503" w:rsidP="0098648B" w:rsidRDefault="000A6503" w14:paraId="183AF30F" w14:textId="77777777">
            <w:pPr>
              <w:jc w:val="left"/>
              <w:cnfStyle w:val="000000000000" w:firstRow="0" w:lastRow="0" w:firstColumn="0" w:lastColumn="0" w:oddVBand="0" w:evenVBand="0" w:oddHBand="0" w:evenHBand="0" w:firstRowFirstColumn="0" w:firstRowLastColumn="0" w:lastRowFirstColumn="0" w:lastRowLastColumn="0"/>
              <w:rPr>
                <w:sz w:val="18"/>
                <w:szCs w:val="18"/>
              </w:rPr>
            </w:pPr>
            <w:r w:rsidRPr="00D75194">
              <w:rPr>
                <w:sz w:val="18"/>
                <w:szCs w:val="18"/>
              </w:rPr>
              <w:t>Limited evidence</w:t>
            </w:r>
          </w:p>
        </w:tc>
        <w:tc>
          <w:tcPr>
            <w:tcW w:w="0" w:type="auto"/>
            <w:gridSpan w:val="4"/>
            <w:vAlign w:val="center"/>
          </w:tcPr>
          <w:p w:rsidRPr="00D75194" w:rsidR="000A6503" w:rsidP="0098648B" w:rsidRDefault="000A6503" w14:paraId="288B3548" w14:textId="77777777">
            <w:pPr>
              <w:jc w:val="left"/>
              <w:cnfStyle w:val="000000000000" w:firstRow="0" w:lastRow="0" w:firstColumn="0" w:lastColumn="0" w:oddVBand="0" w:evenVBand="0" w:oddHBand="0" w:evenHBand="0" w:firstRowFirstColumn="0" w:firstRowLastColumn="0" w:lastRowFirstColumn="0" w:lastRowLastColumn="0"/>
              <w:rPr>
                <w:sz w:val="18"/>
                <w:szCs w:val="18"/>
              </w:rPr>
            </w:pPr>
            <w:r w:rsidRPr="00D75194">
              <w:rPr>
                <w:sz w:val="18"/>
                <w:szCs w:val="18"/>
              </w:rPr>
              <w:t>Insufficient evidence to support a contribution judgement</w:t>
            </w:r>
          </w:p>
        </w:tc>
      </w:tr>
    </w:tbl>
    <w:p w:rsidRPr="00D75194" w:rsidR="009C4BC0" w:rsidP="009C4BC0" w:rsidRDefault="000A6503" w14:paraId="075CE09A" w14:textId="235F579F">
      <w:r w:rsidRPr="00D75194">
        <w:br/>
      </w:r>
    </w:p>
    <w:p w:rsidRPr="00D75194" w:rsidR="00E31E37" w:rsidP="0067244D" w:rsidRDefault="00E31E37" w14:paraId="33689C19" w14:textId="6B04CB8D">
      <w:pPr>
        <w:pStyle w:val="Heading2"/>
      </w:pPr>
      <w:bookmarkStart w:name="_Toc214452908" w:id="31"/>
      <w:r w:rsidRPr="00D75194">
        <w:t xml:space="preserve">Evaluation </w:t>
      </w:r>
      <w:r w:rsidRPr="00D75194" w:rsidR="0020204F">
        <w:t>questions</w:t>
      </w:r>
      <w:bookmarkEnd w:id="31"/>
      <w:r w:rsidRPr="00D75194" w:rsidR="0020204F">
        <w:t xml:space="preserve"> </w:t>
      </w:r>
    </w:p>
    <w:p w:rsidRPr="00D75194" w:rsidR="00E31E37" w:rsidP="002E7795" w:rsidRDefault="0099434F" w14:paraId="61B17371" w14:textId="466E44DD">
      <w:r w:rsidRPr="00D75194">
        <w:t xml:space="preserve">The </w:t>
      </w:r>
      <w:r w:rsidRPr="00D75194" w:rsidR="0020204F">
        <w:t xml:space="preserve">evaluation questions </w:t>
      </w:r>
      <w:r w:rsidRPr="00D75194">
        <w:t xml:space="preserve">for </w:t>
      </w:r>
      <w:r w:rsidRPr="00D75194" w:rsidR="00157341">
        <w:t xml:space="preserve">the evaluation of </w:t>
      </w:r>
      <w:r w:rsidRPr="00D75194">
        <w:t>CASA II are listed below by</w:t>
      </w:r>
      <w:r w:rsidRPr="00D75194" w:rsidR="00330B5F">
        <w:t xml:space="preserve"> reference to</w:t>
      </w:r>
      <w:r w:rsidRPr="00D75194">
        <w:t xml:space="preserve"> </w:t>
      </w:r>
      <w:r w:rsidRPr="00D75194" w:rsidR="00B8732C">
        <w:t>the Organisation for Economic Cooperation’s Development Assistance Committee (</w:t>
      </w:r>
      <w:r w:rsidRPr="00D75194" w:rsidR="00F66F8E">
        <w:t xml:space="preserve">OECD </w:t>
      </w:r>
      <w:r w:rsidRPr="00D75194">
        <w:t>DAC</w:t>
      </w:r>
      <w:r w:rsidRPr="00D75194" w:rsidR="00B8732C">
        <w:t>)</w:t>
      </w:r>
      <w:r w:rsidRPr="00D75194">
        <w:t xml:space="preserve"> </w:t>
      </w:r>
      <w:r w:rsidRPr="00D75194" w:rsidR="00CF4BB7">
        <w:t xml:space="preserve">evaluation </w:t>
      </w:r>
      <w:r w:rsidRPr="00D75194">
        <w:t xml:space="preserve">criteria. These questions reflect the shift of emphasis in the </w:t>
      </w:r>
      <w:r w:rsidR="00494461">
        <w:t>final</w:t>
      </w:r>
      <w:r w:rsidRPr="00D75194" w:rsidR="00494461">
        <w:t xml:space="preserve"> </w:t>
      </w:r>
      <w:r w:rsidRPr="00D75194" w:rsidR="00E4675D">
        <w:t>evaluation and</w:t>
      </w:r>
      <w:r w:rsidRPr="00D75194">
        <w:t xml:space="preserve"> are the result of consultation</w:t>
      </w:r>
      <w:r w:rsidRPr="00D75194" w:rsidR="00F135D8">
        <w:t>s</w:t>
      </w:r>
      <w:r w:rsidRPr="00D75194">
        <w:t xml:space="preserve"> with both DAI and DESNZ</w:t>
      </w:r>
      <w:r w:rsidRPr="00D75194" w:rsidR="00E31E37">
        <w:t xml:space="preserve">. </w:t>
      </w:r>
    </w:p>
    <w:p w:rsidRPr="00D75194" w:rsidR="002E7795" w:rsidP="002E7795" w:rsidRDefault="002E7795" w14:paraId="17821E3F" w14:textId="5B4587B2">
      <w:pPr>
        <w:pStyle w:val="Caption"/>
        <w:keepNext/>
      </w:pPr>
      <w:bookmarkStart w:name="_Toc214452993" w:id="32"/>
      <w:r w:rsidRPr="00D75194">
        <w:t xml:space="preserve">Table </w:t>
      </w:r>
      <w:r w:rsidRPr="00D75194">
        <w:fldChar w:fldCharType="begin"/>
      </w:r>
      <w:r w:rsidRPr="00D75194">
        <w:instrText xml:space="preserve"> SEQ Table \* ARABIC </w:instrText>
      </w:r>
      <w:r w:rsidRPr="00D75194">
        <w:fldChar w:fldCharType="separate"/>
      </w:r>
      <w:r w:rsidRPr="00D75194" w:rsidR="004D7A82">
        <w:t>4</w:t>
      </w:r>
      <w:r w:rsidRPr="00D75194">
        <w:fldChar w:fldCharType="end"/>
      </w:r>
      <w:r w:rsidRPr="00D75194" w:rsidR="00F76D3F">
        <w:t>:</w:t>
      </w:r>
      <w:r w:rsidRPr="00D75194">
        <w:t xml:space="preserve"> Evaluation questions and questions</w:t>
      </w:r>
      <w:bookmarkEnd w:id="32"/>
    </w:p>
    <w:tbl>
      <w:tblPr>
        <w:tblStyle w:val="TableGrid10"/>
        <w:tblW w:w="953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ook w:val="04A0" w:firstRow="1" w:lastRow="0" w:firstColumn="1" w:lastColumn="0" w:noHBand="0" w:noVBand="1"/>
      </w:tblPr>
      <w:tblGrid>
        <w:gridCol w:w="1405"/>
        <w:gridCol w:w="2730"/>
        <w:gridCol w:w="5400"/>
      </w:tblGrid>
      <w:tr w:rsidRPr="00D75194" w:rsidR="00E31E37" w:rsidTr="004F20F2" w14:paraId="76DDAB16" w14:textId="77777777">
        <w:trPr>
          <w:trHeight w:val="377"/>
          <w:tblHeader/>
        </w:trPr>
        <w:tc>
          <w:tcPr>
            <w:tcW w:w="1405" w:type="dxa"/>
            <w:shd w:val="clear" w:color="auto" w:fill="2B5A56" w:themeFill="accent5"/>
            <w:vAlign w:val="center"/>
          </w:tcPr>
          <w:p w:rsidRPr="00D75194" w:rsidR="00E31E37" w:rsidRDefault="00E31E37" w14:paraId="6FA69BBA" w14:textId="77777777">
            <w:pPr>
              <w:spacing w:before="60" w:after="60"/>
              <w:rPr>
                <w:rFonts w:eastAsia="Segoe UI" w:asciiTheme="minorHAnsi" w:hAnsiTheme="minorHAnsi" w:cstheme="minorHAnsi"/>
                <w:b/>
                <w:bCs/>
                <w:color w:val="FFFFFF"/>
              </w:rPr>
            </w:pPr>
            <w:r w:rsidRPr="00D75194">
              <w:rPr>
                <w:rFonts w:eastAsia="Segoe UI" w:asciiTheme="minorHAnsi" w:hAnsiTheme="minorHAnsi" w:cstheme="minorHAnsi"/>
                <w:b/>
                <w:bCs/>
                <w:color w:val="FFFFFF"/>
              </w:rPr>
              <w:t>Criteria</w:t>
            </w:r>
          </w:p>
        </w:tc>
        <w:tc>
          <w:tcPr>
            <w:tcW w:w="2730" w:type="dxa"/>
            <w:shd w:val="clear" w:color="auto" w:fill="2B5A56" w:themeFill="accent5"/>
            <w:vAlign w:val="center"/>
          </w:tcPr>
          <w:p w:rsidRPr="00D75194" w:rsidR="00E31E37" w:rsidRDefault="00251F49" w14:paraId="65B11B11" w14:textId="3EA6BF5E">
            <w:pPr>
              <w:spacing w:before="60" w:after="60"/>
              <w:rPr>
                <w:rFonts w:eastAsia="Segoe UI" w:asciiTheme="minorHAnsi" w:hAnsiTheme="minorHAnsi"/>
                <w:b/>
                <w:color w:val="FFFFFF"/>
              </w:rPr>
            </w:pPr>
            <w:r w:rsidRPr="33F0DBBB">
              <w:rPr>
                <w:rFonts w:eastAsia="Segoe UI" w:asciiTheme="minorHAnsi" w:hAnsiTheme="minorHAnsi"/>
                <w:b/>
                <w:color w:val="FFFFFF" w:themeColor="background1"/>
              </w:rPr>
              <w:t>Evaluation question</w:t>
            </w:r>
            <w:r w:rsidR="007B106F">
              <w:rPr>
                <w:rFonts w:eastAsia="Segoe UI" w:asciiTheme="minorHAnsi" w:hAnsiTheme="minorHAnsi"/>
                <w:b/>
                <w:color w:val="FFFFFF" w:themeColor="background1"/>
              </w:rPr>
              <w:t>s</w:t>
            </w:r>
            <w:r w:rsidRPr="33F0DBBB">
              <w:rPr>
                <w:rFonts w:eastAsia="Segoe UI" w:asciiTheme="minorHAnsi" w:hAnsiTheme="minorHAnsi"/>
                <w:b/>
                <w:color w:val="FFFFFF" w:themeColor="background1"/>
              </w:rPr>
              <w:t xml:space="preserve"> </w:t>
            </w:r>
          </w:p>
        </w:tc>
        <w:tc>
          <w:tcPr>
            <w:tcW w:w="5400" w:type="dxa"/>
            <w:shd w:val="clear" w:color="auto" w:fill="2B5A56" w:themeFill="accent5"/>
            <w:vAlign w:val="center"/>
          </w:tcPr>
          <w:p w:rsidRPr="00D75194" w:rsidR="00E31E37" w:rsidRDefault="1C01C2C4" w14:paraId="5668359D" w14:textId="1E084B0C">
            <w:pPr>
              <w:spacing w:before="60" w:after="60"/>
              <w:rPr>
                <w:rFonts w:eastAsia="Segoe UI" w:asciiTheme="minorHAnsi" w:hAnsiTheme="minorHAnsi"/>
                <w:b/>
                <w:color w:val="FFFFFF"/>
              </w:rPr>
            </w:pPr>
            <w:r w:rsidRPr="280EBF0A">
              <w:rPr>
                <w:rFonts w:eastAsia="Segoe UI" w:asciiTheme="minorHAnsi" w:hAnsiTheme="minorHAnsi"/>
                <w:b/>
                <w:bCs/>
                <w:color w:val="FFFFFF" w:themeColor="background1"/>
              </w:rPr>
              <w:t>E</w:t>
            </w:r>
            <w:r w:rsidRPr="280EBF0A" w:rsidR="00251F49">
              <w:rPr>
                <w:rFonts w:eastAsia="Segoe UI" w:asciiTheme="minorHAnsi" w:hAnsiTheme="minorHAnsi"/>
                <w:b/>
                <w:bCs/>
                <w:color w:val="FFFFFF" w:themeColor="background1"/>
              </w:rPr>
              <w:t>valuation</w:t>
            </w:r>
            <w:r w:rsidRPr="280EBF0A" w:rsidR="00251F49">
              <w:rPr>
                <w:rFonts w:eastAsia="Segoe UI" w:asciiTheme="minorHAnsi" w:hAnsiTheme="minorHAnsi"/>
                <w:b/>
                <w:color w:val="FFFFFF" w:themeColor="background1"/>
              </w:rPr>
              <w:t xml:space="preserve"> </w:t>
            </w:r>
            <w:r w:rsidRPr="280EBF0A" w:rsidR="00D057F6">
              <w:rPr>
                <w:rFonts w:eastAsia="Segoe UI" w:asciiTheme="minorHAnsi" w:hAnsiTheme="minorHAnsi"/>
                <w:b/>
                <w:color w:val="FFFFFF" w:themeColor="background1"/>
              </w:rPr>
              <w:t>sub-</w:t>
            </w:r>
            <w:r w:rsidRPr="280EBF0A" w:rsidR="00251F49">
              <w:rPr>
                <w:rFonts w:eastAsia="Segoe UI" w:asciiTheme="minorHAnsi" w:hAnsiTheme="minorHAnsi"/>
                <w:b/>
                <w:color w:val="FFFFFF" w:themeColor="background1"/>
              </w:rPr>
              <w:t>question</w:t>
            </w:r>
            <w:r w:rsidR="007B106F">
              <w:rPr>
                <w:rFonts w:eastAsia="Segoe UI" w:asciiTheme="minorHAnsi" w:hAnsiTheme="minorHAnsi"/>
                <w:b/>
                <w:color w:val="FFFFFF" w:themeColor="background1"/>
              </w:rPr>
              <w:t>s</w:t>
            </w:r>
          </w:p>
        </w:tc>
      </w:tr>
      <w:tr w:rsidRPr="00D75194" w:rsidR="00E31E37" w:rsidTr="00601A39" w14:paraId="20F47ADA" w14:textId="77777777">
        <w:tc>
          <w:tcPr>
            <w:tcW w:w="1405" w:type="dxa"/>
            <w:vMerge w:val="restart"/>
            <w:vAlign w:val="center"/>
          </w:tcPr>
          <w:p w:rsidRPr="00D75194" w:rsidR="00E31E37" w:rsidRDefault="00E31E37" w14:paraId="30F97024" w14:textId="77777777">
            <w:pPr>
              <w:spacing w:before="60" w:after="60"/>
              <w:rPr>
                <w:rFonts w:eastAsia="Segoe UI" w:asciiTheme="minorHAnsi" w:hAnsiTheme="minorHAnsi" w:cstheme="minorHAnsi"/>
                <w:b/>
                <w:bCs/>
                <w:sz w:val="18"/>
                <w:szCs w:val="18"/>
              </w:rPr>
            </w:pPr>
            <w:r w:rsidRPr="00D75194">
              <w:rPr>
                <w:rFonts w:eastAsia="Segoe UI" w:asciiTheme="minorHAnsi" w:hAnsiTheme="minorHAnsi" w:cstheme="minorHAnsi"/>
                <w:b/>
                <w:bCs/>
                <w:sz w:val="18"/>
                <w:szCs w:val="18"/>
              </w:rPr>
              <w:t>Relevance</w:t>
            </w:r>
          </w:p>
        </w:tc>
        <w:tc>
          <w:tcPr>
            <w:tcW w:w="2730" w:type="dxa"/>
            <w:vMerge w:val="restart"/>
            <w:vAlign w:val="center"/>
          </w:tcPr>
          <w:p w:rsidRPr="00D75194" w:rsidR="00E31E37" w:rsidP="00866E69" w:rsidRDefault="00E31E37" w14:paraId="6C4FE65F" w14:textId="1B9A4F23">
            <w:pPr>
              <w:numPr>
                <w:ilvl w:val="0"/>
                <w:numId w:val="21"/>
              </w:numPr>
              <w:spacing w:before="60" w:after="60"/>
              <w:contextualSpacing/>
              <w:rPr>
                <w:rFonts w:eastAsia="Segoe UI" w:asciiTheme="minorHAnsi" w:hAnsiTheme="minorHAnsi"/>
                <w:sz w:val="18"/>
                <w:szCs w:val="18"/>
              </w:rPr>
            </w:pPr>
            <w:r w:rsidRPr="33F0DBBB">
              <w:rPr>
                <w:rFonts w:eastAsia="Segoe UI" w:asciiTheme="minorHAnsi" w:hAnsiTheme="minorHAnsi"/>
                <w:sz w:val="18"/>
                <w:szCs w:val="18"/>
              </w:rPr>
              <w:t xml:space="preserve">How, and in what ways, is the current CASA delivery model (including expertise, </w:t>
            </w:r>
            <w:r w:rsidRPr="33F0DBBB" w:rsidR="00D75F4C">
              <w:rPr>
                <w:rFonts w:eastAsia="Segoe UI" w:asciiTheme="minorHAnsi" w:hAnsiTheme="minorHAnsi"/>
                <w:sz w:val="18"/>
                <w:szCs w:val="18"/>
              </w:rPr>
              <w:t>interventions,</w:t>
            </w:r>
            <w:r w:rsidRPr="33F0DBBB">
              <w:rPr>
                <w:rFonts w:eastAsia="Segoe UI" w:asciiTheme="minorHAnsi" w:hAnsiTheme="minorHAnsi"/>
                <w:sz w:val="18"/>
                <w:szCs w:val="18"/>
              </w:rPr>
              <w:t xml:space="preserve"> and delivery) appropriate and sufficient to increase negotiator capacity and influence international negotiation approaches?</w:t>
            </w:r>
          </w:p>
        </w:tc>
        <w:tc>
          <w:tcPr>
            <w:tcW w:w="5400" w:type="dxa"/>
            <w:vAlign w:val="center"/>
          </w:tcPr>
          <w:p w:rsidRPr="00D75194" w:rsidR="00E31E37" w:rsidP="00866E69" w:rsidRDefault="004C77CE" w14:paraId="5045CDC9" w14:textId="5E652C40">
            <w:pPr>
              <w:numPr>
                <w:ilvl w:val="1"/>
                <w:numId w:val="21"/>
              </w:numPr>
              <w:spacing w:before="60" w:after="60"/>
              <w:ind w:left="428" w:hanging="428"/>
              <w:contextualSpacing/>
              <w:rPr>
                <w:rFonts w:eastAsia="Segoe UI" w:asciiTheme="minorHAnsi" w:hAnsiTheme="minorHAnsi"/>
                <w:sz w:val="18"/>
                <w:szCs w:val="18"/>
              </w:rPr>
            </w:pPr>
            <w:r w:rsidRPr="33F0DBBB">
              <w:rPr>
                <w:rFonts w:eastAsia="MS Mincho" w:asciiTheme="minorHAnsi" w:hAnsiTheme="minorHAnsi"/>
                <w:kern w:val="24"/>
                <w:sz w:val="18"/>
                <w:szCs w:val="18"/>
              </w:rPr>
              <w:t xml:space="preserve">To what extent does the pool of </w:t>
            </w:r>
            <w:r w:rsidRPr="33F0DBBB" w:rsidR="00690A66">
              <w:rPr>
                <w:rFonts w:eastAsia="MS Mincho" w:asciiTheme="minorHAnsi" w:hAnsiTheme="minorHAnsi"/>
                <w:kern w:val="24"/>
                <w:sz w:val="18"/>
                <w:szCs w:val="18"/>
              </w:rPr>
              <w:t>TP</w:t>
            </w:r>
            <w:r w:rsidRPr="33F0DBBB">
              <w:rPr>
                <w:rFonts w:eastAsia="MS Mincho" w:asciiTheme="minorHAnsi" w:hAnsiTheme="minorHAnsi"/>
                <w:kern w:val="24"/>
                <w:sz w:val="18"/>
                <w:szCs w:val="18"/>
              </w:rPr>
              <w:t>s and their ‘stock of assets’ sufficiently reflect the expertise required to address the needs of climate negotiators?</w:t>
            </w:r>
            <w:r w:rsidRPr="33F0DBBB" w:rsidDel="006B601D">
              <w:rPr>
                <w:rFonts w:eastAsia="MS Mincho" w:asciiTheme="minorHAnsi" w:hAnsiTheme="minorHAnsi"/>
                <w:kern w:val="24"/>
                <w:sz w:val="18"/>
                <w:szCs w:val="18"/>
              </w:rPr>
              <w:t xml:space="preserve"> </w:t>
            </w:r>
          </w:p>
        </w:tc>
      </w:tr>
      <w:tr w:rsidRPr="00D75194" w:rsidR="00E31E37" w:rsidTr="54BE7B3C" w14:paraId="4699BB96" w14:textId="77777777">
        <w:tc>
          <w:tcPr>
            <w:tcW w:w="1405" w:type="dxa"/>
            <w:vMerge/>
            <w:vAlign w:val="center"/>
          </w:tcPr>
          <w:p w:rsidRPr="00D75194" w:rsidR="00E31E37" w:rsidRDefault="00E31E37" w14:paraId="5E19C713"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P="00866E69" w:rsidRDefault="00E31E37" w14:paraId="1DF7017D"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shd w:val="clear" w:color="auto" w:fill="EBF1F0" w:themeFill="background2"/>
            <w:vAlign w:val="center"/>
          </w:tcPr>
          <w:p w:rsidRPr="00D75194" w:rsidR="00E31E37" w:rsidP="00866E69" w:rsidRDefault="00232779" w14:paraId="2800ED3B" w14:textId="398FF552">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Which aspects of the delivery model are most relevant</w:t>
            </w:r>
            <w:r w:rsidRPr="33F0DBBB" w:rsidR="005A7AC8">
              <w:rPr>
                <w:rFonts w:eastAsia="MS Mincho" w:asciiTheme="minorHAnsi" w:hAnsiTheme="minorHAnsi"/>
                <w:kern w:val="24"/>
                <w:sz w:val="18"/>
                <w:szCs w:val="18"/>
              </w:rPr>
              <w:t xml:space="preserve"> to,</w:t>
            </w:r>
            <w:r w:rsidRPr="33F0DBBB">
              <w:rPr>
                <w:rFonts w:eastAsia="MS Mincho" w:asciiTheme="minorHAnsi" w:hAnsiTheme="minorHAnsi"/>
                <w:kern w:val="24"/>
                <w:sz w:val="18"/>
                <w:szCs w:val="18"/>
              </w:rPr>
              <w:t xml:space="preserve"> and valued </w:t>
            </w:r>
            <w:r w:rsidRPr="33F0DBBB" w:rsidR="005A7AC8">
              <w:rPr>
                <w:rFonts w:eastAsia="MS Mincho" w:asciiTheme="minorHAnsi" w:hAnsiTheme="minorHAnsi"/>
                <w:kern w:val="24"/>
                <w:sz w:val="18"/>
                <w:szCs w:val="18"/>
              </w:rPr>
              <w:t xml:space="preserve">by, </w:t>
            </w:r>
            <w:r w:rsidRPr="33F0DBBB">
              <w:rPr>
                <w:rFonts w:eastAsia="MS Mincho" w:asciiTheme="minorHAnsi" w:hAnsiTheme="minorHAnsi"/>
                <w:kern w:val="24"/>
                <w:sz w:val="18"/>
                <w:szCs w:val="18"/>
              </w:rPr>
              <w:t>negotiating groups?</w:t>
            </w:r>
            <w:r w:rsidRPr="33F0DBBB" w:rsidDel="006B601D">
              <w:rPr>
                <w:rFonts w:eastAsia="MS Mincho" w:asciiTheme="minorHAnsi" w:hAnsiTheme="minorHAnsi"/>
                <w:kern w:val="24"/>
                <w:sz w:val="18"/>
                <w:szCs w:val="18"/>
              </w:rPr>
              <w:t xml:space="preserve"> </w:t>
            </w:r>
          </w:p>
        </w:tc>
      </w:tr>
      <w:tr w:rsidRPr="00D75194" w:rsidR="00E31E37" w:rsidTr="00601A39" w14:paraId="0CDFB787" w14:textId="77777777">
        <w:tc>
          <w:tcPr>
            <w:tcW w:w="1405" w:type="dxa"/>
            <w:vMerge/>
            <w:vAlign w:val="center"/>
          </w:tcPr>
          <w:p w:rsidRPr="00D75194" w:rsidR="00E31E37" w:rsidRDefault="00E31E37" w14:paraId="12BE4A74"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P="00866E69" w:rsidRDefault="00E31E37" w14:paraId="293AF944"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vAlign w:val="center"/>
          </w:tcPr>
          <w:p w:rsidRPr="00D75194" w:rsidR="00E31E37" w:rsidP="00866E69" w:rsidRDefault="000B4A10" w14:paraId="56797739" w14:textId="57E7C50E">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 xml:space="preserve">To what extent has CASA II adapted to align with: i) the needs of individual negotiators and negotiating groups; </w:t>
            </w:r>
            <w:r w:rsidRPr="33F0DBBB" w:rsidR="00416D2D">
              <w:rPr>
                <w:rFonts w:eastAsia="MS Mincho" w:asciiTheme="minorHAnsi" w:hAnsiTheme="minorHAnsi"/>
                <w:kern w:val="24"/>
                <w:sz w:val="18"/>
                <w:szCs w:val="18"/>
              </w:rPr>
              <w:t xml:space="preserve">and </w:t>
            </w:r>
            <w:r w:rsidRPr="33F0DBBB">
              <w:rPr>
                <w:rFonts w:eastAsia="MS Mincho" w:asciiTheme="minorHAnsi" w:hAnsiTheme="minorHAnsi"/>
                <w:kern w:val="24"/>
                <w:sz w:val="18"/>
                <w:szCs w:val="18"/>
              </w:rPr>
              <w:t>ii) the evolving climate negotiations space?</w:t>
            </w:r>
          </w:p>
        </w:tc>
      </w:tr>
      <w:tr w:rsidRPr="00D75194" w:rsidR="00E31E37" w:rsidTr="54BE7B3C" w14:paraId="3CA6F9F2" w14:textId="77777777">
        <w:tc>
          <w:tcPr>
            <w:tcW w:w="1405" w:type="dxa"/>
            <w:vMerge w:val="restart"/>
            <w:shd w:val="clear" w:color="auto" w:fill="EBF1F0" w:themeFill="background2"/>
            <w:vAlign w:val="center"/>
          </w:tcPr>
          <w:p w:rsidRPr="00D75194" w:rsidR="00E31E37" w:rsidRDefault="00E31E37" w14:paraId="7D906625" w14:textId="77777777">
            <w:pPr>
              <w:spacing w:before="60" w:after="60"/>
              <w:rPr>
                <w:rFonts w:eastAsia="Segoe UI" w:asciiTheme="minorHAnsi" w:hAnsiTheme="minorHAnsi" w:cstheme="minorHAnsi"/>
                <w:b/>
                <w:bCs/>
                <w:sz w:val="18"/>
                <w:szCs w:val="18"/>
              </w:rPr>
            </w:pPr>
            <w:r w:rsidRPr="00D75194">
              <w:rPr>
                <w:rFonts w:eastAsia="Segoe UI" w:asciiTheme="minorHAnsi" w:hAnsiTheme="minorHAnsi" w:cstheme="minorHAnsi"/>
                <w:b/>
                <w:bCs/>
                <w:sz w:val="18"/>
                <w:szCs w:val="18"/>
              </w:rPr>
              <w:t>Coherence</w:t>
            </w:r>
          </w:p>
        </w:tc>
        <w:tc>
          <w:tcPr>
            <w:tcW w:w="2730" w:type="dxa"/>
            <w:vMerge w:val="restart"/>
            <w:shd w:val="clear" w:color="auto" w:fill="EBF1F0" w:themeFill="background2"/>
            <w:vAlign w:val="center"/>
          </w:tcPr>
          <w:p w:rsidRPr="00D75194" w:rsidR="00E31E37" w:rsidP="00866E69" w:rsidRDefault="00E31E37" w14:paraId="27AB8ACF" w14:textId="77777777">
            <w:pPr>
              <w:numPr>
                <w:ilvl w:val="0"/>
                <w:numId w:val="21"/>
              </w:numPr>
              <w:spacing w:before="60" w:after="60"/>
              <w:ind w:left="277" w:hanging="270"/>
              <w:contextualSpacing/>
              <w:rPr>
                <w:rFonts w:eastAsia="Segoe UI" w:asciiTheme="minorHAnsi" w:hAnsiTheme="minorHAnsi"/>
                <w:sz w:val="18"/>
                <w:szCs w:val="18"/>
              </w:rPr>
            </w:pPr>
            <w:r w:rsidRPr="33F0DBBB">
              <w:rPr>
                <w:rFonts w:eastAsia="Segoe UI" w:asciiTheme="minorHAnsi" w:hAnsiTheme="minorHAnsi"/>
                <w:sz w:val="18"/>
                <w:szCs w:val="18"/>
              </w:rPr>
              <w:t>Do the CASA interventions demonstrate coherence across time?</w:t>
            </w:r>
          </w:p>
        </w:tc>
        <w:tc>
          <w:tcPr>
            <w:tcW w:w="5400" w:type="dxa"/>
            <w:shd w:val="clear" w:color="auto" w:fill="EBF1F0" w:themeFill="background2"/>
            <w:vAlign w:val="center"/>
          </w:tcPr>
          <w:p w:rsidRPr="00D75194" w:rsidR="00E31E37" w:rsidP="00866E69" w:rsidRDefault="008923D8" w14:paraId="7AF8FA4B" w14:textId="12355C55">
            <w:pPr>
              <w:numPr>
                <w:ilvl w:val="1"/>
                <w:numId w:val="21"/>
              </w:numPr>
              <w:spacing w:before="60" w:after="60"/>
              <w:ind w:left="428" w:hanging="428"/>
              <w:contextualSpacing/>
              <w:rPr>
                <w:rFonts w:eastAsia="MS Mincho" w:asciiTheme="minorHAnsi" w:hAnsiTheme="minorHAnsi" w:cstheme="minorHAnsi"/>
                <w:kern w:val="24"/>
                <w:sz w:val="18"/>
                <w:szCs w:val="18"/>
              </w:rPr>
            </w:pPr>
            <w:bookmarkStart w:name="_Hlk200630128" w:id="33"/>
            <w:r w:rsidRPr="00D75194">
              <w:rPr>
                <w:rFonts w:eastAsia="MS Mincho" w:asciiTheme="minorHAnsi" w:hAnsiTheme="minorHAnsi" w:cstheme="minorHAnsi"/>
                <w:kern w:val="24"/>
                <w:sz w:val="18"/>
                <w:szCs w:val="18"/>
              </w:rPr>
              <w:t>To what extent has CASA II remained consistent with its intended delivery model over time?</w:t>
            </w:r>
            <w:bookmarkEnd w:id="33"/>
          </w:p>
        </w:tc>
      </w:tr>
      <w:tr w:rsidRPr="00D75194" w:rsidR="00E31E37" w:rsidTr="00601A39" w14:paraId="5D837D7F" w14:textId="77777777">
        <w:tc>
          <w:tcPr>
            <w:tcW w:w="1405" w:type="dxa"/>
            <w:vMerge/>
            <w:vAlign w:val="center"/>
          </w:tcPr>
          <w:p w:rsidRPr="00D75194" w:rsidR="00E31E37" w:rsidRDefault="00E31E37" w14:paraId="6CCF8590"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P="00866E69" w:rsidRDefault="00E31E37" w14:paraId="7043DE8B"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vAlign w:val="center"/>
          </w:tcPr>
          <w:p w:rsidRPr="00D75194" w:rsidR="00E31E37" w:rsidP="00866E69" w:rsidRDefault="00FB3968" w14:paraId="76BD76CD" w14:textId="25177B50">
            <w:pPr>
              <w:numPr>
                <w:ilvl w:val="1"/>
                <w:numId w:val="21"/>
              </w:numPr>
              <w:spacing w:before="60" w:after="60"/>
              <w:ind w:left="428" w:hanging="428"/>
              <w:contextualSpacing/>
              <w:rPr>
                <w:rFonts w:eastAsia="MS Mincho" w:asciiTheme="minorHAnsi" w:hAnsiTheme="minorHAnsi"/>
                <w:kern w:val="24"/>
                <w:sz w:val="18"/>
                <w:szCs w:val="18"/>
              </w:rPr>
            </w:pPr>
            <w:bookmarkStart w:name="_Hlk200630154" w:id="34"/>
            <w:r w:rsidRPr="33F0DBBB">
              <w:rPr>
                <w:rFonts w:eastAsia="MS Mincho" w:asciiTheme="minorHAnsi" w:hAnsiTheme="minorHAnsi"/>
                <w:kern w:val="24"/>
                <w:sz w:val="18"/>
                <w:szCs w:val="18"/>
              </w:rPr>
              <w:t>To what extent is CASA II perceived to have integrated and built on the results of previous UK support?</w:t>
            </w:r>
            <w:r w:rsidRPr="33F0DBBB" w:rsidDel="006B601D">
              <w:rPr>
                <w:rFonts w:eastAsia="MS Mincho" w:asciiTheme="minorHAnsi" w:hAnsiTheme="minorHAnsi"/>
                <w:kern w:val="24"/>
                <w:sz w:val="18"/>
                <w:szCs w:val="18"/>
              </w:rPr>
              <w:t xml:space="preserve"> </w:t>
            </w:r>
            <w:bookmarkEnd w:id="34"/>
          </w:p>
        </w:tc>
      </w:tr>
      <w:tr w:rsidRPr="00D75194" w:rsidR="00E31E37" w:rsidTr="54BE7B3C" w14:paraId="1EB3913C" w14:textId="77777777">
        <w:tc>
          <w:tcPr>
            <w:tcW w:w="1405" w:type="dxa"/>
            <w:vMerge/>
            <w:vAlign w:val="center"/>
          </w:tcPr>
          <w:p w:rsidRPr="00D75194" w:rsidR="00E31E37" w:rsidRDefault="00E31E37" w14:paraId="1872680D"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P="00866E69" w:rsidRDefault="00E31E37" w14:paraId="780E7850"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shd w:val="clear" w:color="auto" w:fill="EBF1F0" w:themeFill="background2"/>
            <w:vAlign w:val="center"/>
          </w:tcPr>
          <w:p w:rsidRPr="00D75194" w:rsidR="00E31E37" w:rsidP="00866E69" w:rsidRDefault="00DE6C4C" w14:paraId="5E2A7ABD" w14:textId="7762B487">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 xml:space="preserve">To what extent has coherence between </w:t>
            </w:r>
            <w:r w:rsidRPr="33F0DBBB" w:rsidR="00690A66">
              <w:rPr>
                <w:rFonts w:eastAsia="MS Mincho" w:asciiTheme="minorHAnsi" w:hAnsiTheme="minorHAnsi"/>
                <w:kern w:val="24"/>
                <w:sz w:val="18"/>
                <w:szCs w:val="18"/>
              </w:rPr>
              <w:t>TP</w:t>
            </w:r>
            <w:r w:rsidRPr="33F0DBBB">
              <w:rPr>
                <w:rFonts w:eastAsia="MS Mincho" w:asciiTheme="minorHAnsi" w:hAnsiTheme="minorHAnsi"/>
                <w:kern w:val="24"/>
                <w:sz w:val="18"/>
                <w:szCs w:val="18"/>
              </w:rPr>
              <w:t>s added value in their support to a particular negotiating group?</w:t>
            </w:r>
          </w:p>
        </w:tc>
      </w:tr>
      <w:tr w:rsidRPr="00D75194" w:rsidR="00E31E37" w:rsidTr="00125CC1" w14:paraId="63A0F158" w14:textId="77777777">
        <w:tc>
          <w:tcPr>
            <w:tcW w:w="1405" w:type="dxa"/>
            <w:shd w:val="clear" w:color="auto" w:fill="FFFFFF" w:themeFill="background1"/>
            <w:vAlign w:val="center"/>
          </w:tcPr>
          <w:p w:rsidRPr="00D75194" w:rsidR="00E31E37" w:rsidRDefault="00E31E37" w14:paraId="0CB59620" w14:textId="77777777">
            <w:pPr>
              <w:spacing w:before="60" w:after="60"/>
              <w:rPr>
                <w:rFonts w:eastAsia="Segoe UI" w:asciiTheme="minorHAnsi" w:hAnsiTheme="minorHAnsi" w:cstheme="minorHAnsi"/>
                <w:b/>
                <w:bCs/>
                <w:sz w:val="18"/>
                <w:szCs w:val="18"/>
              </w:rPr>
            </w:pPr>
            <w:r w:rsidRPr="00D75194">
              <w:rPr>
                <w:rFonts w:eastAsia="Segoe UI" w:asciiTheme="minorHAnsi" w:hAnsiTheme="minorHAnsi" w:cstheme="minorHAnsi"/>
                <w:b/>
                <w:bCs/>
                <w:sz w:val="18"/>
                <w:szCs w:val="18"/>
              </w:rPr>
              <w:t xml:space="preserve">Efficiency </w:t>
            </w:r>
          </w:p>
        </w:tc>
        <w:tc>
          <w:tcPr>
            <w:tcW w:w="2730" w:type="dxa"/>
            <w:shd w:val="clear" w:color="auto" w:fill="FFFFFF" w:themeFill="background1"/>
            <w:vAlign w:val="center"/>
          </w:tcPr>
          <w:p w:rsidRPr="00D75194" w:rsidR="00E31E37" w:rsidP="00866E69" w:rsidRDefault="00E31E37" w14:paraId="2D4CF16A" w14:textId="1F076F6E">
            <w:pPr>
              <w:numPr>
                <w:ilvl w:val="0"/>
                <w:numId w:val="21"/>
              </w:numPr>
              <w:spacing w:before="60" w:after="60"/>
              <w:ind w:left="277" w:hanging="270"/>
              <w:contextualSpacing/>
              <w:rPr>
                <w:rFonts w:eastAsia="Segoe UI" w:asciiTheme="minorHAnsi" w:hAnsiTheme="minorHAnsi"/>
                <w:sz w:val="18"/>
                <w:szCs w:val="18"/>
              </w:rPr>
            </w:pPr>
            <w:r w:rsidRPr="33F0DBBB">
              <w:rPr>
                <w:rFonts w:eastAsia="Segoe UI" w:asciiTheme="minorHAnsi" w:hAnsiTheme="minorHAnsi"/>
                <w:sz w:val="18"/>
                <w:szCs w:val="18"/>
              </w:rPr>
              <w:t xml:space="preserve">To what extent does CASA represent </w:t>
            </w:r>
            <w:r w:rsidRPr="33F0DBBB" w:rsidR="00F97445">
              <w:rPr>
                <w:rFonts w:eastAsia="Segoe UI" w:asciiTheme="minorHAnsi" w:hAnsiTheme="minorHAnsi"/>
                <w:sz w:val="18"/>
                <w:szCs w:val="18"/>
              </w:rPr>
              <w:t>value for money (</w:t>
            </w:r>
            <w:r w:rsidRPr="33F0DBBB" w:rsidR="00B079A3">
              <w:rPr>
                <w:rFonts w:eastAsia="Segoe UI" w:asciiTheme="minorHAnsi" w:hAnsiTheme="minorHAnsi"/>
                <w:sz w:val="18"/>
                <w:szCs w:val="18"/>
              </w:rPr>
              <w:t>VFM</w:t>
            </w:r>
            <w:r w:rsidRPr="33F0DBBB" w:rsidR="00F97445">
              <w:rPr>
                <w:rFonts w:eastAsia="Segoe UI" w:asciiTheme="minorHAnsi" w:hAnsiTheme="minorHAnsi"/>
                <w:sz w:val="18"/>
                <w:szCs w:val="18"/>
              </w:rPr>
              <w:t>)</w:t>
            </w:r>
            <w:r w:rsidRPr="33F0DBBB">
              <w:rPr>
                <w:rFonts w:eastAsia="Segoe UI" w:asciiTheme="minorHAnsi" w:hAnsiTheme="minorHAnsi"/>
                <w:sz w:val="18"/>
                <w:szCs w:val="18"/>
              </w:rPr>
              <w:t>?</w:t>
            </w:r>
          </w:p>
        </w:tc>
        <w:tc>
          <w:tcPr>
            <w:tcW w:w="5400" w:type="dxa"/>
            <w:shd w:val="clear" w:color="auto" w:fill="FFFFFF" w:themeFill="background1"/>
            <w:vAlign w:val="center"/>
          </w:tcPr>
          <w:p w:rsidRPr="00D75194" w:rsidR="00E31E37" w:rsidP="00866E69" w:rsidRDefault="00E31E37" w14:paraId="7BD6344A" w14:textId="21FDAD9B">
            <w:pPr>
              <w:numPr>
                <w:ilvl w:val="1"/>
                <w:numId w:val="21"/>
              </w:numPr>
              <w:spacing w:before="60" w:after="60"/>
              <w:ind w:left="428" w:hanging="428"/>
              <w:contextualSpacing/>
              <w:rPr>
                <w:rFonts w:eastAsia="MS Mincho" w:asciiTheme="minorHAnsi" w:hAnsiTheme="minorHAnsi"/>
                <w:kern w:val="24"/>
                <w:sz w:val="18"/>
                <w:szCs w:val="18"/>
              </w:rPr>
            </w:pPr>
            <w:r w:rsidRPr="00D75194">
              <w:rPr>
                <w:rFonts w:eastAsia="MS Mincho" w:asciiTheme="minorHAnsi" w:hAnsiTheme="minorHAnsi"/>
                <w:kern w:val="24"/>
                <w:sz w:val="18"/>
                <w:szCs w:val="18"/>
              </w:rPr>
              <w:t xml:space="preserve">How and in what ways is CASA II delivering </w:t>
            </w:r>
            <w:r w:rsidRPr="33F0DBBB" w:rsidR="00B079A3">
              <w:rPr>
                <w:rFonts w:eastAsia="MS Mincho" w:asciiTheme="minorHAnsi" w:hAnsiTheme="minorHAnsi"/>
                <w:kern w:val="24"/>
                <w:sz w:val="18"/>
                <w:szCs w:val="18"/>
              </w:rPr>
              <w:t>VFM</w:t>
            </w:r>
            <w:r w:rsidRPr="00D75194">
              <w:rPr>
                <w:rFonts w:eastAsia="MS Mincho" w:asciiTheme="minorHAnsi" w:hAnsiTheme="minorHAnsi"/>
                <w:kern w:val="24"/>
                <w:sz w:val="18"/>
                <w:szCs w:val="18"/>
              </w:rPr>
              <w:t xml:space="preserve"> against the </w:t>
            </w:r>
            <w:r w:rsidRPr="00D75194" w:rsidR="00125CC1">
              <w:rPr>
                <w:rFonts w:eastAsia="MS Mincho" w:asciiTheme="minorHAnsi" w:hAnsiTheme="minorHAnsi"/>
                <w:kern w:val="24"/>
                <w:sz w:val="18"/>
                <w:szCs w:val="18"/>
              </w:rPr>
              <w:t>4Es</w:t>
            </w:r>
            <w:r w:rsidRPr="00D75194">
              <w:rPr>
                <w:rFonts w:eastAsia="MS Mincho" w:asciiTheme="minorHAnsi" w:hAnsiTheme="minorHAnsi"/>
                <w:kern w:val="24"/>
                <w:sz w:val="18"/>
                <w:szCs w:val="18"/>
              </w:rPr>
              <w:t xml:space="preserve"> framework of economy, efficiency, effectiveness, and equity? </w:t>
            </w:r>
          </w:p>
        </w:tc>
      </w:tr>
      <w:tr w:rsidRPr="00D75194" w:rsidR="00125CC1" w:rsidTr="54BE7B3C" w14:paraId="344F3CC9" w14:textId="77777777">
        <w:tc>
          <w:tcPr>
            <w:tcW w:w="1405" w:type="dxa"/>
            <w:vMerge w:val="restart"/>
            <w:shd w:val="clear" w:color="auto" w:fill="EBF1F0" w:themeFill="background2"/>
            <w:vAlign w:val="center"/>
          </w:tcPr>
          <w:p w:rsidRPr="00D75194" w:rsidR="00125CC1" w:rsidP="00125CC1" w:rsidRDefault="00125CC1" w14:paraId="3667F46A" w14:textId="50DC1290">
            <w:pPr>
              <w:spacing w:before="60" w:after="60"/>
              <w:rPr>
                <w:rFonts w:eastAsia="Segoe UI" w:asciiTheme="minorHAnsi" w:hAnsiTheme="minorHAnsi" w:cstheme="minorHAnsi"/>
                <w:b/>
                <w:bCs/>
                <w:sz w:val="18"/>
                <w:szCs w:val="18"/>
              </w:rPr>
            </w:pPr>
            <w:r w:rsidRPr="00D75194">
              <w:rPr>
                <w:rFonts w:eastAsia="Segoe UI" w:asciiTheme="minorHAnsi" w:hAnsiTheme="minorHAnsi" w:cstheme="minorHAnsi"/>
                <w:b/>
                <w:bCs/>
                <w:sz w:val="18"/>
                <w:szCs w:val="18"/>
              </w:rPr>
              <w:t>Effectiveness</w:t>
            </w:r>
          </w:p>
        </w:tc>
        <w:tc>
          <w:tcPr>
            <w:tcW w:w="2730" w:type="dxa"/>
            <w:vMerge w:val="restart"/>
            <w:shd w:val="clear" w:color="auto" w:fill="EBF1F0" w:themeFill="background2"/>
            <w:vAlign w:val="center"/>
          </w:tcPr>
          <w:p w:rsidRPr="00D75194" w:rsidR="00125CC1" w:rsidP="00866E69" w:rsidRDefault="00125CC1" w14:paraId="4D184599" w14:textId="61B973C3">
            <w:pPr>
              <w:numPr>
                <w:ilvl w:val="0"/>
                <w:numId w:val="21"/>
              </w:numPr>
              <w:spacing w:before="60" w:after="60"/>
              <w:ind w:left="277" w:hanging="270"/>
              <w:contextualSpacing/>
              <w:rPr>
                <w:rFonts w:eastAsia="Segoe UI" w:asciiTheme="minorHAnsi" w:hAnsiTheme="minorHAnsi"/>
                <w:sz w:val="18"/>
                <w:szCs w:val="18"/>
              </w:rPr>
            </w:pPr>
            <w:r w:rsidRPr="33F0DBBB">
              <w:rPr>
                <w:rFonts w:eastAsia="Segoe UI" w:asciiTheme="minorHAnsi" w:hAnsiTheme="minorHAnsi"/>
                <w:sz w:val="18"/>
                <w:szCs w:val="18"/>
              </w:rPr>
              <w:t>To what extent is the UK’s support under CASA II achieving its intended results?</w:t>
            </w:r>
            <w:r w:rsidRPr="33F0DBBB" w:rsidDel="006B601D">
              <w:rPr>
                <w:rFonts w:eastAsia="Segoe UI" w:asciiTheme="minorHAnsi" w:hAnsiTheme="minorHAnsi"/>
                <w:sz w:val="18"/>
                <w:szCs w:val="18"/>
              </w:rPr>
              <w:t xml:space="preserve"> </w:t>
            </w:r>
          </w:p>
        </w:tc>
        <w:tc>
          <w:tcPr>
            <w:tcW w:w="5400" w:type="dxa"/>
            <w:shd w:val="clear" w:color="auto" w:fill="EBF1F0" w:themeFill="background2"/>
            <w:vAlign w:val="center"/>
          </w:tcPr>
          <w:p w:rsidRPr="00D75194" w:rsidR="00125CC1" w:rsidP="00866E69" w:rsidRDefault="006F767C" w14:paraId="3732D62D" w14:textId="180CC3DB">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What progress has been made against CASA II logframe outputs and outcomes across both individual negotiator</w:t>
            </w:r>
            <w:r w:rsidRPr="33F0DBBB" w:rsidR="007511A7">
              <w:rPr>
                <w:rFonts w:eastAsia="MS Mincho" w:asciiTheme="minorHAnsi" w:hAnsiTheme="minorHAnsi"/>
                <w:kern w:val="24"/>
                <w:sz w:val="18"/>
                <w:szCs w:val="18"/>
              </w:rPr>
              <w:t xml:space="preserve"> support</w:t>
            </w:r>
            <w:r w:rsidRPr="33F0DBBB">
              <w:rPr>
                <w:rFonts w:eastAsia="MS Mincho" w:asciiTheme="minorHAnsi" w:hAnsiTheme="minorHAnsi"/>
                <w:kern w:val="24"/>
                <w:sz w:val="18"/>
                <w:szCs w:val="18"/>
              </w:rPr>
              <w:t xml:space="preserve"> and institutional capacity support?</w:t>
            </w:r>
            <w:r w:rsidRPr="33F0DBBB" w:rsidDel="006B601D">
              <w:rPr>
                <w:rFonts w:eastAsia="MS Mincho" w:asciiTheme="minorHAnsi" w:hAnsiTheme="minorHAnsi"/>
                <w:kern w:val="24"/>
                <w:sz w:val="18"/>
                <w:szCs w:val="18"/>
              </w:rPr>
              <w:t xml:space="preserve"> </w:t>
            </w:r>
          </w:p>
        </w:tc>
      </w:tr>
      <w:tr w:rsidRPr="00D75194" w:rsidR="00125CC1" w:rsidTr="54BE7B3C" w14:paraId="5A3203FD" w14:textId="77777777">
        <w:tc>
          <w:tcPr>
            <w:tcW w:w="1405" w:type="dxa"/>
            <w:vMerge/>
            <w:vAlign w:val="center"/>
          </w:tcPr>
          <w:p w:rsidRPr="00D75194" w:rsidR="00125CC1" w:rsidP="00125CC1" w:rsidRDefault="00125CC1" w14:paraId="6B898BBC"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125CC1" w:rsidP="00866E69" w:rsidRDefault="00125CC1" w14:paraId="16C2A0B6"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shd w:val="clear" w:color="auto" w:fill="FFFFFF" w:themeFill="background1"/>
            <w:vAlign w:val="center"/>
          </w:tcPr>
          <w:p w:rsidRPr="00D75194" w:rsidR="00CA4309" w:rsidP="00866E69" w:rsidRDefault="00CA4309" w14:paraId="1FB3E1C5" w14:textId="02305CAE">
            <w:pPr>
              <w:pStyle w:val="ListParagraph"/>
              <w:numPr>
                <w:ilvl w:val="1"/>
                <w:numId w:val="21"/>
              </w:numPr>
              <w:rPr>
                <w:rFonts w:eastAsia="MS Mincho" w:asciiTheme="minorHAnsi" w:hAnsiTheme="minorHAnsi"/>
                <w:kern w:val="24"/>
                <w:sz w:val="18"/>
                <w:szCs w:val="18"/>
              </w:rPr>
            </w:pPr>
            <w:r w:rsidRPr="33F0DBBB">
              <w:rPr>
                <w:rFonts w:eastAsia="MS Mincho" w:asciiTheme="minorHAnsi" w:hAnsiTheme="minorHAnsi"/>
                <w:kern w:val="24"/>
                <w:sz w:val="18"/>
                <w:szCs w:val="18"/>
              </w:rPr>
              <w:t>What are the main internal and external factors which have enabled or hindered CASA II</w:t>
            </w:r>
            <w:r w:rsidRPr="33F0DBBB" w:rsidR="008E7C9A">
              <w:rPr>
                <w:rFonts w:eastAsia="MS Mincho" w:asciiTheme="minorHAnsi" w:hAnsiTheme="minorHAnsi"/>
                <w:kern w:val="24"/>
                <w:sz w:val="18"/>
                <w:szCs w:val="18"/>
              </w:rPr>
              <w:t>-</w:t>
            </w:r>
            <w:r w:rsidRPr="33F0DBBB">
              <w:rPr>
                <w:rFonts w:eastAsia="MS Mincho" w:asciiTheme="minorHAnsi" w:hAnsiTheme="minorHAnsi"/>
                <w:kern w:val="24"/>
                <w:sz w:val="18"/>
                <w:szCs w:val="18"/>
              </w:rPr>
              <w:t xml:space="preserve">supported results? </w:t>
            </w:r>
          </w:p>
          <w:p w:rsidRPr="00D75194" w:rsidR="00125CC1" w:rsidP="00CA4309" w:rsidRDefault="00125CC1" w14:paraId="439C31DF" w14:textId="128BFE9F">
            <w:pPr>
              <w:spacing w:before="60" w:after="60"/>
              <w:contextualSpacing/>
              <w:rPr>
                <w:rFonts w:eastAsia="MS Mincho" w:asciiTheme="minorHAnsi" w:hAnsiTheme="minorHAnsi" w:cstheme="minorHAnsi"/>
                <w:kern w:val="24"/>
                <w:sz w:val="18"/>
                <w:szCs w:val="18"/>
              </w:rPr>
            </w:pPr>
          </w:p>
        </w:tc>
      </w:tr>
      <w:tr w:rsidRPr="00D75194" w:rsidR="00E31E37" w:rsidTr="00CA4309" w14:paraId="5F2617E4" w14:textId="77777777">
        <w:tc>
          <w:tcPr>
            <w:tcW w:w="1405" w:type="dxa"/>
            <w:vMerge w:val="restart"/>
            <w:vAlign w:val="center"/>
          </w:tcPr>
          <w:p w:rsidRPr="00D75194" w:rsidR="00E31E37" w:rsidRDefault="00E31E37" w14:paraId="30579D8D" w14:textId="77777777">
            <w:pPr>
              <w:spacing w:before="60" w:after="60"/>
              <w:rPr>
                <w:rFonts w:eastAsia="Segoe UI" w:asciiTheme="minorHAnsi" w:hAnsiTheme="minorHAnsi" w:cstheme="minorHAnsi"/>
                <w:b/>
                <w:bCs/>
                <w:sz w:val="18"/>
                <w:szCs w:val="18"/>
              </w:rPr>
            </w:pPr>
            <w:r w:rsidRPr="00D75194">
              <w:rPr>
                <w:rFonts w:eastAsia="Segoe UI" w:asciiTheme="minorHAnsi" w:hAnsiTheme="minorHAnsi" w:cstheme="minorHAnsi"/>
                <w:b/>
                <w:bCs/>
                <w:sz w:val="18"/>
                <w:szCs w:val="18"/>
              </w:rPr>
              <w:t>Impact</w:t>
            </w:r>
          </w:p>
        </w:tc>
        <w:tc>
          <w:tcPr>
            <w:tcW w:w="2730" w:type="dxa"/>
            <w:vMerge w:val="restart"/>
            <w:vAlign w:val="center"/>
          </w:tcPr>
          <w:p w:rsidRPr="00D75194" w:rsidR="00E31E37" w:rsidP="00866E69" w:rsidRDefault="00E31E37" w14:paraId="2C44093C" w14:textId="2A6F776F">
            <w:pPr>
              <w:numPr>
                <w:ilvl w:val="0"/>
                <w:numId w:val="21"/>
              </w:numPr>
              <w:spacing w:before="60" w:after="60"/>
              <w:ind w:left="277" w:hanging="270"/>
              <w:contextualSpacing/>
              <w:rPr>
                <w:rFonts w:eastAsia="Segoe UI" w:asciiTheme="minorHAnsi" w:hAnsiTheme="minorHAnsi"/>
                <w:sz w:val="18"/>
                <w:szCs w:val="18"/>
              </w:rPr>
            </w:pPr>
            <w:r w:rsidRPr="33F0DBBB">
              <w:rPr>
                <w:rFonts w:eastAsia="Segoe UI" w:asciiTheme="minorHAnsi" w:hAnsiTheme="minorHAnsi"/>
                <w:sz w:val="18"/>
                <w:szCs w:val="18"/>
              </w:rPr>
              <w:t>To what extent is the UK's support to country negotiators under CASA II contributing to</w:t>
            </w:r>
            <w:r w:rsidRPr="33F0DBBB" w:rsidR="006A4331">
              <w:rPr>
                <w:rFonts w:eastAsia="Segoe UI" w:asciiTheme="minorHAnsi" w:hAnsiTheme="minorHAnsi"/>
                <w:sz w:val="18"/>
                <w:szCs w:val="18"/>
              </w:rPr>
              <w:t>,</w:t>
            </w:r>
            <w:r w:rsidRPr="33F0DBBB">
              <w:rPr>
                <w:rFonts w:eastAsia="Segoe UI" w:asciiTheme="minorHAnsi" w:hAnsiTheme="minorHAnsi"/>
                <w:sz w:val="18"/>
                <w:szCs w:val="18"/>
              </w:rPr>
              <w:t xml:space="preserve"> or expected to contribute to</w:t>
            </w:r>
            <w:r w:rsidRPr="33F0DBBB" w:rsidR="006A4331">
              <w:rPr>
                <w:rFonts w:eastAsia="Segoe UI" w:asciiTheme="minorHAnsi" w:hAnsiTheme="minorHAnsi"/>
                <w:sz w:val="18"/>
                <w:szCs w:val="18"/>
              </w:rPr>
              <w:t>,</w:t>
            </w:r>
            <w:r w:rsidRPr="33F0DBBB">
              <w:rPr>
                <w:rFonts w:eastAsia="Segoe UI" w:asciiTheme="minorHAnsi" w:hAnsiTheme="minorHAnsi"/>
                <w:sz w:val="18"/>
                <w:szCs w:val="18"/>
              </w:rPr>
              <w:t xml:space="preserve"> its intended impact?</w:t>
            </w:r>
          </w:p>
        </w:tc>
        <w:tc>
          <w:tcPr>
            <w:tcW w:w="5400" w:type="dxa"/>
            <w:shd w:val="clear" w:color="auto" w:fill="EBF1F0" w:themeFill="background2"/>
            <w:vAlign w:val="center"/>
          </w:tcPr>
          <w:p w:rsidRPr="00D75194" w:rsidR="00E31E37" w:rsidP="00866E69" w:rsidRDefault="009C77A6" w14:paraId="49230290" w14:textId="4CAF9E89">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To what extent have Global South negotiators increased their capacity and capability to engage in international climate negotiations?</w:t>
            </w:r>
          </w:p>
        </w:tc>
      </w:tr>
      <w:tr w:rsidRPr="00D75194" w:rsidR="00E31E37" w:rsidTr="00CA4309" w14:paraId="4AAC388A" w14:textId="77777777">
        <w:tc>
          <w:tcPr>
            <w:tcW w:w="1405" w:type="dxa"/>
            <w:vMerge/>
            <w:vAlign w:val="center"/>
          </w:tcPr>
          <w:p w:rsidRPr="00D75194" w:rsidR="00E31E37" w:rsidRDefault="00E31E37" w14:paraId="536F6DE7"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P="00866E69" w:rsidRDefault="00E31E37" w14:paraId="74D81C38"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vAlign w:val="center"/>
          </w:tcPr>
          <w:p w:rsidRPr="00D75194" w:rsidR="00E31E37" w:rsidP="00866E69" w:rsidRDefault="008E3D32" w14:paraId="21BF805D" w14:textId="3700019B">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 xml:space="preserve">To what extent are </w:t>
            </w:r>
            <w:r w:rsidRPr="33F0DBBB" w:rsidR="00E31E37">
              <w:rPr>
                <w:rFonts w:eastAsia="MS Mincho" w:asciiTheme="minorHAnsi" w:hAnsiTheme="minorHAnsi"/>
                <w:kern w:val="24"/>
                <w:sz w:val="18"/>
                <w:szCs w:val="18"/>
              </w:rPr>
              <w:t xml:space="preserve">supported negotiating groups </w:t>
            </w:r>
            <w:r w:rsidRPr="33F0DBBB">
              <w:rPr>
                <w:rFonts w:eastAsia="MS Mincho" w:asciiTheme="minorHAnsi" w:hAnsiTheme="minorHAnsi"/>
                <w:kern w:val="24"/>
                <w:sz w:val="18"/>
                <w:szCs w:val="18"/>
              </w:rPr>
              <w:t>able to access, engage</w:t>
            </w:r>
            <w:r w:rsidRPr="33F0DBBB" w:rsidR="00E31E37">
              <w:rPr>
                <w:rFonts w:eastAsia="MS Mincho" w:asciiTheme="minorHAnsi" w:hAnsiTheme="minorHAnsi"/>
                <w:kern w:val="24"/>
                <w:sz w:val="18"/>
                <w:szCs w:val="18"/>
              </w:rPr>
              <w:t xml:space="preserve"> in</w:t>
            </w:r>
            <w:r w:rsidRPr="33F0DBBB" w:rsidR="002464DD">
              <w:rPr>
                <w:rFonts w:eastAsia="MS Mincho" w:asciiTheme="minorHAnsi" w:hAnsiTheme="minorHAnsi"/>
                <w:kern w:val="24"/>
                <w:sz w:val="18"/>
                <w:szCs w:val="18"/>
              </w:rPr>
              <w:t>,</w:t>
            </w:r>
            <w:r w:rsidRPr="33F0DBBB" w:rsidR="00E31E37">
              <w:rPr>
                <w:rFonts w:eastAsia="MS Mincho" w:asciiTheme="minorHAnsi" w:hAnsiTheme="minorHAnsi"/>
                <w:kern w:val="24"/>
                <w:sz w:val="18"/>
                <w:szCs w:val="18"/>
              </w:rPr>
              <w:t xml:space="preserve"> </w:t>
            </w:r>
            <w:r w:rsidRPr="33F0DBBB">
              <w:rPr>
                <w:rFonts w:eastAsia="MS Mincho" w:asciiTheme="minorHAnsi" w:hAnsiTheme="minorHAnsi"/>
                <w:kern w:val="24"/>
                <w:sz w:val="18"/>
                <w:szCs w:val="18"/>
              </w:rPr>
              <w:t>and influence</w:t>
            </w:r>
            <w:r w:rsidRPr="33F0DBBB" w:rsidR="00E31E37">
              <w:rPr>
                <w:rFonts w:eastAsia="MS Mincho" w:asciiTheme="minorHAnsi" w:hAnsiTheme="minorHAnsi"/>
                <w:kern w:val="24"/>
                <w:sz w:val="18"/>
                <w:szCs w:val="18"/>
              </w:rPr>
              <w:t xml:space="preserve"> international </w:t>
            </w:r>
            <w:r w:rsidRPr="33F0DBBB">
              <w:rPr>
                <w:rFonts w:eastAsia="MS Mincho" w:asciiTheme="minorHAnsi" w:hAnsiTheme="minorHAnsi"/>
                <w:kern w:val="24"/>
                <w:sz w:val="18"/>
                <w:szCs w:val="18"/>
              </w:rPr>
              <w:t xml:space="preserve">climate </w:t>
            </w:r>
            <w:r w:rsidRPr="33F0DBBB" w:rsidR="00E31E37">
              <w:rPr>
                <w:rFonts w:eastAsia="MS Mincho" w:asciiTheme="minorHAnsi" w:hAnsiTheme="minorHAnsi"/>
                <w:kern w:val="24"/>
                <w:sz w:val="18"/>
                <w:szCs w:val="18"/>
              </w:rPr>
              <w:t>negotiations?</w:t>
            </w:r>
          </w:p>
        </w:tc>
      </w:tr>
      <w:tr w:rsidRPr="00D75194" w:rsidR="00E31E37" w:rsidTr="00CA4309" w14:paraId="055BFA32" w14:textId="77777777">
        <w:tc>
          <w:tcPr>
            <w:tcW w:w="1405" w:type="dxa"/>
            <w:vMerge/>
            <w:vAlign w:val="center"/>
          </w:tcPr>
          <w:p w:rsidRPr="00D75194" w:rsidR="00E31E37" w:rsidRDefault="00E31E37" w14:paraId="4C01EE48"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P="00866E69" w:rsidRDefault="00E31E37" w14:paraId="011F2C6F"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shd w:val="clear" w:color="auto" w:fill="EBF1F0" w:themeFill="background2"/>
            <w:vAlign w:val="center"/>
          </w:tcPr>
          <w:p w:rsidRPr="00D75194" w:rsidR="00E31E37" w:rsidP="00866E69" w:rsidRDefault="00FB30AA" w14:paraId="23F83D7F" w14:textId="1EC7D8E8">
            <w:pPr>
              <w:numPr>
                <w:ilvl w:val="1"/>
                <w:numId w:val="21"/>
              </w:numPr>
              <w:spacing w:before="60" w:after="60"/>
              <w:ind w:left="428" w:hanging="428"/>
              <w:contextualSpacing/>
              <w:rPr>
                <w:rFonts w:eastAsia="MS Mincho" w:asciiTheme="minorHAnsi" w:hAnsiTheme="minorHAnsi" w:cstheme="minorHAnsi"/>
                <w:kern w:val="24"/>
                <w:sz w:val="18"/>
                <w:szCs w:val="18"/>
              </w:rPr>
            </w:pPr>
            <w:r w:rsidRPr="00D75194">
              <w:rPr>
                <w:rFonts w:eastAsia="MS Mincho" w:asciiTheme="minorHAnsi" w:hAnsiTheme="minorHAnsi" w:cstheme="minorHAnsi"/>
                <w:kern w:val="24"/>
                <w:sz w:val="18"/>
                <w:szCs w:val="18"/>
              </w:rPr>
              <w:t>To what extent are national actors able to implement international commitments made at a domestic level?</w:t>
            </w:r>
          </w:p>
        </w:tc>
      </w:tr>
      <w:tr w:rsidRPr="00D75194" w:rsidR="00CA4309" w:rsidTr="00CA4309" w14:paraId="07D4DC8B" w14:textId="77777777">
        <w:tc>
          <w:tcPr>
            <w:tcW w:w="1405" w:type="dxa"/>
            <w:vMerge/>
            <w:vAlign w:val="center"/>
          </w:tcPr>
          <w:p w:rsidRPr="00D75194" w:rsidR="00CA4309" w:rsidP="00125CC1" w:rsidRDefault="00CA4309" w14:paraId="34019C66"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CA4309" w:rsidP="00866E69" w:rsidRDefault="00CA4309" w14:paraId="3CD9BB1D"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vAlign w:val="center"/>
          </w:tcPr>
          <w:p w:rsidRPr="00D75194" w:rsidR="00CA4309" w:rsidP="00866E69" w:rsidRDefault="0055065F" w14:paraId="07EC1B02" w14:textId="6160B859">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What unintended impact</w:t>
            </w:r>
            <w:r w:rsidRPr="33F0DBBB" w:rsidR="00607173">
              <w:rPr>
                <w:rFonts w:eastAsia="MS Mincho" w:asciiTheme="minorHAnsi" w:hAnsiTheme="minorHAnsi"/>
                <w:kern w:val="24"/>
                <w:sz w:val="18"/>
                <w:szCs w:val="18"/>
              </w:rPr>
              <w:t>s</w:t>
            </w:r>
            <w:r w:rsidRPr="33F0DBBB">
              <w:rPr>
                <w:rFonts w:eastAsia="MS Mincho" w:asciiTheme="minorHAnsi" w:hAnsiTheme="minorHAnsi"/>
                <w:kern w:val="24"/>
                <w:sz w:val="18"/>
                <w:szCs w:val="18"/>
              </w:rPr>
              <w:t>—both positive and negative—has the CASA II programme contributed to?</w:t>
            </w:r>
          </w:p>
        </w:tc>
      </w:tr>
      <w:tr w:rsidRPr="00D75194" w:rsidR="00E31E37" w:rsidTr="54BE7B3C" w14:paraId="42A97F45" w14:textId="77777777">
        <w:tc>
          <w:tcPr>
            <w:tcW w:w="1405" w:type="dxa"/>
            <w:vMerge/>
            <w:vAlign w:val="center"/>
          </w:tcPr>
          <w:p w:rsidRPr="00D75194" w:rsidR="00E31E37" w:rsidRDefault="00E31E37" w14:paraId="349A12F7"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P="00866E69" w:rsidRDefault="00E31E37" w14:paraId="15D651CE" w14:textId="77777777">
            <w:pPr>
              <w:numPr>
                <w:ilvl w:val="0"/>
                <w:numId w:val="21"/>
              </w:numPr>
              <w:spacing w:before="60" w:after="60"/>
              <w:ind w:left="277" w:hanging="270"/>
              <w:contextualSpacing/>
              <w:rPr>
                <w:rFonts w:eastAsia="Segoe UI" w:asciiTheme="minorHAnsi" w:hAnsiTheme="minorHAnsi" w:cstheme="minorHAnsi"/>
                <w:sz w:val="18"/>
                <w:szCs w:val="18"/>
              </w:rPr>
            </w:pPr>
          </w:p>
        </w:tc>
        <w:tc>
          <w:tcPr>
            <w:tcW w:w="5400" w:type="dxa"/>
            <w:shd w:val="clear" w:color="auto" w:fill="EBF1F0" w:themeFill="background2"/>
            <w:vAlign w:val="center"/>
          </w:tcPr>
          <w:p w:rsidRPr="00D75194" w:rsidR="00E31E37" w:rsidP="00866E69" w:rsidRDefault="00A67BFF" w14:paraId="5A0D1347" w14:textId="4EC78900">
            <w:pPr>
              <w:numPr>
                <w:ilvl w:val="1"/>
                <w:numId w:val="21"/>
              </w:numPr>
              <w:spacing w:before="60" w:after="60"/>
              <w:ind w:left="428" w:hanging="428"/>
              <w:contextualSpacing/>
              <w:rPr>
                <w:rFonts w:eastAsia="MS Mincho" w:asciiTheme="minorHAnsi" w:hAnsiTheme="minorHAnsi"/>
                <w:kern w:val="24"/>
                <w:sz w:val="18"/>
                <w:szCs w:val="18"/>
              </w:rPr>
            </w:pPr>
            <w:r w:rsidRPr="33F0DBBB">
              <w:rPr>
                <w:rFonts w:eastAsia="MS Mincho" w:asciiTheme="minorHAnsi" w:hAnsiTheme="minorHAnsi"/>
                <w:kern w:val="24"/>
                <w:sz w:val="18"/>
                <w:szCs w:val="18"/>
              </w:rPr>
              <w:t>To what extent will</w:t>
            </w:r>
            <w:r w:rsidRPr="33F0DBBB" w:rsidR="00E31E37">
              <w:rPr>
                <w:rFonts w:eastAsia="MS Mincho" w:asciiTheme="minorHAnsi" w:hAnsiTheme="minorHAnsi"/>
                <w:kern w:val="24"/>
                <w:sz w:val="18"/>
                <w:szCs w:val="18"/>
              </w:rPr>
              <w:t xml:space="preserve"> CASA II</w:t>
            </w:r>
            <w:r w:rsidRPr="33F0DBBB" w:rsidR="000F35AC">
              <w:rPr>
                <w:rFonts w:eastAsia="MS Mincho" w:asciiTheme="minorHAnsi" w:hAnsiTheme="minorHAnsi"/>
                <w:kern w:val="24"/>
                <w:sz w:val="18"/>
                <w:szCs w:val="18"/>
              </w:rPr>
              <w:t>-</w:t>
            </w:r>
            <w:r w:rsidRPr="33F0DBBB" w:rsidR="00E31E37">
              <w:rPr>
                <w:rFonts w:eastAsia="MS Mincho" w:asciiTheme="minorHAnsi" w:hAnsiTheme="minorHAnsi"/>
                <w:kern w:val="24"/>
                <w:sz w:val="18"/>
                <w:szCs w:val="18"/>
              </w:rPr>
              <w:t>support</w:t>
            </w:r>
            <w:r w:rsidRPr="33F0DBBB" w:rsidR="000F35AC">
              <w:rPr>
                <w:rFonts w:eastAsia="MS Mincho" w:asciiTheme="minorHAnsi" w:hAnsiTheme="minorHAnsi"/>
                <w:kern w:val="24"/>
                <w:sz w:val="18"/>
                <w:szCs w:val="18"/>
              </w:rPr>
              <w:t>ed</w:t>
            </w:r>
            <w:r w:rsidRPr="33F0DBBB" w:rsidR="00E31E37">
              <w:rPr>
                <w:rFonts w:eastAsia="MS Mincho" w:asciiTheme="minorHAnsi" w:hAnsiTheme="minorHAnsi"/>
                <w:kern w:val="24"/>
                <w:sz w:val="18"/>
                <w:szCs w:val="18"/>
              </w:rPr>
              <w:t xml:space="preserve"> activities contribute to transformational change (KPI 15)?</w:t>
            </w:r>
          </w:p>
        </w:tc>
      </w:tr>
      <w:tr w:rsidRPr="00D75194" w:rsidR="00E31E37" w:rsidTr="54BE7B3C" w14:paraId="3F60C09B" w14:textId="77777777">
        <w:trPr>
          <w:trHeight w:val="629"/>
        </w:trPr>
        <w:tc>
          <w:tcPr>
            <w:tcW w:w="1405" w:type="dxa"/>
            <w:vMerge w:val="restart"/>
            <w:shd w:val="clear" w:color="auto" w:fill="EBF1F0" w:themeFill="background2"/>
            <w:vAlign w:val="center"/>
          </w:tcPr>
          <w:p w:rsidRPr="00D75194" w:rsidR="00E31E37" w:rsidRDefault="00E31E37" w14:paraId="7B844E95" w14:textId="77777777">
            <w:pPr>
              <w:spacing w:before="60" w:after="60"/>
              <w:rPr>
                <w:rFonts w:eastAsia="Segoe UI" w:asciiTheme="minorHAnsi" w:hAnsiTheme="minorHAnsi" w:cstheme="minorHAnsi"/>
                <w:b/>
                <w:bCs/>
                <w:sz w:val="18"/>
                <w:szCs w:val="18"/>
              </w:rPr>
            </w:pPr>
            <w:r w:rsidRPr="00D75194">
              <w:rPr>
                <w:rFonts w:eastAsia="Segoe UI" w:asciiTheme="minorHAnsi" w:hAnsiTheme="minorHAnsi" w:cstheme="minorHAnsi"/>
                <w:b/>
                <w:bCs/>
                <w:sz w:val="18"/>
                <w:szCs w:val="18"/>
              </w:rPr>
              <w:t xml:space="preserve">Sustainability </w:t>
            </w:r>
          </w:p>
        </w:tc>
        <w:tc>
          <w:tcPr>
            <w:tcW w:w="2730" w:type="dxa"/>
            <w:vMerge w:val="restart"/>
            <w:shd w:val="clear" w:color="auto" w:fill="EBF1F0" w:themeFill="background2"/>
            <w:vAlign w:val="center"/>
          </w:tcPr>
          <w:p w:rsidRPr="00D75194" w:rsidR="00E31E37" w:rsidP="00866E69" w:rsidRDefault="00E31E37" w14:paraId="1DC7A623" w14:textId="77777777">
            <w:pPr>
              <w:numPr>
                <w:ilvl w:val="0"/>
                <w:numId w:val="21"/>
              </w:numPr>
              <w:spacing w:before="60" w:after="60"/>
              <w:ind w:left="277" w:hanging="270"/>
              <w:contextualSpacing/>
              <w:rPr>
                <w:rFonts w:eastAsia="Segoe UI" w:asciiTheme="minorHAnsi" w:hAnsiTheme="minorHAnsi" w:cstheme="minorHAnsi"/>
                <w:sz w:val="18"/>
                <w:szCs w:val="18"/>
              </w:rPr>
            </w:pPr>
            <w:r w:rsidRPr="00D75194">
              <w:rPr>
                <w:rFonts w:eastAsia="Segoe UI" w:asciiTheme="minorHAnsi" w:hAnsiTheme="minorHAnsi" w:cstheme="minorHAnsi"/>
                <w:sz w:val="18"/>
                <w:szCs w:val="18"/>
              </w:rPr>
              <w:t xml:space="preserve">Are the results of the UK’s long-term support to developing country negotiators likely to be sustained beyond CASA II’s completion? </w:t>
            </w:r>
          </w:p>
        </w:tc>
        <w:tc>
          <w:tcPr>
            <w:tcW w:w="5400" w:type="dxa"/>
            <w:vAlign w:val="center"/>
          </w:tcPr>
          <w:p w:rsidRPr="00D75194" w:rsidR="00E31E37" w:rsidP="00866E69" w:rsidRDefault="00277BE7" w14:paraId="0F3D57DF" w14:textId="386AC452">
            <w:pPr>
              <w:numPr>
                <w:ilvl w:val="1"/>
                <w:numId w:val="21"/>
              </w:numPr>
              <w:spacing w:before="60" w:after="60"/>
              <w:ind w:left="428" w:hanging="428"/>
              <w:contextualSpacing/>
              <w:rPr>
                <w:rFonts w:eastAsia="MS Mincho" w:asciiTheme="minorHAnsi" w:hAnsiTheme="minorHAnsi" w:cstheme="minorHAnsi"/>
                <w:kern w:val="24"/>
                <w:sz w:val="18"/>
                <w:szCs w:val="18"/>
              </w:rPr>
            </w:pPr>
            <w:r w:rsidRPr="00D75194">
              <w:rPr>
                <w:rFonts w:eastAsia="MS Mincho" w:asciiTheme="minorHAnsi" w:hAnsiTheme="minorHAnsi" w:cstheme="minorHAnsi"/>
                <w:kern w:val="24"/>
                <w:sz w:val="18"/>
                <w:szCs w:val="18"/>
              </w:rPr>
              <w:t>What should sustainability entail for CASA-supported people and negotiation groups?</w:t>
            </w:r>
          </w:p>
        </w:tc>
      </w:tr>
      <w:tr w:rsidRPr="00D75194" w:rsidR="00E31E37" w:rsidTr="54BE7B3C" w14:paraId="64BCF4CD" w14:textId="77777777">
        <w:tc>
          <w:tcPr>
            <w:tcW w:w="1405" w:type="dxa"/>
            <w:vMerge/>
            <w:vAlign w:val="center"/>
          </w:tcPr>
          <w:p w:rsidRPr="00D75194" w:rsidR="00E31E37" w:rsidRDefault="00E31E37" w14:paraId="7DC9D5CB" w14:textId="77777777">
            <w:pPr>
              <w:spacing w:before="60" w:after="60"/>
              <w:rPr>
                <w:rFonts w:eastAsia="Segoe UI" w:asciiTheme="minorHAnsi" w:hAnsiTheme="minorHAnsi" w:cstheme="minorHAnsi"/>
                <w:b/>
                <w:bCs/>
                <w:sz w:val="18"/>
                <w:szCs w:val="18"/>
              </w:rPr>
            </w:pPr>
          </w:p>
        </w:tc>
        <w:tc>
          <w:tcPr>
            <w:tcW w:w="2730" w:type="dxa"/>
            <w:vMerge/>
            <w:vAlign w:val="center"/>
          </w:tcPr>
          <w:p w:rsidRPr="00D75194" w:rsidR="00E31E37" w:rsidRDefault="00E31E37" w14:paraId="431BC4A2" w14:textId="77777777">
            <w:pPr>
              <w:spacing w:before="60" w:after="60"/>
              <w:rPr>
                <w:rFonts w:eastAsia="Segoe UI" w:asciiTheme="minorHAnsi" w:hAnsiTheme="minorHAnsi" w:cstheme="minorHAnsi"/>
                <w:sz w:val="18"/>
                <w:szCs w:val="18"/>
              </w:rPr>
            </w:pPr>
          </w:p>
        </w:tc>
        <w:tc>
          <w:tcPr>
            <w:tcW w:w="5400" w:type="dxa"/>
            <w:shd w:val="clear" w:color="auto" w:fill="EBF1F0" w:themeFill="background2"/>
            <w:vAlign w:val="center"/>
          </w:tcPr>
          <w:p w:rsidRPr="00D75194" w:rsidR="00E31E37" w:rsidP="00866E69" w:rsidRDefault="00E2107C" w14:paraId="1B53464F" w14:textId="5343DA8F">
            <w:pPr>
              <w:numPr>
                <w:ilvl w:val="1"/>
                <w:numId w:val="21"/>
              </w:numPr>
              <w:spacing w:before="60" w:after="60"/>
              <w:ind w:left="428" w:hanging="428"/>
              <w:contextualSpacing/>
              <w:rPr>
                <w:rFonts w:eastAsia="MS Mincho" w:asciiTheme="minorHAnsi" w:hAnsiTheme="minorHAnsi" w:cstheme="minorHAnsi"/>
                <w:kern w:val="24"/>
                <w:sz w:val="18"/>
                <w:szCs w:val="18"/>
              </w:rPr>
            </w:pPr>
            <w:r w:rsidRPr="00D75194">
              <w:rPr>
                <w:rFonts w:eastAsia="MS Mincho" w:asciiTheme="minorHAnsi" w:hAnsiTheme="minorHAnsi" w:cstheme="minorHAnsi"/>
                <w:kern w:val="24"/>
                <w:sz w:val="18"/>
                <w:szCs w:val="18"/>
              </w:rPr>
              <w:t>To what extent are CASA-supported results likely to be sustained, and how?</w:t>
            </w:r>
          </w:p>
        </w:tc>
      </w:tr>
    </w:tbl>
    <w:p w:rsidRPr="00D75194" w:rsidR="00E31E37" w:rsidP="00E31E37" w:rsidRDefault="00E31E37" w14:paraId="40084DD7" w14:textId="77777777"/>
    <w:p w:rsidRPr="00D75194" w:rsidR="00E31E37" w:rsidP="0067244D" w:rsidRDefault="00E31E37" w14:paraId="53494A42" w14:textId="77777777">
      <w:pPr>
        <w:pStyle w:val="Heading2"/>
      </w:pPr>
      <w:bookmarkStart w:name="_Toc201170685" w:id="35"/>
      <w:bookmarkStart w:name="_Toc201170686" w:id="36"/>
      <w:bookmarkStart w:name="_Toc201170687" w:id="37"/>
      <w:bookmarkStart w:name="_Toc201170688" w:id="38"/>
      <w:bookmarkStart w:name="_Toc201170689" w:id="39"/>
      <w:bookmarkStart w:name="_Toc201170690" w:id="40"/>
      <w:bookmarkStart w:name="_Toc201170691" w:id="41"/>
      <w:bookmarkStart w:name="_Toc201170692" w:id="42"/>
      <w:bookmarkStart w:name="_Toc201170693" w:id="43"/>
      <w:bookmarkStart w:name="_Toc201170710" w:id="44"/>
      <w:bookmarkStart w:name="_Toc214452909" w:id="45"/>
      <w:bookmarkEnd w:id="35"/>
      <w:bookmarkEnd w:id="36"/>
      <w:bookmarkEnd w:id="37"/>
      <w:bookmarkEnd w:id="38"/>
      <w:bookmarkEnd w:id="39"/>
      <w:bookmarkEnd w:id="40"/>
      <w:bookmarkEnd w:id="41"/>
      <w:bookmarkEnd w:id="42"/>
      <w:bookmarkEnd w:id="43"/>
      <w:bookmarkEnd w:id="44"/>
      <w:r w:rsidRPr="00D75194">
        <w:t>Analysis</w:t>
      </w:r>
      <w:bookmarkEnd w:id="45"/>
      <w:r w:rsidRPr="00D75194">
        <w:t xml:space="preserve"> </w:t>
      </w:r>
    </w:p>
    <w:p w:rsidRPr="00D75194" w:rsidR="00E31E37" w:rsidP="00E31E37" w:rsidRDefault="00E31E37" w14:paraId="0B89C57E" w14:textId="179516A4">
      <w:r w:rsidRPr="00D75194">
        <w:t>Ahead of all data collection and</w:t>
      </w:r>
      <w:r w:rsidRPr="00D75194" w:rsidR="006912AD">
        <w:t xml:space="preserve"> the</w:t>
      </w:r>
      <w:r w:rsidRPr="00D75194">
        <w:t xml:space="preserve"> document review, the LEP </w:t>
      </w:r>
      <w:r w:rsidRPr="00D75194" w:rsidR="00FD5C7F">
        <w:t xml:space="preserve">team </w:t>
      </w:r>
      <w:r w:rsidRPr="00D75194">
        <w:t xml:space="preserve">developed a coding </w:t>
      </w:r>
      <w:r w:rsidRPr="00D75194" w:rsidR="00BC1C43">
        <w:t>framework</w:t>
      </w:r>
      <w:r w:rsidRPr="00D75194" w:rsidR="00527EEF">
        <w:t xml:space="preserve"> in </w:t>
      </w:r>
      <w:r w:rsidRPr="00D75194" w:rsidR="00DE2BEF">
        <w:t>MAXQDA</w:t>
      </w:r>
      <w:r w:rsidRPr="00D75194" w:rsidR="005D42FC">
        <w:t>,</w:t>
      </w:r>
      <w:r w:rsidRPr="00D75194" w:rsidR="00E86E43">
        <w:rPr>
          <w:rStyle w:val="FootnoteReference"/>
        </w:rPr>
        <w:footnoteReference w:id="6"/>
      </w:r>
      <w:r w:rsidRPr="00D75194" w:rsidR="00BC1C43">
        <w:t xml:space="preserve"> based</w:t>
      </w:r>
      <w:r w:rsidRPr="00D75194">
        <w:t xml:space="preserve"> largely around the evaluation questions and sub-questions. The LEP team undertook its analysis of the coded data during </w:t>
      </w:r>
      <w:r w:rsidRPr="00D75194" w:rsidR="00B13227">
        <w:t xml:space="preserve">May </w:t>
      </w:r>
      <w:r w:rsidRPr="00D75194">
        <w:t xml:space="preserve">and </w:t>
      </w:r>
      <w:r w:rsidRPr="00D75194" w:rsidR="00B13227">
        <w:t>June</w:t>
      </w:r>
      <w:r w:rsidRPr="00D75194">
        <w:t xml:space="preserve"> 202</w:t>
      </w:r>
      <w:r w:rsidRPr="00D75194" w:rsidR="008E1AF0">
        <w:t>5</w:t>
      </w:r>
      <w:r w:rsidRPr="00D75194">
        <w:t>, with</w:t>
      </w:r>
      <w:r w:rsidRPr="00D75194" w:rsidR="00FA0894">
        <w:t xml:space="preserve"> all documents and transcribed interviews coded against this framework</w:t>
      </w:r>
      <w:r w:rsidRPr="00D75194" w:rsidR="001D2A2B">
        <w:t>.</w:t>
      </w:r>
      <w:r w:rsidRPr="00D75194" w:rsidR="007425A4">
        <w:t xml:space="preserve"> </w:t>
      </w:r>
    </w:p>
    <w:p w:rsidRPr="00D75194" w:rsidR="002A63DD" w:rsidP="002A63DD" w:rsidRDefault="00C32014" w14:paraId="1F80A8C1" w14:textId="71A0BDA6">
      <w:r w:rsidRPr="00D75194">
        <w:t xml:space="preserve">The analytical approach for the contribution stories was set out in detail in the </w:t>
      </w:r>
      <w:r w:rsidR="009E36D7">
        <w:t>a</w:t>
      </w:r>
      <w:r w:rsidR="7E1499A5">
        <w:t xml:space="preserve">pproach </w:t>
      </w:r>
      <w:r w:rsidR="0326BCCC">
        <w:t>p</w:t>
      </w:r>
      <w:r w:rsidR="7E1499A5">
        <w:t>aper</w:t>
      </w:r>
      <w:r w:rsidRPr="00D75194">
        <w:t xml:space="preserve"> for the </w:t>
      </w:r>
      <w:r w:rsidR="00494461">
        <w:t>final</w:t>
      </w:r>
      <w:r w:rsidRPr="00D75194" w:rsidR="00494461">
        <w:t xml:space="preserve"> evaluation</w:t>
      </w:r>
      <w:r w:rsidRPr="00D75194">
        <w:t>.</w:t>
      </w:r>
      <w:r w:rsidRPr="00D75194" w:rsidDel="006B601D">
        <w:t xml:space="preserve"> </w:t>
      </w:r>
      <w:r w:rsidRPr="00D75194">
        <w:t xml:space="preserve">It </w:t>
      </w:r>
      <w:r w:rsidRPr="00D75194" w:rsidR="00EB5F4E">
        <w:t>is</w:t>
      </w:r>
      <w:r w:rsidRPr="00D75194">
        <w:t xml:space="preserve"> important to note that the </w:t>
      </w:r>
      <w:r w:rsidRPr="00D75194" w:rsidR="00560618">
        <w:t xml:space="preserve">LEP </w:t>
      </w:r>
      <w:r w:rsidRPr="00D75194">
        <w:t>team</w:t>
      </w:r>
      <w:r w:rsidRPr="00D75194" w:rsidR="00F33CB5">
        <w:t xml:space="preserve"> was able to follow the proposed method (see </w:t>
      </w:r>
      <w:r w:rsidRPr="00D75194" w:rsidR="00E0733A">
        <w:t xml:space="preserve">Figure </w:t>
      </w:r>
      <w:r w:rsidRPr="00D75194" w:rsidR="005B1223">
        <w:t>2</w:t>
      </w:r>
      <w:r w:rsidRPr="00D75194" w:rsidR="00F33CB5">
        <w:t xml:space="preserve"> below</w:t>
      </w:r>
      <w:r w:rsidRPr="00D75194" w:rsidR="00CE051A">
        <w:t>),</w:t>
      </w:r>
      <w:r w:rsidRPr="00D75194" w:rsidR="00F33CB5">
        <w:t xml:space="preserve"> and</w:t>
      </w:r>
      <w:r w:rsidRPr="00D75194" w:rsidR="00520BB4">
        <w:t xml:space="preserve"> all stories went through multiple iterations, seeking out additional evidence to revise and strengthen the contribution stories. </w:t>
      </w:r>
    </w:p>
    <w:p w:rsidRPr="00D75194" w:rsidR="002E7795" w:rsidP="002E7795" w:rsidRDefault="00616B5D" w14:paraId="71414608" w14:textId="75217489">
      <w:pPr>
        <w:keepNext/>
      </w:pPr>
      <w:r w:rsidRPr="00D75194">
        <w:rPr>
          <w:noProof/>
        </w:rPr>
        <w:drawing>
          <wp:inline distT="0" distB="0" distL="0" distR="0" wp14:anchorId="10C36077" wp14:editId="0E21ADCE">
            <wp:extent cx="6285953" cy="1447800"/>
            <wp:effectExtent l="0" t="0" r="0" b="0"/>
            <wp:docPr id="1607154351" name="Picture 26" descr="Stepwise contribution story analytical approach. This includes 5 steps: 1. approach TPs and sift for stories; 2. gather existing evidence against stories; 3. assemble and assess contribution story; 4. seek out additional evidence; 5. revise and strengthen contributio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4351" name="Picture 26" descr="Stepwise contribution story analytical approach. This includes 5 steps: 1. approach TPs and sift for stories; 2. gather existing evidence against stories; 3. assemble and assess contribution story; 4. seek out additional evidence; 5. revise and strengthen contribution story."/>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a:fillRect/>
                    </a:stretch>
                  </pic:blipFill>
                  <pic:spPr bwMode="auto">
                    <a:xfrm>
                      <a:off x="0" y="0"/>
                      <a:ext cx="6330966" cy="1458167"/>
                    </a:xfrm>
                    <a:prstGeom prst="rect">
                      <a:avLst/>
                    </a:prstGeom>
                    <a:noFill/>
                    <a:ln>
                      <a:noFill/>
                    </a:ln>
                    <a:extLst>
                      <a:ext uri="{53640926-AAD7-44D8-BBD7-CCE9431645EC}">
                        <a14:shadowObscured xmlns:a14="http://schemas.microsoft.com/office/drawing/2010/main"/>
                      </a:ext>
                    </a:extLst>
                  </pic:spPr>
                </pic:pic>
              </a:graphicData>
            </a:graphic>
          </wp:inline>
        </w:drawing>
      </w:r>
    </w:p>
    <w:p w:rsidRPr="00D75194" w:rsidR="00EB5F4E" w:rsidP="004D7A82" w:rsidRDefault="004D7A82" w14:paraId="7424160F" w14:textId="6B766B45">
      <w:pPr>
        <w:pStyle w:val="Caption"/>
      </w:pPr>
      <w:bookmarkStart w:name="_Toc214453003" w:id="46"/>
      <w:r w:rsidRPr="00D75194">
        <w:t xml:space="preserve">Figure </w:t>
      </w:r>
      <w:r w:rsidRPr="00D75194">
        <w:fldChar w:fldCharType="begin"/>
      </w:r>
      <w:r w:rsidRPr="00D75194">
        <w:instrText xml:space="preserve"> SEQ Figure \* ARABIC </w:instrText>
      </w:r>
      <w:r w:rsidRPr="00D75194">
        <w:fldChar w:fldCharType="separate"/>
      </w:r>
      <w:r w:rsidRPr="00D75194">
        <w:t>2</w:t>
      </w:r>
      <w:r w:rsidRPr="00D75194">
        <w:fldChar w:fldCharType="end"/>
      </w:r>
      <w:r w:rsidRPr="00D75194" w:rsidR="00F76D3F">
        <w:t>:</w:t>
      </w:r>
      <w:r w:rsidRPr="00D75194" w:rsidR="002E7795">
        <w:t xml:space="preserve"> Contribution story analytical approach</w:t>
      </w:r>
      <w:bookmarkEnd w:id="46"/>
    </w:p>
    <w:p w:rsidRPr="00D75194" w:rsidR="00516E8C" w:rsidP="00516E8C" w:rsidRDefault="00516E8C" w14:paraId="237F70F7" w14:textId="77777777"/>
    <w:p w:rsidRPr="00D75194" w:rsidR="00E31E37" w:rsidP="0067244D" w:rsidRDefault="00E31E37" w14:paraId="3F6A38FB" w14:textId="77777777">
      <w:pPr>
        <w:pStyle w:val="Heading2"/>
      </w:pPr>
      <w:bookmarkStart w:name="_Toc201170712" w:id="47"/>
      <w:bookmarkStart w:name="_Ref173432950" w:id="48"/>
      <w:bookmarkStart w:name="_Ref173434168" w:id="49"/>
      <w:bookmarkStart w:name="_Toc214452910" w:id="50"/>
      <w:bookmarkEnd w:id="47"/>
      <w:r w:rsidRPr="00D75194">
        <w:t>Limitations</w:t>
      </w:r>
      <w:bookmarkEnd w:id="48"/>
      <w:bookmarkEnd w:id="49"/>
      <w:bookmarkEnd w:id="50"/>
      <w:r w:rsidRPr="00D75194">
        <w:t xml:space="preserve"> </w:t>
      </w:r>
    </w:p>
    <w:p w:rsidRPr="00B365AF" w:rsidR="00B365AF" w:rsidP="00EC7EB8" w:rsidRDefault="00B365AF" w14:paraId="784053EB" w14:textId="6554B96C">
      <w:r w:rsidRPr="00B365AF">
        <w:t xml:space="preserve">Following the data challenges identified during the interim evaluation, </w:t>
      </w:r>
      <w:r w:rsidRPr="00D75194" w:rsidR="002978B0">
        <w:t>the LEP team raised evidence gaps and worked closely with DAI and DESNZ to understand data limitations</w:t>
      </w:r>
      <w:r w:rsidR="002978B0">
        <w:t xml:space="preserve"> t</w:t>
      </w:r>
      <w:r w:rsidRPr="00D75194" w:rsidR="002978B0">
        <w:t>hroughout the final evaluation.</w:t>
      </w:r>
      <w:r w:rsidRPr="00D75194" w:rsidR="002978B0">
        <w:rPr>
          <w:rStyle w:val="FootnoteReference"/>
        </w:rPr>
        <w:footnoteReference w:id="7"/>
      </w:r>
      <w:r w:rsidRPr="00D75194" w:rsidR="002978B0">
        <w:t xml:space="preserve"> </w:t>
      </w:r>
      <w:r w:rsidRPr="00B365AF">
        <w:t>The provision of</w:t>
      </w:r>
      <w:r w:rsidR="00CD5FA5">
        <w:t xml:space="preserve"> supporting</w:t>
      </w:r>
      <w:r w:rsidRPr="00B365AF">
        <w:t xml:space="preserve"> evidence</w:t>
      </w:r>
      <w:r w:rsidR="00CD5FA5">
        <w:t xml:space="preserve"> for the logframe</w:t>
      </w:r>
      <w:r w:rsidRPr="00B365AF">
        <w:t>—such as attendance sheets, submission links, and meeting minutes—has since improved</w:t>
      </w:r>
      <w:r w:rsidR="00C33A62">
        <w:t xml:space="preserve">, </w:t>
      </w:r>
      <w:r w:rsidRPr="00B365AF">
        <w:t>GESI disaggregation has also progressed, and there was a notable increase in survey responses conducted by DAI, rising from 11 in 2024 to 101 in 2025.</w:t>
      </w:r>
    </w:p>
    <w:p w:rsidRPr="00B365AF" w:rsidR="00B365AF" w:rsidP="00C33A62" w:rsidRDefault="00B365AF" w14:paraId="56E0659E" w14:textId="77777777">
      <w:r w:rsidRPr="00B365AF">
        <w:t>However, several issues with monitoring and data reporting remain for the final evaluation:</w:t>
      </w:r>
    </w:p>
    <w:p w:rsidRPr="00B365AF" w:rsidR="00B365AF" w:rsidP="00B365AF" w:rsidRDefault="00B365AF" w14:paraId="79A732FD" w14:textId="1012DCE7">
      <w:pPr>
        <w:numPr>
          <w:ilvl w:val="0"/>
          <w:numId w:val="53"/>
        </w:numPr>
      </w:pPr>
      <w:r w:rsidRPr="00B365AF">
        <w:rPr>
          <w:b/>
          <w:bCs/>
        </w:rPr>
        <w:t>Baseline setting</w:t>
      </w:r>
      <w:r w:rsidRPr="00B365AF">
        <w:t>: All output and outcome indicators have been assigned a baseline of zero, despite CAS</w:t>
      </w:r>
      <w:r w:rsidR="00C33A62">
        <w:t>A</w:t>
      </w:r>
      <w:r w:rsidRPr="00B365AF">
        <w:t xml:space="preserve"> being a programme with over a decade of implementation. While this may be appropriate for indicators introduced later, it raises concerns for others.</w:t>
      </w:r>
    </w:p>
    <w:p w:rsidR="000A4730" w:rsidP="006A665A" w:rsidRDefault="00B365AF" w14:paraId="2BBDF385" w14:textId="77777777">
      <w:pPr>
        <w:numPr>
          <w:ilvl w:val="0"/>
          <w:numId w:val="53"/>
        </w:numPr>
      </w:pPr>
      <w:r w:rsidRPr="00B365AF">
        <w:rPr>
          <w:b/>
          <w:bCs/>
        </w:rPr>
        <w:t>VFM data clarity</w:t>
      </w:r>
      <w:r w:rsidRPr="00B365AF">
        <w:t>: There is a lack of transparency around the data underpinning the</w:t>
      </w:r>
      <w:r w:rsidR="00050E16">
        <w:t xml:space="preserve"> </w:t>
      </w:r>
      <w:r w:rsidRPr="00B365AF">
        <w:t>VFM analysis</w:t>
      </w:r>
      <w:r w:rsidR="000A4730">
        <w:t>.</w:t>
      </w:r>
      <w:r w:rsidRPr="00D75194" w:rsidR="000A4730">
        <w:rPr>
          <w:b/>
          <w:bCs/>
        </w:rPr>
        <w:t xml:space="preserve"> </w:t>
      </w:r>
      <w:r w:rsidRPr="00C4719E" w:rsidR="000A4730">
        <w:t>T</w:t>
      </w:r>
      <w:r w:rsidRPr="00D75194" w:rsidR="000A4730">
        <w:t xml:space="preserve">here are several interrelating issues which have been raised with DAI, including the limited access to source data informing the VFM analysis, and missing reporting. </w:t>
      </w:r>
    </w:p>
    <w:p w:rsidR="00D1732D" w:rsidP="00FB347D" w:rsidRDefault="00B365AF" w14:paraId="28852D80" w14:textId="0DFBD2B6">
      <w:pPr>
        <w:numPr>
          <w:ilvl w:val="0"/>
          <w:numId w:val="53"/>
        </w:numPr>
      </w:pPr>
      <w:r w:rsidRPr="00B365AF">
        <w:rPr>
          <w:b/>
          <w:bCs/>
        </w:rPr>
        <w:t>Reporting depth</w:t>
      </w:r>
      <w:r w:rsidRPr="00B365AF">
        <w:t>: Although DAI’s quarterly reports to DESNZ provide a useful summary of achievements, the monitoring framework would benefit from more detailed annual results reporting from the TPs.</w:t>
      </w:r>
    </w:p>
    <w:p w:rsidRPr="00D75194" w:rsidR="00E012D4" w:rsidP="008820E3" w:rsidRDefault="00047396" w14:paraId="72F9BF80" w14:textId="548055D5">
      <w:pPr>
        <w:spacing w:after="0"/>
      </w:pPr>
      <w:r w:rsidRPr="00D75194">
        <w:t xml:space="preserve">In addition to these issues </w:t>
      </w:r>
      <w:r w:rsidRPr="00D75194" w:rsidR="00785DC9">
        <w:t xml:space="preserve">relating to </w:t>
      </w:r>
      <w:r w:rsidRPr="00D75194" w:rsidR="008D67C8">
        <w:t>CASA II</w:t>
      </w:r>
      <w:r w:rsidRPr="00D75194" w:rsidR="00A502C6">
        <w:t>’s</w:t>
      </w:r>
      <w:r w:rsidRPr="00D75194" w:rsidR="0079706F">
        <w:t xml:space="preserve"> monitoring and reporting data, the </w:t>
      </w:r>
      <w:r w:rsidRPr="00D75194" w:rsidR="00494461">
        <w:t>final evaluation</w:t>
      </w:r>
      <w:r w:rsidRPr="00D75194" w:rsidR="0079706F">
        <w:t xml:space="preserve"> itself experienced limitations. Firstly, </w:t>
      </w:r>
      <w:r w:rsidRPr="00D75194" w:rsidR="0079706F">
        <w:rPr>
          <w:iCs/>
        </w:rPr>
        <w:t xml:space="preserve">the majority of </w:t>
      </w:r>
      <w:r w:rsidRPr="00D75194" w:rsidR="003C03EE">
        <w:rPr>
          <w:iCs/>
        </w:rPr>
        <w:t>KIIs undertaken were</w:t>
      </w:r>
      <w:r w:rsidRPr="00D75194" w:rsidR="0079706F">
        <w:rPr>
          <w:iCs/>
        </w:rPr>
        <w:t xml:space="preserve"> with TPs. This means</w:t>
      </w:r>
      <w:r w:rsidRPr="00D75194" w:rsidR="0079706F">
        <w:t xml:space="preserve"> that there is a potential bias in the evidence base. The LEP team sought to mitigate this </w:t>
      </w:r>
      <w:r w:rsidRPr="00D75194" w:rsidR="006A5B1B">
        <w:t>by</w:t>
      </w:r>
      <w:r w:rsidRPr="00D75194" w:rsidR="0079706F">
        <w:t xml:space="preserve"> seeking out additional evidence, holding a validation workshop with CASA</w:t>
      </w:r>
      <w:r w:rsidRPr="00D75194" w:rsidR="00362FC1">
        <w:t>-</w:t>
      </w:r>
      <w:r w:rsidRPr="00D75194" w:rsidR="0079706F">
        <w:t>supported people</w:t>
      </w:r>
      <w:r w:rsidRPr="00D75194" w:rsidR="00362FC1">
        <w:t>,</w:t>
      </w:r>
      <w:r w:rsidRPr="00D75194" w:rsidR="00D71708">
        <w:rPr>
          <w:rStyle w:val="FootnoteReference"/>
        </w:rPr>
        <w:footnoteReference w:id="8"/>
      </w:r>
      <w:r w:rsidRPr="00D75194" w:rsidR="0079706F">
        <w:t xml:space="preserve"> and being open to other opportunities (e.g. </w:t>
      </w:r>
      <w:r w:rsidRPr="00D75194" w:rsidR="007B0B53">
        <w:t>SB</w:t>
      </w:r>
      <w:r w:rsidRPr="00D75194" w:rsidR="001A50FA">
        <w:t xml:space="preserve"> </w:t>
      </w:r>
      <w:r w:rsidRPr="00D75194" w:rsidR="007B0B53">
        <w:t>62 in Bonn in June 202</w:t>
      </w:r>
      <w:r w:rsidRPr="00D75194" w:rsidR="003601EE">
        <w:t>4</w:t>
      </w:r>
      <w:r w:rsidRPr="00D75194" w:rsidR="006A5B1B">
        <w:t>).</w:t>
      </w:r>
      <w:r w:rsidRPr="00D75194" w:rsidR="001C75C8">
        <w:t xml:space="preserve"> T</w:t>
      </w:r>
      <w:r w:rsidRPr="00D75194" w:rsidR="00087E19">
        <w:t>here</w:t>
      </w:r>
      <w:r w:rsidRPr="00D75194" w:rsidR="008D37AD">
        <w:t xml:space="preserve"> </w:t>
      </w:r>
      <w:r w:rsidRPr="00D75194" w:rsidR="00087E19">
        <w:t xml:space="preserve">was </w:t>
      </w:r>
      <w:r w:rsidRPr="00D75194" w:rsidR="008D37AD">
        <w:t>a</w:t>
      </w:r>
      <w:r w:rsidRPr="00D75194" w:rsidR="001C75C8">
        <w:t>lso</w:t>
      </w:r>
      <w:r w:rsidRPr="00D75194" w:rsidR="008D37AD">
        <w:t xml:space="preserve"> </w:t>
      </w:r>
      <w:r w:rsidRPr="00D75194" w:rsidR="001D6E7C">
        <w:t xml:space="preserve">a </w:t>
      </w:r>
      <w:r w:rsidRPr="00D75194" w:rsidR="008D37AD">
        <w:t xml:space="preserve">lack of </w:t>
      </w:r>
      <w:r w:rsidRPr="00D75194" w:rsidR="00087E19">
        <w:t xml:space="preserve">evidence from </w:t>
      </w:r>
      <w:r w:rsidRPr="00D75194" w:rsidR="0031583D">
        <w:t xml:space="preserve">negotiators supported by CIES due to </w:t>
      </w:r>
      <w:r w:rsidRPr="00D75194" w:rsidR="00000225">
        <w:t xml:space="preserve">the </w:t>
      </w:r>
      <w:r w:rsidRPr="00D75194" w:rsidR="0031583D">
        <w:t>lack of response</w:t>
      </w:r>
      <w:r w:rsidRPr="00D75194" w:rsidR="00000225">
        <w:t>s</w:t>
      </w:r>
      <w:r w:rsidRPr="00D75194" w:rsidR="0031583D">
        <w:t xml:space="preserve"> to interview requests</w:t>
      </w:r>
      <w:r w:rsidRPr="00D75194" w:rsidR="00D03B79">
        <w:t xml:space="preserve"> by the LEP</w:t>
      </w:r>
      <w:r w:rsidRPr="00D75194" w:rsidR="0031583D">
        <w:t>.</w:t>
      </w:r>
      <w:r w:rsidRPr="00D75194" w:rsidR="00087E19">
        <w:rPr>
          <w:rStyle w:val="FootnoteReference"/>
        </w:rPr>
        <w:footnoteReference w:id="9"/>
      </w:r>
      <w:r w:rsidRPr="00D75194" w:rsidR="0031583D">
        <w:t xml:space="preserve"> </w:t>
      </w:r>
      <w:r w:rsidRPr="00D75194" w:rsidR="00A87A45">
        <w:t>Secondly, t</w:t>
      </w:r>
      <w:r w:rsidRPr="00D75194" w:rsidR="0045657D">
        <w:t xml:space="preserve">he target for conducting KIIs with historic beneficiaries, wider market experts, and other negotiators was not achieved. This was largely due to challenges in obtaining contact details for these groups and a low response rate from those we did reach. </w:t>
      </w:r>
      <w:r w:rsidRPr="00D75194" w:rsidR="00A87A45">
        <w:t xml:space="preserve">However, </w:t>
      </w:r>
      <w:r w:rsidRPr="00D75194" w:rsidR="00B54924">
        <w:t>many of the CASA</w:t>
      </w:r>
      <w:r w:rsidRPr="00D75194" w:rsidR="00353993">
        <w:t>-</w:t>
      </w:r>
      <w:r w:rsidRPr="00D75194" w:rsidR="00B54924">
        <w:t xml:space="preserve">supported individuals interviewed </w:t>
      </w:r>
      <w:r w:rsidRPr="00D75194" w:rsidR="0045657D">
        <w:t>were also historic beneficiaries</w:t>
      </w:r>
      <w:r w:rsidRPr="00D75194" w:rsidR="00B54924">
        <w:t>, and</w:t>
      </w:r>
      <w:r w:rsidRPr="00D75194" w:rsidR="001F5CE9">
        <w:t>,</w:t>
      </w:r>
      <w:r w:rsidRPr="00D75194" w:rsidR="00B54924">
        <w:t xml:space="preserve"> gi</w:t>
      </w:r>
      <w:r w:rsidRPr="00D75194" w:rsidR="0045657D">
        <w:t>ven the fluid nature of negotiations, some former beneficiaries were also current TPs</w:t>
      </w:r>
      <w:r w:rsidRPr="00D75194" w:rsidR="008133F7">
        <w:t xml:space="preserve"> and wider market experts, </w:t>
      </w:r>
      <w:r w:rsidRPr="00D75194" w:rsidR="00DB5DF7">
        <w:t xml:space="preserve">which made </w:t>
      </w:r>
      <w:r w:rsidRPr="00D75194" w:rsidR="0045657D">
        <w:t>it difficult to clearly distinguish between categories.</w:t>
      </w:r>
      <w:r w:rsidRPr="00D75194" w:rsidR="00710785">
        <w:t xml:space="preserve"> </w:t>
      </w:r>
      <w:r w:rsidRPr="00D75194" w:rsidR="008133F7">
        <w:t>Thirdly</w:t>
      </w:r>
      <w:r w:rsidRPr="00D75194" w:rsidR="00603DB4">
        <w:t xml:space="preserve">, </w:t>
      </w:r>
      <w:r w:rsidRPr="00D75194" w:rsidR="00952265">
        <w:t xml:space="preserve">it is important to note that negotiators often understand support to mean support received from a TP, </w:t>
      </w:r>
      <w:r w:rsidRPr="00D75194" w:rsidR="006825B8">
        <w:t xml:space="preserve">but TPs may be </w:t>
      </w:r>
      <w:r w:rsidRPr="00D75194" w:rsidR="00952265">
        <w:t xml:space="preserve">funded by </w:t>
      </w:r>
      <w:proofErr w:type="gramStart"/>
      <w:r w:rsidRPr="00D75194" w:rsidR="00952265">
        <w:t>a number of</w:t>
      </w:r>
      <w:proofErr w:type="gramEnd"/>
      <w:r w:rsidRPr="00D75194" w:rsidR="00952265">
        <w:t xml:space="preserve"> donors. </w:t>
      </w:r>
      <w:r w:rsidRPr="00D75194" w:rsidR="006825B8">
        <w:t xml:space="preserve">All possible efforts have been made to </w:t>
      </w:r>
      <w:r w:rsidRPr="00D75194" w:rsidR="00527F95">
        <w:t>isolate CASA II</w:t>
      </w:r>
      <w:r w:rsidRPr="00D75194" w:rsidR="008820E3">
        <w:t>’s</w:t>
      </w:r>
      <w:r w:rsidRPr="00D75194" w:rsidR="00527F95">
        <w:t xml:space="preserve"> contribution over that of other actors and factors. However, as discussed </w:t>
      </w:r>
      <w:r w:rsidRPr="00D75194" w:rsidR="003601EE">
        <w:t xml:space="preserve">later </w:t>
      </w:r>
      <w:r w:rsidRPr="00D75194" w:rsidR="00527F95">
        <w:t xml:space="preserve">in </w:t>
      </w:r>
      <w:r w:rsidRPr="00D75194" w:rsidR="003601EE">
        <w:t xml:space="preserve">this report </w:t>
      </w:r>
      <w:r w:rsidRPr="00D75194" w:rsidR="00527F95">
        <w:t>(</w:t>
      </w:r>
      <w:r w:rsidRPr="00D75194" w:rsidR="008820E3">
        <w:t>in the discussion of</w:t>
      </w:r>
      <w:r w:rsidRPr="00D75194" w:rsidR="00527F95">
        <w:t xml:space="preserve"> actors and factors), </w:t>
      </w:r>
      <w:r w:rsidRPr="00D75194" w:rsidR="00887991">
        <w:t>there is a myriad of factors at play</w:t>
      </w:r>
      <w:r w:rsidRPr="00D75194" w:rsidR="00A154D3">
        <w:t>,</w:t>
      </w:r>
      <w:r w:rsidRPr="00D75194" w:rsidR="00887991">
        <w:t xml:space="preserve"> </w:t>
      </w:r>
      <w:r w:rsidRPr="00D75194" w:rsidR="009352D8">
        <w:t xml:space="preserve">and </w:t>
      </w:r>
      <w:r w:rsidRPr="00D75194" w:rsidR="00887991">
        <w:t xml:space="preserve">the ecosystem of the UNFCCC </w:t>
      </w:r>
      <w:r w:rsidRPr="00D75194" w:rsidR="009352D8">
        <w:t>is highly complex. O</w:t>
      </w:r>
      <w:r w:rsidRPr="00D75194" w:rsidR="00575FFE">
        <w:t>ften</w:t>
      </w:r>
      <w:r w:rsidRPr="00D75194" w:rsidR="009352D8">
        <w:t>times</w:t>
      </w:r>
      <w:r w:rsidRPr="00D75194" w:rsidR="002223FA">
        <w:t xml:space="preserve">, it is </w:t>
      </w:r>
      <w:r w:rsidRPr="00D75194" w:rsidR="009352D8">
        <w:t>simply too</w:t>
      </w:r>
      <w:r w:rsidRPr="00D75194" w:rsidR="0075164C">
        <w:t xml:space="preserve"> sensitive</w:t>
      </w:r>
      <w:r w:rsidRPr="00D75194" w:rsidR="00A9507A">
        <w:t>—</w:t>
      </w:r>
      <w:r w:rsidRPr="00D75194" w:rsidR="009352D8">
        <w:t>or</w:t>
      </w:r>
      <w:r w:rsidRPr="00D75194" w:rsidR="00A9507A">
        <w:t xml:space="preserve"> is</w:t>
      </w:r>
      <w:r w:rsidRPr="00D75194" w:rsidR="009352D8">
        <w:t xml:space="preserve"> inappropriate</w:t>
      </w:r>
      <w:r w:rsidRPr="00D75194" w:rsidR="00A9507A">
        <w:t>—</w:t>
      </w:r>
      <w:r w:rsidRPr="00D75194" w:rsidR="0075164C">
        <w:t xml:space="preserve">to press </w:t>
      </w:r>
      <w:r w:rsidRPr="00D75194" w:rsidR="009352D8">
        <w:t xml:space="preserve">for </w:t>
      </w:r>
      <w:r w:rsidRPr="00D75194" w:rsidR="0075164C">
        <w:t>funding details.</w:t>
      </w:r>
      <w:r w:rsidRPr="00D75194" w:rsidR="00A154D3">
        <w:t xml:space="preserve"> Often, TPs </w:t>
      </w:r>
      <w:r w:rsidRPr="00D75194" w:rsidR="00F3284A">
        <w:t>are</w:t>
      </w:r>
      <w:r w:rsidRPr="00D75194" w:rsidR="00A154D3">
        <w:t xml:space="preserve"> simply not aware of</w:t>
      </w:r>
      <w:r w:rsidRPr="00D75194" w:rsidR="001C543F">
        <w:t xml:space="preserve"> how CASA funding might be allocated within their organisation. </w:t>
      </w:r>
    </w:p>
    <w:p w:rsidRPr="00D75194" w:rsidR="00B71EEF" w:rsidP="004456D7" w:rsidRDefault="004456D7" w14:paraId="27E6D5AB" w14:textId="1F4E7E8B">
      <w:pPr>
        <w:pStyle w:val="Heading1"/>
      </w:pPr>
      <w:bookmarkStart w:name="_Toc214452911" w:id="51"/>
      <w:r w:rsidRPr="00D75194">
        <w:t>Findings</w:t>
      </w:r>
      <w:bookmarkEnd w:id="51"/>
      <w:r w:rsidRPr="00D75194">
        <w:t xml:space="preserve"> </w:t>
      </w:r>
    </w:p>
    <w:p w:rsidRPr="00D75194" w:rsidR="00BD65A3" w:rsidRDefault="00BD65A3" w14:paraId="4BFC98B6" w14:textId="273461D3">
      <w:pPr>
        <w:spacing w:after="0"/>
      </w:pPr>
      <w:r w:rsidRPr="00D75194">
        <w:t>This section presents the overall findings from the data collected and analysed during th</w:t>
      </w:r>
      <w:r w:rsidRPr="00D75194" w:rsidR="0102274A">
        <w:t xml:space="preserve">is </w:t>
      </w:r>
      <w:r w:rsidRPr="00D75194" w:rsidR="00494461">
        <w:t>final evaluation</w:t>
      </w:r>
      <w:r w:rsidRPr="00D75194">
        <w:t xml:space="preserve">. </w:t>
      </w:r>
      <w:r w:rsidRPr="00D75194" w:rsidR="00527CC3">
        <w:t>Each sub-section responds to one of the six evaluation questions</w:t>
      </w:r>
      <w:r w:rsidRPr="00D75194" w:rsidR="00257EFD">
        <w:t xml:space="preserve"> (EQs)</w:t>
      </w:r>
      <w:r w:rsidR="0048637C">
        <w:t xml:space="preserve"> </w:t>
      </w:r>
      <w:r w:rsidRPr="00D75194" w:rsidR="00863031">
        <w:t xml:space="preserve">and addresses </w:t>
      </w:r>
      <w:r w:rsidRPr="00D75194" w:rsidR="002E5C38">
        <w:t xml:space="preserve">each </w:t>
      </w:r>
      <w:r w:rsidRPr="00D75194" w:rsidR="006B4B10">
        <w:t xml:space="preserve">evaluation sub-question </w:t>
      </w:r>
      <w:r w:rsidRPr="00D75194" w:rsidR="002E5C38">
        <w:t xml:space="preserve">in turn. </w:t>
      </w:r>
      <w:r w:rsidRPr="00D75194" w:rsidR="006B4B10">
        <w:t>For e</w:t>
      </w:r>
      <w:r w:rsidRPr="00D75194" w:rsidR="00270D43">
        <w:t xml:space="preserve">ach </w:t>
      </w:r>
      <w:r w:rsidRPr="00D75194" w:rsidR="006B4B10">
        <w:t xml:space="preserve">evaluation question, we </w:t>
      </w:r>
      <w:r w:rsidRPr="00D75194" w:rsidR="00270D43">
        <w:t xml:space="preserve">also provide an overall summary of related findings and an assessment of the strength of </w:t>
      </w:r>
      <w:r w:rsidRPr="00D75194" w:rsidR="0044325C">
        <w:t xml:space="preserve">the </w:t>
      </w:r>
      <w:r w:rsidRPr="00D75194" w:rsidR="00270D43">
        <w:t xml:space="preserve">evidence supporting those findings. </w:t>
      </w:r>
    </w:p>
    <w:p w:rsidRPr="00D75194" w:rsidR="00F3284A" w:rsidRDefault="00F3284A" w14:paraId="0B74A2D5" w14:textId="77777777">
      <w:pPr>
        <w:spacing w:after="0"/>
      </w:pPr>
    </w:p>
    <w:p w:rsidRPr="00D75194" w:rsidR="0024788B" w:rsidP="00B71EEF" w:rsidRDefault="00B71EEF" w14:paraId="4365AFCB" w14:textId="6712A001">
      <w:pPr>
        <w:pStyle w:val="Heading2"/>
        <w:rPr>
          <w:sz w:val="28"/>
          <w:szCs w:val="32"/>
        </w:rPr>
      </w:pPr>
      <w:bookmarkStart w:name="_Toc174016487" w:id="52"/>
      <w:bookmarkStart w:name="_Toc214452912" w:id="53"/>
      <w:bookmarkEnd w:id="52"/>
      <w:r w:rsidRPr="00D75194">
        <w:t>Relevance</w:t>
      </w:r>
      <w:bookmarkEnd w:id="53"/>
      <w:r w:rsidRPr="00D75194">
        <w:t xml:space="preserve"> </w:t>
      </w:r>
    </w:p>
    <w:p w:rsidRPr="00D75194" w:rsidR="00BD0C11" w:rsidP="00460014" w:rsidRDefault="00BD0C11" w14:paraId="061A8242" w14:textId="77777777">
      <w:pPr>
        <w:pStyle w:val="NoSpacing"/>
      </w:pPr>
    </w:p>
    <w:tbl>
      <w:tblPr>
        <w:tblStyle w:val="TableGrid"/>
        <w:tblW w:w="0" w:type="auto"/>
        <w:tblLook w:val="04A0" w:firstRow="1" w:lastRow="0" w:firstColumn="1" w:lastColumn="0" w:noHBand="0" w:noVBand="1"/>
      </w:tblPr>
      <w:tblGrid>
        <w:gridCol w:w="9854"/>
      </w:tblGrid>
      <w:tr w:rsidRPr="00D75194" w:rsidR="0010277B" w:rsidTr="00733F61" w14:paraId="02084C89" w14:textId="77777777">
        <w:trPr>
          <w:trHeight w:val="854"/>
        </w:trPr>
        <w:tc>
          <w:tcPr>
            <w:tcW w:w="9854" w:type="dxa"/>
            <w:shd w:val="clear" w:color="auto" w:fill="C4D5D3" w:themeFill="accent1"/>
            <w:vAlign w:val="center"/>
          </w:tcPr>
          <w:p w:rsidRPr="00D75194" w:rsidR="0010277B" w:rsidP="00733F61" w:rsidRDefault="0010277B" w14:paraId="2E25FA83" w14:textId="29BD4850">
            <w:pPr>
              <w:spacing w:after="120"/>
              <w:jc w:val="center"/>
              <w:rPr>
                <w:b/>
                <w:bCs/>
              </w:rPr>
            </w:pPr>
            <w:bookmarkStart w:name="_Hlk173232063" w:id="54"/>
            <w:r w:rsidRPr="00D75194">
              <w:rPr>
                <w:b/>
                <w:bCs/>
              </w:rPr>
              <w:t xml:space="preserve">EQ1: </w:t>
            </w:r>
            <w:r w:rsidRPr="00D75194" w:rsidR="00F66373">
              <w:rPr>
                <w:rFonts w:asciiTheme="minorHAnsi" w:hAnsiTheme="minorHAnsi"/>
                <w:b/>
                <w:bCs/>
              </w:rPr>
              <w:t>How, and in what ways, is the current CASA II delivery model (including expertise, interventions, and delivery) appropriate and sufficient to meet the needs of negotiating groups operating in a particularly dynamic context?</w:t>
            </w:r>
            <w:r w:rsidRPr="00D75194" w:rsidR="006B601D">
              <w:rPr>
                <w:rFonts w:asciiTheme="minorHAnsi" w:hAnsiTheme="minorHAnsi"/>
                <w:b/>
                <w:bCs/>
              </w:rPr>
              <w:t xml:space="preserve"> </w:t>
            </w:r>
          </w:p>
        </w:tc>
      </w:tr>
      <w:bookmarkEnd w:id="54"/>
    </w:tbl>
    <w:p w:rsidRPr="00D75194" w:rsidR="00F3284A" w:rsidP="0013122B" w:rsidRDefault="00F3284A" w14:paraId="75F640DF" w14:textId="77777777">
      <w:pPr>
        <w:spacing w:after="0"/>
        <w:rPr>
          <w:b/>
          <w:bCs/>
        </w:rPr>
      </w:pPr>
    </w:p>
    <w:p w:rsidRPr="00D75194" w:rsidR="71500A2E" w:rsidP="0013122B" w:rsidRDefault="004646F0" w14:paraId="4A1B7BFE" w14:textId="71FF9B50">
      <w:pPr>
        <w:spacing w:after="0"/>
        <w:rPr>
          <w:b/>
          <w:bCs/>
        </w:rPr>
      </w:pPr>
      <w:r w:rsidRPr="00D75194">
        <w:rPr>
          <w:b/>
          <w:bCs/>
        </w:rPr>
        <w:t>Summary:</w:t>
      </w:r>
    </w:p>
    <w:p w:rsidRPr="00D75194" w:rsidR="003D2A51" w:rsidP="0013122B" w:rsidRDefault="003D2A51" w14:paraId="1E65DB74" w14:textId="77777777">
      <w:pPr>
        <w:spacing w:after="0"/>
        <w:rPr>
          <w:b/>
          <w:bCs/>
        </w:rPr>
      </w:pPr>
    </w:p>
    <w:p w:rsidRPr="00D75194" w:rsidR="006A428A" w:rsidP="006A428A" w:rsidRDefault="006A428A" w14:paraId="58AF1C44" w14:textId="2B69F3DE">
      <w:pPr>
        <w:spacing w:after="160"/>
        <w:rPr>
          <w:rFonts w:asciiTheme="minorHAnsi" w:hAnsiTheme="minorHAnsi"/>
        </w:rPr>
      </w:pPr>
      <w:r w:rsidRPr="00D75194">
        <w:rPr>
          <w:rFonts w:asciiTheme="minorHAnsi" w:hAnsiTheme="minorHAnsi"/>
          <w:b/>
          <w:bCs/>
        </w:rPr>
        <w:t>The</w:t>
      </w:r>
      <w:r w:rsidRPr="00D75194" w:rsidR="002D3900">
        <w:rPr>
          <w:rFonts w:asciiTheme="minorHAnsi" w:hAnsiTheme="minorHAnsi"/>
          <w:b/>
          <w:bCs/>
        </w:rPr>
        <w:t>re is strong evidence</w:t>
      </w:r>
      <w:r w:rsidRPr="00D75194">
        <w:rPr>
          <w:rFonts w:asciiTheme="minorHAnsi" w:hAnsiTheme="minorHAnsi"/>
          <w:b/>
          <w:bCs/>
        </w:rPr>
        <w:t xml:space="preserve"> </w:t>
      </w:r>
      <w:r w:rsidRPr="00D75194" w:rsidR="007E1444">
        <w:rPr>
          <w:rFonts w:asciiTheme="minorHAnsi" w:hAnsiTheme="minorHAnsi"/>
          <w:b/>
          <w:bCs/>
        </w:rPr>
        <w:t>that CASA II</w:t>
      </w:r>
      <w:r w:rsidRPr="00D75194">
        <w:rPr>
          <w:rFonts w:asciiTheme="minorHAnsi" w:hAnsiTheme="minorHAnsi"/>
          <w:b/>
          <w:bCs/>
        </w:rPr>
        <w:t xml:space="preserve"> remains highly relevant to </w:t>
      </w:r>
      <w:r w:rsidRPr="00D75194" w:rsidR="00C51C2E">
        <w:rPr>
          <w:rFonts w:asciiTheme="minorHAnsi" w:hAnsiTheme="minorHAnsi"/>
          <w:b/>
          <w:bCs/>
        </w:rPr>
        <w:t xml:space="preserve">both negotiators and </w:t>
      </w:r>
      <w:r w:rsidRPr="00D75194" w:rsidR="00D164D8">
        <w:rPr>
          <w:rFonts w:asciiTheme="minorHAnsi" w:hAnsiTheme="minorHAnsi"/>
          <w:b/>
          <w:bCs/>
        </w:rPr>
        <w:t xml:space="preserve">the core </w:t>
      </w:r>
      <w:r w:rsidRPr="00D75194" w:rsidR="00C51C2E">
        <w:rPr>
          <w:rFonts w:asciiTheme="minorHAnsi" w:hAnsiTheme="minorHAnsi"/>
          <w:b/>
          <w:bCs/>
        </w:rPr>
        <w:t>negotiating groups</w:t>
      </w:r>
      <w:r w:rsidRPr="00D75194" w:rsidR="003511EF">
        <w:rPr>
          <w:rFonts w:asciiTheme="minorHAnsi" w:hAnsiTheme="minorHAnsi"/>
          <w:b/>
          <w:bCs/>
        </w:rPr>
        <w:t xml:space="preserve"> </w:t>
      </w:r>
      <w:r w:rsidRPr="00D75194" w:rsidR="00142874">
        <w:rPr>
          <w:rFonts w:asciiTheme="minorHAnsi" w:hAnsiTheme="minorHAnsi"/>
          <w:b/>
          <w:bCs/>
        </w:rPr>
        <w:t xml:space="preserve">the programme </w:t>
      </w:r>
      <w:r w:rsidRPr="00D75194" w:rsidR="003511EF">
        <w:rPr>
          <w:rFonts w:asciiTheme="minorHAnsi" w:hAnsiTheme="minorHAnsi"/>
          <w:b/>
          <w:bCs/>
        </w:rPr>
        <w:t>aims to support</w:t>
      </w:r>
      <w:r w:rsidRPr="00D75194" w:rsidR="00B64920">
        <w:rPr>
          <w:rFonts w:asciiTheme="minorHAnsi" w:hAnsiTheme="minorHAnsi"/>
          <w:b/>
          <w:bCs/>
        </w:rPr>
        <w:t xml:space="preserve">, including </w:t>
      </w:r>
      <w:r w:rsidRPr="00D75194" w:rsidR="00DB5127">
        <w:rPr>
          <w:rFonts w:asciiTheme="minorHAnsi" w:hAnsiTheme="minorHAnsi"/>
          <w:b/>
          <w:bCs/>
        </w:rPr>
        <w:t>the LDC Group</w:t>
      </w:r>
      <w:r w:rsidRPr="00D75194" w:rsidR="00B64920">
        <w:rPr>
          <w:rFonts w:asciiTheme="minorHAnsi" w:hAnsiTheme="minorHAnsi"/>
          <w:b/>
          <w:bCs/>
        </w:rPr>
        <w:t xml:space="preserve">, </w:t>
      </w:r>
      <w:r w:rsidRPr="00D75194" w:rsidR="00B921E7">
        <w:rPr>
          <w:rFonts w:asciiTheme="minorHAnsi" w:hAnsiTheme="minorHAnsi"/>
          <w:b/>
          <w:bCs/>
        </w:rPr>
        <w:t>the Alliance of Small Island States (</w:t>
      </w:r>
      <w:r w:rsidRPr="00D75194" w:rsidR="00B64920">
        <w:rPr>
          <w:rFonts w:asciiTheme="minorHAnsi" w:hAnsiTheme="minorHAnsi"/>
          <w:b/>
          <w:bCs/>
        </w:rPr>
        <w:t>AOSIS</w:t>
      </w:r>
      <w:r w:rsidRPr="00D75194" w:rsidR="00B921E7">
        <w:rPr>
          <w:rFonts w:asciiTheme="minorHAnsi" w:hAnsiTheme="minorHAnsi"/>
          <w:b/>
          <w:bCs/>
        </w:rPr>
        <w:t>)</w:t>
      </w:r>
      <w:r w:rsidRPr="00D75194" w:rsidR="00B64920">
        <w:rPr>
          <w:rFonts w:asciiTheme="minorHAnsi" w:hAnsiTheme="minorHAnsi"/>
          <w:b/>
          <w:bCs/>
        </w:rPr>
        <w:t>,</w:t>
      </w:r>
      <w:r w:rsidRPr="00D75194" w:rsidR="003534EC">
        <w:rPr>
          <w:rFonts w:asciiTheme="minorHAnsi" w:hAnsiTheme="minorHAnsi"/>
          <w:b/>
          <w:bCs/>
        </w:rPr>
        <w:t xml:space="preserve"> </w:t>
      </w:r>
      <w:r w:rsidRPr="00D75194" w:rsidR="00DA51FB">
        <w:rPr>
          <w:rFonts w:asciiTheme="minorHAnsi" w:hAnsiTheme="minorHAnsi"/>
          <w:b/>
          <w:bCs/>
        </w:rPr>
        <w:t xml:space="preserve">and </w:t>
      </w:r>
      <w:r w:rsidRPr="00D75194" w:rsidR="003D05FF">
        <w:rPr>
          <w:rFonts w:asciiTheme="minorHAnsi" w:hAnsiTheme="minorHAnsi"/>
          <w:b/>
          <w:bCs/>
        </w:rPr>
        <w:t xml:space="preserve">the </w:t>
      </w:r>
      <w:r w:rsidRPr="00D75194" w:rsidR="003534EC">
        <w:rPr>
          <w:rFonts w:asciiTheme="minorHAnsi" w:hAnsiTheme="minorHAnsi"/>
          <w:b/>
          <w:bCs/>
        </w:rPr>
        <w:t>HAC</w:t>
      </w:r>
      <w:r w:rsidRPr="00D75194" w:rsidR="00DA51FB">
        <w:rPr>
          <w:rFonts w:asciiTheme="minorHAnsi" w:hAnsiTheme="minorHAnsi"/>
          <w:b/>
          <w:bCs/>
        </w:rPr>
        <w:t>.</w:t>
      </w:r>
      <w:r w:rsidRPr="00D75194" w:rsidR="00DA51FB">
        <w:rPr>
          <w:rFonts w:asciiTheme="minorHAnsi" w:hAnsiTheme="minorHAnsi"/>
        </w:rPr>
        <w:t xml:space="preserve"> </w:t>
      </w:r>
      <w:r w:rsidRPr="00D75194" w:rsidR="00C43377">
        <w:rPr>
          <w:rFonts w:asciiTheme="minorHAnsi" w:hAnsiTheme="minorHAnsi"/>
        </w:rPr>
        <w:t>The programme’s</w:t>
      </w:r>
      <w:r w:rsidRPr="00D75194">
        <w:rPr>
          <w:rFonts w:asciiTheme="minorHAnsi" w:hAnsiTheme="minorHAnsi"/>
        </w:rPr>
        <w:t xml:space="preserve"> delivery model effectively meets the needs of </w:t>
      </w:r>
      <w:r w:rsidRPr="00D75194" w:rsidR="00C43377">
        <w:rPr>
          <w:rFonts w:asciiTheme="minorHAnsi" w:hAnsiTheme="minorHAnsi"/>
        </w:rPr>
        <w:t xml:space="preserve">these </w:t>
      </w:r>
      <w:r w:rsidRPr="00D75194">
        <w:rPr>
          <w:rFonts w:asciiTheme="minorHAnsi" w:hAnsiTheme="minorHAnsi"/>
        </w:rPr>
        <w:t xml:space="preserve">negotiating groups and adapts to dynamic </w:t>
      </w:r>
      <w:r w:rsidRPr="00D75194" w:rsidR="0082171A">
        <w:rPr>
          <w:rFonts w:asciiTheme="minorHAnsi" w:hAnsiTheme="minorHAnsi"/>
        </w:rPr>
        <w:t xml:space="preserve">UNFCCC </w:t>
      </w:r>
      <w:r w:rsidRPr="00D75194">
        <w:rPr>
          <w:rFonts w:asciiTheme="minorHAnsi" w:hAnsiTheme="minorHAnsi"/>
        </w:rPr>
        <w:t xml:space="preserve">contexts. </w:t>
      </w:r>
      <w:r w:rsidRPr="00D75194" w:rsidR="002523E9">
        <w:rPr>
          <w:rFonts w:asciiTheme="minorHAnsi" w:hAnsiTheme="minorHAnsi"/>
        </w:rPr>
        <w:t xml:space="preserve">The </w:t>
      </w:r>
      <w:r w:rsidRPr="00D75194" w:rsidR="008241ED">
        <w:rPr>
          <w:rFonts w:asciiTheme="minorHAnsi" w:hAnsiTheme="minorHAnsi"/>
        </w:rPr>
        <w:t>TPs</w:t>
      </w:r>
      <w:r w:rsidRPr="00D75194" w:rsidR="008E6690">
        <w:rPr>
          <w:rFonts w:asciiTheme="minorHAnsi" w:hAnsiTheme="minorHAnsi"/>
        </w:rPr>
        <w:t>’</w:t>
      </w:r>
      <w:r w:rsidRPr="00D75194">
        <w:rPr>
          <w:rFonts w:asciiTheme="minorHAnsi" w:hAnsiTheme="minorHAnsi"/>
        </w:rPr>
        <w:t xml:space="preserve"> </w:t>
      </w:r>
      <w:r w:rsidRPr="00D75194" w:rsidR="00255F73">
        <w:rPr>
          <w:rFonts w:asciiTheme="minorHAnsi" w:hAnsiTheme="minorHAnsi"/>
        </w:rPr>
        <w:t xml:space="preserve">established </w:t>
      </w:r>
      <w:r w:rsidRPr="00D75194">
        <w:rPr>
          <w:rFonts w:asciiTheme="minorHAnsi" w:hAnsiTheme="minorHAnsi"/>
        </w:rPr>
        <w:t>trust</w:t>
      </w:r>
      <w:r w:rsidRPr="00D75194" w:rsidR="00CD3AA9">
        <w:rPr>
          <w:rFonts w:asciiTheme="minorHAnsi" w:hAnsiTheme="minorHAnsi"/>
        </w:rPr>
        <w:t xml:space="preserve"> with</w:t>
      </w:r>
      <w:r w:rsidRPr="00D75194" w:rsidR="00EC2546">
        <w:rPr>
          <w:rFonts w:asciiTheme="minorHAnsi" w:hAnsiTheme="minorHAnsi"/>
        </w:rPr>
        <w:t xml:space="preserve"> negotiators and negotiating groups</w:t>
      </w:r>
      <w:r w:rsidRPr="00D75194">
        <w:rPr>
          <w:rFonts w:asciiTheme="minorHAnsi" w:hAnsiTheme="minorHAnsi"/>
        </w:rPr>
        <w:t>, reputation, and consistent engagement with the UNFCCC agenda continue to be key assets</w:t>
      </w:r>
      <w:r w:rsidRPr="00D75194" w:rsidR="008E6690">
        <w:rPr>
          <w:rFonts w:asciiTheme="minorHAnsi" w:hAnsiTheme="minorHAnsi"/>
        </w:rPr>
        <w:t xml:space="preserve"> that</w:t>
      </w:r>
      <w:r w:rsidRPr="00D75194">
        <w:rPr>
          <w:rFonts w:asciiTheme="minorHAnsi" w:hAnsiTheme="minorHAnsi"/>
        </w:rPr>
        <w:t xml:space="preserve"> enabl</w:t>
      </w:r>
      <w:r w:rsidRPr="00D75194" w:rsidR="008E6690">
        <w:rPr>
          <w:rFonts w:asciiTheme="minorHAnsi" w:hAnsiTheme="minorHAnsi"/>
        </w:rPr>
        <w:t>e</w:t>
      </w:r>
      <w:r w:rsidRPr="00D75194">
        <w:rPr>
          <w:rFonts w:asciiTheme="minorHAnsi" w:hAnsiTheme="minorHAnsi"/>
        </w:rPr>
        <w:t xml:space="preserve"> </w:t>
      </w:r>
      <w:r w:rsidRPr="00D75194" w:rsidR="008E6690">
        <w:rPr>
          <w:rFonts w:asciiTheme="minorHAnsi" w:hAnsiTheme="minorHAnsi"/>
        </w:rPr>
        <w:t>the</w:t>
      </w:r>
      <w:r w:rsidRPr="00D75194" w:rsidR="00EC2C3A">
        <w:rPr>
          <w:rFonts w:asciiTheme="minorHAnsi" w:hAnsiTheme="minorHAnsi"/>
        </w:rPr>
        <w:t xml:space="preserve"> CASA partners</w:t>
      </w:r>
      <w:r w:rsidRPr="00D75194" w:rsidR="00E3215B">
        <w:rPr>
          <w:rFonts w:asciiTheme="minorHAnsi" w:hAnsiTheme="minorHAnsi"/>
        </w:rPr>
        <w:t xml:space="preserve">, </w:t>
      </w:r>
      <w:r w:rsidRPr="00D75194" w:rsidR="003D1FBD">
        <w:rPr>
          <w:rFonts w:asciiTheme="minorHAnsi" w:hAnsiTheme="minorHAnsi"/>
        </w:rPr>
        <w:t xml:space="preserve">and </w:t>
      </w:r>
      <w:r w:rsidRPr="00D75194" w:rsidR="00E3215B">
        <w:rPr>
          <w:rFonts w:asciiTheme="minorHAnsi" w:hAnsiTheme="minorHAnsi"/>
        </w:rPr>
        <w:t>therefore</w:t>
      </w:r>
      <w:r w:rsidRPr="00D75194" w:rsidR="003D1FBD">
        <w:rPr>
          <w:rFonts w:asciiTheme="minorHAnsi" w:hAnsiTheme="minorHAnsi"/>
        </w:rPr>
        <w:t xml:space="preserve"> the </w:t>
      </w:r>
      <w:proofErr w:type="gramStart"/>
      <w:r w:rsidRPr="00D75194" w:rsidR="003D1FBD">
        <w:rPr>
          <w:rFonts w:asciiTheme="minorHAnsi" w:hAnsiTheme="minorHAnsi"/>
        </w:rPr>
        <w:t>programme</w:t>
      </w:r>
      <w:r w:rsidRPr="00D75194" w:rsidR="00E3215B">
        <w:rPr>
          <w:rFonts w:asciiTheme="minorHAnsi" w:hAnsiTheme="minorHAnsi"/>
        </w:rPr>
        <w:t xml:space="preserve"> as a whole,</w:t>
      </w:r>
      <w:r w:rsidRPr="00D75194">
        <w:rPr>
          <w:rFonts w:asciiTheme="minorHAnsi" w:hAnsiTheme="minorHAnsi"/>
        </w:rPr>
        <w:t xml:space="preserve"> to</w:t>
      </w:r>
      <w:proofErr w:type="gramEnd"/>
      <w:r w:rsidRPr="00D75194">
        <w:rPr>
          <w:rFonts w:asciiTheme="minorHAnsi" w:hAnsiTheme="minorHAnsi"/>
        </w:rPr>
        <w:t xml:space="preserve"> respond to shifting priorities across groups and countries.</w:t>
      </w:r>
    </w:p>
    <w:p w:rsidRPr="00D75194" w:rsidR="006A428A" w:rsidP="0A8B0217" w:rsidRDefault="006A428A" w14:paraId="50DC3F88" w14:textId="1F90DDCA">
      <w:pPr>
        <w:spacing w:after="160" w:line="278" w:lineRule="auto"/>
        <w:rPr>
          <w:rFonts w:asciiTheme="minorHAnsi" w:hAnsiTheme="minorHAnsi"/>
        </w:rPr>
      </w:pPr>
      <w:r w:rsidRPr="00D75194">
        <w:rPr>
          <w:rFonts w:asciiTheme="minorHAnsi" w:hAnsiTheme="minorHAnsi"/>
        </w:rPr>
        <w:t>Individual capacity building remains in high demand, particularly given the increasing workload faced by negotiators. Notable and valued elements of the model include LRI</w:t>
      </w:r>
      <w:r w:rsidRPr="00D75194" w:rsidR="00CE63CA">
        <w:rPr>
          <w:rFonts w:asciiTheme="minorHAnsi" w:hAnsiTheme="minorHAnsi"/>
        </w:rPr>
        <w:t>,</w:t>
      </w:r>
      <w:r w:rsidRPr="00D75194" w:rsidR="00A74925">
        <w:rPr>
          <w:rFonts w:asciiTheme="minorHAnsi" w:hAnsiTheme="minorHAnsi"/>
        </w:rPr>
        <w:t xml:space="preserve"> who</w:t>
      </w:r>
      <w:r w:rsidRPr="00D75194" w:rsidR="00FA5144">
        <w:rPr>
          <w:rFonts w:asciiTheme="minorHAnsi" w:hAnsiTheme="minorHAnsi"/>
        </w:rPr>
        <w:t>,</w:t>
      </w:r>
      <w:r w:rsidRPr="00D75194" w:rsidR="00A74925">
        <w:rPr>
          <w:rFonts w:asciiTheme="minorHAnsi" w:hAnsiTheme="minorHAnsi"/>
        </w:rPr>
        <w:t xml:space="preserve"> as a TP</w:t>
      </w:r>
      <w:r w:rsidRPr="00D75194" w:rsidR="00FA5144">
        <w:rPr>
          <w:rFonts w:asciiTheme="minorHAnsi" w:hAnsiTheme="minorHAnsi"/>
        </w:rPr>
        <w:t>,</w:t>
      </w:r>
      <w:r w:rsidRPr="00D75194" w:rsidR="00A74925">
        <w:rPr>
          <w:rFonts w:asciiTheme="minorHAnsi" w:hAnsiTheme="minorHAnsi"/>
        </w:rPr>
        <w:t xml:space="preserve"> provides not just legal training but </w:t>
      </w:r>
      <w:r w:rsidRPr="00D75194" w:rsidR="00A74925">
        <w:rPr>
          <w:rFonts w:asciiTheme="minorHAnsi" w:hAnsiTheme="minorHAnsi"/>
        </w:rPr>
        <w:t xml:space="preserve">sourcing </w:t>
      </w:r>
      <w:r w:rsidRPr="00D75194" w:rsidR="00F6574D">
        <w:rPr>
          <w:rFonts w:asciiTheme="minorHAnsi" w:hAnsiTheme="minorHAnsi"/>
        </w:rPr>
        <w:t>of</w:t>
      </w:r>
      <w:r w:rsidRPr="00D75194" w:rsidR="00A74925">
        <w:rPr>
          <w:rFonts w:asciiTheme="minorHAnsi" w:hAnsiTheme="minorHAnsi"/>
        </w:rPr>
        <w:t xml:space="preserve"> legal expertise through an extensive professional network. Another valued element of CASA’s model is</w:t>
      </w:r>
      <w:r w:rsidRPr="00D75194">
        <w:rPr>
          <w:rFonts w:asciiTheme="minorHAnsi" w:hAnsiTheme="minorHAnsi"/>
        </w:rPr>
        <w:t xml:space="preserve"> the mentorship-based ‘</w:t>
      </w:r>
      <w:r w:rsidRPr="00D75194" w:rsidR="001B328B">
        <w:rPr>
          <w:rFonts w:asciiTheme="minorHAnsi" w:hAnsiTheme="minorHAnsi"/>
        </w:rPr>
        <w:t xml:space="preserve">elder’ </w:t>
      </w:r>
      <w:r w:rsidRPr="00D75194">
        <w:rPr>
          <w:rFonts w:asciiTheme="minorHAnsi" w:hAnsiTheme="minorHAnsi"/>
        </w:rPr>
        <w:t>model</w:t>
      </w:r>
      <w:r w:rsidRPr="00D75194" w:rsidR="00267C37">
        <w:rPr>
          <w:rFonts w:asciiTheme="minorHAnsi" w:hAnsiTheme="minorHAnsi"/>
        </w:rPr>
        <w:t xml:space="preserve"> many TPs use to deliver capacity building and training of negotiators</w:t>
      </w:r>
      <w:r w:rsidRPr="00D75194">
        <w:rPr>
          <w:rFonts w:asciiTheme="minorHAnsi" w:hAnsiTheme="minorHAnsi"/>
        </w:rPr>
        <w:t xml:space="preserve">. </w:t>
      </w:r>
      <w:r w:rsidRPr="00D75194" w:rsidR="00A83E81">
        <w:rPr>
          <w:rFonts w:asciiTheme="minorHAnsi" w:hAnsiTheme="minorHAnsi"/>
        </w:rPr>
        <w:t>Negot</w:t>
      </w:r>
      <w:r w:rsidRPr="00565048" w:rsidR="00A83E81">
        <w:rPr>
          <w:rFonts w:asciiTheme="minorHAnsi" w:hAnsiTheme="minorHAnsi"/>
        </w:rPr>
        <w:t xml:space="preserve">iators </w:t>
      </w:r>
      <w:r w:rsidRPr="00565048" w:rsidR="00575F8A">
        <w:rPr>
          <w:rFonts w:asciiTheme="minorHAnsi" w:hAnsiTheme="minorHAnsi"/>
        </w:rPr>
        <w:t>interviewed</w:t>
      </w:r>
      <w:r w:rsidRPr="00565048" w:rsidR="00A83E81">
        <w:rPr>
          <w:rFonts w:asciiTheme="minorHAnsi" w:hAnsiTheme="minorHAnsi"/>
        </w:rPr>
        <w:t xml:space="preserve"> </w:t>
      </w:r>
      <w:r w:rsidRPr="00565048">
        <w:rPr>
          <w:rFonts w:asciiTheme="minorHAnsi" w:hAnsiTheme="minorHAnsi"/>
        </w:rPr>
        <w:t>consistently noted that short-term training alone is insufficient</w:t>
      </w:r>
      <w:r w:rsidRPr="00565048" w:rsidR="00FA5144">
        <w:rPr>
          <w:rFonts w:asciiTheme="minorHAnsi" w:hAnsiTheme="minorHAnsi"/>
        </w:rPr>
        <w:t>:</w:t>
      </w:r>
      <w:r w:rsidRPr="00565048" w:rsidR="006B601D">
        <w:rPr>
          <w:rFonts w:asciiTheme="minorHAnsi" w:hAnsiTheme="minorHAnsi"/>
        </w:rPr>
        <w:t xml:space="preserve"> </w:t>
      </w:r>
      <w:r w:rsidRPr="00565048" w:rsidR="00054E9B">
        <w:rPr>
          <w:rFonts w:asciiTheme="minorHAnsi" w:hAnsiTheme="minorHAnsi"/>
        </w:rPr>
        <w:t>s</w:t>
      </w:r>
      <w:r w:rsidRPr="00565048">
        <w:rPr>
          <w:rFonts w:asciiTheme="minorHAnsi" w:hAnsiTheme="minorHAnsi"/>
        </w:rPr>
        <w:t>upport</w:t>
      </w:r>
      <w:r w:rsidRPr="00565048" w:rsidR="000F36E9">
        <w:rPr>
          <w:rFonts w:asciiTheme="minorHAnsi" w:hAnsiTheme="minorHAnsi"/>
        </w:rPr>
        <w:t xml:space="preserve"> throughout t</w:t>
      </w:r>
      <w:r w:rsidRPr="00565048" w:rsidR="00565048">
        <w:rPr>
          <w:rFonts w:asciiTheme="minorHAnsi" w:hAnsiTheme="minorHAnsi"/>
        </w:rPr>
        <w:t>he full UNFCC negotiation cycle</w:t>
      </w:r>
      <w:r w:rsidRPr="00D75194" w:rsidR="00FA5144">
        <w:rPr>
          <w:rFonts w:asciiTheme="minorHAnsi" w:hAnsiTheme="minorHAnsi"/>
        </w:rPr>
        <w:t>—</w:t>
      </w:r>
      <w:r w:rsidRPr="00D75194" w:rsidR="000F36E9">
        <w:rPr>
          <w:rFonts w:asciiTheme="minorHAnsi" w:hAnsiTheme="minorHAnsi"/>
        </w:rPr>
        <w:t>not just during formal UNFCCC intersessional periods</w:t>
      </w:r>
      <w:r w:rsidRPr="00D75194" w:rsidR="00FA5144">
        <w:rPr>
          <w:rFonts w:asciiTheme="minorHAnsi" w:hAnsiTheme="minorHAnsi"/>
        </w:rPr>
        <w:t>—</w:t>
      </w:r>
      <w:r w:rsidRPr="00D75194" w:rsidR="000F36E9">
        <w:rPr>
          <w:rFonts w:asciiTheme="minorHAnsi" w:hAnsiTheme="minorHAnsi"/>
        </w:rPr>
        <w:t>is critical</w:t>
      </w:r>
      <w:r w:rsidRPr="00D75194">
        <w:rPr>
          <w:rFonts w:asciiTheme="minorHAnsi" w:hAnsiTheme="minorHAnsi"/>
        </w:rPr>
        <w:t>. As the age profile of negotiators shifts</w:t>
      </w:r>
      <w:r w:rsidRPr="00D75194" w:rsidR="0024411F">
        <w:rPr>
          <w:rFonts w:asciiTheme="minorHAnsi" w:hAnsiTheme="minorHAnsi"/>
        </w:rPr>
        <w:t>, with a younger generation</w:t>
      </w:r>
      <w:r w:rsidRPr="00D75194" w:rsidR="00E316BE">
        <w:rPr>
          <w:rFonts w:asciiTheme="minorHAnsi" w:hAnsiTheme="minorHAnsi"/>
        </w:rPr>
        <w:t xml:space="preserve"> stepping forward to engage in </w:t>
      </w:r>
      <w:r w:rsidRPr="00D75194" w:rsidR="00785B54">
        <w:rPr>
          <w:rFonts w:asciiTheme="minorHAnsi" w:hAnsiTheme="minorHAnsi"/>
        </w:rPr>
        <w:t xml:space="preserve">the </w:t>
      </w:r>
      <w:r w:rsidRPr="00D75194" w:rsidR="00E316BE">
        <w:rPr>
          <w:rFonts w:asciiTheme="minorHAnsi" w:hAnsiTheme="minorHAnsi"/>
        </w:rPr>
        <w:t>UNFCCC</w:t>
      </w:r>
      <w:r w:rsidRPr="00D75194">
        <w:rPr>
          <w:rFonts w:asciiTheme="minorHAnsi" w:hAnsiTheme="minorHAnsi"/>
        </w:rPr>
        <w:t xml:space="preserve">, CASA is adapting to meet the evolving needs of junior </w:t>
      </w:r>
      <w:r w:rsidRPr="00D75194" w:rsidR="00B41593">
        <w:rPr>
          <w:rFonts w:asciiTheme="minorHAnsi" w:hAnsiTheme="minorHAnsi"/>
        </w:rPr>
        <w:t>negotiators</w:t>
      </w:r>
      <w:r w:rsidRPr="00D75194">
        <w:rPr>
          <w:rFonts w:asciiTheme="minorHAnsi" w:hAnsiTheme="minorHAnsi"/>
        </w:rPr>
        <w:t>.</w:t>
      </w:r>
    </w:p>
    <w:p w:rsidRPr="00D75194" w:rsidR="006A428A" w:rsidP="006A428A" w:rsidRDefault="006A428A" w14:paraId="2C7E34A6" w14:textId="7AF81306">
      <w:pPr>
        <w:spacing w:after="160" w:line="278" w:lineRule="auto"/>
        <w:rPr>
          <w:rFonts w:asciiTheme="minorHAnsi" w:hAnsiTheme="minorHAnsi"/>
          <w:b/>
          <w:bCs/>
        </w:rPr>
      </w:pPr>
      <w:r w:rsidRPr="00D75194">
        <w:rPr>
          <w:rFonts w:asciiTheme="minorHAnsi" w:hAnsiTheme="minorHAnsi"/>
          <w:b/>
          <w:bCs/>
        </w:rPr>
        <w:t xml:space="preserve">The </w:t>
      </w:r>
      <w:r w:rsidRPr="00D75194" w:rsidR="00277236">
        <w:rPr>
          <w:rFonts w:asciiTheme="minorHAnsi" w:hAnsiTheme="minorHAnsi"/>
          <w:b/>
          <w:bCs/>
        </w:rPr>
        <w:t>OF</w:t>
      </w:r>
      <w:r w:rsidRPr="00D75194">
        <w:rPr>
          <w:rFonts w:asciiTheme="minorHAnsi" w:hAnsiTheme="minorHAnsi"/>
          <w:b/>
          <w:bCs/>
        </w:rPr>
        <w:t xml:space="preserve"> has expanded the pool of </w:t>
      </w:r>
      <w:r w:rsidRPr="00D75194" w:rsidR="00C47626">
        <w:rPr>
          <w:rFonts w:asciiTheme="minorHAnsi" w:hAnsiTheme="minorHAnsi"/>
          <w:b/>
          <w:bCs/>
        </w:rPr>
        <w:t>TPs</w:t>
      </w:r>
      <w:r w:rsidRPr="00D75194" w:rsidR="00635D32">
        <w:rPr>
          <w:rFonts w:asciiTheme="minorHAnsi" w:hAnsiTheme="minorHAnsi"/>
          <w:b/>
          <w:bCs/>
        </w:rPr>
        <w:t>’</w:t>
      </w:r>
      <w:r w:rsidRPr="00D75194">
        <w:rPr>
          <w:rFonts w:asciiTheme="minorHAnsi" w:hAnsiTheme="minorHAnsi"/>
          <w:b/>
          <w:bCs/>
        </w:rPr>
        <w:t xml:space="preserve"> and CASA’s ‘stock of assets,’ enhancing the programme’s agility and reach. It is also meeting needs beyond the core negotiating groups, </w:t>
      </w:r>
      <w:r w:rsidRPr="00D75194" w:rsidR="00785B54">
        <w:rPr>
          <w:rFonts w:asciiTheme="minorHAnsi" w:hAnsiTheme="minorHAnsi"/>
          <w:b/>
          <w:bCs/>
        </w:rPr>
        <w:t xml:space="preserve">by </w:t>
      </w:r>
      <w:r w:rsidRPr="00D75194">
        <w:rPr>
          <w:rFonts w:asciiTheme="minorHAnsi" w:hAnsiTheme="minorHAnsi"/>
          <w:b/>
          <w:bCs/>
        </w:rPr>
        <w:t>supporting a broader range of stakeholders.</w:t>
      </w:r>
    </w:p>
    <w:p w:rsidRPr="00D75194" w:rsidR="00083A6A" w:rsidP="006A428A" w:rsidRDefault="00EE656D" w14:paraId="6F9D7F31" w14:textId="3C8EF1A5">
      <w:pPr>
        <w:rPr>
          <w:rFonts w:asciiTheme="minorHAnsi" w:hAnsiTheme="minorHAnsi"/>
        </w:rPr>
      </w:pPr>
      <w:r w:rsidRPr="00D75194">
        <w:rPr>
          <w:rFonts w:asciiTheme="minorHAnsi" w:hAnsiTheme="minorHAnsi"/>
        </w:rPr>
        <w:t>According to interviews with recip</w:t>
      </w:r>
      <w:r w:rsidRPr="00D75194" w:rsidR="007A44F6">
        <w:rPr>
          <w:rFonts w:asciiTheme="minorHAnsi" w:hAnsiTheme="minorHAnsi"/>
        </w:rPr>
        <w:t>ients of CASA support, t</w:t>
      </w:r>
      <w:r w:rsidRPr="00D75194" w:rsidR="006A428A">
        <w:rPr>
          <w:rFonts w:asciiTheme="minorHAnsi" w:hAnsiTheme="minorHAnsi"/>
        </w:rPr>
        <w:t>he programme’s expertise is widely regarded as sufficient and responsive to a challenging context. However, some challenges to relevance persist. Transparency in the demand-led model varies across TPs, with inconsistent evidence of demand and delivery. CASA’s increased focus on domestic implementation</w:t>
      </w:r>
      <w:r w:rsidRPr="00D75194" w:rsidR="00715AD4">
        <w:rPr>
          <w:rFonts w:asciiTheme="minorHAnsi" w:hAnsiTheme="minorHAnsi"/>
        </w:rPr>
        <w:t>—</w:t>
      </w:r>
      <w:r w:rsidRPr="00D75194" w:rsidR="006A428A">
        <w:rPr>
          <w:rFonts w:asciiTheme="minorHAnsi" w:hAnsiTheme="minorHAnsi"/>
        </w:rPr>
        <w:t>via CIES, LRI, and the OF</w:t>
      </w:r>
      <w:r w:rsidRPr="00D75194" w:rsidR="00715AD4">
        <w:rPr>
          <w:rFonts w:asciiTheme="minorHAnsi" w:hAnsiTheme="minorHAnsi"/>
        </w:rPr>
        <w:t>—</w:t>
      </w:r>
      <w:r w:rsidRPr="00D75194" w:rsidR="006A428A">
        <w:rPr>
          <w:rFonts w:asciiTheme="minorHAnsi" w:hAnsiTheme="minorHAnsi"/>
        </w:rPr>
        <w:t xml:space="preserve">aims to improve strategic effectiveness amid budget constraints. While some stakeholders question this shift, those receiving legal implementation support from LRI view </w:t>
      </w:r>
      <w:r w:rsidRPr="00D75194" w:rsidR="00EF6DEE">
        <w:rPr>
          <w:rFonts w:asciiTheme="minorHAnsi" w:hAnsiTheme="minorHAnsi"/>
        </w:rPr>
        <w:t>the domestic implementation support</w:t>
      </w:r>
      <w:r w:rsidRPr="00D75194" w:rsidR="006A428A">
        <w:rPr>
          <w:rFonts w:asciiTheme="minorHAnsi" w:hAnsiTheme="minorHAnsi"/>
        </w:rPr>
        <w:t xml:space="preserve"> as essential. Finally, as English remains dominant in the UNFCCC space, translation support</w:t>
      </w:r>
      <w:r w:rsidRPr="00D75194" w:rsidR="0006796F">
        <w:rPr>
          <w:rFonts w:asciiTheme="minorHAnsi" w:hAnsiTheme="minorHAnsi"/>
        </w:rPr>
        <w:t>—</w:t>
      </w:r>
      <w:r w:rsidRPr="00D75194" w:rsidR="00D85A0B">
        <w:rPr>
          <w:rFonts w:asciiTheme="minorHAnsi" w:hAnsiTheme="minorHAnsi"/>
        </w:rPr>
        <w:t>s</w:t>
      </w:r>
      <w:r w:rsidRPr="00D75194" w:rsidR="006A428A">
        <w:rPr>
          <w:rFonts w:asciiTheme="minorHAnsi" w:hAnsiTheme="minorHAnsi"/>
        </w:rPr>
        <w:t>uch as LRI’s efforts to expand French and Spanish access</w:t>
      </w:r>
      <w:r w:rsidRPr="00D75194" w:rsidR="00FB7B41">
        <w:rPr>
          <w:rFonts w:asciiTheme="minorHAnsi" w:hAnsiTheme="minorHAnsi"/>
        </w:rPr>
        <w:t>, and</w:t>
      </w:r>
      <w:r w:rsidRPr="00D75194" w:rsidR="00BA0805">
        <w:rPr>
          <w:rFonts w:asciiTheme="minorHAnsi" w:hAnsiTheme="minorHAnsi"/>
        </w:rPr>
        <w:t xml:space="preserve"> the</w:t>
      </w:r>
      <w:r w:rsidRPr="00D75194" w:rsidR="00FB7B41">
        <w:rPr>
          <w:rFonts w:asciiTheme="minorHAnsi" w:hAnsiTheme="minorHAnsi"/>
        </w:rPr>
        <w:t xml:space="preserve"> </w:t>
      </w:r>
      <w:r w:rsidRPr="00D75194" w:rsidR="00BA0805">
        <w:rPr>
          <w:rFonts w:asciiTheme="minorHAnsi" w:hAnsiTheme="minorHAnsi"/>
        </w:rPr>
        <w:t>negotiations advice provided by CIES and ICCCAD in native languages</w:t>
      </w:r>
      <w:r w:rsidRPr="00D75194" w:rsidR="0006796F">
        <w:rPr>
          <w:rFonts w:asciiTheme="minorHAnsi" w:hAnsiTheme="minorHAnsi"/>
        </w:rPr>
        <w:t>—</w:t>
      </w:r>
      <w:r w:rsidRPr="00D75194" w:rsidR="006A428A">
        <w:rPr>
          <w:rFonts w:asciiTheme="minorHAnsi" w:hAnsiTheme="minorHAnsi"/>
        </w:rPr>
        <w:t>remains important.</w:t>
      </w:r>
    </w:p>
    <w:p w:rsidRPr="00D75194" w:rsidR="009778EE" w:rsidP="0013122B" w:rsidRDefault="009778EE" w14:paraId="471E38B2" w14:textId="52D91B16">
      <w:pPr>
        <w:spacing w:after="0"/>
        <w:rPr>
          <w:b/>
          <w:bCs/>
          <w:i/>
          <w:iCs/>
        </w:rPr>
      </w:pPr>
      <w:r w:rsidRPr="00D75194">
        <w:rPr>
          <w:b/>
          <w:bCs/>
          <w:i/>
          <w:iCs/>
        </w:rPr>
        <w:t xml:space="preserve">Strength of </w:t>
      </w:r>
      <w:r w:rsidRPr="00D75194" w:rsidR="00EF5E7C">
        <w:rPr>
          <w:b/>
          <w:bCs/>
          <w:i/>
          <w:iCs/>
        </w:rPr>
        <w:t>e</w:t>
      </w:r>
      <w:r w:rsidRPr="00D75194">
        <w:rPr>
          <w:b/>
          <w:bCs/>
          <w:i/>
          <w:iCs/>
        </w:rPr>
        <w:t xml:space="preserve">vidence </w:t>
      </w:r>
    </w:p>
    <w:p w:rsidRPr="00D75194" w:rsidR="00E97BFB" w:rsidP="0013122B" w:rsidRDefault="00E97BFB" w14:paraId="38B205F6" w14:textId="77777777">
      <w:pPr>
        <w:spacing w:after="0"/>
        <w:rPr>
          <w:b/>
          <w:bCs/>
          <w:i/>
          <w:iCs/>
        </w:rPr>
      </w:pPr>
    </w:p>
    <w:p w:rsidRPr="00D75194" w:rsidR="009778EE" w:rsidP="00733F61" w:rsidRDefault="006257F9" w14:paraId="1BDD0707" w14:textId="4FD38237">
      <w:r w:rsidRPr="00D75194">
        <w:t xml:space="preserve">The overall strength of </w:t>
      </w:r>
      <w:r w:rsidRPr="00D75194" w:rsidR="00EF5E7C">
        <w:t xml:space="preserve">the </w:t>
      </w:r>
      <w:r w:rsidRPr="00D75194">
        <w:t>evidence for this question is considered by the LEP</w:t>
      </w:r>
      <w:r w:rsidRPr="00D75194" w:rsidR="001C6842">
        <w:t xml:space="preserve"> team</w:t>
      </w:r>
      <w:r w:rsidRPr="00D75194">
        <w:t xml:space="preserve"> to be </w:t>
      </w:r>
      <w:r w:rsidRPr="00D75194" w:rsidR="00553D48">
        <w:t>strong</w:t>
      </w:r>
      <w:r w:rsidRPr="00D75194">
        <w:t xml:space="preserve">. A breakdown of this rating is presented below, with a </w:t>
      </w:r>
      <w:r w:rsidRPr="00D75194" w:rsidR="00553D48">
        <w:t>description</w:t>
      </w:r>
      <w:r w:rsidRPr="00D75194">
        <w:t xml:space="preserve"> of the rating.</w:t>
      </w:r>
    </w:p>
    <w:p w:rsidRPr="00D75194" w:rsidR="00634AF1" w:rsidP="00634AF1" w:rsidRDefault="0084045C" w14:paraId="4E8CAE60" w14:textId="569E4AC8">
      <w:pPr>
        <w:pStyle w:val="Caption"/>
        <w:keepNext/>
      </w:pPr>
      <w:bookmarkStart w:name="_Ref153279065" w:id="55"/>
      <w:bookmarkStart w:name="_Toc180599803" w:id="56"/>
      <w:bookmarkStart w:name="_Toc214452994" w:id="57"/>
      <w:r w:rsidRPr="00D75194">
        <w:t xml:space="preserve">Table </w:t>
      </w:r>
      <w:r w:rsidRPr="00D75194">
        <w:fldChar w:fldCharType="begin"/>
      </w:r>
      <w:r w:rsidRPr="00D75194">
        <w:instrText xml:space="preserve"> SEQ Table \* ARABIC </w:instrText>
      </w:r>
      <w:r w:rsidRPr="00D75194">
        <w:fldChar w:fldCharType="separate"/>
      </w:r>
      <w:r w:rsidRPr="00D75194" w:rsidR="004D7A82">
        <w:t>5</w:t>
      </w:r>
      <w:r w:rsidRPr="00D75194">
        <w:fldChar w:fldCharType="end"/>
      </w:r>
      <w:r w:rsidRPr="00D75194">
        <w:t xml:space="preserve">: </w:t>
      </w:r>
      <w:bookmarkEnd w:id="55"/>
      <w:r w:rsidRPr="00D75194" w:rsidR="000B704B">
        <w:t>Strength of evidence</w:t>
      </w:r>
      <w:r w:rsidRPr="00D75194" w:rsidR="000B28F5">
        <w:t>—</w:t>
      </w:r>
      <w:r w:rsidRPr="00D75194" w:rsidR="000B704B">
        <w:t>relevance</w:t>
      </w:r>
      <w:bookmarkEnd w:id="56"/>
      <w:bookmarkEnd w:id="57"/>
      <w:r w:rsidRPr="00D75194" w:rsidR="000B704B">
        <w:t xml:space="preserve"> </w:t>
      </w:r>
    </w:p>
    <w:tbl>
      <w:tblPr>
        <w:tblStyle w:val="TableGrid"/>
        <w:tblW w:w="0" w:type="auto"/>
        <w:tblLook w:val="04A0" w:firstRow="1" w:lastRow="0" w:firstColumn="1" w:lastColumn="0" w:noHBand="0" w:noVBand="1"/>
      </w:tblPr>
      <w:tblGrid>
        <w:gridCol w:w="985"/>
        <w:gridCol w:w="1530"/>
        <w:gridCol w:w="2160"/>
        <w:gridCol w:w="5130"/>
      </w:tblGrid>
      <w:tr w:rsidRPr="00D75194" w:rsidR="005104F7" w:rsidTr="0084045C" w14:paraId="75E408CC" w14:textId="77777777">
        <w:trPr>
          <w:trHeight w:val="440"/>
          <w:tblHeader/>
        </w:trPr>
        <w:tc>
          <w:tcPr>
            <w:tcW w:w="985" w:type="dxa"/>
            <w:shd w:val="clear" w:color="auto" w:fill="D9D9D9" w:themeFill="background1" w:themeFillShade="D9"/>
            <w:vAlign w:val="center"/>
          </w:tcPr>
          <w:p w:rsidRPr="00D75194" w:rsidR="005104F7" w:rsidRDefault="005104F7" w14:paraId="6DA6925E" w14:textId="77777777">
            <w:pPr>
              <w:rPr>
                <w:b/>
                <w:bCs/>
                <w:sz w:val="18"/>
                <w:szCs w:val="18"/>
              </w:rPr>
            </w:pPr>
            <w:r w:rsidRPr="00D75194">
              <w:rPr>
                <w:b/>
                <w:bCs/>
                <w:sz w:val="18"/>
                <w:szCs w:val="18"/>
              </w:rPr>
              <w:t>Rating</w:t>
            </w:r>
          </w:p>
        </w:tc>
        <w:tc>
          <w:tcPr>
            <w:tcW w:w="1530" w:type="dxa"/>
            <w:shd w:val="clear" w:color="auto" w:fill="D9D9D9" w:themeFill="background1" w:themeFillShade="D9"/>
            <w:vAlign w:val="center"/>
          </w:tcPr>
          <w:p w:rsidRPr="00D75194" w:rsidR="005104F7" w:rsidRDefault="005104F7" w14:paraId="2A4A1AF5" w14:textId="77777777">
            <w:pPr>
              <w:rPr>
                <w:b/>
                <w:bCs/>
                <w:sz w:val="18"/>
                <w:szCs w:val="18"/>
              </w:rPr>
            </w:pPr>
            <w:r w:rsidRPr="00D75194">
              <w:rPr>
                <w:b/>
                <w:bCs/>
                <w:sz w:val="18"/>
                <w:szCs w:val="18"/>
              </w:rPr>
              <w:t>Statement</w:t>
            </w:r>
          </w:p>
        </w:tc>
        <w:tc>
          <w:tcPr>
            <w:tcW w:w="2160" w:type="dxa"/>
            <w:shd w:val="clear" w:color="auto" w:fill="D9D9D9" w:themeFill="background1" w:themeFillShade="D9"/>
            <w:vAlign w:val="center"/>
          </w:tcPr>
          <w:p w:rsidRPr="00D75194" w:rsidR="005104F7" w:rsidRDefault="005104F7" w14:paraId="77F8F7C0" w14:textId="77777777">
            <w:pPr>
              <w:rPr>
                <w:b/>
                <w:bCs/>
                <w:sz w:val="18"/>
                <w:szCs w:val="18"/>
              </w:rPr>
            </w:pPr>
            <w:r w:rsidRPr="00D75194">
              <w:rPr>
                <w:b/>
                <w:bCs/>
                <w:sz w:val="18"/>
                <w:szCs w:val="18"/>
              </w:rPr>
              <w:t xml:space="preserve">Definition </w:t>
            </w:r>
          </w:p>
        </w:tc>
        <w:tc>
          <w:tcPr>
            <w:tcW w:w="5130" w:type="dxa"/>
            <w:shd w:val="clear" w:color="auto" w:fill="D9D9D9" w:themeFill="background1" w:themeFillShade="D9"/>
            <w:vAlign w:val="center"/>
          </w:tcPr>
          <w:p w:rsidRPr="00D75194" w:rsidR="005104F7" w:rsidRDefault="005104F7" w14:paraId="25457D48" w14:textId="77777777">
            <w:pPr>
              <w:rPr>
                <w:b/>
                <w:bCs/>
                <w:sz w:val="18"/>
                <w:szCs w:val="18"/>
              </w:rPr>
            </w:pPr>
            <w:r w:rsidRPr="00D75194">
              <w:rPr>
                <w:b/>
                <w:bCs/>
                <w:sz w:val="18"/>
                <w:szCs w:val="18"/>
              </w:rPr>
              <w:t xml:space="preserve">Description </w:t>
            </w:r>
          </w:p>
        </w:tc>
      </w:tr>
      <w:tr w:rsidRPr="00D75194" w:rsidR="005104F7" w:rsidTr="0084045C" w14:paraId="3F933EB9" w14:textId="77777777">
        <w:trPr>
          <w:trHeight w:val="1803"/>
        </w:trPr>
        <w:tc>
          <w:tcPr>
            <w:tcW w:w="985" w:type="dxa"/>
            <w:shd w:val="clear" w:color="auto" w:fill="00B050"/>
            <w:vAlign w:val="center"/>
          </w:tcPr>
          <w:p w:rsidRPr="00D75194" w:rsidR="005104F7" w:rsidP="008E2151" w:rsidRDefault="0084045C" w14:paraId="48326B8D" w14:textId="323357C4">
            <w:pPr>
              <w:jc w:val="left"/>
              <w:rPr>
                <w:b/>
                <w:bCs/>
                <w:sz w:val="18"/>
                <w:szCs w:val="18"/>
              </w:rPr>
            </w:pPr>
            <w:r w:rsidRPr="00D75194">
              <w:rPr>
                <w:b/>
                <w:bCs/>
                <w:sz w:val="18"/>
                <w:szCs w:val="18"/>
              </w:rPr>
              <w:t xml:space="preserve">Strong </w:t>
            </w:r>
          </w:p>
        </w:tc>
        <w:tc>
          <w:tcPr>
            <w:tcW w:w="1530" w:type="dxa"/>
            <w:vAlign w:val="center"/>
          </w:tcPr>
          <w:p w:rsidRPr="00D75194" w:rsidR="005104F7" w:rsidP="008E2151" w:rsidRDefault="008868E0" w14:paraId="5154DA5C" w14:textId="5F518450">
            <w:pPr>
              <w:jc w:val="left"/>
              <w:rPr>
                <w:sz w:val="18"/>
                <w:szCs w:val="18"/>
              </w:rPr>
            </w:pPr>
            <w:r w:rsidRPr="00D75194">
              <w:rPr>
                <w:sz w:val="18"/>
                <w:szCs w:val="18"/>
              </w:rPr>
              <w:t>There is clear and corroborative evidence to make a judgement</w:t>
            </w:r>
          </w:p>
        </w:tc>
        <w:tc>
          <w:tcPr>
            <w:tcW w:w="2160" w:type="dxa"/>
            <w:vAlign w:val="center"/>
          </w:tcPr>
          <w:p w:rsidRPr="00D75194" w:rsidR="005104F7" w:rsidP="008E2151" w:rsidRDefault="00F135F9" w14:paraId="3F49E8F8" w14:textId="2EBF6D2F">
            <w:pPr>
              <w:jc w:val="left"/>
              <w:rPr>
                <w:sz w:val="18"/>
                <w:szCs w:val="18"/>
              </w:rPr>
            </w:pPr>
            <w:r w:rsidRPr="00D75194">
              <w:rPr>
                <w:sz w:val="18"/>
                <w:szCs w:val="18"/>
              </w:rPr>
              <w:t xml:space="preserve">Evidence </w:t>
            </w:r>
            <w:r w:rsidRPr="00D75194" w:rsidR="006E1A15">
              <w:rPr>
                <w:sz w:val="18"/>
                <w:szCs w:val="18"/>
              </w:rPr>
              <w:t>can</w:t>
            </w:r>
            <w:r w:rsidRPr="00D75194">
              <w:rPr>
                <w:sz w:val="18"/>
                <w:szCs w:val="18"/>
              </w:rPr>
              <w:t xml:space="preserve"> be corroborated </w:t>
            </w:r>
            <w:r w:rsidRPr="00D75194" w:rsidR="006E1A15">
              <w:rPr>
                <w:sz w:val="18"/>
                <w:szCs w:val="18"/>
              </w:rPr>
              <w:t xml:space="preserve">by </w:t>
            </w:r>
            <w:r w:rsidRPr="00D75194">
              <w:rPr>
                <w:sz w:val="18"/>
                <w:szCs w:val="18"/>
              </w:rPr>
              <w:t>monitoring data, programme documents, and primary data to support a judgement</w:t>
            </w:r>
          </w:p>
        </w:tc>
        <w:tc>
          <w:tcPr>
            <w:tcW w:w="5130" w:type="dxa"/>
            <w:vAlign w:val="center"/>
          </w:tcPr>
          <w:p w:rsidRPr="00D75194" w:rsidR="005104F7" w:rsidP="008E2151" w:rsidRDefault="00D82D3E" w14:paraId="117B3B01" w14:textId="00CC5E99">
            <w:pPr>
              <w:spacing w:after="0"/>
              <w:jc w:val="left"/>
              <w:rPr>
                <w:sz w:val="18"/>
                <w:szCs w:val="18"/>
              </w:rPr>
            </w:pPr>
            <w:r w:rsidRPr="00D75194">
              <w:rPr>
                <w:sz w:val="18"/>
                <w:szCs w:val="18"/>
              </w:rPr>
              <w:t>The LEP has gathered relevant data from programme documentation and KIIs, including with CASA II delivery partners (n=27) and CASA-supported negotiators (n=19). The LEP was also able to better understand the dynamics between TPs through the case studies and programme documentation</w:t>
            </w:r>
            <w:r w:rsidRPr="00D75194" w:rsidR="005D7E75">
              <w:rPr>
                <w:sz w:val="18"/>
                <w:szCs w:val="18"/>
              </w:rPr>
              <w:t>, which</w:t>
            </w:r>
            <w:r w:rsidRPr="00D75194">
              <w:rPr>
                <w:sz w:val="18"/>
                <w:szCs w:val="18"/>
              </w:rPr>
              <w:t xml:space="preserve"> provided clear and corroborative evidence</w:t>
            </w:r>
            <w:r w:rsidRPr="00D75194" w:rsidR="00A7078B">
              <w:rPr>
                <w:sz w:val="18"/>
                <w:szCs w:val="18"/>
              </w:rPr>
              <w:t xml:space="preserve"> on which</w:t>
            </w:r>
            <w:r w:rsidRPr="00D75194">
              <w:rPr>
                <w:sz w:val="18"/>
                <w:szCs w:val="18"/>
              </w:rPr>
              <w:t xml:space="preserve"> to make a judgement. </w:t>
            </w:r>
          </w:p>
        </w:tc>
      </w:tr>
    </w:tbl>
    <w:p w:rsidRPr="00D75194" w:rsidR="00FE14AB" w:rsidP="00FE14AB" w:rsidRDefault="00FE14AB" w14:paraId="4BE15875" w14:textId="77777777">
      <w:pPr>
        <w:spacing w:after="0"/>
      </w:pPr>
    </w:p>
    <w:p w:rsidRPr="00D75194" w:rsidR="00083A6A" w:rsidP="001C4188" w:rsidRDefault="003A5F55" w14:paraId="1015A411" w14:textId="6F4B4AED">
      <w:pPr>
        <w:pStyle w:val="Heading3"/>
        <w:numPr>
          <w:ilvl w:val="0"/>
          <w:numId w:val="0"/>
        </w:numPr>
      </w:pPr>
      <w:bookmarkStart w:name="_Toc204259814" w:id="58"/>
      <w:r w:rsidRPr="00D75194">
        <w:t xml:space="preserve">EQ 1.1: </w:t>
      </w:r>
      <w:r w:rsidRPr="00D75194" w:rsidR="00A556FA">
        <w:t xml:space="preserve">To what extent does the pool of </w:t>
      </w:r>
      <w:r w:rsidRPr="00D75194" w:rsidR="0094268E">
        <w:t>TPs</w:t>
      </w:r>
      <w:r w:rsidRPr="00D75194" w:rsidR="00A556FA">
        <w:t xml:space="preserve"> and their ‘stock of assets’ sufficiently reflect the expertise required to address the needs of climate negotiators?</w:t>
      </w:r>
      <w:bookmarkEnd w:id="58"/>
    </w:p>
    <w:p w:rsidRPr="00D75194" w:rsidR="00A44706" w:rsidP="00EE1B0C" w:rsidRDefault="001C4188" w14:paraId="411E0C8B" w14:textId="080F8388">
      <w:pPr>
        <w:spacing w:after="160" w:line="278" w:lineRule="auto"/>
        <w:rPr>
          <w:rFonts w:asciiTheme="minorHAnsi" w:hAnsiTheme="minorHAnsi"/>
        </w:rPr>
      </w:pPr>
      <w:r w:rsidRPr="00D75194">
        <w:rPr>
          <w:rFonts w:asciiTheme="minorHAnsi" w:hAnsiTheme="minorHAnsi"/>
        </w:rPr>
        <w:br/>
      </w:r>
      <w:r w:rsidRPr="00D75194" w:rsidR="003B2D07">
        <w:rPr>
          <w:rFonts w:asciiTheme="minorHAnsi" w:hAnsiTheme="minorHAnsi"/>
        </w:rPr>
        <w:t xml:space="preserve">As found in the programme’s interim evaluation (2024), </w:t>
      </w:r>
      <w:r w:rsidRPr="00D75194" w:rsidR="003B2D07">
        <w:rPr>
          <w:rFonts w:asciiTheme="minorHAnsi" w:hAnsiTheme="minorHAnsi"/>
          <w:b/>
          <w:bCs/>
        </w:rPr>
        <w:t xml:space="preserve">CASA continues to </w:t>
      </w:r>
      <w:r w:rsidRPr="00D75194" w:rsidR="007A1457">
        <w:rPr>
          <w:rFonts w:asciiTheme="minorHAnsi" w:hAnsiTheme="minorHAnsi"/>
          <w:b/>
          <w:bCs/>
        </w:rPr>
        <w:t>provide</w:t>
      </w:r>
      <w:r w:rsidRPr="00D75194" w:rsidR="003B2D07">
        <w:rPr>
          <w:rFonts w:asciiTheme="minorHAnsi" w:hAnsiTheme="minorHAnsi"/>
          <w:b/>
          <w:bCs/>
        </w:rPr>
        <w:t xml:space="preserve"> a pool of TPs </w:t>
      </w:r>
      <w:r w:rsidRPr="00D75194" w:rsidR="007A1457">
        <w:rPr>
          <w:rFonts w:asciiTheme="minorHAnsi" w:hAnsiTheme="minorHAnsi"/>
          <w:b/>
          <w:bCs/>
        </w:rPr>
        <w:t>with the expertise required to respond</w:t>
      </w:r>
      <w:r w:rsidRPr="00D75194" w:rsidR="003B2D07">
        <w:rPr>
          <w:rFonts w:asciiTheme="minorHAnsi" w:hAnsiTheme="minorHAnsi"/>
          <w:b/>
          <w:bCs/>
        </w:rPr>
        <w:t xml:space="preserve"> </w:t>
      </w:r>
      <w:r w:rsidRPr="00D75194" w:rsidR="00483CCB">
        <w:rPr>
          <w:rFonts w:asciiTheme="minorHAnsi" w:hAnsiTheme="minorHAnsi"/>
          <w:b/>
          <w:bCs/>
        </w:rPr>
        <w:t xml:space="preserve">to, </w:t>
      </w:r>
      <w:r w:rsidRPr="00D75194" w:rsidR="003B2D07">
        <w:rPr>
          <w:rFonts w:asciiTheme="minorHAnsi" w:hAnsiTheme="minorHAnsi"/>
          <w:b/>
          <w:bCs/>
        </w:rPr>
        <w:t xml:space="preserve">and </w:t>
      </w:r>
      <w:r w:rsidRPr="00D75194" w:rsidR="007A1457">
        <w:rPr>
          <w:rFonts w:asciiTheme="minorHAnsi" w:hAnsiTheme="minorHAnsi"/>
          <w:b/>
          <w:bCs/>
        </w:rPr>
        <w:t>address</w:t>
      </w:r>
      <w:r w:rsidRPr="00D75194" w:rsidR="00483CCB">
        <w:rPr>
          <w:rFonts w:asciiTheme="minorHAnsi" w:hAnsiTheme="minorHAnsi"/>
          <w:b/>
          <w:bCs/>
        </w:rPr>
        <w:t>,</w:t>
      </w:r>
      <w:r w:rsidRPr="00D75194" w:rsidR="007A1457">
        <w:rPr>
          <w:rFonts w:asciiTheme="minorHAnsi" w:hAnsiTheme="minorHAnsi"/>
          <w:b/>
          <w:bCs/>
        </w:rPr>
        <w:t xml:space="preserve"> </w:t>
      </w:r>
      <w:r w:rsidRPr="00D75194" w:rsidR="003B2D07">
        <w:rPr>
          <w:rFonts w:asciiTheme="minorHAnsi" w:hAnsiTheme="minorHAnsi"/>
          <w:b/>
          <w:bCs/>
        </w:rPr>
        <w:t>the evolving needs of climate negotiators.</w:t>
      </w:r>
      <w:r w:rsidRPr="00D75194" w:rsidR="003B2D07">
        <w:rPr>
          <w:rFonts w:asciiTheme="minorHAnsi" w:hAnsiTheme="minorHAnsi"/>
        </w:rPr>
        <w:t xml:space="preserve"> The programme’s ‘stock of assets’—both in terms of expertise and delivery mechanisms—remains key to address</w:t>
      </w:r>
      <w:r w:rsidRPr="00D75194" w:rsidR="00182A7C">
        <w:rPr>
          <w:rFonts w:asciiTheme="minorHAnsi" w:hAnsiTheme="minorHAnsi"/>
        </w:rPr>
        <w:t>ing</w:t>
      </w:r>
      <w:r w:rsidRPr="00D75194" w:rsidR="003B2D07">
        <w:rPr>
          <w:rFonts w:asciiTheme="minorHAnsi" w:hAnsiTheme="minorHAnsi"/>
        </w:rPr>
        <w:t xml:space="preserve"> the increasingly dynamic and complex negotiation landscape.</w:t>
      </w:r>
      <w:r w:rsidRPr="00D75194" w:rsidR="00A44706">
        <w:rPr>
          <w:rFonts w:asciiTheme="minorHAnsi" w:hAnsiTheme="minorHAnsi"/>
        </w:rPr>
        <w:t xml:space="preserve"> </w:t>
      </w:r>
      <w:r w:rsidRPr="00D75194" w:rsidR="000E0C2D">
        <w:rPr>
          <w:rFonts w:asciiTheme="minorHAnsi" w:hAnsiTheme="minorHAnsi"/>
        </w:rPr>
        <w:t xml:space="preserve">This </w:t>
      </w:r>
      <w:r w:rsidRPr="00D75194" w:rsidR="00C20153">
        <w:rPr>
          <w:rFonts w:asciiTheme="minorHAnsi" w:hAnsiTheme="minorHAnsi"/>
        </w:rPr>
        <w:t>stock of assets</w:t>
      </w:r>
      <w:r w:rsidRPr="00D75194" w:rsidR="00E861E0">
        <w:rPr>
          <w:rFonts w:asciiTheme="minorHAnsi" w:hAnsiTheme="minorHAnsi"/>
        </w:rPr>
        <w:t>, as defined by the programme’s ToC, include</w:t>
      </w:r>
      <w:r w:rsidRPr="00D75194" w:rsidR="000E607B">
        <w:rPr>
          <w:rFonts w:asciiTheme="minorHAnsi" w:hAnsiTheme="minorHAnsi"/>
        </w:rPr>
        <w:t xml:space="preserve"> the following</w:t>
      </w:r>
      <w:r w:rsidRPr="00D75194" w:rsidR="00E861E0">
        <w:rPr>
          <w:rFonts w:asciiTheme="minorHAnsi" w:hAnsiTheme="minorHAnsi"/>
        </w:rPr>
        <w:t xml:space="preserve">: </w:t>
      </w:r>
      <w:r w:rsidRPr="00D75194" w:rsidR="000D739A">
        <w:rPr>
          <w:rFonts w:asciiTheme="minorHAnsi" w:hAnsiTheme="minorHAnsi"/>
        </w:rPr>
        <w:t>physical and financial resources</w:t>
      </w:r>
      <w:r w:rsidRPr="00D75194" w:rsidR="00A70781">
        <w:rPr>
          <w:rFonts w:asciiTheme="minorHAnsi" w:hAnsiTheme="minorHAnsi"/>
        </w:rPr>
        <w:t xml:space="preserve"> and presence; institutional and technical knowledge and memory; established trust and confidence</w:t>
      </w:r>
      <w:r w:rsidRPr="00D75194" w:rsidR="00F97378">
        <w:rPr>
          <w:rFonts w:asciiTheme="minorHAnsi" w:hAnsiTheme="minorHAnsi"/>
        </w:rPr>
        <w:t xml:space="preserve"> through existing and long-term relationships;</w:t>
      </w:r>
      <w:r w:rsidRPr="00D75194" w:rsidR="0019156B">
        <w:rPr>
          <w:rFonts w:asciiTheme="minorHAnsi" w:hAnsiTheme="minorHAnsi"/>
        </w:rPr>
        <w:t xml:space="preserve"> and relationshi</w:t>
      </w:r>
      <w:r w:rsidRPr="00D75194" w:rsidR="00306BF0">
        <w:rPr>
          <w:rFonts w:asciiTheme="minorHAnsi" w:hAnsiTheme="minorHAnsi"/>
        </w:rPr>
        <w:t xml:space="preserve">p and resourcing </w:t>
      </w:r>
      <w:r w:rsidRPr="00D75194" w:rsidR="003A1775">
        <w:rPr>
          <w:rFonts w:asciiTheme="minorHAnsi" w:hAnsiTheme="minorHAnsi"/>
        </w:rPr>
        <w:t>conditions</w:t>
      </w:r>
      <w:r w:rsidRPr="00D75194" w:rsidR="00797418">
        <w:rPr>
          <w:rFonts w:asciiTheme="minorHAnsi" w:hAnsiTheme="minorHAnsi"/>
        </w:rPr>
        <w:t xml:space="preserve"> (e.g. informal/formal agreements with other TPs, dedicated/embedded support and coordination </w:t>
      </w:r>
      <w:r w:rsidRPr="00D75194" w:rsidR="00797418">
        <w:rPr>
          <w:rFonts w:asciiTheme="minorHAnsi" w:hAnsiTheme="minorHAnsi"/>
        </w:rPr>
        <w:t>teams/structures).</w:t>
      </w:r>
      <w:r w:rsidRPr="00D75194" w:rsidR="003A1775">
        <w:rPr>
          <w:rFonts w:asciiTheme="minorHAnsi" w:hAnsiTheme="minorHAnsi"/>
        </w:rPr>
        <w:t xml:space="preserve"> </w:t>
      </w:r>
      <w:r w:rsidRPr="00D75194" w:rsidR="004F4C45">
        <w:rPr>
          <w:rFonts w:asciiTheme="minorHAnsi" w:hAnsiTheme="minorHAnsi"/>
        </w:rPr>
        <w:t>Establishing trust, reputation, and continuity of presence remains a defining asset of CASA’s TPs. The consistent engagement of TPs with the UNFCCC agenda before, during</w:t>
      </w:r>
      <w:r w:rsidRPr="00D75194" w:rsidR="00F47B4F">
        <w:rPr>
          <w:rFonts w:asciiTheme="minorHAnsi" w:hAnsiTheme="minorHAnsi"/>
        </w:rPr>
        <w:t>,</w:t>
      </w:r>
      <w:r w:rsidRPr="00D75194" w:rsidR="004F4C45">
        <w:rPr>
          <w:rFonts w:asciiTheme="minorHAnsi" w:hAnsiTheme="minorHAnsi"/>
        </w:rPr>
        <w:t xml:space="preserve"> and after meetings enables them to respond effectively to dynamic contexts and the shifting needs of negotiators, groups, and countries. </w:t>
      </w:r>
      <w:r w:rsidRPr="00D75194" w:rsidR="00A33FF0">
        <w:rPr>
          <w:rFonts w:asciiTheme="minorHAnsi" w:hAnsiTheme="minorHAnsi"/>
        </w:rPr>
        <w:t xml:space="preserve">For example, </w:t>
      </w:r>
      <w:r w:rsidRPr="00D75194" w:rsidR="00A44706">
        <w:rPr>
          <w:rFonts w:asciiTheme="minorHAnsi" w:hAnsiTheme="minorHAnsi"/>
        </w:rPr>
        <w:t xml:space="preserve">TPs are found to be capable of responding not only to thematic shifts but also to the operational realities of </w:t>
      </w:r>
      <w:r w:rsidRPr="00D75194" w:rsidR="00073FBC">
        <w:rPr>
          <w:rFonts w:asciiTheme="minorHAnsi" w:hAnsiTheme="minorHAnsi"/>
        </w:rPr>
        <w:t>“</w:t>
      </w:r>
      <w:r w:rsidRPr="00D75194" w:rsidR="00A44706">
        <w:rPr>
          <w:rFonts w:asciiTheme="minorHAnsi" w:hAnsiTheme="minorHAnsi"/>
        </w:rPr>
        <w:t xml:space="preserve">rotation </w:t>
      </w:r>
      <w:r w:rsidRPr="00D75194" w:rsidR="00073FBC">
        <w:rPr>
          <w:rFonts w:asciiTheme="minorHAnsi" w:hAnsiTheme="minorHAnsi"/>
        </w:rPr>
        <w:t>chaos”</w:t>
      </w:r>
      <w:r w:rsidRPr="00D75194" w:rsidR="00A44706">
        <w:rPr>
          <w:rFonts w:asciiTheme="minorHAnsi" w:hAnsiTheme="minorHAnsi"/>
        </w:rPr>
        <w:t xml:space="preserve">, as one TP referred to it, that can occur </w:t>
      </w:r>
      <w:r w:rsidRPr="00D75194" w:rsidR="00D115F4">
        <w:rPr>
          <w:rFonts w:asciiTheme="minorHAnsi" w:hAnsiTheme="minorHAnsi"/>
        </w:rPr>
        <w:t xml:space="preserve">due to </w:t>
      </w:r>
      <w:r w:rsidRPr="00D75194" w:rsidR="00A44706">
        <w:rPr>
          <w:rFonts w:asciiTheme="minorHAnsi" w:hAnsiTheme="minorHAnsi"/>
        </w:rPr>
        <w:t xml:space="preserve">the frequent changes in delegates, </w:t>
      </w:r>
      <w:r w:rsidRPr="00D75194" w:rsidR="0083760A">
        <w:rPr>
          <w:rFonts w:asciiTheme="minorHAnsi" w:hAnsiTheme="minorHAnsi"/>
        </w:rPr>
        <w:t>c</w:t>
      </w:r>
      <w:r w:rsidRPr="00D75194" w:rsidR="00A44706">
        <w:rPr>
          <w:rFonts w:asciiTheme="minorHAnsi" w:hAnsiTheme="minorHAnsi"/>
        </w:rPr>
        <w:t xml:space="preserve">hairs, and </w:t>
      </w:r>
      <w:r w:rsidRPr="00D75194" w:rsidR="0083760A">
        <w:rPr>
          <w:rFonts w:asciiTheme="minorHAnsi" w:hAnsiTheme="minorHAnsi"/>
        </w:rPr>
        <w:t>h</w:t>
      </w:r>
      <w:r w:rsidRPr="00D75194" w:rsidR="00A44706">
        <w:rPr>
          <w:rFonts w:asciiTheme="minorHAnsi" w:hAnsiTheme="minorHAnsi"/>
        </w:rPr>
        <w:t xml:space="preserve">eads of </w:t>
      </w:r>
      <w:r w:rsidRPr="00D75194" w:rsidR="0083760A">
        <w:rPr>
          <w:rFonts w:asciiTheme="minorHAnsi" w:hAnsiTheme="minorHAnsi"/>
        </w:rPr>
        <w:t>d</w:t>
      </w:r>
      <w:r w:rsidRPr="00D75194" w:rsidR="00A44706">
        <w:rPr>
          <w:rFonts w:asciiTheme="minorHAnsi" w:hAnsiTheme="minorHAnsi"/>
        </w:rPr>
        <w:t xml:space="preserve">elegation. The transitional period required for new </w:t>
      </w:r>
      <w:r w:rsidRPr="00D75194" w:rsidR="0083760A">
        <w:rPr>
          <w:rFonts w:asciiTheme="minorHAnsi" w:hAnsiTheme="minorHAnsi"/>
        </w:rPr>
        <w:t xml:space="preserve">chairs </w:t>
      </w:r>
      <w:r w:rsidRPr="00D75194" w:rsidR="00A44706">
        <w:rPr>
          <w:rFonts w:asciiTheme="minorHAnsi" w:hAnsiTheme="minorHAnsi"/>
        </w:rPr>
        <w:t>to settle into their roles underscores the importance of TPs in ensuring continuity and effective handover. Their presence and institutional memory are essential in maintaining momentum and coherence during these transitions.</w:t>
      </w:r>
    </w:p>
    <w:p w:rsidRPr="00D75194" w:rsidR="00A44706" w:rsidP="0F6527FB" w:rsidRDefault="00A44706" w14:paraId="38D40E28" w14:textId="5635A1EA">
      <w:pPr>
        <w:spacing w:after="160" w:line="278" w:lineRule="auto"/>
        <w:rPr>
          <w:rFonts w:asciiTheme="minorHAnsi" w:hAnsiTheme="minorHAnsi"/>
        </w:rPr>
      </w:pPr>
      <w:r w:rsidRPr="00D75194">
        <w:rPr>
          <w:rFonts w:asciiTheme="minorHAnsi" w:hAnsiTheme="minorHAnsi"/>
        </w:rPr>
        <w:t>Thematically, the post-COP28 landscape has shifted toward</w:t>
      </w:r>
      <w:r w:rsidRPr="00D75194" w:rsidR="0083760A">
        <w:rPr>
          <w:rFonts w:asciiTheme="minorHAnsi" w:hAnsiTheme="minorHAnsi"/>
        </w:rPr>
        <w:t>s</w:t>
      </w:r>
      <w:r w:rsidRPr="00D75194">
        <w:rPr>
          <w:rFonts w:asciiTheme="minorHAnsi" w:hAnsiTheme="minorHAnsi"/>
        </w:rPr>
        <w:t xml:space="preserve"> operationalising the Loss and Damage Fund at the domestic level, as well as preparing for the next iteration of Nationally Determined Contributions (NDCs) due at COP30. </w:t>
      </w:r>
      <w:r w:rsidRPr="00D75194" w:rsidR="00767F78">
        <w:rPr>
          <w:rFonts w:asciiTheme="minorHAnsi" w:hAnsiTheme="minorHAnsi"/>
        </w:rPr>
        <w:t>Throughout and following</w:t>
      </w:r>
      <w:r w:rsidRPr="00D75194">
        <w:rPr>
          <w:rFonts w:asciiTheme="minorHAnsi" w:hAnsiTheme="minorHAnsi"/>
        </w:rPr>
        <w:t xml:space="preserve"> COP29, there </w:t>
      </w:r>
      <w:r w:rsidRPr="00D75194" w:rsidR="002D0DC9">
        <w:rPr>
          <w:rFonts w:asciiTheme="minorHAnsi" w:hAnsiTheme="minorHAnsi"/>
        </w:rPr>
        <w:t>has been</w:t>
      </w:r>
      <w:r w:rsidRPr="00D75194">
        <w:rPr>
          <w:rFonts w:asciiTheme="minorHAnsi" w:hAnsiTheme="minorHAnsi"/>
        </w:rPr>
        <w:t xml:space="preserve"> substantial focus on the deliberations surrounding the post-2025 climate finance goal, specifically the development of the </w:t>
      </w:r>
      <w:r w:rsidRPr="00D75194" w:rsidR="00A45FA3">
        <w:rPr>
          <w:rFonts w:asciiTheme="minorHAnsi" w:hAnsiTheme="minorHAnsi"/>
        </w:rPr>
        <w:t>N</w:t>
      </w:r>
      <w:r w:rsidRPr="00D75194">
        <w:rPr>
          <w:rFonts w:asciiTheme="minorHAnsi" w:hAnsiTheme="minorHAnsi"/>
        </w:rPr>
        <w:t xml:space="preserve">ew </w:t>
      </w:r>
      <w:r w:rsidRPr="00D75194" w:rsidR="00A45FA3">
        <w:rPr>
          <w:rFonts w:asciiTheme="minorHAnsi" w:hAnsiTheme="minorHAnsi"/>
        </w:rPr>
        <w:t>C</w:t>
      </w:r>
      <w:r w:rsidRPr="00D75194">
        <w:rPr>
          <w:rFonts w:asciiTheme="minorHAnsi" w:hAnsiTheme="minorHAnsi"/>
        </w:rPr>
        <w:t xml:space="preserve">ollective </w:t>
      </w:r>
      <w:r w:rsidRPr="00D75194" w:rsidR="00A45FA3">
        <w:rPr>
          <w:rFonts w:asciiTheme="minorHAnsi" w:hAnsiTheme="minorHAnsi"/>
        </w:rPr>
        <w:t>Q</w:t>
      </w:r>
      <w:r w:rsidRPr="00D75194">
        <w:rPr>
          <w:rFonts w:asciiTheme="minorHAnsi" w:hAnsiTheme="minorHAnsi"/>
        </w:rPr>
        <w:t xml:space="preserve">uantified </w:t>
      </w:r>
      <w:r w:rsidRPr="00D75194" w:rsidR="00A45FA3">
        <w:rPr>
          <w:rFonts w:asciiTheme="minorHAnsi" w:hAnsiTheme="minorHAnsi"/>
        </w:rPr>
        <w:t>G</w:t>
      </w:r>
      <w:r w:rsidRPr="00D75194">
        <w:rPr>
          <w:rFonts w:asciiTheme="minorHAnsi" w:hAnsiTheme="minorHAnsi"/>
        </w:rPr>
        <w:t xml:space="preserve">oal </w:t>
      </w:r>
      <w:r w:rsidRPr="00D75194" w:rsidR="00A45FA3">
        <w:rPr>
          <w:rFonts w:asciiTheme="minorHAnsi" w:hAnsiTheme="minorHAnsi"/>
        </w:rPr>
        <w:t xml:space="preserve">(NCQG) </w:t>
      </w:r>
      <w:r w:rsidRPr="00D75194">
        <w:rPr>
          <w:rFonts w:asciiTheme="minorHAnsi" w:hAnsiTheme="minorHAnsi"/>
        </w:rPr>
        <w:t>on climate finance. TPs are actively supporting negotiators in navigating these complex and evolving thematic areas.</w:t>
      </w:r>
    </w:p>
    <w:p w:rsidRPr="00D75194" w:rsidR="003B2D07" w:rsidP="35CAE032" w:rsidRDefault="00525CE5" w14:paraId="3511BA62" w14:textId="5D06140F">
      <w:pPr>
        <w:spacing w:after="160" w:line="278" w:lineRule="auto"/>
        <w:rPr>
          <w:rFonts w:asciiTheme="minorHAnsi" w:hAnsiTheme="minorHAnsi"/>
        </w:rPr>
      </w:pPr>
      <w:r w:rsidRPr="00D75194">
        <w:rPr>
          <w:rFonts w:asciiTheme="minorHAnsi" w:hAnsiTheme="minorHAnsi"/>
          <w:b/>
          <w:bCs/>
        </w:rPr>
        <w:t xml:space="preserve">CASA II </w:t>
      </w:r>
      <w:r w:rsidRPr="00D75194" w:rsidR="00255D09">
        <w:rPr>
          <w:rFonts w:asciiTheme="minorHAnsi" w:hAnsiTheme="minorHAnsi"/>
          <w:b/>
          <w:bCs/>
        </w:rPr>
        <w:t>has adapted</w:t>
      </w:r>
      <w:r w:rsidRPr="00D75194" w:rsidR="00653A31">
        <w:rPr>
          <w:rFonts w:asciiTheme="minorHAnsi" w:hAnsiTheme="minorHAnsi"/>
          <w:b/>
          <w:bCs/>
        </w:rPr>
        <w:t xml:space="preserve"> its pool of TPs to amplify and broaden its relevance to new stakeholders</w:t>
      </w:r>
      <w:r w:rsidRPr="00D75194" w:rsidR="00E42E68">
        <w:rPr>
          <w:rFonts w:asciiTheme="minorHAnsi" w:hAnsiTheme="minorHAnsi"/>
          <w:b/>
          <w:bCs/>
        </w:rPr>
        <w:t>.</w:t>
      </w:r>
      <w:r w:rsidRPr="00D75194" w:rsidR="00E42E68">
        <w:rPr>
          <w:rFonts w:asciiTheme="minorHAnsi" w:hAnsiTheme="minorHAnsi"/>
        </w:rPr>
        <w:t xml:space="preserve"> </w:t>
      </w:r>
      <w:r w:rsidRPr="00D75194" w:rsidR="003B2D07">
        <w:rPr>
          <w:rFonts w:asciiTheme="minorHAnsi" w:hAnsiTheme="minorHAnsi"/>
        </w:rPr>
        <w:t>The inclusion of new TPs</w:t>
      </w:r>
      <w:r w:rsidRPr="00D75194" w:rsidR="7ECE7FF2">
        <w:rPr>
          <w:rFonts w:asciiTheme="minorHAnsi" w:hAnsiTheme="minorHAnsi"/>
        </w:rPr>
        <w:t>,</w:t>
      </w:r>
      <w:r w:rsidRPr="00D75194" w:rsidR="003B2D07">
        <w:rPr>
          <w:rFonts w:asciiTheme="minorHAnsi" w:hAnsiTheme="minorHAnsi"/>
        </w:rPr>
        <w:t xml:space="preserve"> such as CIES and ICCCAD</w:t>
      </w:r>
      <w:r w:rsidRPr="00D75194" w:rsidR="16BAEDE5">
        <w:rPr>
          <w:rFonts w:asciiTheme="minorHAnsi" w:hAnsiTheme="minorHAnsi"/>
        </w:rPr>
        <w:t>,</w:t>
      </w:r>
      <w:r w:rsidRPr="00D75194" w:rsidR="003B2D07">
        <w:rPr>
          <w:rFonts w:asciiTheme="minorHAnsi" w:hAnsiTheme="minorHAnsi"/>
        </w:rPr>
        <w:t xml:space="preserve"> has expanded the scope of CASA’s training offer, moving beyond </w:t>
      </w:r>
      <w:r w:rsidRPr="00D75194" w:rsidR="00904512">
        <w:rPr>
          <w:rFonts w:asciiTheme="minorHAnsi" w:hAnsiTheme="minorHAnsi"/>
        </w:rPr>
        <w:t xml:space="preserve">training </w:t>
      </w:r>
      <w:r w:rsidRPr="00D75194" w:rsidR="0071576A">
        <w:rPr>
          <w:rFonts w:asciiTheme="minorHAnsi" w:hAnsiTheme="minorHAnsi"/>
        </w:rPr>
        <w:t>core negotiation delegates</w:t>
      </w:r>
      <w:r w:rsidRPr="00D75194" w:rsidR="003B2D07">
        <w:rPr>
          <w:rFonts w:asciiTheme="minorHAnsi" w:hAnsiTheme="minorHAnsi"/>
        </w:rPr>
        <w:t xml:space="preserve"> to</w:t>
      </w:r>
      <w:r w:rsidRPr="00D75194" w:rsidR="000734DD">
        <w:rPr>
          <w:rFonts w:asciiTheme="minorHAnsi" w:hAnsiTheme="minorHAnsi"/>
        </w:rPr>
        <w:t xml:space="preserve"> also</w:t>
      </w:r>
      <w:r w:rsidRPr="00D75194" w:rsidR="003B2D07">
        <w:rPr>
          <w:rFonts w:asciiTheme="minorHAnsi" w:hAnsiTheme="minorHAnsi"/>
        </w:rPr>
        <w:t xml:space="preserve"> include civil society and private sector actors who seek to engage meaningfully at COPs. </w:t>
      </w:r>
    </w:p>
    <w:p w:rsidRPr="00D75194" w:rsidR="003B2D07" w:rsidP="003B2D07" w:rsidRDefault="003B2D07" w14:paraId="04281EBE" w14:textId="75B1BBEE">
      <w:pPr>
        <w:spacing w:after="160" w:line="278" w:lineRule="auto"/>
        <w:rPr>
          <w:rFonts w:asciiTheme="minorHAnsi" w:hAnsiTheme="minorHAnsi"/>
        </w:rPr>
      </w:pPr>
      <w:r w:rsidRPr="00D75194">
        <w:rPr>
          <w:rFonts w:asciiTheme="minorHAnsi" w:hAnsiTheme="minorHAnsi"/>
          <w:b/>
          <w:bCs/>
        </w:rPr>
        <w:t>The introduction of the OF has increased the pool</w:t>
      </w:r>
      <w:r w:rsidRPr="00D75194" w:rsidR="00635D32">
        <w:rPr>
          <w:rFonts w:asciiTheme="minorHAnsi" w:hAnsiTheme="minorHAnsi"/>
          <w:b/>
          <w:bCs/>
        </w:rPr>
        <w:t xml:space="preserve"> of</w:t>
      </w:r>
      <w:r w:rsidRPr="00D75194">
        <w:rPr>
          <w:rFonts w:asciiTheme="minorHAnsi" w:hAnsiTheme="minorHAnsi"/>
          <w:b/>
          <w:bCs/>
        </w:rPr>
        <w:t xml:space="preserve"> </w:t>
      </w:r>
      <w:r w:rsidRPr="00D75194" w:rsidR="00A4700C">
        <w:rPr>
          <w:rFonts w:asciiTheme="minorHAnsi" w:hAnsiTheme="minorHAnsi"/>
          <w:b/>
          <w:bCs/>
        </w:rPr>
        <w:t>TPs</w:t>
      </w:r>
      <w:r w:rsidRPr="00D75194" w:rsidR="00635D32">
        <w:rPr>
          <w:rFonts w:asciiTheme="minorHAnsi" w:hAnsiTheme="minorHAnsi"/>
          <w:b/>
          <w:bCs/>
        </w:rPr>
        <w:t>’</w:t>
      </w:r>
      <w:r w:rsidRPr="00D75194">
        <w:rPr>
          <w:rFonts w:asciiTheme="minorHAnsi" w:hAnsiTheme="minorHAnsi"/>
          <w:b/>
          <w:bCs/>
        </w:rPr>
        <w:t xml:space="preserve"> and CASA’s ‘stock of assets</w:t>
      </w:r>
      <w:r w:rsidRPr="00D75194" w:rsidR="00635D32">
        <w:rPr>
          <w:rFonts w:asciiTheme="minorHAnsi" w:hAnsiTheme="minorHAnsi"/>
          <w:b/>
          <w:bCs/>
        </w:rPr>
        <w:t>’</w:t>
      </w:r>
      <w:r w:rsidRPr="00D75194" w:rsidR="00576A69">
        <w:rPr>
          <w:rFonts w:asciiTheme="minorHAnsi" w:hAnsiTheme="minorHAnsi"/>
          <w:b/>
          <w:bCs/>
        </w:rPr>
        <w:t xml:space="preserve"> and</w:t>
      </w:r>
      <w:r w:rsidRPr="00D75194">
        <w:rPr>
          <w:rFonts w:asciiTheme="minorHAnsi" w:hAnsiTheme="minorHAnsi"/>
          <w:b/>
          <w:bCs/>
        </w:rPr>
        <w:t xml:space="preserve"> amplified the programme’s ability to meet a wider group of stakeholders and their needs</w:t>
      </w:r>
      <w:r w:rsidRPr="00D75194" w:rsidR="6CBB7945">
        <w:rPr>
          <w:rFonts w:asciiTheme="minorHAnsi" w:hAnsiTheme="minorHAnsi"/>
          <w:b/>
          <w:bCs/>
        </w:rPr>
        <w:t>,</w:t>
      </w:r>
      <w:r w:rsidRPr="00D75194">
        <w:rPr>
          <w:rFonts w:asciiTheme="minorHAnsi" w:hAnsiTheme="minorHAnsi"/>
          <w:b/>
          <w:bCs/>
        </w:rPr>
        <w:t xml:space="preserve"> </w:t>
      </w:r>
      <w:r w:rsidRPr="00D75194" w:rsidR="092C2AE3">
        <w:rPr>
          <w:rFonts w:asciiTheme="minorHAnsi" w:hAnsiTheme="minorHAnsi"/>
          <w:b/>
          <w:bCs/>
        </w:rPr>
        <w:t>making</w:t>
      </w:r>
      <w:r w:rsidRPr="00D75194">
        <w:rPr>
          <w:rFonts w:asciiTheme="minorHAnsi" w:hAnsiTheme="minorHAnsi"/>
          <w:b/>
          <w:bCs/>
        </w:rPr>
        <w:t xml:space="preserve"> the programme more agile and adaptive.</w:t>
      </w:r>
      <w:r w:rsidRPr="00D75194">
        <w:rPr>
          <w:rFonts w:asciiTheme="minorHAnsi" w:hAnsiTheme="minorHAnsi"/>
        </w:rPr>
        <w:t xml:space="preserve"> For example, a Nepal</w:t>
      </w:r>
      <w:r w:rsidRPr="00D75194" w:rsidR="003646CC">
        <w:rPr>
          <w:rFonts w:asciiTheme="minorHAnsi" w:hAnsiTheme="minorHAnsi"/>
        </w:rPr>
        <w:t>ese</w:t>
      </w:r>
      <w:r w:rsidRPr="00D75194">
        <w:rPr>
          <w:rFonts w:asciiTheme="minorHAnsi" w:hAnsiTheme="minorHAnsi"/>
        </w:rPr>
        <w:t xml:space="preserve"> </w:t>
      </w:r>
      <w:r w:rsidRPr="00D75194" w:rsidR="003646CC">
        <w:rPr>
          <w:rFonts w:asciiTheme="minorHAnsi" w:hAnsiTheme="minorHAnsi"/>
        </w:rPr>
        <w:t xml:space="preserve">government </w:t>
      </w:r>
      <w:r w:rsidRPr="00D75194">
        <w:rPr>
          <w:rFonts w:asciiTheme="minorHAnsi" w:hAnsiTheme="minorHAnsi"/>
        </w:rPr>
        <w:t xml:space="preserve">official cited OF grantees Practical Action and OPM as having the </w:t>
      </w:r>
      <w:r w:rsidRPr="00D75194" w:rsidR="00343136">
        <w:rPr>
          <w:rFonts w:asciiTheme="minorHAnsi" w:hAnsiTheme="minorHAnsi"/>
        </w:rPr>
        <w:t>necessary</w:t>
      </w:r>
      <w:r w:rsidRPr="00D75194">
        <w:rPr>
          <w:rFonts w:asciiTheme="minorHAnsi" w:hAnsiTheme="minorHAnsi"/>
        </w:rPr>
        <w:t xml:space="preserve"> expertise to respond to </w:t>
      </w:r>
      <w:r w:rsidRPr="00D75194" w:rsidR="7013A418">
        <w:rPr>
          <w:rFonts w:asciiTheme="minorHAnsi" w:hAnsiTheme="minorHAnsi"/>
        </w:rPr>
        <w:t xml:space="preserve">Nepal’s </w:t>
      </w:r>
      <w:r w:rsidRPr="00D75194">
        <w:rPr>
          <w:rFonts w:asciiTheme="minorHAnsi" w:hAnsiTheme="minorHAnsi"/>
        </w:rPr>
        <w:t>fast-changing and highly specific context: “…</w:t>
      </w:r>
      <w:r w:rsidRPr="00D75194">
        <w:rPr>
          <w:rFonts w:asciiTheme="minorHAnsi" w:hAnsiTheme="minorHAnsi"/>
          <w:i/>
          <w:iCs/>
        </w:rPr>
        <w:t>very capable and experienced professionals and provide support as and when government need it. The support is very necessary for the government to participate in the UNFCCC process.”</w:t>
      </w:r>
      <w:r w:rsidRPr="00D75194">
        <w:rPr>
          <w:rFonts w:asciiTheme="minorHAnsi" w:hAnsiTheme="minorHAnsi"/>
        </w:rPr>
        <w:t xml:space="preserve"> This responsiveness illustrates the value of the OF in enabling tailored, context-specific support.</w:t>
      </w:r>
    </w:p>
    <w:p w:rsidRPr="00D75194" w:rsidR="003B2D07" w:rsidP="003B2D07" w:rsidRDefault="003B2D07" w14:paraId="12300A09" w14:textId="2937D222">
      <w:pPr>
        <w:spacing w:after="160" w:line="278" w:lineRule="auto"/>
        <w:rPr>
          <w:rFonts w:asciiTheme="minorHAnsi" w:hAnsiTheme="minorHAnsi"/>
        </w:rPr>
      </w:pPr>
      <w:r w:rsidRPr="00D75194">
        <w:rPr>
          <w:rFonts w:asciiTheme="minorHAnsi" w:hAnsiTheme="minorHAnsi"/>
        </w:rPr>
        <w:t xml:space="preserve">Moreover, </w:t>
      </w:r>
      <w:r w:rsidRPr="00D75194">
        <w:rPr>
          <w:rFonts w:asciiTheme="minorHAnsi" w:hAnsiTheme="minorHAnsi"/>
          <w:b/>
          <w:bCs/>
        </w:rPr>
        <w:t>the OF is meeting needs that extend beyond traditional negotiating groups.</w:t>
      </w:r>
      <w:r w:rsidRPr="00D75194">
        <w:rPr>
          <w:rFonts w:asciiTheme="minorHAnsi" w:hAnsiTheme="minorHAnsi"/>
        </w:rPr>
        <w:t xml:space="preserve"> </w:t>
      </w:r>
      <w:r w:rsidRPr="00D75194" w:rsidR="00576794">
        <w:rPr>
          <w:rFonts w:asciiTheme="minorHAnsi" w:hAnsiTheme="minorHAnsi"/>
        </w:rPr>
        <w:t>The</w:t>
      </w:r>
      <w:r w:rsidRPr="00D75194" w:rsidR="00AC0C57">
        <w:rPr>
          <w:rFonts w:asciiTheme="minorHAnsi" w:hAnsiTheme="minorHAnsi"/>
        </w:rPr>
        <w:t>re continues to be a need for</w:t>
      </w:r>
      <w:r w:rsidRPr="00D75194" w:rsidR="00576794">
        <w:rPr>
          <w:rFonts w:asciiTheme="minorHAnsi" w:hAnsiTheme="minorHAnsi"/>
        </w:rPr>
        <w:t xml:space="preserve"> </w:t>
      </w:r>
      <w:r w:rsidRPr="00D75194" w:rsidR="00D7044A">
        <w:rPr>
          <w:rFonts w:asciiTheme="minorHAnsi" w:hAnsiTheme="minorHAnsi"/>
        </w:rPr>
        <w:t>increased</w:t>
      </w:r>
      <w:r w:rsidRPr="00D75194" w:rsidR="00576794">
        <w:rPr>
          <w:rFonts w:asciiTheme="minorHAnsi" w:hAnsiTheme="minorHAnsi"/>
        </w:rPr>
        <w:t xml:space="preserve"> inclusion of </w:t>
      </w:r>
      <w:r w:rsidRPr="00D75194" w:rsidR="00DF6E4B">
        <w:rPr>
          <w:rFonts w:asciiTheme="minorHAnsi" w:hAnsiTheme="minorHAnsi"/>
        </w:rPr>
        <w:t xml:space="preserve">typically disenfranchised groups </w:t>
      </w:r>
      <w:r w:rsidRPr="00D75194" w:rsidR="00D7044A">
        <w:rPr>
          <w:rFonts w:asciiTheme="minorHAnsi" w:hAnsiTheme="minorHAnsi"/>
        </w:rPr>
        <w:t xml:space="preserve">within </w:t>
      </w:r>
      <w:r w:rsidRPr="00D75194" w:rsidR="00AC0C57">
        <w:rPr>
          <w:rFonts w:asciiTheme="minorHAnsi" w:hAnsiTheme="minorHAnsi"/>
        </w:rPr>
        <w:t xml:space="preserve">the </w:t>
      </w:r>
      <w:r w:rsidRPr="00D75194" w:rsidR="00D7044A">
        <w:rPr>
          <w:rFonts w:asciiTheme="minorHAnsi" w:hAnsiTheme="minorHAnsi"/>
        </w:rPr>
        <w:t>UNFCCC. The OF</w:t>
      </w:r>
      <w:r w:rsidRPr="00D75194">
        <w:rPr>
          <w:rFonts w:asciiTheme="minorHAnsi" w:hAnsiTheme="minorHAnsi"/>
        </w:rPr>
        <w:t xml:space="preserve"> support for initiatives such as the Youth Negotiators Academy (YNA) has </w:t>
      </w:r>
      <w:proofErr w:type="gramStart"/>
      <w:r w:rsidRPr="00D75194">
        <w:rPr>
          <w:rFonts w:asciiTheme="minorHAnsi" w:hAnsiTheme="minorHAnsi"/>
        </w:rPr>
        <w:t>opened</w:t>
      </w:r>
      <w:r w:rsidRPr="00D75194" w:rsidR="00B13FEE">
        <w:rPr>
          <w:rFonts w:asciiTheme="minorHAnsi" w:hAnsiTheme="minorHAnsi"/>
        </w:rPr>
        <w:t xml:space="preserve"> up</w:t>
      </w:r>
      <w:proofErr w:type="gramEnd"/>
      <w:r w:rsidRPr="00D75194">
        <w:rPr>
          <w:rFonts w:asciiTheme="minorHAnsi" w:hAnsiTheme="minorHAnsi"/>
        </w:rPr>
        <w:t xml:space="preserve"> new avenues for non-state actors, youth, and marginalised communities to build their capacity and engage more effectively in the UNFCCC process. </w:t>
      </w:r>
    </w:p>
    <w:p w:rsidRPr="00D75194" w:rsidR="00FF47FC" w:rsidP="003B2D07" w:rsidRDefault="00FF47FC" w14:paraId="10C9BF37" w14:textId="401D3706">
      <w:pPr>
        <w:spacing w:after="160" w:line="278" w:lineRule="auto"/>
        <w:rPr>
          <w:rFonts w:asciiTheme="minorHAnsi" w:hAnsiTheme="minorHAnsi"/>
        </w:rPr>
      </w:pPr>
      <w:r w:rsidRPr="00D75194">
        <w:rPr>
          <w:rFonts w:asciiTheme="minorHAnsi" w:hAnsiTheme="minorHAnsi"/>
        </w:rPr>
        <w:t xml:space="preserve">According to some TPs, </w:t>
      </w:r>
      <w:r w:rsidRPr="00D75194" w:rsidR="00DE4FD9">
        <w:rPr>
          <w:rFonts w:asciiTheme="minorHAnsi" w:hAnsiTheme="minorHAnsi"/>
          <w:b/>
          <w:bCs/>
        </w:rPr>
        <w:t>the degree to which</w:t>
      </w:r>
      <w:r w:rsidRPr="00D75194">
        <w:rPr>
          <w:rFonts w:asciiTheme="minorHAnsi" w:hAnsiTheme="minorHAnsi"/>
          <w:b/>
          <w:bCs/>
        </w:rPr>
        <w:t xml:space="preserve"> </w:t>
      </w:r>
      <w:r w:rsidRPr="00D75194" w:rsidR="00DE4FD9">
        <w:rPr>
          <w:rFonts w:asciiTheme="minorHAnsi" w:hAnsiTheme="minorHAnsi"/>
          <w:b/>
          <w:bCs/>
        </w:rPr>
        <w:t>interactions</w:t>
      </w:r>
      <w:r w:rsidRPr="00D75194">
        <w:rPr>
          <w:rFonts w:asciiTheme="minorHAnsi" w:hAnsiTheme="minorHAnsi"/>
          <w:b/>
          <w:bCs/>
        </w:rPr>
        <w:t xml:space="preserve"> between TPs</w:t>
      </w:r>
      <w:r w:rsidRPr="00D75194" w:rsidR="00F251CF">
        <w:rPr>
          <w:rFonts w:asciiTheme="minorHAnsi" w:hAnsiTheme="minorHAnsi"/>
          <w:b/>
          <w:bCs/>
        </w:rPr>
        <w:t>,</w:t>
      </w:r>
      <w:r w:rsidRPr="00D75194">
        <w:rPr>
          <w:rFonts w:asciiTheme="minorHAnsi" w:hAnsiTheme="minorHAnsi"/>
          <w:b/>
          <w:bCs/>
        </w:rPr>
        <w:t xml:space="preserve"> </w:t>
      </w:r>
      <w:r w:rsidRPr="00D75194" w:rsidR="00360757">
        <w:rPr>
          <w:rFonts w:asciiTheme="minorHAnsi" w:hAnsiTheme="minorHAnsi"/>
          <w:b/>
          <w:bCs/>
        </w:rPr>
        <w:t xml:space="preserve">and between TPs and </w:t>
      </w:r>
      <w:r w:rsidRPr="00D75194" w:rsidR="00E37FFE">
        <w:rPr>
          <w:rFonts w:asciiTheme="minorHAnsi" w:hAnsiTheme="minorHAnsi"/>
          <w:b/>
          <w:bCs/>
        </w:rPr>
        <w:t>DAI</w:t>
      </w:r>
      <w:r w:rsidRPr="00D75194" w:rsidR="00F251CF">
        <w:rPr>
          <w:rFonts w:asciiTheme="minorHAnsi" w:hAnsiTheme="minorHAnsi"/>
          <w:b/>
          <w:bCs/>
        </w:rPr>
        <w:t>,</w:t>
      </w:r>
      <w:r w:rsidRPr="00D75194">
        <w:rPr>
          <w:rFonts w:asciiTheme="minorHAnsi" w:hAnsiTheme="minorHAnsi"/>
          <w:b/>
          <w:bCs/>
        </w:rPr>
        <w:t xml:space="preserve"> </w:t>
      </w:r>
      <w:r w:rsidRPr="00D75194" w:rsidR="00DE4FD9">
        <w:rPr>
          <w:rFonts w:asciiTheme="minorHAnsi" w:hAnsiTheme="minorHAnsi"/>
          <w:b/>
          <w:bCs/>
        </w:rPr>
        <w:t xml:space="preserve">are demand-led </w:t>
      </w:r>
      <w:r w:rsidRPr="00D75194">
        <w:rPr>
          <w:rFonts w:asciiTheme="minorHAnsi" w:hAnsiTheme="minorHAnsi"/>
          <w:b/>
          <w:bCs/>
        </w:rPr>
        <w:t xml:space="preserve">is </w:t>
      </w:r>
      <w:r w:rsidRPr="00D75194" w:rsidR="00B276D3">
        <w:rPr>
          <w:rFonts w:asciiTheme="minorHAnsi" w:hAnsiTheme="minorHAnsi"/>
          <w:b/>
          <w:bCs/>
        </w:rPr>
        <w:t>often</w:t>
      </w:r>
      <w:r w:rsidRPr="00D75194">
        <w:rPr>
          <w:rFonts w:asciiTheme="minorHAnsi" w:hAnsiTheme="minorHAnsi"/>
          <w:b/>
          <w:bCs/>
        </w:rPr>
        <w:t xml:space="preserve"> opaque:</w:t>
      </w:r>
      <w:r w:rsidRPr="00D75194">
        <w:rPr>
          <w:rFonts w:asciiTheme="minorHAnsi" w:hAnsiTheme="minorHAnsi"/>
        </w:rPr>
        <w:t xml:space="preserve"> certain TPs</w:t>
      </w:r>
      <w:r w:rsidRPr="00D75194" w:rsidR="00B13FEE">
        <w:rPr>
          <w:rFonts w:asciiTheme="minorHAnsi" w:hAnsiTheme="minorHAnsi"/>
        </w:rPr>
        <w:t xml:space="preserve"> are transparent, in terms of</w:t>
      </w:r>
      <w:r w:rsidRPr="00D75194">
        <w:rPr>
          <w:rFonts w:asciiTheme="minorHAnsi" w:hAnsiTheme="minorHAnsi"/>
        </w:rPr>
        <w:t xml:space="preserve"> providing an ‘audit trail’</w:t>
      </w:r>
      <w:r w:rsidRPr="00D75194" w:rsidR="0098348E">
        <w:rPr>
          <w:rFonts w:asciiTheme="minorHAnsi" w:hAnsiTheme="minorHAnsi"/>
        </w:rPr>
        <w:t xml:space="preserve"> and </w:t>
      </w:r>
      <w:r w:rsidRPr="00D75194">
        <w:rPr>
          <w:rFonts w:asciiTheme="minorHAnsi" w:hAnsiTheme="minorHAnsi"/>
        </w:rPr>
        <w:t>evidence of demand</w:t>
      </w:r>
      <w:r w:rsidRPr="00D75194" w:rsidR="00B13FEE">
        <w:rPr>
          <w:rFonts w:asciiTheme="minorHAnsi" w:hAnsiTheme="minorHAnsi"/>
        </w:rPr>
        <w:t>, while others are not</w:t>
      </w:r>
      <w:r w:rsidRPr="00D75194">
        <w:rPr>
          <w:rFonts w:asciiTheme="minorHAnsi" w:hAnsiTheme="minorHAnsi"/>
        </w:rPr>
        <w:t>. This dimension may reflect a difference in institutional culture among TPs</w:t>
      </w:r>
      <w:r w:rsidRPr="00D75194" w:rsidR="006B2FEC">
        <w:rPr>
          <w:rFonts w:asciiTheme="minorHAnsi" w:hAnsiTheme="minorHAnsi"/>
        </w:rPr>
        <w:t>,</w:t>
      </w:r>
      <w:r w:rsidRPr="00D75194">
        <w:rPr>
          <w:rFonts w:asciiTheme="minorHAnsi" w:hAnsiTheme="minorHAnsi"/>
        </w:rPr>
        <w:t xml:space="preserve"> but also variations in demands from DAI, and highlights how established trust and reputation </w:t>
      </w:r>
      <w:r w:rsidRPr="00D75194" w:rsidR="008101FF">
        <w:rPr>
          <w:rFonts w:asciiTheme="minorHAnsi" w:hAnsiTheme="minorHAnsi"/>
        </w:rPr>
        <w:t xml:space="preserve">are </w:t>
      </w:r>
      <w:r w:rsidRPr="00D75194">
        <w:rPr>
          <w:rFonts w:asciiTheme="minorHAnsi" w:hAnsiTheme="minorHAnsi"/>
        </w:rPr>
        <w:t xml:space="preserve">both enabling delivery while potentially obscuring transparency and evidence. </w:t>
      </w:r>
      <w:r w:rsidRPr="00D75194" w:rsidR="00F8535A">
        <w:rPr>
          <w:rFonts w:asciiTheme="minorHAnsi" w:hAnsiTheme="minorHAnsi"/>
        </w:rPr>
        <w:t>For example, c</w:t>
      </w:r>
      <w:r w:rsidRPr="00D75194">
        <w:rPr>
          <w:rFonts w:asciiTheme="minorHAnsi" w:hAnsiTheme="minorHAnsi"/>
        </w:rPr>
        <w:t xml:space="preserve">ertain TPs </w:t>
      </w:r>
      <w:proofErr w:type="gramStart"/>
      <w:r w:rsidRPr="00D75194">
        <w:rPr>
          <w:rFonts w:asciiTheme="minorHAnsi" w:hAnsiTheme="minorHAnsi"/>
        </w:rPr>
        <w:t>are able to</w:t>
      </w:r>
      <w:proofErr w:type="gramEnd"/>
      <w:r w:rsidRPr="00D75194">
        <w:rPr>
          <w:rFonts w:asciiTheme="minorHAnsi" w:hAnsiTheme="minorHAnsi"/>
        </w:rPr>
        <w:t xml:space="preserve"> provide a ‘paper trail’ of the demand from the group they support, while other TPs rely more on the tacit and </w:t>
      </w:r>
      <w:r w:rsidRPr="00D75194" w:rsidR="001951D5">
        <w:rPr>
          <w:rFonts w:asciiTheme="minorHAnsi" w:hAnsiTheme="minorHAnsi"/>
        </w:rPr>
        <w:t>well-established</w:t>
      </w:r>
      <w:r w:rsidRPr="00D75194">
        <w:rPr>
          <w:rFonts w:asciiTheme="minorHAnsi" w:hAnsiTheme="minorHAnsi"/>
        </w:rPr>
        <w:t xml:space="preserve"> relationship</w:t>
      </w:r>
      <w:r w:rsidRPr="00D75194" w:rsidR="00B452BD">
        <w:rPr>
          <w:rFonts w:asciiTheme="minorHAnsi" w:hAnsiTheme="minorHAnsi"/>
        </w:rPr>
        <w:t>s</w:t>
      </w:r>
      <w:r w:rsidRPr="00D75194">
        <w:rPr>
          <w:rFonts w:asciiTheme="minorHAnsi" w:hAnsiTheme="minorHAnsi"/>
        </w:rPr>
        <w:t xml:space="preserve"> </w:t>
      </w:r>
      <w:r w:rsidRPr="00D75194" w:rsidR="000E29D1">
        <w:rPr>
          <w:rFonts w:asciiTheme="minorHAnsi" w:hAnsiTheme="minorHAnsi"/>
        </w:rPr>
        <w:t>they have</w:t>
      </w:r>
      <w:r w:rsidRPr="00D75194">
        <w:rPr>
          <w:rFonts w:asciiTheme="minorHAnsi" w:hAnsiTheme="minorHAnsi"/>
        </w:rPr>
        <w:t xml:space="preserve"> with </w:t>
      </w:r>
      <w:r w:rsidRPr="00D75194" w:rsidR="000E29D1">
        <w:rPr>
          <w:rFonts w:asciiTheme="minorHAnsi" w:hAnsiTheme="minorHAnsi"/>
        </w:rPr>
        <w:t xml:space="preserve">their </w:t>
      </w:r>
      <w:r w:rsidRPr="00D75194">
        <w:rPr>
          <w:rFonts w:asciiTheme="minorHAnsi" w:hAnsiTheme="minorHAnsi"/>
        </w:rPr>
        <w:t>respective group</w:t>
      </w:r>
      <w:r w:rsidRPr="00D75194" w:rsidR="00F73769">
        <w:rPr>
          <w:rFonts w:asciiTheme="minorHAnsi" w:hAnsiTheme="minorHAnsi"/>
        </w:rPr>
        <w:t>s</w:t>
      </w:r>
      <w:r w:rsidRPr="00D75194">
        <w:rPr>
          <w:rFonts w:asciiTheme="minorHAnsi" w:hAnsiTheme="minorHAnsi"/>
        </w:rPr>
        <w:t>. This dimension not only affects the programme’s ability to</w:t>
      </w:r>
      <w:r w:rsidRPr="00D75194" w:rsidR="00F73769">
        <w:rPr>
          <w:rFonts w:asciiTheme="minorHAnsi" w:hAnsiTheme="minorHAnsi"/>
        </w:rPr>
        <w:t xml:space="preserve"> provide</w:t>
      </w:r>
      <w:r w:rsidRPr="00D75194">
        <w:rPr>
          <w:rFonts w:asciiTheme="minorHAnsi" w:hAnsiTheme="minorHAnsi"/>
        </w:rPr>
        <w:t xml:space="preserve"> evidence </w:t>
      </w:r>
      <w:r w:rsidRPr="00D75194" w:rsidR="00F73769">
        <w:rPr>
          <w:rFonts w:asciiTheme="minorHAnsi" w:hAnsiTheme="minorHAnsi"/>
        </w:rPr>
        <w:t xml:space="preserve">of </w:t>
      </w:r>
      <w:r w:rsidRPr="00D75194">
        <w:rPr>
          <w:rFonts w:asciiTheme="minorHAnsi" w:hAnsiTheme="minorHAnsi"/>
        </w:rPr>
        <w:t xml:space="preserve">direct demand-led support, but it can also affect delivery: </w:t>
      </w:r>
      <w:r w:rsidRPr="00D75194" w:rsidR="005E4F95">
        <w:rPr>
          <w:rFonts w:asciiTheme="minorHAnsi" w:hAnsiTheme="minorHAnsi"/>
        </w:rPr>
        <w:t xml:space="preserve">for example, </w:t>
      </w:r>
      <w:r w:rsidRPr="00D75194">
        <w:rPr>
          <w:rFonts w:asciiTheme="minorHAnsi" w:hAnsiTheme="minorHAnsi"/>
        </w:rPr>
        <w:t xml:space="preserve">not every thematic coordinator is aware of the support being provided. </w:t>
      </w:r>
      <w:r w:rsidRPr="00D75194">
        <w:rPr>
          <w:rFonts w:ascii="Arial" w:hAnsi="Arial" w:cs="Arial"/>
        </w:rPr>
        <w:t>​</w:t>
      </w:r>
    </w:p>
    <w:p w:rsidRPr="00D75194" w:rsidR="00542187" w:rsidP="00F3053C" w:rsidRDefault="00157A8C" w14:paraId="79BAF59E" w14:textId="53419E03">
      <w:pPr>
        <w:pStyle w:val="Heading3"/>
        <w:numPr>
          <w:ilvl w:val="0"/>
          <w:numId w:val="0"/>
        </w:numPr>
        <w:ind w:left="851" w:hanging="851"/>
      </w:pPr>
      <w:bookmarkStart w:name="_Toc204259815" w:id="59"/>
      <w:r w:rsidRPr="00D75194">
        <w:t>EQ</w:t>
      </w:r>
      <w:r w:rsidRPr="00D75194" w:rsidR="00542187">
        <w:t> 1.2: Which aspects of the delivery model are most relevant</w:t>
      </w:r>
      <w:r w:rsidRPr="00D75194" w:rsidR="003B3A33">
        <w:t xml:space="preserve"> to,</w:t>
      </w:r>
      <w:r w:rsidRPr="00D75194" w:rsidR="00542187">
        <w:t xml:space="preserve"> and valued </w:t>
      </w:r>
      <w:r w:rsidRPr="00D75194" w:rsidR="003B3A33">
        <w:t xml:space="preserve">by, </w:t>
      </w:r>
      <w:r w:rsidRPr="00D75194" w:rsidR="00542187">
        <w:t>negotiating groups?</w:t>
      </w:r>
      <w:bookmarkEnd w:id="59"/>
      <w:r w:rsidRPr="00D75194" w:rsidR="006B601D">
        <w:t xml:space="preserve"> </w:t>
      </w:r>
    </w:p>
    <w:p w:rsidRPr="00D75194" w:rsidR="00542187" w:rsidP="00542187" w:rsidRDefault="001C4188" w14:paraId="146D9C65" w14:textId="6A2AFFC7">
      <w:pPr>
        <w:spacing w:after="160" w:line="278" w:lineRule="auto"/>
        <w:rPr>
          <w:rFonts w:asciiTheme="minorHAnsi" w:hAnsiTheme="minorHAnsi"/>
        </w:rPr>
      </w:pPr>
      <w:r w:rsidRPr="00D75194">
        <w:rPr>
          <w:rFonts w:asciiTheme="minorHAnsi" w:hAnsiTheme="minorHAnsi"/>
          <w:b/>
          <w:bCs/>
        </w:rPr>
        <w:br/>
      </w:r>
      <w:r w:rsidRPr="00D75194" w:rsidR="00542187">
        <w:rPr>
          <w:rFonts w:asciiTheme="minorHAnsi" w:hAnsiTheme="minorHAnsi"/>
          <w:b/>
          <w:bCs/>
        </w:rPr>
        <w:t xml:space="preserve">CASA’s delivery model remains highly relevant and valued, particularly </w:t>
      </w:r>
      <w:r w:rsidRPr="00D75194" w:rsidR="00740468">
        <w:rPr>
          <w:rFonts w:asciiTheme="minorHAnsi" w:hAnsiTheme="minorHAnsi"/>
          <w:b/>
          <w:bCs/>
        </w:rPr>
        <w:t xml:space="preserve">for </w:t>
      </w:r>
      <w:r w:rsidRPr="00D75194" w:rsidR="00542187">
        <w:rPr>
          <w:rFonts w:asciiTheme="minorHAnsi" w:hAnsiTheme="minorHAnsi"/>
          <w:b/>
          <w:bCs/>
        </w:rPr>
        <w:t>under-resourced groups</w:t>
      </w:r>
      <w:r w:rsidRPr="00D75194" w:rsidR="00330490">
        <w:rPr>
          <w:rFonts w:asciiTheme="minorHAnsi" w:hAnsiTheme="minorHAnsi"/>
          <w:b/>
          <w:bCs/>
        </w:rPr>
        <w:t>,</w:t>
      </w:r>
      <w:r w:rsidRPr="00D75194" w:rsidR="00542187">
        <w:rPr>
          <w:rFonts w:asciiTheme="minorHAnsi" w:hAnsiTheme="minorHAnsi"/>
          <w:b/>
          <w:bCs/>
        </w:rPr>
        <w:t xml:space="preserve"> such </w:t>
      </w:r>
      <w:r w:rsidRPr="00D75194" w:rsidR="00542187">
        <w:rPr>
          <w:rFonts w:asciiTheme="minorHAnsi" w:hAnsiTheme="minorHAnsi"/>
          <w:b/>
          <w:bCs/>
        </w:rPr>
        <w:t>as LDC</w:t>
      </w:r>
      <w:r w:rsidR="00735738">
        <w:rPr>
          <w:rFonts w:asciiTheme="minorHAnsi" w:hAnsiTheme="minorHAnsi"/>
          <w:b/>
          <w:bCs/>
        </w:rPr>
        <w:t xml:space="preserve"> group</w:t>
      </w:r>
      <w:r w:rsidRPr="00D75194" w:rsidR="00542187">
        <w:rPr>
          <w:rFonts w:asciiTheme="minorHAnsi" w:hAnsiTheme="minorHAnsi"/>
          <w:b/>
          <w:bCs/>
        </w:rPr>
        <w:t xml:space="preserve"> and AOSIS.</w:t>
      </w:r>
      <w:r w:rsidRPr="00D75194" w:rsidR="00542187">
        <w:rPr>
          <w:rFonts w:asciiTheme="minorHAnsi" w:hAnsiTheme="minorHAnsi"/>
        </w:rPr>
        <w:t xml:space="preserve"> </w:t>
      </w:r>
      <w:r w:rsidRPr="00D75194" w:rsidR="004B586A">
        <w:rPr>
          <w:rFonts w:asciiTheme="minorHAnsi" w:hAnsiTheme="minorHAnsi"/>
        </w:rPr>
        <w:t xml:space="preserve">The </w:t>
      </w:r>
      <w:r w:rsidRPr="00D75194" w:rsidR="00771EB3">
        <w:rPr>
          <w:rFonts w:asciiTheme="minorHAnsi" w:hAnsiTheme="minorHAnsi"/>
        </w:rPr>
        <w:t>most highly valued aspect</w:t>
      </w:r>
      <w:r w:rsidRPr="00D75194" w:rsidR="007C0640">
        <w:rPr>
          <w:rFonts w:asciiTheme="minorHAnsi" w:hAnsiTheme="minorHAnsi"/>
        </w:rPr>
        <w:t>s</w:t>
      </w:r>
      <w:r w:rsidRPr="00D75194" w:rsidR="00771EB3">
        <w:rPr>
          <w:rFonts w:asciiTheme="minorHAnsi" w:hAnsiTheme="minorHAnsi"/>
        </w:rPr>
        <w:t xml:space="preserve"> of the programme </w:t>
      </w:r>
      <w:r w:rsidRPr="00D75194" w:rsidR="00EA2C75">
        <w:rPr>
          <w:rFonts w:asciiTheme="minorHAnsi" w:hAnsiTheme="minorHAnsi"/>
        </w:rPr>
        <w:t>are the financial</w:t>
      </w:r>
      <w:r w:rsidRPr="00D75194" w:rsidR="00292BB2">
        <w:rPr>
          <w:rFonts w:asciiTheme="minorHAnsi" w:hAnsiTheme="minorHAnsi"/>
        </w:rPr>
        <w:t xml:space="preserve"> resources</w:t>
      </w:r>
      <w:r w:rsidRPr="00D75194" w:rsidR="00EA2C75">
        <w:rPr>
          <w:rFonts w:asciiTheme="minorHAnsi" w:hAnsiTheme="minorHAnsi"/>
        </w:rPr>
        <w:t xml:space="preserve"> and technical</w:t>
      </w:r>
      <w:r w:rsidRPr="00D75194" w:rsidR="00292BB2">
        <w:rPr>
          <w:rFonts w:asciiTheme="minorHAnsi" w:hAnsiTheme="minorHAnsi"/>
        </w:rPr>
        <w:t xml:space="preserve"> support</w:t>
      </w:r>
      <w:r w:rsidRPr="00D75194" w:rsidR="00AB7B4D">
        <w:rPr>
          <w:rFonts w:asciiTheme="minorHAnsi" w:hAnsiTheme="minorHAnsi"/>
        </w:rPr>
        <w:t xml:space="preserve"> delivered by the TPs.</w:t>
      </w:r>
      <w:r w:rsidRPr="00D75194" w:rsidR="006B601D">
        <w:rPr>
          <w:rFonts w:asciiTheme="minorHAnsi" w:hAnsiTheme="minorHAnsi"/>
        </w:rPr>
        <w:t xml:space="preserve"> </w:t>
      </w:r>
      <w:r w:rsidRPr="00D75194" w:rsidR="00622803">
        <w:rPr>
          <w:rFonts w:asciiTheme="minorHAnsi" w:hAnsiTheme="minorHAnsi"/>
        </w:rPr>
        <w:t xml:space="preserve">Funding, particularly long-term funding, was cited </w:t>
      </w:r>
      <w:r w:rsidRPr="00D75194" w:rsidR="00671DDE">
        <w:rPr>
          <w:rFonts w:asciiTheme="minorHAnsi" w:hAnsiTheme="minorHAnsi"/>
        </w:rPr>
        <w:t xml:space="preserve">by </w:t>
      </w:r>
      <w:r w:rsidRPr="00D75194" w:rsidR="00622803">
        <w:rPr>
          <w:rFonts w:asciiTheme="minorHAnsi" w:hAnsiTheme="minorHAnsi"/>
        </w:rPr>
        <w:t>many stakeholders as a continued key need.​</w:t>
      </w:r>
      <w:r w:rsidRPr="00D75194" w:rsidR="000F554F">
        <w:rPr>
          <w:rFonts w:asciiTheme="minorHAnsi" w:hAnsiTheme="minorHAnsi"/>
        </w:rPr>
        <w:t xml:space="preserve"> </w:t>
      </w:r>
      <w:r w:rsidRPr="00D75194" w:rsidR="00542187">
        <w:rPr>
          <w:rFonts w:asciiTheme="minorHAnsi" w:hAnsiTheme="minorHAnsi"/>
        </w:rPr>
        <w:t xml:space="preserve">With negotiators often balancing full-time roles, there is a sustained need for </w:t>
      </w:r>
      <w:r w:rsidRPr="00D75194" w:rsidR="008B6DC2">
        <w:rPr>
          <w:rFonts w:asciiTheme="minorHAnsi" w:hAnsiTheme="minorHAnsi"/>
        </w:rPr>
        <w:t>financial</w:t>
      </w:r>
      <w:r w:rsidRPr="00D75194" w:rsidR="00550551">
        <w:rPr>
          <w:rFonts w:asciiTheme="minorHAnsi" w:hAnsiTheme="minorHAnsi"/>
        </w:rPr>
        <w:t xml:space="preserve"> </w:t>
      </w:r>
      <w:r w:rsidRPr="00D75194" w:rsidR="00542187">
        <w:rPr>
          <w:rFonts w:asciiTheme="minorHAnsi" w:hAnsiTheme="minorHAnsi"/>
        </w:rPr>
        <w:t>and technical support. TPs fill this gap by providing advanced research, on-demand advice, and year-round</w:t>
      </w:r>
      <w:r w:rsidRPr="00D75194" w:rsidR="00AB7B4D">
        <w:rPr>
          <w:rFonts w:asciiTheme="minorHAnsi" w:hAnsiTheme="minorHAnsi"/>
        </w:rPr>
        <w:t>, intersessional</w:t>
      </w:r>
      <w:r w:rsidRPr="00D75194" w:rsidR="00542187">
        <w:rPr>
          <w:rFonts w:asciiTheme="minorHAnsi" w:hAnsiTheme="minorHAnsi"/>
        </w:rPr>
        <w:t xml:space="preserve"> guidance at both group and individual levels—not just during COPs.</w:t>
      </w:r>
    </w:p>
    <w:p w:rsidRPr="00D75194" w:rsidR="00542187" w:rsidP="007E2768" w:rsidRDefault="006D4F8C" w14:paraId="4C159B0B" w14:textId="38A360EA">
      <w:pPr>
        <w:pStyle w:val="ListBullet"/>
        <w:rPr>
          <w:rFonts w:asciiTheme="minorHAnsi" w:hAnsiTheme="minorHAnsi"/>
        </w:rPr>
      </w:pPr>
      <w:r w:rsidRPr="00D75194">
        <w:rPr>
          <w:rFonts w:asciiTheme="minorHAnsi" w:hAnsiTheme="minorHAnsi"/>
          <w:b/>
          <w:bCs/>
        </w:rPr>
        <w:t>The</w:t>
      </w:r>
      <w:r w:rsidRPr="00D75194" w:rsidR="00542187">
        <w:rPr>
          <w:rFonts w:asciiTheme="minorHAnsi" w:hAnsiTheme="minorHAnsi"/>
          <w:b/>
          <w:bCs/>
        </w:rPr>
        <w:t xml:space="preserve"> multifaceted and tailored</w:t>
      </w:r>
      <w:r w:rsidRPr="00D75194">
        <w:rPr>
          <w:rFonts w:asciiTheme="minorHAnsi" w:hAnsiTheme="minorHAnsi"/>
          <w:b/>
          <w:bCs/>
        </w:rPr>
        <w:t xml:space="preserve"> support provided by TPs is also highly valued by negotiators and negotiating groups</w:t>
      </w:r>
      <w:r w:rsidRPr="00D75194" w:rsidR="00542187">
        <w:rPr>
          <w:rFonts w:asciiTheme="minorHAnsi" w:hAnsiTheme="minorHAnsi"/>
          <w:b/>
          <w:bCs/>
        </w:rPr>
        <w:t>.</w:t>
      </w:r>
      <w:r w:rsidRPr="00D75194" w:rsidR="00542187">
        <w:rPr>
          <w:rFonts w:asciiTheme="minorHAnsi" w:hAnsiTheme="minorHAnsi"/>
        </w:rPr>
        <w:t xml:space="preserve"> </w:t>
      </w:r>
      <w:r w:rsidRPr="00D75194">
        <w:rPr>
          <w:rFonts w:asciiTheme="minorHAnsi" w:hAnsiTheme="minorHAnsi"/>
        </w:rPr>
        <w:t>This support</w:t>
      </w:r>
      <w:r w:rsidRPr="00D75194" w:rsidR="00542187">
        <w:rPr>
          <w:rFonts w:asciiTheme="minorHAnsi" w:hAnsiTheme="minorHAnsi"/>
        </w:rPr>
        <w:t xml:space="preserve"> includes real-time, one-on-one advi</w:t>
      </w:r>
      <w:r w:rsidRPr="00D75194" w:rsidR="042F7C2D">
        <w:rPr>
          <w:rFonts w:asciiTheme="minorHAnsi" w:hAnsiTheme="minorHAnsi"/>
        </w:rPr>
        <w:t xml:space="preserve">ce </w:t>
      </w:r>
      <w:r w:rsidRPr="00D75194" w:rsidR="00542187">
        <w:rPr>
          <w:rFonts w:asciiTheme="minorHAnsi" w:hAnsiTheme="minorHAnsi"/>
        </w:rPr>
        <w:t xml:space="preserve">(e.g. WhatsApp exchanges with </w:t>
      </w:r>
      <w:r w:rsidRPr="00D75194" w:rsidR="00CD554F">
        <w:rPr>
          <w:rFonts w:asciiTheme="minorHAnsi" w:hAnsiTheme="minorHAnsi"/>
        </w:rPr>
        <w:t>chairs</w:t>
      </w:r>
      <w:r w:rsidRPr="00D75194" w:rsidR="00542187">
        <w:rPr>
          <w:rFonts w:asciiTheme="minorHAnsi" w:hAnsiTheme="minorHAnsi"/>
        </w:rPr>
        <w:t xml:space="preserve">), coordination meetings pre- and post-COP, and bespoke thematic research. Outputs are designed to be digestible and accessible. </w:t>
      </w:r>
      <w:r w:rsidRPr="00D75194" w:rsidR="00FF47FC">
        <w:rPr>
          <w:rFonts w:asciiTheme="minorHAnsi" w:hAnsiTheme="minorHAnsi"/>
        </w:rPr>
        <w:t>English is dominant in the UNFCCC space, so supporting translation needs is still essential for negotiators with limited working proficiency in the language.</w:t>
      </w:r>
      <w:r w:rsidRPr="00D75194" w:rsidR="00FF47FC">
        <w:rPr>
          <w:rFonts w:asciiTheme="minorHAnsi" w:hAnsiTheme="minorHAnsi"/>
          <w:b/>
          <w:bCs/>
        </w:rPr>
        <w:t xml:space="preserve"> </w:t>
      </w:r>
      <w:r w:rsidRPr="00D75194" w:rsidR="00FF47FC">
        <w:rPr>
          <w:rFonts w:asciiTheme="minorHAnsi" w:hAnsiTheme="minorHAnsi"/>
        </w:rPr>
        <w:t>Progress in this area was noted in LRI's efforts to incorporate French and Spanish to widen its language (and access to UNFCCC engagement) offer.</w:t>
      </w:r>
      <w:r w:rsidRPr="00D75194" w:rsidR="00542187">
        <w:rPr>
          <w:rFonts w:asciiTheme="minorHAnsi" w:hAnsiTheme="minorHAnsi"/>
        </w:rPr>
        <w:t xml:space="preserve"> LRI’s delivery model, supported by its expanding pro</w:t>
      </w:r>
      <w:r w:rsidRPr="00D75194" w:rsidR="00B2550B">
        <w:rPr>
          <w:rFonts w:asciiTheme="minorHAnsi" w:hAnsiTheme="minorHAnsi"/>
        </w:rPr>
        <w:t xml:space="preserve"> </w:t>
      </w:r>
      <w:r w:rsidRPr="00D75194" w:rsidR="00542187">
        <w:rPr>
          <w:rFonts w:asciiTheme="minorHAnsi" w:hAnsiTheme="minorHAnsi"/>
        </w:rPr>
        <w:t>bono legal network, remains a valued and distinctive component.</w:t>
      </w:r>
      <w:r w:rsidRPr="00D75194" w:rsidR="00950961">
        <w:rPr>
          <w:rFonts w:asciiTheme="minorHAnsi" w:hAnsiTheme="minorHAnsi"/>
        </w:rPr>
        <w:t xml:space="preserve"> </w:t>
      </w:r>
      <w:r w:rsidRPr="00D75194" w:rsidR="00687E3C">
        <w:rPr>
          <w:rFonts w:asciiTheme="minorHAnsi" w:hAnsiTheme="minorHAnsi"/>
        </w:rPr>
        <w:t>Similarly, the inclusion of CIES and ICCCAD as TPs has enhanced accessibility, as their guidance is delivered in local languages within their respective countries of operation.</w:t>
      </w:r>
    </w:p>
    <w:p w:rsidRPr="00D75194" w:rsidR="00FF47FC" w:rsidP="00EE1B0C" w:rsidRDefault="00FF47FC" w14:paraId="5D32ECB3" w14:textId="77777777">
      <w:pPr>
        <w:pStyle w:val="ListBullet"/>
        <w:rPr>
          <w:rFonts w:cs="Arial" w:asciiTheme="minorHAnsi" w:hAnsiTheme="minorHAnsi"/>
        </w:rPr>
      </w:pPr>
    </w:p>
    <w:p w:rsidRPr="00D75194" w:rsidR="00BF56CD" w:rsidP="00542187" w:rsidRDefault="00542187" w14:paraId="521F17AB" w14:textId="03F6C2D7">
      <w:pPr>
        <w:spacing w:after="160" w:line="278" w:lineRule="auto"/>
        <w:rPr>
          <w:rFonts w:asciiTheme="minorHAnsi" w:hAnsiTheme="minorHAnsi"/>
        </w:rPr>
      </w:pPr>
      <w:r w:rsidRPr="00D75194">
        <w:rPr>
          <w:rFonts w:asciiTheme="minorHAnsi" w:hAnsiTheme="minorHAnsi"/>
          <w:b/>
          <w:bCs/>
        </w:rPr>
        <w:t xml:space="preserve">A core strength of CASA is the flexibility and responsiveness of TPs across UNFCCC themes. </w:t>
      </w:r>
      <w:r w:rsidRPr="00D75194">
        <w:rPr>
          <w:rFonts w:asciiTheme="minorHAnsi" w:hAnsiTheme="minorHAnsi"/>
        </w:rPr>
        <w:t xml:space="preserve">Support is delivered in-situ and before and after COPs and SBs. TPs’ ability to meet </w:t>
      </w:r>
      <w:r w:rsidRPr="00D75194" w:rsidR="00E5272D">
        <w:rPr>
          <w:rFonts w:asciiTheme="minorHAnsi" w:hAnsiTheme="minorHAnsi"/>
        </w:rPr>
        <w:t>‘</w:t>
      </w:r>
      <w:r w:rsidRPr="00D75194">
        <w:rPr>
          <w:rFonts w:asciiTheme="minorHAnsi" w:hAnsiTheme="minorHAnsi"/>
        </w:rPr>
        <w:t>quick demands</w:t>
      </w:r>
      <w:r w:rsidRPr="00D75194" w:rsidR="00E5272D">
        <w:rPr>
          <w:rFonts w:asciiTheme="minorHAnsi" w:hAnsiTheme="minorHAnsi"/>
        </w:rPr>
        <w:t xml:space="preserve">’ </w:t>
      </w:r>
      <w:r w:rsidRPr="00D75194">
        <w:rPr>
          <w:rFonts w:asciiTheme="minorHAnsi" w:hAnsiTheme="minorHAnsi"/>
        </w:rPr>
        <w:t xml:space="preserve">is enabled by their experience and trusted relationships. </w:t>
      </w:r>
      <w:r w:rsidRPr="00D75194" w:rsidR="00F63208">
        <w:rPr>
          <w:rFonts w:asciiTheme="minorHAnsi" w:hAnsiTheme="minorHAnsi"/>
        </w:rPr>
        <w:t xml:space="preserve">As one negotiator from the </w:t>
      </w:r>
      <w:r w:rsidRPr="00D75194" w:rsidR="00494461">
        <w:rPr>
          <w:rFonts w:asciiTheme="minorHAnsi" w:hAnsiTheme="minorHAnsi"/>
        </w:rPr>
        <w:t>Independent Diplomat</w:t>
      </w:r>
      <w:r w:rsidRPr="00D75194" w:rsidR="00F63208">
        <w:rPr>
          <w:rFonts w:asciiTheme="minorHAnsi" w:hAnsiTheme="minorHAnsi"/>
        </w:rPr>
        <w:t xml:space="preserve">/RMI context shared, </w:t>
      </w:r>
      <w:r w:rsidRPr="00D75194" w:rsidR="00F63208">
        <w:rPr>
          <w:rFonts w:asciiTheme="minorHAnsi" w:hAnsiTheme="minorHAnsi"/>
          <w:i/>
          <w:iCs/>
        </w:rPr>
        <w:t>“CASA has made it possible that I'm able to focus on this work completely and to support our board members and our coordinators</w:t>
      </w:r>
      <w:r w:rsidRPr="00D75194" w:rsidR="001B328B">
        <w:rPr>
          <w:rFonts w:asciiTheme="minorHAnsi" w:hAnsiTheme="minorHAnsi"/>
          <w:i/>
          <w:iCs/>
        </w:rPr>
        <w:t>,</w:t>
      </w:r>
      <w:r w:rsidRPr="00D75194" w:rsidR="00F63208">
        <w:rPr>
          <w:rFonts w:asciiTheme="minorHAnsi" w:hAnsiTheme="minorHAnsi"/>
          <w:i/>
          <w:iCs/>
        </w:rPr>
        <w:t xml:space="preserve"> who are already stretched very thin.”</w:t>
      </w:r>
      <w:r w:rsidRPr="00D75194" w:rsidR="006D07EC">
        <w:rPr>
          <w:rFonts w:asciiTheme="minorHAnsi" w:hAnsiTheme="minorHAnsi"/>
        </w:rPr>
        <w:t xml:space="preserve"> </w:t>
      </w:r>
      <w:r w:rsidRPr="00D75194">
        <w:rPr>
          <w:rFonts w:asciiTheme="minorHAnsi" w:hAnsiTheme="minorHAnsi"/>
        </w:rPr>
        <w:t>This</w:t>
      </w:r>
      <w:r w:rsidRPr="00D75194" w:rsidR="006D07EC">
        <w:rPr>
          <w:rFonts w:asciiTheme="minorHAnsi" w:hAnsiTheme="minorHAnsi"/>
        </w:rPr>
        <w:t xml:space="preserve"> </w:t>
      </w:r>
      <w:r w:rsidRPr="00D75194" w:rsidR="00E4495E">
        <w:rPr>
          <w:rFonts w:asciiTheme="minorHAnsi" w:hAnsiTheme="minorHAnsi"/>
        </w:rPr>
        <w:t xml:space="preserve">adaptive and responsive </w:t>
      </w:r>
      <w:r w:rsidRPr="00D75194" w:rsidR="00F1433D">
        <w:rPr>
          <w:rFonts w:asciiTheme="minorHAnsi" w:hAnsiTheme="minorHAnsi"/>
        </w:rPr>
        <w:t>support</w:t>
      </w:r>
      <w:r w:rsidRPr="00D75194">
        <w:rPr>
          <w:rFonts w:asciiTheme="minorHAnsi" w:hAnsiTheme="minorHAnsi"/>
        </w:rPr>
        <w:t xml:space="preserve"> is especially evident in OF-supported interventions. </w:t>
      </w:r>
    </w:p>
    <w:p w:rsidR="0030569D" w:rsidP="00284C4D" w:rsidRDefault="00766DC0" w14:paraId="1E343E99" w14:textId="3A71F83F">
      <w:pPr>
        <w:spacing w:after="160" w:line="278" w:lineRule="auto"/>
        <w:rPr>
          <w:rFonts w:asciiTheme="minorHAnsi" w:hAnsiTheme="minorHAnsi"/>
        </w:rPr>
      </w:pPr>
      <w:r w:rsidRPr="00D75194">
        <w:rPr>
          <w:rFonts w:asciiTheme="minorHAnsi" w:hAnsiTheme="minorHAnsi"/>
        </w:rPr>
        <w:t xml:space="preserve">However, </w:t>
      </w:r>
      <w:r w:rsidRPr="00D75194" w:rsidR="005833BB">
        <w:rPr>
          <w:rFonts w:asciiTheme="minorHAnsi" w:hAnsiTheme="minorHAnsi"/>
        </w:rPr>
        <w:t>some</w:t>
      </w:r>
      <w:r w:rsidRPr="00D75194">
        <w:rPr>
          <w:rFonts w:asciiTheme="minorHAnsi" w:hAnsiTheme="minorHAnsi"/>
        </w:rPr>
        <w:t xml:space="preserve"> junior negotiators</w:t>
      </w:r>
      <w:r w:rsidRPr="00D75194" w:rsidR="005833BB">
        <w:rPr>
          <w:rFonts w:asciiTheme="minorHAnsi" w:hAnsiTheme="minorHAnsi"/>
        </w:rPr>
        <w:t xml:space="preserve"> supported by CASA</w:t>
      </w:r>
      <w:r w:rsidRPr="00D75194" w:rsidR="00FF3727">
        <w:rPr>
          <w:rFonts w:asciiTheme="minorHAnsi" w:hAnsiTheme="minorHAnsi"/>
        </w:rPr>
        <w:t xml:space="preserve"> </w:t>
      </w:r>
      <w:r w:rsidRPr="00D75194">
        <w:rPr>
          <w:rFonts w:asciiTheme="minorHAnsi" w:hAnsiTheme="minorHAnsi"/>
        </w:rPr>
        <w:t xml:space="preserve">called for more structured training ahead of meetings. </w:t>
      </w:r>
      <w:r w:rsidRPr="00D75194" w:rsidR="00542187">
        <w:rPr>
          <w:rFonts w:asciiTheme="minorHAnsi" w:hAnsiTheme="minorHAnsi"/>
          <w:b/>
          <w:bCs/>
        </w:rPr>
        <w:t>Short-term training alone is insufficient.</w:t>
      </w:r>
      <w:r w:rsidRPr="00D75194" w:rsidR="00542187">
        <w:rPr>
          <w:rFonts w:asciiTheme="minorHAnsi" w:hAnsiTheme="minorHAnsi"/>
        </w:rPr>
        <w:t xml:space="preserve"> Stakeholders stressed the importance of intersessional technical assistance and accessible research materials. Pre-COP preparation is especially valued, as negotiators often lack time to upskill during meetings. As one </w:t>
      </w:r>
      <w:r w:rsidRPr="00D75194" w:rsidR="00E315A5">
        <w:rPr>
          <w:rFonts w:asciiTheme="minorHAnsi" w:hAnsiTheme="minorHAnsi"/>
        </w:rPr>
        <w:t>LDC supported</w:t>
      </w:r>
      <w:r w:rsidRPr="00D75194" w:rsidR="00542187">
        <w:rPr>
          <w:rFonts w:asciiTheme="minorHAnsi" w:hAnsiTheme="minorHAnsi"/>
        </w:rPr>
        <w:t xml:space="preserve"> </w:t>
      </w:r>
      <w:r w:rsidRPr="00D75194" w:rsidR="00AC3EB3">
        <w:rPr>
          <w:rFonts w:asciiTheme="minorHAnsi" w:hAnsiTheme="minorHAnsi"/>
        </w:rPr>
        <w:t>negotiator reflected</w:t>
      </w:r>
      <w:r w:rsidRPr="00D75194" w:rsidR="000221A5">
        <w:rPr>
          <w:rFonts w:asciiTheme="minorHAnsi" w:hAnsiTheme="minorHAnsi"/>
        </w:rPr>
        <w:t>:</w:t>
      </w:r>
      <w:r w:rsidRPr="00D75194" w:rsidR="00542187">
        <w:rPr>
          <w:rFonts w:asciiTheme="minorHAnsi" w:hAnsiTheme="minorHAnsi"/>
        </w:rPr>
        <w:t xml:space="preserve"> </w:t>
      </w:r>
    </w:p>
    <w:p w:rsidR="00CE665F" w:rsidP="00246932" w:rsidRDefault="00284C4D" w14:paraId="6C203349" w14:textId="6C13CC5D">
      <w:pPr>
        <w:spacing w:after="160" w:line="278" w:lineRule="auto"/>
        <w:rPr>
          <w:rFonts w:asciiTheme="minorHAnsi" w:hAnsiTheme="minorHAnsi"/>
          <w:i/>
          <w:iCs/>
        </w:rPr>
      </w:pPr>
      <w:r w:rsidRPr="00D75194">
        <w:rPr>
          <w:rFonts w:asciiTheme="minorHAnsi" w:hAnsiTheme="minorHAnsi"/>
          <w:i/>
          <w:iCs/>
        </w:rPr>
        <w:t>“</w:t>
      </w:r>
      <w:r w:rsidRPr="00D75194" w:rsidR="00542187">
        <w:rPr>
          <w:rFonts w:asciiTheme="minorHAnsi" w:hAnsiTheme="minorHAnsi"/>
          <w:i/>
          <w:iCs/>
        </w:rPr>
        <w:t>The [LDC] Group really benefits from ongoing technical assistance throughout the year…</w:t>
      </w:r>
      <w:r w:rsidRPr="00D75194" w:rsidR="0030569D">
        <w:rPr>
          <w:rFonts w:asciiTheme="minorHAnsi" w:hAnsiTheme="minorHAnsi"/>
          <w:i/>
          <w:iCs/>
        </w:rPr>
        <w:t xml:space="preserve"> </w:t>
      </w:r>
      <w:r w:rsidRPr="00D75194" w:rsidR="00542187">
        <w:rPr>
          <w:rFonts w:asciiTheme="minorHAnsi" w:hAnsiTheme="minorHAnsi"/>
          <w:i/>
          <w:iCs/>
        </w:rPr>
        <w:t xml:space="preserve">negotiators often have day jobs and their work on negotiations is additional, so the support is essential. Capacity building is valuable, but </w:t>
      </w:r>
      <w:r w:rsidRPr="00D75194" w:rsidR="002D45FB">
        <w:rPr>
          <w:rFonts w:asciiTheme="minorHAnsi" w:hAnsiTheme="minorHAnsi"/>
          <w:i/>
          <w:iCs/>
        </w:rPr>
        <w:t>what is particularly valuable is when key technical insights are provided in accessible format, like a clear, four-page policy brief on a topic coming up in negotiations. Many negotiators don’t have time to track issues year-round, so they rely on short, digestible analyses…These are widely read and shared.</w:t>
      </w:r>
      <w:r w:rsidR="00CE665F">
        <w:rPr>
          <w:rFonts w:asciiTheme="minorHAnsi" w:hAnsiTheme="minorHAnsi"/>
          <w:i/>
          <w:iCs/>
        </w:rPr>
        <w:t>”</w:t>
      </w:r>
    </w:p>
    <w:p w:rsidR="00246932" w:rsidP="66100B14" w:rsidRDefault="008D52DC" w14:paraId="32401B19" w14:textId="6BB19B97">
      <w:pPr>
        <w:spacing w:after="160" w:line="278" w:lineRule="auto"/>
        <w:rPr>
          <w:rFonts w:asciiTheme="minorHAnsi" w:hAnsiTheme="minorHAnsi"/>
        </w:rPr>
      </w:pPr>
      <w:r w:rsidRPr="5206F44B">
        <w:rPr>
          <w:rFonts w:asciiTheme="minorHAnsi" w:hAnsiTheme="minorHAnsi"/>
        </w:rPr>
        <w:t>Mentorship and ‘elder’ support are also highly valued. Initiatives like the CLI and YNA help to build social capital among cohorts while training and building individual negotiators’ skills. There are instances of team members working for</w:t>
      </w:r>
      <w:r w:rsidRPr="5206F44B" w:rsidR="00460E36">
        <w:rPr>
          <w:rFonts w:asciiTheme="minorHAnsi" w:hAnsiTheme="minorHAnsi"/>
        </w:rPr>
        <w:t xml:space="preserve"> </w:t>
      </w:r>
      <w:r w:rsidRPr="5206F44B" w:rsidR="007C1024">
        <w:rPr>
          <w:rFonts w:asciiTheme="minorHAnsi" w:hAnsiTheme="minorHAnsi"/>
        </w:rPr>
        <w:t>TPs that have developed to become negotiators and who serve as important role models and mentors within the negotiation space—such as Michai Robertson, who previously worked for ODI and now is a finance negotiator for AOSIS.</w:t>
      </w:r>
    </w:p>
    <w:p w:rsidRPr="008D52DC" w:rsidR="0058579E" w:rsidP="00246932" w:rsidRDefault="0058579E" w14:paraId="5FD02544" w14:textId="4AD4BF72">
      <w:pPr>
        <w:spacing w:after="160" w:line="278" w:lineRule="auto"/>
        <w:rPr>
          <w:rFonts w:asciiTheme="minorHAnsi" w:hAnsiTheme="minorHAnsi"/>
        </w:rPr>
      </w:pPr>
      <w:r w:rsidRPr="00D75194">
        <w:rPr>
          <w:rFonts w:asciiTheme="minorHAnsi" w:hAnsiTheme="minorHAnsi"/>
          <w:noProof/>
        </w:rPr>
        <mc:AlternateContent>
          <mc:Choice Requires="wps">
            <w:drawing>
              <wp:anchor distT="45720" distB="45720" distL="114300" distR="114300" simplePos="0" relativeHeight="251658243" behindDoc="0" locked="0" layoutInCell="1" allowOverlap="1" wp14:anchorId="5EC14F67" wp14:editId="39101E33">
                <wp:simplePos x="0" y="0"/>
                <wp:positionH relativeFrom="margin">
                  <wp:posOffset>0</wp:posOffset>
                </wp:positionH>
                <wp:positionV relativeFrom="paragraph">
                  <wp:posOffset>344170</wp:posOffset>
                </wp:positionV>
                <wp:extent cx="6238875" cy="2743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743200"/>
                        </a:xfrm>
                        <a:prstGeom prst="rect">
                          <a:avLst/>
                        </a:prstGeom>
                        <a:solidFill>
                          <a:schemeClr val="accent1"/>
                        </a:solidFill>
                        <a:ln w="9525">
                          <a:solidFill>
                            <a:srgbClr val="000000"/>
                          </a:solidFill>
                          <a:miter lim="800000"/>
                          <a:headEnd/>
                          <a:tailEnd/>
                        </a:ln>
                      </wps:spPr>
                      <wps:txbx>
                        <w:txbxContent>
                          <w:p w:rsidRPr="00D75194" w:rsidR="0058579E" w:rsidP="0058579E" w:rsidRDefault="0058579E" w14:paraId="420A260B" w14:textId="77777777">
                            <w:pPr>
                              <w:shd w:val="clear" w:color="auto" w:fill="36706B" w:themeFill="accent4"/>
                              <w:rPr>
                                <w:b/>
                                <w:bCs/>
                                <w:color w:val="FFFFFF" w:themeColor="background1"/>
                              </w:rPr>
                            </w:pPr>
                            <w:r w:rsidRPr="00D75194">
                              <w:rPr>
                                <w:b/>
                                <w:bCs/>
                                <w:color w:val="FFFFFF" w:themeColor="background1"/>
                              </w:rPr>
                              <w:t>Box 1: ODI providing responsive and adaptive support to AOSIS</w:t>
                            </w:r>
                          </w:p>
                          <w:p w:rsidRPr="00D75194" w:rsidR="0058579E" w:rsidP="0058579E" w:rsidRDefault="0058579E" w14:paraId="1A625E9F" w14:textId="6F978B3F">
                            <w:r w:rsidRPr="00D75194">
                              <w:t>Under the CASA programme, ODI has provided agile, high-impact support to AOSIS, helping to amplify the bloc’s voice in global climate negotiations. This support has been especially critical in the areas of </w:t>
                            </w:r>
                            <w:r w:rsidRPr="00D75194">
                              <w:rPr>
                                <w:b/>
                                <w:bCs/>
                              </w:rPr>
                              <w:t>climate finance</w:t>
                            </w:r>
                            <w:r w:rsidRPr="00D75194">
                              <w:t> and </w:t>
                            </w:r>
                            <w:r w:rsidRPr="00D75194">
                              <w:rPr>
                                <w:b/>
                                <w:bCs/>
                              </w:rPr>
                              <w:t>adaptation</w:t>
                            </w:r>
                            <w:r w:rsidRPr="00D75194">
                              <w:t xml:space="preserve">, where ODI has worked closely with the AOSIS chair’s team to shape positions on </w:t>
                            </w:r>
                            <w:r w:rsidRPr="00D75194" w:rsidR="00864431">
                              <w:t>the NCQG</w:t>
                            </w:r>
                            <w:r w:rsidRPr="00D75194">
                              <w:t> and the </w:t>
                            </w:r>
                            <w:r w:rsidRPr="00D75194">
                              <w:rPr>
                                <w:b/>
                                <w:bCs/>
                              </w:rPr>
                              <w:t>Global Goal on Adaptation</w:t>
                            </w:r>
                            <w:r w:rsidRPr="00D75194">
                              <w:t>. The TP takes direction from the chair’s team on “an hourly, daily and weekly basis (principally by WhatsApp)” for requests on research on specific issues, requests to convene consultations, and to draft specific internal/external facing documents in response to their priority needs. Through a CASA OF grant, ODI conducted a </w:t>
                            </w:r>
                            <w:r w:rsidRPr="00D75194">
                              <w:rPr>
                                <w:b/>
                                <w:bCs/>
                              </w:rPr>
                              <w:t>landmark survey of over 50 Small Island Developing States (SIDS) stakeholders</w:t>
                            </w:r>
                            <w:r w:rsidRPr="00D75194">
                              <w:t> to map adaptation knowledge gaps. This research informed AOSIS’s internal coordination and Global Goal on Adaptation positions; supported real-time decision-making during COPs; and was used in broader UK Government strategies, including the UK’s SIDS strategy (</w:t>
                            </w:r>
                            <w:hyperlink w:history="1" r:id="rId32">
                              <w:r w:rsidRPr="00D75194">
                                <w:rPr>
                                  <w:rStyle w:val="Hyperlink"/>
                                </w:rPr>
                                <w:t>The UK Small Island Developing States Strategy - International Development Committee</w:t>
                              </w:r>
                            </w:hyperlink>
                            <w:r w:rsidRPr="00D75194">
                              <w:t xml:space="preserve">). It was also used to inform and shape AOSIS’ input on the Global Goal on Adaptation. See: </w:t>
                            </w:r>
                            <w:hyperlink w:history="1" r:id="rId33">
                              <w:r w:rsidRPr="00D75194">
                                <w:rPr>
                                  <w:rStyle w:val="Hyperlink"/>
                                </w:rPr>
                                <w:t>Mapping the information and learning landscape for adaptation in Small Island Developing States (SIDS) | ODI: Think change</w:t>
                              </w:r>
                            </w:hyperlink>
                            <w:r w:rsidRPr="00D75194">
                              <w:t xml:space="preserve"> and </w:t>
                            </w:r>
                            <w:hyperlink w:tgtFrame="_blank" w:history="1" r:id="rId34">
                              <w:r w:rsidRPr="00D75194">
                                <w:rPr>
                                  <w:rStyle w:val="Hyperlink"/>
                                </w:rPr>
                                <w:t>CASA_Technical-paper_GGA-for-SIDS.pdf</w:t>
                              </w:r>
                            </w:hyperlink>
                            <w:r w:rsidRPr="00D75194">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2BBA315">
              <v:shapetype id="_x0000_t202" coordsize="21600,21600" o:spt="202" path="m,l,21600r21600,l21600,xe" w14:anchorId="5EC14F67">
                <v:stroke joinstyle="miter"/>
                <v:path gradientshapeok="t" o:connecttype="rect"/>
              </v:shapetype>
              <v:shape id="Text Box 2" style="position:absolute;left:0;text-align:left;margin-left:0;margin-top:27.1pt;width:491.25pt;height:3in;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c4d5d3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">
                <v:textbox>
                  <w:txbxContent>
                    <w:p w:rsidRPr="00D75194" w:rsidR="0058579E" w:rsidP="0058579E" w:rsidRDefault="0058579E" w14:paraId="73879E37" w14:textId="77777777">
                      <w:pPr>
                        <w:shd w:val="clear" w:color="auto" w:fill="36706B" w:themeFill="accent4"/>
                        <w:rPr>
                          <w:b/>
                          <w:bCs/>
                          <w:color w:val="FFFFFF" w:themeColor="background1"/>
                        </w:rPr>
                      </w:pPr>
                      <w:r w:rsidRPr="00D75194">
                        <w:rPr>
                          <w:b/>
                          <w:bCs/>
                          <w:color w:val="FFFFFF" w:themeColor="background1"/>
                        </w:rPr>
                        <w:t>Box 1: ODI providing responsive and adaptive support to AOSIS</w:t>
                      </w:r>
                    </w:p>
                    <w:p w:rsidRPr="00D75194" w:rsidR="0058579E" w:rsidP="0058579E" w:rsidRDefault="0058579E" w14:paraId="74BE76DE" w14:textId="6F978B3F">
                      <w:r w:rsidRPr="00D75194">
                        <w:t>Under the CASA programme, ODI has provided agile, high-impact support to AOSIS, helping to amplify the bloc’s voice in global climate negotiations. This support has been especially critical in the areas of </w:t>
                      </w:r>
                      <w:r w:rsidRPr="00D75194">
                        <w:rPr>
                          <w:b/>
                          <w:bCs/>
                        </w:rPr>
                        <w:t>climate finance</w:t>
                      </w:r>
                      <w:r w:rsidRPr="00D75194">
                        <w:t> and </w:t>
                      </w:r>
                      <w:r w:rsidRPr="00D75194">
                        <w:rPr>
                          <w:b/>
                          <w:bCs/>
                        </w:rPr>
                        <w:t>adaptation</w:t>
                      </w:r>
                      <w:r w:rsidRPr="00D75194">
                        <w:t xml:space="preserve">, where ODI has worked closely with the AOSIS chair’s team to shape positions on </w:t>
                      </w:r>
                      <w:r w:rsidRPr="00D75194" w:rsidR="00864431">
                        <w:t>the NCQG</w:t>
                      </w:r>
                      <w:r w:rsidRPr="00D75194">
                        <w:t> and the </w:t>
                      </w:r>
                      <w:r w:rsidRPr="00D75194">
                        <w:rPr>
                          <w:b/>
                          <w:bCs/>
                        </w:rPr>
                        <w:t>Global Goal on Adaptation</w:t>
                      </w:r>
                      <w:r w:rsidRPr="00D75194">
                        <w:t>. The TP takes direction from the chair’s team on “an hourly, daily and weekly basis (principally by WhatsApp)” for requests on research on specific issues, requests to convene consultations, and to draft specific internal/external facing documents in response to their priority needs. Through a CASA OF grant, ODI conducted a </w:t>
                      </w:r>
                      <w:r w:rsidRPr="00D75194">
                        <w:rPr>
                          <w:b/>
                          <w:bCs/>
                        </w:rPr>
                        <w:t>landmark survey of over 50 Small Island Developing States (SIDS) stakeholders</w:t>
                      </w:r>
                      <w:r w:rsidRPr="00D75194">
                        <w:t> to map adaptation knowledge gaps. This research informed AOSIS’s internal coordination and Global Goal on Adaptation positions; supported real-time decision-making during COPs; and was used in broader UK Government strategies, including the UK’s SIDS strategy (</w:t>
                      </w:r>
                      <w:hyperlink w:history="1" r:id="rId35">
                        <w:r w:rsidRPr="00D75194">
                          <w:rPr>
                            <w:rStyle w:val="Hyperlink"/>
                          </w:rPr>
                          <w:t>The UK Small Island Developing States Strategy - International Development Committee</w:t>
                        </w:r>
                      </w:hyperlink>
                      <w:r w:rsidRPr="00D75194">
                        <w:t xml:space="preserve">). It was also used to inform and shape AOSIS’ input on the Global Goal on Adaptation. See: </w:t>
                      </w:r>
                      <w:hyperlink w:history="1" r:id="rId36">
                        <w:r w:rsidRPr="00D75194">
                          <w:rPr>
                            <w:rStyle w:val="Hyperlink"/>
                          </w:rPr>
                          <w:t>Mapping the information and learning landscape for adaptation in Small Island Developing States (SIDS) | ODI: Think change</w:t>
                        </w:r>
                      </w:hyperlink>
                      <w:r w:rsidRPr="00D75194">
                        <w:t xml:space="preserve"> and </w:t>
                      </w:r>
                      <w:hyperlink w:tgtFrame="_blank" w:history="1" r:id="rId37">
                        <w:r w:rsidRPr="00D75194">
                          <w:rPr>
                            <w:rStyle w:val="Hyperlink"/>
                          </w:rPr>
                          <w:t>CASA_Technical-paper_GGA-for-SIDS.pdf</w:t>
                        </w:r>
                      </w:hyperlink>
                      <w:r w:rsidRPr="00D75194">
                        <w:t>. </w:t>
                      </w:r>
                    </w:p>
                  </w:txbxContent>
                </v:textbox>
                <w10:wrap type="square" anchorx="margin"/>
              </v:shape>
            </w:pict>
          </mc:Fallback>
        </mc:AlternateContent>
      </w:r>
    </w:p>
    <w:p w:rsidRPr="00D75194" w:rsidR="00542187" w:rsidP="001C4188" w:rsidRDefault="00157A8C" w14:paraId="60BD0F41" w14:textId="66C57CEE">
      <w:pPr>
        <w:pStyle w:val="Heading3"/>
        <w:numPr>
          <w:ilvl w:val="0"/>
          <w:numId w:val="0"/>
        </w:numPr>
      </w:pPr>
      <w:bookmarkStart w:name="_Toc204259816" w:id="60"/>
      <w:r w:rsidRPr="00D75194">
        <w:t xml:space="preserve">EQ </w:t>
      </w:r>
      <w:r w:rsidRPr="00D75194" w:rsidR="00542187">
        <w:t>1.3: To what extent has CASA II adapted to align with: i) the needs of individual negotiators and negotiating groups</w:t>
      </w:r>
      <w:r w:rsidRPr="00D75194" w:rsidR="000B7A2D">
        <w:t>;</w:t>
      </w:r>
      <w:r w:rsidRPr="00D75194" w:rsidR="008A6B8D">
        <w:t xml:space="preserve"> and</w:t>
      </w:r>
      <w:r w:rsidRPr="00D75194" w:rsidR="00542187">
        <w:t xml:space="preserve"> ii) the evolving climate negotiations space?</w:t>
      </w:r>
      <w:bookmarkEnd w:id="60"/>
    </w:p>
    <w:p w:rsidRPr="00D75194" w:rsidR="00946895" w:rsidP="78C12E35" w:rsidRDefault="001C4188" w14:paraId="6BE82D85" w14:textId="219EA7FE">
      <w:pPr>
        <w:rPr>
          <w:rFonts w:asciiTheme="minorHAnsi" w:hAnsiTheme="minorHAnsi"/>
        </w:rPr>
      </w:pPr>
      <w:r w:rsidRPr="00D75194">
        <w:br/>
      </w:r>
      <w:r w:rsidRPr="00D75194" w:rsidR="00542187">
        <w:rPr>
          <w:rFonts w:asciiTheme="minorHAnsi" w:hAnsiTheme="minorHAnsi"/>
          <w:b/>
          <w:bCs/>
        </w:rPr>
        <w:t>CASA II has demonstrated a clear capacity to adapt in alignment with both the evolving needs of individual negotiators and negotiating groups, as well as the broader shifts in the climate negotiations space.</w:t>
      </w:r>
      <w:r w:rsidRPr="00D75194" w:rsidR="00542187">
        <w:rPr>
          <w:rFonts w:asciiTheme="minorHAnsi" w:hAnsiTheme="minorHAnsi"/>
        </w:rPr>
        <w:t xml:space="preserve"> As the </w:t>
      </w:r>
      <w:r w:rsidRPr="00D75194" w:rsidR="00B61473">
        <w:rPr>
          <w:rFonts w:asciiTheme="minorHAnsi" w:hAnsiTheme="minorHAnsi"/>
        </w:rPr>
        <w:t>UNFCCC</w:t>
      </w:r>
      <w:r w:rsidRPr="00D75194" w:rsidR="00542187">
        <w:rPr>
          <w:rFonts w:asciiTheme="minorHAnsi" w:hAnsiTheme="minorHAnsi"/>
        </w:rPr>
        <w:t xml:space="preserve"> regime increasingly </w:t>
      </w:r>
      <w:r w:rsidRPr="00D75194" w:rsidR="00BE2A1B">
        <w:rPr>
          <w:rFonts w:asciiTheme="minorHAnsi" w:hAnsiTheme="minorHAnsi"/>
        </w:rPr>
        <w:t>turns</w:t>
      </w:r>
      <w:r w:rsidRPr="00D75194" w:rsidR="00542187">
        <w:rPr>
          <w:rFonts w:asciiTheme="minorHAnsi" w:hAnsiTheme="minorHAnsi"/>
        </w:rPr>
        <w:t xml:space="preserve"> </w:t>
      </w:r>
      <w:r w:rsidRPr="00D75194" w:rsidR="00B61473">
        <w:rPr>
          <w:rFonts w:asciiTheme="minorHAnsi" w:hAnsiTheme="minorHAnsi"/>
        </w:rPr>
        <w:t>its focus</w:t>
      </w:r>
      <w:r w:rsidRPr="00D75194" w:rsidR="00542187">
        <w:rPr>
          <w:rFonts w:asciiTheme="minorHAnsi" w:hAnsiTheme="minorHAnsi"/>
        </w:rPr>
        <w:t xml:space="preserve"> to </w:t>
      </w:r>
      <w:r w:rsidRPr="00D75194" w:rsidR="00B61473">
        <w:rPr>
          <w:rFonts w:asciiTheme="minorHAnsi" w:hAnsiTheme="minorHAnsi"/>
        </w:rPr>
        <w:t xml:space="preserve">domestic </w:t>
      </w:r>
      <w:r w:rsidRPr="00D75194" w:rsidR="00542187">
        <w:rPr>
          <w:rFonts w:asciiTheme="minorHAnsi" w:hAnsiTheme="minorHAnsi"/>
        </w:rPr>
        <w:t>implementation</w:t>
      </w:r>
      <w:r w:rsidRPr="00D75194" w:rsidR="00B61473">
        <w:rPr>
          <w:rFonts w:asciiTheme="minorHAnsi" w:hAnsiTheme="minorHAnsi"/>
        </w:rPr>
        <w:t xml:space="preserve"> of climate change agreements</w:t>
      </w:r>
      <w:r w:rsidRPr="00D75194" w:rsidR="00A2346D">
        <w:rPr>
          <w:rFonts w:asciiTheme="minorHAnsi" w:hAnsiTheme="minorHAnsi"/>
        </w:rPr>
        <w:t>,</w:t>
      </w:r>
      <w:r w:rsidRPr="00D75194" w:rsidR="00542187">
        <w:rPr>
          <w:rFonts w:asciiTheme="minorHAnsi" w:hAnsiTheme="minorHAnsi"/>
        </w:rPr>
        <w:t xml:space="preserve"> the programme has responded by expanding its focus on domestic implementation support through the work of CIES, LRI, and the OF. While some TPs and stakeholders continue to question the emphasis on domestic implementation, key informants receiving climate change law review and implementation support from LRI described the TP’s role as vital. </w:t>
      </w:r>
      <w:r w:rsidRPr="00D75194" w:rsidR="00DA6B85">
        <w:rPr>
          <w:rFonts w:asciiTheme="minorHAnsi" w:hAnsiTheme="minorHAnsi"/>
        </w:rPr>
        <w:t>Additionally</w:t>
      </w:r>
      <w:r w:rsidRPr="00D75194" w:rsidR="00542187">
        <w:rPr>
          <w:rFonts w:asciiTheme="minorHAnsi" w:hAnsiTheme="minorHAnsi"/>
        </w:rPr>
        <w:t>, the</w:t>
      </w:r>
      <w:r w:rsidRPr="00D75194" w:rsidR="00A0260B">
        <w:rPr>
          <w:rFonts w:asciiTheme="minorHAnsi" w:hAnsiTheme="minorHAnsi"/>
        </w:rPr>
        <w:t>re is evidence of demand from</w:t>
      </w:r>
      <w:r w:rsidRPr="00D75194" w:rsidR="00542187">
        <w:rPr>
          <w:rFonts w:asciiTheme="minorHAnsi" w:hAnsiTheme="minorHAnsi"/>
        </w:rPr>
        <w:t xml:space="preserve"> the </w:t>
      </w:r>
      <w:r w:rsidRPr="00D75194" w:rsidR="00A0260B">
        <w:rPr>
          <w:rFonts w:asciiTheme="minorHAnsi" w:hAnsiTheme="minorHAnsi"/>
        </w:rPr>
        <w:t>g</w:t>
      </w:r>
      <w:r w:rsidRPr="00D75194" w:rsidR="00542187">
        <w:rPr>
          <w:rFonts w:asciiTheme="minorHAnsi" w:hAnsiTheme="minorHAnsi"/>
        </w:rPr>
        <w:t>overnment</w:t>
      </w:r>
      <w:r w:rsidRPr="00D75194" w:rsidR="004D2D2C">
        <w:rPr>
          <w:rFonts w:asciiTheme="minorHAnsi" w:hAnsiTheme="minorHAnsi"/>
        </w:rPr>
        <w:t>s</w:t>
      </w:r>
      <w:r w:rsidRPr="00D75194" w:rsidR="00542187">
        <w:rPr>
          <w:rFonts w:asciiTheme="minorHAnsi" w:hAnsiTheme="minorHAnsi"/>
        </w:rPr>
        <w:t xml:space="preserve"> of Panama </w:t>
      </w:r>
      <w:r w:rsidRPr="00D75194" w:rsidR="004D2D2C">
        <w:rPr>
          <w:rFonts w:asciiTheme="minorHAnsi" w:hAnsiTheme="minorHAnsi"/>
        </w:rPr>
        <w:t>and Costa Rica</w:t>
      </w:r>
      <w:r w:rsidRPr="00D75194" w:rsidR="00A0260B">
        <w:rPr>
          <w:rFonts w:asciiTheme="minorHAnsi" w:hAnsiTheme="minorHAnsi"/>
        </w:rPr>
        <w:t>, who</w:t>
      </w:r>
      <w:r w:rsidRPr="00D75194" w:rsidR="00542187">
        <w:rPr>
          <w:rFonts w:asciiTheme="minorHAnsi" w:hAnsiTheme="minorHAnsi"/>
        </w:rPr>
        <w:t xml:space="preserve"> ha</w:t>
      </w:r>
      <w:r w:rsidRPr="00D75194" w:rsidR="004D2D2C">
        <w:rPr>
          <w:rFonts w:asciiTheme="minorHAnsi" w:hAnsiTheme="minorHAnsi"/>
        </w:rPr>
        <w:t>ve</w:t>
      </w:r>
      <w:r w:rsidRPr="00D75194" w:rsidR="00542187">
        <w:rPr>
          <w:rFonts w:asciiTheme="minorHAnsi" w:hAnsiTheme="minorHAnsi"/>
        </w:rPr>
        <w:t xml:space="preserve"> formally requested domestic climate change support from the TP, </w:t>
      </w:r>
      <w:r w:rsidRPr="00D75194" w:rsidR="00866BAB">
        <w:rPr>
          <w:rFonts w:asciiTheme="minorHAnsi" w:hAnsiTheme="minorHAnsi"/>
        </w:rPr>
        <w:t>CIES</w:t>
      </w:r>
      <w:r w:rsidRPr="00D75194" w:rsidR="00542187">
        <w:rPr>
          <w:rFonts w:asciiTheme="minorHAnsi" w:hAnsiTheme="minorHAnsi"/>
        </w:rPr>
        <w:t>.</w:t>
      </w:r>
      <w:r w:rsidRPr="00D75194" w:rsidR="00FB6294">
        <w:rPr>
          <w:rFonts w:asciiTheme="minorHAnsi" w:hAnsiTheme="minorHAnsi"/>
        </w:rPr>
        <w:t xml:space="preserve"> </w:t>
      </w:r>
    </w:p>
    <w:p w:rsidRPr="00D75194" w:rsidR="00CF00FA" w:rsidP="007C42C2" w:rsidRDefault="00AA30A6" w14:paraId="615CDEA2" w14:textId="17ED6B0C">
      <w:pPr>
        <w:rPr>
          <w:rFonts w:asciiTheme="minorHAnsi" w:hAnsiTheme="minorHAnsi"/>
        </w:rPr>
      </w:pPr>
      <w:proofErr w:type="gramStart"/>
      <w:r w:rsidRPr="00D75194">
        <w:rPr>
          <w:rFonts w:asciiTheme="minorHAnsi" w:hAnsiTheme="minorHAnsi"/>
        </w:rPr>
        <w:t>In regard to</w:t>
      </w:r>
      <w:proofErr w:type="gramEnd"/>
      <w:r w:rsidRPr="00D75194">
        <w:rPr>
          <w:rFonts w:asciiTheme="minorHAnsi" w:hAnsiTheme="minorHAnsi"/>
        </w:rPr>
        <w:t xml:space="preserve"> </w:t>
      </w:r>
      <w:r w:rsidRPr="00D75194" w:rsidR="0076396D">
        <w:rPr>
          <w:rFonts w:asciiTheme="minorHAnsi" w:hAnsiTheme="minorHAnsi"/>
        </w:rPr>
        <w:t>the evolving needs of individual negotiators</w:t>
      </w:r>
      <w:r w:rsidRPr="00D75194" w:rsidR="00FB4616">
        <w:rPr>
          <w:rFonts w:asciiTheme="minorHAnsi" w:hAnsiTheme="minorHAnsi"/>
        </w:rPr>
        <w:t xml:space="preserve"> and groups</w:t>
      </w:r>
      <w:r w:rsidRPr="00D75194" w:rsidR="0076396D">
        <w:rPr>
          <w:rFonts w:asciiTheme="minorHAnsi" w:hAnsiTheme="minorHAnsi"/>
        </w:rPr>
        <w:t>,</w:t>
      </w:r>
      <w:r w:rsidRPr="00D75194" w:rsidR="005A71BD">
        <w:rPr>
          <w:rFonts w:asciiTheme="minorHAnsi" w:hAnsiTheme="minorHAnsi"/>
        </w:rPr>
        <w:t xml:space="preserve"> </w:t>
      </w:r>
      <w:r w:rsidRPr="00D75194" w:rsidR="00FB4616">
        <w:rPr>
          <w:rFonts w:asciiTheme="minorHAnsi" w:hAnsiTheme="minorHAnsi"/>
        </w:rPr>
        <w:t xml:space="preserve">TPs are found to be responsive to </w:t>
      </w:r>
      <w:r w:rsidRPr="00D75194" w:rsidR="00A239AA">
        <w:rPr>
          <w:rFonts w:asciiTheme="minorHAnsi" w:hAnsiTheme="minorHAnsi"/>
        </w:rPr>
        <w:t xml:space="preserve">the </w:t>
      </w:r>
      <w:r w:rsidRPr="00D75194" w:rsidR="00FB4616">
        <w:rPr>
          <w:rFonts w:asciiTheme="minorHAnsi" w:hAnsiTheme="minorHAnsi"/>
        </w:rPr>
        <w:t>context</w:t>
      </w:r>
      <w:r w:rsidRPr="00D75194" w:rsidR="00826474">
        <w:rPr>
          <w:rFonts w:asciiTheme="minorHAnsi" w:hAnsiTheme="minorHAnsi"/>
        </w:rPr>
        <w:t>s</w:t>
      </w:r>
      <w:r w:rsidRPr="00D75194" w:rsidR="00FB4616">
        <w:rPr>
          <w:rFonts w:asciiTheme="minorHAnsi" w:hAnsiTheme="minorHAnsi"/>
        </w:rPr>
        <w:t xml:space="preserve"> of the</w:t>
      </w:r>
      <w:r w:rsidRPr="00D75194" w:rsidR="00E647CC">
        <w:rPr>
          <w:rFonts w:asciiTheme="minorHAnsi" w:hAnsiTheme="minorHAnsi"/>
        </w:rPr>
        <w:t>se</w:t>
      </w:r>
      <w:r w:rsidRPr="00D75194" w:rsidR="00FB4616">
        <w:rPr>
          <w:rFonts w:asciiTheme="minorHAnsi" w:hAnsiTheme="minorHAnsi"/>
        </w:rPr>
        <w:t xml:space="preserve"> </w:t>
      </w:r>
      <w:r w:rsidRPr="00D75194" w:rsidR="00E4675D">
        <w:rPr>
          <w:rFonts w:asciiTheme="minorHAnsi" w:hAnsiTheme="minorHAnsi"/>
        </w:rPr>
        <w:t>groups and</w:t>
      </w:r>
      <w:r w:rsidRPr="00D75194" w:rsidR="00FB4616">
        <w:rPr>
          <w:rFonts w:asciiTheme="minorHAnsi" w:hAnsiTheme="minorHAnsi"/>
        </w:rPr>
        <w:t xml:space="preserve"> shift accordingly. </w:t>
      </w:r>
      <w:r w:rsidRPr="00D75194" w:rsidR="00A64682">
        <w:rPr>
          <w:rFonts w:asciiTheme="minorHAnsi" w:hAnsiTheme="minorHAnsi"/>
        </w:rPr>
        <w:t>This is demonstrated particularly through the inclusion of ICC</w:t>
      </w:r>
      <w:r w:rsidRPr="00D75194" w:rsidR="00E444C1">
        <w:rPr>
          <w:rFonts w:asciiTheme="minorHAnsi" w:hAnsiTheme="minorHAnsi"/>
        </w:rPr>
        <w:t>C</w:t>
      </w:r>
      <w:r w:rsidRPr="00D75194" w:rsidR="00A64682">
        <w:rPr>
          <w:rFonts w:asciiTheme="minorHAnsi" w:hAnsiTheme="minorHAnsi"/>
        </w:rPr>
        <w:t xml:space="preserve">AD </w:t>
      </w:r>
      <w:r w:rsidRPr="00D75194" w:rsidR="00742CBD">
        <w:rPr>
          <w:rFonts w:asciiTheme="minorHAnsi" w:hAnsiTheme="minorHAnsi"/>
        </w:rPr>
        <w:t>and CIES</w:t>
      </w:r>
      <w:r w:rsidRPr="00D75194" w:rsidR="00A876B9">
        <w:rPr>
          <w:rFonts w:asciiTheme="minorHAnsi" w:hAnsiTheme="minorHAnsi"/>
        </w:rPr>
        <w:t xml:space="preserve"> as TP</w:t>
      </w:r>
      <w:r w:rsidRPr="00D75194" w:rsidR="00742CBD">
        <w:rPr>
          <w:rFonts w:asciiTheme="minorHAnsi" w:hAnsiTheme="minorHAnsi"/>
        </w:rPr>
        <w:t>s</w:t>
      </w:r>
      <w:r w:rsidRPr="00D75194" w:rsidR="003F347F">
        <w:rPr>
          <w:rFonts w:asciiTheme="minorHAnsi" w:hAnsiTheme="minorHAnsi"/>
        </w:rPr>
        <w:t>,</w:t>
      </w:r>
      <w:r w:rsidRPr="00D75194" w:rsidR="00A64682">
        <w:rPr>
          <w:rFonts w:asciiTheme="minorHAnsi" w:hAnsiTheme="minorHAnsi"/>
        </w:rPr>
        <w:t xml:space="preserve"> and the utilisation of the OF.</w:t>
      </w:r>
      <w:r w:rsidRPr="00D75194" w:rsidR="00FB4616">
        <w:rPr>
          <w:rFonts w:asciiTheme="minorHAnsi" w:hAnsiTheme="minorHAnsi"/>
        </w:rPr>
        <w:t xml:space="preserve"> </w:t>
      </w:r>
    </w:p>
    <w:p w:rsidRPr="00D75194" w:rsidR="00542187" w:rsidP="00542187" w:rsidRDefault="00566E51" w14:paraId="08829BD2" w14:textId="016C4F23">
      <w:pPr>
        <w:rPr>
          <w:rFonts w:asciiTheme="minorHAnsi" w:hAnsiTheme="minorHAnsi"/>
        </w:rPr>
      </w:pPr>
      <w:r w:rsidRPr="00D75194">
        <w:rPr>
          <w:rFonts w:asciiTheme="minorHAnsi" w:hAnsiTheme="minorHAnsi"/>
        </w:rPr>
        <w:t>Several</w:t>
      </w:r>
      <w:r w:rsidRPr="00D75194" w:rsidR="00542187">
        <w:rPr>
          <w:rFonts w:asciiTheme="minorHAnsi" w:hAnsiTheme="minorHAnsi"/>
        </w:rPr>
        <w:t xml:space="preserve"> key informants expressed a desire for increased support and funding, particularly for junior negotiators. For example, individuals trained under the CLI have requested further training opportunities, and the Government of Nepal has called for continued support from </w:t>
      </w:r>
      <w:r w:rsidRPr="00D75194" w:rsidR="00A73BDF">
        <w:rPr>
          <w:rFonts w:asciiTheme="minorHAnsi" w:hAnsiTheme="minorHAnsi"/>
        </w:rPr>
        <w:t>CASA’s TPs,</w:t>
      </w:r>
      <w:r w:rsidRPr="00D75194" w:rsidR="00AD7F1F">
        <w:rPr>
          <w:rFonts w:asciiTheme="minorHAnsi" w:hAnsiTheme="minorHAnsi"/>
        </w:rPr>
        <w:t xml:space="preserve"> </w:t>
      </w:r>
      <w:r w:rsidRPr="00D75194" w:rsidR="00542187">
        <w:rPr>
          <w:rFonts w:asciiTheme="minorHAnsi" w:hAnsiTheme="minorHAnsi"/>
        </w:rPr>
        <w:t>P</w:t>
      </w:r>
      <w:r w:rsidRPr="00D75194" w:rsidR="00980BCA">
        <w:rPr>
          <w:rFonts w:asciiTheme="minorHAnsi" w:hAnsiTheme="minorHAnsi"/>
        </w:rPr>
        <w:t xml:space="preserve">ractical </w:t>
      </w:r>
      <w:r w:rsidRPr="00D75194" w:rsidR="00542187">
        <w:rPr>
          <w:rFonts w:asciiTheme="minorHAnsi" w:hAnsiTheme="minorHAnsi"/>
        </w:rPr>
        <w:t>A</w:t>
      </w:r>
      <w:r w:rsidRPr="00D75194" w:rsidR="00980BCA">
        <w:rPr>
          <w:rFonts w:asciiTheme="minorHAnsi" w:hAnsiTheme="minorHAnsi"/>
        </w:rPr>
        <w:t>ction</w:t>
      </w:r>
      <w:r w:rsidRPr="00D75194" w:rsidR="00542187">
        <w:rPr>
          <w:rFonts w:asciiTheme="minorHAnsi" w:hAnsiTheme="minorHAnsi"/>
        </w:rPr>
        <w:t xml:space="preserve"> and OPM. </w:t>
      </w:r>
    </w:p>
    <w:p w:rsidRPr="00D75194" w:rsidR="007B5776" w:rsidP="00D55E83" w:rsidRDefault="0094373B" w14:paraId="3322ABD8" w14:textId="2E83FFD9">
      <w:pPr>
        <w:pStyle w:val="ListBullet"/>
        <w:rPr>
          <w:rFonts w:cs="Arial" w:asciiTheme="minorHAnsi" w:hAnsiTheme="minorHAnsi"/>
        </w:rPr>
      </w:pPr>
      <w:r w:rsidRPr="00D75194">
        <w:rPr>
          <w:rFonts w:asciiTheme="minorHAnsi" w:hAnsiTheme="minorHAnsi"/>
        </w:rPr>
        <w:t xml:space="preserve">Certain </w:t>
      </w:r>
      <w:r w:rsidRPr="00D75194" w:rsidR="005D1A47">
        <w:rPr>
          <w:rFonts w:asciiTheme="minorHAnsi" w:hAnsiTheme="minorHAnsi"/>
        </w:rPr>
        <w:t xml:space="preserve">challenges that the programme still faces </w:t>
      </w:r>
      <w:r w:rsidRPr="00D75194" w:rsidR="00975566">
        <w:rPr>
          <w:rFonts w:asciiTheme="minorHAnsi" w:hAnsiTheme="minorHAnsi"/>
        </w:rPr>
        <w:t>with</w:t>
      </w:r>
      <w:r w:rsidRPr="00D75194" w:rsidR="001E5387">
        <w:rPr>
          <w:rFonts w:asciiTheme="minorHAnsi" w:hAnsiTheme="minorHAnsi"/>
        </w:rPr>
        <w:t>in</w:t>
      </w:r>
      <w:r w:rsidRPr="00D75194" w:rsidR="00975566">
        <w:rPr>
          <w:rFonts w:asciiTheme="minorHAnsi" w:hAnsiTheme="minorHAnsi"/>
        </w:rPr>
        <w:t xml:space="preserve"> the climate negotiations space remain</w:t>
      </w:r>
      <w:r w:rsidRPr="00D75194" w:rsidR="006A58F2">
        <w:rPr>
          <w:rFonts w:asciiTheme="minorHAnsi" w:hAnsiTheme="minorHAnsi"/>
        </w:rPr>
        <w:t>.</w:t>
      </w:r>
      <w:r w:rsidRPr="00D75194" w:rsidR="00975566">
        <w:rPr>
          <w:rFonts w:asciiTheme="minorHAnsi" w:hAnsiTheme="minorHAnsi"/>
        </w:rPr>
        <w:t xml:space="preserve"> </w:t>
      </w:r>
      <w:r w:rsidRPr="00D75194" w:rsidR="00975566">
        <w:rPr>
          <w:rFonts w:cs="Arial" w:asciiTheme="minorHAnsi" w:hAnsiTheme="minorHAnsi"/>
        </w:rPr>
        <w:t>CASA</w:t>
      </w:r>
      <w:r w:rsidRPr="00D75194" w:rsidR="00CF4ED2">
        <w:rPr>
          <w:rFonts w:cs="Arial" w:asciiTheme="minorHAnsi" w:hAnsiTheme="minorHAnsi"/>
        </w:rPr>
        <w:t>-</w:t>
      </w:r>
      <w:r w:rsidRPr="00D75194" w:rsidR="00975566">
        <w:rPr>
          <w:rFonts w:cs="Arial" w:asciiTheme="minorHAnsi" w:hAnsiTheme="minorHAnsi"/>
        </w:rPr>
        <w:t>supported negotiators cited youth and gender as a gap in the UNFCCC ecosystem (not CASA</w:t>
      </w:r>
      <w:r w:rsidRPr="00D75194" w:rsidR="00F16095">
        <w:rPr>
          <w:rFonts w:cs="Arial" w:asciiTheme="minorHAnsi" w:hAnsiTheme="minorHAnsi"/>
        </w:rPr>
        <w:t>’s</w:t>
      </w:r>
      <w:r w:rsidRPr="00D75194" w:rsidR="00975566">
        <w:rPr>
          <w:rFonts w:cs="Arial" w:asciiTheme="minorHAnsi" w:hAnsiTheme="minorHAnsi"/>
        </w:rPr>
        <w:t xml:space="preserve"> delivery) that still needs addressing. There is</w:t>
      </w:r>
      <w:r w:rsidRPr="00D75194" w:rsidR="00975566">
        <w:rPr>
          <w:rFonts w:cs="Arial" w:asciiTheme="minorHAnsi" w:hAnsiTheme="minorHAnsi"/>
          <w:b/>
          <w:bCs/>
        </w:rPr>
        <w:t xml:space="preserve"> </w:t>
      </w:r>
      <w:r w:rsidRPr="00D75194" w:rsidR="00975566">
        <w:rPr>
          <w:rFonts w:cs="Arial" w:asciiTheme="minorHAnsi" w:hAnsiTheme="minorHAnsi"/>
        </w:rPr>
        <w:t>limited engagement with marginalised voices within LDC groups: not all LDC countries prioritise youth inclusion equally.</w:t>
      </w:r>
      <w:r w:rsidRPr="00D75194" w:rsidR="008F3696">
        <w:rPr>
          <w:rFonts w:cs="Arial" w:asciiTheme="minorHAnsi" w:hAnsiTheme="minorHAnsi"/>
        </w:rPr>
        <w:t xml:space="preserve"> CASA demonstrates a strong ability to engage and respond to this gap, through </w:t>
      </w:r>
      <w:r w:rsidRPr="00D75194" w:rsidR="00786828">
        <w:rPr>
          <w:rFonts w:cs="Arial" w:asciiTheme="minorHAnsi" w:hAnsiTheme="minorHAnsi"/>
        </w:rPr>
        <w:t>its TPs and the OF.</w:t>
      </w:r>
    </w:p>
    <w:p w:rsidRPr="00D75194" w:rsidR="00B71EEF" w:rsidP="00B71EEF" w:rsidRDefault="00B71EEF" w14:paraId="7CD34C52" w14:textId="481C9E68">
      <w:pPr>
        <w:pStyle w:val="Heading2"/>
      </w:pPr>
      <w:bookmarkStart w:name="_Ref173434543" w:id="61"/>
      <w:bookmarkStart w:name="_Toc214452913" w:id="62"/>
      <w:r w:rsidRPr="00D75194">
        <w:t>Coherence</w:t>
      </w:r>
      <w:bookmarkEnd w:id="61"/>
      <w:bookmarkEnd w:id="62"/>
      <w:r w:rsidRPr="00D75194">
        <w:t xml:space="preserve"> </w:t>
      </w:r>
    </w:p>
    <w:p w:rsidRPr="00D75194" w:rsidR="00FB76A7" w:rsidP="000F1654" w:rsidRDefault="00FB76A7" w14:paraId="37A2B153" w14:textId="77777777">
      <w:pPr>
        <w:pStyle w:val="NoSpacing"/>
      </w:pPr>
    </w:p>
    <w:tbl>
      <w:tblPr>
        <w:tblStyle w:val="TableGrid"/>
        <w:tblW w:w="0" w:type="auto"/>
        <w:tblLook w:val="04A0" w:firstRow="1" w:lastRow="0" w:firstColumn="1" w:lastColumn="0" w:noHBand="0" w:noVBand="1"/>
      </w:tblPr>
      <w:tblGrid>
        <w:gridCol w:w="9854"/>
      </w:tblGrid>
      <w:tr w:rsidRPr="00D75194" w:rsidR="00FB76A7" w:rsidTr="00FC562D" w14:paraId="3863DE7C" w14:textId="77777777">
        <w:trPr>
          <w:trHeight w:val="544"/>
        </w:trPr>
        <w:tc>
          <w:tcPr>
            <w:tcW w:w="9854" w:type="dxa"/>
            <w:shd w:val="clear" w:color="auto" w:fill="C4D5D3" w:themeFill="accent1"/>
            <w:vAlign w:val="center"/>
          </w:tcPr>
          <w:p w:rsidRPr="00D75194" w:rsidR="00FB76A7" w:rsidP="005C485A" w:rsidRDefault="00FB76A7" w14:paraId="665079F7" w14:textId="5127C438">
            <w:pPr>
              <w:spacing w:after="120"/>
              <w:jc w:val="center"/>
              <w:rPr>
                <w:b/>
                <w:bCs/>
              </w:rPr>
            </w:pPr>
            <w:bookmarkStart w:name="_Hlk173246062" w:id="63"/>
            <w:r w:rsidRPr="00D75194">
              <w:rPr>
                <w:b/>
                <w:bCs/>
              </w:rPr>
              <w:t xml:space="preserve">EQ </w:t>
            </w:r>
            <w:r w:rsidRPr="00D75194" w:rsidR="000C7180">
              <w:rPr>
                <w:b/>
                <w:bCs/>
              </w:rPr>
              <w:t>2: Do the CASA interventions demonstrate coherence across time?</w:t>
            </w:r>
          </w:p>
        </w:tc>
      </w:tr>
      <w:bookmarkEnd w:id="63"/>
    </w:tbl>
    <w:p w:rsidRPr="00D75194" w:rsidR="001E4B2C" w:rsidP="001E4B2C" w:rsidRDefault="001E4B2C" w14:paraId="5D981901" w14:textId="77777777">
      <w:pPr>
        <w:spacing w:after="0"/>
        <w:rPr>
          <w:b/>
          <w:bCs/>
        </w:rPr>
      </w:pPr>
    </w:p>
    <w:p w:rsidRPr="00D75194" w:rsidR="001E4B2C" w:rsidP="001E4B2C" w:rsidRDefault="00123E5F" w14:paraId="0F5BD321" w14:textId="77777777">
      <w:pPr>
        <w:spacing w:after="0"/>
      </w:pPr>
      <w:r w:rsidRPr="00D75194">
        <w:rPr>
          <w:b/>
          <w:bCs/>
        </w:rPr>
        <w:t>Summary:</w:t>
      </w:r>
      <w:r w:rsidRPr="00D75194" w:rsidR="005E4456">
        <w:rPr>
          <w:b/>
          <w:bCs/>
        </w:rPr>
        <w:br/>
      </w:r>
    </w:p>
    <w:p w:rsidRPr="00D75194" w:rsidR="005E4456" w:rsidP="001E4B2C" w:rsidRDefault="00FD3ACA" w14:paraId="5F8CE398" w14:textId="1F11E763">
      <w:pPr>
        <w:spacing w:after="0"/>
      </w:pPr>
      <w:r w:rsidRPr="00D75194">
        <w:rPr>
          <w:b/>
          <w:bCs/>
        </w:rPr>
        <w:t xml:space="preserve">There is </w:t>
      </w:r>
      <w:r w:rsidRPr="00D75194" w:rsidR="006450C1">
        <w:rPr>
          <w:b/>
          <w:bCs/>
        </w:rPr>
        <w:t>strong evidence that C</w:t>
      </w:r>
      <w:r w:rsidRPr="00D75194" w:rsidR="005E4456">
        <w:rPr>
          <w:b/>
          <w:bCs/>
        </w:rPr>
        <w:t xml:space="preserve">ASA </w:t>
      </w:r>
      <w:r w:rsidRPr="00D75194" w:rsidR="01F38AD0">
        <w:rPr>
          <w:b/>
          <w:bCs/>
        </w:rPr>
        <w:t>interventions demonstrate coherence across time.</w:t>
      </w:r>
      <w:r w:rsidRPr="00D75194" w:rsidR="01F38AD0">
        <w:t xml:space="preserve"> The programme has maintained a consistent delivery model—providing demand-led, adaptive support through TPs—while </w:t>
      </w:r>
      <w:r w:rsidRPr="00D75194" w:rsidR="6EECE619">
        <w:rPr>
          <w:b/>
          <w:bCs/>
        </w:rPr>
        <w:t xml:space="preserve">the OF has acted as a </w:t>
      </w:r>
      <w:r w:rsidRPr="00D75194" w:rsidR="6597474D">
        <w:rPr>
          <w:b/>
          <w:bCs/>
        </w:rPr>
        <w:t xml:space="preserve">mechanism </w:t>
      </w:r>
      <w:r w:rsidRPr="00D75194" w:rsidR="6F406E3B">
        <w:rPr>
          <w:b/>
          <w:bCs/>
        </w:rPr>
        <w:t xml:space="preserve">to </w:t>
      </w:r>
      <w:r w:rsidRPr="00D75194" w:rsidR="01F38AD0">
        <w:rPr>
          <w:b/>
          <w:bCs/>
        </w:rPr>
        <w:t>enhance</w:t>
      </w:r>
      <w:r w:rsidRPr="00D75194" w:rsidR="654C0468">
        <w:rPr>
          <w:b/>
          <w:bCs/>
        </w:rPr>
        <w:t xml:space="preserve"> this delivery model through increased</w:t>
      </w:r>
      <w:r w:rsidRPr="00D75194" w:rsidR="01F38AD0">
        <w:rPr>
          <w:b/>
          <w:bCs/>
        </w:rPr>
        <w:t xml:space="preserve"> flexibility and responsiveness</w:t>
      </w:r>
      <w:r w:rsidRPr="00D75194" w:rsidR="01F38AD0">
        <w:t>.</w:t>
      </w:r>
      <w:r w:rsidRPr="00D75194" w:rsidR="539D0767">
        <w:t xml:space="preserve"> The introduction of the OF has further reinforced coherence by enabling CASA to build on previous UK support and </w:t>
      </w:r>
      <w:r w:rsidRPr="00D75194" w:rsidR="00B03D00">
        <w:t xml:space="preserve">to </w:t>
      </w:r>
      <w:r w:rsidRPr="00D75194" w:rsidR="539D0767">
        <w:t>fund organisations with established track records. Former recipients of CASA support have also transitioned into TP roles, deepening institutional memory and strengthening ties with supported groups.</w:t>
      </w:r>
      <w:r w:rsidRPr="00D75194" w:rsidR="00B4441B">
        <w:t xml:space="preserve"> </w:t>
      </w:r>
      <w:r w:rsidRPr="00D75194" w:rsidR="005E4456">
        <w:rPr>
          <w:b/>
          <w:bCs/>
        </w:rPr>
        <w:t>Long-term relationships with negotiating groups and country delegations have been sustained</w:t>
      </w:r>
      <w:r w:rsidRPr="00D75194" w:rsidR="005E4456">
        <w:t>, supported by continuity in funding and personnel. This has enabled TPs to build trust</w:t>
      </w:r>
      <w:r w:rsidRPr="00D75194" w:rsidR="008078C9">
        <w:t xml:space="preserve"> and strengthen capacity </w:t>
      </w:r>
      <w:r w:rsidRPr="00D75194" w:rsidR="00B50AFE">
        <w:t>within negotiating groups and delegations</w:t>
      </w:r>
      <w:r w:rsidRPr="00D75194" w:rsidR="005E4456">
        <w:t xml:space="preserve"> over time.</w:t>
      </w:r>
    </w:p>
    <w:p w:rsidRPr="00D75194" w:rsidR="00CD077F" w:rsidP="001E4B2C" w:rsidRDefault="00CD077F" w14:paraId="629E57E3" w14:textId="77777777">
      <w:pPr>
        <w:spacing w:after="0"/>
      </w:pPr>
    </w:p>
    <w:p w:rsidRPr="00D75194" w:rsidR="005E4456" w:rsidP="005E4456" w:rsidRDefault="005E4456" w14:paraId="244A195A" w14:textId="39159268">
      <w:r w:rsidRPr="00D75194">
        <w:t xml:space="preserve">While structured </w:t>
      </w:r>
      <w:r w:rsidRPr="00D75194" w:rsidR="00FB1570">
        <w:t>collaboration</w:t>
      </w:r>
      <w:r w:rsidRPr="00D75194">
        <w:t xml:space="preserve"> between TPs has varied, particularly since the transition from PwC’s management</w:t>
      </w:r>
      <w:r w:rsidRPr="00D75194" w:rsidR="00A64CAA">
        <w:t xml:space="preserve"> of CASA I</w:t>
      </w:r>
      <w:r w:rsidRPr="00D75194">
        <w:t xml:space="preserve">, collaboration often occurs organically through negotiation processes. Some </w:t>
      </w:r>
      <w:r w:rsidRPr="00D75194" w:rsidR="00D70412">
        <w:t xml:space="preserve">perceived </w:t>
      </w:r>
      <w:r w:rsidRPr="00D75194">
        <w:t xml:space="preserve">duplication and </w:t>
      </w:r>
      <w:r w:rsidRPr="00D75194" w:rsidR="00A979CF">
        <w:t>issues with</w:t>
      </w:r>
      <w:r w:rsidRPr="00D75194">
        <w:t xml:space="preserve"> collaboration have been noted, but the demand-led model helps mitigate these issues. Differences in how TPs present themselves</w:t>
      </w:r>
      <w:r w:rsidRPr="00D75194" w:rsidR="00B5032D">
        <w:t>—</w:t>
      </w:r>
      <w:r w:rsidRPr="00D75194">
        <w:t xml:space="preserve">some </w:t>
      </w:r>
      <w:r w:rsidRPr="00D75194" w:rsidR="00345211">
        <w:t xml:space="preserve">acting </w:t>
      </w:r>
      <w:r w:rsidRPr="00D75194">
        <w:t>under their own</w:t>
      </w:r>
      <w:r w:rsidRPr="00D75194" w:rsidR="00345211">
        <w:t xml:space="preserve"> organisational</w:t>
      </w:r>
      <w:r w:rsidRPr="00D75194">
        <w:t xml:space="preserve"> brands, others under the CASA identity</w:t>
      </w:r>
      <w:r w:rsidRPr="00D75194" w:rsidR="00B5032D">
        <w:t>—</w:t>
      </w:r>
      <w:r w:rsidRPr="00D75194">
        <w:t xml:space="preserve">may affect </w:t>
      </w:r>
      <w:r w:rsidRPr="00D75194" w:rsidR="002D3203">
        <w:t xml:space="preserve">the </w:t>
      </w:r>
      <w:r w:rsidRPr="00D75194">
        <w:t>visibility</w:t>
      </w:r>
      <w:r w:rsidRPr="00D75194" w:rsidR="007A6A37">
        <w:t xml:space="preserve"> of the programme</w:t>
      </w:r>
      <w:r w:rsidRPr="00D75194">
        <w:t>.</w:t>
      </w:r>
      <w:r w:rsidRPr="00D75194" w:rsidR="0061366A">
        <w:t xml:space="preserve"> </w:t>
      </w:r>
      <w:r w:rsidRPr="00D75194" w:rsidR="00B52EB8">
        <w:t>This has sometimes</w:t>
      </w:r>
      <w:r w:rsidRPr="00D75194" w:rsidR="004B1AC1">
        <w:t xml:space="preserve"> le</w:t>
      </w:r>
      <w:r w:rsidRPr="00D75194" w:rsidR="00B52EB8">
        <w:t>d</w:t>
      </w:r>
      <w:r w:rsidRPr="00D75194" w:rsidR="004B1AC1">
        <w:t xml:space="preserve"> to recipients of support being unaware of </w:t>
      </w:r>
      <w:r w:rsidRPr="00D75194" w:rsidR="007909EF">
        <w:t>the spread of CASA II’s offering and of other TPs they could recei</w:t>
      </w:r>
      <w:r w:rsidRPr="00D75194" w:rsidR="00FB1570">
        <w:t>ve support from</w:t>
      </w:r>
      <w:r w:rsidRPr="00D75194" w:rsidR="007019D8">
        <w:t xml:space="preserve">, </w:t>
      </w:r>
      <w:r w:rsidRPr="00D75194" w:rsidR="00795E27">
        <w:t>which</w:t>
      </w:r>
      <w:r w:rsidRPr="00D75194" w:rsidR="007019D8">
        <w:t xml:space="preserve"> may be balanced by the strategic need of the programme to </w:t>
      </w:r>
      <w:r w:rsidRPr="00D75194" w:rsidR="0034679A">
        <w:t>be viewed as independent from its donor</w:t>
      </w:r>
      <w:r w:rsidRPr="00D75194" w:rsidR="00FB1570">
        <w:t xml:space="preserve">. </w:t>
      </w:r>
    </w:p>
    <w:p w:rsidRPr="00D75194" w:rsidR="00083A6A" w:rsidP="002971EB" w:rsidRDefault="005E4456" w14:paraId="6162FCF4" w14:textId="5D8BED38">
      <w:r w:rsidRPr="00D75194">
        <w:rPr>
          <w:b/>
          <w:bCs/>
        </w:rPr>
        <w:t>Overall, CASA</w:t>
      </w:r>
      <w:r w:rsidRPr="00D75194" w:rsidR="00BD01AD">
        <w:rPr>
          <w:b/>
          <w:bCs/>
        </w:rPr>
        <w:t xml:space="preserve"> II’s</w:t>
      </w:r>
      <w:r w:rsidRPr="00D75194">
        <w:rPr>
          <w:b/>
          <w:bCs/>
        </w:rPr>
        <w:t xml:space="preserve"> evolution reflects a measured adaptation </w:t>
      </w:r>
      <w:r w:rsidRPr="00D75194">
        <w:t xml:space="preserve">that builds on </w:t>
      </w:r>
      <w:r w:rsidRPr="00D75194" w:rsidR="00443DC5">
        <w:t xml:space="preserve">the </w:t>
      </w:r>
      <w:r w:rsidRPr="00D75194">
        <w:t>foundations</w:t>
      </w:r>
      <w:r w:rsidRPr="00D75194" w:rsidR="002C08ED">
        <w:t xml:space="preserve"> of </w:t>
      </w:r>
      <w:r w:rsidRPr="00D75194" w:rsidR="00BD01AD">
        <w:t xml:space="preserve">predecessor </w:t>
      </w:r>
      <w:r w:rsidRPr="00D75194" w:rsidR="008C3A64">
        <w:t>programmes</w:t>
      </w:r>
      <w:r w:rsidRPr="00D75194" w:rsidR="00443DC5">
        <w:t xml:space="preserve"> (CDKN, </w:t>
      </w:r>
      <w:r w:rsidRPr="00D75194" w:rsidR="000320BA">
        <w:t xml:space="preserve">the </w:t>
      </w:r>
      <w:r w:rsidRPr="00D75194" w:rsidR="007D6325">
        <w:t>Negotiations Support Programme</w:t>
      </w:r>
      <w:r w:rsidRPr="00D75194" w:rsidR="00443DC5">
        <w:t>, CASA I)</w:t>
      </w:r>
      <w:r w:rsidRPr="00D75194">
        <w:t>, demonstrating coherence in both strategy</w:t>
      </w:r>
      <w:r w:rsidRPr="00D75194" w:rsidR="007A15E2">
        <w:t>,</w:t>
      </w:r>
      <w:r w:rsidRPr="00D75194">
        <w:t xml:space="preserve"> implementation</w:t>
      </w:r>
      <w:r w:rsidRPr="00D75194" w:rsidR="007A15E2">
        <w:t>, and objectives</w:t>
      </w:r>
      <w:r w:rsidRPr="00D75194">
        <w:t xml:space="preserve"> over time.</w:t>
      </w:r>
    </w:p>
    <w:p w:rsidRPr="00D75194" w:rsidR="00200FDB" w:rsidP="002971EB" w:rsidRDefault="00200FDB" w14:paraId="61B6EB7A" w14:textId="5C18541C">
      <w:pPr>
        <w:rPr>
          <w:b/>
          <w:bCs/>
          <w:i/>
          <w:iCs/>
        </w:rPr>
      </w:pPr>
      <w:r w:rsidRPr="00D75194">
        <w:rPr>
          <w:b/>
          <w:bCs/>
          <w:i/>
          <w:iCs/>
        </w:rPr>
        <w:t xml:space="preserve">Strength of </w:t>
      </w:r>
      <w:r w:rsidRPr="00D75194" w:rsidR="008D7EF5">
        <w:rPr>
          <w:b/>
          <w:bCs/>
          <w:i/>
          <w:iCs/>
        </w:rPr>
        <w:t xml:space="preserve">evidence </w:t>
      </w:r>
    </w:p>
    <w:p w:rsidRPr="00D75194" w:rsidR="00C722AC" w:rsidP="009973A1" w:rsidRDefault="00C722AC" w14:paraId="2F53B3CD" w14:textId="6B18BE42">
      <w:r w:rsidRPr="00D75194">
        <w:t xml:space="preserve">The overall strength of </w:t>
      </w:r>
      <w:r w:rsidRPr="00D75194" w:rsidR="008D7EF5">
        <w:t xml:space="preserve">the </w:t>
      </w:r>
      <w:r w:rsidRPr="00D75194">
        <w:t>evidence for this question is considered by the LEP team to be strong. A breakdown of this rating is presented below, with a description of the rating.</w:t>
      </w:r>
    </w:p>
    <w:p w:rsidRPr="00D75194" w:rsidR="00200FDB" w:rsidP="00200FDB" w:rsidRDefault="004047C5" w14:paraId="0EC12913" w14:textId="43D4F272">
      <w:pPr>
        <w:pStyle w:val="Caption"/>
        <w:keepNext/>
      </w:pPr>
      <w:bookmarkStart w:name="_Toc180599804" w:id="64"/>
      <w:bookmarkStart w:name="_Toc214452995" w:id="65"/>
      <w:r w:rsidRPr="00D75194">
        <w:t xml:space="preserve">Table </w:t>
      </w:r>
      <w:r w:rsidRPr="00D75194">
        <w:fldChar w:fldCharType="begin"/>
      </w:r>
      <w:r w:rsidRPr="00D75194">
        <w:instrText xml:space="preserve"> SEQ Table \* ARABIC </w:instrText>
      </w:r>
      <w:r w:rsidRPr="00D75194">
        <w:fldChar w:fldCharType="separate"/>
      </w:r>
      <w:r w:rsidRPr="00D75194" w:rsidR="004D7A82">
        <w:t>6</w:t>
      </w:r>
      <w:r w:rsidRPr="00D75194">
        <w:fldChar w:fldCharType="end"/>
      </w:r>
      <w:r w:rsidRPr="00D75194">
        <w:t xml:space="preserve">: </w:t>
      </w:r>
      <w:r w:rsidRPr="00D75194" w:rsidR="00200FDB">
        <w:t>Strength of evidence</w:t>
      </w:r>
      <w:r w:rsidRPr="00D75194" w:rsidR="00540632">
        <w:t>—</w:t>
      </w:r>
      <w:r w:rsidRPr="00D75194" w:rsidR="002971EB">
        <w:t>coherence</w:t>
      </w:r>
      <w:bookmarkEnd w:id="64"/>
      <w:bookmarkEnd w:id="65"/>
      <w:r w:rsidRPr="00D75194" w:rsidR="006B601D">
        <w:t xml:space="preserve"> </w:t>
      </w:r>
    </w:p>
    <w:tbl>
      <w:tblPr>
        <w:tblStyle w:val="TableGrid"/>
        <w:tblW w:w="0" w:type="auto"/>
        <w:tblLook w:val="04A0" w:firstRow="1" w:lastRow="0" w:firstColumn="1" w:lastColumn="0" w:noHBand="0" w:noVBand="1"/>
      </w:tblPr>
      <w:tblGrid>
        <w:gridCol w:w="985"/>
        <w:gridCol w:w="1530"/>
        <w:gridCol w:w="2160"/>
        <w:gridCol w:w="5130"/>
      </w:tblGrid>
      <w:tr w:rsidRPr="00D75194" w:rsidR="00200FDB" w:rsidTr="004047C5" w14:paraId="257D73E1" w14:textId="77777777">
        <w:trPr>
          <w:trHeight w:val="440"/>
        </w:trPr>
        <w:tc>
          <w:tcPr>
            <w:tcW w:w="985" w:type="dxa"/>
            <w:shd w:val="clear" w:color="auto" w:fill="D9D9D9" w:themeFill="background1" w:themeFillShade="D9"/>
            <w:vAlign w:val="center"/>
          </w:tcPr>
          <w:p w:rsidRPr="00D75194" w:rsidR="00200FDB" w:rsidRDefault="00200FDB" w14:paraId="23516A0A" w14:textId="77777777">
            <w:pPr>
              <w:rPr>
                <w:b/>
                <w:bCs/>
                <w:sz w:val="18"/>
                <w:szCs w:val="18"/>
              </w:rPr>
            </w:pPr>
            <w:r w:rsidRPr="00D75194">
              <w:rPr>
                <w:b/>
                <w:bCs/>
                <w:sz w:val="18"/>
                <w:szCs w:val="18"/>
              </w:rPr>
              <w:t>Rating</w:t>
            </w:r>
          </w:p>
        </w:tc>
        <w:tc>
          <w:tcPr>
            <w:tcW w:w="1530" w:type="dxa"/>
            <w:shd w:val="clear" w:color="auto" w:fill="D9D9D9" w:themeFill="background1" w:themeFillShade="D9"/>
            <w:vAlign w:val="center"/>
          </w:tcPr>
          <w:p w:rsidRPr="00D75194" w:rsidR="00200FDB" w:rsidRDefault="00200FDB" w14:paraId="055DB497" w14:textId="77777777">
            <w:pPr>
              <w:rPr>
                <w:b/>
                <w:bCs/>
                <w:sz w:val="18"/>
                <w:szCs w:val="18"/>
              </w:rPr>
            </w:pPr>
            <w:r w:rsidRPr="00D75194">
              <w:rPr>
                <w:b/>
                <w:bCs/>
                <w:sz w:val="18"/>
                <w:szCs w:val="18"/>
              </w:rPr>
              <w:t>Statement</w:t>
            </w:r>
          </w:p>
        </w:tc>
        <w:tc>
          <w:tcPr>
            <w:tcW w:w="2160" w:type="dxa"/>
            <w:shd w:val="clear" w:color="auto" w:fill="D9D9D9" w:themeFill="background1" w:themeFillShade="D9"/>
            <w:vAlign w:val="center"/>
          </w:tcPr>
          <w:p w:rsidRPr="00D75194" w:rsidR="00200FDB" w:rsidRDefault="00200FDB" w14:paraId="76E5A5BF" w14:textId="77777777">
            <w:pPr>
              <w:rPr>
                <w:b/>
                <w:bCs/>
                <w:sz w:val="18"/>
                <w:szCs w:val="18"/>
              </w:rPr>
            </w:pPr>
            <w:r w:rsidRPr="00D75194">
              <w:rPr>
                <w:b/>
                <w:bCs/>
                <w:sz w:val="18"/>
                <w:szCs w:val="18"/>
              </w:rPr>
              <w:t xml:space="preserve">Definition </w:t>
            </w:r>
          </w:p>
        </w:tc>
        <w:tc>
          <w:tcPr>
            <w:tcW w:w="5130" w:type="dxa"/>
            <w:shd w:val="clear" w:color="auto" w:fill="D9D9D9" w:themeFill="background1" w:themeFillShade="D9"/>
            <w:vAlign w:val="center"/>
          </w:tcPr>
          <w:p w:rsidRPr="00D75194" w:rsidR="00200FDB" w:rsidRDefault="00200FDB" w14:paraId="6314869F" w14:textId="6D12E6DF">
            <w:pPr>
              <w:rPr>
                <w:b/>
                <w:bCs/>
                <w:sz w:val="18"/>
                <w:szCs w:val="18"/>
              </w:rPr>
            </w:pPr>
            <w:r w:rsidRPr="00D75194">
              <w:rPr>
                <w:b/>
                <w:bCs/>
                <w:sz w:val="18"/>
                <w:szCs w:val="18"/>
              </w:rPr>
              <w:t>Description</w:t>
            </w:r>
            <w:r w:rsidRPr="00D75194" w:rsidR="006B601D">
              <w:rPr>
                <w:b/>
                <w:bCs/>
                <w:sz w:val="18"/>
                <w:szCs w:val="18"/>
              </w:rPr>
              <w:t xml:space="preserve"> </w:t>
            </w:r>
          </w:p>
        </w:tc>
      </w:tr>
      <w:tr w:rsidRPr="00D75194" w:rsidR="00B10C7F" w:rsidTr="004047C5" w14:paraId="1FC78844" w14:textId="77777777">
        <w:trPr>
          <w:trHeight w:val="2100"/>
        </w:trPr>
        <w:tc>
          <w:tcPr>
            <w:tcW w:w="985" w:type="dxa"/>
            <w:shd w:val="clear" w:color="auto" w:fill="00B050"/>
            <w:vAlign w:val="center"/>
          </w:tcPr>
          <w:p w:rsidRPr="00D75194" w:rsidR="00B10C7F" w:rsidP="008E2151" w:rsidRDefault="00C722AC" w14:paraId="58D34AB7" w14:textId="19243C01">
            <w:pPr>
              <w:jc w:val="left"/>
              <w:rPr>
                <w:b/>
                <w:bCs/>
                <w:sz w:val="18"/>
                <w:szCs w:val="18"/>
              </w:rPr>
            </w:pPr>
            <w:r w:rsidRPr="00D75194">
              <w:rPr>
                <w:b/>
                <w:bCs/>
                <w:sz w:val="18"/>
                <w:szCs w:val="18"/>
              </w:rPr>
              <w:t>Strong evidence</w:t>
            </w:r>
          </w:p>
        </w:tc>
        <w:tc>
          <w:tcPr>
            <w:tcW w:w="1530" w:type="dxa"/>
            <w:vAlign w:val="center"/>
          </w:tcPr>
          <w:p w:rsidRPr="00D75194" w:rsidR="00B10C7F" w:rsidP="008E2151" w:rsidRDefault="007157BC" w14:paraId="3CE62F5D" w14:textId="71053307">
            <w:pPr>
              <w:jc w:val="left"/>
              <w:rPr>
                <w:sz w:val="18"/>
                <w:szCs w:val="18"/>
              </w:rPr>
            </w:pPr>
            <w:r w:rsidRPr="00D75194">
              <w:rPr>
                <w:sz w:val="18"/>
                <w:szCs w:val="18"/>
              </w:rPr>
              <w:t>There is clear and corroborative evidence to make a judgement</w:t>
            </w:r>
          </w:p>
        </w:tc>
        <w:tc>
          <w:tcPr>
            <w:tcW w:w="2160" w:type="dxa"/>
            <w:vAlign w:val="center"/>
          </w:tcPr>
          <w:p w:rsidRPr="00D75194" w:rsidR="00B10C7F" w:rsidP="008E2151" w:rsidRDefault="00FD30B4" w14:paraId="65B3D74D" w14:textId="0B81FDE5">
            <w:pPr>
              <w:jc w:val="left"/>
              <w:rPr>
                <w:sz w:val="18"/>
                <w:szCs w:val="18"/>
              </w:rPr>
            </w:pPr>
            <w:r w:rsidRPr="00D75194">
              <w:rPr>
                <w:sz w:val="18"/>
                <w:szCs w:val="18"/>
              </w:rPr>
              <w:t xml:space="preserve">Evidence </w:t>
            </w:r>
            <w:r w:rsidRPr="00D75194" w:rsidR="006E1A15">
              <w:rPr>
                <w:sz w:val="18"/>
                <w:szCs w:val="18"/>
              </w:rPr>
              <w:t>can</w:t>
            </w:r>
            <w:r w:rsidRPr="00D75194">
              <w:rPr>
                <w:sz w:val="18"/>
                <w:szCs w:val="18"/>
              </w:rPr>
              <w:t xml:space="preserve"> be corroborated </w:t>
            </w:r>
            <w:r w:rsidRPr="00D75194" w:rsidR="001579D4">
              <w:rPr>
                <w:sz w:val="18"/>
                <w:szCs w:val="18"/>
              </w:rPr>
              <w:t xml:space="preserve">by </w:t>
            </w:r>
            <w:r w:rsidRPr="00D75194">
              <w:rPr>
                <w:sz w:val="18"/>
                <w:szCs w:val="18"/>
              </w:rPr>
              <w:t>monitoring data, programme documents, and primary data to support a judgement</w:t>
            </w:r>
          </w:p>
        </w:tc>
        <w:tc>
          <w:tcPr>
            <w:tcW w:w="5130" w:type="dxa"/>
            <w:vAlign w:val="center"/>
          </w:tcPr>
          <w:p w:rsidRPr="00D75194" w:rsidR="00B10C7F" w:rsidP="008E2151" w:rsidRDefault="009C7B07" w14:paraId="3F57A0FB" w14:textId="32FE8833">
            <w:pPr>
              <w:spacing w:after="0"/>
              <w:jc w:val="left"/>
              <w:rPr>
                <w:sz w:val="18"/>
                <w:szCs w:val="18"/>
              </w:rPr>
            </w:pPr>
            <w:r w:rsidRPr="00D75194">
              <w:rPr>
                <w:sz w:val="18"/>
                <w:szCs w:val="18"/>
              </w:rPr>
              <w:t xml:space="preserve">The LEP has gathered relevant data from programme documentation and KIIs, including with </w:t>
            </w:r>
            <w:r w:rsidRPr="00D75194" w:rsidR="00D045F4">
              <w:rPr>
                <w:sz w:val="18"/>
                <w:szCs w:val="18"/>
              </w:rPr>
              <w:t xml:space="preserve">CASA II delivery partners </w:t>
            </w:r>
            <w:r w:rsidRPr="00D75194" w:rsidR="000179BE">
              <w:rPr>
                <w:sz w:val="18"/>
                <w:szCs w:val="18"/>
              </w:rPr>
              <w:t>(n</w:t>
            </w:r>
            <w:r w:rsidRPr="00D75194" w:rsidR="004A28F9">
              <w:rPr>
                <w:sz w:val="18"/>
                <w:szCs w:val="18"/>
              </w:rPr>
              <w:t>=</w:t>
            </w:r>
            <w:r w:rsidRPr="00D75194" w:rsidR="00984C6A">
              <w:rPr>
                <w:sz w:val="18"/>
                <w:szCs w:val="18"/>
              </w:rPr>
              <w:t>27</w:t>
            </w:r>
            <w:r w:rsidRPr="00D75194" w:rsidR="000179BE">
              <w:rPr>
                <w:sz w:val="18"/>
                <w:szCs w:val="18"/>
              </w:rPr>
              <w:t>)</w:t>
            </w:r>
            <w:r w:rsidRPr="00D75194" w:rsidR="00376DE2">
              <w:rPr>
                <w:sz w:val="18"/>
                <w:szCs w:val="18"/>
              </w:rPr>
              <w:t xml:space="preserve"> and</w:t>
            </w:r>
            <w:r w:rsidRPr="00D75194" w:rsidR="000179BE">
              <w:rPr>
                <w:sz w:val="18"/>
                <w:szCs w:val="18"/>
              </w:rPr>
              <w:t xml:space="preserve"> </w:t>
            </w:r>
            <w:r w:rsidRPr="00D75194">
              <w:rPr>
                <w:sz w:val="18"/>
                <w:szCs w:val="18"/>
              </w:rPr>
              <w:t>CASA-supported negotiators (n=</w:t>
            </w:r>
            <w:r w:rsidRPr="00D75194" w:rsidR="00D045F4">
              <w:rPr>
                <w:sz w:val="18"/>
                <w:szCs w:val="18"/>
              </w:rPr>
              <w:t>19</w:t>
            </w:r>
            <w:r w:rsidRPr="00D75194">
              <w:rPr>
                <w:sz w:val="18"/>
                <w:szCs w:val="18"/>
              </w:rPr>
              <w:t>)</w:t>
            </w:r>
            <w:r w:rsidRPr="00D75194" w:rsidR="002D2323">
              <w:rPr>
                <w:rFonts w:eastAsia="Aptos" w:asciiTheme="minorHAnsi" w:hAnsiTheme="minorHAnsi" w:cstheme="minorHAnsi"/>
                <w:sz w:val="18"/>
                <w:szCs w:val="18"/>
              </w:rPr>
              <w:t xml:space="preserve">. The coding process </w:t>
            </w:r>
            <w:r w:rsidR="00496D03">
              <w:rPr>
                <w:rFonts w:eastAsia="Aptos" w:asciiTheme="minorHAnsi" w:hAnsiTheme="minorHAnsi" w:cstheme="minorHAnsi"/>
                <w:sz w:val="18"/>
                <w:szCs w:val="18"/>
              </w:rPr>
              <w:t>i</w:t>
            </w:r>
            <w:r w:rsidRPr="00D75194" w:rsidR="002D2323">
              <w:rPr>
                <w:rFonts w:eastAsia="Aptos" w:asciiTheme="minorHAnsi" w:hAnsiTheme="minorHAnsi" w:cstheme="minorHAnsi"/>
                <w:sz w:val="18"/>
                <w:szCs w:val="18"/>
              </w:rPr>
              <w:t>n MAXQDA resulted in over 112 codes allocated to coherence</w:t>
            </w:r>
            <w:r w:rsidRPr="00D75194" w:rsidR="00DE2BEF">
              <w:rPr>
                <w:rFonts w:eastAsia="Aptos" w:asciiTheme="minorHAnsi" w:hAnsiTheme="minorHAnsi" w:cstheme="minorHAnsi"/>
                <w:sz w:val="18"/>
                <w:szCs w:val="18"/>
              </w:rPr>
              <w:t>.</w:t>
            </w:r>
            <w:r w:rsidRPr="00D75194" w:rsidR="002D2323">
              <w:rPr>
                <w:sz w:val="18"/>
                <w:szCs w:val="18"/>
              </w:rPr>
              <w:t xml:space="preserve"> </w:t>
            </w:r>
            <w:r w:rsidRPr="00D75194" w:rsidR="001A6C07">
              <w:rPr>
                <w:sz w:val="18"/>
                <w:szCs w:val="18"/>
              </w:rPr>
              <w:t xml:space="preserve">The LEP was also able to </w:t>
            </w:r>
            <w:r w:rsidRPr="00D75194" w:rsidR="00303201">
              <w:rPr>
                <w:sz w:val="18"/>
                <w:szCs w:val="18"/>
              </w:rPr>
              <w:t xml:space="preserve">better </w:t>
            </w:r>
            <w:r w:rsidRPr="00D75194" w:rsidR="001A6C07">
              <w:rPr>
                <w:sz w:val="18"/>
                <w:szCs w:val="18"/>
              </w:rPr>
              <w:t xml:space="preserve">understand the </w:t>
            </w:r>
            <w:r w:rsidRPr="00D75194" w:rsidR="004B3903">
              <w:rPr>
                <w:sz w:val="18"/>
                <w:szCs w:val="18"/>
              </w:rPr>
              <w:t xml:space="preserve">dynamics between TPs through the </w:t>
            </w:r>
            <w:r w:rsidRPr="00D75194" w:rsidR="006543EE">
              <w:rPr>
                <w:sz w:val="18"/>
                <w:szCs w:val="18"/>
              </w:rPr>
              <w:t xml:space="preserve">case studies </w:t>
            </w:r>
            <w:r w:rsidRPr="00D75194" w:rsidR="00A151F3">
              <w:rPr>
                <w:sz w:val="18"/>
                <w:szCs w:val="18"/>
              </w:rPr>
              <w:t>and</w:t>
            </w:r>
            <w:r w:rsidRPr="00D75194">
              <w:rPr>
                <w:sz w:val="18"/>
                <w:szCs w:val="18"/>
              </w:rPr>
              <w:t xml:space="preserve"> programme documentation</w:t>
            </w:r>
            <w:r w:rsidRPr="00D75194" w:rsidR="00115F32">
              <w:rPr>
                <w:sz w:val="18"/>
                <w:szCs w:val="18"/>
              </w:rPr>
              <w:t>, which</w:t>
            </w:r>
            <w:r w:rsidRPr="00D75194">
              <w:rPr>
                <w:sz w:val="18"/>
                <w:szCs w:val="18"/>
              </w:rPr>
              <w:t xml:space="preserve"> provided clear and corroborative evidence</w:t>
            </w:r>
            <w:r w:rsidRPr="00D75194" w:rsidR="00A7078B">
              <w:rPr>
                <w:sz w:val="18"/>
                <w:szCs w:val="18"/>
              </w:rPr>
              <w:t xml:space="preserve"> on which</w:t>
            </w:r>
            <w:r w:rsidRPr="00D75194">
              <w:rPr>
                <w:sz w:val="18"/>
                <w:szCs w:val="18"/>
              </w:rPr>
              <w:t xml:space="preserve"> to make a judgement. </w:t>
            </w:r>
          </w:p>
        </w:tc>
      </w:tr>
    </w:tbl>
    <w:p w:rsidRPr="00D75194" w:rsidR="00157A8C" w:rsidP="001C4188" w:rsidRDefault="00157A8C" w14:paraId="767A91B9" w14:textId="28FD661D">
      <w:pPr>
        <w:pStyle w:val="Heading3"/>
        <w:numPr>
          <w:ilvl w:val="0"/>
          <w:numId w:val="0"/>
        </w:numPr>
        <w:ind w:left="851" w:hanging="851"/>
      </w:pPr>
      <w:bookmarkStart w:name="_Toc204259818" w:id="66"/>
      <w:r w:rsidRPr="00D75194">
        <w:t>EQ 2.1</w:t>
      </w:r>
      <w:r w:rsidRPr="00D75194" w:rsidR="00B56E8A">
        <w:t>:</w:t>
      </w:r>
      <w:r w:rsidRPr="00D75194">
        <w:t xml:space="preserve"> To what extent has CASA II remained consistent with its intended delivery model over time?</w:t>
      </w:r>
      <w:bookmarkEnd w:id="66"/>
    </w:p>
    <w:p w:rsidRPr="00D75194" w:rsidR="00065802" w:rsidP="008E2151" w:rsidRDefault="001C4188" w14:paraId="5B9CFA0E" w14:textId="354BC810">
      <w:pPr>
        <w:rPr>
          <w:b/>
          <w:bCs/>
        </w:rPr>
      </w:pPr>
      <w:r w:rsidRPr="00D75194">
        <w:rPr>
          <w:b/>
          <w:bCs/>
        </w:rPr>
        <w:br/>
      </w:r>
      <w:r w:rsidRPr="00D75194" w:rsidR="00E374C2">
        <w:rPr>
          <w:b/>
          <w:bCs/>
        </w:rPr>
        <w:t xml:space="preserve">CASA II has remained broadly consistent with its original delivery model, while also evolving to enhance its </w:t>
      </w:r>
      <w:r w:rsidRPr="00D75194" w:rsidR="001B4B6C">
        <w:rPr>
          <w:b/>
          <w:bCs/>
        </w:rPr>
        <w:t>reach</w:t>
      </w:r>
      <w:r w:rsidRPr="00D75194" w:rsidR="00E374C2">
        <w:rPr>
          <w:b/>
          <w:bCs/>
        </w:rPr>
        <w:t xml:space="preserve"> and relevance.</w:t>
      </w:r>
      <w:r w:rsidRPr="00D75194" w:rsidR="003C3C0A">
        <w:rPr>
          <w:b/>
          <w:bCs/>
        </w:rPr>
        <w:t xml:space="preserve"> </w:t>
      </w:r>
      <w:r w:rsidRPr="00D75194" w:rsidR="008C71F5">
        <w:t xml:space="preserve">As affirmed by the </w:t>
      </w:r>
      <w:r w:rsidRPr="00D75194" w:rsidR="00494461">
        <w:t>interim evaluation</w:t>
      </w:r>
      <w:r w:rsidRPr="00D75194" w:rsidR="008C71F5">
        <w:t>,</w:t>
      </w:r>
      <w:r w:rsidRPr="00D75194" w:rsidR="00434DF9">
        <w:t xml:space="preserve"> t</w:t>
      </w:r>
      <w:r w:rsidRPr="00D75194" w:rsidR="00065802">
        <w:t>he programme continues to provide demand-led, adaptive, and real-time support to climate-vulnerable country negotiating groups through TPs, maintaining the core principles established under CDKN and carried forward through CASA.</w:t>
      </w:r>
      <w:r w:rsidRPr="00D75194" w:rsidR="00B71182">
        <w:rPr>
          <w:b/>
          <w:bCs/>
        </w:rPr>
        <w:t xml:space="preserve"> </w:t>
      </w:r>
      <w:r w:rsidRPr="00D75194" w:rsidR="00065802">
        <w:t>Th</w:t>
      </w:r>
      <w:r w:rsidRPr="00D75194" w:rsidR="00EE35B6">
        <w:t>is</w:t>
      </w:r>
      <w:r w:rsidRPr="00D75194" w:rsidR="00065802">
        <w:t xml:space="preserve"> central objective</w:t>
      </w:r>
      <w:r w:rsidRPr="00D75194" w:rsidR="00EE35B6">
        <w:t xml:space="preserve"> of </w:t>
      </w:r>
      <w:r w:rsidRPr="00D75194" w:rsidR="00065802">
        <w:t xml:space="preserve">supporting negotiators from least developed and </w:t>
      </w:r>
      <w:r w:rsidRPr="00D75194" w:rsidR="0094689E">
        <w:t>climate</w:t>
      </w:r>
      <w:r w:rsidRPr="00D75194" w:rsidR="00166D3B">
        <w:t>-</w:t>
      </w:r>
      <w:r w:rsidRPr="00D75194" w:rsidR="00065802">
        <w:t>vulnerable countrie</w:t>
      </w:r>
      <w:r w:rsidRPr="00D75194" w:rsidR="00EE35B6">
        <w:t xml:space="preserve">s </w:t>
      </w:r>
      <w:r w:rsidRPr="00D75194" w:rsidR="00065802">
        <w:t xml:space="preserve">has remained </w:t>
      </w:r>
      <w:r w:rsidRPr="00D75194" w:rsidR="00D773C7">
        <w:t xml:space="preserve">relatively </w:t>
      </w:r>
      <w:r w:rsidRPr="00D75194" w:rsidR="00065802">
        <w:t>unchanged</w:t>
      </w:r>
      <w:r w:rsidRPr="00D75194" w:rsidR="00C849A8">
        <w:t xml:space="preserve"> since its inception under </w:t>
      </w:r>
      <w:r w:rsidRPr="00D75194" w:rsidR="00240468">
        <w:t>CDKN’s Advocacy Fund</w:t>
      </w:r>
      <w:r w:rsidRPr="00D75194" w:rsidR="005556BE">
        <w:t xml:space="preserve">, </w:t>
      </w:r>
      <w:r w:rsidRPr="00D75194" w:rsidR="00240468">
        <w:t>through</w:t>
      </w:r>
      <w:r w:rsidRPr="00D75194" w:rsidR="00166D3B">
        <w:t xml:space="preserve"> the</w:t>
      </w:r>
      <w:r w:rsidRPr="00D75194" w:rsidR="00240468">
        <w:t xml:space="preserve"> </w:t>
      </w:r>
      <w:r w:rsidRPr="00D75194" w:rsidR="007D6325">
        <w:t>Negotiations Support Programme</w:t>
      </w:r>
      <w:r w:rsidRPr="00D75194" w:rsidR="00240468">
        <w:t xml:space="preserve"> and CASA I</w:t>
      </w:r>
      <w:r w:rsidRPr="00D75194" w:rsidR="00987AD4">
        <w:t xml:space="preserve">, </w:t>
      </w:r>
      <w:r w:rsidRPr="00D75194" w:rsidR="00064883">
        <w:t xml:space="preserve">with CASA I </w:t>
      </w:r>
      <w:r w:rsidRPr="00D75194" w:rsidR="005556BE">
        <w:t xml:space="preserve">introducing </w:t>
      </w:r>
      <w:r w:rsidRPr="00D75194" w:rsidR="001C6A3F">
        <w:t xml:space="preserve">a </w:t>
      </w:r>
      <w:r w:rsidRPr="00D75194" w:rsidR="00F43B71">
        <w:t>focus</w:t>
      </w:r>
      <w:r w:rsidRPr="00D75194" w:rsidR="001C6A3F">
        <w:t xml:space="preserve"> on driving </w:t>
      </w:r>
      <w:r w:rsidRPr="00D75194" w:rsidR="00533D87">
        <w:t>ambitious outcomes</w:t>
      </w:r>
      <w:r w:rsidRPr="00D75194" w:rsidR="00344B56">
        <w:t>.</w:t>
      </w:r>
      <w:r w:rsidRPr="00D75194" w:rsidR="00E87913">
        <w:t xml:space="preserve"> CASA II </w:t>
      </w:r>
      <w:r w:rsidRPr="00D75194" w:rsidR="00362731">
        <w:t xml:space="preserve">builds on this </w:t>
      </w:r>
      <w:r w:rsidRPr="00D75194" w:rsidR="00F43B71">
        <w:t>foundation</w:t>
      </w:r>
      <w:r w:rsidRPr="00D75194" w:rsidR="001E5DA6">
        <w:t>,</w:t>
      </w:r>
      <w:r w:rsidRPr="00D75194" w:rsidR="00362731">
        <w:t xml:space="preserve"> with a</w:t>
      </w:r>
      <w:r w:rsidRPr="00D75194" w:rsidR="00E87913">
        <w:t xml:space="preserve"> greater emphasis on long-term institutional capacity building, South</w:t>
      </w:r>
      <w:r w:rsidRPr="00D75194" w:rsidR="00547D88">
        <w:t>–</w:t>
      </w:r>
      <w:r w:rsidRPr="00D75194" w:rsidR="00E87913">
        <w:t>South collaboration, and greater support for implementation of negotiation outcomes.</w:t>
      </w:r>
    </w:p>
    <w:p w:rsidRPr="00D75194" w:rsidR="00C722AC" w:rsidP="00C722AC" w:rsidRDefault="00C722AC" w14:paraId="49336735" w14:textId="454A2FA5">
      <w:r w:rsidRPr="00D75194">
        <w:rPr>
          <w:b/>
          <w:bCs/>
        </w:rPr>
        <w:t>This consistency has enabled the programme to sustain long-term relationships with key negotiating groups and country delegations.</w:t>
      </w:r>
      <w:r w:rsidRPr="00D75194">
        <w:t xml:space="preserve"> At the same time, CASA II has strategically evolved to enhance its flexibility and responsiveness. The introduction of the OF represents a deliberate extension of the delivery model, allowing more adaptive and context-specific support. The inclusion of new core TPs</w:t>
      </w:r>
      <w:r w:rsidRPr="00D75194" w:rsidR="7F41B276">
        <w:t>,</w:t>
      </w:r>
      <w:r w:rsidRPr="00D75194">
        <w:t xml:space="preserve"> such as CIES and ICCCAD</w:t>
      </w:r>
      <w:r w:rsidRPr="00D75194" w:rsidR="14DBF748">
        <w:t>,</w:t>
      </w:r>
      <w:r w:rsidRPr="00D75194">
        <w:t xml:space="preserve"> has expanded the programme’s scope, particularly by strengthening in-country capacity and presence—an element that was not central in the original model, but which is now seen as critical for sustained engagement and coordination with recipients</w:t>
      </w:r>
      <w:r w:rsidRPr="00D75194" w:rsidR="70D45BF4">
        <w:t xml:space="preserve"> of CASA support</w:t>
      </w:r>
      <w:r w:rsidRPr="00D75194">
        <w:t>.</w:t>
      </w:r>
    </w:p>
    <w:p w:rsidRPr="00D75194" w:rsidR="00C722AC" w:rsidP="00C722AC" w:rsidRDefault="00C722AC" w14:paraId="502F2579" w14:textId="57BBDADF">
      <w:r w:rsidRPr="00D75194">
        <w:rPr>
          <w:b/>
          <w:bCs/>
        </w:rPr>
        <w:t xml:space="preserve">The programme has also broadened its geographic and </w:t>
      </w:r>
      <w:r w:rsidRPr="00D75194" w:rsidR="76B92601">
        <w:rPr>
          <w:b/>
          <w:bCs/>
        </w:rPr>
        <w:t xml:space="preserve">organisational </w:t>
      </w:r>
      <w:r w:rsidRPr="00D75194">
        <w:rPr>
          <w:b/>
          <w:bCs/>
        </w:rPr>
        <w:t>reach.</w:t>
      </w:r>
      <w:r w:rsidRPr="00D75194">
        <w:t xml:space="preserve"> </w:t>
      </w:r>
      <w:r w:rsidRPr="00D75194" w:rsidR="004B7008">
        <w:t>While p</w:t>
      </w:r>
      <w:r w:rsidRPr="00D75194" w:rsidR="00262B60">
        <w:t>redecessor</w:t>
      </w:r>
      <w:r w:rsidRPr="00D75194" w:rsidR="008E1CE1">
        <w:t xml:space="preserve"> programmes </w:t>
      </w:r>
      <w:r w:rsidRPr="00D75194" w:rsidR="00BC62E5">
        <w:t>focused on the LDC group, AOSIS, and the HAC</w:t>
      </w:r>
      <w:r w:rsidRPr="00D75194" w:rsidR="00246311">
        <w:t xml:space="preserve">, </w:t>
      </w:r>
      <w:r w:rsidRPr="00D75194">
        <w:t xml:space="preserve">the integration of AILAC through CIES </w:t>
      </w:r>
      <w:r w:rsidRPr="00D75194" w:rsidR="00F1111E">
        <w:t xml:space="preserve">during CASA II </w:t>
      </w:r>
      <w:r w:rsidRPr="00D75194">
        <w:t xml:space="preserve">has extended CASA’s footprint in Latin America, </w:t>
      </w:r>
      <w:r w:rsidRPr="00D75194" w:rsidR="004B7008">
        <w:t xml:space="preserve">and </w:t>
      </w:r>
      <w:r w:rsidRPr="00D75194">
        <w:t xml:space="preserve">ICCCAD’s work with LDC-based </w:t>
      </w:r>
      <w:r w:rsidRPr="00D75194" w:rsidR="00DA4A94">
        <w:t xml:space="preserve">civil society organisations </w:t>
      </w:r>
      <w:r w:rsidRPr="00D75194">
        <w:t xml:space="preserve">and </w:t>
      </w:r>
      <w:r w:rsidRPr="00D75194" w:rsidR="00DA4A94">
        <w:t xml:space="preserve">non-government organisations </w:t>
      </w:r>
      <w:r w:rsidRPr="00D75194">
        <w:t>has diversified the types of actors benefit</w:t>
      </w:r>
      <w:r w:rsidRPr="00D75194" w:rsidR="00F705D5">
        <w:t>ting</w:t>
      </w:r>
      <w:r w:rsidRPr="00D75194">
        <w:t xml:space="preserve"> from CASA support</w:t>
      </w:r>
      <w:r w:rsidRPr="00D75194" w:rsidR="00DE7C5E">
        <w:t>,</w:t>
      </w:r>
      <w:r w:rsidRPr="00D75194">
        <w:t xml:space="preserve"> beyond negotiators alone.</w:t>
      </w:r>
    </w:p>
    <w:p w:rsidRPr="00D75194" w:rsidR="00157A8C" w:rsidP="5F9F429A" w:rsidRDefault="00C722AC" w14:paraId="2A76361C" w14:textId="0AE47C12">
      <w:pPr>
        <w:rPr>
          <w:i/>
          <w:iCs/>
        </w:rPr>
      </w:pPr>
      <w:r w:rsidRPr="00D75194">
        <w:rPr>
          <w:b/>
          <w:bCs/>
        </w:rPr>
        <w:t xml:space="preserve">These shifts reflect a measured </w:t>
      </w:r>
      <w:r w:rsidRPr="00D75194" w:rsidR="001B047A">
        <w:rPr>
          <w:b/>
          <w:bCs/>
        </w:rPr>
        <w:t xml:space="preserve">extension </w:t>
      </w:r>
      <w:r w:rsidRPr="00D75194">
        <w:rPr>
          <w:b/>
          <w:bCs/>
        </w:rPr>
        <w:t>of the delivery model, rather than a departure from it</w:t>
      </w:r>
      <w:r w:rsidRPr="00496D03" w:rsidR="006A71DF">
        <w:t>,</w:t>
      </w:r>
      <w:r w:rsidRPr="00D75194" w:rsidR="00C72CD7">
        <w:t xml:space="preserve"> maintaining the programme's objectives of supporting </w:t>
      </w:r>
      <w:r w:rsidRPr="00D75194" w:rsidR="00DE2BEF">
        <w:t>G</w:t>
      </w:r>
      <w:r w:rsidRPr="00D75194" w:rsidR="00C72CD7">
        <w:t xml:space="preserve">lobal </w:t>
      </w:r>
      <w:r w:rsidRPr="00D75194" w:rsidR="00DE2BEF">
        <w:t>S</w:t>
      </w:r>
      <w:r w:rsidRPr="00D75194" w:rsidR="00C72CD7">
        <w:t>outh negotiators and ambitious negotiation outcomes.</w:t>
      </w:r>
      <w:r w:rsidRPr="00D75194">
        <w:t xml:space="preserve"> Multiple stakeholders noted that such adaptations</w:t>
      </w:r>
      <w:r w:rsidRPr="00D75194" w:rsidR="005E6F96">
        <w:t xml:space="preserve">, </w:t>
      </w:r>
      <w:r w:rsidRPr="00D75194">
        <w:t>particularly greater collaboration with Global South partners</w:t>
      </w:r>
      <w:r w:rsidRPr="00D75194" w:rsidR="5587F4B5">
        <w:t>,</w:t>
      </w:r>
      <w:r w:rsidRPr="00D75194">
        <w:t xml:space="preserve"> such as ICCCAD and other OF TPs</w:t>
      </w:r>
      <w:r w:rsidRPr="00D75194" w:rsidR="005E6F96">
        <w:t>,</w:t>
      </w:r>
      <w:r w:rsidRPr="00D75194" w:rsidR="00A115E5">
        <w:t xml:space="preserve"> </w:t>
      </w:r>
      <w:r w:rsidRPr="00D75194">
        <w:t xml:space="preserve">could further enhance CASA’s impact. As one </w:t>
      </w:r>
      <w:r w:rsidRPr="00D75194" w:rsidR="00361C1F">
        <w:t>CASA-supported individual</w:t>
      </w:r>
      <w:r w:rsidRPr="00D75194">
        <w:t xml:space="preserve"> </w:t>
      </w:r>
      <w:r w:rsidRPr="00D75194" w:rsidR="005E6F96">
        <w:t>noted</w:t>
      </w:r>
      <w:r w:rsidRPr="00D75194">
        <w:t xml:space="preserve">, </w:t>
      </w:r>
      <w:r w:rsidRPr="00D75194">
        <w:rPr>
          <w:i/>
          <w:iCs/>
        </w:rPr>
        <w:t xml:space="preserve">“In-country </w:t>
      </w:r>
      <w:r w:rsidRPr="00D75194" w:rsidR="00686557">
        <w:rPr>
          <w:i/>
          <w:iCs/>
        </w:rPr>
        <w:t xml:space="preserve">organisations </w:t>
      </w:r>
      <w:r w:rsidRPr="00D75194">
        <w:rPr>
          <w:i/>
          <w:iCs/>
        </w:rPr>
        <w:t xml:space="preserve">could benefit just from being part of the CASA consortium… it could be a good way of connecting the </w:t>
      </w:r>
      <w:r w:rsidRPr="00D75194" w:rsidR="00686557">
        <w:rPr>
          <w:i/>
          <w:iCs/>
        </w:rPr>
        <w:t>G</w:t>
      </w:r>
      <w:r w:rsidRPr="00D75194">
        <w:rPr>
          <w:i/>
          <w:iCs/>
        </w:rPr>
        <w:t xml:space="preserve">lobal </w:t>
      </w:r>
      <w:r w:rsidRPr="00D75194" w:rsidR="00686557">
        <w:rPr>
          <w:i/>
          <w:iCs/>
        </w:rPr>
        <w:t>N</w:t>
      </w:r>
      <w:r w:rsidRPr="00D75194">
        <w:rPr>
          <w:i/>
          <w:iCs/>
        </w:rPr>
        <w:t xml:space="preserve">orth and the </w:t>
      </w:r>
      <w:r w:rsidRPr="00D75194" w:rsidR="00686557">
        <w:rPr>
          <w:i/>
          <w:iCs/>
        </w:rPr>
        <w:t>G</w:t>
      </w:r>
      <w:r w:rsidRPr="00D75194">
        <w:rPr>
          <w:i/>
          <w:iCs/>
        </w:rPr>
        <w:t xml:space="preserve">lobal </w:t>
      </w:r>
      <w:r w:rsidRPr="00D75194" w:rsidR="00686557">
        <w:rPr>
          <w:i/>
          <w:iCs/>
        </w:rPr>
        <w:t>S</w:t>
      </w:r>
      <w:r w:rsidRPr="00D75194">
        <w:rPr>
          <w:i/>
          <w:iCs/>
        </w:rPr>
        <w:t>outh and increasing impact that way.”</w:t>
      </w:r>
    </w:p>
    <w:p w:rsidRPr="00D75194" w:rsidR="00157A8C" w:rsidP="001C4188" w:rsidRDefault="00157A8C" w14:paraId="5BE66717" w14:textId="7A786D24">
      <w:pPr>
        <w:pStyle w:val="Heading3"/>
        <w:numPr>
          <w:ilvl w:val="0"/>
          <w:numId w:val="0"/>
        </w:numPr>
      </w:pPr>
      <w:bookmarkStart w:name="_Toc204259819" w:id="67"/>
      <w:r w:rsidRPr="00D75194">
        <w:t>EQ 2.2</w:t>
      </w:r>
      <w:r w:rsidRPr="00D75194" w:rsidR="00B56E8A">
        <w:t>:</w:t>
      </w:r>
      <w:r w:rsidRPr="00D75194">
        <w:t xml:space="preserve"> To what extent is CASA II perceived to have integrated and built on the results of previous UK support?</w:t>
      </w:r>
      <w:bookmarkEnd w:id="67"/>
      <w:r w:rsidRPr="00D75194" w:rsidR="006B601D">
        <w:t xml:space="preserve"> </w:t>
      </w:r>
    </w:p>
    <w:p w:rsidRPr="00D75194" w:rsidR="00215CBF" w:rsidP="00B9611C" w:rsidRDefault="001C4188" w14:paraId="53A95F6A" w14:textId="26891872">
      <w:r w:rsidRPr="00D75194">
        <w:rPr>
          <w:b/>
          <w:bCs/>
        </w:rPr>
        <w:br/>
      </w:r>
      <w:r w:rsidRPr="00D75194" w:rsidR="00C27336">
        <w:rPr>
          <w:b/>
          <w:bCs/>
        </w:rPr>
        <w:t>CASA II is widely perceived to have effectively built on the foundations of previous UK support, maintaining continuity</w:t>
      </w:r>
      <w:r w:rsidRPr="00D75194" w:rsidR="00161733">
        <w:rPr>
          <w:b/>
          <w:bCs/>
        </w:rPr>
        <w:t xml:space="preserve"> </w:t>
      </w:r>
      <w:r w:rsidRPr="00D75194" w:rsidR="00AB75C8">
        <w:rPr>
          <w:b/>
          <w:bCs/>
        </w:rPr>
        <w:t>and</w:t>
      </w:r>
      <w:r w:rsidRPr="00D75194" w:rsidR="00161733">
        <w:rPr>
          <w:b/>
          <w:bCs/>
        </w:rPr>
        <w:t xml:space="preserve"> </w:t>
      </w:r>
      <w:r w:rsidRPr="00D75194" w:rsidR="00AB75C8">
        <w:rPr>
          <w:b/>
          <w:bCs/>
        </w:rPr>
        <w:t>strengthening</w:t>
      </w:r>
      <w:r w:rsidRPr="00D75194" w:rsidR="00161733">
        <w:rPr>
          <w:b/>
          <w:bCs/>
        </w:rPr>
        <w:t xml:space="preserve"> </w:t>
      </w:r>
      <w:r w:rsidRPr="00D75194" w:rsidR="00AB75C8">
        <w:rPr>
          <w:b/>
          <w:bCs/>
        </w:rPr>
        <w:t>relationships</w:t>
      </w:r>
      <w:r w:rsidRPr="00D75194" w:rsidR="00C27336">
        <w:rPr>
          <w:b/>
          <w:bCs/>
        </w:rPr>
        <w:t>.</w:t>
      </w:r>
      <w:r w:rsidRPr="00D75194" w:rsidR="008732AE">
        <w:t xml:space="preserve"> </w:t>
      </w:r>
      <w:r w:rsidRPr="00D75194" w:rsidR="00BA7990">
        <w:t>T</w:t>
      </w:r>
      <w:r w:rsidRPr="00D75194" w:rsidR="00ED26B8">
        <w:t xml:space="preserve">he coherence across time of CASA TPs has built strong trust-based relationships, which in turn has enabled the achievements documented in this report. Many of the </w:t>
      </w:r>
      <w:r w:rsidRPr="00D75194" w:rsidR="005224A1">
        <w:t xml:space="preserve">eight </w:t>
      </w:r>
      <w:r w:rsidRPr="00D75194" w:rsidR="00ED26B8">
        <w:t>core TPs</w:t>
      </w:r>
      <w:r w:rsidRPr="00D75194" w:rsidR="006E64A1">
        <w:rPr>
          <w:rStyle w:val="FootnoteReference"/>
        </w:rPr>
        <w:footnoteReference w:id="10"/>
      </w:r>
      <w:r w:rsidRPr="00D75194" w:rsidR="00ED26B8">
        <w:t xml:space="preserve"> have received continued funding from the UK </w:t>
      </w:r>
      <w:r w:rsidRPr="00D75194" w:rsidR="007364EA">
        <w:t xml:space="preserve">Government </w:t>
      </w:r>
      <w:r w:rsidRPr="00D75194" w:rsidR="00ED26B8">
        <w:t>since CDKN</w:t>
      </w:r>
      <w:r w:rsidRPr="00D75194" w:rsidR="65BEE3C6">
        <w:t>.</w:t>
      </w:r>
      <w:r w:rsidRPr="00D75194" w:rsidR="00ED26B8">
        <w:t xml:space="preserve"> </w:t>
      </w:r>
      <w:r w:rsidRPr="00D75194" w:rsidR="41F22182">
        <w:t>T</w:t>
      </w:r>
      <w:r w:rsidRPr="00D75194" w:rsidR="00ED26B8">
        <w:t xml:space="preserve">his continued presence </w:t>
      </w:r>
      <w:r w:rsidRPr="00D75194" w:rsidR="2238ACA7">
        <w:t xml:space="preserve">of the TPs </w:t>
      </w:r>
      <w:r w:rsidRPr="00D75194" w:rsidR="00ED26B8">
        <w:t xml:space="preserve">has </w:t>
      </w:r>
      <w:r w:rsidRPr="00D75194" w:rsidR="00463BE4">
        <w:t xml:space="preserve">given </w:t>
      </w:r>
      <w:r w:rsidRPr="00D75194" w:rsidR="00ED26B8">
        <w:t>them the opportunity to build and strengthen relationships with recipient individual negotiators, country delegations</w:t>
      </w:r>
      <w:r w:rsidRPr="00D75194" w:rsidR="38561829">
        <w:t>,</w:t>
      </w:r>
      <w:r w:rsidRPr="00D75194" w:rsidR="00ED26B8">
        <w:t xml:space="preserve"> and negotiating groups across the board</w:t>
      </w:r>
      <w:r w:rsidRPr="00D75194" w:rsidR="1D4EB60E">
        <w:t xml:space="preserve"> and over a significant amount of time</w:t>
      </w:r>
      <w:r w:rsidRPr="00D75194" w:rsidR="00ED26B8">
        <w:t xml:space="preserve">. </w:t>
      </w:r>
      <w:r w:rsidRPr="00D75194" w:rsidR="00BF03CE">
        <w:t>High</w:t>
      </w:r>
      <w:r w:rsidRPr="00D75194" w:rsidR="001A6BD6">
        <w:t xml:space="preserve"> </w:t>
      </w:r>
      <w:r w:rsidRPr="00D75194" w:rsidR="00186A35">
        <w:t>turnover within both TP organisations and supported groups can pose risks to continuity</w:t>
      </w:r>
      <w:r w:rsidRPr="00D75194" w:rsidR="00FA1E19">
        <w:t xml:space="preserve"> of strong relationships</w:t>
      </w:r>
      <w:r w:rsidRPr="00D75194" w:rsidR="00186A35">
        <w:t xml:space="preserve">, </w:t>
      </w:r>
      <w:r w:rsidRPr="00D75194" w:rsidR="002A3C19">
        <w:t xml:space="preserve">with one </w:t>
      </w:r>
      <w:r w:rsidRPr="00D75194" w:rsidR="00D0445D">
        <w:t>CASA-</w:t>
      </w:r>
      <w:r w:rsidRPr="00D75194" w:rsidR="002A3C19">
        <w:t xml:space="preserve">supported person stating that </w:t>
      </w:r>
      <w:r w:rsidRPr="00D75194" w:rsidR="00DA6515">
        <w:t>frequent personnel</w:t>
      </w:r>
      <w:r w:rsidRPr="00D75194" w:rsidR="002A3C19">
        <w:t xml:space="preserve"> </w:t>
      </w:r>
      <w:r w:rsidRPr="00D75194" w:rsidR="00DA6515">
        <w:t>changes</w:t>
      </w:r>
      <w:r w:rsidRPr="00D75194" w:rsidR="002A3C19">
        <w:t xml:space="preserve"> can </w:t>
      </w:r>
      <w:r w:rsidRPr="00D75194" w:rsidR="008107A8">
        <w:t xml:space="preserve">make it </w:t>
      </w:r>
      <w:r w:rsidRPr="00D75194" w:rsidR="008107A8">
        <w:rPr>
          <w:i/>
          <w:iCs/>
        </w:rPr>
        <w:t xml:space="preserve">“difficult to </w:t>
      </w:r>
      <w:r w:rsidRPr="00D75194" w:rsidR="005311E2">
        <w:rPr>
          <w:i/>
          <w:iCs/>
        </w:rPr>
        <w:t xml:space="preserve">effect </w:t>
      </w:r>
      <w:r w:rsidRPr="00D75194" w:rsidR="008107A8">
        <w:rPr>
          <w:i/>
          <w:iCs/>
        </w:rPr>
        <w:t>any kind of permanent or real change”</w:t>
      </w:r>
      <w:r w:rsidRPr="00D75194" w:rsidR="008107A8">
        <w:t xml:space="preserve">. </w:t>
      </w:r>
    </w:p>
    <w:p w:rsidRPr="00D75194" w:rsidR="00ED26B8" w:rsidP="4227A7AC" w:rsidRDefault="008107A8" w14:paraId="4C1ECD94" w14:textId="77C3F7AC">
      <w:pPr>
        <w:rPr>
          <w:i/>
          <w:iCs/>
        </w:rPr>
      </w:pPr>
      <w:r>
        <w:t xml:space="preserve">However, </w:t>
      </w:r>
      <w:r w:rsidRPr="4227A7AC">
        <w:rPr>
          <w:b/>
          <w:bCs/>
        </w:rPr>
        <w:t>C</w:t>
      </w:r>
      <w:r w:rsidRPr="4227A7AC" w:rsidR="00186A35">
        <w:rPr>
          <w:b/>
          <w:bCs/>
        </w:rPr>
        <w:t xml:space="preserve">ASA II has </w:t>
      </w:r>
      <w:r w:rsidRPr="4227A7AC" w:rsidR="001C5823">
        <w:rPr>
          <w:b/>
          <w:bCs/>
        </w:rPr>
        <w:t xml:space="preserve">been able to </w:t>
      </w:r>
      <w:r w:rsidRPr="4227A7AC" w:rsidR="00186A35">
        <w:rPr>
          <w:b/>
          <w:bCs/>
        </w:rPr>
        <w:t xml:space="preserve">maintain and even expand its </w:t>
      </w:r>
      <w:r w:rsidRPr="4227A7AC" w:rsidR="00A55E6A">
        <w:rPr>
          <w:b/>
          <w:bCs/>
        </w:rPr>
        <w:t>reach</w:t>
      </w:r>
      <w:r w:rsidRPr="4227A7AC" w:rsidR="00186A35">
        <w:rPr>
          <w:b/>
          <w:bCs/>
        </w:rPr>
        <w:t xml:space="preserve"> through transitions.</w:t>
      </w:r>
      <w:r w:rsidR="00186A35">
        <w:t xml:space="preserve"> For example, in 2023, Pascale Bird succeeded Christopher Schwartz as Director of LRI</w:t>
      </w:r>
      <w:r w:rsidR="00FE1F63">
        <w:t>,</w:t>
      </w:r>
      <w:r w:rsidR="00186A35">
        <w:t xml:space="preserve"> after more than a decade of leadership. Despite this change, LRI has continued to receive a growing number of support requests from long</w:t>
      </w:r>
      <w:r w:rsidR="00F705D5">
        <w:t>standing</w:t>
      </w:r>
      <w:r w:rsidR="00186A35">
        <w:t xml:space="preserve"> country delegations. Moreover, newer team members</w:t>
      </w:r>
      <w:r w:rsidR="00B9452D">
        <w:t xml:space="preserve"> h</w:t>
      </w:r>
      <w:r w:rsidR="00186A35">
        <w:t>ave helped broaden LRI’s engagement</w:t>
      </w:r>
      <w:r w:rsidR="005A7F4D">
        <w:t>—</w:t>
      </w:r>
      <w:r w:rsidR="00FC089D">
        <w:t xml:space="preserve">extending </w:t>
      </w:r>
      <w:r w:rsidR="001C5823">
        <w:t xml:space="preserve">the </w:t>
      </w:r>
      <w:r w:rsidR="00FC089D">
        <w:t>reach</w:t>
      </w:r>
      <w:r w:rsidR="00186A35">
        <w:t xml:space="preserve"> of support</w:t>
      </w:r>
      <w:r w:rsidR="005A7F4D">
        <w:t>—</w:t>
      </w:r>
      <w:r w:rsidR="00B00502">
        <w:t>such as</w:t>
      </w:r>
      <w:r w:rsidR="00186A35">
        <w:t xml:space="preserve"> with the Chilean delegation</w:t>
      </w:r>
      <w:r w:rsidR="001F2855">
        <w:t>,</w:t>
      </w:r>
      <w:r w:rsidR="00B00502">
        <w:t xml:space="preserve"> which has helped facilitate cooperation with AILAC</w:t>
      </w:r>
      <w:r w:rsidR="00186A35">
        <w:t>.</w:t>
      </w:r>
      <w:r w:rsidR="00B53301">
        <w:t xml:space="preserve"> </w:t>
      </w:r>
      <w:r w:rsidR="00ED26B8">
        <w:t xml:space="preserve">These </w:t>
      </w:r>
      <w:r w:rsidR="00ED26B8">
        <w:t>trust-based relationships have encouraged supported parties to continue seeking assistance</w:t>
      </w:r>
      <w:r w:rsidR="0ED830FF">
        <w:t>, enabling</w:t>
      </w:r>
      <w:r w:rsidR="00ED26B8">
        <w:t xml:space="preserve"> them to feel comfortable requesting a broader range of support. As a CASA-supported individual noted, </w:t>
      </w:r>
      <w:r w:rsidRPr="4227A7AC" w:rsidR="00ED26B8">
        <w:rPr>
          <w:i/>
          <w:iCs/>
        </w:rPr>
        <w:t>“Since this training [in 2021], I have been supported and I’m still supported</w:t>
      </w:r>
      <w:r w:rsidRPr="4227A7AC" w:rsidR="001E4380">
        <w:rPr>
          <w:i/>
          <w:iCs/>
        </w:rPr>
        <w:t>—</w:t>
      </w:r>
      <w:r w:rsidRPr="4227A7AC" w:rsidR="00E646E1">
        <w:rPr>
          <w:i/>
          <w:iCs/>
        </w:rPr>
        <w:t xml:space="preserve">I even introduced </w:t>
      </w:r>
      <w:r w:rsidRPr="4227A7AC" w:rsidR="00655BAB">
        <w:rPr>
          <w:i/>
          <w:iCs/>
        </w:rPr>
        <w:t>[TP</w:t>
      </w:r>
      <w:r w:rsidRPr="4227A7AC" w:rsidR="00066D5A">
        <w:rPr>
          <w:i/>
          <w:iCs/>
        </w:rPr>
        <w:t>s</w:t>
      </w:r>
      <w:r w:rsidRPr="4227A7AC" w:rsidR="00655BAB">
        <w:rPr>
          <w:i/>
          <w:iCs/>
        </w:rPr>
        <w:t>]</w:t>
      </w:r>
      <w:r w:rsidRPr="4227A7AC" w:rsidR="00E646E1">
        <w:rPr>
          <w:i/>
          <w:iCs/>
        </w:rPr>
        <w:t xml:space="preserve"> to my bosses and said to them, </w:t>
      </w:r>
      <w:r w:rsidRPr="4227A7AC" w:rsidR="007E0453">
        <w:rPr>
          <w:i/>
          <w:iCs/>
        </w:rPr>
        <w:t>‘</w:t>
      </w:r>
      <w:r w:rsidRPr="4227A7AC" w:rsidR="00E646E1">
        <w:rPr>
          <w:i/>
          <w:iCs/>
        </w:rPr>
        <w:t>this is the group that supports us when you ask for something</w:t>
      </w:r>
      <w:r w:rsidRPr="4227A7AC" w:rsidR="007E0453">
        <w:rPr>
          <w:i/>
          <w:iCs/>
        </w:rPr>
        <w:t>’”.</w:t>
      </w:r>
    </w:p>
    <w:p w:rsidRPr="00D75194" w:rsidR="00ED26B8" w:rsidP="00B9611C" w:rsidRDefault="00ED26B8" w14:paraId="54C18194" w14:textId="59A4D360">
      <w:r w:rsidRPr="00D75194">
        <w:rPr>
          <w:b/>
          <w:bCs/>
        </w:rPr>
        <w:t>This history of support to negotiat</w:t>
      </w:r>
      <w:r w:rsidRPr="00D75194" w:rsidR="000543F3">
        <w:rPr>
          <w:b/>
          <w:bCs/>
        </w:rPr>
        <w:t>ors</w:t>
      </w:r>
      <w:r w:rsidRPr="00D75194">
        <w:rPr>
          <w:b/>
          <w:bCs/>
        </w:rPr>
        <w:t xml:space="preserve"> has also played a key role in strengthening institutional knowledge, expertise, and understanding within negotiating groups.</w:t>
      </w:r>
      <w:r w:rsidRPr="00D75194">
        <w:t xml:space="preserve"> </w:t>
      </w:r>
      <w:r w:rsidRPr="00D75194" w:rsidR="00D26E12">
        <w:t xml:space="preserve">Sustained </w:t>
      </w:r>
      <w:r w:rsidRPr="00D75194">
        <w:t xml:space="preserve">technical support provided to </w:t>
      </w:r>
      <w:r w:rsidRPr="00D75194" w:rsidR="00156AB1">
        <w:t xml:space="preserve">negotiating groups </w:t>
      </w:r>
      <w:r w:rsidRPr="00D75194" w:rsidR="00755570">
        <w:t xml:space="preserve">and countries </w:t>
      </w:r>
      <w:r w:rsidRPr="00D75194" w:rsidR="00D26E12">
        <w:t>has resulted in strengthened capacity and an increase in ownership by CASA-supported people. E</w:t>
      </w:r>
      <w:r w:rsidRPr="00D75194" w:rsidR="003C2394">
        <w:t xml:space="preserve">xamples of this include </w:t>
      </w:r>
      <w:r w:rsidRPr="00D75194" w:rsidR="00755570">
        <w:t xml:space="preserve">RMI, </w:t>
      </w:r>
      <w:r w:rsidRPr="00D75194">
        <w:t xml:space="preserve">the LDC group, </w:t>
      </w:r>
      <w:r w:rsidRPr="00D75194" w:rsidR="00755570">
        <w:t xml:space="preserve">and </w:t>
      </w:r>
      <w:r w:rsidRPr="00D75194">
        <w:t>AOSIS</w:t>
      </w:r>
      <w:r w:rsidRPr="00D75194" w:rsidR="00755570">
        <w:t>.</w:t>
      </w:r>
      <w:r w:rsidRPr="00D75194">
        <w:t xml:space="preserve"> </w:t>
      </w:r>
      <w:r w:rsidRPr="00D75194" w:rsidR="00AB244F">
        <w:t xml:space="preserve">This has </w:t>
      </w:r>
      <w:r w:rsidRPr="00D75194">
        <w:t>creat</w:t>
      </w:r>
      <w:r w:rsidRPr="00D75194" w:rsidR="00AB244F">
        <w:t>ed</w:t>
      </w:r>
      <w:r w:rsidRPr="00D75194">
        <w:t xml:space="preserve"> an </w:t>
      </w:r>
      <w:r w:rsidRPr="00D75194">
        <w:rPr>
          <w:i/>
        </w:rPr>
        <w:t>“environment of proactive leadership</w:t>
      </w:r>
      <w:r w:rsidRPr="00D75194">
        <w:t>”</w:t>
      </w:r>
      <w:r w:rsidRPr="00D75194" w:rsidR="00A6221F">
        <w:t>, as noted by o</w:t>
      </w:r>
      <w:r w:rsidRPr="00D75194" w:rsidR="006177CF">
        <w:t xml:space="preserve">ne of CASA’s </w:t>
      </w:r>
      <w:r w:rsidRPr="00D75194" w:rsidR="00330145">
        <w:t>TPs</w:t>
      </w:r>
      <w:r w:rsidRPr="00D75194">
        <w:t xml:space="preserve">. For example, the long-term support </w:t>
      </w:r>
      <w:r w:rsidRPr="00D75194" w:rsidR="00494461">
        <w:t>Independent Diplomat</w:t>
      </w:r>
      <w:r w:rsidRPr="00D75194">
        <w:t xml:space="preserve"> has provided to RMI has </w:t>
      </w:r>
      <w:r w:rsidRPr="00D75194" w:rsidR="3ADAB5BF">
        <w:t>enabled</w:t>
      </w:r>
      <w:r w:rsidRPr="00D75194">
        <w:t xml:space="preserve"> RMI negotiators</w:t>
      </w:r>
      <w:r w:rsidRPr="00D75194" w:rsidR="0080237B">
        <w:t xml:space="preserve"> to take</w:t>
      </w:r>
      <w:r w:rsidRPr="00D75194">
        <w:t xml:space="preserve"> the lead</w:t>
      </w:r>
      <w:r w:rsidRPr="00D75194" w:rsidR="0045671A">
        <w:t xml:space="preserve"> during negotiations</w:t>
      </w:r>
      <w:r w:rsidRPr="00D75194">
        <w:t xml:space="preserve">, while </w:t>
      </w:r>
      <w:r w:rsidRPr="00D75194" w:rsidR="00494461">
        <w:t>Independent Diplomat</w:t>
      </w:r>
      <w:r w:rsidRPr="00D75194">
        <w:t xml:space="preserve">’s role has evolved from representing RMI at negotiations to providing more behind-the-scenes administrative, strategic, and logistical support. </w:t>
      </w:r>
    </w:p>
    <w:p w:rsidRPr="00D75194" w:rsidR="00ED26B8" w:rsidP="00B9611C" w:rsidRDefault="00ED26B8" w14:paraId="51ED5627" w14:textId="234DF480">
      <w:r w:rsidRPr="00D75194">
        <w:rPr>
          <w:b/>
          <w:bCs/>
        </w:rPr>
        <w:t>Long-term funding allows TPs to plan for extended strategic support, building on past achievements.</w:t>
      </w:r>
      <w:r w:rsidRPr="00D75194">
        <w:t xml:space="preserve"> As one TP stated, </w:t>
      </w:r>
      <w:r w:rsidRPr="00D75194">
        <w:rPr>
          <w:i/>
        </w:rPr>
        <w:t>“The value comes from consistency. If we work for two years then get cut off, we are wasting money if we then start working again. Continuity saves money”</w:t>
      </w:r>
      <w:r w:rsidRPr="00D75194">
        <w:t xml:space="preserve">. Echoing the findings of the </w:t>
      </w:r>
      <w:r w:rsidRPr="00D75194" w:rsidR="00494461">
        <w:t>interim evaluation</w:t>
      </w:r>
      <w:r w:rsidRPr="00D75194">
        <w:t>, multiple</w:t>
      </w:r>
      <w:r w:rsidRPr="00D75194" w:rsidR="004414F4">
        <w:t xml:space="preserve"> </w:t>
      </w:r>
      <w:r w:rsidRPr="00D75194">
        <w:t>recipient</w:t>
      </w:r>
      <w:r w:rsidRPr="00D75194" w:rsidR="00F62942">
        <w:t>s</w:t>
      </w:r>
      <w:r w:rsidRPr="00D75194">
        <w:t xml:space="preserve"> of CASA support </w:t>
      </w:r>
      <w:r w:rsidRPr="00D75194" w:rsidR="436D49DE">
        <w:t xml:space="preserve">state </w:t>
      </w:r>
      <w:r w:rsidRPr="00D75194">
        <w:t xml:space="preserve">that </w:t>
      </w:r>
      <w:r w:rsidRPr="00D75194">
        <w:rPr>
          <w:b/>
          <w:bCs/>
        </w:rPr>
        <w:t xml:space="preserve">the continuity of </w:t>
      </w:r>
      <w:r w:rsidRPr="00D75194" w:rsidR="00B50AFE">
        <w:rPr>
          <w:b/>
          <w:bCs/>
        </w:rPr>
        <w:t xml:space="preserve">support </w:t>
      </w:r>
      <w:r w:rsidRPr="00D75194">
        <w:rPr>
          <w:b/>
          <w:bCs/>
        </w:rPr>
        <w:t>has been one of its greatest strengths</w:t>
      </w:r>
      <w:r w:rsidRPr="00D75194">
        <w:t>. These strong relationships between TPs and recipients of support, and the coherence over time</w:t>
      </w:r>
      <w:r w:rsidRPr="00D75194" w:rsidR="0A74FEBA">
        <w:t>,</w:t>
      </w:r>
      <w:r w:rsidRPr="00D75194">
        <w:t xml:space="preserve"> has been one of the key successes of the programme. </w:t>
      </w:r>
    </w:p>
    <w:p w:rsidRPr="00D75194" w:rsidR="00ED26B8" w:rsidP="00B9611C" w:rsidRDefault="00ED26B8" w14:paraId="6C179A09" w14:textId="54025D4E">
      <w:r w:rsidRPr="00D75194">
        <w:rPr>
          <w:b/>
          <w:bCs/>
        </w:rPr>
        <w:t xml:space="preserve">The </w:t>
      </w:r>
      <w:r w:rsidRPr="00D75194" w:rsidR="00277236">
        <w:rPr>
          <w:b/>
          <w:bCs/>
        </w:rPr>
        <w:t>OF</w:t>
      </w:r>
      <w:r w:rsidRPr="00D75194">
        <w:rPr>
          <w:b/>
          <w:bCs/>
        </w:rPr>
        <w:t xml:space="preserve"> has served as a mechanism for building on previous UK support and enhancing programme cohesion.</w:t>
      </w:r>
      <w:r w:rsidRPr="00D75194" w:rsidR="004414F4">
        <w:t xml:space="preserve"> </w:t>
      </w:r>
      <w:r w:rsidRPr="00D75194">
        <w:t xml:space="preserve">Through the OF selection process, CASA </w:t>
      </w:r>
      <w:r w:rsidRPr="00D75194" w:rsidR="0061573B">
        <w:t xml:space="preserve">has been </w:t>
      </w:r>
      <w:r w:rsidRPr="00D75194">
        <w:t>able to strategically choose and fund organisations with an existing track record, capitalising on their momentum and allowing them to build on pre-existing relationships and past results. This has occurred through CASA II’s selection of OF grantees</w:t>
      </w:r>
      <w:r w:rsidRPr="00D75194" w:rsidR="00495651">
        <w:t>,</w:t>
      </w:r>
      <w:r w:rsidRPr="00D75194">
        <w:t xml:space="preserve"> such as OPM, </w:t>
      </w:r>
      <w:r w:rsidRPr="00D75194" w:rsidR="00690A66">
        <w:t>Practical Action</w:t>
      </w:r>
      <w:r w:rsidRPr="00D75194">
        <w:t xml:space="preserve">, ECARDS, </w:t>
      </w:r>
      <w:r w:rsidRPr="00D75194" w:rsidR="008F3F57">
        <w:t xml:space="preserve">the </w:t>
      </w:r>
      <w:r w:rsidRPr="00D75194">
        <w:t xml:space="preserve">PRI, </w:t>
      </w:r>
      <w:r w:rsidRPr="00D75194" w:rsidR="008F3F57">
        <w:t xml:space="preserve">the </w:t>
      </w:r>
      <w:r w:rsidRPr="00D75194">
        <w:t>CLI, and the</w:t>
      </w:r>
      <w:r w:rsidRPr="00D75194" w:rsidR="00B57ED2">
        <w:t xml:space="preserve"> Loss and Damage Collaboration</w:t>
      </w:r>
      <w:r w:rsidRPr="00D75194">
        <w:t xml:space="preserve">. These organisations are often able to contribute to CASA II objectives by adding value to core TP initiatives. For example, </w:t>
      </w:r>
      <w:r w:rsidRPr="00D75194" w:rsidR="008F3F57">
        <w:t xml:space="preserve">the </w:t>
      </w:r>
      <w:r w:rsidRPr="00D75194">
        <w:t xml:space="preserve">CLI and </w:t>
      </w:r>
      <w:r w:rsidRPr="00D75194" w:rsidR="00CF46CD">
        <w:t>Loss and Damage Collaboration</w:t>
      </w:r>
      <w:r w:rsidRPr="00D75194">
        <w:t xml:space="preserve">’s </w:t>
      </w:r>
      <w:r w:rsidRPr="00D75194" w:rsidR="00B57ED2">
        <w:t xml:space="preserve">joint OF </w:t>
      </w:r>
      <w:r w:rsidRPr="00D75194">
        <w:t>programme was designed to complement existing initiatives supporting the LDC group.</w:t>
      </w:r>
      <w:r w:rsidRPr="00D75194" w:rsidR="0084431F">
        <w:t xml:space="preserve"> </w:t>
      </w:r>
    </w:p>
    <w:p w:rsidRPr="00D75194" w:rsidR="00826EF8" w:rsidP="000F1654" w:rsidRDefault="00ED26B8" w14:paraId="7DC15E40" w14:textId="24DB62E3">
      <w:r w:rsidRPr="00D75194">
        <w:t>Similarly, the progression of former recipients of CASA support to joining TP teams highlights how individuals have been capacitated to support their negotiating groups and country delegations in new, impactful ways. Several TPs</w:t>
      </w:r>
      <w:r w:rsidR="002120E6">
        <w:t xml:space="preserve"> </w:t>
      </w:r>
      <w:r w:rsidRPr="00D75194">
        <w:t xml:space="preserve">have reported </w:t>
      </w:r>
      <w:r w:rsidRPr="00D75194" w:rsidR="762097FA">
        <w:t>that</w:t>
      </w:r>
      <w:r w:rsidRPr="00D75194">
        <w:t xml:space="preserve"> former recipients of CASA support have gone on to join TP teams. This often also gives TPs further insight into the groups they are </w:t>
      </w:r>
      <w:r w:rsidRPr="00D75194" w:rsidR="00284B92">
        <w:t>supporting and</w:t>
      </w:r>
      <w:r w:rsidRPr="00D75194">
        <w:t xml:space="preserve"> further strengthens relationships with the supported group or delegation.</w:t>
      </w:r>
    </w:p>
    <w:p w:rsidRPr="00D75194" w:rsidR="007465EE" w:rsidP="001C4188" w:rsidRDefault="00157A8C" w14:paraId="7514C084" w14:textId="615A297F">
      <w:pPr>
        <w:pStyle w:val="Heading3"/>
        <w:numPr>
          <w:ilvl w:val="0"/>
          <w:numId w:val="0"/>
        </w:numPr>
      </w:pPr>
      <w:bookmarkStart w:name="_Toc204259820" w:id="68"/>
      <w:r w:rsidRPr="00D75194">
        <w:t>EQ</w:t>
      </w:r>
      <w:r w:rsidRPr="00D75194" w:rsidR="00B56E8A">
        <w:t xml:space="preserve"> 2.3: To what extent has coherence between </w:t>
      </w:r>
      <w:r w:rsidRPr="00D75194" w:rsidR="00690A66">
        <w:t>TP</w:t>
      </w:r>
      <w:r w:rsidRPr="00D75194" w:rsidR="00B56E8A">
        <w:t>s added value in their support to a particular negotiating group?</w:t>
      </w:r>
      <w:bookmarkEnd w:id="68"/>
    </w:p>
    <w:p w:rsidRPr="00D75194" w:rsidR="002822A4" w:rsidP="00B9611C" w:rsidRDefault="001C4188" w14:paraId="0F0BD853" w14:textId="2EB3FDBD">
      <w:r>
        <w:br/>
      </w:r>
      <w:r w:rsidRPr="3838E143" w:rsidR="00CC0875">
        <w:rPr>
          <w:b/>
          <w:bCs/>
        </w:rPr>
        <w:t>The level of collaboration</w:t>
      </w:r>
      <w:r w:rsidRPr="3838E143" w:rsidR="002D0FE3">
        <w:rPr>
          <w:b/>
          <w:bCs/>
        </w:rPr>
        <w:t xml:space="preserve"> and coordination</w:t>
      </w:r>
      <w:r w:rsidRPr="3838E143" w:rsidR="00CC0875">
        <w:rPr>
          <w:b/>
          <w:bCs/>
        </w:rPr>
        <w:t xml:space="preserve"> between TPs under CASA is variable.</w:t>
      </w:r>
      <w:r w:rsidR="00CC0875">
        <w:t xml:space="preserve"> Among those supporting the LDC Group, co</w:t>
      </w:r>
      <w:r w:rsidR="00A145B5">
        <w:t>llaboration</w:t>
      </w:r>
      <w:r w:rsidR="008853B9">
        <w:t xml:space="preserve"> </w:t>
      </w:r>
      <w:r w:rsidR="00CC0875">
        <w:t xml:space="preserve">is reported to be generally </w:t>
      </w:r>
      <w:r w:rsidR="004C118D">
        <w:t>effective and</w:t>
      </w:r>
      <w:r w:rsidR="00CC0875">
        <w:t xml:space="preserve"> works particularly well where organisations have designated counterparts for specific thematic areas. </w:t>
      </w:r>
      <w:r w:rsidR="00510891">
        <w:t xml:space="preserve">One CASA-supported individual who receives support from two TPs noted </w:t>
      </w:r>
      <w:r w:rsidR="00EB423B">
        <w:t>the</w:t>
      </w:r>
      <w:r w:rsidR="00510891">
        <w:t xml:space="preserve"> </w:t>
      </w:r>
      <w:r w:rsidR="00636E96">
        <w:t xml:space="preserve">value of receiving support from multiple </w:t>
      </w:r>
      <w:r w:rsidR="004C118D">
        <w:t>TPs and</w:t>
      </w:r>
      <w:r w:rsidR="00636E96">
        <w:t xml:space="preserve"> </w:t>
      </w:r>
      <w:r w:rsidR="00510891">
        <w:t>stated</w:t>
      </w:r>
      <w:r w:rsidR="00B830FF">
        <w:t xml:space="preserve"> that</w:t>
      </w:r>
      <w:r w:rsidR="00510891">
        <w:t xml:space="preserve"> </w:t>
      </w:r>
      <w:r w:rsidRPr="3838E143" w:rsidR="00510891">
        <w:rPr>
          <w:i/>
          <w:iCs/>
        </w:rPr>
        <w:t>“</w:t>
      </w:r>
      <w:r w:rsidRPr="3838E143" w:rsidR="00B830FF">
        <w:rPr>
          <w:i/>
          <w:iCs/>
        </w:rPr>
        <w:t>E</w:t>
      </w:r>
      <w:r w:rsidRPr="3838E143" w:rsidR="00510891">
        <w:rPr>
          <w:i/>
          <w:iCs/>
        </w:rPr>
        <w:t>ach</w:t>
      </w:r>
      <w:r w:rsidRPr="3838E143" w:rsidR="00B830FF">
        <w:rPr>
          <w:i/>
          <w:iCs/>
        </w:rPr>
        <w:t>…</w:t>
      </w:r>
      <w:r w:rsidRPr="3838E143" w:rsidR="00510891">
        <w:rPr>
          <w:i/>
          <w:iCs/>
        </w:rPr>
        <w:t>brings different strengths, and together we complement one another depending on what the work requires”</w:t>
      </w:r>
      <w:r w:rsidR="00510891">
        <w:t xml:space="preserve">. </w:t>
      </w:r>
      <w:r w:rsidR="0084431F">
        <w:t>Certain OF TPs also have prior relationships with core TPs</w:t>
      </w:r>
      <w:r w:rsidR="006461E6">
        <w:t>,</w:t>
      </w:r>
      <w:r w:rsidR="00A115E5">
        <w:t xml:space="preserve"> </w:t>
      </w:r>
      <w:r w:rsidR="0084431F">
        <w:t>both through prior collaboration between organisations</w:t>
      </w:r>
      <w:r w:rsidR="58CAD27B">
        <w:t xml:space="preserve">, </w:t>
      </w:r>
      <w:r w:rsidR="0084431F">
        <w:t>and through individuals who were previous employees or recipients of core TP support</w:t>
      </w:r>
      <w:r w:rsidR="00095613">
        <w:t xml:space="preserve">, which has helped </w:t>
      </w:r>
      <w:r w:rsidR="7E3C0D49">
        <w:t xml:space="preserve">with </w:t>
      </w:r>
      <w:r w:rsidR="00095613">
        <w:t>co-ordination</w:t>
      </w:r>
      <w:r w:rsidR="0084431F">
        <w:t xml:space="preserve">. </w:t>
      </w:r>
      <w:r w:rsidR="00CC0875">
        <w:t xml:space="preserve">However, </w:t>
      </w:r>
      <w:r w:rsidR="007450E3">
        <w:t>there was</w:t>
      </w:r>
      <w:r w:rsidR="00721993">
        <w:t xml:space="preserve"> </w:t>
      </w:r>
      <w:r w:rsidR="00060CB7">
        <w:t>one report</w:t>
      </w:r>
      <w:r w:rsidR="00B35CB1">
        <w:t xml:space="preserve"> of</w:t>
      </w:r>
      <w:r w:rsidR="004759BA">
        <w:t xml:space="preserve"> </w:t>
      </w:r>
      <w:r w:rsidR="00BC134D">
        <w:t>i</w:t>
      </w:r>
      <w:r w:rsidR="00E259D5">
        <w:t>ssues with collaboration, in which poorly managed dynamics were perceived to have contributed to power imbalances</w:t>
      </w:r>
      <w:r w:rsidR="00B35CB1">
        <w:t xml:space="preserve">, </w:t>
      </w:r>
      <w:r w:rsidR="00E335CD">
        <w:t>such as</w:t>
      </w:r>
      <w:r w:rsidR="00813426">
        <w:t xml:space="preserve"> </w:t>
      </w:r>
      <w:r w:rsidR="0065275E">
        <w:t>instances of restricted access to information or negotiation positions</w:t>
      </w:r>
      <w:r w:rsidR="00D25520">
        <w:t xml:space="preserve"> when supporting the same negotiating group</w:t>
      </w:r>
      <w:r w:rsidR="0065275E">
        <w:t>, and control over messaging</w:t>
      </w:r>
      <w:r w:rsidR="00CC0875">
        <w:t xml:space="preserve">. </w:t>
      </w:r>
    </w:p>
    <w:p w:rsidRPr="00D75194" w:rsidR="00621ED7" w:rsidP="00B9611C" w:rsidRDefault="009741BA" w14:paraId="38BE2AEF" w14:textId="72C8A8AF">
      <w:r>
        <w:t>While the workplan</w:t>
      </w:r>
      <w:r w:rsidR="00B42ADE">
        <w:t>s</w:t>
      </w:r>
      <w:r>
        <w:t xml:space="preserve"> recognise the need to align with existing LDC-focused initiatives, </w:t>
      </w:r>
      <w:r w:rsidRPr="00B21FA3" w:rsidR="00B21FA3">
        <w:rPr>
          <w:b/>
          <w:bCs/>
        </w:rPr>
        <w:t>c</w:t>
      </w:r>
      <w:r w:rsidRPr="526F8465">
        <w:rPr>
          <w:b/>
          <w:bCs/>
        </w:rPr>
        <w:t>oordination among TPs remains largely informal and relationship-driven.</w:t>
      </w:r>
      <w:r>
        <w:t xml:space="preserve"> </w:t>
      </w:r>
      <w:r w:rsidR="00E82B23">
        <w:t xml:space="preserve">For example, </w:t>
      </w:r>
      <w:r w:rsidR="00494461">
        <w:t xml:space="preserve">Climate Analytics </w:t>
      </w:r>
      <w:r w:rsidR="00E82B23">
        <w:t>and IIED maintain regular contact, though this is often through informal conversations rather than structured mechanisms</w:t>
      </w:r>
      <w:r w:rsidR="00705BDE">
        <w:t>,</w:t>
      </w:r>
      <w:r w:rsidR="00EA5743">
        <w:t xml:space="preserve"> </w:t>
      </w:r>
      <w:r>
        <w:t>and collaboration tends to peak during negotiations but becomes ad hoc at other times.</w:t>
      </w:r>
      <w:r w:rsidR="00EA5743">
        <w:t xml:space="preserve"> </w:t>
      </w:r>
      <w:r>
        <w:t xml:space="preserve">As </w:t>
      </w:r>
      <w:r w:rsidR="00494461">
        <w:t xml:space="preserve">Climate Analytics’ </w:t>
      </w:r>
      <w:r>
        <w:t>team and thematic scope have grown, some roles have become blurred, occasionally overlapping with IIED’s responsibilities</w:t>
      </w:r>
      <w:r w:rsidR="00420AEA">
        <w:t xml:space="preserve">, </w:t>
      </w:r>
      <w:r w:rsidR="00095E45">
        <w:t>resulting in some perceived duplication of</w:t>
      </w:r>
      <w:r w:rsidR="00B2357F">
        <w:t xml:space="preserve"> the</w:t>
      </w:r>
      <w:r w:rsidR="00095E45">
        <w:t xml:space="preserve"> support offered, though this was reported to have improved in recent months due to increased effectiveness of the </w:t>
      </w:r>
      <w:r w:rsidR="004C09F4">
        <w:t xml:space="preserve">chair’s </w:t>
      </w:r>
      <w:r w:rsidR="00095E45">
        <w:t>team in clarifying and communicating the various roles and responsibilities of TP</w:t>
      </w:r>
      <w:r w:rsidR="0062663E">
        <w:t>s</w:t>
      </w:r>
      <w:r w:rsidR="00420AEA">
        <w:t xml:space="preserve">. </w:t>
      </w:r>
      <w:r>
        <w:t xml:space="preserve">The demand-led model </w:t>
      </w:r>
      <w:r w:rsidR="00420AEA">
        <w:t>does</w:t>
      </w:r>
      <w:r>
        <w:t xml:space="preserve"> help mitigate this, as one CASA-supported individual noted: </w:t>
      </w:r>
      <w:r w:rsidRPr="526F8465">
        <w:rPr>
          <w:i/>
          <w:iCs/>
        </w:rPr>
        <w:t>“If you have support from another partner, you won’t [ask for the same support], you say what is missing</w:t>
      </w:r>
      <w:r>
        <w:t>.”</w:t>
      </w:r>
    </w:p>
    <w:p w:rsidRPr="00D75194" w:rsidR="00D64E83" w:rsidP="00B9611C" w:rsidRDefault="00D64E83" w14:paraId="10E604A2" w14:textId="555BF62D">
      <w:pPr>
        <w:rPr>
          <w:i/>
          <w:iCs/>
        </w:rPr>
      </w:pPr>
      <w:r w:rsidRPr="00D75194">
        <w:t xml:space="preserve">Moreover, evidence suggests that structured coordination between TPs has declined since the transition from PwC’s management of the programme, with reduced visibility </w:t>
      </w:r>
      <w:r w:rsidR="00BC134D">
        <w:t>between</w:t>
      </w:r>
      <w:r w:rsidRPr="00D75194" w:rsidR="006370CB">
        <w:t xml:space="preserve"> </w:t>
      </w:r>
      <w:r w:rsidRPr="00D75194" w:rsidR="00650F0D">
        <w:t>TP</w:t>
      </w:r>
      <w:r w:rsidRPr="00D75194" w:rsidR="006370CB">
        <w:t>s of other TPs’</w:t>
      </w:r>
      <w:r w:rsidRPr="00D75194">
        <w:t xml:space="preserve"> activities. One OF TP reported that there was no structured follow-up after initial introductions to core TPs</w:t>
      </w:r>
      <w:r w:rsidRPr="00D75194" w:rsidR="0051041B">
        <w:t>;</w:t>
      </w:r>
      <w:r w:rsidRPr="00D75194" w:rsidR="00F30E4C">
        <w:t xml:space="preserve"> however, </w:t>
      </w:r>
      <w:r w:rsidRPr="00D75194" w:rsidR="004A4715">
        <w:t>this is not unexpected given the nature</w:t>
      </w:r>
      <w:r w:rsidRPr="00D75194" w:rsidR="00012352">
        <w:t xml:space="preserve"> of the OF</w:t>
      </w:r>
      <w:r w:rsidRPr="00D75194">
        <w:t xml:space="preserve">. </w:t>
      </w:r>
      <w:r w:rsidRPr="00D75194" w:rsidR="006C005E">
        <w:t xml:space="preserve">Echoing findings </w:t>
      </w:r>
      <w:r w:rsidRPr="00D75194">
        <w:t>from the</w:t>
      </w:r>
      <w:r w:rsidRPr="00D75194" w:rsidR="00F26FD1">
        <w:t xml:space="preserve"> </w:t>
      </w:r>
      <w:r w:rsidRPr="00D75194" w:rsidR="00494461">
        <w:t>interim evaluation</w:t>
      </w:r>
      <w:r w:rsidRPr="00D75194" w:rsidR="006C005E">
        <w:t>,</w:t>
      </w:r>
      <w:r w:rsidRPr="00D75194">
        <w:t xml:space="preserve"> </w:t>
      </w:r>
      <w:r w:rsidRPr="00D75194" w:rsidR="00722A66">
        <w:t xml:space="preserve">KIIs with TPs </w:t>
      </w:r>
      <w:r w:rsidRPr="00D75194">
        <w:t>suggest that formal collaboration</w:t>
      </w:r>
      <w:r w:rsidRPr="00D75194" w:rsidR="00864EA3">
        <w:t>,</w:t>
      </w:r>
      <w:r w:rsidRPr="00D75194" w:rsidR="00050CF7">
        <w:t xml:space="preserve"> pushed by DAI</w:t>
      </w:r>
      <w:r w:rsidRPr="00D75194" w:rsidR="00864EA3">
        <w:t>,</w:t>
      </w:r>
      <w:r w:rsidRPr="00D75194" w:rsidR="00050CF7">
        <w:t xml:space="preserve"> </w:t>
      </w:r>
      <w:r w:rsidRPr="00D75194">
        <w:t>may be counterproductive</w:t>
      </w:r>
      <w:r w:rsidRPr="00D75194" w:rsidR="00864EA3">
        <w:t xml:space="preserve"> and should be led by TPs when necessary.</w:t>
      </w:r>
      <w:r w:rsidRPr="00D75194">
        <w:t xml:space="preserve"> </w:t>
      </w:r>
      <w:r w:rsidRPr="00D75194" w:rsidR="00864EA3">
        <w:t xml:space="preserve">Both TPs and </w:t>
      </w:r>
      <w:r w:rsidRPr="00D75194" w:rsidR="00841C0C">
        <w:t>CASA-supported individuals</w:t>
      </w:r>
      <w:r w:rsidRPr="00D75194" w:rsidR="00864EA3">
        <w:t xml:space="preserve"> </w:t>
      </w:r>
      <w:r w:rsidRPr="00D75194">
        <w:t>noted that TPs are often brought together organically through the negotiation process itself. As one CASA-supported individual put it</w:t>
      </w:r>
      <w:r w:rsidRPr="00D75194" w:rsidR="006370CB">
        <w:t>:</w:t>
      </w:r>
      <w:r w:rsidRPr="00D75194">
        <w:rPr>
          <w:i/>
          <w:iCs/>
        </w:rPr>
        <w:t xml:space="preserve"> “Organisations in this space tend to know each other and know about what the other is doing, so there is already a lot of awareness.”</w:t>
      </w:r>
      <w:r w:rsidRPr="00D75194">
        <w:t xml:space="preserve"> Another TP added</w:t>
      </w:r>
      <w:r w:rsidRPr="00D75194" w:rsidR="00A939C2">
        <w:t>:</w:t>
      </w:r>
      <w:r w:rsidRPr="00D75194">
        <w:t xml:space="preserve"> </w:t>
      </w:r>
      <w:r w:rsidRPr="00D75194">
        <w:rPr>
          <w:i/>
          <w:iCs/>
        </w:rPr>
        <w:t>“They are already being brought together through negotiations...</w:t>
      </w:r>
      <w:r w:rsidRPr="00D75194" w:rsidR="003F34D7">
        <w:rPr>
          <w:i/>
          <w:iCs/>
        </w:rPr>
        <w:t xml:space="preserve"> </w:t>
      </w:r>
      <w:r w:rsidRPr="00D75194">
        <w:rPr>
          <w:i/>
          <w:iCs/>
        </w:rPr>
        <w:t xml:space="preserve">Everyone works together </w:t>
      </w:r>
      <w:proofErr w:type="gramStart"/>
      <w:r w:rsidRPr="00D75194">
        <w:rPr>
          <w:i/>
          <w:iCs/>
        </w:rPr>
        <w:t>really well</w:t>
      </w:r>
      <w:proofErr w:type="gramEnd"/>
      <w:r w:rsidRPr="00D75194">
        <w:rPr>
          <w:i/>
          <w:iCs/>
        </w:rPr>
        <w:t xml:space="preserve"> as is”, </w:t>
      </w:r>
      <w:r w:rsidRPr="00D75194">
        <w:t>highlighting that structured collaboration is not always necessary.</w:t>
      </w:r>
      <w:r w:rsidRPr="00D75194" w:rsidR="006B601D">
        <w:rPr>
          <w:i/>
          <w:iCs/>
        </w:rPr>
        <w:t xml:space="preserve"> </w:t>
      </w:r>
    </w:p>
    <w:p w:rsidRPr="00D75194" w:rsidR="00614AE6" w:rsidP="00B9611C" w:rsidRDefault="002822A4" w14:paraId="39BC4296" w14:textId="66542529">
      <w:pPr>
        <w:rPr>
          <w:i/>
          <w:iCs/>
        </w:rPr>
      </w:pPr>
      <w:r w:rsidRPr="00D75194">
        <w:rPr>
          <w:b/>
          <w:bCs/>
        </w:rPr>
        <w:t>The CASA programme currently has relatively low visibility or 'brand awareness'</w:t>
      </w:r>
      <w:r w:rsidRPr="00D75194">
        <w:t>—for instance, a recipient from an AILAC country noted limited awareness of training and capacity-building providers beyond LRI, despite CIES being intended as a prominent actor in the region</w:t>
      </w:r>
      <w:r w:rsidRPr="00D75194" w:rsidR="00895FE7">
        <w:t xml:space="preserve">. While this could </w:t>
      </w:r>
      <w:r w:rsidRPr="00D75194" w:rsidR="00CC0875">
        <w:t>suggest potential gaps in coordination</w:t>
      </w:r>
      <w:r w:rsidRPr="00D75194" w:rsidR="00891855">
        <w:t>, it</w:t>
      </w:r>
      <w:r w:rsidRPr="00D75194" w:rsidR="00CC0875">
        <w:t xml:space="preserve"> may</w:t>
      </w:r>
      <w:r w:rsidRPr="00D75194" w:rsidR="00891855">
        <w:t xml:space="preserve"> also</w:t>
      </w:r>
      <w:r w:rsidRPr="00D75194" w:rsidR="00CC0875">
        <w:t xml:space="preserve"> reflect differences in how T</w:t>
      </w:r>
      <w:r w:rsidRPr="00D75194" w:rsidR="001405FE">
        <w:t xml:space="preserve">Ps </w:t>
      </w:r>
      <w:r w:rsidRPr="00D75194" w:rsidR="00CC0875">
        <w:t xml:space="preserve">present themselves. One </w:t>
      </w:r>
      <w:r w:rsidRPr="00D75194" w:rsidR="00942330">
        <w:t xml:space="preserve">of CASA II’s </w:t>
      </w:r>
      <w:r w:rsidRPr="00D75194" w:rsidR="00CF537C">
        <w:t xml:space="preserve">delivery partners </w:t>
      </w:r>
      <w:r w:rsidRPr="00D75194" w:rsidR="00CC0875">
        <w:t>suggests that long</w:t>
      </w:r>
      <w:r w:rsidRPr="00D75194" w:rsidR="00F705D5">
        <w:t>standing</w:t>
      </w:r>
      <w:r w:rsidRPr="00D75194" w:rsidR="00CC0875">
        <w:t xml:space="preserve"> CASA TPs are more likely to operate under their organisational identities, whereas newer TPs may be more closely associated with the CASA brand, potentially affecting their visibility among recipients.</w:t>
      </w:r>
      <w:r w:rsidRPr="00D75194" w:rsidR="0029258A">
        <w:t xml:space="preserve"> This is not necessarily seen as a </w:t>
      </w:r>
      <w:r w:rsidRPr="00D75194" w:rsidR="00CF537C">
        <w:t>problem</w:t>
      </w:r>
      <w:r w:rsidRPr="00D75194" w:rsidR="0029258A">
        <w:t xml:space="preserve">, </w:t>
      </w:r>
      <w:r w:rsidRPr="00D75194" w:rsidR="001670A9">
        <w:t xml:space="preserve">with </w:t>
      </w:r>
      <w:r w:rsidRPr="00D75194" w:rsidR="004C787A">
        <w:t xml:space="preserve">one TP noting that </w:t>
      </w:r>
      <w:r w:rsidRPr="00D75194" w:rsidR="00AC093B">
        <w:t xml:space="preserve">these firewalls are </w:t>
      </w:r>
      <w:r w:rsidRPr="00D75194" w:rsidR="00B13227">
        <w:t>necessary</w:t>
      </w:r>
      <w:r w:rsidRPr="00D75194" w:rsidR="0069693A">
        <w:t xml:space="preserve"> and that </w:t>
      </w:r>
      <w:r w:rsidRPr="00D75194" w:rsidR="004C787A">
        <w:rPr>
          <w:i/>
          <w:iCs/>
        </w:rPr>
        <w:t>“</w:t>
      </w:r>
      <w:r w:rsidRPr="00D75194" w:rsidR="00AC093B">
        <w:rPr>
          <w:i/>
          <w:iCs/>
        </w:rPr>
        <w:t>b</w:t>
      </w:r>
      <w:r w:rsidRPr="00D75194" w:rsidR="004C787A">
        <w:rPr>
          <w:i/>
          <w:iCs/>
        </w:rPr>
        <w:t>eing under a UK banner doesn’t work well”</w:t>
      </w:r>
      <w:r w:rsidRPr="00D75194" w:rsidR="009158BD">
        <w:rPr>
          <w:i/>
          <w:iCs/>
        </w:rPr>
        <w:t>—</w:t>
      </w:r>
      <w:r w:rsidRPr="00D75194" w:rsidR="00AC093B">
        <w:t>and would be unhelpful in the context in which they work</w:t>
      </w:r>
      <w:r w:rsidRPr="00D75194" w:rsidR="004C787A">
        <w:rPr>
          <w:i/>
          <w:iCs/>
        </w:rPr>
        <w:t>.</w:t>
      </w:r>
      <w:r w:rsidRPr="00D75194" w:rsidR="00FA7889">
        <w:rPr>
          <w:i/>
          <w:iCs/>
        </w:rPr>
        <w:t xml:space="preserve"> </w:t>
      </w:r>
    </w:p>
    <w:p w:rsidRPr="00D75194" w:rsidR="00BF3E16" w:rsidP="00B9611C" w:rsidRDefault="008402D6" w14:paraId="060DD4D5" w14:textId="45228FBB">
      <w:r w:rsidRPr="00D75194">
        <w:rPr>
          <w:b/>
          <w:bCs/>
        </w:rPr>
        <w:t>This separation—or ‘firewall’—is particularly important given the political nature of climate negotiations</w:t>
      </w:r>
      <w:r w:rsidRPr="00D75194">
        <w:t xml:space="preserve">, where perceptions of foreign influence can be highly sensitive. TPs have expressed concern that more visible or active involvement from </w:t>
      </w:r>
      <w:r w:rsidRPr="00D75194" w:rsidR="00BF3E16">
        <w:t xml:space="preserve">the UK </w:t>
      </w:r>
      <w:r w:rsidRPr="00D75194">
        <w:t xml:space="preserve">in the CASA programme could be interpreted as interference, potentially undermining the neutrality </w:t>
      </w:r>
      <w:r w:rsidRPr="00D75194" w:rsidR="00BB6F38">
        <w:t xml:space="preserve">and </w:t>
      </w:r>
      <w:r w:rsidRPr="00D75194">
        <w:t>legitimacy of their work.</w:t>
      </w:r>
      <w:r w:rsidRPr="00D75194">
        <w:rPr>
          <w:i/>
          <w:iCs/>
        </w:rPr>
        <w:t> </w:t>
      </w:r>
      <w:r w:rsidRPr="00D75194" w:rsidR="00BD6E47">
        <w:t>This reinforces earlier findings, such as those from CDKN’s project completion review, which highlighted the importance of programmes like CDKN being seen as ‘independent’ or at least</w:t>
      </w:r>
      <w:r w:rsidRPr="00D75194" w:rsidR="008E7A8E">
        <w:t xml:space="preserve"> at</w:t>
      </w:r>
      <w:r w:rsidRPr="00D75194" w:rsidR="00BD6E47">
        <w:t xml:space="preserve"> ‘arm’s length’ from donors.</w:t>
      </w:r>
    </w:p>
    <w:p w:rsidRPr="00D75194" w:rsidR="0024788B" w:rsidP="0024788B" w:rsidRDefault="0024788B" w14:paraId="1215814D" w14:textId="5F254D53">
      <w:pPr>
        <w:pStyle w:val="Heading2"/>
      </w:pPr>
      <w:bookmarkStart w:name="_Toc214452914" w:id="69"/>
      <w:r w:rsidRPr="00D75194">
        <w:t>Efficiency</w:t>
      </w:r>
      <w:bookmarkEnd w:id="69"/>
    </w:p>
    <w:p w:rsidRPr="00D75194" w:rsidR="00E25258" w:rsidP="002A34A5" w:rsidRDefault="00E25258" w14:paraId="45A7C2E3" w14:textId="77777777">
      <w:pPr>
        <w:pStyle w:val="NoSpacing"/>
      </w:pPr>
    </w:p>
    <w:tbl>
      <w:tblPr>
        <w:tblStyle w:val="TableGrid"/>
        <w:tblW w:w="0" w:type="auto"/>
        <w:tblLook w:val="04A0" w:firstRow="1" w:lastRow="0" w:firstColumn="1" w:lastColumn="0" w:noHBand="0" w:noVBand="1"/>
      </w:tblPr>
      <w:tblGrid>
        <w:gridCol w:w="9854"/>
      </w:tblGrid>
      <w:tr w:rsidRPr="00D75194" w:rsidR="00E25258" w:rsidTr="00A54516" w14:paraId="642F6FA8" w14:textId="77777777">
        <w:trPr>
          <w:trHeight w:val="660"/>
        </w:trPr>
        <w:tc>
          <w:tcPr>
            <w:tcW w:w="9854" w:type="dxa"/>
            <w:shd w:val="clear" w:color="auto" w:fill="C4D5D3" w:themeFill="accent1"/>
            <w:vAlign w:val="center"/>
          </w:tcPr>
          <w:p w:rsidRPr="00D75194" w:rsidR="00E25258" w:rsidP="00D11B36" w:rsidRDefault="00E25258" w14:paraId="14B0F839" w14:textId="50847AAD">
            <w:pPr>
              <w:pStyle w:val="ListParagraph"/>
              <w:jc w:val="center"/>
              <w:rPr>
                <w:b/>
              </w:rPr>
            </w:pPr>
            <w:bookmarkStart w:name="_Hlk173247735" w:id="70"/>
            <w:r w:rsidRPr="00D75194">
              <w:rPr>
                <w:b/>
                <w:bCs/>
              </w:rPr>
              <w:t>EQ</w:t>
            </w:r>
            <w:r w:rsidRPr="00D75194" w:rsidR="00FC5362">
              <w:rPr>
                <w:b/>
                <w:bCs/>
              </w:rPr>
              <w:t xml:space="preserve"> 3</w:t>
            </w:r>
            <w:r w:rsidRPr="00D75194" w:rsidR="43B328E8">
              <w:rPr>
                <w:b/>
                <w:bCs/>
              </w:rPr>
              <w:t xml:space="preserve">: </w:t>
            </w:r>
            <w:r w:rsidRPr="00D75194" w:rsidR="43B328E8">
              <w:rPr>
                <w:rFonts w:eastAsia="Segoe UI" w:asciiTheme="minorHAnsi" w:hAnsiTheme="minorHAnsi"/>
                <w:b/>
                <w:bCs/>
              </w:rPr>
              <w:t xml:space="preserve">To what extent does CASA represent </w:t>
            </w:r>
            <w:r w:rsidRPr="65EC14CC" w:rsidR="00B079A3">
              <w:rPr>
                <w:rFonts w:eastAsia="Segoe UI" w:asciiTheme="minorHAnsi" w:hAnsiTheme="minorHAnsi"/>
                <w:b/>
                <w:bCs/>
              </w:rPr>
              <w:t>VFM</w:t>
            </w:r>
            <w:r w:rsidRPr="00D75194" w:rsidR="43B328E8">
              <w:rPr>
                <w:rFonts w:eastAsia="Segoe UI" w:asciiTheme="minorHAnsi" w:hAnsiTheme="minorHAnsi"/>
                <w:b/>
                <w:bCs/>
              </w:rPr>
              <w:t>?</w:t>
            </w:r>
            <w:r w:rsidRPr="00D75194" w:rsidR="00A54516">
              <w:rPr>
                <w:b/>
                <w:bCs/>
              </w:rPr>
              <w:t xml:space="preserve"> </w:t>
            </w:r>
          </w:p>
        </w:tc>
      </w:tr>
    </w:tbl>
    <w:bookmarkEnd w:id="70"/>
    <w:p w:rsidRPr="00D75194" w:rsidR="00BF3E16" w:rsidP="00D463A8" w:rsidRDefault="00F66357" w14:paraId="63B9595C" w14:textId="1F20685E">
      <w:pPr>
        <w:spacing w:after="160" w:line="257" w:lineRule="auto"/>
        <w:rPr>
          <w:b/>
          <w:bCs/>
        </w:rPr>
      </w:pPr>
      <w:r w:rsidRPr="00D75194">
        <w:rPr>
          <w:b/>
          <w:bCs/>
        </w:rPr>
        <w:br/>
      </w:r>
      <w:r w:rsidRPr="00D75194" w:rsidR="00DE4709">
        <w:rPr>
          <w:b/>
          <w:bCs/>
        </w:rPr>
        <w:t>Summary:</w:t>
      </w:r>
    </w:p>
    <w:p w:rsidRPr="00D75194" w:rsidR="00083A6A" w:rsidP="00D463A8" w:rsidRDefault="1940839D" w14:paraId="27E7BA92" w14:textId="2192B4E1">
      <w:pPr>
        <w:spacing w:after="160" w:line="257" w:lineRule="auto"/>
        <w:rPr>
          <w:rFonts w:eastAsia="Segoe UI" w:cs="Segoe UI"/>
        </w:rPr>
      </w:pPr>
      <w:r w:rsidRPr="00D75194">
        <w:rPr>
          <w:rFonts w:eastAsia="Segoe UI" w:cs="Segoe UI"/>
          <w:b/>
          <w:bCs/>
        </w:rPr>
        <w:t xml:space="preserve">The CASA II programme </w:t>
      </w:r>
      <w:r w:rsidRPr="00D75194" w:rsidR="00E24F26">
        <w:rPr>
          <w:rFonts w:eastAsia="Segoe UI" w:cs="Segoe UI"/>
          <w:b/>
          <w:bCs/>
        </w:rPr>
        <w:t xml:space="preserve">has </w:t>
      </w:r>
      <w:r w:rsidRPr="00D75194">
        <w:rPr>
          <w:rFonts w:eastAsia="Segoe UI" w:cs="Segoe UI"/>
          <w:b/>
          <w:bCs/>
        </w:rPr>
        <w:t>demonstrated</w:t>
      </w:r>
      <w:r w:rsidRPr="00D75194">
        <w:rPr>
          <w:rFonts w:eastAsia="Segoe UI" w:cs="Segoe UI"/>
        </w:rPr>
        <w:t xml:space="preserve"> </w:t>
      </w:r>
      <w:r w:rsidRPr="00D75194">
        <w:rPr>
          <w:rFonts w:eastAsia="Segoe UI" w:cs="Segoe UI"/>
          <w:b/>
          <w:bCs/>
        </w:rPr>
        <w:t xml:space="preserve">strong overall </w:t>
      </w:r>
      <w:r w:rsidRPr="65EC14CC" w:rsidR="00B079A3">
        <w:rPr>
          <w:rFonts w:eastAsia="Segoe UI" w:cs="Segoe UI"/>
          <w:b/>
          <w:bCs/>
        </w:rPr>
        <w:t>VFM</w:t>
      </w:r>
      <w:r w:rsidRPr="00D75194">
        <w:rPr>
          <w:rFonts w:eastAsia="Segoe UI" w:cs="Segoe UI"/>
        </w:rPr>
        <w:t xml:space="preserve">, with 86% of indicators assessed as either meeting or exceeding expectations, based on the </w:t>
      </w:r>
      <w:r w:rsidRPr="65EC14CC" w:rsidR="00B079A3">
        <w:rPr>
          <w:rFonts w:eastAsia="Segoe UI" w:cs="Segoe UI"/>
        </w:rPr>
        <w:t>VFM</w:t>
      </w:r>
      <w:r w:rsidRPr="00D75194">
        <w:rPr>
          <w:rFonts w:eastAsia="Segoe UI" w:cs="Segoe UI"/>
        </w:rPr>
        <w:t xml:space="preserve"> rubric developed for use in this evaluation. This marks a </w:t>
      </w:r>
      <w:r w:rsidRPr="00D75194">
        <w:rPr>
          <w:rFonts w:eastAsia="Segoe UI" w:cs="Segoe UI"/>
        </w:rPr>
        <w:t xml:space="preserve">clear improvement on the </w:t>
      </w:r>
      <w:r w:rsidRPr="65EC14CC" w:rsidR="00494461">
        <w:rPr>
          <w:rFonts w:eastAsia="Segoe UI" w:cs="Segoe UI"/>
        </w:rPr>
        <w:t>interim</w:t>
      </w:r>
      <w:r w:rsidRPr="00D75194" w:rsidR="00494461">
        <w:rPr>
          <w:rFonts w:eastAsia="Segoe UI" w:cs="Segoe UI"/>
        </w:rPr>
        <w:t xml:space="preserve"> evaluation</w:t>
      </w:r>
      <w:r w:rsidRPr="00D75194">
        <w:rPr>
          <w:rFonts w:eastAsia="Segoe UI" w:cs="Segoe UI"/>
        </w:rPr>
        <w:t xml:space="preserve"> and reflects solid performance across the 5Es framework: </w:t>
      </w:r>
      <w:r w:rsidRPr="65EC14CC" w:rsidR="007C56DD">
        <w:rPr>
          <w:rFonts w:eastAsia="Segoe UI" w:cs="Segoe UI"/>
        </w:rPr>
        <w:t>e</w:t>
      </w:r>
      <w:r w:rsidRPr="65EC14CC">
        <w:rPr>
          <w:rFonts w:eastAsia="Segoe UI" w:cs="Segoe UI"/>
        </w:rPr>
        <w:t xml:space="preserve">conomy, </w:t>
      </w:r>
      <w:r w:rsidRPr="65EC14CC" w:rsidR="007C56DD">
        <w:rPr>
          <w:rFonts w:eastAsia="Segoe UI" w:cs="Segoe UI"/>
        </w:rPr>
        <w:t>e</w:t>
      </w:r>
      <w:r w:rsidRPr="65EC14CC">
        <w:rPr>
          <w:rFonts w:eastAsia="Segoe UI" w:cs="Segoe UI"/>
        </w:rPr>
        <w:t xml:space="preserve">fficiency, </w:t>
      </w:r>
      <w:r w:rsidRPr="65EC14CC" w:rsidR="007C56DD">
        <w:rPr>
          <w:rFonts w:eastAsia="Segoe UI" w:cs="Segoe UI"/>
        </w:rPr>
        <w:t>e</w:t>
      </w:r>
      <w:r w:rsidRPr="65EC14CC">
        <w:rPr>
          <w:rFonts w:eastAsia="Segoe UI" w:cs="Segoe UI"/>
        </w:rPr>
        <w:t xml:space="preserve">ffectiveness, </w:t>
      </w:r>
      <w:r w:rsidRPr="65EC14CC" w:rsidR="007C56DD">
        <w:rPr>
          <w:rFonts w:eastAsia="Segoe UI" w:cs="Segoe UI"/>
        </w:rPr>
        <w:t>c</w:t>
      </w:r>
      <w:r w:rsidRPr="65EC14CC">
        <w:rPr>
          <w:rFonts w:eastAsia="Segoe UI" w:cs="Segoe UI"/>
        </w:rPr>
        <w:t>ost</w:t>
      </w:r>
      <w:r w:rsidRPr="00D75194">
        <w:rPr>
          <w:rFonts w:eastAsia="Segoe UI" w:cs="Segoe UI"/>
        </w:rPr>
        <w:t xml:space="preserve">-effectiveness, and </w:t>
      </w:r>
      <w:r w:rsidRPr="65EC14CC" w:rsidR="007C56DD">
        <w:rPr>
          <w:rFonts w:eastAsia="Segoe UI" w:cs="Segoe UI"/>
        </w:rPr>
        <w:t>e</w:t>
      </w:r>
      <w:r w:rsidRPr="65EC14CC">
        <w:rPr>
          <w:rFonts w:eastAsia="Segoe UI" w:cs="Segoe UI"/>
        </w:rPr>
        <w:t>quity</w:t>
      </w:r>
      <w:r w:rsidRPr="00D75194">
        <w:rPr>
          <w:rFonts w:eastAsia="Segoe UI" w:cs="Segoe UI"/>
        </w:rPr>
        <w:t>.</w:t>
      </w:r>
    </w:p>
    <w:p w:rsidRPr="00D75194" w:rsidR="00083A6A" w:rsidP="74FCC9B5" w:rsidRDefault="3C265C63" w14:paraId="540D1FDF" w14:textId="5A3E519E">
      <w:pPr>
        <w:spacing w:after="160" w:line="257" w:lineRule="auto"/>
        <w:rPr>
          <w:rFonts w:eastAsia="Segoe UI" w:cs="Segoe UI"/>
        </w:rPr>
      </w:pPr>
      <w:r w:rsidRPr="00D75194">
        <w:rPr>
          <w:rFonts w:eastAsia="Segoe UI" w:cs="Segoe UI"/>
        </w:rPr>
        <w:t>Data informing the VFM analysis</w:t>
      </w:r>
      <w:r w:rsidRPr="00D75194" w:rsidDel="007C56DD">
        <w:rPr>
          <w:rFonts w:eastAsia="Segoe UI" w:cs="Segoe UI"/>
        </w:rPr>
        <w:t xml:space="preserve"> </w:t>
      </w:r>
      <w:r w:rsidRPr="00D75194" w:rsidR="007C56DD">
        <w:rPr>
          <w:rFonts w:eastAsia="Segoe UI" w:cs="Segoe UI"/>
        </w:rPr>
        <w:t xml:space="preserve">were </w:t>
      </w:r>
      <w:r w:rsidRPr="00D75194">
        <w:rPr>
          <w:rFonts w:eastAsia="Segoe UI" w:cs="Segoe UI"/>
        </w:rPr>
        <w:t>limited but served to build a</w:t>
      </w:r>
      <w:r w:rsidRPr="00D75194" w:rsidR="0D738BE8">
        <w:rPr>
          <w:rFonts w:eastAsia="Segoe UI" w:cs="Segoe UI"/>
        </w:rPr>
        <w:t xml:space="preserve"> fair picture of the programme’s value. </w:t>
      </w:r>
      <w:r w:rsidRPr="00D75194" w:rsidR="7EFCF436">
        <w:rPr>
          <w:rFonts w:eastAsia="Segoe UI" w:cs="Segoe UI"/>
        </w:rPr>
        <w:t>The LEP was provided with</w:t>
      </w:r>
      <w:r w:rsidRPr="00D75194" w:rsidR="008F7517">
        <w:rPr>
          <w:rFonts w:eastAsia="Segoe UI" w:cs="Segoe UI"/>
        </w:rPr>
        <w:t xml:space="preserve"> the following:</w:t>
      </w:r>
      <w:r w:rsidRPr="00D75194" w:rsidR="7EFCF436">
        <w:rPr>
          <w:rFonts w:eastAsia="Segoe UI" w:cs="Segoe UI"/>
        </w:rPr>
        <w:t xml:space="preserve"> detailed invoices</w:t>
      </w:r>
      <w:r w:rsidRPr="00D75194" w:rsidR="001B0834">
        <w:rPr>
          <w:rFonts w:eastAsia="Segoe UI" w:cs="Segoe UI"/>
        </w:rPr>
        <w:t xml:space="preserve"> submitted</w:t>
      </w:r>
      <w:r w:rsidRPr="00D75194" w:rsidR="7EFCF436">
        <w:rPr>
          <w:rFonts w:eastAsia="Segoe UI" w:cs="Segoe UI"/>
        </w:rPr>
        <w:t xml:space="preserve"> to DESNZ, covering the programme period up until November 2024</w:t>
      </w:r>
      <w:r w:rsidRPr="00D75194" w:rsidR="0DE24DF1">
        <w:rPr>
          <w:rFonts w:eastAsia="Segoe UI" w:cs="Segoe UI"/>
        </w:rPr>
        <w:t xml:space="preserve">, and a final summary invoice from April 2025; bi-monthly reports to DESNZ up until November 2024; a VFM </w:t>
      </w:r>
      <w:r w:rsidRPr="00D75194" w:rsidR="1AE32470">
        <w:rPr>
          <w:rFonts w:eastAsia="Segoe UI" w:cs="Segoe UI"/>
        </w:rPr>
        <w:t>analysis based on the programme’s VFM Framework</w:t>
      </w:r>
      <w:r w:rsidRPr="00D75194" w:rsidR="5904141F">
        <w:rPr>
          <w:rFonts w:eastAsia="Segoe UI" w:cs="Segoe UI"/>
        </w:rPr>
        <w:t xml:space="preserve"> (though this was missing source data)</w:t>
      </w:r>
      <w:r w:rsidRPr="00D75194" w:rsidR="1AE32470">
        <w:rPr>
          <w:rFonts w:eastAsia="Segoe UI" w:cs="Segoe UI"/>
        </w:rPr>
        <w:t>; and the final programme logframe</w:t>
      </w:r>
      <w:r w:rsidRPr="00D75194" w:rsidR="6A5B8024">
        <w:rPr>
          <w:rFonts w:eastAsia="Segoe UI" w:cs="Segoe UI"/>
        </w:rPr>
        <w:t>, covering</w:t>
      </w:r>
      <w:r w:rsidRPr="00D75194" w:rsidR="00EA3211">
        <w:rPr>
          <w:rFonts w:eastAsia="Segoe UI" w:cs="Segoe UI"/>
        </w:rPr>
        <w:t xml:space="preserve"> the period</w:t>
      </w:r>
      <w:r w:rsidRPr="00D75194" w:rsidR="6A5B8024">
        <w:rPr>
          <w:rFonts w:eastAsia="Segoe UI" w:cs="Segoe UI"/>
        </w:rPr>
        <w:t xml:space="preserve"> up to March 2025</w:t>
      </w:r>
      <w:r w:rsidRPr="00D75194" w:rsidR="4F2D44C0">
        <w:rPr>
          <w:rFonts w:eastAsia="Segoe UI" w:cs="Segoe UI"/>
        </w:rPr>
        <w:t xml:space="preserve"> (supported by the programme’s backend monitoring data). The assessment also used the Negotiation Tracker</w:t>
      </w:r>
      <w:r w:rsidRPr="00D75194" w:rsidR="17344A1C">
        <w:rPr>
          <w:rFonts w:eastAsia="Segoe UI" w:cs="Segoe UI"/>
        </w:rPr>
        <w:t xml:space="preserve">, and original workplans containing budgets. </w:t>
      </w:r>
    </w:p>
    <w:p w:rsidRPr="00D75194" w:rsidR="00083A6A" w:rsidP="00D463A8" w:rsidRDefault="1940839D" w14:paraId="0F5D2D90" w14:textId="68918145">
      <w:pPr>
        <w:spacing w:after="160" w:line="257" w:lineRule="auto"/>
        <w:rPr>
          <w:rFonts w:eastAsia="Segoe UI" w:cs="Segoe UI"/>
        </w:rPr>
      </w:pPr>
      <w:r w:rsidRPr="00D75194">
        <w:rPr>
          <w:rFonts w:eastAsia="Segoe UI" w:cs="Segoe UI"/>
          <w:b/>
          <w:bCs/>
        </w:rPr>
        <w:t>CASA II</w:t>
      </w:r>
      <w:r w:rsidRPr="00D75194" w:rsidR="00390CD1">
        <w:rPr>
          <w:rFonts w:eastAsia="Segoe UI" w:cs="Segoe UI"/>
          <w:b/>
          <w:bCs/>
        </w:rPr>
        <w:t xml:space="preserve"> has</w:t>
      </w:r>
      <w:r w:rsidRPr="00D75194">
        <w:rPr>
          <w:rFonts w:eastAsia="Segoe UI" w:cs="Segoe UI"/>
          <w:b/>
          <w:bCs/>
        </w:rPr>
        <w:t xml:space="preserve"> maintained</w:t>
      </w:r>
      <w:r w:rsidRPr="00D75194">
        <w:rPr>
          <w:rFonts w:eastAsia="Segoe UI" w:cs="Segoe UI"/>
        </w:rPr>
        <w:t xml:space="preserve"> </w:t>
      </w:r>
      <w:r w:rsidRPr="00D75194">
        <w:rPr>
          <w:rFonts w:eastAsia="Segoe UI" w:cs="Segoe UI"/>
          <w:b/>
          <w:bCs/>
        </w:rPr>
        <w:t>tight budget control</w:t>
      </w:r>
      <w:r w:rsidRPr="00D75194">
        <w:rPr>
          <w:rFonts w:eastAsia="Segoe UI" w:cs="Segoe UI"/>
        </w:rPr>
        <w:t xml:space="preserve"> across work packages, kept management fees low (7.4%), and deployed senior technical inputs strategically</w:t>
      </w:r>
      <w:r w:rsidR="00B21FA3">
        <w:rPr>
          <w:rFonts w:eastAsia="Segoe UI" w:cs="Segoe UI"/>
        </w:rPr>
        <w:t>.</w:t>
      </w:r>
    </w:p>
    <w:p w:rsidRPr="00D75194" w:rsidR="00083A6A" w:rsidP="00D463A8" w:rsidRDefault="1940839D" w14:paraId="2E45DB99" w14:textId="3599207F">
      <w:pPr>
        <w:spacing w:after="160" w:line="257" w:lineRule="auto"/>
        <w:rPr>
          <w:rFonts w:eastAsia="Segoe UI" w:cs="Segoe UI"/>
        </w:rPr>
      </w:pPr>
      <w:r w:rsidRPr="00D75194">
        <w:rPr>
          <w:rFonts w:eastAsia="Segoe UI" w:cs="Segoe UI"/>
        </w:rPr>
        <w:t xml:space="preserve">Efficiency </w:t>
      </w:r>
      <w:r w:rsidRPr="00D75194" w:rsidR="00390CD1">
        <w:rPr>
          <w:rFonts w:eastAsia="Segoe UI" w:cs="Segoe UI"/>
        </w:rPr>
        <w:t xml:space="preserve">has </w:t>
      </w:r>
      <w:r w:rsidRPr="00D75194">
        <w:rPr>
          <w:rFonts w:eastAsia="Segoe UI" w:cs="Segoe UI"/>
        </w:rPr>
        <w:t xml:space="preserve">also </w:t>
      </w:r>
      <w:r w:rsidRPr="00D75194" w:rsidR="00390CD1">
        <w:rPr>
          <w:rFonts w:eastAsia="Segoe UI" w:cs="Segoe UI"/>
        </w:rPr>
        <w:t xml:space="preserve">been </w:t>
      </w:r>
      <w:r w:rsidRPr="00D75194">
        <w:rPr>
          <w:rFonts w:eastAsia="Segoe UI" w:cs="Segoe UI"/>
        </w:rPr>
        <w:t xml:space="preserve">sound: costs </w:t>
      </w:r>
      <w:r w:rsidRPr="65EC14CC" w:rsidR="00390CD1">
        <w:rPr>
          <w:rFonts w:eastAsia="Segoe UI" w:cs="Segoe UI"/>
        </w:rPr>
        <w:t>have</w:t>
      </w:r>
      <w:r w:rsidRPr="00D75194" w:rsidR="00390CD1">
        <w:rPr>
          <w:rFonts w:eastAsia="Segoe UI" w:cs="Segoe UI"/>
        </w:rPr>
        <w:t xml:space="preserve"> been</w:t>
      </w:r>
      <w:r w:rsidRPr="00D75194">
        <w:rPr>
          <w:rFonts w:eastAsia="Segoe UI" w:cs="Segoe UI"/>
        </w:rPr>
        <w:t xml:space="preserve"> broadly proportionate to support levels, and 87.5% of output indicators </w:t>
      </w:r>
      <w:r w:rsidRPr="00D75194" w:rsidR="0083701D">
        <w:rPr>
          <w:rFonts w:eastAsia="Segoe UI" w:cs="Segoe UI"/>
        </w:rPr>
        <w:t xml:space="preserve">have been </w:t>
      </w:r>
      <w:r w:rsidRPr="00D75194">
        <w:rPr>
          <w:rFonts w:eastAsia="Segoe UI" w:cs="Segoe UI"/>
        </w:rPr>
        <w:t xml:space="preserve">achieved. Though limited quantitative data </w:t>
      </w:r>
      <w:r w:rsidRPr="00D75194" w:rsidR="0061246A">
        <w:rPr>
          <w:rFonts w:eastAsia="Segoe UI" w:cs="Segoe UI"/>
        </w:rPr>
        <w:t xml:space="preserve">were </w:t>
      </w:r>
      <w:r w:rsidRPr="00D75194">
        <w:rPr>
          <w:rFonts w:eastAsia="Segoe UI" w:cs="Segoe UI"/>
        </w:rPr>
        <w:t>available on timeliness or coordination, no major delivery issues were reported. Effectiveness showed mixed results, with strong performance on three</w:t>
      </w:r>
      <w:r w:rsidRPr="00D75194" w:rsidR="003145C8">
        <w:rPr>
          <w:rFonts w:eastAsia="Segoe UI" w:cs="Segoe UI"/>
        </w:rPr>
        <w:t xml:space="preserve"> out</w:t>
      </w:r>
      <w:r w:rsidRPr="00D75194">
        <w:rPr>
          <w:rFonts w:eastAsia="Segoe UI" w:cs="Segoe UI"/>
        </w:rPr>
        <w:t xml:space="preserve"> of four outcome </w:t>
      </w:r>
      <w:r w:rsidRPr="00D75194" w:rsidR="239B8768">
        <w:rPr>
          <w:rFonts w:eastAsia="Segoe UI" w:cs="Segoe UI"/>
        </w:rPr>
        <w:t>indicators</w:t>
      </w:r>
      <w:r w:rsidRPr="00D75194">
        <w:rPr>
          <w:rFonts w:eastAsia="Segoe UI" w:cs="Segoe UI"/>
        </w:rPr>
        <w:t>, but weaker progress along change pathways.</w:t>
      </w:r>
    </w:p>
    <w:p w:rsidRPr="00D75194" w:rsidR="00083A6A" w:rsidP="00D463A8" w:rsidRDefault="1940839D" w14:paraId="341F9B31" w14:textId="22063A0D">
      <w:pPr>
        <w:spacing w:after="160" w:line="257" w:lineRule="auto"/>
        <w:rPr>
          <w:rFonts w:eastAsia="Segoe UI" w:cs="Segoe UI"/>
        </w:rPr>
      </w:pPr>
      <w:r w:rsidRPr="00D75194">
        <w:rPr>
          <w:rFonts w:eastAsia="Segoe UI" w:cs="Segoe UI"/>
        </w:rPr>
        <w:t xml:space="preserve">Cost-effectiveness </w:t>
      </w:r>
      <w:r w:rsidRPr="00D75194" w:rsidR="00775B75">
        <w:rPr>
          <w:rFonts w:eastAsia="Segoe UI" w:cs="Segoe UI"/>
        </w:rPr>
        <w:t xml:space="preserve">has been </w:t>
      </w:r>
      <w:r w:rsidRPr="00D75194">
        <w:rPr>
          <w:rFonts w:eastAsia="Segoe UI" w:cs="Segoe UI"/>
        </w:rPr>
        <w:t>demonstrated through strategic resource allocation. The LDC Group—CASA’s largest investment area—</w:t>
      </w:r>
      <w:r w:rsidRPr="00D75194" w:rsidR="00775B75">
        <w:rPr>
          <w:rFonts w:eastAsia="Segoe UI" w:cs="Segoe UI"/>
        </w:rPr>
        <w:t xml:space="preserve">has </w:t>
      </w:r>
      <w:r w:rsidRPr="00D75194">
        <w:rPr>
          <w:rFonts w:eastAsia="Segoe UI" w:cs="Segoe UI"/>
        </w:rPr>
        <w:t>achieved the strongest institutional and negotiation outcomes. Expenditures</w:t>
      </w:r>
      <w:r w:rsidRPr="00D75194" w:rsidDel="009070E3">
        <w:rPr>
          <w:rFonts w:eastAsia="Segoe UI" w:cs="Segoe UI"/>
        </w:rPr>
        <w:t xml:space="preserve"> </w:t>
      </w:r>
      <w:r w:rsidRPr="00D75194" w:rsidR="009070E3">
        <w:rPr>
          <w:rFonts w:eastAsia="Segoe UI" w:cs="Segoe UI"/>
        </w:rPr>
        <w:t xml:space="preserve">have been </w:t>
      </w:r>
      <w:r w:rsidRPr="00D75194">
        <w:rPr>
          <w:rFonts w:eastAsia="Segoe UI" w:cs="Segoe UI"/>
        </w:rPr>
        <w:t xml:space="preserve">aligned with strategic intent across all groups, and delivery </w:t>
      </w:r>
      <w:r w:rsidRPr="00D75194" w:rsidR="009070E3">
        <w:rPr>
          <w:rFonts w:eastAsia="Segoe UI" w:cs="Segoe UI"/>
        </w:rPr>
        <w:t xml:space="preserve">has </w:t>
      </w:r>
      <w:r w:rsidRPr="00D75194">
        <w:rPr>
          <w:rFonts w:eastAsia="Segoe UI" w:cs="Segoe UI"/>
        </w:rPr>
        <w:t xml:space="preserve">remained within budget. See Annex </w:t>
      </w:r>
      <w:r w:rsidRPr="00D75194" w:rsidR="00293C2E">
        <w:rPr>
          <w:rFonts w:eastAsia="Segoe UI" w:cs="Segoe UI"/>
        </w:rPr>
        <w:t xml:space="preserve">I </w:t>
      </w:r>
      <w:r w:rsidRPr="00D75194">
        <w:rPr>
          <w:rFonts w:eastAsia="Segoe UI" w:cs="Segoe UI"/>
        </w:rPr>
        <w:t>for further detail</w:t>
      </w:r>
      <w:r w:rsidRPr="00D75194" w:rsidR="00D240AB">
        <w:rPr>
          <w:rFonts w:eastAsia="Segoe UI" w:cs="Segoe UI"/>
        </w:rPr>
        <w:t>s</w:t>
      </w:r>
      <w:r w:rsidRPr="00D75194">
        <w:rPr>
          <w:rFonts w:eastAsia="Segoe UI" w:cs="Segoe UI"/>
        </w:rPr>
        <w:t xml:space="preserve"> on the LDC Group</w:t>
      </w:r>
      <w:r w:rsidRPr="00D75194" w:rsidR="00D240AB">
        <w:rPr>
          <w:rFonts w:eastAsia="Segoe UI" w:cs="Segoe UI"/>
        </w:rPr>
        <w:t>’s</w:t>
      </w:r>
      <w:r w:rsidRPr="00D75194">
        <w:rPr>
          <w:rFonts w:eastAsia="Segoe UI" w:cs="Segoe UI"/>
        </w:rPr>
        <w:t xml:space="preserve"> contribution.</w:t>
      </w:r>
    </w:p>
    <w:p w:rsidRPr="00D75194" w:rsidR="00083A6A" w:rsidP="00D463A8" w:rsidRDefault="1940839D" w14:paraId="53986011" w14:textId="1AE3108C">
      <w:pPr>
        <w:spacing w:after="160" w:line="257" w:lineRule="auto"/>
        <w:rPr>
          <w:rFonts w:eastAsia="Segoe UI" w:cs="Segoe UI"/>
        </w:rPr>
      </w:pPr>
      <w:r w:rsidRPr="00D75194">
        <w:rPr>
          <w:rFonts w:eastAsia="Segoe UI" w:cs="Segoe UI"/>
        </w:rPr>
        <w:t xml:space="preserve">Finally, </w:t>
      </w:r>
      <w:r w:rsidRPr="00D75194">
        <w:rPr>
          <w:rFonts w:eastAsia="Segoe UI" w:cs="Segoe UI"/>
          <w:b/>
          <w:bCs/>
        </w:rPr>
        <w:t>CASA II</w:t>
      </w:r>
      <w:r w:rsidRPr="00D75194">
        <w:rPr>
          <w:rFonts w:eastAsia="Segoe UI" w:cs="Segoe UI"/>
        </w:rPr>
        <w:t xml:space="preserve"> </w:t>
      </w:r>
      <w:r w:rsidRPr="00D75194" w:rsidR="004549A7">
        <w:rPr>
          <w:rFonts w:eastAsia="Segoe UI" w:cs="Segoe UI"/>
        </w:rPr>
        <w:t xml:space="preserve">has </w:t>
      </w:r>
      <w:r w:rsidRPr="00D75194">
        <w:rPr>
          <w:rFonts w:eastAsia="Segoe UI" w:cs="Segoe UI"/>
          <w:b/>
          <w:bCs/>
        </w:rPr>
        <w:t xml:space="preserve">exceeded expectations on </w:t>
      </w:r>
      <w:r w:rsidRPr="29225D49" w:rsidR="004549A7">
        <w:rPr>
          <w:rFonts w:eastAsia="Segoe UI" w:cs="Segoe UI"/>
          <w:b/>
          <w:bCs/>
        </w:rPr>
        <w:t>equity</w:t>
      </w:r>
      <w:r w:rsidRPr="00D75194">
        <w:rPr>
          <w:rFonts w:eastAsia="Segoe UI" w:cs="Segoe UI"/>
        </w:rPr>
        <w:t xml:space="preserve">, with women comprising over half of all negotiators supported. Youth and women/youth inclusion through the </w:t>
      </w:r>
      <w:r w:rsidRPr="00D75194" w:rsidR="00277236">
        <w:rPr>
          <w:rFonts w:eastAsia="Segoe UI" w:cs="Segoe UI"/>
        </w:rPr>
        <w:t>OF</w:t>
      </w:r>
      <w:r w:rsidRPr="00D75194">
        <w:rPr>
          <w:rFonts w:eastAsia="Segoe UI" w:cs="Segoe UI"/>
        </w:rPr>
        <w:t xml:space="preserve"> </w:t>
      </w:r>
      <w:r w:rsidRPr="00D75194" w:rsidR="002C544A">
        <w:rPr>
          <w:rFonts w:eastAsia="Segoe UI" w:cs="Segoe UI"/>
        </w:rPr>
        <w:t xml:space="preserve">has </w:t>
      </w:r>
      <w:r w:rsidRPr="00D75194">
        <w:rPr>
          <w:rFonts w:eastAsia="Segoe UI" w:cs="Segoe UI"/>
        </w:rPr>
        <w:t xml:space="preserve">also </w:t>
      </w:r>
      <w:r w:rsidRPr="00D75194" w:rsidR="002C544A">
        <w:rPr>
          <w:rFonts w:eastAsia="Segoe UI" w:cs="Segoe UI"/>
        </w:rPr>
        <w:t xml:space="preserve">been </w:t>
      </w:r>
      <w:r w:rsidRPr="00D75194">
        <w:rPr>
          <w:rFonts w:eastAsia="Segoe UI" w:cs="Segoe UI"/>
        </w:rPr>
        <w:t xml:space="preserve">significant, although gender balance among youth </w:t>
      </w:r>
      <w:r w:rsidRPr="00D75194" w:rsidR="00102392">
        <w:rPr>
          <w:rFonts w:eastAsia="Segoe UI" w:cs="Segoe UI"/>
        </w:rPr>
        <w:t>has be</w:t>
      </w:r>
      <w:r w:rsidRPr="00D75194" w:rsidR="0066494B">
        <w:rPr>
          <w:rFonts w:eastAsia="Segoe UI" w:cs="Segoe UI"/>
        </w:rPr>
        <w:t>e</w:t>
      </w:r>
      <w:r w:rsidRPr="00D75194" w:rsidR="00102392">
        <w:rPr>
          <w:rFonts w:eastAsia="Segoe UI" w:cs="Segoe UI"/>
        </w:rPr>
        <w:t xml:space="preserve">n </w:t>
      </w:r>
      <w:r w:rsidRPr="00D75194">
        <w:rPr>
          <w:rFonts w:eastAsia="Segoe UI" w:cs="Segoe UI"/>
        </w:rPr>
        <w:t xml:space="preserve">more limited. </w:t>
      </w:r>
      <w:r w:rsidRPr="29225D49">
        <w:rPr>
          <w:rFonts w:eastAsia="Segoe UI" w:cs="Segoe UI"/>
        </w:rPr>
        <w:t xml:space="preserve">Taken together, CASA </w:t>
      </w:r>
      <w:r w:rsidRPr="29225D49" w:rsidR="00334766">
        <w:rPr>
          <w:rFonts w:eastAsia="Segoe UI" w:cs="Segoe UI"/>
        </w:rPr>
        <w:t>II demonstrates</w:t>
      </w:r>
      <w:r w:rsidRPr="29225D49" w:rsidR="7F243020">
        <w:rPr>
          <w:rFonts w:eastAsia="Segoe UI" w:cs="Segoe UI"/>
        </w:rPr>
        <w:t xml:space="preserve"> clear </w:t>
      </w:r>
      <w:r w:rsidRPr="29225D49" w:rsidR="00B079A3">
        <w:rPr>
          <w:rFonts w:eastAsia="Segoe UI" w:cs="Segoe UI"/>
        </w:rPr>
        <w:t>VFM</w:t>
      </w:r>
      <w:r w:rsidRPr="00D75194">
        <w:rPr>
          <w:rFonts w:eastAsia="Segoe UI" w:cs="Segoe UI"/>
        </w:rPr>
        <w:t>.</w:t>
      </w:r>
    </w:p>
    <w:p w:rsidRPr="00D75194" w:rsidR="008E5BBC" w:rsidP="008E5BBC" w:rsidRDefault="1940839D" w14:paraId="69E23075" w14:textId="22206C0D">
      <w:pPr>
        <w:keepNext/>
        <w:spacing w:after="160" w:line="257" w:lineRule="auto"/>
      </w:pPr>
      <w:r w:rsidRPr="00D75194">
        <w:rPr>
          <w:rFonts w:eastAsia="Segoe UI" w:cs="Segoe UI"/>
        </w:rPr>
        <w:t xml:space="preserve"> </w:t>
      </w:r>
      <w:r w:rsidRPr="00D75194" w:rsidR="606102BC">
        <w:rPr>
          <w:noProof/>
        </w:rPr>
        <w:drawing>
          <wp:inline distT="0" distB="0" distL="0" distR="0" wp14:anchorId="65CCB2B1" wp14:editId="6FBB3B68">
            <wp:extent cx="4578492" cy="2755631"/>
            <wp:effectExtent l="0" t="0" r="0" b="0"/>
            <wp:docPr id="493983928" name="Picture 493983928" descr="Overall VFM performance of CASA 2, showing scores against equity (4), economy (3), efficiency (3), effectiveness (2), and cost-effectivenes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83928" name="Picture 493983928" descr="Overall VFM performance of CASA 2, showing scores against equity (4), economy (3), efficiency (3), effectiveness (2), and cost-effectiveness (3). "/>
                    <pic:cNvPicPr/>
                  </pic:nvPicPr>
                  <pic:blipFill>
                    <a:blip r:embed="rId38">
                      <a:extLst>
                        <a:ext uri="{28A0092B-C50C-407E-A947-70E740481C1C}">
                          <a14:useLocalDpi xmlns:a14="http://schemas.microsoft.com/office/drawing/2010/main" val="0"/>
                        </a:ext>
                      </a:extLst>
                    </a:blip>
                    <a:stretch>
                      <a:fillRect/>
                    </a:stretch>
                  </pic:blipFill>
                  <pic:spPr>
                    <a:xfrm>
                      <a:off x="0" y="0"/>
                      <a:ext cx="4578492" cy="2755631"/>
                    </a:xfrm>
                    <a:prstGeom prst="rect">
                      <a:avLst/>
                    </a:prstGeom>
                  </pic:spPr>
                </pic:pic>
              </a:graphicData>
            </a:graphic>
          </wp:inline>
        </w:drawing>
      </w:r>
    </w:p>
    <w:p w:rsidRPr="00D75194" w:rsidR="00083A6A" w:rsidP="008E5BBC" w:rsidRDefault="008E5BBC" w14:paraId="769FECAC" w14:textId="478A2E57">
      <w:pPr>
        <w:pStyle w:val="Caption"/>
      </w:pPr>
      <w:bookmarkStart w:name="_Toc214453004" w:id="71"/>
      <w:r w:rsidRPr="00D75194">
        <w:t xml:space="preserve">Figure </w:t>
      </w:r>
      <w:r w:rsidRPr="00D75194">
        <w:fldChar w:fldCharType="begin"/>
      </w:r>
      <w:r w:rsidRPr="00D75194">
        <w:instrText xml:space="preserve"> SEQ Figure \* ARABIC </w:instrText>
      </w:r>
      <w:r w:rsidRPr="00D75194">
        <w:fldChar w:fldCharType="separate"/>
      </w:r>
      <w:r w:rsidRPr="00D75194" w:rsidR="004D7A82">
        <w:t>3</w:t>
      </w:r>
      <w:r w:rsidRPr="00D75194">
        <w:fldChar w:fldCharType="end"/>
      </w:r>
      <w:r w:rsidRPr="00D75194" w:rsidR="00010B33">
        <w:t xml:space="preserve">: </w:t>
      </w:r>
      <w:r w:rsidRPr="00D75194">
        <w:t xml:space="preserve">Overall VFM performance </w:t>
      </w:r>
      <w:r w:rsidRPr="00D75194" w:rsidR="006F6B09">
        <w:t>of CASA II</w:t>
      </w:r>
      <w:bookmarkEnd w:id="71"/>
    </w:p>
    <w:p w:rsidRPr="00D75194" w:rsidR="00010B33" w:rsidP="00FC5362" w:rsidRDefault="00010B33" w14:paraId="6C5E7B7F" w14:textId="77777777">
      <w:pPr>
        <w:spacing w:after="0"/>
        <w:rPr>
          <w:b/>
          <w:bCs/>
          <w:i/>
          <w:iCs/>
        </w:rPr>
      </w:pPr>
    </w:p>
    <w:p w:rsidRPr="00D75194" w:rsidR="00FC5362" w:rsidP="00FC5362" w:rsidRDefault="00FC5362" w14:paraId="6C209ACB" w14:textId="52C16804">
      <w:pPr>
        <w:spacing w:after="0"/>
        <w:rPr>
          <w:b/>
          <w:bCs/>
          <w:i/>
          <w:iCs/>
        </w:rPr>
      </w:pPr>
      <w:r w:rsidRPr="00D75194">
        <w:rPr>
          <w:b/>
          <w:bCs/>
          <w:i/>
          <w:iCs/>
        </w:rPr>
        <w:t xml:space="preserve">Strength of </w:t>
      </w:r>
      <w:r w:rsidRPr="65EC14CC" w:rsidR="007A7CAB">
        <w:rPr>
          <w:b/>
          <w:bCs/>
          <w:i/>
          <w:iCs/>
        </w:rPr>
        <w:t>e</w:t>
      </w:r>
      <w:r w:rsidRPr="65EC14CC">
        <w:rPr>
          <w:b/>
          <w:bCs/>
          <w:i/>
          <w:iCs/>
        </w:rPr>
        <w:t>vidence</w:t>
      </w:r>
      <w:r w:rsidRPr="00D75194">
        <w:rPr>
          <w:b/>
          <w:bCs/>
          <w:i/>
          <w:iCs/>
        </w:rPr>
        <w:t xml:space="preserve"> </w:t>
      </w:r>
    </w:p>
    <w:p w:rsidRPr="00D75194" w:rsidR="00010B33" w:rsidP="008E2151" w:rsidRDefault="00FC5362" w14:paraId="5DF3EFB8" w14:textId="7814A19F">
      <w:pPr>
        <w:pStyle w:val="Caption"/>
        <w:keepNext/>
      </w:pPr>
      <w:r w:rsidRPr="00D75194">
        <w:rPr>
          <w:rFonts w:eastAsia="Segoe UI" w:cs="Segoe UI"/>
          <w:i w:val="0"/>
          <w:iCs w:val="0"/>
          <w:sz w:val="20"/>
        </w:rPr>
        <w:t xml:space="preserve">The overall strength of </w:t>
      </w:r>
      <w:r w:rsidRPr="00D75194" w:rsidR="007A7CAB">
        <w:rPr>
          <w:rFonts w:eastAsia="Segoe UI" w:cs="Segoe UI"/>
          <w:i w:val="0"/>
          <w:iCs w:val="0"/>
          <w:sz w:val="20"/>
        </w:rPr>
        <w:t xml:space="preserve">the </w:t>
      </w:r>
      <w:r w:rsidRPr="00D75194">
        <w:rPr>
          <w:rFonts w:eastAsia="Segoe UI" w:cs="Segoe UI"/>
          <w:i w:val="0"/>
          <w:iCs w:val="0"/>
          <w:sz w:val="20"/>
        </w:rPr>
        <w:t xml:space="preserve">evidence for this question is considered by the LEP team to be </w:t>
      </w:r>
      <w:r w:rsidRPr="00D75194" w:rsidR="007F59E9">
        <w:rPr>
          <w:rFonts w:eastAsia="Segoe UI" w:cs="Segoe UI"/>
          <w:i w:val="0"/>
          <w:iCs w:val="0"/>
          <w:sz w:val="20"/>
        </w:rPr>
        <w:t>amber</w:t>
      </w:r>
      <w:r w:rsidRPr="00D75194" w:rsidR="001D5EF0">
        <w:rPr>
          <w:rFonts w:eastAsia="Segoe UI" w:cs="Segoe UI"/>
          <w:i w:val="0"/>
          <w:iCs w:val="0"/>
          <w:sz w:val="20"/>
        </w:rPr>
        <w:t>, with “some evidence”</w:t>
      </w:r>
      <w:r w:rsidRPr="00D75194">
        <w:rPr>
          <w:rFonts w:eastAsia="Segoe UI" w:cs="Segoe UI"/>
          <w:i w:val="0"/>
          <w:iCs w:val="0"/>
          <w:sz w:val="20"/>
        </w:rPr>
        <w:t>. A breakdown of this rating is presented below, with a description of the rating.</w:t>
      </w:r>
    </w:p>
    <w:p w:rsidRPr="00D75194" w:rsidR="00010B33" w:rsidP="008E2151" w:rsidRDefault="00010B33" w14:paraId="2A0DDDC0" w14:textId="77777777">
      <w:pPr>
        <w:pStyle w:val="Caption"/>
        <w:keepNext/>
      </w:pPr>
    </w:p>
    <w:p w:rsidRPr="00D75194" w:rsidR="001D5EF0" w:rsidP="008E2151" w:rsidRDefault="00010B33" w14:paraId="5771AC95" w14:textId="6BF70C05">
      <w:pPr>
        <w:pStyle w:val="Caption"/>
        <w:keepNext/>
      </w:pPr>
      <w:bookmarkStart w:name="_Toc214452996" w:id="72"/>
      <w:r w:rsidRPr="00D75194">
        <w:t xml:space="preserve">Table </w:t>
      </w:r>
      <w:r w:rsidRPr="00D75194">
        <w:fldChar w:fldCharType="begin"/>
      </w:r>
      <w:r w:rsidRPr="00D75194">
        <w:instrText xml:space="preserve"> SEQ Table \* ARABIC </w:instrText>
      </w:r>
      <w:r w:rsidRPr="00D75194">
        <w:fldChar w:fldCharType="separate"/>
      </w:r>
      <w:r w:rsidRPr="00D75194" w:rsidR="004D7A82">
        <w:t>7</w:t>
      </w:r>
      <w:r w:rsidRPr="00D75194">
        <w:fldChar w:fldCharType="end"/>
      </w:r>
      <w:r w:rsidRPr="00D75194">
        <w:t xml:space="preserve">: </w:t>
      </w:r>
      <w:r w:rsidRPr="00D75194" w:rsidR="009920E3">
        <w:t>Strength of evidence</w:t>
      </w:r>
      <w:r w:rsidRPr="00D75194" w:rsidR="00A52F60">
        <w:t>—</w:t>
      </w:r>
      <w:r w:rsidRPr="00D75194" w:rsidR="009920E3">
        <w:t>efficiency</w:t>
      </w:r>
      <w:bookmarkEnd w:id="72"/>
      <w:r w:rsidRPr="00D75194" w:rsidDel="006B601D" w:rsidR="009920E3">
        <w:t xml:space="preserve"> </w:t>
      </w:r>
    </w:p>
    <w:tbl>
      <w:tblPr>
        <w:tblStyle w:val="TableGrid"/>
        <w:tblW w:w="0" w:type="auto"/>
        <w:tblLook w:val="04A0" w:firstRow="1" w:lastRow="0" w:firstColumn="1" w:lastColumn="0" w:noHBand="0" w:noVBand="1"/>
      </w:tblPr>
      <w:tblGrid>
        <w:gridCol w:w="1075"/>
        <w:gridCol w:w="1530"/>
        <w:gridCol w:w="1890"/>
        <w:gridCol w:w="5220"/>
      </w:tblGrid>
      <w:tr w:rsidRPr="00D75194" w:rsidR="002E06C8" w:rsidTr="00CC18AD" w14:paraId="3D5F65B3" w14:textId="77777777">
        <w:trPr>
          <w:trHeight w:val="300"/>
        </w:trPr>
        <w:tc>
          <w:tcPr>
            <w:tcW w:w="1075" w:type="dxa"/>
            <w:shd w:val="clear" w:color="auto" w:fill="D9D9D9" w:themeFill="background1" w:themeFillShade="D9"/>
            <w:vAlign w:val="center"/>
          </w:tcPr>
          <w:p w:rsidRPr="00D75194" w:rsidR="20955CF6" w:rsidP="20955CF6" w:rsidRDefault="20955CF6" w14:paraId="4B234D36" w14:textId="77777777">
            <w:pPr>
              <w:rPr>
                <w:b/>
                <w:bCs/>
                <w:sz w:val="18"/>
                <w:szCs w:val="18"/>
              </w:rPr>
            </w:pPr>
            <w:r w:rsidRPr="00D75194">
              <w:rPr>
                <w:b/>
                <w:bCs/>
                <w:sz w:val="18"/>
                <w:szCs w:val="18"/>
              </w:rPr>
              <w:t>Rating</w:t>
            </w:r>
          </w:p>
        </w:tc>
        <w:tc>
          <w:tcPr>
            <w:tcW w:w="1530" w:type="dxa"/>
            <w:shd w:val="clear" w:color="auto" w:fill="D9D9D9" w:themeFill="background1" w:themeFillShade="D9"/>
            <w:vAlign w:val="center"/>
          </w:tcPr>
          <w:p w:rsidRPr="00D75194" w:rsidR="20955CF6" w:rsidP="20955CF6" w:rsidRDefault="20955CF6" w14:paraId="3448CBFA" w14:textId="77777777">
            <w:pPr>
              <w:rPr>
                <w:b/>
                <w:bCs/>
                <w:sz w:val="18"/>
                <w:szCs w:val="18"/>
              </w:rPr>
            </w:pPr>
            <w:r w:rsidRPr="00D75194">
              <w:rPr>
                <w:b/>
                <w:bCs/>
                <w:sz w:val="18"/>
                <w:szCs w:val="18"/>
              </w:rPr>
              <w:t>Statement</w:t>
            </w:r>
          </w:p>
        </w:tc>
        <w:tc>
          <w:tcPr>
            <w:tcW w:w="1890" w:type="dxa"/>
            <w:shd w:val="clear" w:color="auto" w:fill="D9D9D9" w:themeFill="background1" w:themeFillShade="D9"/>
            <w:vAlign w:val="center"/>
          </w:tcPr>
          <w:p w:rsidRPr="00D75194" w:rsidR="20955CF6" w:rsidP="20955CF6" w:rsidRDefault="20955CF6" w14:paraId="7A86EEFB" w14:textId="77777777">
            <w:pPr>
              <w:rPr>
                <w:b/>
                <w:bCs/>
                <w:sz w:val="18"/>
                <w:szCs w:val="18"/>
              </w:rPr>
            </w:pPr>
            <w:r w:rsidRPr="00D75194">
              <w:rPr>
                <w:b/>
                <w:bCs/>
                <w:sz w:val="18"/>
                <w:szCs w:val="18"/>
              </w:rPr>
              <w:t xml:space="preserve">Definition </w:t>
            </w:r>
          </w:p>
        </w:tc>
        <w:tc>
          <w:tcPr>
            <w:tcW w:w="5220" w:type="dxa"/>
            <w:shd w:val="clear" w:color="auto" w:fill="D9D9D9" w:themeFill="background1" w:themeFillShade="D9"/>
            <w:vAlign w:val="center"/>
          </w:tcPr>
          <w:p w:rsidRPr="00D75194" w:rsidR="20955CF6" w:rsidP="20955CF6" w:rsidRDefault="20955CF6" w14:paraId="51534AE4" w14:textId="77777777">
            <w:pPr>
              <w:rPr>
                <w:b/>
                <w:bCs/>
                <w:sz w:val="18"/>
                <w:szCs w:val="18"/>
              </w:rPr>
            </w:pPr>
            <w:r w:rsidRPr="00D75194">
              <w:rPr>
                <w:b/>
                <w:bCs/>
                <w:sz w:val="18"/>
                <w:szCs w:val="18"/>
              </w:rPr>
              <w:t xml:space="preserve">Description </w:t>
            </w:r>
          </w:p>
        </w:tc>
      </w:tr>
      <w:tr w:rsidRPr="00D75194" w:rsidR="00D25BB1" w:rsidTr="00CC18AD" w14:paraId="1C7BC6A6" w14:textId="77777777">
        <w:trPr>
          <w:trHeight w:val="2100"/>
        </w:trPr>
        <w:tc>
          <w:tcPr>
            <w:tcW w:w="1075" w:type="dxa"/>
            <w:shd w:val="clear" w:color="auto" w:fill="FFC000"/>
            <w:vAlign w:val="center"/>
          </w:tcPr>
          <w:p w:rsidRPr="00D75194" w:rsidR="5A4E74DF" w:rsidP="008E2151" w:rsidRDefault="5A4E74DF" w14:paraId="391BD334" w14:textId="7E866842">
            <w:pPr>
              <w:spacing w:after="0" w:line="257" w:lineRule="auto"/>
              <w:jc w:val="left"/>
              <w:rPr>
                <w:rFonts w:eastAsia="Segoe UI"/>
                <w:b/>
                <w:bCs/>
                <w:color w:val="000000"/>
                <w:sz w:val="18"/>
                <w:szCs w:val="18"/>
              </w:rPr>
            </w:pPr>
            <w:r w:rsidRPr="00D75194">
              <w:rPr>
                <w:rFonts w:eastAsia="Segoe UI"/>
                <w:b/>
                <w:bCs/>
                <w:color w:val="000000"/>
                <w:sz w:val="18"/>
                <w:szCs w:val="18"/>
              </w:rPr>
              <w:t>Some evidence</w:t>
            </w:r>
          </w:p>
        </w:tc>
        <w:tc>
          <w:tcPr>
            <w:tcW w:w="1530" w:type="dxa"/>
            <w:vAlign w:val="center"/>
          </w:tcPr>
          <w:p w:rsidRPr="00D75194" w:rsidR="5A4E74DF" w:rsidP="008E2151" w:rsidRDefault="5A4E74DF" w14:paraId="2DB6E28C" w14:textId="102510ED">
            <w:pPr>
              <w:spacing w:after="0" w:line="257" w:lineRule="auto"/>
              <w:jc w:val="left"/>
              <w:rPr>
                <w:rFonts w:eastAsia="Segoe UI"/>
                <w:sz w:val="18"/>
                <w:szCs w:val="18"/>
              </w:rPr>
            </w:pPr>
            <w:r w:rsidRPr="00D75194">
              <w:rPr>
                <w:rFonts w:eastAsia="Segoe UI"/>
                <w:sz w:val="18"/>
                <w:szCs w:val="18"/>
              </w:rPr>
              <w:t xml:space="preserve">There is some evidence to make an estimated judgement </w:t>
            </w:r>
          </w:p>
        </w:tc>
        <w:tc>
          <w:tcPr>
            <w:tcW w:w="1890" w:type="dxa"/>
            <w:vAlign w:val="center"/>
          </w:tcPr>
          <w:p w:rsidRPr="00D75194" w:rsidR="5A4E74DF" w:rsidP="008E2151" w:rsidRDefault="5A4E74DF" w14:paraId="79858F42" w14:textId="51827681">
            <w:pPr>
              <w:spacing w:after="0" w:line="257" w:lineRule="auto"/>
              <w:jc w:val="left"/>
              <w:rPr>
                <w:rFonts w:eastAsia="Segoe UI"/>
                <w:sz w:val="18"/>
                <w:szCs w:val="18"/>
              </w:rPr>
            </w:pPr>
            <w:r w:rsidRPr="00D75194">
              <w:rPr>
                <w:rFonts w:eastAsia="Segoe UI"/>
                <w:sz w:val="18"/>
                <w:szCs w:val="18"/>
              </w:rPr>
              <w:t xml:space="preserve">Some evidence </w:t>
            </w:r>
            <w:r w:rsidRPr="65EC14CC">
              <w:rPr>
                <w:rFonts w:eastAsia="Segoe UI"/>
                <w:sz w:val="18"/>
                <w:szCs w:val="18"/>
              </w:rPr>
              <w:t>among</w:t>
            </w:r>
            <w:r w:rsidRPr="00D75194">
              <w:rPr>
                <w:rFonts w:eastAsia="Segoe UI"/>
                <w:sz w:val="18"/>
                <w:szCs w:val="18"/>
              </w:rPr>
              <w:t xml:space="preserve"> monitoring data, programme documents, or primary data supports an estimated judgement </w:t>
            </w:r>
          </w:p>
        </w:tc>
        <w:tc>
          <w:tcPr>
            <w:tcW w:w="5220" w:type="dxa"/>
            <w:vAlign w:val="center"/>
          </w:tcPr>
          <w:p w:rsidRPr="00D75194" w:rsidR="5A4E74DF" w:rsidP="008E2151" w:rsidRDefault="5A4E74DF" w14:paraId="5494C349" w14:textId="1BAEF471">
            <w:pPr>
              <w:spacing w:after="0" w:line="257" w:lineRule="auto"/>
              <w:jc w:val="left"/>
              <w:rPr>
                <w:rFonts w:eastAsia="Segoe UI"/>
                <w:sz w:val="18"/>
                <w:szCs w:val="18"/>
              </w:rPr>
            </w:pPr>
            <w:r w:rsidRPr="00D75194">
              <w:rPr>
                <w:rFonts w:eastAsia="Segoe UI"/>
                <w:sz w:val="18"/>
                <w:szCs w:val="18"/>
              </w:rPr>
              <w:t>Challenges around data availability limited the strength of evidence in some areas, making a fully comprehensive assessment difficult. While the evaluation drew on a range of sources to assess performance against the 5Es, gaps in bi-annual reporting and the absence of 2025 invoices contributed to some uncertainty. As a result, while indicative findings were possible, they rest on a partial evidence base in places.</w:t>
            </w:r>
          </w:p>
        </w:tc>
      </w:tr>
    </w:tbl>
    <w:p w:rsidRPr="00D75194" w:rsidR="00083A6A" w:rsidP="00315E33" w:rsidRDefault="00906ADE" w14:paraId="060DA179" w14:textId="7B698039">
      <w:pPr>
        <w:rPr>
          <w:b/>
          <w:bCs/>
        </w:rPr>
      </w:pPr>
      <w:r>
        <w:br/>
      </w:r>
      <w:r w:rsidRPr="00D75194" w:rsidR="1940839D">
        <w:rPr>
          <w:b/>
          <w:bCs/>
        </w:rPr>
        <w:t xml:space="preserve">EQ 3.1: How and in what ways is CASA II delivering </w:t>
      </w:r>
      <w:r w:rsidRPr="65EC14CC" w:rsidR="00B079A3">
        <w:rPr>
          <w:b/>
          <w:bCs/>
        </w:rPr>
        <w:t>VFM</w:t>
      </w:r>
      <w:r w:rsidRPr="00D75194" w:rsidR="1940839D">
        <w:rPr>
          <w:b/>
          <w:bCs/>
        </w:rPr>
        <w:t xml:space="preserve"> against the 5Es </w:t>
      </w:r>
      <w:r w:rsidRPr="00D75194" w:rsidR="00FC79E6">
        <w:rPr>
          <w:b/>
          <w:bCs/>
        </w:rPr>
        <w:t xml:space="preserve">framework </w:t>
      </w:r>
      <w:r w:rsidRPr="00D75194" w:rsidR="1940839D">
        <w:rPr>
          <w:b/>
          <w:bCs/>
        </w:rPr>
        <w:t xml:space="preserve">of </w:t>
      </w:r>
      <w:r w:rsidRPr="65EC14CC" w:rsidR="00FC79E6">
        <w:rPr>
          <w:b/>
          <w:bCs/>
        </w:rPr>
        <w:t>e</w:t>
      </w:r>
      <w:r w:rsidRPr="65EC14CC" w:rsidR="1940839D">
        <w:rPr>
          <w:b/>
          <w:bCs/>
        </w:rPr>
        <w:t xml:space="preserve">conomy, </w:t>
      </w:r>
      <w:r w:rsidRPr="65EC14CC" w:rsidR="00FC79E6">
        <w:rPr>
          <w:b/>
          <w:bCs/>
        </w:rPr>
        <w:t>e</w:t>
      </w:r>
      <w:r w:rsidRPr="65EC14CC" w:rsidR="1940839D">
        <w:rPr>
          <w:b/>
          <w:bCs/>
        </w:rPr>
        <w:t xml:space="preserve">fficiency, </w:t>
      </w:r>
      <w:r w:rsidRPr="65EC14CC" w:rsidR="00FC79E6">
        <w:rPr>
          <w:b/>
          <w:bCs/>
        </w:rPr>
        <w:t>e</w:t>
      </w:r>
      <w:r w:rsidRPr="65EC14CC" w:rsidR="1940839D">
        <w:rPr>
          <w:b/>
          <w:bCs/>
        </w:rPr>
        <w:t xml:space="preserve">ffectiveness, </w:t>
      </w:r>
      <w:r w:rsidRPr="65EC14CC" w:rsidR="00FC79E6">
        <w:rPr>
          <w:b/>
          <w:bCs/>
        </w:rPr>
        <w:t>c</w:t>
      </w:r>
      <w:r w:rsidRPr="65EC14CC" w:rsidR="1940839D">
        <w:rPr>
          <w:b/>
          <w:bCs/>
        </w:rPr>
        <w:t>ost</w:t>
      </w:r>
      <w:r w:rsidRPr="65EC14CC" w:rsidR="00FC79E6">
        <w:rPr>
          <w:b/>
          <w:bCs/>
        </w:rPr>
        <w:t>-e</w:t>
      </w:r>
      <w:r w:rsidRPr="65EC14CC" w:rsidR="1940839D">
        <w:rPr>
          <w:b/>
          <w:bCs/>
        </w:rPr>
        <w:t>ffectiveness</w:t>
      </w:r>
      <w:r w:rsidRPr="00D75194" w:rsidR="1940839D">
        <w:rPr>
          <w:b/>
          <w:bCs/>
        </w:rPr>
        <w:t xml:space="preserve">, and </w:t>
      </w:r>
      <w:r w:rsidRPr="65EC14CC" w:rsidR="00FC79E6">
        <w:rPr>
          <w:b/>
          <w:bCs/>
        </w:rPr>
        <w:t>e</w:t>
      </w:r>
      <w:r w:rsidRPr="65EC14CC" w:rsidR="1940839D">
        <w:rPr>
          <w:b/>
          <w:bCs/>
        </w:rPr>
        <w:t>quity</w:t>
      </w:r>
      <w:r w:rsidRPr="00D75194" w:rsidR="1940839D">
        <w:rPr>
          <w:b/>
          <w:bCs/>
        </w:rPr>
        <w:t>?</w:t>
      </w:r>
    </w:p>
    <w:p w:rsidRPr="00D75194" w:rsidR="00083A6A" w:rsidP="00D463A8" w:rsidRDefault="1940839D" w14:paraId="1E554968" w14:textId="3DE85F2A">
      <w:pPr>
        <w:spacing w:after="160" w:line="257" w:lineRule="auto"/>
        <w:rPr>
          <w:rFonts w:eastAsia="Segoe UI" w:cs="Segoe UI"/>
        </w:rPr>
      </w:pPr>
      <w:r w:rsidRPr="00D75194">
        <w:rPr>
          <w:rFonts w:eastAsia="Segoe UI" w:cs="Segoe UI"/>
        </w:rPr>
        <w:t xml:space="preserve">The VFM assessment, based on </w:t>
      </w:r>
      <w:r w:rsidRPr="00D75194" w:rsidR="003E7685">
        <w:rPr>
          <w:rFonts w:eastAsia="Segoe UI" w:cs="Segoe UI"/>
        </w:rPr>
        <w:t>a scoring</w:t>
      </w:r>
      <w:r w:rsidRPr="00D75194">
        <w:rPr>
          <w:rFonts w:eastAsia="Segoe UI" w:cs="Segoe UI"/>
        </w:rPr>
        <w:t xml:space="preserve"> rubric</w:t>
      </w:r>
      <w:r w:rsidRPr="00D75194" w:rsidR="009C17A8">
        <w:rPr>
          <w:rFonts w:eastAsia="Segoe UI" w:cs="Segoe UI"/>
        </w:rPr>
        <w:t>,</w:t>
      </w:r>
      <w:r w:rsidRPr="00D75194" w:rsidR="003E7685">
        <w:rPr>
          <w:rStyle w:val="FootnoteReference"/>
          <w:rFonts w:eastAsia="Segoe UI" w:cs="Segoe UI"/>
        </w:rPr>
        <w:footnoteReference w:id="11"/>
      </w:r>
      <w:r w:rsidRPr="00D75194" w:rsidDel="00147C10">
        <w:rPr>
          <w:rFonts w:eastAsia="Segoe UI" w:cs="Segoe UI"/>
        </w:rPr>
        <w:t xml:space="preserve"> </w:t>
      </w:r>
      <w:r w:rsidRPr="00D75194" w:rsidR="00147C10">
        <w:rPr>
          <w:rFonts w:eastAsia="Segoe UI" w:cs="Segoe UI"/>
        </w:rPr>
        <w:t xml:space="preserve">finds </w:t>
      </w:r>
      <w:r w:rsidRPr="00D75194">
        <w:rPr>
          <w:rFonts w:eastAsia="Segoe UI" w:cs="Segoe UI"/>
        </w:rPr>
        <w:t xml:space="preserve">strong overall performance across CASA II and marks a clear improvement on the interim assessment. 42.9% of indicators were assessed as exceeding expectations, with a further 42.9% meeting expectations. Just 10.7% were found to be progressing towards expected performance, and only 3.6% were not yet on track. This represents a convincing demonstration of improved delivery and effectiveness, with </w:t>
      </w:r>
      <w:proofErr w:type="gramStart"/>
      <w:r w:rsidRPr="00D75194">
        <w:rPr>
          <w:rFonts w:eastAsia="Segoe UI" w:cs="Segoe UI"/>
        </w:rPr>
        <w:t>the vast majority of</w:t>
      </w:r>
      <w:proofErr w:type="gramEnd"/>
      <w:r w:rsidRPr="00D75194">
        <w:rPr>
          <w:rFonts w:eastAsia="Segoe UI" w:cs="Segoe UI"/>
        </w:rPr>
        <w:t xml:space="preserve"> indicators performing at or above the expected standar</w:t>
      </w:r>
      <w:r w:rsidR="00B21FA3">
        <w:rPr>
          <w:rFonts w:eastAsia="Segoe UI" w:cs="Segoe UI"/>
        </w:rPr>
        <w:t xml:space="preserve">d. </w:t>
      </w:r>
    </w:p>
    <w:p w:rsidRPr="00D75194" w:rsidR="004C61D5" w:rsidP="004C61D5" w:rsidRDefault="6542BD96" w14:paraId="1D869EB3" w14:textId="77777777">
      <w:pPr>
        <w:keepNext/>
        <w:spacing w:after="160" w:line="257" w:lineRule="auto"/>
      </w:pPr>
      <w:r w:rsidRPr="00D75194">
        <w:rPr>
          <w:noProof/>
        </w:rPr>
        <w:drawing>
          <wp:inline distT="0" distB="0" distL="0" distR="0" wp14:anchorId="7BAD5349" wp14:editId="64802DB6">
            <wp:extent cx="6029466" cy="3200677"/>
            <wp:effectExtent l="0" t="0" r="0" b="0"/>
            <wp:docPr id="23903535" name="Picture 2390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29466" cy="3200677"/>
                    </a:xfrm>
                    <a:prstGeom prst="rect">
                      <a:avLst/>
                    </a:prstGeom>
                  </pic:spPr>
                </pic:pic>
              </a:graphicData>
            </a:graphic>
          </wp:inline>
        </w:drawing>
      </w:r>
    </w:p>
    <w:p w:rsidRPr="00D75194" w:rsidR="6542BD96" w:rsidP="004D7A82" w:rsidRDefault="004D7A82" w14:paraId="18F95E70" w14:textId="2F6C2DA1">
      <w:pPr>
        <w:pStyle w:val="Caption"/>
        <w:rPr>
          <w:i w:val="0"/>
        </w:rPr>
      </w:pPr>
      <w:bookmarkStart w:name="_Toc214453005" w:id="73"/>
      <w:r w:rsidRPr="51B1FD2B">
        <w:rPr>
          <w:i w:val="0"/>
        </w:rPr>
        <w:t xml:space="preserve">Figure </w:t>
      </w:r>
      <w:r w:rsidRPr="00D75194">
        <w:fldChar w:fldCharType="begin"/>
      </w:r>
      <w:r w:rsidRPr="00D75194">
        <w:instrText xml:space="preserve"> SEQ Figure \* ARABIC </w:instrText>
      </w:r>
      <w:r w:rsidRPr="00D75194">
        <w:fldChar w:fldCharType="separate"/>
      </w:r>
      <w:r w:rsidRPr="00D75194">
        <w:t>4</w:t>
      </w:r>
      <w:r w:rsidRPr="00D75194">
        <w:fldChar w:fldCharType="end"/>
      </w:r>
      <w:r w:rsidRPr="51B1FD2B">
        <w:rPr>
          <w:i w:val="0"/>
        </w:rPr>
        <w:t>:</w:t>
      </w:r>
      <w:r w:rsidRPr="51B1FD2B" w:rsidR="004C61D5">
        <w:rPr>
          <w:i w:val="0"/>
        </w:rPr>
        <w:t xml:space="preserve"> Proportion of VFM indicators meeting expectations</w:t>
      </w:r>
      <w:bookmarkEnd w:id="73"/>
    </w:p>
    <w:p w:rsidRPr="00D75194" w:rsidR="00083A6A" w:rsidP="00251EC1" w:rsidRDefault="006F6B09" w14:paraId="1F6DA0E4" w14:textId="7049295F">
      <w:pPr>
        <w:keepNext/>
        <w:spacing w:after="160" w:line="257" w:lineRule="auto"/>
        <w:rPr>
          <w:rFonts w:eastAsia="Segoe UI" w:cs="Segoe UI"/>
        </w:rPr>
      </w:pPr>
      <w:r w:rsidRPr="00D75194">
        <w:t xml:space="preserve"> </w:t>
      </w:r>
    </w:p>
    <w:p w:rsidRPr="00D75194" w:rsidR="0020232A" w:rsidP="007B1FC0" w:rsidRDefault="1940839D" w14:paraId="0CF736F3" w14:textId="770D455E">
      <w:pPr>
        <w:pStyle w:val="Heading3"/>
      </w:pPr>
      <w:bookmarkStart w:name="_Toc204259822" w:id="74"/>
      <w:r w:rsidRPr="00D75194">
        <w:t>Economy</w:t>
      </w:r>
      <w:bookmarkEnd w:id="74"/>
    </w:p>
    <w:p w:rsidRPr="00D75194" w:rsidR="009C67FD" w:rsidP="009C67FD" w:rsidRDefault="009C67FD" w14:paraId="2CC16F49" w14:textId="6EF7000E">
      <w:pPr>
        <w:spacing w:after="160" w:line="257" w:lineRule="auto"/>
        <w:rPr>
          <w:rFonts w:eastAsia="Segoe UI" w:cs="Segoe UI"/>
        </w:rPr>
      </w:pPr>
      <w:r w:rsidRPr="00D75194">
        <w:rPr>
          <w:rFonts w:eastAsia="Segoe UI" w:cs="Segoe UI"/>
        </w:rPr>
        <w:t>Key</w:t>
      </w:r>
      <w:r w:rsidRPr="00D75194" w:rsidR="003D0304">
        <w:rPr>
          <w:rFonts w:eastAsia="Segoe UI" w:cs="Segoe UI"/>
        </w:rPr>
        <w:t>:</w:t>
      </w:r>
    </w:p>
    <w:tbl>
      <w:tblPr>
        <w:tblW w:w="0" w:type="auto"/>
        <w:tblLook w:val="04A0" w:firstRow="1" w:lastRow="0" w:firstColumn="1" w:lastColumn="0" w:noHBand="0" w:noVBand="1"/>
      </w:tblPr>
      <w:tblGrid>
        <w:gridCol w:w="1308"/>
        <w:gridCol w:w="2071"/>
        <w:gridCol w:w="2198"/>
        <w:gridCol w:w="2196"/>
        <w:gridCol w:w="2071"/>
      </w:tblGrid>
      <w:tr w:rsidRPr="00D75194" w:rsidR="009C67FD" w:rsidTr="006A665A" w14:paraId="533421BD" w14:textId="77777777">
        <w:trPr>
          <w:trHeight w:val="300"/>
        </w:trPr>
        <w:tc>
          <w:tcPr>
            <w:tcW w:w="1310" w:type="dxa"/>
            <w:tcBorders>
              <w:top w:val="single" w:color="auto" w:sz="8" w:space="0"/>
              <w:left w:val="single" w:color="auto" w:sz="8" w:space="0"/>
              <w:bottom w:val="single" w:color="auto" w:sz="8" w:space="0"/>
              <w:right w:val="single" w:color="auto" w:sz="8" w:space="0"/>
            </w:tcBorders>
            <w:shd w:val="clear" w:color="auto" w:fill="AEAAAA"/>
            <w:tcMar>
              <w:left w:w="108" w:type="dxa"/>
              <w:right w:w="108" w:type="dxa"/>
            </w:tcMar>
          </w:tcPr>
          <w:p w:rsidRPr="00D75194" w:rsidR="009C67FD" w:rsidP="006A665A" w:rsidRDefault="009C67FD" w14:paraId="13D71CE9" w14:textId="77777777">
            <w:pPr>
              <w:spacing w:after="160" w:line="257" w:lineRule="auto"/>
              <w:rPr>
                <w:rFonts w:eastAsia="Segoe UI" w:cs="Segoe UI"/>
                <w:b/>
                <w:bCs/>
                <w:sz w:val="16"/>
                <w:szCs w:val="16"/>
              </w:rPr>
            </w:pPr>
            <w:r w:rsidRPr="00D75194">
              <w:rPr>
                <w:rFonts w:eastAsia="Segoe UI" w:cs="Segoe UI"/>
                <w:b/>
                <w:bCs/>
                <w:sz w:val="16"/>
                <w:szCs w:val="16"/>
              </w:rPr>
              <w:t>Insufficient data</w:t>
            </w:r>
          </w:p>
        </w:tc>
        <w:tc>
          <w:tcPr>
            <w:tcW w:w="2073"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09C67FD" w:rsidP="006A665A" w:rsidRDefault="009C67FD" w14:paraId="3E7CE4DF" w14:textId="77777777">
            <w:pPr>
              <w:spacing w:after="160" w:line="257" w:lineRule="auto"/>
              <w:rPr>
                <w:rFonts w:eastAsia="Segoe UI" w:cs="Segoe UI"/>
                <w:b/>
                <w:bCs/>
                <w:sz w:val="16"/>
                <w:szCs w:val="16"/>
              </w:rPr>
            </w:pPr>
            <w:r w:rsidRPr="00D75194">
              <w:rPr>
                <w:rFonts w:eastAsia="Segoe UI" w:cs="Segoe UI"/>
                <w:b/>
                <w:bCs/>
                <w:sz w:val="16"/>
                <w:szCs w:val="16"/>
              </w:rPr>
              <w:t xml:space="preserve">Not yet on track </w:t>
            </w:r>
          </w:p>
        </w:tc>
        <w:tc>
          <w:tcPr>
            <w:tcW w:w="220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09C67FD" w:rsidP="006A665A" w:rsidRDefault="009C67FD" w14:paraId="58650AC3" w14:textId="77777777">
            <w:pPr>
              <w:spacing w:after="160" w:line="257" w:lineRule="auto"/>
              <w:rPr>
                <w:rFonts w:eastAsia="Segoe UI" w:cs="Segoe UI"/>
                <w:b/>
                <w:bCs/>
                <w:sz w:val="16"/>
                <w:szCs w:val="16"/>
              </w:rPr>
            </w:pPr>
            <w:r w:rsidRPr="00D75194">
              <w:rPr>
                <w:rFonts w:eastAsia="Segoe UI" w:cs="Segoe UI"/>
                <w:b/>
                <w:bCs/>
                <w:sz w:val="16"/>
                <w:szCs w:val="16"/>
              </w:rPr>
              <w:t>Progressing towards expected performance</w:t>
            </w:r>
          </w:p>
        </w:tc>
        <w:tc>
          <w:tcPr>
            <w:tcW w:w="2199" w:type="dxa"/>
            <w:tcBorders>
              <w:top w:val="single" w:color="auto" w:sz="8" w:space="0"/>
              <w:left w:val="single" w:color="auto" w:sz="8" w:space="0"/>
              <w:bottom w:val="single" w:color="auto" w:sz="8" w:space="0"/>
              <w:right w:val="single" w:color="auto" w:sz="8" w:space="0"/>
            </w:tcBorders>
            <w:shd w:val="clear" w:color="auto" w:fill="92D050"/>
            <w:tcMar>
              <w:left w:w="108" w:type="dxa"/>
              <w:right w:w="108" w:type="dxa"/>
            </w:tcMar>
          </w:tcPr>
          <w:p w:rsidRPr="00D75194" w:rsidR="009C67FD" w:rsidP="006A665A" w:rsidRDefault="009C67FD" w14:paraId="375ACD2E" w14:textId="77777777">
            <w:pPr>
              <w:spacing w:after="160" w:line="257" w:lineRule="auto"/>
              <w:rPr>
                <w:rFonts w:eastAsia="Segoe UI" w:cs="Segoe UI"/>
                <w:b/>
                <w:bCs/>
                <w:sz w:val="16"/>
                <w:szCs w:val="16"/>
              </w:rPr>
            </w:pPr>
            <w:r w:rsidRPr="00D75194">
              <w:rPr>
                <w:rFonts w:eastAsia="Segoe UI" w:cs="Segoe UI"/>
                <w:b/>
                <w:bCs/>
                <w:sz w:val="16"/>
                <w:szCs w:val="16"/>
              </w:rPr>
              <w:t xml:space="preserve">Met expectations </w:t>
            </w:r>
          </w:p>
        </w:tc>
        <w:tc>
          <w:tcPr>
            <w:tcW w:w="2073" w:type="dxa"/>
            <w:tcBorders>
              <w:top w:val="single" w:color="auto" w:sz="8" w:space="0"/>
              <w:left w:val="single" w:color="auto" w:sz="8" w:space="0"/>
              <w:bottom w:val="single" w:color="auto" w:sz="8" w:space="0"/>
              <w:right w:val="single" w:color="auto" w:sz="8" w:space="0"/>
            </w:tcBorders>
            <w:shd w:val="clear" w:color="auto" w:fill="00B050"/>
            <w:tcMar>
              <w:left w:w="108" w:type="dxa"/>
              <w:right w:w="108" w:type="dxa"/>
            </w:tcMar>
          </w:tcPr>
          <w:p w:rsidRPr="00D75194" w:rsidR="009C67FD" w:rsidP="006A665A" w:rsidRDefault="009C67FD" w14:paraId="317E3E98" w14:textId="77777777">
            <w:pPr>
              <w:spacing w:after="160" w:line="257" w:lineRule="auto"/>
              <w:rPr>
                <w:rFonts w:eastAsia="Segoe UI" w:cs="Segoe UI"/>
                <w:b/>
                <w:bCs/>
                <w:sz w:val="16"/>
                <w:szCs w:val="16"/>
              </w:rPr>
            </w:pPr>
            <w:r w:rsidRPr="00D75194">
              <w:rPr>
                <w:rFonts w:eastAsia="Segoe UI" w:cs="Segoe UI"/>
                <w:b/>
                <w:bCs/>
                <w:sz w:val="16"/>
                <w:szCs w:val="16"/>
              </w:rPr>
              <w:t>Exceeded expectations</w:t>
            </w:r>
          </w:p>
        </w:tc>
      </w:tr>
    </w:tbl>
    <w:p w:rsidRPr="00D75194" w:rsidR="009C67FD" w:rsidP="00DD717C" w:rsidRDefault="009C67FD" w14:paraId="7E6BD80C" w14:textId="77777777">
      <w:pPr>
        <w:spacing w:after="160" w:line="257" w:lineRule="auto"/>
        <w:rPr>
          <w:rFonts w:eastAsia="Segoe UI" w:cs="Segoe UI"/>
        </w:rPr>
      </w:pPr>
    </w:p>
    <w:p w:rsidRPr="00D75194" w:rsidR="00083A6A" w:rsidP="00DD717C" w:rsidRDefault="1940839D" w14:paraId="6A9019BB" w14:textId="623100C3">
      <w:pPr>
        <w:spacing w:after="160" w:line="257" w:lineRule="auto"/>
        <w:rPr>
          <w:rFonts w:eastAsia="Segoe UI" w:cs="Segoe UI"/>
        </w:rPr>
      </w:pPr>
      <w:r w:rsidRPr="00D75194">
        <w:rPr>
          <w:rFonts w:eastAsia="Segoe UI" w:cs="Segoe UI"/>
        </w:rPr>
        <w:t>Overall result: Met expectations</w:t>
      </w:r>
    </w:p>
    <w:tbl>
      <w:tblPr>
        <w:tblW w:w="985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57" w:type="dxa"/>
          <w:bottom w:w="57" w:type="dxa"/>
        </w:tblCellMar>
        <w:tblLook w:val="04A0" w:firstRow="1" w:lastRow="0" w:firstColumn="1" w:lastColumn="0" w:noHBand="0" w:noVBand="1"/>
      </w:tblPr>
      <w:tblGrid>
        <w:gridCol w:w="825"/>
        <w:gridCol w:w="1638"/>
        <w:gridCol w:w="1232"/>
        <w:gridCol w:w="1232"/>
        <w:gridCol w:w="1231"/>
        <w:gridCol w:w="1232"/>
        <w:gridCol w:w="1232"/>
        <w:gridCol w:w="1232"/>
      </w:tblGrid>
      <w:tr w:rsidRPr="00D75194" w:rsidR="00C4208E" w:rsidTr="009C67FD" w14:paraId="09D56AB3" w14:textId="77777777">
        <w:trPr>
          <w:trHeight w:val="570"/>
        </w:trPr>
        <w:tc>
          <w:tcPr>
            <w:tcW w:w="825" w:type="dxa"/>
            <w:shd w:val="clear" w:color="auto" w:fill="F2F2F2" w:themeFill="background1" w:themeFillShade="F2"/>
            <w:tcMar>
              <w:top w:w="15" w:type="dxa"/>
              <w:left w:w="15" w:type="dxa"/>
              <w:bottom w:w="15" w:type="dxa"/>
              <w:right w:w="15" w:type="dxa"/>
            </w:tcMar>
            <w:vAlign w:val="center"/>
          </w:tcPr>
          <w:p w:rsidRPr="00D75194" w:rsidR="4244A7A2" w:rsidP="6140C835" w:rsidRDefault="4244A7A2" w14:paraId="3218BA9F" w14:textId="44B76CCF">
            <w:pPr>
              <w:spacing w:after="0"/>
              <w:jc w:val="left"/>
              <w:rPr>
                <w:rFonts w:eastAsia="Segoe UI" w:cs="Segoe UI"/>
                <w:b/>
                <w:bCs/>
                <w:sz w:val="16"/>
                <w:szCs w:val="16"/>
              </w:rPr>
            </w:pPr>
            <w:r w:rsidRPr="00D75194">
              <w:rPr>
                <w:rFonts w:eastAsia="Segoe UI" w:cs="Segoe UI"/>
                <w:b/>
                <w:bCs/>
                <w:sz w:val="16"/>
                <w:szCs w:val="16"/>
              </w:rPr>
              <w:t>Indicator</w:t>
            </w:r>
          </w:p>
        </w:tc>
        <w:tc>
          <w:tcPr>
            <w:tcW w:w="1638" w:type="dxa"/>
            <w:shd w:val="clear" w:color="auto" w:fill="F2F2F2" w:themeFill="background1" w:themeFillShade="F2"/>
            <w:tcMar>
              <w:top w:w="15" w:type="dxa"/>
              <w:left w:w="15" w:type="dxa"/>
              <w:bottom w:w="15" w:type="dxa"/>
              <w:right w:w="15" w:type="dxa"/>
            </w:tcMar>
            <w:vAlign w:val="center"/>
          </w:tcPr>
          <w:p w:rsidRPr="00D75194" w:rsidR="3E74594B" w:rsidP="008E2151" w:rsidRDefault="3E74594B" w14:paraId="5E9FA915" w14:textId="2A4EC1FE">
            <w:pPr>
              <w:spacing w:after="0"/>
              <w:ind w:left="57" w:right="57" w:hanging="18"/>
              <w:jc w:val="left"/>
              <w:rPr>
                <w:rFonts w:eastAsia="Segoe UI" w:cs="Segoe UI"/>
                <w:b/>
                <w:bCs/>
                <w:sz w:val="16"/>
                <w:szCs w:val="16"/>
              </w:rPr>
            </w:pPr>
            <w:r w:rsidRPr="00D75194">
              <w:rPr>
                <w:rFonts w:eastAsia="Segoe UI" w:cs="Segoe UI"/>
                <w:b/>
                <w:bCs/>
                <w:sz w:val="16"/>
                <w:szCs w:val="16"/>
              </w:rPr>
              <w:t>Budget allocation</w:t>
            </w:r>
            <w:r w:rsidRPr="00D75194" w:rsidDel="006B601D">
              <w:rPr>
                <w:rFonts w:eastAsia="Segoe UI" w:cs="Segoe UI"/>
                <w:b/>
                <w:bCs/>
                <w:sz w:val="16"/>
                <w:szCs w:val="16"/>
              </w:rPr>
              <w:t xml:space="preserve"> </w:t>
            </w:r>
            <w:r w:rsidRPr="00D75194" w:rsidR="524E3518">
              <w:rPr>
                <w:rFonts w:eastAsia="Segoe UI" w:cs="Segoe UI"/>
                <w:b/>
                <w:bCs/>
                <w:sz w:val="16"/>
                <w:szCs w:val="16"/>
              </w:rPr>
              <w:t xml:space="preserve">(% of </w:t>
            </w:r>
            <w:r w:rsidRPr="00D75194" w:rsidR="00E46047">
              <w:rPr>
                <w:rFonts w:eastAsia="Segoe UI" w:cs="Segoe UI"/>
                <w:b/>
                <w:bCs/>
                <w:sz w:val="16"/>
                <w:szCs w:val="16"/>
              </w:rPr>
              <w:t xml:space="preserve">Workplan 2 </w:t>
            </w:r>
            <w:r w:rsidRPr="00D75194" w:rsidR="524E3518">
              <w:rPr>
                <w:rFonts w:eastAsia="Segoe UI" w:cs="Segoe UI"/>
                <w:b/>
                <w:bCs/>
                <w:sz w:val="16"/>
                <w:szCs w:val="16"/>
              </w:rPr>
              <w:t>budget)</w:t>
            </w:r>
          </w:p>
        </w:tc>
        <w:tc>
          <w:tcPr>
            <w:tcW w:w="1232" w:type="dxa"/>
            <w:shd w:val="clear" w:color="auto" w:fill="F2F2F2" w:themeFill="background1" w:themeFillShade="F2"/>
            <w:tcMar>
              <w:top w:w="15" w:type="dxa"/>
              <w:left w:w="15" w:type="dxa"/>
              <w:bottom w:w="15" w:type="dxa"/>
              <w:right w:w="15" w:type="dxa"/>
            </w:tcMar>
            <w:vAlign w:val="center"/>
          </w:tcPr>
          <w:p w:rsidRPr="00D75194" w:rsidR="002D490E" w:rsidP="008E2151" w:rsidRDefault="3E74594B" w14:paraId="03DB9720" w14:textId="77777777">
            <w:pPr>
              <w:spacing w:after="0"/>
              <w:ind w:left="57" w:right="57"/>
              <w:jc w:val="left"/>
              <w:rPr>
                <w:rFonts w:eastAsia="Segoe UI" w:cs="Segoe UI"/>
                <w:b/>
                <w:bCs/>
                <w:sz w:val="16"/>
                <w:szCs w:val="16"/>
              </w:rPr>
            </w:pPr>
            <w:r w:rsidRPr="00D75194">
              <w:rPr>
                <w:rFonts w:eastAsia="Segoe UI" w:cs="Segoe UI"/>
                <w:b/>
                <w:bCs/>
                <w:sz w:val="16"/>
                <w:szCs w:val="16"/>
              </w:rPr>
              <w:t xml:space="preserve">Budget utilisation </w:t>
            </w:r>
          </w:p>
          <w:p w:rsidRPr="00D75194" w:rsidR="3E74594B" w:rsidP="008E2151" w:rsidRDefault="3E74594B" w14:paraId="506E073A" w14:textId="66632050">
            <w:pPr>
              <w:spacing w:after="0"/>
              <w:ind w:left="57" w:right="57"/>
              <w:jc w:val="left"/>
              <w:rPr>
                <w:rFonts w:eastAsia="Segoe UI" w:cs="Segoe UI"/>
                <w:b/>
                <w:bCs/>
                <w:sz w:val="16"/>
                <w:szCs w:val="16"/>
              </w:rPr>
            </w:pPr>
            <w:r w:rsidRPr="00D75194">
              <w:rPr>
                <w:rFonts w:eastAsia="Segoe UI" w:cs="Segoe UI"/>
                <w:b/>
                <w:bCs/>
                <w:sz w:val="16"/>
                <w:szCs w:val="16"/>
              </w:rPr>
              <w:t xml:space="preserve">(programme) </w:t>
            </w:r>
          </w:p>
        </w:tc>
        <w:tc>
          <w:tcPr>
            <w:tcW w:w="1232" w:type="dxa"/>
            <w:shd w:val="clear" w:color="auto" w:fill="F2F2F2" w:themeFill="background1" w:themeFillShade="F2"/>
            <w:tcMar>
              <w:top w:w="15" w:type="dxa"/>
              <w:left w:w="15" w:type="dxa"/>
              <w:bottom w:w="15" w:type="dxa"/>
              <w:right w:w="15" w:type="dxa"/>
            </w:tcMar>
            <w:vAlign w:val="center"/>
          </w:tcPr>
          <w:p w:rsidRPr="00D75194" w:rsidR="3E74594B" w:rsidP="008E2151" w:rsidRDefault="3E74594B" w14:paraId="08AA3889" w14:textId="120EEEB4">
            <w:pPr>
              <w:spacing w:after="0"/>
              <w:ind w:left="57" w:right="57"/>
              <w:jc w:val="left"/>
              <w:rPr>
                <w:rFonts w:eastAsia="Segoe UI" w:cs="Segoe UI"/>
                <w:b/>
                <w:bCs/>
                <w:sz w:val="16"/>
                <w:szCs w:val="16"/>
              </w:rPr>
            </w:pPr>
            <w:r w:rsidRPr="00D75194">
              <w:rPr>
                <w:rFonts w:eastAsia="Segoe UI" w:cs="Segoe UI"/>
                <w:b/>
                <w:bCs/>
                <w:sz w:val="16"/>
                <w:szCs w:val="16"/>
              </w:rPr>
              <w:t xml:space="preserve">Budget utilisation (TPs) </w:t>
            </w:r>
          </w:p>
        </w:tc>
        <w:tc>
          <w:tcPr>
            <w:tcW w:w="1231" w:type="dxa"/>
            <w:shd w:val="clear" w:color="auto" w:fill="F2F2F2" w:themeFill="background1" w:themeFillShade="F2"/>
            <w:tcMar>
              <w:top w:w="15" w:type="dxa"/>
              <w:left w:w="15" w:type="dxa"/>
              <w:bottom w:w="15" w:type="dxa"/>
              <w:right w:w="15" w:type="dxa"/>
            </w:tcMar>
            <w:vAlign w:val="center"/>
          </w:tcPr>
          <w:p w:rsidRPr="00D75194" w:rsidR="3E74594B" w:rsidP="008E2151" w:rsidRDefault="3E74594B" w14:paraId="2E8FD07D" w14:textId="56B687EE">
            <w:pPr>
              <w:spacing w:after="0"/>
              <w:ind w:left="57" w:right="57"/>
              <w:jc w:val="left"/>
              <w:rPr>
                <w:rFonts w:eastAsia="Segoe UI" w:cs="Segoe UI"/>
                <w:b/>
                <w:bCs/>
                <w:sz w:val="16"/>
                <w:szCs w:val="16"/>
              </w:rPr>
            </w:pPr>
            <w:r w:rsidRPr="00D75194">
              <w:rPr>
                <w:rFonts w:eastAsia="Segoe UI" w:cs="Segoe UI"/>
                <w:b/>
                <w:bCs/>
                <w:sz w:val="16"/>
                <w:szCs w:val="16"/>
              </w:rPr>
              <w:t xml:space="preserve">Budget utilisation (OF) </w:t>
            </w:r>
          </w:p>
        </w:tc>
        <w:tc>
          <w:tcPr>
            <w:tcW w:w="1232" w:type="dxa"/>
            <w:shd w:val="clear" w:color="auto" w:fill="F2F2F2" w:themeFill="background1" w:themeFillShade="F2"/>
            <w:tcMar>
              <w:top w:w="15" w:type="dxa"/>
              <w:left w:w="15" w:type="dxa"/>
              <w:bottom w:w="15" w:type="dxa"/>
              <w:right w:w="15" w:type="dxa"/>
            </w:tcMar>
            <w:vAlign w:val="center"/>
          </w:tcPr>
          <w:p w:rsidRPr="00D75194" w:rsidR="002D490E" w:rsidP="008E2151" w:rsidRDefault="3E74594B" w14:paraId="578C503B" w14:textId="77777777">
            <w:pPr>
              <w:spacing w:after="0"/>
              <w:ind w:left="57" w:right="57"/>
              <w:jc w:val="left"/>
              <w:rPr>
                <w:rFonts w:eastAsia="Segoe UI" w:cs="Segoe UI"/>
                <w:b/>
                <w:bCs/>
                <w:sz w:val="16"/>
                <w:szCs w:val="16"/>
              </w:rPr>
            </w:pPr>
            <w:r w:rsidRPr="00D75194">
              <w:rPr>
                <w:rFonts w:eastAsia="Segoe UI" w:cs="Segoe UI"/>
                <w:b/>
                <w:bCs/>
                <w:sz w:val="16"/>
                <w:szCs w:val="16"/>
              </w:rPr>
              <w:t xml:space="preserve">% expenses </w:t>
            </w:r>
          </w:p>
          <w:p w:rsidRPr="00D75194" w:rsidR="3E74594B" w:rsidP="008E2151" w:rsidRDefault="3E74594B" w14:paraId="30109FE0" w14:textId="1A4155FB">
            <w:pPr>
              <w:spacing w:after="0"/>
              <w:ind w:left="57" w:right="57"/>
              <w:jc w:val="left"/>
              <w:rPr>
                <w:rFonts w:eastAsia="Segoe UI" w:cs="Segoe UI"/>
                <w:b/>
                <w:bCs/>
                <w:sz w:val="16"/>
                <w:szCs w:val="16"/>
              </w:rPr>
            </w:pPr>
            <w:r w:rsidRPr="00D75194">
              <w:rPr>
                <w:rFonts w:eastAsia="Segoe UI" w:cs="Segoe UI"/>
                <w:b/>
                <w:bCs/>
                <w:sz w:val="16"/>
                <w:szCs w:val="16"/>
              </w:rPr>
              <w:t xml:space="preserve">(average) </w:t>
            </w:r>
          </w:p>
        </w:tc>
        <w:tc>
          <w:tcPr>
            <w:tcW w:w="1232" w:type="dxa"/>
            <w:shd w:val="clear" w:color="auto" w:fill="F2F2F2" w:themeFill="background1" w:themeFillShade="F2"/>
            <w:tcMar>
              <w:top w:w="15" w:type="dxa"/>
              <w:left w:w="15" w:type="dxa"/>
              <w:bottom w:w="15" w:type="dxa"/>
              <w:right w:w="15" w:type="dxa"/>
            </w:tcMar>
            <w:vAlign w:val="center"/>
          </w:tcPr>
          <w:p w:rsidRPr="00D75194" w:rsidR="3E74594B" w:rsidP="008E2151" w:rsidRDefault="3E74594B" w14:paraId="1E551028" w14:textId="1BCAA44F">
            <w:pPr>
              <w:spacing w:after="0"/>
              <w:ind w:left="57" w:right="57"/>
              <w:jc w:val="left"/>
              <w:rPr>
                <w:rFonts w:eastAsia="Segoe UI" w:cs="Segoe UI"/>
                <w:b/>
                <w:bCs/>
                <w:sz w:val="16"/>
                <w:szCs w:val="16"/>
              </w:rPr>
            </w:pPr>
            <w:r w:rsidRPr="00D75194">
              <w:rPr>
                <w:rFonts w:eastAsia="Segoe UI" w:cs="Segoe UI"/>
                <w:b/>
                <w:bCs/>
                <w:sz w:val="16"/>
                <w:szCs w:val="16"/>
              </w:rPr>
              <w:t xml:space="preserve">% DAI management fee </w:t>
            </w:r>
          </w:p>
        </w:tc>
        <w:tc>
          <w:tcPr>
            <w:tcW w:w="1232" w:type="dxa"/>
            <w:shd w:val="clear" w:color="auto" w:fill="F2F2F2" w:themeFill="background1" w:themeFillShade="F2"/>
            <w:tcMar>
              <w:top w:w="15" w:type="dxa"/>
              <w:left w:w="15" w:type="dxa"/>
              <w:bottom w:w="15" w:type="dxa"/>
              <w:right w:w="15" w:type="dxa"/>
            </w:tcMar>
            <w:vAlign w:val="center"/>
          </w:tcPr>
          <w:p w:rsidRPr="00D75194" w:rsidR="3E74594B" w:rsidP="008E2151" w:rsidRDefault="3E74594B" w14:paraId="2F50FC16" w14:textId="6E7D0C49">
            <w:pPr>
              <w:spacing w:after="0"/>
              <w:ind w:left="57" w:right="57"/>
              <w:jc w:val="left"/>
              <w:rPr>
                <w:rFonts w:eastAsia="Segoe UI" w:cs="Segoe UI"/>
                <w:b/>
                <w:bCs/>
                <w:sz w:val="16"/>
                <w:szCs w:val="16"/>
              </w:rPr>
            </w:pPr>
            <w:r w:rsidRPr="00D75194">
              <w:rPr>
                <w:rFonts w:eastAsia="Segoe UI" w:cs="Segoe UI"/>
                <w:b/>
                <w:bCs/>
                <w:sz w:val="16"/>
                <w:szCs w:val="16"/>
              </w:rPr>
              <w:t>Weighted average daily rate</w:t>
            </w:r>
          </w:p>
        </w:tc>
      </w:tr>
      <w:tr w:rsidRPr="00D75194" w:rsidR="007F1FB8" w:rsidTr="009C67FD" w14:paraId="64FAF1EA" w14:textId="77777777">
        <w:trPr>
          <w:trHeight w:val="1617"/>
        </w:trPr>
        <w:tc>
          <w:tcPr>
            <w:tcW w:w="825" w:type="dxa"/>
            <w:shd w:val="clear" w:color="auto" w:fill="F2F2F2" w:themeFill="background1" w:themeFillShade="F2"/>
            <w:tcMar>
              <w:top w:w="15" w:type="dxa"/>
              <w:left w:w="15" w:type="dxa"/>
              <w:bottom w:w="15" w:type="dxa"/>
              <w:right w:w="15" w:type="dxa"/>
            </w:tcMar>
            <w:vAlign w:val="center"/>
          </w:tcPr>
          <w:p w:rsidRPr="00D75194" w:rsidR="27493CBE" w:rsidP="6140C835" w:rsidRDefault="27493CBE" w14:paraId="3D08885F" w14:textId="1E1EE11E">
            <w:pPr>
              <w:spacing w:after="0"/>
              <w:jc w:val="left"/>
              <w:rPr>
                <w:rFonts w:eastAsia="Segoe UI" w:cs="Segoe UI"/>
                <w:b/>
                <w:sz w:val="16"/>
                <w:szCs w:val="16"/>
              </w:rPr>
            </w:pPr>
            <w:r w:rsidRPr="00D75194">
              <w:rPr>
                <w:rFonts w:eastAsia="Segoe UI" w:cs="Segoe UI"/>
                <w:b/>
                <w:bCs/>
                <w:sz w:val="16"/>
                <w:szCs w:val="16"/>
              </w:rPr>
              <w:t>Result</w:t>
            </w:r>
          </w:p>
        </w:tc>
        <w:tc>
          <w:tcPr>
            <w:tcW w:w="1638" w:type="dxa"/>
            <w:shd w:val="clear" w:color="auto" w:fill="FFC000"/>
            <w:tcMar>
              <w:top w:w="15" w:type="dxa"/>
              <w:left w:w="15" w:type="dxa"/>
              <w:bottom w:w="15" w:type="dxa"/>
              <w:right w:w="15" w:type="dxa"/>
            </w:tcMar>
            <w:vAlign w:val="center"/>
          </w:tcPr>
          <w:p w:rsidRPr="00D75194" w:rsidR="3E74594B" w:rsidP="008E2151" w:rsidRDefault="511B8090" w14:paraId="7A2BB664" w14:textId="7060DB89">
            <w:pPr>
              <w:spacing w:after="0"/>
              <w:ind w:left="57" w:right="57"/>
              <w:jc w:val="left"/>
              <w:rPr>
                <w:rFonts w:eastAsia="Segoe UI" w:cs="Segoe UI"/>
                <w:sz w:val="16"/>
                <w:szCs w:val="16"/>
              </w:rPr>
            </w:pPr>
            <w:r w:rsidRPr="00D75194">
              <w:rPr>
                <w:rFonts w:eastAsia="Segoe UI" w:cs="Segoe UI"/>
                <w:sz w:val="16"/>
                <w:szCs w:val="16"/>
              </w:rPr>
              <w:t xml:space="preserve">Negotiation support: </w:t>
            </w:r>
            <w:r w:rsidRPr="00D75194" w:rsidR="3E74594B">
              <w:rPr>
                <w:rFonts w:eastAsia="Segoe UI" w:cs="Segoe UI"/>
                <w:sz w:val="16"/>
                <w:szCs w:val="16"/>
              </w:rPr>
              <w:t xml:space="preserve">47.3: </w:t>
            </w:r>
            <w:r w:rsidRPr="00D75194" w:rsidR="1F4B1D1E">
              <w:rPr>
                <w:rFonts w:eastAsia="Segoe UI" w:cs="Segoe UI"/>
                <w:sz w:val="16"/>
                <w:szCs w:val="16"/>
              </w:rPr>
              <w:t xml:space="preserve">Capacity building: </w:t>
            </w:r>
            <w:r w:rsidRPr="00D75194" w:rsidR="3E74594B">
              <w:rPr>
                <w:rFonts w:eastAsia="Segoe UI" w:cs="Segoe UI"/>
                <w:sz w:val="16"/>
                <w:szCs w:val="16"/>
              </w:rPr>
              <w:t>38.5:</w:t>
            </w:r>
          </w:p>
          <w:p w:rsidRPr="00D75194" w:rsidR="3E74594B" w:rsidP="3FC55FC4" w:rsidRDefault="4D7FF26D" w14:paraId="0D3CF30D" w14:textId="5F6B01CD">
            <w:pPr>
              <w:spacing w:after="0"/>
              <w:ind w:left="57" w:right="57"/>
              <w:jc w:val="left"/>
              <w:rPr>
                <w:rFonts w:eastAsia="Segoe UI" w:cs="Segoe UI"/>
                <w:sz w:val="16"/>
                <w:szCs w:val="16"/>
              </w:rPr>
            </w:pPr>
            <w:r w:rsidRPr="00D75194">
              <w:rPr>
                <w:rFonts w:eastAsia="Segoe UI" w:cs="Segoe UI"/>
                <w:sz w:val="16"/>
                <w:szCs w:val="16"/>
              </w:rPr>
              <w:t xml:space="preserve">Implementation: </w:t>
            </w:r>
            <w:r w:rsidRPr="00D75194" w:rsidR="3E74594B">
              <w:rPr>
                <w:rFonts w:eastAsia="Segoe UI" w:cs="Segoe UI"/>
                <w:sz w:val="16"/>
                <w:szCs w:val="16"/>
              </w:rPr>
              <w:t>11.5</w:t>
            </w:r>
          </w:p>
        </w:tc>
        <w:tc>
          <w:tcPr>
            <w:tcW w:w="1232" w:type="dxa"/>
            <w:shd w:val="clear" w:color="auto" w:fill="00B050"/>
            <w:tcMar>
              <w:top w:w="15" w:type="dxa"/>
              <w:left w:w="15" w:type="dxa"/>
              <w:bottom w:w="15" w:type="dxa"/>
              <w:right w:w="15" w:type="dxa"/>
            </w:tcMar>
            <w:vAlign w:val="center"/>
          </w:tcPr>
          <w:p w:rsidRPr="00D75194" w:rsidR="3E74594B" w:rsidP="008E2151" w:rsidRDefault="3E74594B" w14:paraId="1F8B6592" w14:textId="3CE29F1D">
            <w:pPr>
              <w:spacing w:after="0"/>
              <w:ind w:left="57" w:right="57"/>
              <w:jc w:val="left"/>
              <w:rPr>
                <w:rFonts w:eastAsia="Segoe UI" w:cs="Segoe UI"/>
                <w:sz w:val="16"/>
                <w:szCs w:val="16"/>
              </w:rPr>
            </w:pPr>
            <w:r w:rsidRPr="00D75194">
              <w:rPr>
                <w:rFonts w:eastAsia="Segoe UI" w:cs="Segoe UI"/>
                <w:sz w:val="16"/>
                <w:szCs w:val="16"/>
              </w:rPr>
              <w:t>Underspend</w:t>
            </w:r>
            <w:r w:rsidRPr="00D75194" w:rsidR="00DA1609">
              <w:rPr>
                <w:rFonts w:eastAsia="Segoe UI" w:cs="Segoe UI"/>
                <w:sz w:val="16"/>
                <w:szCs w:val="16"/>
              </w:rPr>
              <w:t>:</w:t>
            </w:r>
            <w:r w:rsidRPr="00D75194" w:rsidDel="00DA1609">
              <w:rPr>
                <w:rFonts w:eastAsia="Segoe UI" w:cs="Segoe UI"/>
                <w:sz w:val="16"/>
                <w:szCs w:val="16"/>
              </w:rPr>
              <w:t xml:space="preserve"> </w:t>
            </w:r>
            <w:r w:rsidRPr="00D75194">
              <w:rPr>
                <w:rFonts w:eastAsia="Segoe UI" w:cs="Segoe UI"/>
                <w:sz w:val="16"/>
                <w:szCs w:val="16"/>
              </w:rPr>
              <w:t>3.1% of budget unspent</w:t>
            </w:r>
          </w:p>
        </w:tc>
        <w:tc>
          <w:tcPr>
            <w:tcW w:w="1232" w:type="dxa"/>
            <w:shd w:val="clear" w:color="auto" w:fill="00B050"/>
            <w:tcMar>
              <w:top w:w="15" w:type="dxa"/>
              <w:left w:w="15" w:type="dxa"/>
              <w:bottom w:w="15" w:type="dxa"/>
              <w:right w:w="15" w:type="dxa"/>
            </w:tcMar>
            <w:vAlign w:val="center"/>
          </w:tcPr>
          <w:p w:rsidRPr="00D75194" w:rsidR="3E74594B" w:rsidP="008E2151" w:rsidRDefault="3E74594B" w14:paraId="758ED174" w14:textId="6BF55908">
            <w:pPr>
              <w:spacing w:after="0"/>
              <w:ind w:left="57" w:right="57"/>
              <w:jc w:val="left"/>
              <w:rPr>
                <w:rFonts w:eastAsia="Segoe UI" w:cs="Segoe UI"/>
                <w:sz w:val="16"/>
                <w:szCs w:val="16"/>
              </w:rPr>
            </w:pPr>
            <w:r w:rsidRPr="00D75194">
              <w:rPr>
                <w:rFonts w:eastAsia="Segoe UI" w:cs="Segoe UI"/>
                <w:sz w:val="16"/>
                <w:szCs w:val="16"/>
              </w:rPr>
              <w:t>Underspend</w:t>
            </w:r>
            <w:r w:rsidRPr="00D75194" w:rsidR="00DA1609">
              <w:rPr>
                <w:rFonts w:eastAsia="Segoe UI" w:cs="Segoe UI"/>
                <w:sz w:val="16"/>
                <w:szCs w:val="16"/>
              </w:rPr>
              <w:t>:</w:t>
            </w:r>
            <w:r w:rsidRPr="00D75194" w:rsidDel="00DA1609">
              <w:rPr>
                <w:rFonts w:eastAsia="Segoe UI" w:cs="Segoe UI"/>
                <w:sz w:val="16"/>
                <w:szCs w:val="16"/>
              </w:rPr>
              <w:t xml:space="preserve"> </w:t>
            </w:r>
            <w:r w:rsidRPr="00D75194">
              <w:rPr>
                <w:rFonts w:eastAsia="Segoe UI" w:cs="Segoe UI"/>
                <w:sz w:val="16"/>
                <w:szCs w:val="16"/>
              </w:rPr>
              <w:t>9</w:t>
            </w:r>
            <w:r w:rsidRPr="65EC14CC" w:rsidR="00DA1609">
              <w:rPr>
                <w:rFonts w:eastAsia="Segoe UI" w:cs="Segoe UI"/>
                <w:sz w:val="16"/>
                <w:szCs w:val="16"/>
              </w:rPr>
              <w:t>–</w:t>
            </w:r>
            <w:r w:rsidRPr="00D75194">
              <w:rPr>
                <w:rFonts w:eastAsia="Segoe UI" w:cs="Segoe UI"/>
                <w:sz w:val="16"/>
                <w:szCs w:val="16"/>
              </w:rPr>
              <w:t>15% of budget unspent</w:t>
            </w:r>
          </w:p>
        </w:tc>
        <w:tc>
          <w:tcPr>
            <w:tcW w:w="1231" w:type="dxa"/>
            <w:shd w:val="clear" w:color="auto" w:fill="00B050"/>
            <w:tcMar>
              <w:top w:w="15" w:type="dxa"/>
              <w:left w:w="15" w:type="dxa"/>
              <w:bottom w:w="15" w:type="dxa"/>
              <w:right w:w="15" w:type="dxa"/>
            </w:tcMar>
            <w:vAlign w:val="center"/>
          </w:tcPr>
          <w:p w:rsidRPr="00D75194" w:rsidR="3E74594B" w:rsidP="008E2151" w:rsidRDefault="3E74594B" w14:paraId="499A3C85" w14:textId="08C49B8C">
            <w:pPr>
              <w:spacing w:after="0"/>
              <w:ind w:left="57" w:right="57"/>
              <w:jc w:val="left"/>
              <w:rPr>
                <w:rFonts w:eastAsia="Segoe UI" w:cs="Segoe UI"/>
                <w:sz w:val="16"/>
                <w:szCs w:val="16"/>
              </w:rPr>
            </w:pPr>
            <w:r w:rsidRPr="00D75194">
              <w:rPr>
                <w:rFonts w:eastAsia="Segoe UI" w:cs="Segoe UI"/>
                <w:sz w:val="16"/>
                <w:szCs w:val="16"/>
              </w:rPr>
              <w:t>Underspend</w:t>
            </w:r>
            <w:r w:rsidRPr="00D75194" w:rsidR="006E6549">
              <w:rPr>
                <w:rFonts w:eastAsia="Segoe UI" w:cs="Segoe UI"/>
                <w:sz w:val="16"/>
                <w:szCs w:val="16"/>
              </w:rPr>
              <w:t>:</w:t>
            </w:r>
            <w:r w:rsidRPr="00D75194" w:rsidDel="006E6549">
              <w:rPr>
                <w:rFonts w:eastAsia="Segoe UI" w:cs="Segoe UI"/>
                <w:sz w:val="16"/>
                <w:szCs w:val="16"/>
              </w:rPr>
              <w:t xml:space="preserve"> </w:t>
            </w:r>
            <w:r w:rsidRPr="00D75194">
              <w:rPr>
                <w:rFonts w:eastAsia="Segoe UI" w:cs="Segoe UI"/>
                <w:sz w:val="16"/>
                <w:szCs w:val="16"/>
              </w:rPr>
              <w:t>5-7% of budget unspent</w:t>
            </w:r>
          </w:p>
        </w:tc>
        <w:tc>
          <w:tcPr>
            <w:tcW w:w="1232" w:type="dxa"/>
            <w:shd w:val="clear" w:color="auto" w:fill="FFC000"/>
            <w:tcMar>
              <w:top w:w="15" w:type="dxa"/>
              <w:left w:w="15" w:type="dxa"/>
              <w:bottom w:w="15" w:type="dxa"/>
              <w:right w:w="15" w:type="dxa"/>
            </w:tcMar>
            <w:vAlign w:val="center"/>
          </w:tcPr>
          <w:p w:rsidRPr="00D75194" w:rsidR="3E74594B" w:rsidP="008E2151" w:rsidRDefault="3E74594B" w14:paraId="02939836" w14:textId="377A7C37">
            <w:pPr>
              <w:spacing w:after="0"/>
              <w:ind w:left="57" w:right="57"/>
              <w:jc w:val="left"/>
              <w:rPr>
                <w:rFonts w:eastAsia="Segoe UI" w:cs="Segoe UI"/>
                <w:sz w:val="16"/>
                <w:szCs w:val="16"/>
              </w:rPr>
            </w:pPr>
            <w:r w:rsidRPr="00D75194">
              <w:rPr>
                <w:rFonts w:eastAsia="Segoe UI" w:cs="Segoe UI"/>
                <w:sz w:val="16"/>
                <w:szCs w:val="16"/>
              </w:rPr>
              <w:t>DAI: 18.7%</w:t>
            </w:r>
          </w:p>
          <w:p w:rsidRPr="00D75194" w:rsidR="3E74594B" w:rsidP="008E2151" w:rsidRDefault="3E74594B" w14:paraId="4179E4D4" w14:textId="5BC62011">
            <w:pPr>
              <w:spacing w:after="0"/>
              <w:ind w:left="57" w:right="57"/>
              <w:jc w:val="left"/>
              <w:rPr>
                <w:rFonts w:eastAsia="Segoe UI" w:cs="Segoe UI"/>
                <w:sz w:val="16"/>
                <w:szCs w:val="16"/>
              </w:rPr>
            </w:pPr>
            <w:r w:rsidRPr="00D75194">
              <w:rPr>
                <w:rFonts w:eastAsia="Segoe UI" w:cs="Segoe UI"/>
                <w:sz w:val="16"/>
                <w:szCs w:val="16"/>
              </w:rPr>
              <w:t>TPs: 5.7%</w:t>
            </w:r>
          </w:p>
          <w:p w:rsidRPr="00D75194" w:rsidR="3E74594B" w:rsidP="008E2151" w:rsidRDefault="3E74594B" w14:paraId="345F70B5" w14:textId="19D4742F">
            <w:pPr>
              <w:spacing w:after="0"/>
              <w:ind w:left="57" w:right="57"/>
              <w:jc w:val="left"/>
              <w:rPr>
                <w:rFonts w:eastAsia="Segoe UI" w:cs="Segoe UI"/>
                <w:sz w:val="16"/>
                <w:szCs w:val="16"/>
              </w:rPr>
            </w:pPr>
            <w:r w:rsidRPr="00D75194">
              <w:rPr>
                <w:rFonts w:eastAsia="Segoe UI" w:cs="Segoe UI"/>
                <w:sz w:val="16"/>
                <w:szCs w:val="16"/>
              </w:rPr>
              <w:t>OF: 47%</w:t>
            </w:r>
          </w:p>
          <w:p w:rsidRPr="00D75194" w:rsidR="3E74594B" w:rsidP="008E2151" w:rsidRDefault="3E74594B" w14:paraId="1C7CF9EB" w14:textId="1B7542E0">
            <w:pPr>
              <w:spacing w:after="0"/>
              <w:ind w:left="57" w:right="57"/>
              <w:jc w:val="left"/>
              <w:rPr>
                <w:rFonts w:eastAsia="Segoe UI" w:cs="Segoe UI"/>
                <w:sz w:val="16"/>
                <w:szCs w:val="16"/>
              </w:rPr>
            </w:pPr>
            <w:r w:rsidRPr="00D75194">
              <w:rPr>
                <w:rFonts w:eastAsia="Segoe UI" w:cs="Segoe UI"/>
                <w:sz w:val="16"/>
                <w:szCs w:val="16"/>
              </w:rPr>
              <w:t>Overall: 23.8%</w:t>
            </w:r>
          </w:p>
        </w:tc>
        <w:tc>
          <w:tcPr>
            <w:tcW w:w="1232" w:type="dxa"/>
            <w:shd w:val="clear" w:color="auto" w:fill="00B050"/>
            <w:tcMar>
              <w:top w:w="15" w:type="dxa"/>
              <w:left w:w="15" w:type="dxa"/>
              <w:bottom w:w="15" w:type="dxa"/>
              <w:right w:w="15" w:type="dxa"/>
            </w:tcMar>
            <w:vAlign w:val="center"/>
          </w:tcPr>
          <w:p w:rsidRPr="00D75194" w:rsidR="3E74594B" w:rsidP="008E2151" w:rsidRDefault="3E74594B" w14:paraId="72C11777" w14:textId="6EE36919">
            <w:pPr>
              <w:spacing w:after="0"/>
              <w:ind w:left="57" w:right="57"/>
              <w:jc w:val="left"/>
              <w:rPr>
                <w:rFonts w:eastAsia="Segoe UI" w:cs="Segoe UI"/>
                <w:sz w:val="16"/>
                <w:szCs w:val="16"/>
              </w:rPr>
            </w:pPr>
            <w:r w:rsidRPr="00D75194">
              <w:rPr>
                <w:rFonts w:eastAsia="Segoe UI" w:cs="Segoe UI"/>
                <w:sz w:val="16"/>
                <w:szCs w:val="16"/>
              </w:rPr>
              <w:t xml:space="preserve">7.4% </w:t>
            </w:r>
          </w:p>
        </w:tc>
        <w:tc>
          <w:tcPr>
            <w:tcW w:w="1232" w:type="dxa"/>
            <w:shd w:val="clear" w:color="auto" w:fill="00B050"/>
            <w:tcMar>
              <w:top w:w="15" w:type="dxa"/>
              <w:left w:w="15" w:type="dxa"/>
              <w:bottom w:w="15" w:type="dxa"/>
              <w:right w:w="15" w:type="dxa"/>
            </w:tcMar>
            <w:vAlign w:val="center"/>
          </w:tcPr>
          <w:p w:rsidRPr="00D75194" w:rsidR="3E74594B" w:rsidP="008E2151" w:rsidRDefault="00690A66" w14:paraId="1F7ACE99" w14:textId="6B5DCEC0">
            <w:pPr>
              <w:spacing w:after="0"/>
              <w:ind w:left="57" w:right="57"/>
              <w:jc w:val="left"/>
              <w:rPr>
                <w:rFonts w:eastAsia="Segoe UI" w:cs="Segoe UI"/>
                <w:sz w:val="16"/>
                <w:szCs w:val="16"/>
              </w:rPr>
            </w:pPr>
            <w:r w:rsidRPr="65EC14CC">
              <w:rPr>
                <w:rFonts w:eastAsia="Segoe UI" w:cs="Segoe UI"/>
                <w:sz w:val="16"/>
                <w:szCs w:val="16"/>
              </w:rPr>
              <w:t>TP</w:t>
            </w:r>
            <w:r w:rsidRPr="65EC14CC" w:rsidR="3E74594B">
              <w:rPr>
                <w:rFonts w:eastAsia="Segoe UI" w:cs="Segoe UI"/>
                <w:sz w:val="16"/>
                <w:szCs w:val="16"/>
              </w:rPr>
              <w:t>s: £486.74</w:t>
            </w:r>
          </w:p>
          <w:p w:rsidRPr="00D75194" w:rsidR="3E74594B" w:rsidP="008E2151" w:rsidRDefault="3E74594B" w14:paraId="68AA4AB7" w14:textId="0394D791">
            <w:pPr>
              <w:spacing w:after="0"/>
              <w:ind w:left="57" w:right="57"/>
              <w:jc w:val="left"/>
              <w:rPr>
                <w:rFonts w:eastAsia="Segoe UI" w:cs="Segoe UI"/>
                <w:sz w:val="16"/>
                <w:szCs w:val="16"/>
              </w:rPr>
            </w:pPr>
            <w:r w:rsidRPr="00D75194">
              <w:rPr>
                <w:rFonts w:eastAsia="Segoe UI" w:cs="Segoe UI"/>
                <w:sz w:val="16"/>
                <w:szCs w:val="16"/>
              </w:rPr>
              <w:t xml:space="preserve"> </w:t>
            </w:r>
          </w:p>
          <w:p w:rsidRPr="00D75194" w:rsidR="3E74594B" w:rsidP="008E2151" w:rsidRDefault="005025FC" w14:paraId="28831249" w14:textId="01CEDA8B">
            <w:pPr>
              <w:spacing w:after="0"/>
              <w:ind w:left="57" w:right="57"/>
              <w:jc w:val="left"/>
              <w:rPr>
                <w:rFonts w:eastAsia="Segoe UI" w:cs="Segoe UI"/>
                <w:sz w:val="16"/>
                <w:szCs w:val="16"/>
              </w:rPr>
            </w:pPr>
            <w:r w:rsidRPr="65EC14CC">
              <w:rPr>
                <w:rFonts w:eastAsia="Segoe UI" w:cs="Segoe UI"/>
                <w:sz w:val="16"/>
                <w:szCs w:val="16"/>
              </w:rPr>
              <w:t>OF</w:t>
            </w:r>
            <w:r w:rsidRPr="65EC14CC" w:rsidR="3E74594B">
              <w:rPr>
                <w:rFonts w:eastAsia="Segoe UI" w:cs="Segoe UI"/>
                <w:sz w:val="16"/>
                <w:szCs w:val="16"/>
              </w:rPr>
              <w:t>: £205.50</w:t>
            </w:r>
          </w:p>
        </w:tc>
      </w:tr>
      <w:tr w:rsidRPr="00D75194" w:rsidR="00DE5B07" w:rsidTr="009C67FD" w14:paraId="4EE92247" w14:textId="77777777">
        <w:trPr>
          <w:trHeight w:val="570"/>
        </w:trPr>
        <w:tc>
          <w:tcPr>
            <w:tcW w:w="825" w:type="dxa"/>
            <w:shd w:val="clear" w:color="auto" w:fill="F2F2F2" w:themeFill="background1" w:themeFillShade="F2"/>
            <w:tcMar>
              <w:top w:w="15" w:type="dxa"/>
              <w:left w:w="15" w:type="dxa"/>
              <w:bottom w:w="15" w:type="dxa"/>
              <w:right w:w="15" w:type="dxa"/>
            </w:tcMar>
            <w:vAlign w:val="center"/>
          </w:tcPr>
          <w:p w:rsidRPr="00D75194" w:rsidR="61E01308" w:rsidP="6140C835" w:rsidRDefault="61E01308" w14:paraId="7F6B84B2" w14:textId="44DFCE67">
            <w:pPr>
              <w:spacing w:after="0"/>
              <w:jc w:val="left"/>
              <w:rPr>
                <w:rFonts w:eastAsia="Segoe UI" w:cs="Segoe UI"/>
                <w:b/>
                <w:sz w:val="16"/>
                <w:szCs w:val="16"/>
              </w:rPr>
            </w:pPr>
            <w:r w:rsidRPr="00D75194">
              <w:rPr>
                <w:rFonts w:eastAsia="Segoe UI" w:cs="Segoe UI"/>
                <w:b/>
                <w:bCs/>
                <w:sz w:val="16"/>
                <w:szCs w:val="16"/>
              </w:rPr>
              <w:t>Data source</w:t>
            </w:r>
          </w:p>
        </w:tc>
        <w:tc>
          <w:tcPr>
            <w:tcW w:w="1638" w:type="dxa"/>
            <w:tcMar>
              <w:top w:w="15" w:type="dxa"/>
              <w:left w:w="15" w:type="dxa"/>
              <w:bottom w:w="15" w:type="dxa"/>
              <w:right w:w="15" w:type="dxa"/>
            </w:tcMar>
            <w:vAlign w:val="center"/>
          </w:tcPr>
          <w:p w:rsidRPr="00D75194" w:rsidR="3E74594B" w:rsidP="008E2151" w:rsidRDefault="3E74594B" w14:paraId="754577D3" w14:textId="6DDA8DE7">
            <w:pPr>
              <w:spacing w:after="0"/>
              <w:ind w:left="57" w:right="57"/>
              <w:jc w:val="left"/>
              <w:rPr>
                <w:rFonts w:eastAsia="Segoe UI" w:cs="Segoe UI"/>
                <w:sz w:val="16"/>
                <w:szCs w:val="16"/>
              </w:rPr>
            </w:pPr>
            <w:r w:rsidRPr="00D75194">
              <w:rPr>
                <w:rFonts w:eastAsia="Segoe UI" w:cs="Segoe UI"/>
                <w:sz w:val="16"/>
                <w:szCs w:val="16"/>
              </w:rPr>
              <w:t>Q3 DAI report to DESNZ</w:t>
            </w:r>
          </w:p>
          <w:p w:rsidRPr="00D75194" w:rsidR="3E74594B" w:rsidP="7B7A1506" w:rsidRDefault="3E74594B" w14:paraId="15C27E5A" w14:textId="0E929D8A">
            <w:pPr>
              <w:spacing w:after="0"/>
              <w:ind w:left="57" w:right="57"/>
              <w:jc w:val="left"/>
              <w:rPr>
                <w:rFonts w:eastAsia="Segoe UI" w:cs="Segoe UI"/>
                <w:sz w:val="16"/>
                <w:szCs w:val="16"/>
              </w:rPr>
            </w:pPr>
            <w:r w:rsidRPr="00D75194">
              <w:rPr>
                <w:rFonts w:eastAsia="Segoe UI" w:cs="Segoe UI"/>
                <w:sz w:val="16"/>
                <w:szCs w:val="16"/>
              </w:rPr>
              <w:t xml:space="preserve"> </w:t>
            </w:r>
          </w:p>
          <w:p w:rsidRPr="00D75194" w:rsidR="3E74594B" w:rsidP="7B7A1506" w:rsidRDefault="3E74594B" w14:paraId="214F5D25" w14:textId="61AE1AFD">
            <w:pPr>
              <w:spacing w:after="0"/>
              <w:ind w:right="57"/>
              <w:jc w:val="left"/>
              <w:rPr>
                <w:rFonts w:eastAsia="Segoe UI" w:cs="Segoe UI"/>
                <w:sz w:val="16"/>
                <w:szCs w:val="16"/>
              </w:rPr>
            </w:pPr>
          </w:p>
        </w:tc>
        <w:tc>
          <w:tcPr>
            <w:tcW w:w="1232" w:type="dxa"/>
            <w:tcMar>
              <w:top w:w="15" w:type="dxa"/>
              <w:left w:w="15" w:type="dxa"/>
              <w:bottom w:w="15" w:type="dxa"/>
              <w:right w:w="15" w:type="dxa"/>
            </w:tcMar>
            <w:vAlign w:val="center"/>
          </w:tcPr>
          <w:p w:rsidRPr="00D75194" w:rsidR="3E74594B" w:rsidP="008E2151" w:rsidRDefault="3E74594B" w14:paraId="02724FD6" w14:textId="464F36C1">
            <w:pPr>
              <w:spacing w:after="0"/>
              <w:ind w:left="57" w:right="57"/>
              <w:jc w:val="left"/>
              <w:rPr>
                <w:rFonts w:eastAsia="Segoe UI" w:cs="Segoe UI"/>
                <w:sz w:val="16"/>
                <w:szCs w:val="16"/>
              </w:rPr>
            </w:pPr>
            <w:r w:rsidRPr="00D75194">
              <w:rPr>
                <w:rFonts w:eastAsia="Segoe UI" w:cs="Segoe UI"/>
                <w:sz w:val="16"/>
                <w:szCs w:val="16"/>
              </w:rPr>
              <w:t>Bi</w:t>
            </w:r>
            <w:r w:rsidRPr="00D75194" w:rsidR="00B2550B">
              <w:rPr>
                <w:rFonts w:eastAsia="Segoe UI" w:cs="Segoe UI"/>
                <w:sz w:val="16"/>
                <w:szCs w:val="16"/>
              </w:rPr>
              <w:t>-</w:t>
            </w:r>
            <w:r w:rsidRPr="00D75194" w:rsidDel="00B2550B">
              <w:rPr>
                <w:rFonts w:eastAsia="Segoe UI" w:cs="Segoe UI"/>
                <w:sz w:val="16"/>
                <w:szCs w:val="16"/>
              </w:rPr>
              <w:t>monthly</w:t>
            </w:r>
            <w:r w:rsidRPr="00D75194">
              <w:rPr>
                <w:rFonts w:eastAsia="Segoe UI" w:cs="Segoe UI"/>
                <w:sz w:val="16"/>
                <w:szCs w:val="16"/>
              </w:rPr>
              <w:t xml:space="preserve"> reports to DESNZ</w:t>
            </w:r>
          </w:p>
        </w:tc>
        <w:tc>
          <w:tcPr>
            <w:tcW w:w="1232" w:type="dxa"/>
            <w:tcMar>
              <w:top w:w="15" w:type="dxa"/>
              <w:left w:w="15" w:type="dxa"/>
              <w:bottom w:w="15" w:type="dxa"/>
              <w:right w:w="15" w:type="dxa"/>
            </w:tcMar>
            <w:vAlign w:val="center"/>
          </w:tcPr>
          <w:p w:rsidRPr="00D75194" w:rsidR="3E74594B" w:rsidP="008E2151" w:rsidRDefault="3E74594B" w14:paraId="5029B2CA" w14:textId="01A0ECCC">
            <w:pPr>
              <w:spacing w:after="0"/>
              <w:ind w:left="57" w:right="57"/>
              <w:jc w:val="left"/>
              <w:rPr>
                <w:rFonts w:eastAsia="Segoe UI" w:cs="Segoe UI"/>
                <w:sz w:val="16"/>
                <w:szCs w:val="16"/>
              </w:rPr>
            </w:pPr>
            <w:r w:rsidRPr="00D75194">
              <w:rPr>
                <w:rFonts w:eastAsia="Segoe UI" w:cs="Segoe UI"/>
                <w:sz w:val="16"/>
                <w:szCs w:val="16"/>
              </w:rPr>
              <w:t xml:space="preserve">DAI VFM </w:t>
            </w:r>
            <w:r w:rsidRPr="65EC14CC" w:rsidR="004A7A6F">
              <w:rPr>
                <w:rFonts w:eastAsia="Segoe UI" w:cs="Segoe UI"/>
                <w:sz w:val="16"/>
                <w:szCs w:val="16"/>
              </w:rPr>
              <w:t>a</w:t>
            </w:r>
            <w:r w:rsidRPr="65EC14CC">
              <w:rPr>
                <w:rFonts w:eastAsia="Segoe UI" w:cs="Segoe UI"/>
                <w:sz w:val="16"/>
                <w:szCs w:val="16"/>
              </w:rPr>
              <w:t>nalysis</w:t>
            </w:r>
          </w:p>
          <w:p w:rsidRPr="00D75194" w:rsidR="3E74594B" w:rsidP="008E2151" w:rsidRDefault="3E74594B" w14:paraId="2B6BEBB0" w14:textId="65DCFB34">
            <w:pPr>
              <w:spacing w:after="0"/>
              <w:ind w:left="57" w:right="57"/>
              <w:jc w:val="left"/>
              <w:rPr>
                <w:rFonts w:eastAsia="Segoe UI" w:cs="Segoe UI"/>
                <w:sz w:val="16"/>
                <w:szCs w:val="16"/>
              </w:rPr>
            </w:pPr>
            <w:r w:rsidRPr="00D75194">
              <w:rPr>
                <w:rFonts w:eastAsia="Segoe UI" w:cs="Segoe UI"/>
                <w:sz w:val="16"/>
                <w:szCs w:val="16"/>
              </w:rPr>
              <w:t>Q3 DAI report to DESNZ</w:t>
            </w:r>
          </w:p>
        </w:tc>
        <w:tc>
          <w:tcPr>
            <w:tcW w:w="1231" w:type="dxa"/>
            <w:tcMar>
              <w:top w:w="15" w:type="dxa"/>
              <w:left w:w="15" w:type="dxa"/>
              <w:bottom w:w="15" w:type="dxa"/>
              <w:right w:w="15" w:type="dxa"/>
            </w:tcMar>
            <w:vAlign w:val="center"/>
          </w:tcPr>
          <w:p w:rsidRPr="00D75194" w:rsidR="3E74594B" w:rsidP="008E2151" w:rsidRDefault="3E74594B" w14:paraId="48AD4909" w14:textId="769FD6EA">
            <w:pPr>
              <w:spacing w:after="0"/>
              <w:ind w:left="57" w:right="57"/>
              <w:jc w:val="left"/>
              <w:rPr>
                <w:rFonts w:eastAsia="Segoe UI" w:cs="Segoe UI"/>
                <w:sz w:val="16"/>
                <w:szCs w:val="16"/>
              </w:rPr>
            </w:pPr>
            <w:r w:rsidRPr="00D75194">
              <w:rPr>
                <w:rFonts w:eastAsia="Segoe UI" w:cs="Segoe UI"/>
                <w:sz w:val="16"/>
                <w:szCs w:val="16"/>
              </w:rPr>
              <w:t xml:space="preserve">DAI VFM </w:t>
            </w:r>
            <w:r w:rsidRPr="65EC14CC" w:rsidR="000E553B">
              <w:rPr>
                <w:rFonts w:eastAsia="Segoe UI" w:cs="Segoe UI"/>
                <w:sz w:val="16"/>
                <w:szCs w:val="16"/>
              </w:rPr>
              <w:t>a</w:t>
            </w:r>
            <w:r w:rsidRPr="65EC14CC">
              <w:rPr>
                <w:rFonts w:eastAsia="Segoe UI" w:cs="Segoe UI"/>
                <w:sz w:val="16"/>
                <w:szCs w:val="16"/>
              </w:rPr>
              <w:t>nalysis</w:t>
            </w:r>
          </w:p>
          <w:p w:rsidRPr="00D75194" w:rsidR="3E74594B" w:rsidP="008E2151" w:rsidRDefault="3E74594B" w14:paraId="1FC1431B" w14:textId="14D58184">
            <w:pPr>
              <w:spacing w:after="0"/>
              <w:ind w:left="57" w:right="57"/>
              <w:jc w:val="left"/>
              <w:rPr>
                <w:rFonts w:eastAsia="Segoe UI" w:cs="Segoe UI"/>
                <w:sz w:val="16"/>
                <w:szCs w:val="16"/>
              </w:rPr>
            </w:pPr>
            <w:r w:rsidRPr="00D75194">
              <w:rPr>
                <w:rFonts w:eastAsia="Segoe UI" w:cs="Segoe UI"/>
                <w:sz w:val="16"/>
                <w:szCs w:val="16"/>
              </w:rPr>
              <w:t>Q3 DAI report to DESNZ</w:t>
            </w:r>
          </w:p>
        </w:tc>
        <w:tc>
          <w:tcPr>
            <w:tcW w:w="1232" w:type="dxa"/>
            <w:tcMar>
              <w:top w:w="15" w:type="dxa"/>
              <w:left w:w="15" w:type="dxa"/>
              <w:bottom w:w="15" w:type="dxa"/>
              <w:right w:w="15" w:type="dxa"/>
            </w:tcMar>
            <w:vAlign w:val="center"/>
          </w:tcPr>
          <w:p w:rsidRPr="00D75194" w:rsidR="3E74594B" w:rsidP="008E2151" w:rsidRDefault="3E74594B" w14:paraId="5E460704" w14:textId="200AE0BB">
            <w:pPr>
              <w:spacing w:after="0"/>
              <w:ind w:left="57" w:right="57"/>
              <w:jc w:val="left"/>
              <w:rPr>
                <w:rFonts w:eastAsia="Segoe UI" w:cs="Segoe UI"/>
                <w:sz w:val="16"/>
                <w:szCs w:val="16"/>
              </w:rPr>
            </w:pPr>
            <w:r w:rsidRPr="00D75194">
              <w:rPr>
                <w:rFonts w:eastAsia="Segoe UI" w:cs="Segoe UI"/>
                <w:sz w:val="16"/>
                <w:szCs w:val="16"/>
              </w:rPr>
              <w:t>DAI VFM analysis</w:t>
            </w:r>
          </w:p>
          <w:p w:rsidRPr="00D75194" w:rsidR="3E74594B" w:rsidP="008E2151" w:rsidRDefault="3E74594B" w14:paraId="0AC1B0DF" w14:textId="32D5E240">
            <w:pPr>
              <w:spacing w:after="0"/>
              <w:ind w:left="57" w:right="57"/>
              <w:jc w:val="left"/>
              <w:rPr>
                <w:rFonts w:eastAsia="Segoe UI" w:cs="Segoe UI"/>
                <w:sz w:val="16"/>
                <w:szCs w:val="16"/>
              </w:rPr>
            </w:pPr>
            <w:r w:rsidRPr="00D75194">
              <w:rPr>
                <w:rFonts w:eastAsia="Segoe UI" w:cs="Segoe UI"/>
                <w:sz w:val="16"/>
                <w:szCs w:val="16"/>
              </w:rPr>
              <w:t>Interim report VFM analysis</w:t>
            </w:r>
          </w:p>
        </w:tc>
        <w:tc>
          <w:tcPr>
            <w:tcW w:w="1232" w:type="dxa"/>
            <w:tcMar>
              <w:top w:w="15" w:type="dxa"/>
              <w:left w:w="15" w:type="dxa"/>
              <w:bottom w:w="15" w:type="dxa"/>
              <w:right w:w="15" w:type="dxa"/>
            </w:tcMar>
            <w:vAlign w:val="center"/>
          </w:tcPr>
          <w:p w:rsidRPr="00D75194" w:rsidR="3E74594B" w:rsidP="008E2151" w:rsidRDefault="3E74594B" w14:paraId="33F77D7B" w14:textId="232B55CC">
            <w:pPr>
              <w:spacing w:after="0"/>
              <w:ind w:left="57" w:right="57"/>
              <w:jc w:val="left"/>
              <w:rPr>
                <w:rFonts w:eastAsia="Segoe UI" w:cs="Segoe UI"/>
                <w:sz w:val="16"/>
                <w:szCs w:val="16"/>
              </w:rPr>
            </w:pPr>
            <w:r w:rsidRPr="00D75194">
              <w:rPr>
                <w:rFonts w:eastAsia="Segoe UI" w:cs="Segoe UI"/>
                <w:sz w:val="16"/>
                <w:szCs w:val="16"/>
              </w:rPr>
              <w:t>Q3 DAI report to DESNZ</w:t>
            </w:r>
          </w:p>
          <w:p w:rsidRPr="00D75194" w:rsidR="3E74594B" w:rsidP="008E2151" w:rsidRDefault="3E74594B" w14:paraId="29765BEC" w14:textId="66129BEB">
            <w:pPr>
              <w:spacing w:after="0"/>
              <w:ind w:left="57" w:right="57"/>
              <w:jc w:val="left"/>
              <w:rPr>
                <w:rFonts w:eastAsia="Segoe UI" w:cs="Segoe UI"/>
                <w:sz w:val="16"/>
                <w:szCs w:val="16"/>
              </w:rPr>
            </w:pPr>
            <w:r w:rsidRPr="00D75194">
              <w:rPr>
                <w:rFonts w:eastAsia="Segoe UI" w:cs="Segoe UI"/>
                <w:sz w:val="16"/>
                <w:szCs w:val="16"/>
              </w:rPr>
              <w:t xml:space="preserve"> </w:t>
            </w:r>
          </w:p>
        </w:tc>
        <w:tc>
          <w:tcPr>
            <w:tcW w:w="1232" w:type="dxa"/>
            <w:tcMar>
              <w:top w:w="15" w:type="dxa"/>
              <w:left w:w="15" w:type="dxa"/>
              <w:bottom w:w="15" w:type="dxa"/>
              <w:right w:w="15" w:type="dxa"/>
            </w:tcMar>
            <w:vAlign w:val="center"/>
          </w:tcPr>
          <w:p w:rsidRPr="00D75194" w:rsidR="3E74594B" w:rsidP="10DE302C" w:rsidRDefault="3E74594B" w14:paraId="0D0A8503" w14:textId="4BCB1C73">
            <w:pPr>
              <w:spacing w:after="0"/>
              <w:ind w:left="57" w:right="57"/>
              <w:jc w:val="left"/>
              <w:rPr>
                <w:rFonts w:eastAsia="Segoe UI" w:cs="Segoe UI"/>
                <w:sz w:val="16"/>
                <w:szCs w:val="16"/>
              </w:rPr>
            </w:pPr>
            <w:r w:rsidRPr="00D75194">
              <w:rPr>
                <w:rFonts w:eastAsia="Segoe UI" w:cs="Segoe UI"/>
                <w:sz w:val="16"/>
                <w:szCs w:val="16"/>
              </w:rPr>
              <w:t>Bi</w:t>
            </w:r>
            <w:r w:rsidRPr="00D75194" w:rsidR="00B2550B">
              <w:rPr>
                <w:rFonts w:eastAsia="Segoe UI" w:cs="Segoe UI"/>
                <w:sz w:val="16"/>
                <w:szCs w:val="16"/>
              </w:rPr>
              <w:t>-</w:t>
            </w:r>
            <w:r w:rsidRPr="00D75194" w:rsidDel="00B2550B">
              <w:rPr>
                <w:rFonts w:eastAsia="Segoe UI" w:cs="Segoe UI"/>
                <w:sz w:val="16"/>
                <w:szCs w:val="16"/>
              </w:rPr>
              <w:t>monthly</w:t>
            </w:r>
            <w:r w:rsidRPr="00D75194">
              <w:rPr>
                <w:rFonts w:eastAsia="Segoe UI" w:cs="Segoe UI"/>
                <w:sz w:val="16"/>
                <w:szCs w:val="16"/>
              </w:rPr>
              <w:t xml:space="preserve"> invoices to DESNZ</w:t>
            </w:r>
          </w:p>
          <w:p w:rsidRPr="00D75194" w:rsidR="3E74594B" w:rsidP="008E2151" w:rsidRDefault="3E74594B" w14:paraId="6262001C" w14:textId="3ADAC0A9">
            <w:pPr>
              <w:spacing w:after="0"/>
              <w:ind w:left="57" w:right="57"/>
              <w:jc w:val="left"/>
              <w:rPr>
                <w:rFonts w:eastAsia="Segoe UI" w:cs="Segoe UI"/>
                <w:sz w:val="16"/>
                <w:szCs w:val="16"/>
              </w:rPr>
            </w:pPr>
          </w:p>
        </w:tc>
      </w:tr>
    </w:tbl>
    <w:p w:rsidRPr="00D75194" w:rsidR="00083A6A" w:rsidP="00D463A8" w:rsidRDefault="1940839D" w14:paraId="50F4BE6B" w14:textId="428B5138">
      <w:pPr>
        <w:spacing w:after="160" w:line="257" w:lineRule="auto"/>
        <w:rPr>
          <w:rFonts w:eastAsia="Segoe UI" w:cs="Segoe UI"/>
        </w:rPr>
      </w:pPr>
      <w:r w:rsidRPr="00D75194">
        <w:rPr>
          <w:rFonts w:eastAsia="Segoe UI" w:cs="Segoe UI"/>
        </w:rPr>
        <w:t>CASA II</w:t>
      </w:r>
      <w:r w:rsidRPr="00D75194" w:rsidR="002F2EB7">
        <w:rPr>
          <w:rFonts w:eastAsia="Segoe UI" w:cs="Segoe UI"/>
        </w:rPr>
        <w:t xml:space="preserve"> has</w:t>
      </w:r>
      <w:r w:rsidRPr="00D75194">
        <w:rPr>
          <w:rFonts w:eastAsia="Segoe UI" w:cs="Segoe UI"/>
        </w:rPr>
        <w:t xml:space="preserve"> performed well on </w:t>
      </w:r>
      <w:r w:rsidRPr="00D75194" w:rsidR="002F2EB7">
        <w:rPr>
          <w:rFonts w:eastAsia="Segoe UI" w:cs="Segoe UI"/>
        </w:rPr>
        <w:t>economy</w:t>
      </w:r>
      <w:r w:rsidRPr="00D75194">
        <w:rPr>
          <w:rFonts w:eastAsia="Segoe UI" w:cs="Segoe UI"/>
        </w:rPr>
        <w:t>, maintaining budget discipline</w:t>
      </w:r>
      <w:r w:rsidRPr="00D75194" w:rsidR="00B700C5">
        <w:rPr>
          <w:rFonts w:eastAsia="Segoe UI" w:cs="Segoe UI"/>
        </w:rPr>
        <w:t xml:space="preserve"> and </w:t>
      </w:r>
      <w:r w:rsidRPr="00D75194">
        <w:rPr>
          <w:rFonts w:eastAsia="Segoe UI" w:cs="Segoe UI"/>
        </w:rPr>
        <w:t>securing competitive input costs</w:t>
      </w:r>
      <w:r w:rsidRPr="00D75194" w:rsidR="00B700C5">
        <w:rPr>
          <w:rFonts w:eastAsia="Segoe UI" w:cs="Segoe UI"/>
        </w:rPr>
        <w:t>,</w:t>
      </w:r>
      <w:r w:rsidRPr="00D75194" w:rsidR="006F355D">
        <w:rPr>
          <w:rStyle w:val="FootnoteReference"/>
          <w:rFonts w:eastAsia="Segoe UI" w:cs="Segoe UI"/>
        </w:rPr>
        <w:footnoteReference w:id="12"/>
      </w:r>
      <w:r w:rsidRPr="00D75194">
        <w:rPr>
          <w:rFonts w:eastAsia="Segoe UI" w:cs="Segoe UI"/>
        </w:rPr>
        <w:t xml:space="preserve"> </w:t>
      </w:r>
      <w:r w:rsidRPr="00D75194" w:rsidR="20A91401">
        <w:rPr>
          <w:rFonts w:eastAsia="Segoe UI" w:cs="Segoe UI"/>
        </w:rPr>
        <w:t>with TPs</w:t>
      </w:r>
      <w:r w:rsidRPr="00D75194">
        <w:rPr>
          <w:rFonts w:eastAsia="Segoe UI" w:cs="Segoe UI"/>
        </w:rPr>
        <w:t xml:space="preserve"> applying higher-cost resources selectively where strategic value was highest</w:t>
      </w:r>
      <w:r w:rsidRPr="00D75194" w:rsidR="49F5481B">
        <w:rPr>
          <w:rFonts w:eastAsia="Segoe UI" w:cs="Segoe UI"/>
        </w:rPr>
        <w:t xml:space="preserve">, such as using senior staff to work directly with the LDC </w:t>
      </w:r>
      <w:r w:rsidRPr="00D75194" w:rsidR="00B700C5">
        <w:rPr>
          <w:rFonts w:eastAsia="Segoe UI" w:cs="Segoe UI"/>
        </w:rPr>
        <w:t>chair</w:t>
      </w:r>
      <w:r w:rsidRPr="00D75194">
        <w:rPr>
          <w:rFonts w:eastAsia="Segoe UI" w:cs="Segoe UI"/>
        </w:rPr>
        <w:t xml:space="preserve">. Delivery </w:t>
      </w:r>
      <w:r w:rsidRPr="00D75194" w:rsidR="00B625FC">
        <w:rPr>
          <w:rFonts w:eastAsia="Segoe UI" w:cs="Segoe UI"/>
        </w:rPr>
        <w:t xml:space="preserve">has been </w:t>
      </w:r>
      <w:r w:rsidRPr="00D75194">
        <w:rPr>
          <w:rFonts w:eastAsia="Segoe UI" w:cs="Segoe UI"/>
        </w:rPr>
        <w:t xml:space="preserve">achieved within budget across all work packages, and overall cost control </w:t>
      </w:r>
      <w:r w:rsidRPr="00D75194" w:rsidR="00B625FC">
        <w:rPr>
          <w:rFonts w:eastAsia="Segoe UI" w:cs="Segoe UI"/>
        </w:rPr>
        <w:t xml:space="preserve">has been </w:t>
      </w:r>
      <w:r w:rsidRPr="00D75194">
        <w:rPr>
          <w:rFonts w:eastAsia="Segoe UI" w:cs="Segoe UI"/>
        </w:rPr>
        <w:t>strong.</w:t>
      </w:r>
      <w:r w:rsidRPr="00D75194" w:rsidR="009B34BD">
        <w:rPr>
          <w:rFonts w:eastAsia="Segoe UI" w:cs="Segoe UI"/>
        </w:rPr>
        <w:t xml:space="preserve"> </w:t>
      </w:r>
    </w:p>
    <w:p w:rsidRPr="00D75194" w:rsidR="00EF6EE9" w:rsidP="0035588A" w:rsidRDefault="1940839D" w14:paraId="607E9953" w14:textId="72E733B1">
      <w:pPr>
        <w:spacing w:after="160" w:line="257" w:lineRule="auto"/>
      </w:pPr>
      <w:r w:rsidRPr="1FCBD459">
        <w:rPr>
          <w:rFonts w:eastAsia="Segoe UI" w:cs="Segoe UI"/>
        </w:rPr>
        <w:t xml:space="preserve">Underspends </w:t>
      </w:r>
      <w:r w:rsidRPr="1FCBD459" w:rsidR="00EF1B92">
        <w:rPr>
          <w:rFonts w:eastAsia="Segoe UI" w:cs="Segoe UI"/>
        </w:rPr>
        <w:t xml:space="preserve">have been </w:t>
      </w:r>
      <w:r w:rsidRPr="1FCBD459">
        <w:rPr>
          <w:rFonts w:eastAsia="Segoe UI" w:cs="Segoe UI"/>
        </w:rPr>
        <w:t xml:space="preserve">recorded across the programme, ranging from 3.1% to 15%, depending on the workstream and calculation method. DAI’s management fee </w:t>
      </w:r>
      <w:r w:rsidRPr="1FCBD459" w:rsidR="00CB0F56">
        <w:rPr>
          <w:rFonts w:eastAsia="Segoe UI" w:cs="Segoe UI"/>
        </w:rPr>
        <w:t xml:space="preserve">has </w:t>
      </w:r>
      <w:r w:rsidRPr="1FCBD459">
        <w:rPr>
          <w:rFonts w:eastAsia="Segoe UI" w:cs="Segoe UI"/>
        </w:rPr>
        <w:t>remained lean</w:t>
      </w:r>
      <w:r w:rsidRPr="1FCBD459" w:rsidR="00CB0F56">
        <w:rPr>
          <w:rFonts w:eastAsia="Segoe UI" w:cs="Segoe UI"/>
        </w:rPr>
        <w:t>,</w:t>
      </w:r>
      <w:r w:rsidRPr="1FCBD459">
        <w:rPr>
          <w:rFonts w:eastAsia="Segoe UI" w:cs="Segoe UI"/>
        </w:rPr>
        <w:t xml:space="preserve"> at 7.4%, significantly below comparable programmes</w:t>
      </w:r>
      <w:r w:rsidRPr="1FCBD459" w:rsidR="000A6013">
        <w:rPr>
          <w:rFonts w:eastAsia="Segoe UI" w:cs="Segoe UI"/>
        </w:rPr>
        <w:t>,</w:t>
      </w:r>
      <w:r w:rsidRPr="1FCBD459">
        <w:rPr>
          <w:rFonts w:eastAsia="Segoe UI" w:cs="Segoe UI"/>
        </w:rPr>
        <w:t xml:space="preserve"> where fees can reach 12–15% when profit is included. This reflects an efficient central delivery model, particularly given the coordination demands of a multi-partner programme.</w:t>
      </w:r>
      <w:r w:rsidR="0035588A">
        <w:t xml:space="preserve"> </w:t>
      </w:r>
    </w:p>
    <w:p w:rsidRPr="00D75194" w:rsidR="00083A6A" w:rsidP="00D463A8" w:rsidRDefault="1940839D" w14:paraId="0ED43457" w14:textId="42738C62">
      <w:pPr>
        <w:spacing w:after="160" w:line="257" w:lineRule="auto"/>
        <w:rPr>
          <w:rFonts w:eastAsia="Segoe UI" w:cs="Segoe UI"/>
        </w:rPr>
      </w:pPr>
      <w:r w:rsidRPr="00D75194">
        <w:rPr>
          <w:rFonts w:eastAsia="Segoe UI" w:cs="Segoe UI"/>
        </w:rPr>
        <w:t xml:space="preserve">The </w:t>
      </w:r>
      <w:r w:rsidRPr="00D75194">
        <w:rPr>
          <w:rFonts w:eastAsia="Segoe UI" w:cs="Segoe UI"/>
          <w:b/>
          <w:bCs/>
        </w:rPr>
        <w:t>distribution of expenditure across the three cost drivers</w:t>
      </w:r>
      <w:r w:rsidRPr="00D75194">
        <w:rPr>
          <w:rFonts w:eastAsia="Segoe UI" w:cs="Segoe UI"/>
        </w:rPr>
        <w:t>—</w:t>
      </w:r>
      <w:r w:rsidRPr="65EC14CC" w:rsidR="008A42C3">
        <w:rPr>
          <w:rFonts w:eastAsia="Segoe UI" w:cs="Segoe UI"/>
        </w:rPr>
        <w:t>n</w:t>
      </w:r>
      <w:r w:rsidRPr="65EC14CC">
        <w:rPr>
          <w:rFonts w:eastAsia="Segoe UI" w:cs="Segoe UI"/>
        </w:rPr>
        <w:t xml:space="preserve">egotiation </w:t>
      </w:r>
      <w:r w:rsidRPr="65EC14CC" w:rsidR="008A42C3">
        <w:rPr>
          <w:rFonts w:eastAsia="Segoe UI" w:cs="Segoe UI"/>
        </w:rPr>
        <w:t>s</w:t>
      </w:r>
      <w:r w:rsidRPr="65EC14CC">
        <w:rPr>
          <w:rFonts w:eastAsia="Segoe UI" w:cs="Segoe UI"/>
        </w:rPr>
        <w:t>upport</w:t>
      </w:r>
      <w:r w:rsidRPr="00D75194">
        <w:rPr>
          <w:rFonts w:eastAsia="Segoe UI" w:cs="Segoe UI"/>
        </w:rPr>
        <w:t xml:space="preserve"> (47.3%), </w:t>
      </w:r>
      <w:r w:rsidRPr="65EC14CC" w:rsidR="008A42C3">
        <w:rPr>
          <w:rFonts w:eastAsia="Segoe UI" w:cs="Segoe UI"/>
        </w:rPr>
        <w:t>c</w:t>
      </w:r>
      <w:r w:rsidRPr="65EC14CC">
        <w:rPr>
          <w:rFonts w:eastAsia="Segoe UI" w:cs="Segoe UI"/>
        </w:rPr>
        <w:t xml:space="preserve">apacity </w:t>
      </w:r>
      <w:r w:rsidRPr="65EC14CC" w:rsidR="008A42C3">
        <w:rPr>
          <w:rFonts w:eastAsia="Segoe UI" w:cs="Segoe UI"/>
        </w:rPr>
        <w:t>b</w:t>
      </w:r>
      <w:r w:rsidRPr="65EC14CC">
        <w:rPr>
          <w:rFonts w:eastAsia="Segoe UI" w:cs="Segoe UI"/>
        </w:rPr>
        <w:t>uilding</w:t>
      </w:r>
      <w:r w:rsidRPr="00D75194">
        <w:rPr>
          <w:rFonts w:eastAsia="Segoe UI" w:cs="Segoe UI"/>
        </w:rPr>
        <w:t xml:space="preserve"> (38.5%), and </w:t>
      </w:r>
      <w:r w:rsidRPr="65EC14CC" w:rsidR="008A42C3">
        <w:rPr>
          <w:rFonts w:eastAsia="Segoe UI" w:cs="Segoe UI"/>
        </w:rPr>
        <w:t>i</w:t>
      </w:r>
      <w:r w:rsidRPr="65EC14CC">
        <w:rPr>
          <w:rFonts w:eastAsia="Segoe UI" w:cs="Segoe UI"/>
        </w:rPr>
        <w:t>mplementation</w:t>
      </w:r>
      <w:r w:rsidRPr="00D75194">
        <w:rPr>
          <w:rFonts w:eastAsia="Segoe UI" w:cs="Segoe UI"/>
        </w:rPr>
        <w:t xml:space="preserve"> (11.5%)—departed from the intended 60:20:20 balance</w:t>
      </w:r>
      <w:r w:rsidRPr="00D75194" w:rsidR="6F3E79C7">
        <w:rPr>
          <w:rFonts w:eastAsia="Segoe UI" w:cs="Segoe UI"/>
        </w:rPr>
        <w:t xml:space="preserve"> across the programme period</w:t>
      </w:r>
      <w:r w:rsidRPr="00D75194">
        <w:rPr>
          <w:rFonts w:eastAsia="Segoe UI" w:cs="Segoe UI"/>
        </w:rPr>
        <w:t xml:space="preserve">. </w:t>
      </w:r>
      <w:r w:rsidRPr="00D75194" w:rsidR="72889B73">
        <w:rPr>
          <w:rFonts w:eastAsia="Segoe UI" w:cs="Segoe UI"/>
        </w:rPr>
        <w:t>In Year 1, the distribution was reported to be 60:20:20 (</w:t>
      </w:r>
      <w:r w:rsidRPr="00D75194" w:rsidR="00763298">
        <w:rPr>
          <w:rFonts w:eastAsia="Segoe UI" w:cs="Segoe UI"/>
        </w:rPr>
        <w:t xml:space="preserve">the </w:t>
      </w:r>
      <w:r w:rsidRPr="00D75194" w:rsidR="72889B73">
        <w:rPr>
          <w:rFonts w:eastAsia="Segoe UI" w:cs="Segoe UI"/>
        </w:rPr>
        <w:t>LEP was unable to validate the financial data supporting this finding)</w:t>
      </w:r>
      <w:r w:rsidRPr="00D75194" w:rsidR="3A0D6D5E">
        <w:rPr>
          <w:rFonts w:eastAsia="Segoe UI" w:cs="Segoe UI"/>
        </w:rPr>
        <w:t>.</w:t>
      </w:r>
      <w:r w:rsidRPr="00D75194">
        <w:rPr>
          <w:rFonts w:eastAsia="Segoe UI" w:cs="Segoe UI"/>
        </w:rPr>
        <w:t xml:space="preserve"> However, in </w:t>
      </w:r>
      <w:r w:rsidRPr="00D75194">
        <w:rPr>
          <w:rFonts w:eastAsia="Segoe UI" w:cs="Segoe UI"/>
          <w:b/>
          <w:bCs/>
        </w:rPr>
        <w:t>Year 2</w:t>
      </w:r>
      <w:r w:rsidRPr="00D75194">
        <w:rPr>
          <w:rFonts w:eastAsia="Segoe UI" w:cs="Segoe UI"/>
        </w:rPr>
        <w:t xml:space="preserve">, </w:t>
      </w:r>
      <w:r w:rsidRPr="65EC14CC" w:rsidR="00327447">
        <w:rPr>
          <w:rFonts w:eastAsia="Segoe UI" w:cs="Segoe UI"/>
          <w:b/>
          <w:bCs/>
        </w:rPr>
        <w:t>i</w:t>
      </w:r>
      <w:r w:rsidRPr="65EC14CC">
        <w:rPr>
          <w:rFonts w:eastAsia="Segoe UI" w:cs="Segoe UI"/>
          <w:b/>
          <w:bCs/>
        </w:rPr>
        <w:t>mplementation</w:t>
      </w:r>
      <w:r w:rsidRPr="00D75194">
        <w:rPr>
          <w:rFonts w:eastAsia="Segoe UI" w:cs="Segoe UI"/>
          <w:b/>
          <w:bCs/>
        </w:rPr>
        <w:t xml:space="preserve"> expenditure reached 8%</w:t>
      </w:r>
      <w:r w:rsidRPr="00D75194">
        <w:rPr>
          <w:rFonts w:eastAsia="Segoe UI" w:cs="Segoe UI"/>
        </w:rPr>
        <w:t xml:space="preserve">, which was </w:t>
      </w:r>
      <w:r w:rsidRPr="00D75194">
        <w:rPr>
          <w:rFonts w:eastAsia="Segoe UI" w:cs="Segoe UI"/>
          <w:b/>
          <w:bCs/>
        </w:rPr>
        <w:t>very close to the forecasted level of 8.1%</w:t>
      </w:r>
      <w:r w:rsidRPr="00D75194">
        <w:rPr>
          <w:rFonts w:eastAsia="Segoe UI" w:cs="Segoe UI"/>
        </w:rPr>
        <w:t xml:space="preserve">, indicating </w:t>
      </w:r>
      <w:r w:rsidRPr="00D75194" w:rsidR="297E5028">
        <w:rPr>
          <w:rFonts w:eastAsia="Segoe UI" w:cs="Segoe UI"/>
        </w:rPr>
        <w:t>that there was a shift in focus and implementation was deprioritised. The alignment of imp</w:t>
      </w:r>
      <w:r w:rsidRPr="00D75194" w:rsidR="15032D27">
        <w:rPr>
          <w:rFonts w:eastAsia="Segoe UI" w:cs="Segoe UI"/>
        </w:rPr>
        <w:t xml:space="preserve">lementation spend to the forecast amount reflects effective planning and implementation. The LEP </w:t>
      </w:r>
      <w:r w:rsidRPr="00D75194" w:rsidR="0751A997">
        <w:rPr>
          <w:rFonts w:eastAsia="Segoe UI" w:cs="Segoe UI"/>
        </w:rPr>
        <w:t>understands that the reduction in the implementation budget’s share was not a cause for concern, despite it being under the target</w:t>
      </w:r>
      <w:r w:rsidRPr="00D75194" w:rsidR="00327447">
        <w:rPr>
          <w:rFonts w:eastAsia="Segoe UI" w:cs="Segoe UI"/>
        </w:rPr>
        <w:t xml:space="preserve"> of</w:t>
      </w:r>
      <w:r w:rsidRPr="00D75194" w:rsidR="0751A997">
        <w:rPr>
          <w:rFonts w:eastAsia="Segoe UI" w:cs="Segoe UI"/>
        </w:rPr>
        <w:t xml:space="preserve"> 20</w:t>
      </w:r>
      <w:r w:rsidRPr="65EC14CC" w:rsidR="0751A997">
        <w:rPr>
          <w:rFonts w:eastAsia="Segoe UI" w:cs="Segoe UI"/>
        </w:rPr>
        <w:t>%.</w:t>
      </w:r>
      <w:r w:rsidRPr="00D75194" w:rsidR="0751A997">
        <w:rPr>
          <w:rFonts w:eastAsia="Segoe UI" w:cs="Segoe UI"/>
        </w:rPr>
        <w:t xml:space="preserve"> This suggests that the 60:20:20 distribution </w:t>
      </w:r>
      <w:r w:rsidRPr="00D75194" w:rsidR="16083121">
        <w:rPr>
          <w:rFonts w:eastAsia="Segoe UI" w:cs="Segoe UI"/>
        </w:rPr>
        <w:t xml:space="preserve">may have needed a revision in Year </w:t>
      </w:r>
      <w:r w:rsidRPr="00D75194" w:rsidR="16083121">
        <w:rPr>
          <w:rFonts w:eastAsia="Segoe UI" w:cs="Segoe UI"/>
        </w:rPr>
        <w:t>2.</w:t>
      </w:r>
      <w:r w:rsidRPr="00D75194" w:rsidDel="006B601D" w:rsidR="16083121">
        <w:rPr>
          <w:rFonts w:eastAsia="Segoe UI" w:cs="Segoe UI"/>
        </w:rPr>
        <w:t xml:space="preserve"> </w:t>
      </w:r>
      <w:r w:rsidRPr="00D75194" w:rsidR="051D497D">
        <w:rPr>
          <w:rFonts w:eastAsia="Segoe UI" w:cs="Segoe UI"/>
        </w:rPr>
        <w:t>There was reported underspend across all three components, however</w:t>
      </w:r>
      <w:r w:rsidRPr="00D75194" w:rsidR="00A65CC1">
        <w:rPr>
          <w:rFonts w:eastAsia="Segoe UI" w:cs="Segoe UI"/>
        </w:rPr>
        <w:t>,</w:t>
      </w:r>
      <w:r w:rsidRPr="00D75194" w:rsidR="051D497D">
        <w:rPr>
          <w:rFonts w:eastAsia="Segoe UI" w:cs="Segoe UI"/>
        </w:rPr>
        <w:t xml:space="preserve"> the LEP has not been able to access the bac</w:t>
      </w:r>
      <w:r w:rsidRPr="00D75194" w:rsidR="32C6F710">
        <w:rPr>
          <w:rFonts w:eastAsia="Segoe UI" w:cs="Segoe UI"/>
        </w:rPr>
        <w:t>k</w:t>
      </w:r>
      <w:r w:rsidRPr="00D75194" w:rsidR="051D497D">
        <w:rPr>
          <w:rFonts w:eastAsia="Segoe UI" w:cs="Segoe UI"/>
        </w:rPr>
        <w:t>end data to validate this and</w:t>
      </w:r>
      <w:r w:rsidRPr="00D75194" w:rsidR="00A65CC1">
        <w:rPr>
          <w:rFonts w:eastAsia="Segoe UI" w:cs="Segoe UI"/>
        </w:rPr>
        <w:t xml:space="preserve"> to</w:t>
      </w:r>
      <w:r w:rsidRPr="00D75194" w:rsidR="051D497D">
        <w:rPr>
          <w:rFonts w:eastAsia="Segoe UI" w:cs="Segoe UI"/>
        </w:rPr>
        <w:t xml:space="preserve"> provide more </w:t>
      </w:r>
      <w:r w:rsidRPr="00D75194" w:rsidR="38E2141D">
        <w:rPr>
          <w:rFonts w:eastAsia="Segoe UI" w:cs="Segoe UI"/>
        </w:rPr>
        <w:t xml:space="preserve">detail. </w:t>
      </w:r>
      <w:r w:rsidRPr="00D75194" w:rsidR="7C9577DB">
        <w:rPr>
          <w:rFonts w:eastAsia="Segoe UI" w:cs="Segoe UI"/>
        </w:rPr>
        <w:t xml:space="preserve">It is also worth noting that this indicator presents methodological challenges: </w:t>
      </w:r>
      <w:r w:rsidRPr="65EC14CC" w:rsidR="000218B7">
        <w:rPr>
          <w:rFonts w:eastAsia="Segoe UI" w:cs="Segoe UI"/>
        </w:rPr>
        <w:t>i</w:t>
      </w:r>
      <w:r w:rsidRPr="65EC14CC">
        <w:rPr>
          <w:rFonts w:eastAsia="Segoe UI" w:cs="Segoe UI"/>
        </w:rPr>
        <w:t>nterviewees</w:t>
      </w:r>
      <w:r w:rsidRPr="00D75194">
        <w:rPr>
          <w:rFonts w:eastAsia="Segoe UI" w:cs="Segoe UI"/>
        </w:rPr>
        <w:t xml:space="preserve"> noted that tagging of expenditures by cost driver </w:t>
      </w:r>
      <w:r w:rsidRPr="00D75194" w:rsidR="000218B7">
        <w:rPr>
          <w:rFonts w:eastAsia="Segoe UI" w:cs="Segoe UI"/>
        </w:rPr>
        <w:t xml:space="preserve">is </w:t>
      </w:r>
      <w:r w:rsidRPr="00D75194">
        <w:rPr>
          <w:rFonts w:eastAsia="Segoe UI" w:cs="Segoe UI"/>
        </w:rPr>
        <w:t>not always standardised, with some implementation activity potentially classified under capacity building—suggesting that actual delivery may have been more balanced than recorded.</w:t>
      </w:r>
    </w:p>
    <w:p w:rsidRPr="00D75194" w:rsidR="00083A6A" w:rsidP="00D463A8" w:rsidRDefault="1940839D" w14:paraId="352242CB" w14:textId="60304FAD">
      <w:pPr>
        <w:spacing w:after="160" w:line="257" w:lineRule="auto"/>
        <w:rPr>
          <w:rFonts w:eastAsia="Segoe UI" w:cs="Segoe UI"/>
        </w:rPr>
      </w:pPr>
      <w:r w:rsidRPr="00D75194">
        <w:rPr>
          <w:rFonts w:eastAsia="Segoe UI" w:cs="Segoe UI"/>
          <w:b/>
          <w:bCs/>
        </w:rPr>
        <w:t>Operational expenses</w:t>
      </w:r>
      <w:r w:rsidRPr="00D75194">
        <w:rPr>
          <w:rFonts w:eastAsia="Segoe UI" w:cs="Segoe UI"/>
          <w:vertAlign w:val="superscript"/>
        </w:rPr>
        <w:footnoteReference w:id="13"/>
      </w:r>
      <w:r w:rsidRPr="00D75194">
        <w:rPr>
          <w:rFonts w:eastAsia="Segoe UI" w:cs="Segoe UI"/>
        </w:rPr>
        <w:t xml:space="preserve"> </w:t>
      </w:r>
      <w:r w:rsidRPr="00D75194" w:rsidR="000218B7">
        <w:rPr>
          <w:rFonts w:eastAsia="Segoe UI" w:cs="Segoe UI"/>
        </w:rPr>
        <w:t xml:space="preserve">have </w:t>
      </w:r>
      <w:r w:rsidRPr="00D75194">
        <w:rPr>
          <w:rFonts w:eastAsia="Segoe UI" w:cs="Segoe UI"/>
        </w:rPr>
        <w:t xml:space="preserve">averaged </w:t>
      </w:r>
      <w:r w:rsidRPr="00D75194">
        <w:rPr>
          <w:rFonts w:eastAsia="Segoe UI" w:cs="Segoe UI"/>
          <w:b/>
          <w:bCs/>
        </w:rPr>
        <w:t>23.8%</w:t>
      </w:r>
      <w:r w:rsidRPr="00D75194">
        <w:rPr>
          <w:rFonts w:eastAsia="Segoe UI" w:cs="Segoe UI"/>
        </w:rPr>
        <w:t xml:space="preserve">, exceeding the programme’s 15% target and earning a “Progressing towards expected performance” rating. Still, performance </w:t>
      </w:r>
      <w:r w:rsidRPr="00D75194" w:rsidR="001F6988">
        <w:rPr>
          <w:rFonts w:eastAsia="Segoe UI" w:cs="Segoe UI"/>
        </w:rPr>
        <w:t xml:space="preserve">has </w:t>
      </w:r>
      <w:r w:rsidRPr="00D75194">
        <w:rPr>
          <w:rFonts w:eastAsia="Segoe UI" w:cs="Segoe UI"/>
        </w:rPr>
        <w:t xml:space="preserve">improved over time, with a drop from </w:t>
      </w:r>
      <w:r w:rsidRPr="00D75194">
        <w:rPr>
          <w:rFonts w:eastAsia="Segoe UI" w:cs="Segoe UI"/>
          <w:b/>
          <w:bCs/>
        </w:rPr>
        <w:t>24.9% in Year 1 to 22.6% in Year 2</w:t>
      </w:r>
      <w:r w:rsidRPr="00D75194">
        <w:rPr>
          <w:rFonts w:eastAsia="Segoe UI" w:cs="Segoe UI"/>
        </w:rPr>
        <w:t xml:space="preserve">. </w:t>
      </w:r>
      <w:r w:rsidRPr="4461530B">
        <w:rPr>
          <w:rFonts w:eastAsia="Segoe UI" w:cs="Segoe UI"/>
        </w:rPr>
        <w:t xml:space="preserve">DAI </w:t>
      </w:r>
      <w:r w:rsidRPr="4461530B" w:rsidR="0092762B">
        <w:rPr>
          <w:rFonts w:eastAsia="Segoe UI" w:cs="Segoe UI"/>
        </w:rPr>
        <w:t xml:space="preserve">has </w:t>
      </w:r>
      <w:r w:rsidRPr="4461530B">
        <w:rPr>
          <w:rFonts w:eastAsia="Segoe UI" w:cs="Segoe UI"/>
        </w:rPr>
        <w:t xml:space="preserve">maintained operational costs at </w:t>
      </w:r>
      <w:r w:rsidRPr="4461530B">
        <w:rPr>
          <w:rFonts w:eastAsia="Segoe UI" w:cs="Segoe UI"/>
          <w:b/>
          <w:bCs/>
        </w:rPr>
        <w:t>5.7%</w:t>
      </w:r>
      <w:r w:rsidRPr="4461530B">
        <w:rPr>
          <w:rFonts w:eastAsia="Segoe UI" w:cs="Segoe UI"/>
        </w:rPr>
        <w:t>,</w:t>
      </w:r>
      <w:r w:rsidRPr="00D75194">
        <w:rPr>
          <w:rFonts w:eastAsia="Segoe UI" w:cs="Segoe UI"/>
        </w:rPr>
        <w:t xml:space="preserve"> </w:t>
      </w:r>
      <w:r w:rsidRPr="7AF6A27B">
        <w:rPr>
          <w:rFonts w:eastAsia="Segoe UI" w:cs="Segoe UI"/>
        </w:rPr>
        <w:t xml:space="preserve">while the </w:t>
      </w:r>
      <w:r w:rsidRPr="00D75194" w:rsidR="00F93963">
        <w:rPr>
          <w:rFonts w:eastAsia="Segoe UI" w:cs="Segoe UI"/>
          <w:b/>
          <w:bCs/>
        </w:rPr>
        <w:t>OF</w:t>
      </w:r>
      <w:r w:rsidRPr="7AF6A27B" w:rsidR="00240E4A">
        <w:rPr>
          <w:rFonts w:eastAsia="Segoe UI" w:cs="Segoe UI"/>
          <w:b/>
          <w:bCs/>
        </w:rPr>
        <w:t xml:space="preserve"> has</w:t>
      </w:r>
      <w:r w:rsidRPr="00D75194">
        <w:rPr>
          <w:rFonts w:eastAsia="Segoe UI" w:cs="Segoe UI"/>
          <w:b/>
          <w:bCs/>
        </w:rPr>
        <w:t xml:space="preserve"> improved significantly</w:t>
      </w:r>
      <w:r w:rsidRPr="00D75194">
        <w:rPr>
          <w:rFonts w:eastAsia="Segoe UI" w:cs="Segoe UI"/>
        </w:rPr>
        <w:t xml:space="preserve">, reducing operational costs from </w:t>
      </w:r>
      <w:r w:rsidRPr="7AF6A27B">
        <w:rPr>
          <w:rFonts w:eastAsia="Segoe UI" w:cs="Segoe UI"/>
          <w:b/>
          <w:bCs/>
        </w:rPr>
        <w:t>52% to 42%</w:t>
      </w:r>
      <w:r w:rsidRPr="00D75194" w:rsidDel="00240E4A">
        <w:rPr>
          <w:rFonts w:eastAsia="Segoe UI" w:cs="Segoe UI"/>
        </w:rPr>
        <w:t xml:space="preserve"> between years. </w:t>
      </w:r>
      <w:r w:rsidRPr="00D75194" w:rsidR="00F72D5F">
        <w:rPr>
          <w:rFonts w:eastAsia="Segoe UI" w:cs="Segoe UI"/>
        </w:rPr>
        <w:t>TPs</w:t>
      </w:r>
      <w:r w:rsidRPr="00D75194">
        <w:rPr>
          <w:rFonts w:eastAsia="Segoe UI" w:cs="Segoe UI"/>
        </w:rPr>
        <w:t xml:space="preserve"> </w:t>
      </w:r>
      <w:r w:rsidRPr="7AF6A27B" w:rsidR="00240E4A">
        <w:rPr>
          <w:rFonts w:eastAsia="Segoe UI" w:cs="Segoe UI"/>
        </w:rPr>
        <w:t xml:space="preserve">have seen </w:t>
      </w:r>
      <w:r w:rsidRPr="00D75194">
        <w:rPr>
          <w:rFonts w:eastAsia="Segoe UI" w:cs="Segoe UI"/>
        </w:rPr>
        <w:t xml:space="preserve">an increase (from </w:t>
      </w:r>
      <w:r w:rsidRPr="7AF6A27B">
        <w:rPr>
          <w:rFonts w:eastAsia="Segoe UI" w:cs="Segoe UI"/>
          <w:b/>
          <w:bCs/>
        </w:rPr>
        <w:t>17.34% to 20%</w:t>
      </w:r>
      <w:r w:rsidRPr="7AF6A27B">
        <w:rPr>
          <w:rFonts w:eastAsia="Segoe UI" w:cs="Segoe UI"/>
        </w:rPr>
        <w:t>), largely due to price pressures linked to COP29 delivery in Baku.</w:t>
      </w:r>
    </w:p>
    <w:p w:rsidR="00D01ABE" w:rsidP="00D01ABE" w:rsidRDefault="36126F06" w14:paraId="63BD7EBB" w14:textId="4FFDC8CA">
      <w:pPr>
        <w:spacing w:after="160" w:line="257" w:lineRule="auto"/>
        <w:rPr>
          <w:rStyle w:val="CommentReference"/>
        </w:rPr>
      </w:pPr>
      <w:r w:rsidRPr="00D75194">
        <w:rPr>
          <w:rFonts w:eastAsia="Segoe UI" w:cs="Segoe UI"/>
        </w:rPr>
        <w:t xml:space="preserve">Consultant rates </w:t>
      </w:r>
      <w:r w:rsidRPr="00D75194" w:rsidR="00842CFB">
        <w:rPr>
          <w:rFonts w:eastAsia="Segoe UI" w:cs="Segoe UI"/>
        </w:rPr>
        <w:t xml:space="preserve">have been </w:t>
      </w:r>
      <w:r w:rsidRPr="00D75194">
        <w:rPr>
          <w:rFonts w:eastAsia="Segoe UI" w:cs="Segoe UI"/>
        </w:rPr>
        <w:t xml:space="preserve">appropriate to </w:t>
      </w:r>
      <w:r w:rsidRPr="00D75194" w:rsidR="00842CFB">
        <w:rPr>
          <w:rFonts w:eastAsia="Segoe UI" w:cs="Segoe UI"/>
        </w:rPr>
        <w:t xml:space="preserve">the </w:t>
      </w:r>
      <w:r w:rsidRPr="00D75194">
        <w:rPr>
          <w:rFonts w:eastAsia="Segoe UI" w:cs="Segoe UI"/>
        </w:rPr>
        <w:t xml:space="preserve">delivery models. The average daily rate for </w:t>
      </w:r>
      <w:r w:rsidRPr="00D75194" w:rsidR="0024720F">
        <w:rPr>
          <w:rFonts w:eastAsia="Segoe UI" w:cs="Segoe UI"/>
        </w:rPr>
        <w:t>TPs</w:t>
      </w:r>
      <w:r w:rsidRPr="00D75194">
        <w:rPr>
          <w:rFonts w:eastAsia="Segoe UI" w:cs="Segoe UI"/>
        </w:rPr>
        <w:t xml:space="preserve"> </w:t>
      </w:r>
      <w:r w:rsidRPr="00D75194" w:rsidR="00170932">
        <w:rPr>
          <w:rFonts w:eastAsia="Segoe UI" w:cs="Segoe UI"/>
        </w:rPr>
        <w:t xml:space="preserve">is </w:t>
      </w:r>
      <w:r w:rsidRPr="00D75194">
        <w:rPr>
          <w:rFonts w:eastAsia="Segoe UI" w:cs="Segoe UI"/>
        </w:rPr>
        <w:t xml:space="preserve">£486.74, while </w:t>
      </w:r>
      <w:r w:rsidRPr="00D75194" w:rsidR="00F93963">
        <w:rPr>
          <w:rFonts w:eastAsia="Segoe UI" w:cs="Segoe UI"/>
        </w:rPr>
        <w:t>OF</w:t>
      </w:r>
      <w:r w:rsidRPr="00D75194">
        <w:rPr>
          <w:rFonts w:eastAsia="Segoe UI" w:cs="Segoe UI"/>
        </w:rPr>
        <w:t xml:space="preserve"> partners </w:t>
      </w:r>
      <w:r w:rsidRPr="00D75194" w:rsidR="00170932">
        <w:rPr>
          <w:rFonts w:eastAsia="Segoe UI" w:cs="Segoe UI"/>
        </w:rPr>
        <w:t xml:space="preserve">have </w:t>
      </w:r>
      <w:r w:rsidRPr="00D75194">
        <w:rPr>
          <w:rFonts w:eastAsia="Segoe UI" w:cs="Segoe UI"/>
        </w:rPr>
        <w:t>averaged £205.50, with many relying on national consultants. The variation reflects differences in geographic base, organisational model, and the nature of engagement.</w:t>
      </w:r>
      <w:r w:rsidR="00020444">
        <w:rPr>
          <w:rFonts w:eastAsia="Segoe UI" w:cs="Segoe UI"/>
        </w:rPr>
        <w:t xml:space="preserve"> </w:t>
      </w:r>
      <w:r w:rsidR="0098014C">
        <w:rPr>
          <w:rFonts w:eastAsia="Segoe UI" w:cs="Segoe UI"/>
        </w:rPr>
        <w:t xml:space="preserve">TPs that use locally based consultants generally </w:t>
      </w:r>
      <w:r w:rsidR="00C20767">
        <w:rPr>
          <w:rFonts w:eastAsia="Segoe UI" w:cs="Segoe UI"/>
        </w:rPr>
        <w:t>report</w:t>
      </w:r>
      <w:r w:rsidR="00DC154E">
        <w:rPr>
          <w:rFonts w:eastAsia="Segoe UI" w:cs="Segoe UI"/>
        </w:rPr>
        <w:t xml:space="preserve"> </w:t>
      </w:r>
      <w:r w:rsidR="00C20767">
        <w:rPr>
          <w:rFonts w:eastAsia="Segoe UI" w:cs="Segoe UI"/>
        </w:rPr>
        <w:t>lower rates, compared to those who</w:t>
      </w:r>
      <w:r w:rsidR="00DC154E">
        <w:rPr>
          <w:rFonts w:eastAsia="Segoe UI" w:cs="Segoe UI"/>
        </w:rPr>
        <w:t xml:space="preserve"> deploy internationally based teams.</w:t>
      </w:r>
      <w:r w:rsidR="00C20767">
        <w:rPr>
          <w:rFonts w:eastAsia="Segoe UI" w:cs="Segoe UI"/>
        </w:rPr>
        <w:t xml:space="preserve">  </w:t>
      </w:r>
      <w:r w:rsidRPr="00D75194">
        <w:rPr>
          <w:rFonts w:eastAsia="Segoe UI" w:cs="Segoe UI"/>
        </w:rPr>
        <w:t xml:space="preserve">These variations suggest that </w:t>
      </w:r>
      <w:r w:rsidRPr="00D75194">
        <w:rPr>
          <w:rFonts w:eastAsia="Segoe UI" w:cs="Segoe UI"/>
          <w:b/>
          <w:bCs/>
        </w:rPr>
        <w:t xml:space="preserve">CASA II </w:t>
      </w:r>
      <w:r w:rsidRPr="00D75194" w:rsidR="009B4251">
        <w:rPr>
          <w:rFonts w:eastAsia="Segoe UI" w:cs="Segoe UI"/>
          <w:b/>
          <w:bCs/>
        </w:rPr>
        <w:t xml:space="preserve">has </w:t>
      </w:r>
      <w:r w:rsidRPr="00D75194">
        <w:rPr>
          <w:rFonts w:eastAsia="Segoe UI" w:cs="Segoe UI"/>
          <w:b/>
          <w:bCs/>
        </w:rPr>
        <w:t>matched consultant profiles and costs to delivery context, securing appropriate capacity while maintaining overall cost discipline</w:t>
      </w:r>
      <w:r w:rsidRPr="00D75194">
        <w:rPr>
          <w:rFonts w:eastAsia="Segoe UI" w:cs="Segoe UI"/>
        </w:rPr>
        <w:t>.</w:t>
      </w:r>
      <w:bookmarkStart w:name="_Toc204259823" w:id="75"/>
    </w:p>
    <w:p w:rsidRPr="00D75194" w:rsidR="00083A6A" w:rsidP="00D01ABE" w:rsidRDefault="1940839D" w14:paraId="43C5D1B1" w14:textId="12D07FA4">
      <w:pPr>
        <w:spacing w:after="160" w:line="257" w:lineRule="auto"/>
      </w:pPr>
      <w:r w:rsidRPr="00D75194">
        <w:t>Efficiency</w:t>
      </w:r>
      <w:bookmarkEnd w:id="75"/>
    </w:p>
    <w:p w:rsidRPr="00D75194" w:rsidR="00083A6A" w:rsidP="00D463A8" w:rsidRDefault="1940839D" w14:paraId="0C6D1754" w14:textId="2BE3CDEC">
      <w:pPr>
        <w:spacing w:after="160" w:line="257" w:lineRule="auto"/>
        <w:rPr>
          <w:rFonts w:eastAsia="Segoe UI" w:cs="Segoe UI"/>
        </w:rPr>
      </w:pPr>
      <w:r w:rsidRPr="00D75194">
        <w:rPr>
          <w:rFonts w:eastAsia="Segoe UI" w:cs="Segoe UI"/>
        </w:rPr>
        <w:t>Overall result: Met expectations</w:t>
      </w:r>
    </w:p>
    <w:tbl>
      <w:tblPr>
        <w:tblW w:w="99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4A0" w:firstRow="1" w:lastRow="0" w:firstColumn="1" w:lastColumn="0" w:noHBand="0" w:noVBand="1"/>
      </w:tblPr>
      <w:tblGrid>
        <w:gridCol w:w="1202"/>
        <w:gridCol w:w="1202"/>
        <w:gridCol w:w="1488"/>
        <w:gridCol w:w="1080"/>
        <w:gridCol w:w="1170"/>
        <w:gridCol w:w="1051"/>
        <w:gridCol w:w="960"/>
        <w:gridCol w:w="904"/>
        <w:gridCol w:w="851"/>
      </w:tblGrid>
      <w:tr w:rsidRPr="00D75194" w:rsidR="00515436" w:rsidTr="007F7DE1" w14:paraId="0E466C3C" w14:textId="77777777">
        <w:trPr>
          <w:trHeight w:val="570"/>
          <w:tblHeader/>
        </w:trPr>
        <w:tc>
          <w:tcPr>
            <w:tcW w:w="1202" w:type="dxa"/>
            <w:shd w:val="clear" w:color="auto" w:fill="F2F2F2" w:themeFill="background1" w:themeFillShade="F2"/>
          </w:tcPr>
          <w:p w:rsidRPr="00D75194" w:rsidR="00515436" w:rsidP="008E2151" w:rsidRDefault="00515436" w14:paraId="0DC7B088" w14:textId="63ACC75D">
            <w:pPr>
              <w:spacing w:after="0"/>
              <w:ind w:left="57" w:right="57"/>
              <w:jc w:val="left"/>
              <w:rPr>
                <w:rFonts w:eastAsia="Segoe UI" w:cs="Segoe UI"/>
                <w:b/>
                <w:bCs/>
                <w:sz w:val="16"/>
                <w:szCs w:val="16"/>
              </w:rPr>
            </w:pPr>
            <w:r w:rsidRPr="00D75194">
              <w:rPr>
                <w:rFonts w:eastAsia="Segoe UI" w:cs="Segoe UI"/>
                <w:b/>
                <w:bCs/>
                <w:sz w:val="16"/>
                <w:szCs w:val="16"/>
              </w:rPr>
              <w:t>Indicator</w:t>
            </w:r>
          </w:p>
        </w:tc>
        <w:tc>
          <w:tcPr>
            <w:tcW w:w="1202" w:type="dxa"/>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04CD1983" w14:textId="5024D8B5">
            <w:pPr>
              <w:spacing w:after="0"/>
              <w:ind w:left="57" w:right="57"/>
              <w:jc w:val="left"/>
              <w:rPr>
                <w:rFonts w:eastAsia="Segoe UI" w:cs="Segoe UI"/>
                <w:b/>
                <w:bCs/>
                <w:sz w:val="16"/>
                <w:szCs w:val="16"/>
              </w:rPr>
            </w:pPr>
            <w:r w:rsidRPr="00D75194">
              <w:rPr>
                <w:rFonts w:eastAsia="Segoe UI" w:cs="Segoe UI"/>
                <w:b/>
                <w:bCs/>
                <w:sz w:val="16"/>
                <w:szCs w:val="16"/>
              </w:rPr>
              <w:t>Cost per beneficiary</w:t>
            </w:r>
            <w:r w:rsidRPr="65EC14CC" w:rsidR="002F3070">
              <w:rPr>
                <w:rFonts w:eastAsia="Segoe UI" w:cs="Segoe UI"/>
                <w:b/>
                <w:bCs/>
                <w:sz w:val="16"/>
                <w:szCs w:val="16"/>
              </w:rPr>
              <w:t>—</w:t>
            </w:r>
            <w:r w:rsidRPr="00D75194">
              <w:rPr>
                <w:rFonts w:eastAsia="Segoe UI" w:cs="Segoe UI"/>
                <w:b/>
                <w:bCs/>
                <w:sz w:val="16"/>
                <w:szCs w:val="16"/>
              </w:rPr>
              <w:t xml:space="preserve">negotiator </w:t>
            </w:r>
          </w:p>
        </w:tc>
        <w:tc>
          <w:tcPr>
            <w:tcW w:w="1488" w:type="dxa"/>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144B65C3" w14:textId="61E2E5C9">
            <w:pPr>
              <w:spacing w:after="0"/>
              <w:ind w:left="57" w:right="57"/>
              <w:jc w:val="left"/>
              <w:rPr>
                <w:rFonts w:eastAsia="Segoe UI" w:cs="Segoe UI"/>
                <w:b/>
                <w:bCs/>
                <w:sz w:val="16"/>
                <w:szCs w:val="16"/>
              </w:rPr>
            </w:pPr>
            <w:r w:rsidRPr="00D75194">
              <w:rPr>
                <w:rFonts w:eastAsia="Segoe UI" w:cs="Segoe UI"/>
                <w:b/>
                <w:bCs/>
                <w:sz w:val="16"/>
                <w:szCs w:val="16"/>
              </w:rPr>
              <w:t>Cost per beneficiary</w:t>
            </w:r>
            <w:r w:rsidRPr="00D75194" w:rsidR="002F3070">
              <w:rPr>
                <w:rFonts w:eastAsia="Segoe UI" w:cs="Segoe UI"/>
                <w:b/>
                <w:bCs/>
                <w:sz w:val="16"/>
                <w:szCs w:val="16"/>
              </w:rPr>
              <w:t>—</w:t>
            </w:r>
            <w:r w:rsidRPr="00D75194">
              <w:rPr>
                <w:rFonts w:eastAsia="Segoe UI" w:cs="Segoe UI"/>
                <w:b/>
                <w:bCs/>
                <w:sz w:val="16"/>
                <w:szCs w:val="16"/>
              </w:rPr>
              <w:t xml:space="preserve">national </w:t>
            </w:r>
            <w:r w:rsidRPr="65EC14CC">
              <w:rPr>
                <w:rFonts w:eastAsia="Segoe UI" w:cs="Segoe UI"/>
                <w:b/>
                <w:bCs/>
                <w:sz w:val="16"/>
                <w:szCs w:val="16"/>
              </w:rPr>
              <w:t>gov</w:t>
            </w:r>
            <w:r w:rsidRPr="65EC14CC" w:rsidR="002F3070">
              <w:rPr>
                <w:rFonts w:eastAsia="Segoe UI" w:cs="Segoe UI"/>
                <w:b/>
                <w:bCs/>
                <w:sz w:val="16"/>
                <w:szCs w:val="16"/>
              </w:rPr>
              <w:t>ernment</w:t>
            </w:r>
            <w:r w:rsidRPr="00D75194">
              <w:rPr>
                <w:rFonts w:eastAsia="Segoe UI" w:cs="Segoe UI"/>
                <w:b/>
                <w:bCs/>
                <w:sz w:val="16"/>
                <w:szCs w:val="16"/>
              </w:rPr>
              <w:t xml:space="preserve"> </w:t>
            </w:r>
          </w:p>
        </w:tc>
        <w:tc>
          <w:tcPr>
            <w:tcW w:w="1080" w:type="dxa"/>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1670B99D" w14:textId="6B0340EA">
            <w:pPr>
              <w:spacing w:after="0"/>
              <w:ind w:left="57" w:right="57"/>
              <w:jc w:val="left"/>
              <w:rPr>
                <w:rFonts w:eastAsia="Segoe UI" w:cs="Segoe UI"/>
                <w:b/>
                <w:bCs/>
                <w:sz w:val="16"/>
                <w:szCs w:val="16"/>
              </w:rPr>
            </w:pPr>
            <w:r w:rsidRPr="00D75194">
              <w:rPr>
                <w:rFonts w:eastAsia="Segoe UI" w:cs="Segoe UI"/>
                <w:b/>
                <w:bCs/>
                <w:sz w:val="16"/>
                <w:szCs w:val="16"/>
              </w:rPr>
              <w:t>Cost per beneficiary</w:t>
            </w:r>
            <w:r w:rsidRPr="00D75194" w:rsidR="002368F1">
              <w:rPr>
                <w:rFonts w:eastAsia="Segoe UI" w:cs="Segoe UI"/>
                <w:b/>
                <w:bCs/>
                <w:sz w:val="16"/>
                <w:szCs w:val="16"/>
              </w:rPr>
              <w:t>—</w:t>
            </w:r>
            <w:r w:rsidRPr="00D75194">
              <w:rPr>
                <w:rFonts w:eastAsia="Segoe UI" w:cs="Segoe UI"/>
                <w:b/>
                <w:bCs/>
                <w:sz w:val="16"/>
                <w:szCs w:val="16"/>
              </w:rPr>
              <w:t>OF</w:t>
            </w:r>
            <w:r w:rsidRPr="00D75194" w:rsidDel="006B601D">
              <w:rPr>
                <w:rFonts w:eastAsia="Segoe UI" w:cs="Segoe UI"/>
                <w:b/>
                <w:bCs/>
                <w:sz w:val="16"/>
                <w:szCs w:val="16"/>
              </w:rPr>
              <w:t xml:space="preserve"> </w:t>
            </w:r>
          </w:p>
        </w:tc>
        <w:tc>
          <w:tcPr>
            <w:tcW w:w="1170" w:type="dxa"/>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2C2A2289" w14:textId="32D1DA46">
            <w:pPr>
              <w:spacing w:after="0"/>
              <w:ind w:left="57" w:right="57"/>
              <w:jc w:val="left"/>
              <w:rPr>
                <w:rFonts w:eastAsia="Segoe UI" w:cs="Segoe UI"/>
                <w:b/>
                <w:bCs/>
                <w:sz w:val="16"/>
                <w:szCs w:val="16"/>
              </w:rPr>
            </w:pPr>
            <w:r w:rsidRPr="00D75194">
              <w:rPr>
                <w:rFonts w:eastAsia="Segoe UI" w:cs="Segoe UI"/>
                <w:b/>
                <w:bCs/>
                <w:sz w:val="16"/>
                <w:szCs w:val="16"/>
              </w:rPr>
              <w:t>Progress against output targets</w:t>
            </w:r>
          </w:p>
        </w:tc>
        <w:tc>
          <w:tcPr>
            <w:tcW w:w="1051" w:type="dxa"/>
            <w:tcBorders>
              <w:bottom w:val="single" w:color="000000" w:sz="4" w:space="0"/>
            </w:tcBorders>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38E09455" w14:textId="058591A7">
            <w:pPr>
              <w:spacing w:after="0"/>
              <w:ind w:left="57" w:right="57"/>
              <w:jc w:val="left"/>
              <w:rPr>
                <w:rFonts w:eastAsia="Segoe UI" w:cs="Segoe UI"/>
                <w:b/>
                <w:bCs/>
                <w:sz w:val="16"/>
                <w:szCs w:val="16"/>
              </w:rPr>
            </w:pPr>
            <w:r w:rsidRPr="00D75194">
              <w:rPr>
                <w:rFonts w:eastAsia="Segoe UI" w:cs="Segoe UI"/>
                <w:b/>
                <w:bCs/>
                <w:sz w:val="16"/>
                <w:szCs w:val="16"/>
              </w:rPr>
              <w:t xml:space="preserve">Delivery of outputs on budget </w:t>
            </w:r>
          </w:p>
        </w:tc>
        <w:tc>
          <w:tcPr>
            <w:tcW w:w="960" w:type="dxa"/>
            <w:tcBorders>
              <w:bottom w:val="single" w:color="000000" w:sz="4" w:space="0"/>
            </w:tcBorders>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630B0656" w14:textId="2A87DB27">
            <w:pPr>
              <w:spacing w:after="0"/>
              <w:ind w:left="57" w:right="57"/>
              <w:jc w:val="left"/>
              <w:rPr>
                <w:rFonts w:eastAsia="Segoe UI" w:cs="Segoe UI"/>
                <w:b/>
                <w:bCs/>
                <w:sz w:val="16"/>
                <w:szCs w:val="16"/>
              </w:rPr>
            </w:pPr>
            <w:r w:rsidRPr="00D75194">
              <w:rPr>
                <w:rFonts w:eastAsia="Segoe UI" w:cs="Segoe UI"/>
                <w:b/>
                <w:bCs/>
                <w:sz w:val="16"/>
                <w:szCs w:val="16"/>
              </w:rPr>
              <w:t>Timeliness of delivery</w:t>
            </w:r>
            <w:r w:rsidRPr="00D75194" w:rsidR="006D264A">
              <w:rPr>
                <w:rFonts w:eastAsia="Segoe UI" w:cs="Segoe UI"/>
                <w:b/>
                <w:bCs/>
                <w:sz w:val="16"/>
                <w:szCs w:val="16"/>
              </w:rPr>
              <w:t>—</w:t>
            </w:r>
            <w:r w:rsidRPr="00D75194">
              <w:rPr>
                <w:rFonts w:eastAsia="Segoe UI" w:cs="Segoe UI"/>
                <w:b/>
                <w:bCs/>
                <w:sz w:val="16"/>
                <w:szCs w:val="16"/>
              </w:rPr>
              <w:t xml:space="preserve">DAI </w:t>
            </w:r>
          </w:p>
        </w:tc>
        <w:tc>
          <w:tcPr>
            <w:tcW w:w="904" w:type="dxa"/>
            <w:tcBorders>
              <w:bottom w:val="single" w:color="000000" w:sz="4" w:space="0"/>
            </w:tcBorders>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5D1E5FBB" w14:textId="6D36D76A">
            <w:pPr>
              <w:spacing w:after="0"/>
              <w:ind w:left="57" w:right="57"/>
              <w:jc w:val="left"/>
              <w:rPr>
                <w:rFonts w:eastAsia="Segoe UI" w:cs="Segoe UI"/>
                <w:b/>
                <w:bCs/>
                <w:sz w:val="16"/>
                <w:szCs w:val="16"/>
              </w:rPr>
            </w:pPr>
            <w:r w:rsidRPr="00D75194">
              <w:rPr>
                <w:rFonts w:eastAsia="Segoe UI" w:cs="Segoe UI"/>
                <w:b/>
                <w:bCs/>
                <w:sz w:val="16"/>
                <w:szCs w:val="16"/>
              </w:rPr>
              <w:t>Timeliness of delivery</w:t>
            </w:r>
            <w:r w:rsidRPr="00D75194" w:rsidR="006D264A">
              <w:rPr>
                <w:rFonts w:eastAsia="Segoe UI" w:cs="Segoe UI"/>
                <w:b/>
                <w:bCs/>
                <w:sz w:val="16"/>
                <w:szCs w:val="16"/>
              </w:rPr>
              <w:t>—</w:t>
            </w:r>
            <w:r w:rsidRPr="00D75194">
              <w:rPr>
                <w:rFonts w:eastAsia="Segoe UI" w:cs="Segoe UI"/>
                <w:b/>
                <w:bCs/>
                <w:sz w:val="16"/>
                <w:szCs w:val="16"/>
              </w:rPr>
              <w:t xml:space="preserve">TPs </w:t>
            </w:r>
          </w:p>
        </w:tc>
        <w:tc>
          <w:tcPr>
            <w:tcW w:w="851" w:type="dxa"/>
            <w:shd w:val="clear" w:color="auto" w:fill="F2F2F2" w:themeFill="background1" w:themeFillShade="F2"/>
            <w:tcMar>
              <w:top w:w="15" w:type="dxa"/>
              <w:left w:w="15" w:type="dxa"/>
              <w:bottom w:w="15" w:type="dxa"/>
              <w:right w:w="15" w:type="dxa"/>
            </w:tcMar>
            <w:vAlign w:val="center"/>
          </w:tcPr>
          <w:p w:rsidRPr="00D75194" w:rsidR="00515436" w:rsidP="008E2151" w:rsidRDefault="00515436" w14:paraId="738CDB4C" w14:textId="0D2735E1">
            <w:pPr>
              <w:spacing w:after="0"/>
              <w:ind w:left="57" w:right="57"/>
              <w:jc w:val="left"/>
              <w:rPr>
                <w:rFonts w:eastAsia="Segoe UI" w:cs="Segoe UI"/>
                <w:b/>
                <w:bCs/>
                <w:sz w:val="16"/>
                <w:szCs w:val="16"/>
              </w:rPr>
            </w:pPr>
            <w:r w:rsidRPr="00D75194">
              <w:rPr>
                <w:rFonts w:eastAsia="Segoe UI" w:cs="Segoe UI"/>
                <w:b/>
                <w:bCs/>
                <w:sz w:val="16"/>
                <w:szCs w:val="16"/>
              </w:rPr>
              <w:t xml:space="preserve">Evidence of coordination between TPs </w:t>
            </w:r>
          </w:p>
        </w:tc>
      </w:tr>
      <w:tr w:rsidRPr="00D75194" w:rsidR="00515436" w:rsidTr="007F7DE1" w14:paraId="6F4E4999" w14:textId="77777777">
        <w:trPr>
          <w:trHeight w:val="795"/>
          <w:tblHeader/>
        </w:trPr>
        <w:tc>
          <w:tcPr>
            <w:tcW w:w="1202" w:type="dxa"/>
            <w:shd w:val="clear" w:color="auto" w:fill="F2F2F2" w:themeFill="background1" w:themeFillShade="F2"/>
          </w:tcPr>
          <w:p w:rsidRPr="007F7DE1" w:rsidR="00515436" w:rsidP="008E2151" w:rsidRDefault="00515436" w14:paraId="0C8DC3A6" w14:textId="75AF425F">
            <w:pPr>
              <w:spacing w:after="0"/>
              <w:ind w:left="57" w:right="57"/>
              <w:jc w:val="left"/>
              <w:rPr>
                <w:rFonts w:eastAsia="Segoe UI" w:cs="Segoe UI"/>
                <w:b/>
                <w:bCs/>
                <w:sz w:val="16"/>
                <w:szCs w:val="16"/>
              </w:rPr>
            </w:pPr>
            <w:r w:rsidRPr="007F7DE1">
              <w:rPr>
                <w:rFonts w:eastAsia="Segoe UI" w:cs="Segoe UI"/>
                <w:b/>
                <w:bCs/>
                <w:sz w:val="16"/>
                <w:szCs w:val="16"/>
              </w:rPr>
              <w:t>Result</w:t>
            </w:r>
          </w:p>
        </w:tc>
        <w:tc>
          <w:tcPr>
            <w:tcW w:w="1202" w:type="dxa"/>
            <w:shd w:val="clear" w:color="auto" w:fill="92D050"/>
            <w:tcMar>
              <w:top w:w="15" w:type="dxa"/>
              <w:left w:w="15" w:type="dxa"/>
              <w:bottom w:w="15" w:type="dxa"/>
              <w:right w:w="15" w:type="dxa"/>
            </w:tcMar>
            <w:vAlign w:val="center"/>
          </w:tcPr>
          <w:p w:rsidRPr="00D75194" w:rsidR="00515436" w:rsidP="008E2151" w:rsidRDefault="00515436" w14:paraId="5D6D67AB" w14:textId="767B72A6">
            <w:pPr>
              <w:spacing w:after="0"/>
              <w:ind w:left="57" w:right="57"/>
              <w:jc w:val="left"/>
              <w:rPr>
                <w:rFonts w:eastAsia="Segoe UI" w:cs="Segoe UI"/>
                <w:sz w:val="16"/>
                <w:szCs w:val="16"/>
              </w:rPr>
            </w:pPr>
            <w:r w:rsidRPr="00D75194">
              <w:rPr>
                <w:rFonts w:eastAsia="Segoe UI" w:cs="Segoe UI"/>
                <w:sz w:val="16"/>
                <w:szCs w:val="16"/>
              </w:rPr>
              <w:t>£3</w:t>
            </w:r>
            <w:r w:rsidRPr="00D75194" w:rsidR="00F930E5">
              <w:rPr>
                <w:rFonts w:eastAsia="Segoe UI" w:cs="Segoe UI"/>
                <w:sz w:val="16"/>
                <w:szCs w:val="16"/>
              </w:rPr>
              <w:t>,</w:t>
            </w:r>
            <w:r w:rsidRPr="00D75194">
              <w:rPr>
                <w:rFonts w:eastAsia="Segoe UI" w:cs="Segoe UI"/>
                <w:sz w:val="16"/>
                <w:szCs w:val="16"/>
              </w:rPr>
              <w:t>018 per person</w:t>
            </w:r>
          </w:p>
          <w:p w:rsidRPr="00D75194" w:rsidR="00515436" w:rsidP="008E2151" w:rsidRDefault="00515436" w14:paraId="6F22CC58" w14:textId="3C1BA74F">
            <w:pPr>
              <w:spacing w:after="0"/>
              <w:ind w:left="57" w:right="57"/>
              <w:jc w:val="left"/>
              <w:rPr>
                <w:rFonts w:eastAsia="Segoe UI" w:cs="Segoe UI"/>
                <w:sz w:val="16"/>
                <w:szCs w:val="16"/>
              </w:rPr>
            </w:pPr>
            <w:r w:rsidRPr="00D75194">
              <w:rPr>
                <w:rFonts w:eastAsia="Segoe UI" w:cs="Segoe UI"/>
                <w:sz w:val="16"/>
                <w:szCs w:val="16"/>
              </w:rPr>
              <w:t>(£1</w:t>
            </w:r>
            <w:r w:rsidRPr="00D75194" w:rsidR="00F930E5">
              <w:rPr>
                <w:rFonts w:eastAsia="Segoe UI" w:cs="Segoe UI"/>
                <w:sz w:val="16"/>
                <w:szCs w:val="16"/>
              </w:rPr>
              <w:t>,</w:t>
            </w:r>
            <w:r w:rsidRPr="00D75194">
              <w:rPr>
                <w:rFonts w:eastAsia="Segoe UI" w:cs="Segoe UI"/>
                <w:sz w:val="16"/>
                <w:szCs w:val="16"/>
              </w:rPr>
              <w:t xml:space="preserve">044 per training day) </w:t>
            </w:r>
          </w:p>
        </w:tc>
        <w:tc>
          <w:tcPr>
            <w:tcW w:w="1488" w:type="dxa"/>
            <w:shd w:val="clear" w:color="auto" w:fill="92D050"/>
            <w:tcMar>
              <w:top w:w="15" w:type="dxa"/>
              <w:left w:w="15" w:type="dxa"/>
              <w:bottom w:w="15" w:type="dxa"/>
              <w:right w:w="15" w:type="dxa"/>
            </w:tcMar>
            <w:vAlign w:val="center"/>
          </w:tcPr>
          <w:p w:rsidRPr="00D75194" w:rsidR="00515436" w:rsidP="008E2151" w:rsidRDefault="00515436" w14:paraId="464CBA0B" w14:textId="3B0F370C">
            <w:pPr>
              <w:spacing w:after="0"/>
              <w:ind w:left="57" w:right="57"/>
              <w:jc w:val="left"/>
              <w:rPr>
                <w:rFonts w:eastAsia="Segoe UI" w:cs="Segoe UI"/>
                <w:sz w:val="16"/>
                <w:szCs w:val="16"/>
              </w:rPr>
            </w:pPr>
            <w:r w:rsidRPr="00D75194">
              <w:rPr>
                <w:rFonts w:eastAsia="Segoe UI" w:cs="Segoe UI"/>
                <w:sz w:val="16"/>
                <w:szCs w:val="16"/>
              </w:rPr>
              <w:t>£375,495 (</w:t>
            </w:r>
            <w:r w:rsidRPr="65EC14CC" w:rsidR="00F930E5">
              <w:rPr>
                <w:rFonts w:eastAsia="Segoe UI" w:cs="Segoe UI"/>
                <w:sz w:val="16"/>
                <w:szCs w:val="16"/>
              </w:rPr>
              <w:t>i</w:t>
            </w:r>
            <w:r w:rsidRPr="65EC14CC">
              <w:rPr>
                <w:rFonts w:eastAsia="Segoe UI" w:cs="Segoe UI"/>
                <w:sz w:val="16"/>
                <w:szCs w:val="16"/>
              </w:rPr>
              <w:t>mplementation</w:t>
            </w:r>
            <w:r w:rsidRPr="00D75194">
              <w:rPr>
                <w:rFonts w:eastAsia="Segoe UI" w:cs="Segoe UI"/>
                <w:sz w:val="16"/>
                <w:szCs w:val="16"/>
              </w:rPr>
              <w:t xml:space="preserve"> support to two countries)</w:t>
            </w:r>
          </w:p>
          <w:p w:rsidRPr="00D75194" w:rsidR="00515436" w:rsidP="008E2151" w:rsidRDefault="00515436" w14:paraId="668B60EC" w14:textId="11A0C30F">
            <w:pPr>
              <w:spacing w:after="0"/>
              <w:ind w:left="57" w:right="57"/>
              <w:jc w:val="left"/>
              <w:rPr>
                <w:rFonts w:eastAsia="Segoe UI" w:cs="Segoe UI"/>
                <w:sz w:val="16"/>
                <w:szCs w:val="16"/>
              </w:rPr>
            </w:pPr>
            <w:r w:rsidRPr="00D75194">
              <w:rPr>
                <w:rFonts w:eastAsia="Segoe UI" w:cs="Segoe UI"/>
                <w:sz w:val="16"/>
                <w:szCs w:val="16"/>
              </w:rPr>
              <w:t>£97,893.59</w:t>
            </w:r>
          </w:p>
          <w:p w:rsidRPr="00D75194" w:rsidR="00515436" w:rsidP="008E2151" w:rsidRDefault="00515436" w14:paraId="696B4032" w14:textId="1B135083">
            <w:pPr>
              <w:spacing w:after="0"/>
              <w:ind w:left="57" w:right="57"/>
              <w:jc w:val="left"/>
              <w:rPr>
                <w:rFonts w:eastAsia="Segoe UI" w:cs="Segoe UI"/>
                <w:sz w:val="16"/>
                <w:szCs w:val="16"/>
              </w:rPr>
            </w:pPr>
            <w:r w:rsidRPr="00D75194">
              <w:rPr>
                <w:rFonts w:eastAsia="Segoe UI" w:cs="Segoe UI"/>
                <w:sz w:val="16"/>
                <w:szCs w:val="16"/>
              </w:rPr>
              <w:t xml:space="preserve">(unique countries supported in </w:t>
            </w:r>
            <w:r w:rsidRPr="65EC14CC" w:rsidR="00E46047">
              <w:rPr>
                <w:rFonts w:eastAsia="Segoe UI" w:cs="Segoe UI"/>
                <w:sz w:val="16"/>
                <w:szCs w:val="16"/>
              </w:rPr>
              <w:t>Workplan</w:t>
            </w:r>
            <w:r w:rsidRPr="00D75194" w:rsidR="00E46047">
              <w:rPr>
                <w:rFonts w:eastAsia="Segoe UI" w:cs="Segoe UI"/>
                <w:sz w:val="16"/>
                <w:szCs w:val="16"/>
              </w:rPr>
              <w:t xml:space="preserve"> 2</w:t>
            </w:r>
            <w:r w:rsidRPr="00D75194">
              <w:rPr>
                <w:rFonts w:eastAsia="Segoe UI" w:cs="Segoe UI"/>
                <w:sz w:val="16"/>
                <w:szCs w:val="16"/>
              </w:rPr>
              <w:t>)</w:t>
            </w:r>
          </w:p>
        </w:tc>
        <w:tc>
          <w:tcPr>
            <w:tcW w:w="1080" w:type="dxa"/>
            <w:shd w:val="clear" w:color="auto" w:fill="92D050"/>
            <w:tcMar>
              <w:top w:w="15" w:type="dxa"/>
              <w:left w:w="15" w:type="dxa"/>
              <w:bottom w:w="15" w:type="dxa"/>
              <w:right w:w="15" w:type="dxa"/>
            </w:tcMar>
            <w:vAlign w:val="center"/>
          </w:tcPr>
          <w:p w:rsidRPr="00D75194" w:rsidR="00515436" w:rsidP="008E2151" w:rsidRDefault="00515436" w14:paraId="129F90BC" w14:textId="157EBCFC">
            <w:pPr>
              <w:spacing w:after="0"/>
              <w:ind w:left="57" w:right="57"/>
              <w:jc w:val="left"/>
              <w:rPr>
                <w:rFonts w:eastAsia="Segoe UI" w:cs="Segoe UI"/>
                <w:sz w:val="16"/>
                <w:szCs w:val="16"/>
              </w:rPr>
            </w:pPr>
            <w:r w:rsidRPr="00D75194">
              <w:rPr>
                <w:rFonts w:eastAsia="Segoe UI" w:cs="Segoe UI"/>
                <w:sz w:val="16"/>
                <w:szCs w:val="16"/>
              </w:rPr>
              <w:t xml:space="preserve"> £54,103.56</w:t>
            </w:r>
          </w:p>
          <w:p w:rsidRPr="00D75194" w:rsidR="00515436" w:rsidP="008E2151" w:rsidRDefault="00515436" w14:paraId="3CC6D5B4" w14:textId="1FA9C1C1">
            <w:pPr>
              <w:spacing w:after="0"/>
              <w:ind w:left="57" w:right="57"/>
              <w:jc w:val="left"/>
              <w:rPr>
                <w:rFonts w:eastAsia="Segoe UI" w:cs="Segoe UI"/>
                <w:sz w:val="16"/>
                <w:szCs w:val="16"/>
              </w:rPr>
            </w:pPr>
            <w:r w:rsidRPr="00D75194">
              <w:rPr>
                <w:rFonts w:eastAsia="Segoe UI" w:cs="Segoe UI"/>
                <w:sz w:val="16"/>
                <w:szCs w:val="16"/>
              </w:rPr>
              <w:t>(32)</w:t>
            </w:r>
          </w:p>
        </w:tc>
        <w:tc>
          <w:tcPr>
            <w:tcW w:w="1170" w:type="dxa"/>
            <w:shd w:val="clear" w:color="auto" w:fill="92D050"/>
            <w:tcMar>
              <w:top w:w="15" w:type="dxa"/>
              <w:left w:w="15" w:type="dxa"/>
              <w:bottom w:w="15" w:type="dxa"/>
              <w:right w:w="15" w:type="dxa"/>
            </w:tcMar>
            <w:vAlign w:val="center"/>
          </w:tcPr>
          <w:p w:rsidRPr="00D75194" w:rsidR="00515436" w:rsidP="008E2151" w:rsidRDefault="00515436" w14:paraId="5CDC7F1A" w14:textId="69B1E123">
            <w:pPr>
              <w:spacing w:after="0"/>
              <w:ind w:left="57" w:right="57"/>
              <w:jc w:val="left"/>
              <w:rPr>
                <w:rFonts w:eastAsia="Segoe UI" w:cs="Segoe UI"/>
                <w:sz w:val="16"/>
                <w:szCs w:val="16"/>
              </w:rPr>
            </w:pPr>
            <w:r w:rsidRPr="00D75194">
              <w:rPr>
                <w:rFonts w:eastAsia="Segoe UI" w:cs="Segoe UI"/>
                <w:sz w:val="16"/>
                <w:szCs w:val="16"/>
              </w:rPr>
              <w:t>87.5% (7/8 outputs on target)</w:t>
            </w:r>
          </w:p>
        </w:tc>
        <w:tc>
          <w:tcPr>
            <w:tcW w:w="2915" w:type="dxa"/>
            <w:gridSpan w:val="3"/>
            <w:tcBorders>
              <w:top w:val="single" w:color="000000" w:sz="4" w:space="0"/>
            </w:tcBorders>
            <w:shd w:val="clear" w:color="auto" w:fill="92D050"/>
            <w:tcMar>
              <w:top w:w="15" w:type="dxa"/>
              <w:left w:w="15" w:type="dxa"/>
              <w:bottom w:w="15" w:type="dxa"/>
              <w:right w:w="15" w:type="dxa"/>
            </w:tcMar>
            <w:vAlign w:val="center"/>
          </w:tcPr>
          <w:p w:rsidRPr="00D75194" w:rsidR="00515436" w:rsidP="008E2151" w:rsidRDefault="00515436" w14:paraId="1F82C271" w14:textId="6F3C42B2">
            <w:pPr>
              <w:spacing w:after="0"/>
              <w:ind w:left="57" w:right="57"/>
              <w:jc w:val="left"/>
              <w:rPr>
                <w:rFonts w:eastAsia="Segoe UI" w:cs="Segoe UI"/>
                <w:sz w:val="16"/>
                <w:szCs w:val="16"/>
              </w:rPr>
            </w:pPr>
            <w:r w:rsidRPr="00D75194">
              <w:rPr>
                <w:rFonts w:eastAsia="Segoe UI" w:cs="Segoe UI"/>
                <w:sz w:val="16"/>
                <w:szCs w:val="16"/>
              </w:rPr>
              <w:t xml:space="preserve"> </w:t>
            </w:r>
          </w:p>
          <w:p w:rsidRPr="00D75194" w:rsidR="00515436" w:rsidP="008E2151" w:rsidRDefault="00515436" w14:paraId="5B1C27ED" w14:textId="57F77B32">
            <w:pPr>
              <w:spacing w:after="0"/>
              <w:ind w:left="57" w:right="57"/>
              <w:jc w:val="left"/>
              <w:rPr>
                <w:rFonts w:eastAsia="Segoe UI" w:cs="Segoe UI"/>
                <w:sz w:val="16"/>
                <w:szCs w:val="16"/>
              </w:rPr>
            </w:pPr>
            <w:r w:rsidRPr="00D75194">
              <w:rPr>
                <w:rFonts w:eastAsia="Segoe UI" w:cs="Segoe UI"/>
                <w:sz w:val="16"/>
                <w:szCs w:val="16"/>
              </w:rPr>
              <w:t xml:space="preserve"> </w:t>
            </w:r>
          </w:p>
          <w:p w:rsidRPr="00D75194" w:rsidR="00515436" w:rsidP="008E2151" w:rsidRDefault="00515436" w14:paraId="63A6911E" w14:textId="27A6E199">
            <w:pPr>
              <w:spacing w:after="0"/>
              <w:ind w:left="57" w:right="57"/>
              <w:jc w:val="left"/>
              <w:rPr>
                <w:rFonts w:eastAsia="Segoe UI" w:cs="Segoe UI"/>
                <w:sz w:val="16"/>
                <w:szCs w:val="16"/>
              </w:rPr>
            </w:pPr>
            <w:r w:rsidRPr="00D75194">
              <w:rPr>
                <w:rFonts w:eastAsia="Segoe UI" w:cs="Segoe UI"/>
                <w:sz w:val="16"/>
                <w:szCs w:val="16"/>
              </w:rPr>
              <w:t xml:space="preserve">Quantitative evidence is lacking, but qualitative evidence suggests that there were no reported issues across these three indicators. </w:t>
            </w:r>
          </w:p>
        </w:tc>
        <w:tc>
          <w:tcPr>
            <w:tcW w:w="851" w:type="dxa"/>
            <w:shd w:val="clear" w:color="auto" w:fill="92D050"/>
            <w:tcMar>
              <w:top w:w="15" w:type="dxa"/>
              <w:left w:w="15" w:type="dxa"/>
              <w:bottom w:w="15" w:type="dxa"/>
              <w:right w:w="15" w:type="dxa"/>
            </w:tcMar>
            <w:vAlign w:val="center"/>
          </w:tcPr>
          <w:p w:rsidRPr="00D75194" w:rsidR="00515436" w:rsidP="008E2151" w:rsidRDefault="00515436" w14:paraId="46082D5A" w14:textId="44C3961A">
            <w:pPr>
              <w:spacing w:after="0"/>
              <w:ind w:left="57" w:right="57"/>
              <w:jc w:val="left"/>
              <w:rPr>
                <w:rFonts w:eastAsia="Segoe UI" w:cs="Segoe UI"/>
                <w:sz w:val="16"/>
                <w:szCs w:val="16"/>
              </w:rPr>
            </w:pPr>
            <w:r w:rsidRPr="00D75194">
              <w:rPr>
                <w:rFonts w:eastAsia="Segoe UI" w:cs="Segoe UI"/>
                <w:sz w:val="16"/>
                <w:szCs w:val="16"/>
              </w:rPr>
              <w:t>4 instances</w:t>
            </w:r>
          </w:p>
        </w:tc>
      </w:tr>
      <w:tr w:rsidRPr="00D75194" w:rsidR="00515436" w:rsidTr="007F7DE1" w14:paraId="4F230F5C" w14:textId="77777777">
        <w:trPr>
          <w:trHeight w:val="795"/>
        </w:trPr>
        <w:tc>
          <w:tcPr>
            <w:tcW w:w="1202" w:type="dxa"/>
            <w:shd w:val="clear" w:color="auto" w:fill="F2F2F2" w:themeFill="background1" w:themeFillShade="F2"/>
          </w:tcPr>
          <w:p w:rsidRPr="007F7DE1" w:rsidR="00515436" w:rsidP="008E2151" w:rsidRDefault="00515436" w14:paraId="634F65D1" w14:textId="210E9ADD">
            <w:pPr>
              <w:spacing w:after="0"/>
              <w:ind w:left="57" w:right="57"/>
              <w:jc w:val="left"/>
              <w:rPr>
                <w:rFonts w:eastAsia="Segoe UI" w:cs="Segoe UI"/>
                <w:b/>
                <w:bCs/>
                <w:sz w:val="16"/>
                <w:szCs w:val="16"/>
              </w:rPr>
            </w:pPr>
            <w:r w:rsidRPr="007F7DE1">
              <w:rPr>
                <w:rFonts w:eastAsia="Segoe UI" w:cs="Segoe UI"/>
                <w:b/>
                <w:bCs/>
                <w:sz w:val="16"/>
                <w:szCs w:val="16"/>
              </w:rPr>
              <w:t>Data source</w:t>
            </w:r>
          </w:p>
        </w:tc>
        <w:tc>
          <w:tcPr>
            <w:tcW w:w="1202" w:type="dxa"/>
            <w:tcMar>
              <w:top w:w="15" w:type="dxa"/>
              <w:left w:w="15" w:type="dxa"/>
              <w:bottom w:w="15" w:type="dxa"/>
              <w:right w:w="15" w:type="dxa"/>
            </w:tcMar>
            <w:vAlign w:val="center"/>
          </w:tcPr>
          <w:p w:rsidRPr="00D75194" w:rsidR="00515436" w:rsidP="008E2151" w:rsidRDefault="00515436" w14:paraId="6F7240E3" w14:textId="1A92FCEE">
            <w:pPr>
              <w:spacing w:after="0"/>
              <w:ind w:left="57" w:right="57"/>
              <w:jc w:val="left"/>
              <w:rPr>
                <w:rFonts w:eastAsia="Segoe UI" w:cs="Segoe UI"/>
                <w:sz w:val="16"/>
                <w:szCs w:val="16"/>
              </w:rPr>
            </w:pPr>
            <w:r w:rsidRPr="00D75194">
              <w:rPr>
                <w:rFonts w:eastAsia="Segoe UI" w:cs="Segoe UI"/>
                <w:sz w:val="16"/>
                <w:szCs w:val="16"/>
              </w:rPr>
              <w:t>Bi</w:t>
            </w:r>
            <w:r w:rsidRPr="00D75194" w:rsidR="00F930E5">
              <w:rPr>
                <w:rFonts w:eastAsia="Segoe UI" w:cs="Segoe UI"/>
                <w:sz w:val="16"/>
                <w:szCs w:val="16"/>
              </w:rPr>
              <w:t>-</w:t>
            </w:r>
            <w:r w:rsidRPr="00D75194">
              <w:rPr>
                <w:rFonts w:eastAsia="Segoe UI" w:cs="Segoe UI"/>
                <w:sz w:val="16"/>
                <w:szCs w:val="16"/>
              </w:rPr>
              <w:t xml:space="preserve">monthly reporting to DESNZ </w:t>
            </w:r>
          </w:p>
          <w:p w:rsidRPr="00D75194" w:rsidR="00515436" w:rsidP="008E2151" w:rsidRDefault="00515436" w14:paraId="17A29FF2" w14:textId="360FBC49">
            <w:pPr>
              <w:spacing w:after="0"/>
              <w:ind w:left="57" w:right="57"/>
              <w:jc w:val="left"/>
              <w:rPr>
                <w:rFonts w:eastAsia="Segoe UI" w:cs="Segoe UI"/>
                <w:sz w:val="16"/>
                <w:szCs w:val="16"/>
              </w:rPr>
            </w:pPr>
            <w:r w:rsidRPr="00D75194">
              <w:rPr>
                <w:rFonts w:eastAsia="Segoe UI" w:cs="Segoe UI"/>
                <w:sz w:val="16"/>
                <w:szCs w:val="16"/>
              </w:rPr>
              <w:t xml:space="preserve">MEL Data </w:t>
            </w:r>
            <w:r w:rsidRPr="00D75194" w:rsidR="00655DE9">
              <w:rPr>
                <w:rFonts w:eastAsia="Segoe UI" w:cs="Segoe UI"/>
                <w:sz w:val="16"/>
                <w:szCs w:val="16"/>
              </w:rPr>
              <w:t>Master sheet</w:t>
            </w:r>
          </w:p>
          <w:p w:rsidRPr="00D75194" w:rsidR="00515436" w:rsidP="008E2151" w:rsidRDefault="00515436" w14:paraId="245EC039" w14:textId="0EC77869">
            <w:pPr>
              <w:spacing w:after="0"/>
              <w:ind w:left="57" w:right="57"/>
              <w:jc w:val="left"/>
              <w:rPr>
                <w:rFonts w:eastAsia="Segoe UI" w:cs="Segoe UI"/>
                <w:sz w:val="16"/>
                <w:szCs w:val="16"/>
              </w:rPr>
            </w:pPr>
            <w:r w:rsidRPr="00D75194">
              <w:rPr>
                <w:rFonts w:eastAsia="Segoe UI" w:cs="Segoe UI"/>
                <w:sz w:val="16"/>
                <w:szCs w:val="16"/>
              </w:rPr>
              <w:t>Final summary invoice</w:t>
            </w:r>
          </w:p>
          <w:p w:rsidRPr="00D75194" w:rsidR="00515436" w:rsidP="008E2151" w:rsidRDefault="00515436" w14:paraId="32265EA6" w14:textId="084C0BD5">
            <w:pPr>
              <w:spacing w:after="0"/>
              <w:ind w:left="57" w:right="57"/>
              <w:jc w:val="left"/>
              <w:rPr>
                <w:rFonts w:eastAsia="Segoe UI" w:cs="Segoe UI"/>
                <w:sz w:val="16"/>
                <w:szCs w:val="16"/>
              </w:rPr>
            </w:pPr>
            <w:r w:rsidRPr="00D75194">
              <w:rPr>
                <w:rFonts w:eastAsia="Segoe UI" w:cs="Segoe UI"/>
                <w:sz w:val="16"/>
                <w:szCs w:val="16"/>
              </w:rPr>
              <w:t xml:space="preserve"> </w:t>
            </w:r>
          </w:p>
        </w:tc>
        <w:tc>
          <w:tcPr>
            <w:tcW w:w="1488" w:type="dxa"/>
            <w:tcMar>
              <w:top w:w="15" w:type="dxa"/>
              <w:left w:w="15" w:type="dxa"/>
              <w:bottom w:w="15" w:type="dxa"/>
              <w:right w:w="15" w:type="dxa"/>
            </w:tcMar>
            <w:vAlign w:val="center"/>
          </w:tcPr>
          <w:p w:rsidRPr="00D75194" w:rsidR="00515436" w:rsidP="008E2151" w:rsidRDefault="00515436" w14:paraId="0D718BFC" w14:textId="7EB69695">
            <w:pPr>
              <w:spacing w:after="0"/>
              <w:ind w:left="57" w:right="57"/>
              <w:jc w:val="left"/>
              <w:rPr>
                <w:rFonts w:eastAsia="Segoe UI" w:cs="Segoe UI"/>
                <w:sz w:val="16"/>
                <w:szCs w:val="16"/>
              </w:rPr>
            </w:pPr>
            <w:r w:rsidRPr="00D75194">
              <w:rPr>
                <w:rFonts w:eastAsia="Segoe UI" w:cs="Segoe UI"/>
                <w:sz w:val="16"/>
                <w:szCs w:val="16"/>
              </w:rPr>
              <w:t xml:space="preserve">MEL Data </w:t>
            </w:r>
            <w:r w:rsidRPr="00D75194" w:rsidR="00655DE9">
              <w:rPr>
                <w:rFonts w:eastAsia="Segoe UI" w:cs="Segoe UI"/>
                <w:sz w:val="16"/>
                <w:szCs w:val="16"/>
              </w:rPr>
              <w:t>Master sheet</w:t>
            </w:r>
          </w:p>
          <w:p w:rsidRPr="00D75194" w:rsidR="00515436" w:rsidP="008E2151" w:rsidRDefault="00515436" w14:paraId="54DB4DE9" w14:textId="2FD505CD">
            <w:pPr>
              <w:spacing w:after="0"/>
              <w:ind w:left="57" w:right="57"/>
              <w:jc w:val="left"/>
              <w:rPr>
                <w:rFonts w:eastAsia="Segoe UI" w:cs="Segoe UI"/>
                <w:sz w:val="16"/>
                <w:szCs w:val="16"/>
              </w:rPr>
            </w:pPr>
            <w:r w:rsidRPr="00D75194">
              <w:rPr>
                <w:rFonts w:eastAsia="Segoe UI" w:cs="Segoe UI"/>
                <w:sz w:val="16"/>
                <w:szCs w:val="16"/>
              </w:rPr>
              <w:t>Bi-monthly reports to DESNZ</w:t>
            </w:r>
          </w:p>
          <w:p w:rsidRPr="00D75194" w:rsidR="00515436" w:rsidP="008E2151" w:rsidRDefault="00515436" w14:paraId="3B08C284" w14:textId="1B0EE783">
            <w:pPr>
              <w:spacing w:after="0"/>
              <w:ind w:left="57" w:right="57"/>
              <w:jc w:val="left"/>
              <w:rPr>
                <w:rFonts w:eastAsia="Segoe UI" w:cs="Segoe UI"/>
                <w:sz w:val="16"/>
                <w:szCs w:val="16"/>
              </w:rPr>
            </w:pPr>
            <w:r w:rsidRPr="00D75194">
              <w:rPr>
                <w:rFonts w:eastAsia="Segoe UI" w:cs="Segoe UI"/>
                <w:sz w:val="16"/>
                <w:szCs w:val="16"/>
              </w:rPr>
              <w:t>Final summary invoice</w:t>
            </w:r>
          </w:p>
        </w:tc>
        <w:tc>
          <w:tcPr>
            <w:tcW w:w="1080" w:type="dxa"/>
            <w:tcMar>
              <w:top w:w="15" w:type="dxa"/>
              <w:left w:w="15" w:type="dxa"/>
              <w:bottom w:w="15" w:type="dxa"/>
              <w:right w:w="15" w:type="dxa"/>
            </w:tcMar>
            <w:vAlign w:val="center"/>
          </w:tcPr>
          <w:p w:rsidRPr="00D75194" w:rsidR="00515436" w:rsidP="008E2151" w:rsidRDefault="00515436" w14:paraId="2D9446E7" w14:textId="244996A3">
            <w:pPr>
              <w:spacing w:after="0"/>
              <w:ind w:left="57" w:right="57"/>
              <w:jc w:val="left"/>
              <w:rPr>
                <w:rFonts w:eastAsia="Segoe UI" w:cs="Segoe UI"/>
                <w:sz w:val="16"/>
                <w:szCs w:val="16"/>
              </w:rPr>
            </w:pPr>
            <w:r w:rsidRPr="00D75194">
              <w:rPr>
                <w:rFonts w:eastAsia="Segoe UI" w:cs="Segoe UI"/>
                <w:sz w:val="16"/>
                <w:szCs w:val="16"/>
              </w:rPr>
              <w:t xml:space="preserve">MEL Data </w:t>
            </w:r>
            <w:r w:rsidRPr="00D75194" w:rsidR="00655DE9">
              <w:rPr>
                <w:rFonts w:eastAsia="Segoe UI" w:cs="Segoe UI"/>
                <w:sz w:val="16"/>
                <w:szCs w:val="16"/>
              </w:rPr>
              <w:t>Master sheet</w:t>
            </w:r>
          </w:p>
          <w:p w:rsidRPr="00D75194" w:rsidR="00515436" w:rsidP="008E2151" w:rsidRDefault="00515436" w14:paraId="7B4C9450" w14:textId="7F0C2874">
            <w:pPr>
              <w:spacing w:after="0"/>
              <w:ind w:left="57" w:right="57"/>
              <w:jc w:val="left"/>
              <w:rPr>
                <w:rFonts w:eastAsia="Segoe UI" w:cs="Segoe UI"/>
                <w:sz w:val="16"/>
                <w:szCs w:val="16"/>
              </w:rPr>
            </w:pPr>
            <w:r w:rsidRPr="00D75194">
              <w:rPr>
                <w:rFonts w:eastAsia="Segoe UI" w:cs="Segoe UI"/>
                <w:sz w:val="16"/>
                <w:szCs w:val="16"/>
              </w:rPr>
              <w:t xml:space="preserve">Bi-monthly </w:t>
            </w:r>
            <w:r w:rsidRPr="65EC14CC">
              <w:rPr>
                <w:rFonts w:eastAsia="Segoe UI" w:cs="Segoe UI"/>
                <w:sz w:val="16"/>
                <w:szCs w:val="16"/>
              </w:rPr>
              <w:t>re</w:t>
            </w:r>
            <w:r w:rsidRPr="65EC14CC" w:rsidR="00D912D3">
              <w:rPr>
                <w:rFonts w:eastAsia="Segoe UI" w:cs="Segoe UI"/>
                <w:sz w:val="16"/>
                <w:szCs w:val="16"/>
              </w:rPr>
              <w:t>p</w:t>
            </w:r>
            <w:r w:rsidRPr="65EC14CC">
              <w:rPr>
                <w:rFonts w:eastAsia="Segoe UI" w:cs="Segoe UI"/>
                <w:sz w:val="16"/>
                <w:szCs w:val="16"/>
              </w:rPr>
              <w:t>orts</w:t>
            </w:r>
            <w:r w:rsidRPr="00D75194">
              <w:rPr>
                <w:rFonts w:eastAsia="Segoe UI" w:cs="Segoe UI"/>
                <w:sz w:val="16"/>
                <w:szCs w:val="16"/>
              </w:rPr>
              <w:t xml:space="preserve"> to DESNZ</w:t>
            </w:r>
          </w:p>
          <w:p w:rsidRPr="00D75194" w:rsidR="00515436" w:rsidP="008E2151" w:rsidRDefault="00515436" w14:paraId="22AC65F0" w14:textId="5436B887">
            <w:pPr>
              <w:spacing w:after="0"/>
              <w:ind w:left="57" w:right="57"/>
              <w:jc w:val="left"/>
              <w:rPr>
                <w:rFonts w:eastAsia="Segoe UI" w:cs="Segoe UI"/>
                <w:sz w:val="16"/>
                <w:szCs w:val="16"/>
              </w:rPr>
            </w:pPr>
            <w:r w:rsidRPr="00D75194">
              <w:rPr>
                <w:rFonts w:eastAsia="Segoe UI" w:cs="Segoe UI"/>
                <w:sz w:val="16"/>
                <w:szCs w:val="16"/>
              </w:rPr>
              <w:t xml:space="preserve">Final </w:t>
            </w:r>
            <w:r w:rsidRPr="00D75194" w:rsidR="00D912D3">
              <w:rPr>
                <w:rFonts w:eastAsia="Segoe UI" w:cs="Segoe UI"/>
                <w:sz w:val="16"/>
                <w:szCs w:val="16"/>
              </w:rPr>
              <w:t xml:space="preserve">summary </w:t>
            </w:r>
            <w:r w:rsidRPr="65EC14CC" w:rsidR="00D912D3">
              <w:rPr>
                <w:rFonts w:eastAsia="Segoe UI" w:cs="Segoe UI"/>
                <w:sz w:val="16"/>
                <w:szCs w:val="16"/>
              </w:rPr>
              <w:t>invoice</w:t>
            </w:r>
          </w:p>
          <w:p w:rsidRPr="00D75194" w:rsidR="00515436" w:rsidP="008E2151" w:rsidRDefault="00515436" w14:paraId="4D18ED4C" w14:textId="566F1F47">
            <w:pPr>
              <w:spacing w:after="0"/>
              <w:ind w:left="57" w:right="57"/>
              <w:jc w:val="left"/>
              <w:rPr>
                <w:rFonts w:eastAsia="Segoe UI" w:cs="Segoe UI"/>
                <w:sz w:val="16"/>
                <w:szCs w:val="16"/>
              </w:rPr>
            </w:pPr>
            <w:r w:rsidRPr="00D75194">
              <w:rPr>
                <w:rFonts w:eastAsia="Segoe UI" w:cs="Segoe UI"/>
                <w:sz w:val="16"/>
                <w:szCs w:val="16"/>
              </w:rPr>
              <w:t xml:space="preserve"> </w:t>
            </w:r>
          </w:p>
        </w:tc>
        <w:tc>
          <w:tcPr>
            <w:tcW w:w="1170" w:type="dxa"/>
            <w:tcMar>
              <w:top w:w="15" w:type="dxa"/>
              <w:left w:w="15" w:type="dxa"/>
              <w:bottom w:w="15" w:type="dxa"/>
              <w:right w:w="15" w:type="dxa"/>
            </w:tcMar>
            <w:vAlign w:val="center"/>
          </w:tcPr>
          <w:p w:rsidRPr="00D75194" w:rsidR="00515436" w:rsidP="008E2151" w:rsidRDefault="00515436" w14:paraId="6E9F4298" w14:textId="17C32EB5">
            <w:pPr>
              <w:spacing w:after="0"/>
              <w:ind w:left="57" w:right="57"/>
              <w:jc w:val="left"/>
              <w:rPr>
                <w:rFonts w:eastAsia="Segoe UI" w:cs="Segoe UI"/>
                <w:sz w:val="16"/>
                <w:szCs w:val="16"/>
              </w:rPr>
            </w:pPr>
            <w:r w:rsidRPr="00D75194">
              <w:rPr>
                <w:rFonts w:eastAsia="Segoe UI" w:cs="Segoe UI"/>
                <w:sz w:val="16"/>
                <w:szCs w:val="16"/>
              </w:rPr>
              <w:t xml:space="preserve">CASA II </w:t>
            </w:r>
            <w:r w:rsidRPr="65EC14CC" w:rsidR="0078180C">
              <w:rPr>
                <w:rFonts w:eastAsia="Segoe UI" w:cs="Segoe UI"/>
                <w:sz w:val="16"/>
                <w:szCs w:val="16"/>
              </w:rPr>
              <w:t>l</w:t>
            </w:r>
            <w:r w:rsidRPr="65EC14CC">
              <w:rPr>
                <w:rFonts w:eastAsia="Segoe UI" w:cs="Segoe UI"/>
                <w:sz w:val="16"/>
                <w:szCs w:val="16"/>
              </w:rPr>
              <w:t>ogframe</w:t>
            </w:r>
          </w:p>
        </w:tc>
        <w:tc>
          <w:tcPr>
            <w:tcW w:w="2915" w:type="dxa"/>
            <w:gridSpan w:val="3"/>
            <w:tcMar>
              <w:top w:w="15" w:type="dxa"/>
              <w:left w:w="15" w:type="dxa"/>
              <w:bottom w:w="15" w:type="dxa"/>
              <w:right w:w="15" w:type="dxa"/>
            </w:tcMar>
            <w:vAlign w:val="center"/>
          </w:tcPr>
          <w:p w:rsidRPr="00D75194" w:rsidR="00515436" w:rsidP="008E2151" w:rsidRDefault="00515436" w14:paraId="1886B522" w14:textId="688FB1FD">
            <w:pPr>
              <w:spacing w:after="0"/>
              <w:ind w:left="57" w:right="57"/>
              <w:jc w:val="left"/>
              <w:rPr>
                <w:rFonts w:eastAsia="Segoe UI" w:cs="Segoe UI"/>
                <w:sz w:val="16"/>
                <w:szCs w:val="16"/>
              </w:rPr>
            </w:pPr>
            <w:r w:rsidRPr="00D75194">
              <w:rPr>
                <w:rFonts w:eastAsia="Segoe UI" w:cs="Segoe UI"/>
                <w:sz w:val="16"/>
                <w:szCs w:val="16"/>
              </w:rPr>
              <w:t xml:space="preserve">CASA II </w:t>
            </w:r>
            <w:r w:rsidRPr="65EC14CC" w:rsidR="0078180C">
              <w:rPr>
                <w:rFonts w:eastAsia="Segoe UI" w:cs="Segoe UI"/>
                <w:sz w:val="16"/>
                <w:szCs w:val="16"/>
              </w:rPr>
              <w:t>l</w:t>
            </w:r>
            <w:r w:rsidRPr="65EC14CC">
              <w:rPr>
                <w:rFonts w:eastAsia="Segoe UI" w:cs="Segoe UI"/>
                <w:sz w:val="16"/>
                <w:szCs w:val="16"/>
              </w:rPr>
              <w:t>ogframe</w:t>
            </w:r>
          </w:p>
          <w:p w:rsidRPr="00D75194" w:rsidR="00515436" w:rsidP="008E2151" w:rsidRDefault="00515436" w14:paraId="4D759837" w14:textId="5D60CBD2">
            <w:pPr>
              <w:spacing w:after="0"/>
              <w:ind w:left="57" w:right="57"/>
              <w:jc w:val="left"/>
              <w:rPr>
                <w:rFonts w:eastAsia="Segoe UI" w:cs="Segoe UI"/>
                <w:sz w:val="16"/>
                <w:szCs w:val="16"/>
              </w:rPr>
            </w:pPr>
            <w:r w:rsidRPr="00D75194">
              <w:rPr>
                <w:rFonts w:eastAsia="Segoe UI" w:cs="Segoe UI"/>
                <w:sz w:val="16"/>
                <w:szCs w:val="16"/>
              </w:rPr>
              <w:t>Interviews</w:t>
            </w:r>
          </w:p>
          <w:p w:rsidRPr="00D75194" w:rsidR="00515436" w:rsidP="008E2151" w:rsidRDefault="00515436" w14:paraId="0704D36E" w14:textId="6DD17673">
            <w:pPr>
              <w:spacing w:after="0"/>
              <w:ind w:left="57" w:right="57"/>
              <w:jc w:val="left"/>
              <w:rPr>
                <w:rFonts w:eastAsia="Segoe UI" w:cs="Segoe UI"/>
                <w:sz w:val="16"/>
                <w:szCs w:val="16"/>
              </w:rPr>
            </w:pPr>
            <w:r w:rsidRPr="00D75194">
              <w:rPr>
                <w:rFonts w:eastAsia="Segoe UI" w:cs="Segoe UI"/>
                <w:sz w:val="16"/>
                <w:szCs w:val="16"/>
              </w:rPr>
              <w:t>Bi-monthly reports to DESNZ</w:t>
            </w:r>
          </w:p>
        </w:tc>
        <w:tc>
          <w:tcPr>
            <w:tcW w:w="851" w:type="dxa"/>
            <w:tcMar>
              <w:top w:w="15" w:type="dxa"/>
              <w:left w:w="15" w:type="dxa"/>
              <w:bottom w:w="15" w:type="dxa"/>
              <w:right w:w="15" w:type="dxa"/>
            </w:tcMar>
            <w:vAlign w:val="center"/>
          </w:tcPr>
          <w:p w:rsidRPr="00D75194" w:rsidR="00515436" w:rsidP="008E2151" w:rsidRDefault="00515436" w14:paraId="5F99BE93" w14:textId="0918300E">
            <w:pPr>
              <w:spacing w:after="0"/>
              <w:ind w:left="57" w:right="57"/>
              <w:jc w:val="left"/>
              <w:rPr>
                <w:rFonts w:eastAsia="Segoe UI" w:cs="Segoe UI"/>
                <w:b/>
                <w:sz w:val="16"/>
                <w:szCs w:val="16"/>
              </w:rPr>
            </w:pPr>
            <w:r w:rsidRPr="00D75194">
              <w:rPr>
                <w:rFonts w:eastAsia="Segoe UI" w:cs="Segoe UI"/>
                <w:b/>
                <w:sz w:val="16"/>
                <w:szCs w:val="16"/>
              </w:rPr>
              <w:t xml:space="preserve"> </w:t>
            </w:r>
          </w:p>
          <w:p w:rsidRPr="00D75194" w:rsidR="00515436" w:rsidP="002B14B9" w:rsidRDefault="00515436" w14:paraId="6696F287" w14:textId="5C0288E9">
            <w:pPr>
              <w:spacing w:after="0" w:line="257" w:lineRule="auto"/>
              <w:ind w:left="57" w:right="57"/>
              <w:jc w:val="left"/>
              <w:rPr>
                <w:rFonts w:eastAsia="Segoe UI" w:cs="Segoe UI"/>
                <w:sz w:val="16"/>
                <w:szCs w:val="16"/>
              </w:rPr>
            </w:pPr>
            <w:r w:rsidRPr="65EC14CC">
              <w:rPr>
                <w:rFonts w:eastAsia="Segoe UI" w:cs="Segoe UI"/>
                <w:sz w:val="16"/>
                <w:szCs w:val="16"/>
              </w:rPr>
              <w:t xml:space="preserve">VFM </w:t>
            </w:r>
            <w:r w:rsidRPr="65EC14CC" w:rsidR="00D76A04">
              <w:rPr>
                <w:rFonts w:eastAsia="Segoe UI" w:cs="Segoe UI"/>
                <w:sz w:val="16"/>
                <w:szCs w:val="16"/>
              </w:rPr>
              <w:t>analysis</w:t>
            </w:r>
          </w:p>
          <w:p w:rsidRPr="00D75194" w:rsidR="00515436" w:rsidP="002B14B9" w:rsidRDefault="00515436" w14:paraId="22D971E7" w14:textId="7FFA4852">
            <w:pPr>
              <w:spacing w:after="0" w:line="257" w:lineRule="auto"/>
              <w:ind w:left="57" w:right="57"/>
              <w:jc w:val="left"/>
              <w:rPr>
                <w:rFonts w:eastAsia="Segoe UI" w:cs="Segoe UI"/>
                <w:sz w:val="16"/>
                <w:szCs w:val="16"/>
              </w:rPr>
            </w:pPr>
            <w:r w:rsidRPr="00D75194">
              <w:rPr>
                <w:rFonts w:eastAsia="Segoe UI" w:cs="Segoe UI"/>
                <w:sz w:val="16"/>
                <w:szCs w:val="16"/>
              </w:rPr>
              <w:t>KIIs</w:t>
            </w:r>
          </w:p>
        </w:tc>
      </w:tr>
    </w:tbl>
    <w:p w:rsidR="00DA5094" w:rsidP="00D463A8" w:rsidRDefault="00DA5094" w14:paraId="68C5F1E0" w14:textId="77777777">
      <w:pPr>
        <w:spacing w:after="160" w:line="257" w:lineRule="auto"/>
        <w:rPr>
          <w:rFonts w:eastAsia="Segoe UI" w:cs="Segoe UI"/>
        </w:rPr>
      </w:pPr>
    </w:p>
    <w:p w:rsidRPr="00D75194" w:rsidR="004E4334" w:rsidP="00D463A8" w:rsidRDefault="1940839D" w14:paraId="2A2B1321" w14:textId="176F2D72">
      <w:pPr>
        <w:spacing w:after="160" w:line="257" w:lineRule="auto"/>
        <w:rPr>
          <w:rFonts w:eastAsia="Segoe UI" w:cs="Segoe UI"/>
        </w:rPr>
      </w:pPr>
      <w:r w:rsidRPr="4461530B">
        <w:rPr>
          <w:rFonts w:eastAsia="Segoe UI" w:cs="Segoe UI"/>
        </w:rPr>
        <w:t xml:space="preserve">The available data indicate that </w:t>
      </w:r>
      <w:r w:rsidRPr="4461530B">
        <w:rPr>
          <w:rFonts w:eastAsia="Segoe UI" w:cs="Segoe UI"/>
          <w:b/>
          <w:bCs/>
        </w:rPr>
        <w:t xml:space="preserve">CASA II </w:t>
      </w:r>
      <w:r w:rsidRPr="4461530B" w:rsidR="00786120">
        <w:rPr>
          <w:rFonts w:eastAsia="Segoe UI" w:cs="Segoe UI"/>
          <w:b/>
          <w:bCs/>
        </w:rPr>
        <w:t>has been</w:t>
      </w:r>
      <w:r w:rsidRPr="4461530B">
        <w:rPr>
          <w:rFonts w:eastAsia="Segoe UI" w:cs="Segoe UI"/>
          <w:b/>
          <w:bCs/>
        </w:rPr>
        <w:t xml:space="preserve"> delivered efficiently, with costs generally proportionate to the level and nature of</w:t>
      </w:r>
      <w:r w:rsidRPr="4461530B" w:rsidR="006D4319">
        <w:rPr>
          <w:rFonts w:eastAsia="Segoe UI" w:cs="Segoe UI"/>
          <w:b/>
          <w:bCs/>
        </w:rPr>
        <w:t xml:space="preserve"> the</w:t>
      </w:r>
      <w:r w:rsidRPr="4461530B">
        <w:rPr>
          <w:rFonts w:eastAsia="Segoe UI" w:cs="Segoe UI"/>
          <w:b/>
          <w:bCs/>
        </w:rPr>
        <w:t xml:space="preserve"> support provided.</w:t>
      </w:r>
      <w:r w:rsidRPr="4461530B">
        <w:rPr>
          <w:rFonts w:eastAsia="Segoe UI" w:cs="Segoe UI"/>
        </w:rPr>
        <w:t xml:space="preserve"> The cost per negotiator receiving direct negotiation support was £3,018, reflecting the intensive, tailored support model. The cost per training day under capacity-building activities was £1,044, which aligns with the technical and decentralised nature of delivery. Implementation support to Nepal and Bangladesh totalled £375,495, representing a substantial but appropriate investment in domestic policy processes. </w:t>
      </w:r>
      <w:r w:rsidRPr="4461530B" w:rsidR="64397E99">
        <w:rPr>
          <w:rFonts w:eastAsia="Segoe UI" w:cs="Segoe UI"/>
        </w:rPr>
        <w:t>The targets for each of these indicators was an underspend against the budget costs, and these were all met</w:t>
      </w:r>
      <w:r w:rsidRPr="4461530B" w:rsidR="2B70072C">
        <w:rPr>
          <w:rFonts w:eastAsia="Segoe UI" w:cs="Segoe UI"/>
        </w:rPr>
        <w:t xml:space="preserve">. No per beneficiary cost target </w:t>
      </w:r>
      <w:r w:rsidRPr="4461530B" w:rsidR="006E7E51">
        <w:rPr>
          <w:rFonts w:eastAsia="Segoe UI" w:cs="Segoe UI"/>
        </w:rPr>
        <w:t xml:space="preserve">has </w:t>
      </w:r>
      <w:r w:rsidRPr="4461530B" w:rsidR="2B70072C">
        <w:rPr>
          <w:rFonts w:eastAsia="Segoe UI" w:cs="Segoe UI"/>
        </w:rPr>
        <w:t>been form</w:t>
      </w:r>
      <w:r w:rsidRPr="4461530B" w:rsidR="30BFEBE9">
        <w:rPr>
          <w:rFonts w:eastAsia="Segoe UI" w:cs="Segoe UI"/>
        </w:rPr>
        <w:t>u</w:t>
      </w:r>
      <w:r w:rsidRPr="4461530B" w:rsidR="2B70072C">
        <w:rPr>
          <w:rFonts w:eastAsia="Segoe UI" w:cs="Segoe UI"/>
        </w:rPr>
        <w:t xml:space="preserve">lated, so it is not possible to conclude whether per item costs </w:t>
      </w:r>
      <w:r w:rsidRPr="4461530B" w:rsidR="006E7E51">
        <w:rPr>
          <w:rFonts w:eastAsia="Segoe UI" w:cs="Segoe UI"/>
        </w:rPr>
        <w:t xml:space="preserve">have been </w:t>
      </w:r>
      <w:r w:rsidRPr="4461530B" w:rsidR="7C5A2BF1">
        <w:rPr>
          <w:rFonts w:eastAsia="Segoe UI" w:cs="Segoe UI"/>
        </w:rPr>
        <w:t>effic</w:t>
      </w:r>
      <w:r w:rsidRPr="4461530B" w:rsidR="336815AC">
        <w:rPr>
          <w:rFonts w:eastAsia="Segoe UI" w:cs="Segoe UI"/>
        </w:rPr>
        <w:t>i</w:t>
      </w:r>
      <w:r w:rsidRPr="4461530B" w:rsidR="7C5A2BF1">
        <w:rPr>
          <w:rFonts w:eastAsia="Segoe UI" w:cs="Segoe UI"/>
        </w:rPr>
        <w:t>e</w:t>
      </w:r>
      <w:r w:rsidRPr="4461530B" w:rsidR="78E5F6A8">
        <w:rPr>
          <w:rFonts w:eastAsia="Segoe UI" w:cs="Segoe UI"/>
        </w:rPr>
        <w:t>n</w:t>
      </w:r>
      <w:r w:rsidRPr="4461530B" w:rsidR="7C5A2BF1">
        <w:rPr>
          <w:rFonts w:eastAsia="Segoe UI" w:cs="Segoe UI"/>
        </w:rPr>
        <w:t xml:space="preserve">t spends. What can be concluded is that the value of the training derived by beneficiaries and associated organisations confirms that the per beneficiary cost is well </w:t>
      </w:r>
      <w:r w:rsidRPr="4461530B" w:rsidR="00251EC1">
        <w:rPr>
          <w:rFonts w:eastAsia="Segoe UI" w:cs="Segoe UI"/>
        </w:rPr>
        <w:t>justified</w:t>
      </w:r>
      <w:r w:rsidRPr="4461530B" w:rsidR="3000E3BF">
        <w:rPr>
          <w:rFonts w:eastAsia="Segoe UI" w:cs="Segoe UI"/>
        </w:rPr>
        <w:t xml:space="preserve">. </w:t>
      </w:r>
      <w:r w:rsidRPr="4461530B" w:rsidR="3986B4ED">
        <w:rPr>
          <w:rFonts w:eastAsia="Segoe UI" w:cs="Segoe UI"/>
        </w:rPr>
        <w:t>Issues with the availability of data on OF beneficiaries has meant that the cost per OF beneficiary has not been calculated</w:t>
      </w:r>
      <w:r w:rsidRPr="4461530B" w:rsidR="396C1B62">
        <w:rPr>
          <w:rFonts w:eastAsia="Segoe UI" w:cs="Segoe UI"/>
        </w:rPr>
        <w:t xml:space="preserve">. </w:t>
      </w:r>
      <w:r w:rsidRPr="4461530B">
        <w:rPr>
          <w:rFonts w:eastAsia="Segoe UI" w:cs="Segoe UI"/>
        </w:rPr>
        <w:t>The programme</w:t>
      </w:r>
      <w:r w:rsidRPr="4461530B" w:rsidR="006A0B3A">
        <w:rPr>
          <w:rFonts w:eastAsia="Segoe UI" w:cs="Segoe UI"/>
        </w:rPr>
        <w:t xml:space="preserve"> has</w:t>
      </w:r>
      <w:r w:rsidRPr="4461530B">
        <w:rPr>
          <w:rFonts w:eastAsia="Segoe UI" w:cs="Segoe UI"/>
        </w:rPr>
        <w:t xml:space="preserve"> met 87.5% of output indicators</w:t>
      </w:r>
      <w:r w:rsidRPr="4461530B" w:rsidR="098C7DF6">
        <w:rPr>
          <w:rFonts w:eastAsia="Segoe UI" w:cs="Segoe UI"/>
        </w:rPr>
        <w:t xml:space="preserve">, only failing to meet the target for Output </w:t>
      </w:r>
      <w:r w:rsidRPr="4461530B" w:rsidR="009B0ADB">
        <w:rPr>
          <w:rFonts w:eastAsia="Segoe UI" w:cs="Segoe UI"/>
        </w:rPr>
        <w:t>I</w:t>
      </w:r>
      <w:r w:rsidRPr="4461530B" w:rsidR="098C7DF6">
        <w:rPr>
          <w:rFonts w:eastAsia="Segoe UI" w:cs="Segoe UI"/>
        </w:rPr>
        <w:t xml:space="preserve">ndicator 3.2 </w:t>
      </w:r>
      <w:r w:rsidRPr="4461530B" w:rsidR="48C5BC8F">
        <w:rPr>
          <w:rFonts w:eastAsia="Segoe UI" w:cs="Segoe UI"/>
        </w:rPr>
        <w:t>(</w:t>
      </w:r>
      <w:r w:rsidRPr="4461530B" w:rsidR="65CA1554">
        <w:rPr>
          <w:rFonts w:eastAsia="Segoe UI" w:cs="Segoe UI"/>
        </w:rPr>
        <w:t>#</w:t>
      </w:r>
      <w:r w:rsidRPr="4461530B">
        <w:rPr>
          <w:rFonts w:eastAsia="Segoe UI" w:cs="Segoe UI"/>
        </w:rPr>
        <w:t xml:space="preserve"> of products and initiatives that support countries to a) support indigenous voices and b) develop at the domestic and/or regional level on implementing the goals of the Paris </w:t>
      </w:r>
      <w:r w:rsidRPr="4461530B" w:rsidR="65CA1554">
        <w:rPr>
          <w:rFonts w:eastAsia="Segoe UI" w:cs="Segoe UI"/>
        </w:rPr>
        <w:t>Agreement</w:t>
      </w:r>
      <w:r w:rsidRPr="4461530B" w:rsidR="3D67FC6F">
        <w:rPr>
          <w:rFonts w:eastAsia="Segoe UI" w:cs="Segoe UI"/>
        </w:rPr>
        <w:t xml:space="preserve">), which was missed by two items (13 out of a target of 15). </w:t>
      </w:r>
      <w:r w:rsidRPr="4461530B" w:rsidR="4764B35E">
        <w:rPr>
          <w:rFonts w:eastAsia="Segoe UI" w:cs="Segoe UI"/>
        </w:rPr>
        <w:t>This</w:t>
      </w:r>
      <w:r w:rsidRPr="4461530B">
        <w:rPr>
          <w:rFonts w:eastAsia="Segoe UI" w:cs="Segoe UI"/>
        </w:rPr>
        <w:t xml:space="preserve"> </w:t>
      </w:r>
      <w:r w:rsidRPr="4461530B" w:rsidR="4764B35E">
        <w:rPr>
          <w:rFonts w:eastAsia="Segoe UI" w:cs="Segoe UI"/>
        </w:rPr>
        <w:t>indicates</w:t>
      </w:r>
      <w:r w:rsidRPr="4461530B">
        <w:rPr>
          <w:rFonts w:eastAsia="Segoe UI" w:cs="Segoe UI"/>
        </w:rPr>
        <w:t xml:space="preserve"> a strong relationship between inputs and outputs. There is limited quantitative evidence on timeliness; in the absence of reports indicating delays, delivery is assumed to have been on schedule, though this cannot be verified. Four instances of coordination between </w:t>
      </w:r>
      <w:r w:rsidRPr="4461530B" w:rsidR="00690A66">
        <w:rPr>
          <w:rFonts w:eastAsia="Segoe UI" w:cs="Segoe UI"/>
        </w:rPr>
        <w:t>TP</w:t>
      </w:r>
      <w:r w:rsidRPr="4461530B">
        <w:rPr>
          <w:rFonts w:eastAsia="Segoe UI" w:cs="Segoe UI"/>
        </w:rPr>
        <w:t xml:space="preserve">s were recorded, indicating some collaboration, though this was not systematic. This is discussed further </w:t>
      </w:r>
      <w:r w:rsidRPr="4461530B" w:rsidR="00AC1FEF">
        <w:rPr>
          <w:rFonts w:eastAsia="Segoe UI" w:cs="Segoe UI"/>
        </w:rPr>
        <w:t>in the section on coherence</w:t>
      </w:r>
      <w:r w:rsidRPr="4461530B">
        <w:rPr>
          <w:rFonts w:eastAsia="Segoe UI" w:cs="Segoe UI"/>
        </w:rPr>
        <w:t>.</w:t>
      </w:r>
    </w:p>
    <w:p w:rsidRPr="00D75194" w:rsidR="00083A6A" w:rsidP="00DD717C" w:rsidRDefault="1940839D" w14:paraId="283F4CA8" w14:textId="4212E024">
      <w:pPr>
        <w:pStyle w:val="Heading3"/>
      </w:pPr>
      <w:bookmarkStart w:name="_Toc204259824" w:id="76"/>
      <w:r w:rsidRPr="00D75194">
        <w:t>Effectiveness</w:t>
      </w:r>
      <w:bookmarkEnd w:id="76"/>
    </w:p>
    <w:p w:rsidRPr="00D75194" w:rsidR="00083A6A" w:rsidP="00D463A8" w:rsidRDefault="1940839D" w14:paraId="389DBED2" w14:textId="5D22CE3C">
      <w:pPr>
        <w:spacing w:after="160" w:line="257" w:lineRule="auto"/>
        <w:rPr>
          <w:rFonts w:eastAsia="Segoe UI" w:cs="Segoe UI"/>
        </w:rPr>
      </w:pPr>
      <w:r w:rsidRPr="00D75194">
        <w:rPr>
          <w:rFonts w:eastAsia="Segoe UI" w:cs="Segoe UI"/>
        </w:rPr>
        <w:t xml:space="preserve">Overall result: Progressing towards expected performance </w:t>
      </w:r>
    </w:p>
    <w:tbl>
      <w:tblPr>
        <w:tblW w:w="985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4A0" w:firstRow="1" w:lastRow="0" w:firstColumn="1" w:lastColumn="0" w:noHBand="0" w:noVBand="1"/>
      </w:tblPr>
      <w:tblGrid>
        <w:gridCol w:w="1642"/>
        <w:gridCol w:w="1642"/>
        <w:gridCol w:w="1642"/>
        <w:gridCol w:w="1642"/>
        <w:gridCol w:w="1642"/>
        <w:gridCol w:w="1642"/>
      </w:tblGrid>
      <w:tr w:rsidRPr="00D75194" w:rsidR="00515436" w:rsidTr="009C67FD" w14:paraId="069A74FF" w14:textId="77777777">
        <w:trPr>
          <w:trHeight w:val="570"/>
          <w:jc w:val="center"/>
        </w:trPr>
        <w:tc>
          <w:tcPr>
            <w:tcW w:w="1642" w:type="dxa"/>
            <w:shd w:val="clear" w:color="auto" w:fill="F2F2F2" w:themeFill="background1" w:themeFillShade="F2"/>
            <w:tcMar>
              <w:top w:w="15" w:type="dxa"/>
              <w:left w:w="15" w:type="dxa"/>
              <w:bottom w:w="15" w:type="dxa"/>
              <w:right w:w="15" w:type="dxa"/>
            </w:tcMar>
            <w:vAlign w:val="center"/>
          </w:tcPr>
          <w:p w:rsidRPr="00D75194" w:rsidR="1442C7C2" w:rsidRDefault="1442C7C2" w14:paraId="30994F09" w14:textId="29C859AC">
            <w:pPr>
              <w:spacing w:after="0" w:line="257" w:lineRule="auto"/>
              <w:jc w:val="left"/>
              <w:rPr>
                <w:rFonts w:eastAsia="Segoe UI" w:cs="Segoe UI"/>
                <w:b/>
                <w:bCs/>
                <w:sz w:val="16"/>
                <w:szCs w:val="16"/>
              </w:rPr>
            </w:pPr>
            <w:r w:rsidRPr="00D75194">
              <w:rPr>
                <w:rFonts w:eastAsia="Segoe UI" w:cs="Segoe UI"/>
                <w:b/>
                <w:bCs/>
                <w:sz w:val="16"/>
                <w:szCs w:val="16"/>
              </w:rPr>
              <w:t>Indicator</w:t>
            </w:r>
          </w:p>
        </w:tc>
        <w:tc>
          <w:tcPr>
            <w:tcW w:w="1642"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04364CBA" w14:textId="2D1D6E63">
            <w:pPr>
              <w:spacing w:after="0" w:line="257" w:lineRule="auto"/>
              <w:ind w:left="57" w:right="57"/>
              <w:jc w:val="left"/>
              <w:rPr>
                <w:rFonts w:eastAsia="Segoe UI" w:cs="Segoe UI"/>
                <w:b/>
                <w:bCs/>
                <w:sz w:val="16"/>
                <w:szCs w:val="16"/>
              </w:rPr>
            </w:pPr>
            <w:r w:rsidRPr="00D75194">
              <w:rPr>
                <w:rFonts w:eastAsia="Segoe UI" w:cs="Segoe UI"/>
                <w:b/>
                <w:bCs/>
                <w:sz w:val="16"/>
                <w:szCs w:val="16"/>
              </w:rPr>
              <w:t xml:space="preserve">Overall achievement of four programme outcome </w:t>
            </w:r>
            <w:r w:rsidRPr="00D75194" w:rsidR="00FD07EF">
              <w:rPr>
                <w:rFonts w:eastAsia="Segoe UI" w:cs="Segoe UI"/>
                <w:b/>
                <w:bCs/>
                <w:sz w:val="16"/>
                <w:szCs w:val="16"/>
              </w:rPr>
              <w:t xml:space="preserve">indicators </w:t>
            </w:r>
          </w:p>
        </w:tc>
        <w:tc>
          <w:tcPr>
            <w:tcW w:w="1642"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1EDF3352" w14:textId="4776DDB2">
            <w:pPr>
              <w:spacing w:after="0" w:line="257" w:lineRule="auto"/>
              <w:ind w:left="57" w:right="57"/>
              <w:jc w:val="left"/>
              <w:rPr>
                <w:rFonts w:eastAsia="Segoe UI" w:cs="Segoe UI"/>
                <w:b/>
                <w:bCs/>
                <w:sz w:val="16"/>
                <w:szCs w:val="16"/>
              </w:rPr>
            </w:pPr>
            <w:r w:rsidRPr="00D75194">
              <w:rPr>
                <w:rFonts w:eastAsia="Segoe UI" w:cs="Segoe UI"/>
                <w:b/>
                <w:bCs/>
                <w:sz w:val="16"/>
                <w:szCs w:val="16"/>
              </w:rPr>
              <w:t>Overall satisfaction of programme beneficiaries with delivery of CASA2 programme (Outcome KPI-1)</w:t>
            </w:r>
          </w:p>
        </w:tc>
        <w:tc>
          <w:tcPr>
            <w:tcW w:w="1642"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4F80CC8D" w14:textId="0FA1BE70">
            <w:pPr>
              <w:spacing w:after="0" w:line="257" w:lineRule="auto"/>
              <w:ind w:left="57" w:right="57"/>
              <w:jc w:val="left"/>
              <w:rPr>
                <w:rFonts w:eastAsia="Segoe UI" w:cs="Segoe UI"/>
                <w:b/>
                <w:bCs/>
                <w:sz w:val="16"/>
                <w:szCs w:val="16"/>
              </w:rPr>
            </w:pPr>
            <w:r w:rsidRPr="00D75194">
              <w:rPr>
                <w:rFonts w:eastAsia="Segoe UI" w:cs="Segoe UI"/>
                <w:b/>
                <w:bCs/>
                <w:sz w:val="16"/>
                <w:szCs w:val="16"/>
              </w:rPr>
              <w:t>% of outcomes (at expect to see, like to see</w:t>
            </w:r>
            <w:r w:rsidRPr="00D75194" w:rsidR="00AC1FEF">
              <w:rPr>
                <w:rFonts w:eastAsia="Segoe UI" w:cs="Segoe UI"/>
                <w:b/>
                <w:bCs/>
                <w:sz w:val="16"/>
                <w:szCs w:val="16"/>
              </w:rPr>
              <w:t>,</w:t>
            </w:r>
            <w:r w:rsidRPr="00D75194">
              <w:rPr>
                <w:rFonts w:eastAsia="Segoe UI" w:cs="Segoe UI"/>
                <w:b/>
                <w:bCs/>
                <w:sz w:val="16"/>
                <w:szCs w:val="16"/>
              </w:rPr>
              <w:t xml:space="preserve"> and love to see levels) where there has been at least </w:t>
            </w:r>
            <w:r w:rsidRPr="65EC14CC" w:rsidR="00AC1FEF">
              <w:rPr>
                <w:rFonts w:eastAsia="Segoe UI" w:cs="Segoe UI"/>
                <w:b/>
                <w:bCs/>
                <w:sz w:val="16"/>
                <w:szCs w:val="16"/>
              </w:rPr>
              <w:t>“</w:t>
            </w:r>
            <w:r w:rsidRPr="65EC14CC">
              <w:rPr>
                <w:rFonts w:eastAsia="Segoe UI" w:cs="Segoe UI"/>
                <w:b/>
                <w:bCs/>
                <w:sz w:val="16"/>
                <w:szCs w:val="16"/>
              </w:rPr>
              <w:t>moderate</w:t>
            </w:r>
            <w:r w:rsidRPr="00D75194" w:rsidR="00AC1FEF">
              <w:rPr>
                <w:rFonts w:eastAsia="Segoe UI" w:cs="Segoe UI"/>
                <w:b/>
                <w:bCs/>
                <w:sz w:val="16"/>
                <w:szCs w:val="16"/>
              </w:rPr>
              <w:t>”</w:t>
            </w:r>
            <w:r w:rsidRPr="00D75194">
              <w:rPr>
                <w:rFonts w:eastAsia="Segoe UI" w:cs="Segoe UI"/>
                <w:b/>
                <w:bCs/>
                <w:sz w:val="16"/>
                <w:szCs w:val="16"/>
              </w:rPr>
              <w:t xml:space="preserve"> change, as expressed in the </w:t>
            </w:r>
            <w:r w:rsidRPr="65EC14CC" w:rsidR="003A3F61">
              <w:rPr>
                <w:rFonts w:eastAsia="Segoe UI" w:cs="Segoe UI"/>
                <w:b/>
                <w:bCs/>
                <w:sz w:val="16"/>
                <w:szCs w:val="16"/>
              </w:rPr>
              <w:t>o</w:t>
            </w:r>
            <w:r w:rsidRPr="65EC14CC">
              <w:rPr>
                <w:rFonts w:eastAsia="Segoe UI" w:cs="Segoe UI"/>
                <w:b/>
                <w:bCs/>
                <w:sz w:val="16"/>
                <w:szCs w:val="16"/>
              </w:rPr>
              <w:t xml:space="preserve">utcome </w:t>
            </w:r>
            <w:r w:rsidRPr="65EC14CC" w:rsidR="003A3F61">
              <w:rPr>
                <w:rFonts w:eastAsia="Segoe UI" w:cs="Segoe UI"/>
                <w:b/>
                <w:bCs/>
                <w:sz w:val="16"/>
                <w:szCs w:val="16"/>
              </w:rPr>
              <w:t>m</w:t>
            </w:r>
            <w:r w:rsidRPr="65EC14CC">
              <w:rPr>
                <w:rFonts w:eastAsia="Segoe UI" w:cs="Segoe UI"/>
                <w:b/>
                <w:bCs/>
                <w:sz w:val="16"/>
                <w:szCs w:val="16"/>
              </w:rPr>
              <w:t>ap</w:t>
            </w:r>
            <w:r w:rsidRPr="00D75194">
              <w:rPr>
                <w:rFonts w:eastAsia="Segoe UI" w:cs="Segoe UI"/>
                <w:b/>
                <w:bCs/>
                <w:sz w:val="16"/>
                <w:szCs w:val="16"/>
              </w:rPr>
              <w:t xml:space="preserve"> (Outcome KPI-2)</w:t>
            </w:r>
          </w:p>
        </w:tc>
        <w:tc>
          <w:tcPr>
            <w:tcW w:w="1642"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6A6E7686" w14:textId="27C392D9">
            <w:pPr>
              <w:spacing w:after="0" w:line="257" w:lineRule="auto"/>
              <w:ind w:left="57" w:right="57"/>
              <w:jc w:val="left"/>
              <w:rPr>
                <w:rFonts w:eastAsia="Segoe UI" w:cs="Segoe UI"/>
                <w:b/>
                <w:bCs/>
                <w:sz w:val="16"/>
                <w:szCs w:val="16"/>
              </w:rPr>
            </w:pPr>
            <w:r w:rsidRPr="00D75194">
              <w:rPr>
                <w:rFonts w:eastAsia="Segoe UI" w:cs="Segoe UI"/>
                <w:b/>
                <w:bCs/>
                <w:sz w:val="16"/>
                <w:szCs w:val="16"/>
              </w:rPr>
              <w:t>#</w:t>
            </w:r>
            <w:r w:rsidRPr="00D75194" w:rsidR="006B601D">
              <w:rPr>
                <w:rFonts w:eastAsia="Segoe UI" w:cs="Segoe UI"/>
                <w:b/>
                <w:bCs/>
                <w:sz w:val="16"/>
                <w:szCs w:val="16"/>
              </w:rPr>
              <w:t xml:space="preserve"> </w:t>
            </w:r>
            <w:r w:rsidRPr="00D75194">
              <w:rPr>
                <w:rFonts w:eastAsia="Segoe UI" w:cs="Segoe UI"/>
                <w:b/>
                <w:bCs/>
                <w:sz w:val="16"/>
                <w:szCs w:val="16"/>
              </w:rPr>
              <w:t>of cases where final negotiation texts for international climate change negotiations include positions and submissions from developing countries and/or include the outcomes they prefer (Outcome KPI-3)</w:t>
            </w:r>
          </w:p>
        </w:tc>
        <w:tc>
          <w:tcPr>
            <w:tcW w:w="1642"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5598D873" w14:textId="2FB59632">
            <w:pPr>
              <w:spacing w:after="0" w:line="257" w:lineRule="auto"/>
              <w:ind w:left="57" w:right="57"/>
              <w:jc w:val="left"/>
              <w:rPr>
                <w:rFonts w:eastAsia="Segoe UI" w:cs="Segoe UI"/>
                <w:b/>
                <w:bCs/>
                <w:sz w:val="16"/>
                <w:szCs w:val="16"/>
              </w:rPr>
            </w:pPr>
            <w:r w:rsidRPr="00D75194">
              <w:rPr>
                <w:rFonts w:eastAsia="Segoe UI" w:cs="Segoe UI"/>
                <w:b/>
                <w:bCs/>
                <w:sz w:val="16"/>
                <w:szCs w:val="16"/>
              </w:rPr>
              <w:t>CASA2</w:t>
            </w:r>
            <w:r w:rsidRPr="00D75194" w:rsidR="00F3033C">
              <w:rPr>
                <w:rFonts w:eastAsia="Segoe UI" w:cs="Segoe UI"/>
                <w:b/>
                <w:bCs/>
                <w:sz w:val="16"/>
                <w:szCs w:val="16"/>
              </w:rPr>
              <w:t>-</w:t>
            </w:r>
            <w:r w:rsidRPr="00D75194">
              <w:rPr>
                <w:rFonts w:eastAsia="Segoe UI" w:cs="Segoe UI"/>
                <w:b/>
                <w:bCs/>
                <w:sz w:val="16"/>
                <w:szCs w:val="16"/>
              </w:rPr>
              <w:t>supported groups reporting increased institutional capacity and less reliance upon TPs for secretariat functions (Outcome KPI-4)</w:t>
            </w:r>
          </w:p>
        </w:tc>
      </w:tr>
      <w:tr w:rsidRPr="00D75194" w:rsidR="00C4208E" w:rsidTr="009C67FD" w14:paraId="46609A18" w14:textId="77777777">
        <w:trPr>
          <w:trHeight w:val="420"/>
          <w:jc w:val="center"/>
        </w:trPr>
        <w:tc>
          <w:tcPr>
            <w:tcW w:w="1642" w:type="dxa"/>
            <w:shd w:val="clear" w:color="auto" w:fill="F2F2F2" w:themeFill="background1" w:themeFillShade="F2"/>
            <w:tcMar>
              <w:top w:w="15" w:type="dxa"/>
              <w:left w:w="15" w:type="dxa"/>
              <w:bottom w:w="15" w:type="dxa"/>
              <w:right w:w="15" w:type="dxa"/>
            </w:tcMar>
            <w:vAlign w:val="center"/>
          </w:tcPr>
          <w:p w:rsidRPr="00D75194" w:rsidR="5A176E8D" w:rsidRDefault="5A176E8D" w14:paraId="1CB66008" w14:textId="3C323CF5">
            <w:pPr>
              <w:spacing w:after="0" w:line="257" w:lineRule="auto"/>
              <w:jc w:val="center"/>
              <w:rPr>
                <w:rFonts w:eastAsia="Segoe UI" w:cs="Segoe UI"/>
                <w:b/>
                <w:bCs/>
                <w:sz w:val="16"/>
                <w:szCs w:val="16"/>
              </w:rPr>
            </w:pPr>
            <w:r w:rsidRPr="00D75194">
              <w:rPr>
                <w:rFonts w:eastAsia="Segoe UI" w:cs="Segoe UI"/>
                <w:b/>
                <w:bCs/>
                <w:sz w:val="16"/>
                <w:szCs w:val="16"/>
              </w:rPr>
              <w:t>Result</w:t>
            </w:r>
          </w:p>
        </w:tc>
        <w:tc>
          <w:tcPr>
            <w:tcW w:w="1642" w:type="dxa"/>
            <w:shd w:val="clear" w:color="auto" w:fill="FFC000"/>
            <w:tcMar>
              <w:top w:w="15" w:type="dxa"/>
              <w:left w:w="15" w:type="dxa"/>
              <w:bottom w:w="15" w:type="dxa"/>
              <w:right w:w="15" w:type="dxa"/>
            </w:tcMar>
            <w:vAlign w:val="center"/>
          </w:tcPr>
          <w:p w:rsidRPr="00D75194" w:rsidR="3E74594B" w:rsidP="002B14B9" w:rsidRDefault="3E74594B" w14:paraId="11BDF29F" w14:textId="784C737F">
            <w:pPr>
              <w:spacing w:after="0" w:line="257" w:lineRule="auto"/>
              <w:ind w:left="57" w:right="57"/>
              <w:jc w:val="center"/>
              <w:rPr>
                <w:rFonts w:eastAsia="Segoe UI" w:cs="Segoe UI"/>
                <w:sz w:val="16"/>
                <w:szCs w:val="16"/>
              </w:rPr>
            </w:pPr>
            <w:r w:rsidRPr="00D75194">
              <w:rPr>
                <w:rFonts w:eastAsia="Segoe UI" w:cs="Segoe UI"/>
                <w:sz w:val="16"/>
                <w:szCs w:val="16"/>
              </w:rPr>
              <w:t>3/4</w:t>
            </w:r>
          </w:p>
        </w:tc>
        <w:tc>
          <w:tcPr>
            <w:tcW w:w="1642" w:type="dxa"/>
            <w:shd w:val="clear" w:color="auto" w:fill="92D050"/>
            <w:tcMar>
              <w:top w:w="15" w:type="dxa"/>
              <w:left w:w="15" w:type="dxa"/>
              <w:bottom w:w="15" w:type="dxa"/>
              <w:right w:w="15" w:type="dxa"/>
            </w:tcMar>
            <w:vAlign w:val="center"/>
          </w:tcPr>
          <w:p w:rsidRPr="00D75194" w:rsidR="3E74594B" w:rsidP="002B14B9" w:rsidRDefault="3E74594B" w14:paraId="5EB17C93" w14:textId="27F7DA94">
            <w:pPr>
              <w:spacing w:after="0" w:line="257" w:lineRule="auto"/>
              <w:ind w:left="57" w:right="57"/>
              <w:jc w:val="center"/>
              <w:rPr>
                <w:rFonts w:eastAsia="Segoe UI" w:cs="Segoe UI"/>
                <w:sz w:val="16"/>
                <w:szCs w:val="16"/>
              </w:rPr>
            </w:pPr>
            <w:r w:rsidRPr="00D75194">
              <w:rPr>
                <w:rFonts w:eastAsia="Segoe UI" w:cs="Segoe UI"/>
                <w:sz w:val="16"/>
                <w:szCs w:val="16"/>
              </w:rPr>
              <w:t>84%</w:t>
            </w:r>
          </w:p>
        </w:tc>
        <w:tc>
          <w:tcPr>
            <w:tcW w:w="1642" w:type="dxa"/>
            <w:shd w:val="clear" w:color="auto" w:fill="EE0000"/>
            <w:tcMar>
              <w:top w:w="15" w:type="dxa"/>
              <w:left w:w="15" w:type="dxa"/>
              <w:bottom w:w="15" w:type="dxa"/>
              <w:right w:w="15" w:type="dxa"/>
            </w:tcMar>
            <w:vAlign w:val="center"/>
          </w:tcPr>
          <w:p w:rsidRPr="00D75194" w:rsidR="3E74594B" w:rsidP="002B14B9" w:rsidRDefault="3E74594B" w14:paraId="4FB59C64" w14:textId="6A893AF3">
            <w:pPr>
              <w:spacing w:after="0" w:line="257" w:lineRule="auto"/>
              <w:ind w:left="57" w:right="57"/>
              <w:jc w:val="center"/>
              <w:rPr>
                <w:rFonts w:eastAsia="Segoe UI" w:cs="Segoe UI"/>
                <w:sz w:val="16"/>
                <w:szCs w:val="16"/>
              </w:rPr>
            </w:pPr>
            <w:r w:rsidRPr="00D75194">
              <w:rPr>
                <w:rFonts w:eastAsia="Segoe UI" w:cs="Segoe UI"/>
                <w:sz w:val="16"/>
                <w:szCs w:val="16"/>
              </w:rPr>
              <w:t>48%</w:t>
            </w:r>
          </w:p>
        </w:tc>
        <w:tc>
          <w:tcPr>
            <w:tcW w:w="1642" w:type="dxa"/>
            <w:shd w:val="clear" w:color="auto" w:fill="00B050"/>
            <w:tcMar>
              <w:top w:w="15" w:type="dxa"/>
              <w:left w:w="15" w:type="dxa"/>
              <w:bottom w:w="15" w:type="dxa"/>
              <w:right w:w="15" w:type="dxa"/>
            </w:tcMar>
            <w:vAlign w:val="center"/>
          </w:tcPr>
          <w:p w:rsidRPr="00D75194" w:rsidR="3E74594B" w:rsidP="002B14B9" w:rsidRDefault="3E74594B" w14:paraId="28634FE8" w14:textId="2DA77EA7">
            <w:pPr>
              <w:spacing w:after="0" w:line="257" w:lineRule="auto"/>
              <w:ind w:left="57" w:right="57"/>
              <w:jc w:val="center"/>
              <w:rPr>
                <w:rFonts w:eastAsia="Segoe UI" w:cs="Segoe UI"/>
                <w:sz w:val="16"/>
                <w:szCs w:val="16"/>
              </w:rPr>
            </w:pPr>
            <w:r w:rsidRPr="00D75194">
              <w:rPr>
                <w:rFonts w:eastAsia="Segoe UI" w:cs="Segoe UI"/>
                <w:sz w:val="16"/>
                <w:szCs w:val="16"/>
              </w:rPr>
              <w:t>6</w:t>
            </w:r>
          </w:p>
        </w:tc>
        <w:tc>
          <w:tcPr>
            <w:tcW w:w="1642" w:type="dxa"/>
            <w:shd w:val="clear" w:color="auto" w:fill="00B050"/>
            <w:tcMar>
              <w:top w:w="15" w:type="dxa"/>
              <w:left w:w="15" w:type="dxa"/>
              <w:bottom w:w="15" w:type="dxa"/>
              <w:right w:w="15" w:type="dxa"/>
            </w:tcMar>
            <w:vAlign w:val="center"/>
          </w:tcPr>
          <w:p w:rsidRPr="00D75194" w:rsidR="3E74594B" w:rsidP="002B14B9" w:rsidRDefault="3E74594B" w14:paraId="4DB8AA0F" w14:textId="1B78A0B7">
            <w:pPr>
              <w:spacing w:after="0" w:line="257" w:lineRule="auto"/>
              <w:ind w:left="57" w:right="57"/>
              <w:jc w:val="center"/>
              <w:rPr>
                <w:rFonts w:eastAsia="Segoe UI" w:cs="Segoe UI"/>
                <w:sz w:val="16"/>
                <w:szCs w:val="16"/>
              </w:rPr>
            </w:pPr>
            <w:r w:rsidRPr="00D75194">
              <w:rPr>
                <w:rFonts w:eastAsia="Segoe UI" w:cs="Segoe UI"/>
                <w:sz w:val="16"/>
                <w:szCs w:val="16"/>
              </w:rPr>
              <w:t>69%</w:t>
            </w:r>
          </w:p>
        </w:tc>
      </w:tr>
      <w:tr w:rsidRPr="00D75194" w:rsidR="004E4334" w:rsidTr="007F7DE1" w14:paraId="340FD6EA" w14:textId="77777777">
        <w:trPr>
          <w:trHeight w:val="480"/>
          <w:jc w:val="center"/>
        </w:trPr>
        <w:tc>
          <w:tcPr>
            <w:tcW w:w="1642" w:type="dxa"/>
            <w:tcBorders>
              <w:top w:val="single" w:color="000000" w:sz="12" w:space="0"/>
              <w:left w:val="single" w:color="000000" w:sz="12" w:space="0"/>
              <w:bottom w:val="single" w:color="000000" w:sz="12" w:space="0"/>
              <w:right w:val="single" w:color="000000" w:sz="12" w:space="0"/>
            </w:tcBorders>
            <w:shd w:val="clear" w:color="auto" w:fill="F2F2F2" w:themeFill="background1" w:themeFillShade="F2"/>
            <w:tcMar>
              <w:top w:w="15" w:type="dxa"/>
              <w:left w:w="15" w:type="dxa"/>
              <w:bottom w:w="15" w:type="dxa"/>
              <w:right w:w="15" w:type="dxa"/>
            </w:tcMar>
            <w:vAlign w:val="center"/>
          </w:tcPr>
          <w:p w:rsidRPr="00D75194" w:rsidR="318B1482" w:rsidRDefault="318B1482" w14:paraId="07FED344" w14:textId="6C006A6F">
            <w:pPr>
              <w:spacing w:after="0" w:line="257" w:lineRule="auto"/>
              <w:jc w:val="center"/>
              <w:rPr>
                <w:rFonts w:eastAsia="Segoe UI" w:cs="Segoe UI"/>
                <w:b/>
                <w:bCs/>
                <w:sz w:val="16"/>
                <w:szCs w:val="16"/>
              </w:rPr>
            </w:pPr>
            <w:r w:rsidRPr="00D75194">
              <w:rPr>
                <w:rFonts w:eastAsia="Segoe UI" w:cs="Segoe UI"/>
                <w:b/>
                <w:bCs/>
                <w:sz w:val="16"/>
                <w:szCs w:val="16"/>
              </w:rPr>
              <w:t>Data source</w:t>
            </w:r>
          </w:p>
        </w:tc>
        <w:tc>
          <w:tcPr>
            <w:tcW w:w="1642"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561EEFC7" w14:textId="0A7C3B4D">
            <w:pPr>
              <w:spacing w:after="0" w:line="257" w:lineRule="auto"/>
              <w:ind w:left="57" w:right="57"/>
              <w:jc w:val="center"/>
              <w:rPr>
                <w:rFonts w:eastAsia="Segoe UI" w:cs="Segoe UI"/>
                <w:sz w:val="16"/>
                <w:szCs w:val="16"/>
              </w:rPr>
            </w:pPr>
            <w:r w:rsidRPr="00D75194">
              <w:rPr>
                <w:rFonts w:eastAsia="Segoe UI" w:cs="Segoe UI"/>
                <w:sz w:val="16"/>
                <w:szCs w:val="16"/>
              </w:rPr>
              <w:t xml:space="preserve">CASA II </w:t>
            </w:r>
            <w:r w:rsidRPr="65EC14CC" w:rsidR="00B273FD">
              <w:rPr>
                <w:rFonts w:eastAsia="Segoe UI" w:cs="Segoe UI"/>
                <w:sz w:val="16"/>
                <w:szCs w:val="16"/>
              </w:rPr>
              <w:t>l</w:t>
            </w:r>
            <w:r w:rsidRPr="65EC14CC">
              <w:rPr>
                <w:rFonts w:eastAsia="Segoe UI" w:cs="Segoe UI"/>
                <w:sz w:val="16"/>
                <w:szCs w:val="16"/>
              </w:rPr>
              <w:t>ogframe</w:t>
            </w:r>
          </w:p>
        </w:tc>
        <w:tc>
          <w:tcPr>
            <w:tcW w:w="1642"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26499F4A" w14:textId="1A1639D0">
            <w:pPr>
              <w:spacing w:after="0" w:line="257" w:lineRule="auto"/>
              <w:ind w:left="57" w:right="57"/>
              <w:jc w:val="center"/>
              <w:rPr>
                <w:rFonts w:eastAsia="Segoe UI" w:cs="Segoe UI"/>
                <w:sz w:val="16"/>
                <w:szCs w:val="16"/>
              </w:rPr>
            </w:pPr>
            <w:r w:rsidRPr="00D75194">
              <w:rPr>
                <w:rFonts w:eastAsia="Segoe UI" w:cs="Segoe UI"/>
                <w:sz w:val="16"/>
                <w:szCs w:val="16"/>
              </w:rPr>
              <w:t xml:space="preserve">CASA II </w:t>
            </w:r>
            <w:r w:rsidRPr="65EC14CC" w:rsidR="00B273FD">
              <w:rPr>
                <w:rFonts w:eastAsia="Segoe UI" w:cs="Segoe UI"/>
                <w:sz w:val="16"/>
                <w:szCs w:val="16"/>
              </w:rPr>
              <w:t>l</w:t>
            </w:r>
            <w:r w:rsidRPr="65EC14CC">
              <w:rPr>
                <w:rFonts w:eastAsia="Segoe UI" w:cs="Segoe UI"/>
                <w:sz w:val="16"/>
                <w:szCs w:val="16"/>
              </w:rPr>
              <w:t>ogframe</w:t>
            </w:r>
          </w:p>
        </w:tc>
        <w:tc>
          <w:tcPr>
            <w:tcW w:w="1642"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7CC08DFC" w14:textId="571B04F1">
            <w:pPr>
              <w:spacing w:after="0" w:line="257" w:lineRule="auto"/>
              <w:ind w:left="57" w:right="57"/>
              <w:jc w:val="center"/>
              <w:rPr>
                <w:rFonts w:eastAsia="Segoe UI" w:cs="Segoe UI"/>
                <w:sz w:val="16"/>
                <w:szCs w:val="16"/>
              </w:rPr>
            </w:pPr>
            <w:r w:rsidRPr="00D75194">
              <w:rPr>
                <w:rFonts w:eastAsia="Segoe UI" w:cs="Segoe UI"/>
                <w:sz w:val="16"/>
                <w:szCs w:val="16"/>
              </w:rPr>
              <w:t>KPI</w:t>
            </w:r>
            <w:r w:rsidRPr="00D75194" w:rsidR="00B273FD">
              <w:rPr>
                <w:rFonts w:eastAsia="Segoe UI" w:cs="Segoe UI"/>
                <w:sz w:val="16"/>
                <w:szCs w:val="16"/>
              </w:rPr>
              <w:t xml:space="preserve"> </w:t>
            </w:r>
            <w:r w:rsidRPr="00D75194">
              <w:rPr>
                <w:rFonts w:eastAsia="Segoe UI" w:cs="Segoe UI"/>
                <w:sz w:val="16"/>
                <w:szCs w:val="16"/>
              </w:rPr>
              <w:t>15 report</w:t>
            </w:r>
          </w:p>
        </w:tc>
        <w:tc>
          <w:tcPr>
            <w:tcW w:w="1642"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6EB52E19" w14:textId="5240B1E5">
            <w:pPr>
              <w:spacing w:after="0" w:line="257" w:lineRule="auto"/>
              <w:ind w:left="57" w:right="57"/>
              <w:jc w:val="center"/>
              <w:rPr>
                <w:rFonts w:eastAsia="Segoe UI" w:cs="Segoe UI"/>
                <w:sz w:val="16"/>
                <w:szCs w:val="16"/>
              </w:rPr>
            </w:pPr>
            <w:r w:rsidRPr="00D75194">
              <w:rPr>
                <w:rFonts w:eastAsia="Segoe UI" w:cs="Segoe UI"/>
                <w:sz w:val="16"/>
                <w:szCs w:val="16"/>
              </w:rPr>
              <w:t xml:space="preserve">CASA II </w:t>
            </w:r>
            <w:r w:rsidRPr="65EC14CC" w:rsidR="00B273FD">
              <w:rPr>
                <w:rFonts w:eastAsia="Segoe UI" w:cs="Segoe UI"/>
                <w:sz w:val="16"/>
                <w:szCs w:val="16"/>
              </w:rPr>
              <w:t>l</w:t>
            </w:r>
            <w:r w:rsidRPr="65EC14CC">
              <w:rPr>
                <w:rFonts w:eastAsia="Segoe UI" w:cs="Segoe UI"/>
                <w:sz w:val="16"/>
                <w:szCs w:val="16"/>
              </w:rPr>
              <w:t>ogframe</w:t>
            </w:r>
          </w:p>
        </w:tc>
        <w:tc>
          <w:tcPr>
            <w:tcW w:w="1642"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49EF6ECA" w14:paraId="121010CE" w14:textId="5C00E1D7">
            <w:pPr>
              <w:spacing w:after="0" w:line="257" w:lineRule="auto"/>
              <w:ind w:left="57" w:right="57"/>
              <w:jc w:val="center"/>
              <w:rPr>
                <w:rFonts w:eastAsia="Segoe UI" w:cs="Segoe UI"/>
                <w:sz w:val="16"/>
                <w:szCs w:val="16"/>
              </w:rPr>
            </w:pPr>
            <w:r w:rsidRPr="00D75194">
              <w:rPr>
                <w:rFonts w:eastAsia="Segoe UI" w:cs="Segoe UI"/>
                <w:sz w:val="16"/>
                <w:szCs w:val="16"/>
              </w:rPr>
              <w:t xml:space="preserve">2024 and 2025 </w:t>
            </w:r>
            <w:r w:rsidRPr="65EC14CC" w:rsidR="00C96343">
              <w:rPr>
                <w:rFonts w:eastAsia="Segoe UI" w:cs="Segoe UI"/>
                <w:sz w:val="16"/>
                <w:szCs w:val="16"/>
              </w:rPr>
              <w:t>b</w:t>
            </w:r>
            <w:r w:rsidRPr="65EC14CC">
              <w:rPr>
                <w:rFonts w:eastAsia="Segoe UI" w:cs="Segoe UI"/>
                <w:sz w:val="16"/>
                <w:szCs w:val="16"/>
              </w:rPr>
              <w:t xml:space="preserve">eneficiary </w:t>
            </w:r>
            <w:r w:rsidRPr="65EC14CC" w:rsidR="00C96343">
              <w:rPr>
                <w:rFonts w:eastAsia="Segoe UI" w:cs="Segoe UI"/>
                <w:sz w:val="16"/>
                <w:szCs w:val="16"/>
              </w:rPr>
              <w:t>s</w:t>
            </w:r>
            <w:r w:rsidRPr="65EC14CC">
              <w:rPr>
                <w:rFonts w:eastAsia="Segoe UI" w:cs="Segoe UI"/>
                <w:sz w:val="16"/>
                <w:szCs w:val="16"/>
              </w:rPr>
              <w:t>urvey</w:t>
            </w:r>
            <w:r w:rsidRPr="00D75194">
              <w:rPr>
                <w:rFonts w:eastAsia="Segoe UI" w:cs="Segoe UI"/>
                <w:sz w:val="16"/>
                <w:szCs w:val="16"/>
              </w:rPr>
              <w:t xml:space="preserve"> </w:t>
            </w:r>
            <w:r w:rsidRPr="00D75194" w:rsidR="00C96343">
              <w:rPr>
                <w:rFonts w:eastAsia="Segoe UI" w:cs="Segoe UI"/>
                <w:sz w:val="16"/>
                <w:szCs w:val="16"/>
              </w:rPr>
              <w:t xml:space="preserve">and </w:t>
            </w:r>
            <w:r w:rsidRPr="00D75194" w:rsidR="3E74594B">
              <w:rPr>
                <w:rFonts w:eastAsia="Segoe UI" w:cs="Segoe UI"/>
                <w:sz w:val="16"/>
                <w:szCs w:val="16"/>
              </w:rPr>
              <w:t xml:space="preserve">VFM </w:t>
            </w:r>
            <w:r w:rsidRPr="65EC14CC" w:rsidR="00C96343">
              <w:rPr>
                <w:rFonts w:eastAsia="Segoe UI" w:cs="Segoe UI"/>
                <w:sz w:val="16"/>
                <w:szCs w:val="16"/>
              </w:rPr>
              <w:t>a</w:t>
            </w:r>
            <w:r w:rsidRPr="65EC14CC" w:rsidR="3E74594B">
              <w:rPr>
                <w:rFonts w:eastAsia="Segoe UI" w:cs="Segoe UI"/>
                <w:sz w:val="16"/>
                <w:szCs w:val="16"/>
              </w:rPr>
              <w:t>nalysis</w:t>
            </w:r>
          </w:p>
        </w:tc>
      </w:tr>
    </w:tbl>
    <w:p w:rsidRPr="00D75194" w:rsidR="00083A6A" w:rsidP="00D463A8" w:rsidRDefault="1940839D" w14:paraId="7B391C52" w14:textId="63F5FD9D">
      <w:pPr>
        <w:spacing w:after="160" w:line="257" w:lineRule="auto"/>
        <w:rPr>
          <w:rFonts w:eastAsia="Segoe UI" w:cs="Segoe UI"/>
        </w:rPr>
      </w:pPr>
      <w:r w:rsidRPr="00D75194">
        <w:rPr>
          <w:rFonts w:eastAsia="Segoe UI" w:cs="Segoe UI"/>
        </w:rPr>
        <w:t xml:space="preserve">Effectiveness under CASA II </w:t>
      </w:r>
      <w:r w:rsidRPr="00D75194" w:rsidR="004D17E0">
        <w:rPr>
          <w:rFonts w:eastAsia="Segoe UI" w:cs="Segoe UI"/>
        </w:rPr>
        <w:t xml:space="preserve">has been </w:t>
      </w:r>
      <w:r w:rsidRPr="00D75194">
        <w:rPr>
          <w:rFonts w:eastAsia="Segoe UI" w:cs="Segoe UI"/>
        </w:rPr>
        <w:t xml:space="preserve">mixed, with strong performance in some areas but shortfalls in others. Of the four outcome KPIs, </w:t>
      </w:r>
      <w:r w:rsidRPr="00D75194">
        <w:rPr>
          <w:rFonts w:eastAsia="Segoe UI" w:cs="Segoe UI"/>
          <w:b/>
          <w:bCs/>
        </w:rPr>
        <w:t xml:space="preserve">the programme </w:t>
      </w:r>
      <w:r w:rsidRPr="00D75194" w:rsidR="00002B1F">
        <w:rPr>
          <w:rFonts w:eastAsia="Segoe UI" w:cs="Segoe UI"/>
          <w:b/>
          <w:bCs/>
        </w:rPr>
        <w:t xml:space="preserve">has </w:t>
      </w:r>
      <w:r w:rsidRPr="00D75194">
        <w:rPr>
          <w:rFonts w:eastAsia="Segoe UI" w:cs="Segoe UI"/>
          <w:b/>
          <w:bCs/>
        </w:rPr>
        <w:t>met or exceeded expectations in</w:t>
      </w:r>
      <w:r w:rsidRPr="00D75194">
        <w:rPr>
          <w:rFonts w:eastAsia="Segoe UI" w:cs="Segoe UI"/>
        </w:rPr>
        <w:t xml:space="preserve"> </w:t>
      </w:r>
      <w:r w:rsidRPr="00D75194">
        <w:rPr>
          <w:rFonts w:eastAsia="Segoe UI" w:cs="Segoe UI"/>
          <w:b/>
          <w:bCs/>
        </w:rPr>
        <w:t>three out of four</w:t>
      </w:r>
      <w:r w:rsidRPr="00D75194">
        <w:rPr>
          <w:rFonts w:eastAsia="Segoe UI" w:cs="Segoe UI"/>
        </w:rPr>
        <w:t>.</w:t>
      </w:r>
      <w:r w:rsidRPr="00D75194" w:rsidR="76759A26">
        <w:rPr>
          <w:rFonts w:eastAsia="Segoe UI" w:cs="Segoe UI"/>
        </w:rPr>
        <w:t xml:space="preserve"> (</w:t>
      </w:r>
      <w:r w:rsidRPr="00D75194" w:rsidR="0024443C">
        <w:rPr>
          <w:rFonts w:eastAsia="Segoe UI" w:cs="Segoe UI"/>
        </w:rPr>
        <w:t xml:space="preserve">See </w:t>
      </w:r>
      <w:r w:rsidRPr="65EC14CC" w:rsidR="0024443C">
        <w:rPr>
          <w:rFonts w:eastAsia="Segoe UI" w:cs="Segoe UI"/>
        </w:rPr>
        <w:t>a</w:t>
      </w:r>
      <w:r w:rsidRPr="65EC14CC" w:rsidR="76759A26">
        <w:rPr>
          <w:rFonts w:eastAsia="Segoe UI" w:cs="Segoe UI"/>
        </w:rPr>
        <w:t>lso</w:t>
      </w:r>
      <w:r w:rsidRPr="00D75194" w:rsidR="0024443C">
        <w:rPr>
          <w:rFonts w:eastAsia="Segoe UI" w:cs="Segoe UI"/>
        </w:rPr>
        <w:t xml:space="preserve"> the</w:t>
      </w:r>
      <w:r w:rsidRPr="00D75194" w:rsidR="76759A26">
        <w:rPr>
          <w:rFonts w:eastAsia="Segoe UI" w:cs="Segoe UI"/>
        </w:rPr>
        <w:t xml:space="preserve"> </w:t>
      </w:r>
      <w:r w:rsidRPr="65EC14CC" w:rsidR="0024443C">
        <w:rPr>
          <w:rFonts w:eastAsia="Segoe UI" w:cs="Segoe UI"/>
        </w:rPr>
        <w:t>o</w:t>
      </w:r>
      <w:r w:rsidRPr="65EC14CC" w:rsidR="76759A26">
        <w:rPr>
          <w:rFonts w:eastAsia="Segoe UI" w:cs="Segoe UI"/>
        </w:rPr>
        <w:t>utcome</w:t>
      </w:r>
      <w:r w:rsidRPr="65EC14CC" w:rsidR="0024443C">
        <w:rPr>
          <w:rFonts w:eastAsia="Segoe UI" w:cs="Segoe UI"/>
        </w:rPr>
        <w:t>-</w:t>
      </w:r>
      <w:r w:rsidRPr="00D75194" w:rsidR="76759A26">
        <w:rPr>
          <w:rFonts w:eastAsia="Segoe UI" w:cs="Segoe UI"/>
        </w:rPr>
        <w:t xml:space="preserve">level changes in the </w:t>
      </w:r>
      <w:r w:rsidRPr="65EC14CC" w:rsidR="0024443C">
        <w:rPr>
          <w:rFonts w:eastAsia="Segoe UI" w:cs="Segoe UI"/>
        </w:rPr>
        <w:t>e</w:t>
      </w:r>
      <w:r w:rsidRPr="65EC14CC" w:rsidR="76759A26">
        <w:rPr>
          <w:rFonts w:eastAsia="Segoe UI" w:cs="Segoe UI"/>
        </w:rPr>
        <w:t>ffectiveness</w:t>
      </w:r>
      <w:r w:rsidRPr="00D75194" w:rsidR="76759A26">
        <w:rPr>
          <w:rFonts w:eastAsia="Segoe UI" w:cs="Segoe UI"/>
        </w:rPr>
        <w:t xml:space="preserve"> section below.)</w:t>
      </w:r>
    </w:p>
    <w:p w:rsidRPr="00D75194" w:rsidR="00083A6A" w:rsidP="00D463A8" w:rsidRDefault="1940839D" w14:paraId="62B65C94" w14:textId="2D85F3EB">
      <w:pPr>
        <w:spacing w:after="160" w:line="257" w:lineRule="auto"/>
        <w:rPr>
          <w:rFonts w:eastAsia="Segoe UI" w:cs="Segoe UI"/>
        </w:rPr>
      </w:pPr>
      <w:r w:rsidRPr="00D75194">
        <w:rPr>
          <w:rFonts w:eastAsia="Segoe UI" w:cs="Segoe UI"/>
          <w:b/>
          <w:bCs/>
        </w:rPr>
        <w:t>Beneficiary satisfaction was high</w:t>
      </w:r>
      <w:r w:rsidRPr="00D75194" w:rsidR="0DA8E9AE">
        <w:rPr>
          <w:rFonts w:eastAsia="Segoe UI" w:cs="Segoe UI"/>
          <w:b/>
          <w:bCs/>
        </w:rPr>
        <w:t xml:space="preserve"> during Year 2 of the programme</w:t>
      </w:r>
      <w:r w:rsidRPr="00D75194">
        <w:rPr>
          <w:rFonts w:eastAsia="Segoe UI" w:cs="Segoe UI"/>
          <w:b/>
          <w:bCs/>
        </w:rPr>
        <w:t xml:space="preserve">, with 84% of respondents reporting satisfaction with programme delivery (Outcome </w:t>
      </w:r>
      <w:r w:rsidRPr="65EC14CC" w:rsidR="00F76F8C">
        <w:rPr>
          <w:rFonts w:eastAsia="Segoe UI" w:cs="Segoe UI"/>
          <w:b/>
          <w:bCs/>
        </w:rPr>
        <w:t>I</w:t>
      </w:r>
      <w:r w:rsidRPr="65EC14CC" w:rsidR="00A27542">
        <w:rPr>
          <w:rFonts w:eastAsia="Segoe UI" w:cs="Segoe UI"/>
          <w:b/>
          <w:bCs/>
        </w:rPr>
        <w:t>ndicator</w:t>
      </w:r>
      <w:r w:rsidRPr="00D75194" w:rsidR="00F76F8C">
        <w:rPr>
          <w:rFonts w:eastAsia="Segoe UI" w:cs="Segoe UI"/>
          <w:b/>
          <w:bCs/>
        </w:rPr>
        <w:t xml:space="preserve"> </w:t>
      </w:r>
      <w:r w:rsidRPr="00D75194">
        <w:rPr>
          <w:rFonts w:eastAsia="Segoe UI" w:cs="Segoe UI"/>
          <w:b/>
          <w:bCs/>
        </w:rPr>
        <w:t>1), against a target of 75%.</w:t>
      </w:r>
      <w:r w:rsidRPr="00D75194">
        <w:rPr>
          <w:rFonts w:eastAsia="Segoe UI" w:cs="Segoe UI"/>
        </w:rPr>
        <w:t xml:space="preserve"> There were six instances where final negotiation texts reflected the positions or preferred outcomes of developing countries (Outcome </w:t>
      </w:r>
      <w:r w:rsidRPr="65EC14CC" w:rsidR="0044269B">
        <w:rPr>
          <w:rFonts w:eastAsia="Segoe UI" w:cs="Segoe UI"/>
        </w:rPr>
        <w:t>I</w:t>
      </w:r>
      <w:r w:rsidRPr="65EC14CC" w:rsidR="0054017D">
        <w:rPr>
          <w:rFonts w:eastAsia="Segoe UI" w:cs="Segoe UI"/>
        </w:rPr>
        <w:t>ndicator</w:t>
      </w:r>
      <w:r w:rsidRPr="00D75194" w:rsidR="0044269B">
        <w:rPr>
          <w:rFonts w:eastAsia="Segoe UI" w:cs="Segoe UI"/>
        </w:rPr>
        <w:t xml:space="preserve"> </w:t>
      </w:r>
      <w:r w:rsidRPr="00D75194">
        <w:rPr>
          <w:rFonts w:eastAsia="Segoe UI" w:cs="Segoe UI"/>
        </w:rPr>
        <w:t xml:space="preserve">3), and 69% of supported groups reported increased institutional capacity and reduced reliance on </w:t>
      </w:r>
      <w:r w:rsidRPr="65EC14CC" w:rsidR="00690A66">
        <w:rPr>
          <w:rFonts w:eastAsia="Segoe UI" w:cs="Segoe UI"/>
        </w:rPr>
        <w:t>TP</w:t>
      </w:r>
      <w:r w:rsidRPr="65EC14CC">
        <w:rPr>
          <w:rFonts w:eastAsia="Segoe UI" w:cs="Segoe UI"/>
        </w:rPr>
        <w:t>s</w:t>
      </w:r>
      <w:r w:rsidRPr="00D75194">
        <w:rPr>
          <w:rFonts w:eastAsia="Segoe UI" w:cs="Segoe UI"/>
        </w:rPr>
        <w:t xml:space="preserve"> for secretariat functions (Outcome </w:t>
      </w:r>
      <w:r w:rsidRPr="65EC14CC" w:rsidR="0060165C">
        <w:rPr>
          <w:rFonts w:eastAsia="Segoe UI" w:cs="Segoe UI"/>
        </w:rPr>
        <w:t>I</w:t>
      </w:r>
      <w:r w:rsidRPr="65EC14CC" w:rsidR="0054017D">
        <w:rPr>
          <w:rFonts w:eastAsia="Segoe UI" w:cs="Segoe UI"/>
        </w:rPr>
        <w:t>ndicator</w:t>
      </w:r>
      <w:r w:rsidRPr="65EC14CC" w:rsidR="00612FA3">
        <w:rPr>
          <w:rFonts w:eastAsia="Segoe UI" w:cs="Segoe UI"/>
        </w:rPr>
        <w:t xml:space="preserve"> </w:t>
      </w:r>
      <w:r w:rsidRPr="65EC14CC">
        <w:rPr>
          <w:rFonts w:eastAsia="Segoe UI" w:cs="Segoe UI"/>
        </w:rPr>
        <w:t>4).</w:t>
      </w:r>
      <w:r w:rsidRPr="00D75194">
        <w:rPr>
          <w:rFonts w:eastAsia="Segoe UI" w:cs="Segoe UI"/>
        </w:rPr>
        <w:t xml:space="preserve"> These are positive signs of progress toward</w:t>
      </w:r>
      <w:r w:rsidRPr="00D75194" w:rsidR="00DB3A06">
        <w:rPr>
          <w:rFonts w:eastAsia="Segoe UI" w:cs="Segoe UI"/>
        </w:rPr>
        <w:t>s</w:t>
      </w:r>
      <w:r w:rsidRPr="00D75194">
        <w:rPr>
          <w:rFonts w:eastAsia="Segoe UI" w:cs="Segoe UI"/>
        </w:rPr>
        <w:t xml:space="preserve"> the programme’s intended influence and sustainability goals.</w:t>
      </w:r>
    </w:p>
    <w:p w:rsidRPr="00D75194" w:rsidR="00083A6A" w:rsidP="35B89366" w:rsidRDefault="1940839D" w14:paraId="70D82414" w14:textId="1B78DC0B">
      <w:pPr>
        <w:spacing w:after="160" w:line="257" w:lineRule="auto"/>
        <w:rPr>
          <w:rFonts w:eastAsia="Segoe UI" w:cs="Segoe UI"/>
        </w:rPr>
      </w:pPr>
      <w:r w:rsidRPr="00D75194">
        <w:rPr>
          <w:rFonts w:eastAsia="Segoe UI" w:cs="Segoe UI"/>
        </w:rPr>
        <w:t xml:space="preserve">However, Outcome </w:t>
      </w:r>
      <w:r w:rsidRPr="00D75194" w:rsidR="3A591F1B">
        <w:rPr>
          <w:rFonts w:eastAsia="Segoe UI" w:cs="Segoe UI"/>
        </w:rPr>
        <w:t xml:space="preserve">indicator </w:t>
      </w:r>
      <w:r w:rsidRPr="00D75194">
        <w:rPr>
          <w:rFonts w:eastAsia="Segoe UI" w:cs="Segoe UI"/>
        </w:rPr>
        <w:t>2, which assesses progress against intended change pathways, presents a more mixed picture</w:t>
      </w:r>
      <w:r w:rsidRPr="00D75194" w:rsidR="2B278B57">
        <w:rPr>
          <w:rFonts w:eastAsia="Segoe UI" w:cs="Segoe UI"/>
        </w:rPr>
        <w:t xml:space="preserve"> as it cover</w:t>
      </w:r>
      <w:r w:rsidR="00890B5F">
        <w:rPr>
          <w:rFonts w:eastAsia="Segoe UI" w:cs="Segoe UI"/>
        </w:rPr>
        <w:t>s</w:t>
      </w:r>
      <w:r w:rsidRPr="00D75194" w:rsidR="2B278B57">
        <w:rPr>
          <w:rFonts w:eastAsia="Segoe UI" w:cs="Segoe UI"/>
        </w:rPr>
        <w:t xml:space="preserve"> a wide range of outcomes across the three main negotiating groups (HAC, AOSIS, </w:t>
      </w:r>
      <w:r w:rsidRPr="20C1F2DC" w:rsidR="2B278B57">
        <w:rPr>
          <w:rFonts w:eastAsia="Segoe UI" w:cs="Segoe UI"/>
        </w:rPr>
        <w:t>LDC</w:t>
      </w:r>
      <w:r w:rsidRPr="20C1F2DC" w:rsidR="37C2228A">
        <w:rPr>
          <w:rFonts w:eastAsia="Segoe UI" w:cs="Segoe UI"/>
        </w:rPr>
        <w:t xml:space="preserve"> Group</w:t>
      </w:r>
      <w:r w:rsidRPr="20C1F2DC" w:rsidR="2B278B57">
        <w:rPr>
          <w:rFonts w:eastAsia="Segoe UI" w:cs="Segoe UI"/>
        </w:rPr>
        <w:t>)</w:t>
      </w:r>
      <w:r w:rsidRPr="20C1F2DC">
        <w:rPr>
          <w:rFonts w:eastAsia="Segoe UI" w:cs="Segoe UI"/>
        </w:rPr>
        <w:t>.</w:t>
      </w:r>
      <w:r w:rsidRPr="00D75194">
        <w:rPr>
          <w:rFonts w:eastAsia="Segoe UI" w:cs="Segoe UI"/>
        </w:rPr>
        <w:t xml:space="preserve"> While 40% of results reached the </w:t>
      </w:r>
      <w:r w:rsidRPr="00D75194" w:rsidR="00FE3AFA">
        <w:rPr>
          <w:rFonts w:eastAsia="Segoe UI" w:cs="Segoe UI"/>
        </w:rPr>
        <w:t>“</w:t>
      </w:r>
      <w:r w:rsidRPr="20C1F2DC">
        <w:rPr>
          <w:rFonts w:eastAsia="Segoe UI" w:cs="Segoe UI"/>
        </w:rPr>
        <w:t>love</w:t>
      </w:r>
      <w:r w:rsidRPr="00D75194">
        <w:rPr>
          <w:rFonts w:eastAsia="Segoe UI" w:cs="Segoe UI"/>
        </w:rPr>
        <w:t xml:space="preserve"> to see</w:t>
      </w:r>
      <w:r w:rsidRPr="00D75194" w:rsidR="00FE3AFA">
        <w:rPr>
          <w:rFonts w:eastAsia="Segoe UI" w:cs="Segoe UI"/>
        </w:rPr>
        <w:t>”</w:t>
      </w:r>
      <w:r w:rsidRPr="00D75194">
        <w:rPr>
          <w:rFonts w:eastAsia="Segoe UI" w:cs="Segoe UI"/>
        </w:rPr>
        <w:t xml:space="preserve"> level, meeting the internal benchmark, the overall figure of 48% of outcomes showing at least moderate change was lower than expected.</w:t>
      </w:r>
      <w:r w:rsidRPr="00D75194" w:rsidR="3A392033">
        <w:rPr>
          <w:rFonts w:eastAsia="Segoe UI" w:cs="Segoe UI"/>
        </w:rPr>
        <w:t xml:space="preserve"> (the target here was 60%).</w:t>
      </w:r>
      <w:r w:rsidRPr="00D75194">
        <w:rPr>
          <w:rFonts w:eastAsia="Segoe UI" w:cs="Segoe UI"/>
        </w:rPr>
        <w:t xml:space="preserve"> This was due to underperformance at the “like to see” and “expect to see” levels, where targets were not met</w:t>
      </w:r>
      <w:r w:rsidRPr="00D75194" w:rsidR="526E3114">
        <w:rPr>
          <w:rFonts w:eastAsia="Segoe UI" w:cs="Segoe UI"/>
        </w:rPr>
        <w:t>.</w:t>
      </w:r>
      <w:r w:rsidRPr="00D75194" w:rsidR="07763ADD">
        <w:rPr>
          <w:rFonts w:eastAsia="Segoe UI" w:cs="Segoe UI"/>
        </w:rPr>
        <w:t xml:space="preserve"> </w:t>
      </w:r>
    </w:p>
    <w:p w:rsidRPr="00D75194" w:rsidR="00DB1E65" w:rsidP="54183855" w:rsidRDefault="0E9D2021" w14:paraId="3C19E16A" w14:textId="5E3E522E">
      <w:pPr>
        <w:spacing w:after="160" w:line="257" w:lineRule="auto"/>
        <w:rPr>
          <w:rFonts w:eastAsia="Segoe UI" w:cs="Segoe UI"/>
        </w:rPr>
      </w:pPr>
      <w:r w:rsidRPr="594AC4B1">
        <w:rPr>
          <w:rFonts w:eastAsia="Segoe UI" w:cs="Segoe UI"/>
        </w:rPr>
        <w:t xml:space="preserve">While limited by potential bias on the part of respondents making the assessment (the TPs themselves), </w:t>
      </w:r>
      <w:r w:rsidRPr="594AC4B1" w:rsidR="0B04BD33">
        <w:rPr>
          <w:rFonts w:eastAsia="Segoe UI" w:cs="Segoe UI"/>
        </w:rPr>
        <w:t xml:space="preserve">changes identified at </w:t>
      </w:r>
      <w:r w:rsidRPr="594AC4B1" w:rsidR="00EE2210">
        <w:rPr>
          <w:rFonts w:eastAsia="Segoe UI" w:cs="Segoe UI"/>
        </w:rPr>
        <w:t>“</w:t>
      </w:r>
      <w:r w:rsidRPr="594AC4B1" w:rsidR="0B04BD33">
        <w:rPr>
          <w:rFonts w:eastAsia="Segoe UI" w:cs="Segoe UI"/>
        </w:rPr>
        <w:t>expect to see</w:t>
      </w:r>
      <w:r w:rsidRPr="594AC4B1" w:rsidR="00EE2210">
        <w:rPr>
          <w:rFonts w:eastAsia="Segoe UI" w:cs="Segoe UI"/>
        </w:rPr>
        <w:t>”</w:t>
      </w:r>
      <w:r w:rsidRPr="594AC4B1" w:rsidR="0B04BD33">
        <w:rPr>
          <w:rFonts w:eastAsia="Segoe UI" w:cs="Segoe UI"/>
        </w:rPr>
        <w:t xml:space="preserve"> and ‘like to see’ were </w:t>
      </w:r>
      <w:r w:rsidRPr="594AC4B1" w:rsidR="569ACEBC">
        <w:rPr>
          <w:rFonts w:eastAsia="Segoe UI" w:cs="Segoe UI"/>
        </w:rPr>
        <w:t>less positive in regard to</w:t>
      </w:r>
      <w:r w:rsidRPr="594AC4B1" w:rsidR="26B0CA1A">
        <w:rPr>
          <w:rFonts w:eastAsia="Segoe UI" w:cs="Segoe UI"/>
        </w:rPr>
        <w:t xml:space="preserve"> </w:t>
      </w:r>
      <w:r w:rsidRPr="594AC4B1" w:rsidR="569ACEBC">
        <w:rPr>
          <w:rFonts w:eastAsia="Segoe UI" w:cs="Segoe UI"/>
        </w:rPr>
        <w:t>ODI’s work with the HAC</w:t>
      </w:r>
      <w:r w:rsidRPr="594AC4B1" w:rsidR="19DBFF26">
        <w:rPr>
          <w:rFonts w:eastAsia="Segoe UI" w:cs="Segoe UI"/>
        </w:rPr>
        <w:t xml:space="preserve">, where </w:t>
      </w:r>
      <w:r w:rsidRPr="594AC4B1" w:rsidR="00171A20">
        <w:rPr>
          <w:rFonts w:eastAsia="Segoe UI" w:cs="Segoe UI"/>
        </w:rPr>
        <w:t xml:space="preserve">two </w:t>
      </w:r>
      <w:r w:rsidRPr="594AC4B1" w:rsidR="00CA33A5">
        <w:rPr>
          <w:rFonts w:eastAsia="Segoe UI" w:cs="Segoe UI"/>
        </w:rPr>
        <w:t>out of</w:t>
      </w:r>
      <w:r w:rsidRPr="594AC4B1" w:rsidR="00171A20">
        <w:rPr>
          <w:rFonts w:eastAsia="Segoe UI" w:cs="Segoe UI"/>
        </w:rPr>
        <w:t xml:space="preserve"> three</w:t>
      </w:r>
      <w:r w:rsidRPr="594AC4B1" w:rsidR="4A516522">
        <w:rPr>
          <w:rFonts w:eastAsia="Segoe UI" w:cs="Segoe UI"/>
        </w:rPr>
        <w:t xml:space="preserve"> progress markers under </w:t>
      </w:r>
      <w:r w:rsidRPr="594AC4B1" w:rsidR="00A90F2F">
        <w:rPr>
          <w:rFonts w:eastAsia="Segoe UI" w:cs="Segoe UI"/>
        </w:rPr>
        <w:t>“l</w:t>
      </w:r>
      <w:r w:rsidRPr="594AC4B1" w:rsidR="4A516522">
        <w:rPr>
          <w:rFonts w:eastAsia="Segoe UI" w:cs="Segoe UI"/>
        </w:rPr>
        <w:t xml:space="preserve">ike to </w:t>
      </w:r>
      <w:r w:rsidRPr="594AC4B1" w:rsidR="00A90F2F">
        <w:rPr>
          <w:rFonts w:eastAsia="Segoe UI" w:cs="Segoe UI"/>
        </w:rPr>
        <w:t xml:space="preserve">see” </w:t>
      </w:r>
      <w:r w:rsidRPr="594AC4B1" w:rsidR="4A516522">
        <w:rPr>
          <w:rFonts w:eastAsia="Segoe UI" w:cs="Segoe UI"/>
        </w:rPr>
        <w:t xml:space="preserve">were not met; and under </w:t>
      </w:r>
      <w:r w:rsidRPr="594AC4B1" w:rsidR="00A90F2F">
        <w:rPr>
          <w:rFonts w:eastAsia="Segoe UI" w:cs="Segoe UI"/>
        </w:rPr>
        <w:t>“l</w:t>
      </w:r>
      <w:r w:rsidRPr="594AC4B1" w:rsidR="4A516522">
        <w:rPr>
          <w:rFonts w:eastAsia="Segoe UI" w:cs="Segoe UI"/>
        </w:rPr>
        <w:t xml:space="preserve">ove to </w:t>
      </w:r>
      <w:r w:rsidRPr="594AC4B1" w:rsidR="00A90F2F">
        <w:rPr>
          <w:rFonts w:eastAsia="Segoe UI" w:cs="Segoe UI"/>
        </w:rPr>
        <w:t>see”</w:t>
      </w:r>
      <w:r w:rsidRPr="594AC4B1" w:rsidR="4A516522">
        <w:rPr>
          <w:rFonts w:eastAsia="Segoe UI" w:cs="Segoe UI"/>
        </w:rPr>
        <w:t xml:space="preserve">, Independent Diplomat’s assessment of change </w:t>
      </w:r>
      <w:r w:rsidRPr="594AC4B1" w:rsidR="6708CF88">
        <w:rPr>
          <w:rFonts w:eastAsia="Segoe UI" w:cs="Segoe UI"/>
        </w:rPr>
        <w:t xml:space="preserve">seen with the RMI-HAC </w:t>
      </w:r>
      <w:r w:rsidRPr="594AC4B1" w:rsidR="68310F48">
        <w:rPr>
          <w:rFonts w:eastAsia="Segoe UI" w:cs="Segoe UI"/>
        </w:rPr>
        <w:t xml:space="preserve">revealed that progress in </w:t>
      </w:r>
      <w:r w:rsidRPr="594AC4B1" w:rsidR="3513C6B1">
        <w:rPr>
          <w:rFonts w:eastAsia="Segoe UI" w:cs="Segoe UI"/>
        </w:rPr>
        <w:t>relation to implementation (e.g. HAC countries adopting NDCs) was judged to be limited</w:t>
      </w:r>
      <w:r w:rsidRPr="594AC4B1" w:rsidR="5C3D78CF">
        <w:rPr>
          <w:rFonts w:eastAsia="Segoe UI" w:cs="Segoe UI"/>
        </w:rPr>
        <w:t xml:space="preserve"> (a similar pattern also emerged for the LDC Group)</w:t>
      </w:r>
      <w:r w:rsidRPr="594AC4B1" w:rsidR="3513C6B1">
        <w:rPr>
          <w:rFonts w:eastAsia="Segoe UI" w:cs="Segoe UI"/>
        </w:rPr>
        <w:t xml:space="preserve">. </w:t>
      </w:r>
      <w:r w:rsidRPr="594AC4B1" w:rsidR="25650B33">
        <w:rPr>
          <w:rFonts w:eastAsia="Segoe UI" w:cs="Segoe UI"/>
        </w:rPr>
        <w:t xml:space="preserve">The evaluation </w:t>
      </w:r>
      <w:proofErr w:type="gramStart"/>
      <w:r w:rsidRPr="594AC4B1" w:rsidR="25650B33">
        <w:rPr>
          <w:rFonts w:eastAsia="Segoe UI" w:cs="Segoe UI"/>
        </w:rPr>
        <w:t>was not able to</w:t>
      </w:r>
      <w:proofErr w:type="gramEnd"/>
      <w:r w:rsidRPr="594AC4B1" w:rsidR="25650B33">
        <w:rPr>
          <w:rFonts w:eastAsia="Segoe UI" w:cs="Segoe UI"/>
        </w:rPr>
        <w:t xml:space="preserve"> link specific outcome results with budgetary decisions, based on t</w:t>
      </w:r>
      <w:r w:rsidRPr="594AC4B1" w:rsidR="007004C8">
        <w:rPr>
          <w:rFonts w:eastAsia="Segoe UI" w:cs="Segoe UI"/>
        </w:rPr>
        <w:t>h</w:t>
      </w:r>
      <w:r w:rsidRPr="594AC4B1" w:rsidR="25650B33">
        <w:rPr>
          <w:rFonts w:eastAsia="Segoe UI" w:cs="Segoe UI"/>
        </w:rPr>
        <w:t>e data available. However, some observations can be made.</w:t>
      </w:r>
      <w:r w:rsidRPr="594AC4B1" w:rsidR="3513C6B1">
        <w:rPr>
          <w:rFonts w:eastAsia="Segoe UI" w:cs="Segoe UI"/>
        </w:rPr>
        <w:t xml:space="preserve"> </w:t>
      </w:r>
      <w:r w:rsidRPr="594AC4B1" w:rsidR="7E77E3D8">
        <w:rPr>
          <w:rFonts w:eastAsia="Segoe UI" w:cs="Segoe UI"/>
        </w:rPr>
        <w:t>The reasons for underperformance</w:t>
      </w:r>
      <w:r w:rsidRPr="594AC4B1" w:rsidR="251B6A1D">
        <w:rPr>
          <w:rFonts w:eastAsia="Segoe UI" w:cs="Segoe UI"/>
        </w:rPr>
        <w:t xml:space="preserve">, which translated into an overall lower score for both replicability and sustainability in the main KPI15 report, </w:t>
      </w:r>
      <w:r w:rsidRPr="594AC4B1" w:rsidR="7411DC3C">
        <w:rPr>
          <w:rFonts w:eastAsia="Segoe UI" w:cs="Segoe UI"/>
        </w:rPr>
        <w:t>includ</w:t>
      </w:r>
      <w:r w:rsidRPr="594AC4B1" w:rsidR="4F6ED2CF">
        <w:rPr>
          <w:rFonts w:eastAsia="Segoe UI" w:cs="Segoe UI"/>
        </w:rPr>
        <w:t>e a mix of</w:t>
      </w:r>
      <w:r w:rsidRPr="594AC4B1" w:rsidR="7411DC3C">
        <w:rPr>
          <w:rFonts w:eastAsia="Segoe UI" w:cs="Segoe UI"/>
        </w:rPr>
        <w:t xml:space="preserve"> int</w:t>
      </w:r>
      <w:r w:rsidRPr="594AC4B1" w:rsidR="75F71241">
        <w:rPr>
          <w:rFonts w:eastAsia="Segoe UI" w:cs="Segoe UI"/>
        </w:rPr>
        <w:t>ernal</w:t>
      </w:r>
      <w:r w:rsidRPr="594AC4B1" w:rsidR="143621A9">
        <w:rPr>
          <w:rFonts w:eastAsia="Segoe UI" w:cs="Segoe UI"/>
        </w:rPr>
        <w:t xml:space="preserve"> and external</w:t>
      </w:r>
      <w:r w:rsidRPr="594AC4B1" w:rsidR="75F71241">
        <w:rPr>
          <w:rFonts w:eastAsia="Segoe UI" w:cs="Segoe UI"/>
        </w:rPr>
        <w:t xml:space="preserve"> factors</w:t>
      </w:r>
      <w:r w:rsidRPr="594AC4B1" w:rsidR="00391D46">
        <w:rPr>
          <w:rFonts w:eastAsia="Segoe UI" w:cs="Segoe UI"/>
        </w:rPr>
        <w:t>,</w:t>
      </w:r>
      <w:r w:rsidRPr="594AC4B1" w:rsidR="75F71241">
        <w:rPr>
          <w:rFonts w:eastAsia="Segoe UI" w:cs="Segoe UI"/>
        </w:rPr>
        <w:t xml:space="preserve"> such as</w:t>
      </w:r>
      <w:r w:rsidRPr="594AC4B1" w:rsidR="7411DC3C">
        <w:rPr>
          <w:rFonts w:eastAsia="Segoe UI" w:cs="Segoe UI"/>
        </w:rPr>
        <w:t xml:space="preserve"> lower-than-planned investment in supporting implementation</w:t>
      </w:r>
      <w:r w:rsidRPr="594AC4B1" w:rsidR="730FEF39">
        <w:rPr>
          <w:rFonts w:eastAsia="Segoe UI" w:cs="Segoe UI"/>
        </w:rPr>
        <w:t xml:space="preserve"> in Year 2 (though not, as discussed, </w:t>
      </w:r>
      <w:r w:rsidRPr="594AC4B1" w:rsidR="0B9D9EE7">
        <w:rPr>
          <w:rFonts w:eastAsia="Segoe UI" w:cs="Segoe UI"/>
        </w:rPr>
        <w:t xml:space="preserve">lower </w:t>
      </w:r>
      <w:r w:rsidRPr="594AC4B1" w:rsidR="730FEF39">
        <w:rPr>
          <w:rFonts w:eastAsia="Segoe UI" w:cs="Segoe UI"/>
        </w:rPr>
        <w:t>than forecast)</w:t>
      </w:r>
      <w:r w:rsidRPr="594AC4B1" w:rsidR="416187A4">
        <w:rPr>
          <w:rFonts w:eastAsia="Segoe UI" w:cs="Segoe UI"/>
        </w:rPr>
        <w:t>,</w:t>
      </w:r>
      <w:r w:rsidRPr="594AC4B1" w:rsidR="30234280">
        <w:rPr>
          <w:rFonts w:eastAsia="Segoe UI" w:cs="Segoe UI"/>
        </w:rPr>
        <w:t xml:space="preserve"> country-specific barriers to the inclusion and/or meaningful participation of more women in climate delegations, </w:t>
      </w:r>
      <w:r w:rsidRPr="594AC4B1" w:rsidR="32F56D36">
        <w:rPr>
          <w:rFonts w:eastAsia="Segoe UI" w:cs="Segoe UI"/>
        </w:rPr>
        <w:t>and the inclusion of progress markers where CASA-supported actors only had limited roles to influence outcomes</w:t>
      </w:r>
      <w:r w:rsidRPr="594AC4B1" w:rsidR="4A54B3BC">
        <w:rPr>
          <w:rFonts w:eastAsia="Segoe UI" w:cs="Segoe UI"/>
        </w:rPr>
        <w:t xml:space="preserve"> in a negotiation context which saw a significant contraction in progress in the past 12 months. </w:t>
      </w:r>
      <w:r w:rsidRPr="594AC4B1" w:rsidR="32F56D36">
        <w:rPr>
          <w:rFonts w:eastAsia="Segoe UI" w:cs="Segoe UI"/>
        </w:rPr>
        <w:t>and the inclusion of progress markers where CASA-supported actors only had limited roles to influence outcomes</w:t>
      </w:r>
      <w:r w:rsidRPr="594AC4B1" w:rsidR="4A54B3BC">
        <w:rPr>
          <w:rFonts w:eastAsia="Segoe UI" w:cs="Segoe UI"/>
        </w:rPr>
        <w:t xml:space="preserve"> in a negotiation context which saw a significant contraction in progress in the past 12 months. </w:t>
      </w:r>
    </w:p>
    <w:p w:rsidRPr="00D75194" w:rsidR="00083A6A" w:rsidP="00DD717C" w:rsidRDefault="1940839D" w14:paraId="394A89D3" w14:textId="0B19808D">
      <w:pPr>
        <w:pStyle w:val="Heading3"/>
      </w:pPr>
      <w:bookmarkStart w:name="_Toc204259825" w:id="77"/>
      <w:r w:rsidRPr="00D75194">
        <w:t>Cost-effectiveness</w:t>
      </w:r>
      <w:bookmarkEnd w:id="77"/>
    </w:p>
    <w:p w:rsidRPr="00D75194" w:rsidR="00083A6A" w:rsidP="00D463A8" w:rsidRDefault="1940839D" w14:paraId="29D5D671" w14:textId="33D4920F">
      <w:pPr>
        <w:spacing w:after="160" w:line="257" w:lineRule="auto"/>
        <w:rPr>
          <w:rFonts w:eastAsia="Segoe UI" w:cs="Segoe UI"/>
        </w:rPr>
      </w:pPr>
      <w:r w:rsidRPr="00D75194">
        <w:rPr>
          <w:rFonts w:eastAsia="Segoe UI" w:cs="Segoe UI"/>
        </w:rPr>
        <w:t>Summary result: Met expectations</w:t>
      </w:r>
    </w:p>
    <w:tbl>
      <w:tblPr>
        <w:tblW w:w="987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4A0" w:firstRow="1" w:lastRow="0" w:firstColumn="1" w:lastColumn="0" w:noHBand="0" w:noVBand="1"/>
      </w:tblPr>
      <w:tblGrid>
        <w:gridCol w:w="1642"/>
        <w:gridCol w:w="1642"/>
        <w:gridCol w:w="2474"/>
        <w:gridCol w:w="2178"/>
        <w:gridCol w:w="1940"/>
      </w:tblGrid>
      <w:tr w:rsidRPr="00D75194" w:rsidR="00515436" w:rsidTr="576F6FC2" w14:paraId="3549B14C" w14:textId="77777777">
        <w:trPr>
          <w:trHeight w:val="570"/>
        </w:trPr>
        <w:tc>
          <w:tcPr>
            <w:tcW w:w="1642" w:type="dxa"/>
            <w:shd w:val="clear" w:color="auto" w:fill="F2F2F2" w:themeFill="background1" w:themeFillShade="F2"/>
            <w:tcMar>
              <w:top w:w="15" w:type="dxa"/>
              <w:left w:w="15" w:type="dxa"/>
              <w:bottom w:w="15" w:type="dxa"/>
              <w:right w:w="15" w:type="dxa"/>
            </w:tcMar>
            <w:vAlign w:val="center"/>
          </w:tcPr>
          <w:p w:rsidRPr="00D75194" w:rsidR="6F7147FD" w:rsidRDefault="6F7147FD" w14:paraId="11AED538" w14:textId="1711BF0E">
            <w:pPr>
              <w:spacing w:after="0" w:line="257" w:lineRule="auto"/>
              <w:jc w:val="left"/>
              <w:rPr>
                <w:rFonts w:eastAsia="Segoe UI" w:cs="Segoe UI"/>
                <w:b/>
                <w:bCs/>
                <w:sz w:val="16"/>
                <w:szCs w:val="16"/>
              </w:rPr>
            </w:pPr>
            <w:r w:rsidRPr="00D75194">
              <w:rPr>
                <w:rFonts w:eastAsia="Segoe UI" w:cs="Segoe UI"/>
                <w:b/>
                <w:bCs/>
                <w:sz w:val="16"/>
                <w:szCs w:val="16"/>
              </w:rPr>
              <w:t>Indicator</w:t>
            </w:r>
          </w:p>
        </w:tc>
        <w:tc>
          <w:tcPr>
            <w:tcW w:w="1642"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2C548C51" w14:textId="63F209CC">
            <w:pPr>
              <w:spacing w:after="0" w:line="257" w:lineRule="auto"/>
              <w:ind w:left="57" w:right="57"/>
              <w:jc w:val="left"/>
              <w:rPr>
                <w:rFonts w:eastAsia="Segoe UI" w:cs="Segoe UI"/>
                <w:b/>
                <w:bCs/>
                <w:sz w:val="16"/>
                <w:szCs w:val="16"/>
              </w:rPr>
            </w:pPr>
            <w:r w:rsidRPr="00D75194">
              <w:rPr>
                <w:rFonts w:eastAsia="Segoe UI" w:cs="Segoe UI"/>
                <w:b/>
                <w:bCs/>
                <w:sz w:val="16"/>
                <w:szCs w:val="16"/>
              </w:rPr>
              <w:t>Cost per beneficiary group</w:t>
            </w:r>
            <w:r w:rsidRPr="00D75194" w:rsidR="060C2280">
              <w:rPr>
                <w:rFonts w:eastAsia="Segoe UI" w:cs="Segoe UI"/>
                <w:b/>
                <w:bCs/>
                <w:sz w:val="16"/>
                <w:szCs w:val="16"/>
              </w:rPr>
              <w:t xml:space="preserve"> (</w:t>
            </w:r>
            <w:r w:rsidRPr="65EC14CC" w:rsidR="005666AE">
              <w:rPr>
                <w:rFonts w:eastAsia="Segoe UI" w:cs="Segoe UI"/>
                <w:b/>
                <w:bCs/>
                <w:sz w:val="16"/>
                <w:szCs w:val="16"/>
              </w:rPr>
              <w:t>actual</w:t>
            </w:r>
            <w:r w:rsidRPr="65EC14CC" w:rsidR="060C2280">
              <w:rPr>
                <w:rFonts w:eastAsia="Segoe UI" w:cs="Segoe UI"/>
                <w:b/>
                <w:bCs/>
                <w:sz w:val="16"/>
                <w:szCs w:val="16"/>
              </w:rPr>
              <w:t>&lt;</w:t>
            </w:r>
            <w:r w:rsidRPr="65EC14CC" w:rsidR="005666AE">
              <w:rPr>
                <w:rFonts w:eastAsia="Segoe UI" w:cs="Segoe UI"/>
                <w:b/>
                <w:bCs/>
                <w:sz w:val="16"/>
                <w:szCs w:val="16"/>
              </w:rPr>
              <w:t>budget</w:t>
            </w:r>
            <w:r w:rsidRPr="00D75194" w:rsidR="060C2280">
              <w:rPr>
                <w:rFonts w:eastAsia="Segoe UI" w:cs="Segoe UI"/>
                <w:b/>
                <w:bCs/>
                <w:sz w:val="16"/>
                <w:szCs w:val="16"/>
              </w:rPr>
              <w:t>)</w:t>
            </w:r>
          </w:p>
        </w:tc>
        <w:tc>
          <w:tcPr>
            <w:tcW w:w="2474"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1B8A6905" w14:textId="1456E974">
            <w:pPr>
              <w:spacing w:after="0" w:line="257" w:lineRule="auto"/>
              <w:ind w:left="57" w:right="57"/>
              <w:jc w:val="left"/>
              <w:rPr>
                <w:rFonts w:eastAsia="Segoe UI" w:cs="Segoe UI"/>
                <w:b/>
                <w:bCs/>
                <w:sz w:val="16"/>
                <w:szCs w:val="16"/>
              </w:rPr>
            </w:pPr>
            <w:r w:rsidRPr="00D75194">
              <w:rPr>
                <w:rFonts w:eastAsia="Segoe UI" w:cs="Segoe UI"/>
                <w:b/>
                <w:bCs/>
                <w:sz w:val="16"/>
                <w:szCs w:val="16"/>
              </w:rPr>
              <w:t xml:space="preserve"> % of “like to see” and “love to see” progress markers rated as having seen at least “some change” per negotiating group where CASA is a key, lead, or sole actor, assessed against cost per beneficiary negotiating group (LDC, AOSIS, HAC)</w:t>
            </w:r>
          </w:p>
        </w:tc>
        <w:tc>
          <w:tcPr>
            <w:tcW w:w="2178"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7A30CF59" w14:textId="38F173D3">
            <w:pPr>
              <w:spacing w:after="0" w:line="257" w:lineRule="auto"/>
              <w:ind w:left="57" w:right="57"/>
              <w:jc w:val="left"/>
              <w:rPr>
                <w:rFonts w:eastAsia="Segoe UI" w:cs="Segoe UI"/>
                <w:b/>
                <w:bCs/>
                <w:sz w:val="16"/>
                <w:szCs w:val="16"/>
              </w:rPr>
            </w:pPr>
            <w:r w:rsidRPr="00D75194">
              <w:rPr>
                <w:rFonts w:eastAsia="Segoe UI" w:cs="Segoe UI"/>
                <w:b/>
                <w:bCs/>
                <w:sz w:val="16"/>
                <w:szCs w:val="16"/>
              </w:rPr>
              <w:t>Contribution to the influence on negotiation texts per beneficiary negotiation group (Outcome KPI</w:t>
            </w:r>
            <w:r w:rsidRPr="00D75194" w:rsidR="001F4370">
              <w:rPr>
                <w:rFonts w:eastAsia="Segoe UI" w:cs="Segoe UI"/>
                <w:b/>
                <w:bCs/>
                <w:sz w:val="16"/>
                <w:szCs w:val="16"/>
              </w:rPr>
              <w:t xml:space="preserve"> </w:t>
            </w:r>
            <w:r w:rsidRPr="00D75194">
              <w:rPr>
                <w:rFonts w:eastAsia="Segoe UI" w:cs="Segoe UI"/>
                <w:b/>
                <w:bCs/>
                <w:sz w:val="16"/>
                <w:szCs w:val="16"/>
              </w:rPr>
              <w:t>3)</w:t>
            </w:r>
            <w:r w:rsidRPr="00D75194" w:rsidR="001F4370">
              <w:rPr>
                <w:rFonts w:eastAsia="Segoe UI" w:cs="Segoe UI"/>
                <w:b/>
                <w:bCs/>
                <w:sz w:val="16"/>
                <w:szCs w:val="16"/>
              </w:rPr>
              <w:t>,</w:t>
            </w:r>
            <w:r w:rsidRPr="00D75194">
              <w:rPr>
                <w:rFonts w:eastAsia="Segoe UI" w:cs="Segoe UI"/>
                <w:b/>
                <w:bCs/>
                <w:sz w:val="16"/>
                <w:szCs w:val="16"/>
              </w:rPr>
              <w:t xml:space="preserve"> assessed against cost per beneficiary negotiating group </w:t>
            </w:r>
          </w:p>
        </w:tc>
        <w:tc>
          <w:tcPr>
            <w:tcW w:w="1940"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6D193030" w14:textId="534AD085">
            <w:pPr>
              <w:spacing w:after="0" w:line="257" w:lineRule="auto"/>
              <w:ind w:left="57" w:right="57"/>
              <w:jc w:val="left"/>
              <w:rPr>
                <w:rFonts w:eastAsia="Segoe UI" w:cs="Segoe UI"/>
                <w:b/>
                <w:bCs/>
                <w:sz w:val="16"/>
                <w:szCs w:val="16"/>
              </w:rPr>
            </w:pPr>
            <w:r w:rsidRPr="00D75194">
              <w:rPr>
                <w:rFonts w:eastAsia="Segoe UI" w:cs="Segoe UI"/>
                <w:b/>
                <w:bCs/>
                <w:sz w:val="16"/>
                <w:szCs w:val="16"/>
              </w:rPr>
              <w:t xml:space="preserve">Adaptive use of funding to respond to changing needs </w:t>
            </w:r>
          </w:p>
        </w:tc>
      </w:tr>
      <w:tr w:rsidRPr="00D75194" w:rsidR="00515436" w:rsidTr="576F6FC2" w14:paraId="6CD68579" w14:textId="77777777">
        <w:trPr>
          <w:trHeight w:val="795"/>
        </w:trPr>
        <w:tc>
          <w:tcPr>
            <w:tcW w:w="1642" w:type="dxa"/>
            <w:shd w:val="clear" w:color="auto" w:fill="F2F2F2" w:themeFill="background1" w:themeFillShade="F2"/>
            <w:tcMar>
              <w:top w:w="15" w:type="dxa"/>
              <w:left w:w="15" w:type="dxa"/>
              <w:bottom w:w="15" w:type="dxa"/>
              <w:right w:w="15" w:type="dxa"/>
            </w:tcMar>
            <w:vAlign w:val="center"/>
          </w:tcPr>
          <w:p w:rsidRPr="00D75194" w:rsidR="5984DA58" w:rsidRDefault="5984DA58" w14:paraId="1CA6C407" w14:textId="66A8FEE5">
            <w:pPr>
              <w:spacing w:after="0" w:line="257" w:lineRule="auto"/>
              <w:jc w:val="left"/>
              <w:rPr>
                <w:rFonts w:eastAsia="Segoe UI" w:cs="Segoe UI"/>
                <w:sz w:val="16"/>
                <w:szCs w:val="16"/>
              </w:rPr>
            </w:pPr>
            <w:r w:rsidRPr="00D75194">
              <w:rPr>
                <w:rFonts w:eastAsia="Segoe UI" w:cs="Segoe UI"/>
                <w:sz w:val="16"/>
                <w:szCs w:val="16"/>
              </w:rPr>
              <w:t>Result</w:t>
            </w:r>
          </w:p>
        </w:tc>
        <w:tc>
          <w:tcPr>
            <w:tcW w:w="1642" w:type="dxa"/>
            <w:shd w:val="clear" w:color="auto" w:fill="00B050"/>
            <w:tcMar>
              <w:top w:w="15" w:type="dxa"/>
              <w:left w:w="15" w:type="dxa"/>
              <w:bottom w:w="15" w:type="dxa"/>
              <w:right w:w="15" w:type="dxa"/>
            </w:tcMar>
            <w:vAlign w:val="center"/>
          </w:tcPr>
          <w:p w:rsidRPr="00D75194" w:rsidR="3E74594B" w:rsidP="002B14B9" w:rsidRDefault="3E74594B" w14:paraId="3E09B932" w14:textId="50708736">
            <w:pPr>
              <w:spacing w:after="0" w:line="257" w:lineRule="auto"/>
              <w:ind w:left="57" w:right="57"/>
              <w:jc w:val="left"/>
              <w:rPr>
                <w:rFonts w:eastAsia="Segoe UI" w:cs="Segoe UI"/>
                <w:sz w:val="16"/>
                <w:szCs w:val="16"/>
              </w:rPr>
            </w:pPr>
            <w:r w:rsidRPr="00D75194">
              <w:rPr>
                <w:rFonts w:eastAsia="Segoe UI" w:cs="Segoe UI"/>
                <w:sz w:val="16"/>
                <w:szCs w:val="16"/>
              </w:rPr>
              <w:t>88% of budgeted costs, each group under budget</w:t>
            </w:r>
          </w:p>
        </w:tc>
        <w:tc>
          <w:tcPr>
            <w:tcW w:w="2474" w:type="dxa"/>
            <w:shd w:val="clear" w:color="auto" w:fill="92D050"/>
            <w:tcMar>
              <w:top w:w="15" w:type="dxa"/>
              <w:left w:w="15" w:type="dxa"/>
              <w:bottom w:w="15" w:type="dxa"/>
              <w:right w:w="15" w:type="dxa"/>
            </w:tcMar>
            <w:vAlign w:val="center"/>
          </w:tcPr>
          <w:p w:rsidRPr="00D75194" w:rsidR="3E74594B" w:rsidP="002B14B9" w:rsidRDefault="3E74594B" w14:paraId="59D9C921" w14:textId="23683BA2">
            <w:pPr>
              <w:spacing w:after="0" w:line="257" w:lineRule="auto"/>
              <w:ind w:left="57" w:right="57"/>
              <w:jc w:val="left"/>
              <w:rPr>
                <w:rFonts w:eastAsia="Segoe UI" w:cs="Segoe UI"/>
                <w:sz w:val="16"/>
                <w:szCs w:val="16"/>
              </w:rPr>
            </w:pPr>
            <w:r w:rsidRPr="576F6FC2">
              <w:rPr>
                <w:rFonts w:eastAsia="Segoe UI" w:cs="Segoe UI"/>
                <w:sz w:val="16"/>
                <w:szCs w:val="16"/>
              </w:rPr>
              <w:t xml:space="preserve">LDC: </w:t>
            </w:r>
            <w:r w:rsidRPr="576F6FC2" w:rsidR="32236446">
              <w:rPr>
                <w:rFonts w:eastAsia="Segoe UI" w:cs="Segoe UI"/>
                <w:sz w:val="16"/>
                <w:szCs w:val="16"/>
              </w:rPr>
              <w:t xml:space="preserve"> 83</w:t>
            </w:r>
            <w:r w:rsidRPr="576F6FC2">
              <w:rPr>
                <w:rFonts w:eastAsia="Segoe UI" w:cs="Segoe UI"/>
                <w:sz w:val="16"/>
                <w:szCs w:val="16"/>
              </w:rPr>
              <w:t>%</w:t>
            </w:r>
            <w:r w:rsidRPr="576F6FC2" w:rsidR="00E4675D">
              <w:rPr>
                <w:rFonts w:eastAsia="Segoe UI" w:cs="Segoe UI"/>
                <w:sz w:val="16"/>
                <w:szCs w:val="16"/>
              </w:rPr>
              <w:t>);</w:t>
            </w:r>
            <w:r w:rsidRPr="576F6FC2">
              <w:rPr>
                <w:rFonts w:eastAsia="Segoe UI" w:cs="Segoe UI"/>
                <w:sz w:val="16"/>
                <w:szCs w:val="16"/>
              </w:rPr>
              <w:t xml:space="preserve"> AOSIS: 4</w:t>
            </w:r>
            <w:r w:rsidRPr="576F6FC2" w:rsidR="05AD9C85">
              <w:rPr>
                <w:rFonts w:eastAsia="Segoe UI" w:cs="Segoe UI"/>
                <w:sz w:val="16"/>
                <w:szCs w:val="16"/>
              </w:rPr>
              <w:t>5</w:t>
            </w:r>
            <w:r w:rsidRPr="576F6FC2">
              <w:rPr>
                <w:rFonts w:eastAsia="Segoe UI" w:cs="Segoe UI"/>
                <w:sz w:val="16"/>
                <w:szCs w:val="16"/>
              </w:rPr>
              <w:t>%</w:t>
            </w:r>
            <w:r w:rsidRPr="576F6FC2" w:rsidR="006D44AF">
              <w:rPr>
                <w:rFonts w:eastAsia="Segoe UI" w:cs="Segoe UI"/>
                <w:sz w:val="16"/>
                <w:szCs w:val="16"/>
              </w:rPr>
              <w:t>.</w:t>
            </w:r>
            <w:r w:rsidRPr="576F6FC2">
              <w:rPr>
                <w:rFonts w:eastAsia="Segoe UI" w:cs="Segoe UI"/>
                <w:sz w:val="16"/>
                <w:szCs w:val="16"/>
              </w:rPr>
              <w:t xml:space="preserve"> HAC: 53%</w:t>
            </w:r>
          </w:p>
        </w:tc>
        <w:tc>
          <w:tcPr>
            <w:tcW w:w="2178" w:type="dxa"/>
            <w:shd w:val="clear" w:color="auto" w:fill="92D050"/>
            <w:tcMar>
              <w:top w:w="15" w:type="dxa"/>
              <w:left w:w="15" w:type="dxa"/>
              <w:bottom w:w="15" w:type="dxa"/>
              <w:right w:w="15" w:type="dxa"/>
            </w:tcMar>
            <w:vAlign w:val="center"/>
          </w:tcPr>
          <w:p w:rsidRPr="00D75194" w:rsidR="3E74594B" w:rsidP="002B14B9" w:rsidRDefault="3E74594B" w14:paraId="74521CED" w14:textId="6AADE5DC">
            <w:pPr>
              <w:spacing w:after="0" w:line="257" w:lineRule="auto"/>
              <w:ind w:left="57" w:right="57"/>
              <w:jc w:val="left"/>
              <w:rPr>
                <w:rFonts w:eastAsia="Segoe UI" w:cs="Segoe UI"/>
                <w:sz w:val="16"/>
                <w:szCs w:val="16"/>
              </w:rPr>
            </w:pPr>
            <w:r w:rsidRPr="00D75194">
              <w:rPr>
                <w:rFonts w:eastAsia="Segoe UI" w:cs="Segoe UI"/>
                <w:sz w:val="16"/>
                <w:szCs w:val="16"/>
              </w:rPr>
              <w:t>Cumulative efforts of each group contributed to negotiation text influence</w:t>
            </w:r>
          </w:p>
        </w:tc>
        <w:tc>
          <w:tcPr>
            <w:tcW w:w="1940" w:type="dxa"/>
            <w:shd w:val="clear" w:color="auto" w:fill="92D050"/>
            <w:tcMar>
              <w:top w:w="15" w:type="dxa"/>
              <w:left w:w="15" w:type="dxa"/>
              <w:bottom w:w="15" w:type="dxa"/>
              <w:right w:w="15" w:type="dxa"/>
            </w:tcMar>
            <w:vAlign w:val="center"/>
          </w:tcPr>
          <w:p w:rsidRPr="00D75194" w:rsidR="3E74594B" w:rsidP="002B14B9" w:rsidRDefault="3E74594B" w14:paraId="115341B2" w14:textId="35AB6C02">
            <w:pPr>
              <w:spacing w:after="0" w:line="257" w:lineRule="auto"/>
              <w:ind w:left="57" w:right="57"/>
              <w:jc w:val="left"/>
              <w:rPr>
                <w:rFonts w:eastAsia="Segoe UI" w:cs="Segoe UI"/>
                <w:sz w:val="16"/>
                <w:szCs w:val="16"/>
              </w:rPr>
            </w:pPr>
            <w:r w:rsidRPr="00D75194">
              <w:rPr>
                <w:rFonts w:eastAsia="Segoe UI" w:cs="Segoe UI"/>
                <w:sz w:val="16"/>
                <w:szCs w:val="16"/>
              </w:rPr>
              <w:t xml:space="preserve">Qualitative reports indicate that the CASA II programme </w:t>
            </w:r>
            <w:r w:rsidRPr="00D75194" w:rsidR="006D44AF">
              <w:rPr>
                <w:rFonts w:eastAsia="Segoe UI" w:cs="Segoe UI"/>
                <w:sz w:val="16"/>
                <w:szCs w:val="16"/>
              </w:rPr>
              <w:t xml:space="preserve">has been </w:t>
            </w:r>
            <w:r w:rsidRPr="00D75194">
              <w:rPr>
                <w:rFonts w:eastAsia="Segoe UI" w:cs="Segoe UI"/>
                <w:sz w:val="16"/>
                <w:szCs w:val="16"/>
              </w:rPr>
              <w:t xml:space="preserve">able to flex budget lines within the boundaries of the </w:t>
            </w:r>
            <w:r w:rsidRPr="00D75194" w:rsidR="009E38A5">
              <w:rPr>
                <w:rFonts w:eastAsia="Segoe UI" w:cs="Segoe UI"/>
                <w:sz w:val="16"/>
                <w:szCs w:val="16"/>
              </w:rPr>
              <w:t>UK Foreign, Commonwealth, and Development Office’s (</w:t>
            </w:r>
            <w:r w:rsidRPr="00D75194">
              <w:rPr>
                <w:rFonts w:eastAsia="Segoe UI" w:cs="Segoe UI"/>
                <w:sz w:val="16"/>
                <w:szCs w:val="16"/>
              </w:rPr>
              <w:t>FCDO’s</w:t>
            </w:r>
            <w:r w:rsidRPr="00D75194" w:rsidR="009E38A5">
              <w:rPr>
                <w:rFonts w:eastAsia="Segoe UI" w:cs="Segoe UI"/>
                <w:sz w:val="16"/>
                <w:szCs w:val="16"/>
              </w:rPr>
              <w:t>)</w:t>
            </w:r>
            <w:r w:rsidRPr="00D75194">
              <w:rPr>
                <w:rFonts w:eastAsia="Segoe UI" w:cs="Segoe UI"/>
                <w:sz w:val="16"/>
                <w:szCs w:val="16"/>
              </w:rPr>
              <w:t xml:space="preserve"> financing rules. </w:t>
            </w:r>
          </w:p>
        </w:tc>
      </w:tr>
      <w:tr w:rsidRPr="00D75194" w:rsidR="00836E7B" w:rsidTr="576F6FC2" w14:paraId="351F3FD9" w14:textId="77777777">
        <w:trPr>
          <w:trHeight w:val="660"/>
        </w:trPr>
        <w:tc>
          <w:tcPr>
            <w:tcW w:w="1642" w:type="dxa"/>
            <w:tcBorders>
              <w:top w:val="single" w:color="000000" w:sz="12" w:space="0"/>
              <w:left w:val="single" w:color="000000" w:sz="12" w:space="0"/>
              <w:bottom w:val="single" w:color="000000" w:sz="12" w:space="0"/>
              <w:right w:val="single" w:color="000000" w:sz="12" w:space="0"/>
            </w:tcBorders>
            <w:shd w:val="clear" w:color="auto" w:fill="F2F2F2" w:themeFill="background1" w:themeFillShade="F2"/>
            <w:tcMar>
              <w:top w:w="15" w:type="dxa"/>
              <w:left w:w="15" w:type="dxa"/>
              <w:bottom w:w="15" w:type="dxa"/>
              <w:right w:w="15" w:type="dxa"/>
            </w:tcMar>
            <w:vAlign w:val="center"/>
          </w:tcPr>
          <w:p w:rsidRPr="00D75194" w:rsidR="2E797253" w:rsidRDefault="2E797253" w14:paraId="740A0E2B" w14:textId="6E6DE692">
            <w:pPr>
              <w:spacing w:after="0" w:line="257" w:lineRule="auto"/>
              <w:jc w:val="left"/>
              <w:rPr>
                <w:rFonts w:eastAsia="Segoe UI" w:cs="Segoe UI"/>
                <w:sz w:val="16"/>
                <w:szCs w:val="16"/>
              </w:rPr>
            </w:pPr>
            <w:r w:rsidRPr="00D75194">
              <w:rPr>
                <w:rFonts w:eastAsia="Segoe UI" w:cs="Segoe UI"/>
                <w:sz w:val="16"/>
                <w:szCs w:val="16"/>
              </w:rPr>
              <w:t>Data source</w:t>
            </w:r>
          </w:p>
        </w:tc>
        <w:tc>
          <w:tcPr>
            <w:tcW w:w="1642"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111474E1" w14:textId="4216F51C">
            <w:pPr>
              <w:spacing w:after="0" w:line="257" w:lineRule="auto"/>
              <w:ind w:left="57" w:right="57"/>
              <w:jc w:val="left"/>
              <w:rPr>
                <w:rFonts w:eastAsia="Segoe UI" w:cs="Segoe UI"/>
                <w:sz w:val="16"/>
                <w:szCs w:val="16"/>
              </w:rPr>
            </w:pPr>
            <w:r w:rsidRPr="65EC14CC">
              <w:rPr>
                <w:rFonts w:eastAsia="Segoe UI" w:cs="Segoe UI"/>
                <w:sz w:val="16"/>
                <w:szCs w:val="16"/>
              </w:rPr>
              <w:t xml:space="preserve">VFM </w:t>
            </w:r>
            <w:r w:rsidRPr="65EC14CC" w:rsidR="00E40A6B">
              <w:rPr>
                <w:rFonts w:eastAsia="Segoe UI" w:cs="Segoe UI"/>
                <w:sz w:val="16"/>
                <w:szCs w:val="16"/>
              </w:rPr>
              <w:t>analysis</w:t>
            </w:r>
          </w:p>
        </w:tc>
        <w:tc>
          <w:tcPr>
            <w:tcW w:w="2474"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355C1165" w14:textId="11DCDC46">
            <w:pPr>
              <w:spacing w:after="0" w:line="257" w:lineRule="auto"/>
              <w:ind w:left="57" w:right="57"/>
              <w:jc w:val="left"/>
              <w:rPr>
                <w:rFonts w:eastAsia="Segoe UI" w:cs="Segoe UI"/>
                <w:sz w:val="16"/>
                <w:szCs w:val="16"/>
              </w:rPr>
            </w:pPr>
            <w:r w:rsidRPr="65EC14CC">
              <w:rPr>
                <w:rFonts w:eastAsia="Segoe UI" w:cs="Segoe UI"/>
                <w:sz w:val="16"/>
                <w:szCs w:val="16"/>
              </w:rPr>
              <w:t>KP</w:t>
            </w:r>
            <w:r w:rsidRPr="65EC14CC" w:rsidR="00541B31">
              <w:rPr>
                <w:rFonts w:eastAsia="Segoe UI" w:cs="Segoe UI"/>
                <w:sz w:val="16"/>
                <w:szCs w:val="16"/>
              </w:rPr>
              <w:t>I</w:t>
            </w:r>
            <w:r w:rsidRPr="00D75194" w:rsidR="00E40A6B">
              <w:rPr>
                <w:rFonts w:eastAsia="Segoe UI" w:cs="Segoe UI"/>
                <w:sz w:val="16"/>
                <w:szCs w:val="16"/>
              </w:rPr>
              <w:t xml:space="preserve"> </w:t>
            </w:r>
            <w:r w:rsidRPr="00D75194">
              <w:rPr>
                <w:rFonts w:eastAsia="Segoe UI" w:cs="Segoe UI"/>
                <w:sz w:val="16"/>
                <w:szCs w:val="16"/>
              </w:rPr>
              <w:t>15 report</w:t>
            </w:r>
          </w:p>
        </w:tc>
        <w:tc>
          <w:tcPr>
            <w:tcW w:w="2178"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8E2151" w:rsidRDefault="3E74594B" w14:paraId="26B5460B" w14:textId="3EC49A0A">
            <w:pPr>
              <w:spacing w:after="0" w:line="257" w:lineRule="auto"/>
              <w:ind w:left="57" w:right="57"/>
              <w:jc w:val="left"/>
              <w:rPr>
                <w:rFonts w:eastAsia="Segoe UI" w:cs="Segoe UI"/>
                <w:sz w:val="16"/>
                <w:szCs w:val="16"/>
              </w:rPr>
            </w:pPr>
            <w:r w:rsidRPr="00D75194">
              <w:rPr>
                <w:rFonts w:eastAsia="Segoe UI" w:cs="Segoe UI"/>
                <w:sz w:val="16"/>
                <w:szCs w:val="16"/>
              </w:rPr>
              <w:t xml:space="preserve">CASA II </w:t>
            </w:r>
            <w:r w:rsidRPr="65EC14CC" w:rsidR="004F3747">
              <w:rPr>
                <w:rFonts w:eastAsia="Segoe UI" w:cs="Segoe UI"/>
                <w:sz w:val="16"/>
                <w:szCs w:val="16"/>
              </w:rPr>
              <w:t>l</w:t>
            </w:r>
            <w:r w:rsidRPr="65EC14CC">
              <w:rPr>
                <w:rFonts w:eastAsia="Segoe UI" w:cs="Segoe UI"/>
                <w:sz w:val="16"/>
                <w:szCs w:val="16"/>
              </w:rPr>
              <w:t>ogframe</w:t>
            </w:r>
            <w:r w:rsidRPr="00D75194">
              <w:rPr>
                <w:rFonts w:eastAsia="Segoe UI" w:cs="Segoe UI"/>
                <w:sz w:val="16"/>
                <w:szCs w:val="16"/>
              </w:rPr>
              <w:t xml:space="preserve"> </w:t>
            </w:r>
          </w:p>
          <w:p w:rsidRPr="00D75194" w:rsidR="3E74594B" w:rsidP="008E2151" w:rsidRDefault="3E74594B" w14:paraId="1B9C5923" w14:textId="50977346">
            <w:pPr>
              <w:spacing w:after="0" w:line="257" w:lineRule="auto"/>
              <w:ind w:left="57" w:right="57"/>
              <w:jc w:val="left"/>
              <w:rPr>
                <w:rFonts w:eastAsia="Segoe UI" w:cs="Segoe UI"/>
                <w:sz w:val="16"/>
                <w:szCs w:val="16"/>
              </w:rPr>
            </w:pPr>
            <w:r w:rsidRPr="00D75194">
              <w:rPr>
                <w:rFonts w:eastAsia="Segoe UI" w:cs="Segoe UI"/>
                <w:sz w:val="16"/>
                <w:szCs w:val="16"/>
              </w:rPr>
              <w:t>KIIs</w:t>
            </w:r>
          </w:p>
          <w:p w:rsidRPr="00D75194" w:rsidR="3E74594B" w:rsidP="008E2151" w:rsidRDefault="3E74594B" w14:paraId="0C522290" w14:textId="0503B49F">
            <w:pPr>
              <w:spacing w:after="0" w:line="257" w:lineRule="auto"/>
              <w:ind w:left="57" w:right="57"/>
              <w:jc w:val="left"/>
              <w:rPr>
                <w:rFonts w:eastAsia="Segoe UI" w:cs="Segoe UI"/>
                <w:sz w:val="16"/>
                <w:szCs w:val="16"/>
              </w:rPr>
            </w:pPr>
            <w:r w:rsidRPr="00D75194">
              <w:rPr>
                <w:rFonts w:eastAsia="Segoe UI" w:cs="Segoe UI"/>
                <w:sz w:val="16"/>
                <w:szCs w:val="16"/>
              </w:rPr>
              <w:t xml:space="preserve">Contribution </w:t>
            </w:r>
            <w:r w:rsidRPr="65EC14CC" w:rsidR="004F3747">
              <w:rPr>
                <w:rFonts w:eastAsia="Segoe UI" w:cs="Segoe UI"/>
                <w:sz w:val="16"/>
                <w:szCs w:val="16"/>
              </w:rPr>
              <w:t>s</w:t>
            </w:r>
            <w:r w:rsidRPr="65EC14CC">
              <w:rPr>
                <w:rFonts w:eastAsia="Segoe UI" w:cs="Segoe UI"/>
                <w:sz w:val="16"/>
                <w:szCs w:val="16"/>
              </w:rPr>
              <w:t>tories</w:t>
            </w:r>
          </w:p>
        </w:tc>
        <w:tc>
          <w:tcPr>
            <w:tcW w:w="1940"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1E6861C8" w14:textId="350FB31C">
            <w:pPr>
              <w:spacing w:after="0" w:line="257" w:lineRule="auto"/>
              <w:ind w:left="57" w:right="57"/>
              <w:jc w:val="left"/>
              <w:rPr>
                <w:rFonts w:eastAsia="Segoe UI" w:cs="Segoe UI"/>
                <w:sz w:val="16"/>
                <w:szCs w:val="16"/>
              </w:rPr>
            </w:pPr>
            <w:r w:rsidRPr="00D75194">
              <w:rPr>
                <w:rFonts w:eastAsia="Segoe UI" w:cs="Segoe UI"/>
                <w:sz w:val="16"/>
                <w:szCs w:val="16"/>
              </w:rPr>
              <w:t>KIIs</w:t>
            </w:r>
          </w:p>
        </w:tc>
      </w:tr>
    </w:tbl>
    <w:p w:rsidRPr="00D75194" w:rsidR="00083A6A" w:rsidP="00D463A8" w:rsidRDefault="1940839D" w14:paraId="73BDEC2B" w14:textId="3AA0FB89">
      <w:pPr>
        <w:spacing w:after="160" w:line="257" w:lineRule="auto"/>
        <w:rPr>
          <w:rFonts w:eastAsia="Segoe UI" w:cs="Segoe UI"/>
        </w:rPr>
      </w:pPr>
      <w:r w:rsidRPr="00D75194">
        <w:rPr>
          <w:rFonts w:eastAsia="Segoe UI" w:cs="Segoe UI"/>
          <w:b/>
          <w:bCs/>
        </w:rPr>
        <w:t xml:space="preserve">CASA II </w:t>
      </w:r>
      <w:r w:rsidRPr="00D75194" w:rsidR="00C4311E">
        <w:rPr>
          <w:rFonts w:eastAsia="Segoe UI" w:cs="Segoe UI"/>
          <w:b/>
          <w:bCs/>
        </w:rPr>
        <w:t xml:space="preserve">has </w:t>
      </w:r>
      <w:r w:rsidRPr="00D75194">
        <w:rPr>
          <w:rFonts w:eastAsia="Segoe UI" w:cs="Segoe UI"/>
          <w:b/>
          <w:bCs/>
        </w:rPr>
        <w:t>demonstrated strong cost-effectiveness</w:t>
      </w:r>
      <w:r w:rsidRPr="00D75194">
        <w:rPr>
          <w:rFonts w:eastAsia="Segoe UI" w:cs="Segoe UI"/>
        </w:rPr>
        <w:t xml:space="preserve"> by aligning actual expenditures closely with budgeted allocations across all negotiating groups, while directing the greatest investment toward</w:t>
      </w:r>
      <w:r w:rsidRPr="00D75194" w:rsidR="00B02DD7">
        <w:rPr>
          <w:rFonts w:eastAsia="Segoe UI" w:cs="Segoe UI"/>
        </w:rPr>
        <w:t>s</w:t>
      </w:r>
      <w:r w:rsidRPr="00D75194">
        <w:rPr>
          <w:rFonts w:eastAsia="Segoe UI" w:cs="Segoe UI"/>
        </w:rPr>
        <w:t xml:space="preserve"> the group that achieved the most substantial outcomes: the LDC Group.</w:t>
      </w:r>
    </w:p>
    <w:p w:rsidRPr="00D75194" w:rsidR="00083A6A" w:rsidP="00D463A8" w:rsidRDefault="1940839D" w14:paraId="3BA2C643" w14:textId="77621E64">
      <w:pPr>
        <w:spacing w:after="160" w:line="257" w:lineRule="auto"/>
        <w:rPr>
          <w:rFonts w:eastAsia="Segoe UI" w:cs="Segoe UI"/>
        </w:rPr>
      </w:pPr>
      <w:r w:rsidRPr="00D75194">
        <w:rPr>
          <w:rFonts w:eastAsia="Segoe UI" w:cs="Segoe UI"/>
        </w:rPr>
        <w:t xml:space="preserve">The </w:t>
      </w:r>
      <w:r w:rsidRPr="00D75194" w:rsidR="546DD2FE">
        <w:rPr>
          <w:rFonts w:eastAsia="Segoe UI" w:cs="Segoe UI"/>
        </w:rPr>
        <w:t>LDC Group</w:t>
      </w:r>
      <w:r w:rsidRPr="00D75194" w:rsidR="00B02DD7">
        <w:rPr>
          <w:rFonts w:eastAsia="Segoe UI" w:cs="Segoe UI"/>
        </w:rPr>
        <w:t xml:space="preserve"> has</w:t>
      </w:r>
      <w:r w:rsidRPr="00D75194" w:rsidR="546DD2FE">
        <w:rPr>
          <w:rFonts w:eastAsia="Segoe UI" w:cs="Segoe UI"/>
        </w:rPr>
        <w:t xml:space="preserve"> </w:t>
      </w:r>
      <w:r w:rsidRPr="00D75194">
        <w:rPr>
          <w:rFonts w:eastAsia="Segoe UI" w:cs="Segoe UI"/>
        </w:rPr>
        <w:t>received the highest level of support, with £1.23 million in actual costs, representing 91.2% of the £1.35 million budgeted. This investment</w:t>
      </w:r>
      <w:r w:rsidRPr="00D75194" w:rsidR="00E0585E">
        <w:rPr>
          <w:rFonts w:eastAsia="Segoe UI" w:cs="Segoe UI"/>
        </w:rPr>
        <w:t xml:space="preserve"> has</w:t>
      </w:r>
      <w:r w:rsidRPr="00D75194">
        <w:rPr>
          <w:rFonts w:eastAsia="Segoe UI" w:cs="Segoe UI"/>
        </w:rPr>
        <w:t xml:space="preserve"> translated into some of the programme’s strongest results</w:t>
      </w:r>
      <w:r w:rsidRPr="00D75194" w:rsidR="732B0204">
        <w:rPr>
          <w:rFonts w:eastAsia="Segoe UI" w:cs="Segoe UI"/>
        </w:rPr>
        <w:t>,</w:t>
      </w:r>
      <w:r w:rsidRPr="00D75194" w:rsidR="00675086">
        <w:rPr>
          <w:rFonts w:eastAsia="Segoe UI" w:cs="Segoe UI"/>
        </w:rPr>
        <w:t xml:space="preserve"> </w:t>
      </w:r>
      <w:r w:rsidRPr="00D75194">
        <w:rPr>
          <w:rFonts w:eastAsia="Segoe UI" w:cs="Segoe UI"/>
        </w:rPr>
        <w:t xml:space="preserve">including deep institutional capacity, increased negotiating influence, and consistent leadership across key climate diplomacy forums. The scale and continuity of CASA’s support to the LDCs appear to have directly contributed to these outcomes, reinforcing the cost-effectiveness of targeted, sustained investment in negotiating groups with high potential for impact. See the LDC Group contribution story (Annex </w:t>
      </w:r>
      <w:r w:rsidRPr="00D75194" w:rsidR="008620F9">
        <w:rPr>
          <w:rFonts w:eastAsia="Segoe UI" w:cs="Segoe UI"/>
        </w:rPr>
        <w:t>I</w:t>
      </w:r>
      <w:r w:rsidRPr="00D75194">
        <w:rPr>
          <w:rFonts w:eastAsia="Segoe UI" w:cs="Segoe UI"/>
        </w:rPr>
        <w:t xml:space="preserve">) for more detail. </w:t>
      </w:r>
    </w:p>
    <w:p w:rsidRPr="00D75194" w:rsidR="00083A6A" w:rsidP="00D463A8" w:rsidRDefault="1940839D" w14:paraId="5EF3126D" w14:textId="4A7F0A1F">
      <w:pPr>
        <w:spacing w:after="160" w:line="257" w:lineRule="auto"/>
        <w:rPr>
          <w:rFonts w:eastAsia="Segoe UI" w:cs="Segoe UI"/>
        </w:rPr>
      </w:pPr>
      <w:r w:rsidRPr="00D75194">
        <w:rPr>
          <w:rFonts w:eastAsia="Segoe UI" w:cs="Segoe UI"/>
        </w:rPr>
        <w:t xml:space="preserve">Support to AOSIS </w:t>
      </w:r>
      <w:r w:rsidRPr="00D75194" w:rsidR="00E0585E">
        <w:rPr>
          <w:rFonts w:eastAsia="Segoe UI" w:cs="Segoe UI"/>
        </w:rPr>
        <w:t xml:space="preserve">has </w:t>
      </w:r>
      <w:r w:rsidRPr="00D75194">
        <w:rPr>
          <w:rFonts w:eastAsia="Segoe UI" w:cs="Segoe UI"/>
        </w:rPr>
        <w:t>also remained tightly aligned to budget (93.3% budget execution), reflecting efficient use of funds while maintaining substantial reach and presence in negotiations. RMI-HAC and AILAC</w:t>
      </w:r>
      <w:r w:rsidRPr="00D75194" w:rsidR="00EB16F2">
        <w:rPr>
          <w:rFonts w:eastAsia="Segoe UI" w:cs="Segoe UI"/>
        </w:rPr>
        <w:t xml:space="preserve"> have</w:t>
      </w:r>
      <w:r w:rsidRPr="00D75194">
        <w:rPr>
          <w:rFonts w:eastAsia="Segoe UI" w:cs="Segoe UI"/>
        </w:rPr>
        <w:t xml:space="preserve"> received comparatively lower levels of support, at smaller but proportionate scales, with delivery remaining within budget parameters.</w:t>
      </w:r>
    </w:p>
    <w:p w:rsidRPr="00D75194" w:rsidR="00083A6A" w:rsidP="00D463A8" w:rsidRDefault="1940839D" w14:paraId="5843403E" w14:textId="1408FA65">
      <w:pPr>
        <w:spacing w:after="160" w:line="257" w:lineRule="auto"/>
        <w:rPr>
          <w:rFonts w:eastAsia="Segoe UI" w:cs="Segoe UI"/>
        </w:rPr>
      </w:pPr>
      <w:r w:rsidRPr="00D75194">
        <w:rPr>
          <w:rFonts w:eastAsia="Segoe UI" w:cs="Segoe UI"/>
        </w:rPr>
        <w:t>CASA II</w:t>
      </w:r>
      <w:r w:rsidRPr="00D75194" w:rsidR="00C32AB7">
        <w:rPr>
          <w:rFonts w:eastAsia="Segoe UI" w:cs="Segoe UI"/>
        </w:rPr>
        <w:t xml:space="preserve"> has</w:t>
      </w:r>
      <w:r w:rsidRPr="00D75194">
        <w:rPr>
          <w:rFonts w:eastAsia="Segoe UI" w:cs="Segoe UI"/>
        </w:rPr>
        <w:t xml:space="preserve"> demonstrated strong cost-effectiveness by delivering support to all negotiating groups within budget, while aligning investment levels with the relative scale and strategic importance of each group. Although negotiating groups </w:t>
      </w:r>
      <w:r w:rsidRPr="00D75194" w:rsidR="00B01C63">
        <w:rPr>
          <w:rFonts w:eastAsia="Segoe UI" w:cs="Segoe UI"/>
        </w:rPr>
        <w:t xml:space="preserve">do </w:t>
      </w:r>
      <w:r w:rsidRPr="00D75194">
        <w:rPr>
          <w:rFonts w:eastAsia="Segoe UI" w:cs="Segoe UI"/>
        </w:rPr>
        <w:t xml:space="preserve">not hold budgets directly, spending through </w:t>
      </w:r>
      <w:r w:rsidRPr="65EC14CC" w:rsidR="00690A66">
        <w:rPr>
          <w:rFonts w:eastAsia="Segoe UI" w:cs="Segoe UI"/>
        </w:rPr>
        <w:t>TP</w:t>
      </w:r>
      <w:r w:rsidRPr="65EC14CC">
        <w:rPr>
          <w:rFonts w:eastAsia="Segoe UI" w:cs="Segoe UI"/>
        </w:rPr>
        <w:t>s</w:t>
      </w:r>
      <w:r w:rsidRPr="00D75194" w:rsidDel="00B01C63">
        <w:rPr>
          <w:rFonts w:eastAsia="Segoe UI" w:cs="Segoe UI"/>
        </w:rPr>
        <w:t xml:space="preserve"> </w:t>
      </w:r>
      <w:r w:rsidRPr="00D75194" w:rsidR="00B01C63">
        <w:rPr>
          <w:rFonts w:eastAsia="Segoe UI" w:cs="Segoe UI"/>
        </w:rPr>
        <w:t xml:space="preserve">has been </w:t>
      </w:r>
      <w:r w:rsidRPr="00D75194">
        <w:rPr>
          <w:rFonts w:eastAsia="Segoe UI" w:cs="Segoe UI"/>
        </w:rPr>
        <w:t>structured around group-specific support needs and tracked accordingly.</w:t>
      </w:r>
    </w:p>
    <w:p w:rsidRPr="00D75194" w:rsidR="00ED2B1E" w:rsidP="00D463A8" w:rsidRDefault="1940839D" w14:paraId="0D7A977A" w14:textId="3DA10586">
      <w:pPr>
        <w:spacing w:after="160" w:line="257" w:lineRule="auto"/>
        <w:rPr>
          <w:rFonts w:eastAsia="Segoe UI" w:cs="Segoe UI"/>
        </w:rPr>
      </w:pPr>
      <w:r w:rsidRPr="00D75194">
        <w:rPr>
          <w:rFonts w:eastAsia="Segoe UI" w:cs="Segoe UI"/>
        </w:rPr>
        <w:t xml:space="preserve">Outcome </w:t>
      </w:r>
      <w:r w:rsidRPr="00D75194" w:rsidR="0054017D">
        <w:rPr>
          <w:rFonts w:eastAsia="Segoe UI" w:cs="Segoe UI"/>
        </w:rPr>
        <w:t xml:space="preserve">Indicator </w:t>
      </w:r>
      <w:r w:rsidRPr="00D75194">
        <w:rPr>
          <w:rFonts w:eastAsia="Segoe UI" w:cs="Segoe UI"/>
        </w:rPr>
        <w:t xml:space="preserve">3 shows that all three core groups—LDC, AOSIS, and HAC—contributed to shaping final negotiation texts. CASA II </w:t>
      </w:r>
      <w:r w:rsidRPr="00D75194" w:rsidR="00352F8B">
        <w:rPr>
          <w:rFonts w:eastAsia="Segoe UI" w:cs="Segoe UI"/>
        </w:rPr>
        <w:t xml:space="preserve">has </w:t>
      </w:r>
      <w:r w:rsidRPr="00D75194">
        <w:rPr>
          <w:rFonts w:eastAsia="Segoe UI" w:cs="Segoe UI"/>
        </w:rPr>
        <w:t xml:space="preserve">also showed adaptive use of funds, with qualitative </w:t>
      </w:r>
      <w:r w:rsidRPr="00D75194" w:rsidR="08B7D2AA">
        <w:rPr>
          <w:rFonts w:eastAsia="Segoe UI" w:cs="Segoe UI"/>
        </w:rPr>
        <w:t xml:space="preserve">interview </w:t>
      </w:r>
      <w:r w:rsidRPr="00D75194" w:rsidR="00675086">
        <w:rPr>
          <w:rFonts w:eastAsia="Segoe UI" w:cs="Segoe UI"/>
        </w:rPr>
        <w:t>data confirming</w:t>
      </w:r>
      <w:r w:rsidRPr="00D75194" w:rsidR="003218D7">
        <w:rPr>
          <w:rFonts w:eastAsia="Segoe UI" w:cs="Segoe UI"/>
        </w:rPr>
        <w:t xml:space="preserve"> that</w:t>
      </w:r>
      <w:r w:rsidRPr="00D75194">
        <w:rPr>
          <w:rFonts w:eastAsia="Segoe UI" w:cs="Segoe UI"/>
        </w:rPr>
        <w:t xml:space="preserve"> the programme</w:t>
      </w:r>
      <w:r w:rsidRPr="00D75194" w:rsidR="00601294">
        <w:rPr>
          <w:rFonts w:eastAsia="Segoe UI" w:cs="Segoe UI"/>
        </w:rPr>
        <w:t xml:space="preserve"> has</w:t>
      </w:r>
      <w:r w:rsidRPr="00D75194">
        <w:rPr>
          <w:rFonts w:eastAsia="Segoe UI" w:cs="Segoe UI"/>
        </w:rPr>
        <w:t xml:space="preserve"> flexed its budget within FCDO rules to meet changing needs</w:t>
      </w:r>
      <w:r w:rsidRPr="00D75194" w:rsidR="29827749">
        <w:rPr>
          <w:rFonts w:eastAsia="Segoe UI" w:cs="Segoe UI"/>
        </w:rPr>
        <w:t>, despite well-recognised barriers to financing logistics budget lines</w:t>
      </w:r>
      <w:r w:rsidRPr="00D75194">
        <w:rPr>
          <w:rFonts w:eastAsia="Segoe UI" w:cs="Segoe UI"/>
        </w:rPr>
        <w:t>.</w:t>
      </w:r>
      <w:r w:rsidRPr="00D75194" w:rsidR="7DC4DEBD">
        <w:rPr>
          <w:rFonts w:eastAsia="Segoe UI" w:cs="Segoe UI"/>
        </w:rPr>
        <w:t xml:space="preserve"> For a responsive, demand-led programme it is not altogether surprising that the programme </w:t>
      </w:r>
      <w:r w:rsidRPr="00D75194" w:rsidR="00575E8E">
        <w:rPr>
          <w:rFonts w:eastAsia="Segoe UI" w:cs="Segoe UI"/>
        </w:rPr>
        <w:t xml:space="preserve">has been </w:t>
      </w:r>
      <w:r w:rsidRPr="00D75194" w:rsidR="7DC4DEBD">
        <w:rPr>
          <w:rFonts w:eastAsia="Segoe UI" w:cs="Segoe UI"/>
        </w:rPr>
        <w:t>able to demon</w:t>
      </w:r>
      <w:r w:rsidRPr="00D75194" w:rsidR="04EF2623">
        <w:rPr>
          <w:rFonts w:eastAsia="Segoe UI" w:cs="Segoe UI"/>
        </w:rPr>
        <w:t xml:space="preserve">strate a level of flexibility, however this feature </w:t>
      </w:r>
      <w:r w:rsidRPr="00D75194" w:rsidR="0078007F">
        <w:rPr>
          <w:rFonts w:eastAsia="Segoe UI" w:cs="Segoe UI"/>
        </w:rPr>
        <w:t xml:space="preserve">is </w:t>
      </w:r>
      <w:r w:rsidRPr="00D75194" w:rsidR="04EF2623">
        <w:rPr>
          <w:rFonts w:eastAsia="Segoe UI" w:cs="Segoe UI"/>
        </w:rPr>
        <w:t xml:space="preserve">well-appreciated by partners, </w:t>
      </w:r>
      <w:proofErr w:type="gramStart"/>
      <w:r w:rsidRPr="00D75194" w:rsidR="04EF2623">
        <w:rPr>
          <w:rFonts w:eastAsia="Segoe UI" w:cs="Segoe UI"/>
        </w:rPr>
        <w:t>in particular OF</w:t>
      </w:r>
      <w:proofErr w:type="gramEnd"/>
      <w:r w:rsidRPr="00D75194" w:rsidR="04EF2623">
        <w:rPr>
          <w:rFonts w:eastAsia="Segoe UI" w:cs="Segoe UI"/>
        </w:rPr>
        <w:t xml:space="preserve"> partners who </w:t>
      </w:r>
      <w:r w:rsidRPr="65EC14CC" w:rsidR="00D41EF6">
        <w:rPr>
          <w:rFonts w:eastAsia="Segoe UI" w:cs="Segoe UI"/>
        </w:rPr>
        <w:t>have</w:t>
      </w:r>
      <w:r w:rsidRPr="00D75194" w:rsidR="04EF2623">
        <w:rPr>
          <w:rFonts w:eastAsia="Segoe UI" w:cs="Segoe UI"/>
        </w:rPr>
        <w:t>, for instance, been able to reinvest</w:t>
      </w:r>
      <w:r w:rsidRPr="00D75194" w:rsidR="0D5747A8">
        <w:rPr>
          <w:rFonts w:eastAsia="Segoe UI" w:cs="Segoe UI"/>
        </w:rPr>
        <w:t xml:space="preserve"> unspent budget lines into covering additional training participants. </w:t>
      </w:r>
    </w:p>
    <w:p w:rsidRPr="00D75194" w:rsidR="00083A6A" w:rsidP="00DD717C" w:rsidRDefault="1940839D" w14:paraId="7B5C7F35" w14:textId="5A14433C">
      <w:pPr>
        <w:pStyle w:val="Heading3"/>
      </w:pPr>
      <w:bookmarkStart w:name="_Toc204259826" w:id="78"/>
      <w:r w:rsidRPr="00D75194">
        <w:t>Equity</w:t>
      </w:r>
      <w:bookmarkEnd w:id="78"/>
      <w:r w:rsidRPr="00D75194">
        <w:t xml:space="preserve"> </w:t>
      </w:r>
    </w:p>
    <w:p w:rsidRPr="00D75194" w:rsidR="00083A6A" w:rsidP="00D463A8" w:rsidRDefault="1940839D" w14:paraId="5B00B50D" w14:textId="5F88770E">
      <w:pPr>
        <w:spacing w:after="160" w:line="257" w:lineRule="auto"/>
        <w:rPr>
          <w:rFonts w:eastAsia="Segoe UI" w:cs="Segoe UI"/>
        </w:rPr>
      </w:pPr>
      <w:r w:rsidRPr="00D75194">
        <w:rPr>
          <w:rFonts w:eastAsia="Segoe UI" w:cs="Segoe UI"/>
        </w:rPr>
        <w:t>Summary result: Exceeded expectations</w:t>
      </w:r>
    </w:p>
    <w:tbl>
      <w:tblPr>
        <w:tblW w:w="987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Look w:val="04A0" w:firstRow="1" w:lastRow="0" w:firstColumn="1" w:lastColumn="0" w:noHBand="0" w:noVBand="1"/>
      </w:tblPr>
      <w:tblGrid>
        <w:gridCol w:w="1975"/>
        <w:gridCol w:w="1975"/>
        <w:gridCol w:w="1975"/>
        <w:gridCol w:w="1975"/>
        <w:gridCol w:w="1976"/>
      </w:tblGrid>
      <w:tr w:rsidRPr="00D75194" w:rsidR="00CA385B" w:rsidTr="009C67FD" w14:paraId="698390FA" w14:textId="77777777">
        <w:trPr>
          <w:trHeight w:val="570"/>
        </w:trPr>
        <w:tc>
          <w:tcPr>
            <w:tcW w:w="1975" w:type="dxa"/>
            <w:shd w:val="clear" w:color="auto" w:fill="F2F2F2" w:themeFill="background1" w:themeFillShade="F2"/>
            <w:tcMar>
              <w:top w:w="15" w:type="dxa"/>
              <w:left w:w="15" w:type="dxa"/>
              <w:bottom w:w="15" w:type="dxa"/>
              <w:right w:w="15" w:type="dxa"/>
            </w:tcMar>
            <w:vAlign w:val="center"/>
          </w:tcPr>
          <w:p w:rsidRPr="00D75194" w:rsidR="735C2AEE" w:rsidRDefault="735C2AEE" w14:paraId="010263B7" w14:textId="25BE9DA8">
            <w:pPr>
              <w:spacing w:after="0" w:line="257" w:lineRule="auto"/>
              <w:jc w:val="left"/>
              <w:rPr>
                <w:rFonts w:eastAsia="Segoe UI" w:cs="Segoe UI"/>
                <w:b/>
                <w:bCs/>
                <w:sz w:val="16"/>
                <w:szCs w:val="16"/>
              </w:rPr>
            </w:pPr>
            <w:r w:rsidRPr="00D75194">
              <w:rPr>
                <w:rFonts w:eastAsia="Segoe UI" w:cs="Segoe UI"/>
                <w:b/>
                <w:bCs/>
                <w:sz w:val="16"/>
                <w:szCs w:val="16"/>
              </w:rPr>
              <w:t>Indicator</w:t>
            </w:r>
          </w:p>
        </w:tc>
        <w:tc>
          <w:tcPr>
            <w:tcW w:w="1975"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04D54980" w14:textId="607EFAB4">
            <w:pPr>
              <w:spacing w:after="0" w:line="257" w:lineRule="auto"/>
              <w:ind w:left="57" w:right="57"/>
              <w:jc w:val="left"/>
              <w:rPr>
                <w:rFonts w:eastAsia="Segoe UI" w:cs="Segoe UI"/>
                <w:b/>
                <w:bCs/>
                <w:sz w:val="16"/>
                <w:szCs w:val="16"/>
              </w:rPr>
            </w:pPr>
            <w:r w:rsidRPr="00D75194">
              <w:rPr>
                <w:rFonts w:eastAsia="Segoe UI" w:cs="Segoe UI"/>
                <w:b/>
                <w:bCs/>
                <w:sz w:val="16"/>
                <w:szCs w:val="16"/>
              </w:rPr>
              <w:t xml:space="preserve">% of negotiators receiving capacity building CASA support who are women (ICF </w:t>
            </w:r>
            <w:r w:rsidRPr="00D75194" w:rsidR="00690A66">
              <w:rPr>
                <w:rFonts w:eastAsia="Segoe UI" w:cs="Segoe UI"/>
                <w:b/>
                <w:bCs/>
                <w:sz w:val="16"/>
                <w:szCs w:val="16"/>
              </w:rPr>
              <w:t xml:space="preserve">technical assistance </w:t>
            </w:r>
            <w:r w:rsidRPr="00D75194">
              <w:rPr>
                <w:rFonts w:eastAsia="Segoe UI" w:cs="Segoe UI"/>
                <w:b/>
                <w:bCs/>
                <w:sz w:val="16"/>
                <w:szCs w:val="16"/>
              </w:rPr>
              <w:t xml:space="preserve">KPI 2.1.1) </w:t>
            </w:r>
          </w:p>
        </w:tc>
        <w:tc>
          <w:tcPr>
            <w:tcW w:w="1975"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6903604A" w14:textId="455C320B">
            <w:pPr>
              <w:spacing w:after="0" w:line="257" w:lineRule="auto"/>
              <w:ind w:left="57" w:right="57"/>
              <w:jc w:val="left"/>
              <w:rPr>
                <w:rFonts w:eastAsia="Segoe UI" w:cs="Segoe UI"/>
                <w:b/>
                <w:bCs/>
                <w:sz w:val="16"/>
                <w:szCs w:val="16"/>
              </w:rPr>
            </w:pPr>
            <w:r w:rsidRPr="00D75194">
              <w:rPr>
                <w:rFonts w:eastAsia="Segoe UI" w:cs="Segoe UI"/>
                <w:b/>
                <w:bCs/>
                <w:sz w:val="16"/>
                <w:szCs w:val="16"/>
              </w:rPr>
              <w:t xml:space="preserve">% of negotiators receiving direct negotiations support who are women </w:t>
            </w:r>
          </w:p>
        </w:tc>
        <w:tc>
          <w:tcPr>
            <w:tcW w:w="1975" w:type="dxa"/>
            <w:shd w:val="clear" w:color="auto" w:fill="F2F2F2" w:themeFill="background1" w:themeFillShade="F2"/>
            <w:tcMar>
              <w:top w:w="15" w:type="dxa"/>
              <w:left w:w="15" w:type="dxa"/>
              <w:bottom w:w="15" w:type="dxa"/>
              <w:right w:w="15" w:type="dxa"/>
            </w:tcMar>
            <w:vAlign w:val="center"/>
          </w:tcPr>
          <w:p w:rsidRPr="00D75194" w:rsidR="3E74594B" w:rsidP="002B14B9" w:rsidRDefault="2B05AA15" w14:paraId="20ED8FB1" w14:textId="0510625E">
            <w:pPr>
              <w:spacing w:after="0" w:line="257" w:lineRule="auto"/>
              <w:ind w:left="57" w:right="57"/>
              <w:jc w:val="left"/>
              <w:rPr>
                <w:rFonts w:eastAsia="Segoe UI" w:cs="Segoe UI"/>
                <w:b/>
                <w:bCs/>
                <w:sz w:val="16"/>
                <w:szCs w:val="16"/>
              </w:rPr>
            </w:pPr>
            <w:r w:rsidRPr="65EC14CC">
              <w:rPr>
                <w:rFonts w:eastAsia="Segoe UI" w:cs="Segoe UI"/>
                <w:b/>
                <w:bCs/>
                <w:sz w:val="16"/>
                <w:szCs w:val="16"/>
              </w:rPr>
              <w:t>C</w:t>
            </w:r>
            <w:r w:rsidRPr="65EC14CC" w:rsidR="3E74594B">
              <w:rPr>
                <w:rFonts w:eastAsia="Segoe UI" w:cs="Segoe UI"/>
                <w:b/>
                <w:bCs/>
                <w:sz w:val="16"/>
                <w:szCs w:val="16"/>
              </w:rPr>
              <w:t>ost</w:t>
            </w:r>
            <w:r w:rsidRPr="00D75194" w:rsidR="3E74594B">
              <w:rPr>
                <w:rFonts w:eastAsia="Segoe UI" w:cs="Segoe UI"/>
                <w:b/>
                <w:bCs/>
                <w:sz w:val="16"/>
                <w:szCs w:val="16"/>
              </w:rPr>
              <w:t xml:space="preserve"> of providing bespoke support to young negotiators </w:t>
            </w:r>
          </w:p>
        </w:tc>
        <w:tc>
          <w:tcPr>
            <w:tcW w:w="1976" w:type="dxa"/>
            <w:shd w:val="clear" w:color="auto" w:fill="F2F2F2" w:themeFill="background1" w:themeFillShade="F2"/>
            <w:tcMar>
              <w:top w:w="15" w:type="dxa"/>
              <w:left w:w="15" w:type="dxa"/>
              <w:bottom w:w="15" w:type="dxa"/>
              <w:right w:w="15" w:type="dxa"/>
            </w:tcMar>
            <w:vAlign w:val="center"/>
          </w:tcPr>
          <w:p w:rsidRPr="00D75194" w:rsidR="3E74594B" w:rsidP="002B14B9" w:rsidRDefault="3E74594B" w14:paraId="2C6C0BEC" w14:textId="4FDC994D">
            <w:pPr>
              <w:spacing w:after="0" w:line="257" w:lineRule="auto"/>
              <w:ind w:left="57" w:right="57"/>
              <w:jc w:val="left"/>
              <w:rPr>
                <w:rFonts w:eastAsia="Segoe UI" w:cs="Segoe UI"/>
                <w:b/>
                <w:bCs/>
                <w:sz w:val="16"/>
                <w:szCs w:val="16"/>
              </w:rPr>
            </w:pPr>
            <w:r w:rsidRPr="00D75194">
              <w:rPr>
                <w:rFonts w:eastAsia="Segoe UI" w:cs="Segoe UI"/>
                <w:b/>
                <w:bCs/>
                <w:sz w:val="16"/>
                <w:szCs w:val="16"/>
              </w:rPr>
              <w:t xml:space="preserve">% </w:t>
            </w:r>
            <w:r w:rsidRPr="00D75194" w:rsidR="00E4675D">
              <w:rPr>
                <w:rFonts w:eastAsia="Segoe UI" w:cs="Segoe UI"/>
                <w:b/>
                <w:bCs/>
                <w:sz w:val="16"/>
                <w:szCs w:val="16"/>
              </w:rPr>
              <w:t>Direct</w:t>
            </w:r>
            <w:r w:rsidRPr="00D75194">
              <w:rPr>
                <w:rFonts w:eastAsia="Segoe UI" w:cs="Segoe UI"/>
                <w:b/>
                <w:bCs/>
                <w:sz w:val="16"/>
                <w:szCs w:val="16"/>
              </w:rPr>
              <w:t xml:space="preserve"> OF beneficiaries</w:t>
            </w:r>
            <w:r w:rsidRPr="00D75194" w:rsidR="002D059E">
              <w:rPr>
                <w:rFonts w:eastAsia="Segoe UI" w:cs="Segoe UI"/>
                <w:b/>
                <w:bCs/>
                <w:sz w:val="16"/>
                <w:szCs w:val="16"/>
              </w:rPr>
              <w:t xml:space="preserve"> who</w:t>
            </w:r>
            <w:r w:rsidRPr="00D75194">
              <w:rPr>
                <w:rFonts w:eastAsia="Segoe UI" w:cs="Segoe UI"/>
                <w:b/>
                <w:bCs/>
                <w:sz w:val="16"/>
                <w:szCs w:val="16"/>
              </w:rPr>
              <w:t xml:space="preserve"> are women or youth </w:t>
            </w:r>
          </w:p>
        </w:tc>
      </w:tr>
      <w:tr w:rsidRPr="00D75194" w:rsidR="00836E7B" w:rsidTr="009C67FD" w14:paraId="4E3468E7" w14:textId="77777777">
        <w:trPr>
          <w:trHeight w:val="795"/>
        </w:trPr>
        <w:tc>
          <w:tcPr>
            <w:tcW w:w="1975" w:type="dxa"/>
            <w:shd w:val="clear" w:color="auto" w:fill="F2F2F2" w:themeFill="background1" w:themeFillShade="F2"/>
            <w:tcMar>
              <w:top w:w="15" w:type="dxa"/>
              <w:left w:w="15" w:type="dxa"/>
              <w:bottom w:w="15" w:type="dxa"/>
              <w:right w:w="15" w:type="dxa"/>
            </w:tcMar>
            <w:vAlign w:val="center"/>
          </w:tcPr>
          <w:p w:rsidRPr="00D75194" w:rsidR="625A4195" w:rsidRDefault="625A4195" w14:paraId="712DAD11" w14:textId="645A538D">
            <w:pPr>
              <w:spacing w:after="0" w:line="257" w:lineRule="auto"/>
              <w:jc w:val="left"/>
              <w:rPr>
                <w:rFonts w:eastAsia="Segoe UI" w:cs="Segoe UI"/>
                <w:b/>
                <w:bCs/>
                <w:sz w:val="16"/>
                <w:szCs w:val="16"/>
              </w:rPr>
            </w:pPr>
            <w:r w:rsidRPr="00D75194">
              <w:rPr>
                <w:rFonts w:eastAsia="Segoe UI" w:cs="Segoe UI"/>
                <w:b/>
                <w:bCs/>
                <w:sz w:val="16"/>
                <w:szCs w:val="16"/>
              </w:rPr>
              <w:t>Result</w:t>
            </w:r>
          </w:p>
        </w:tc>
        <w:tc>
          <w:tcPr>
            <w:tcW w:w="1975" w:type="dxa"/>
            <w:shd w:val="clear" w:color="auto" w:fill="00B050"/>
            <w:tcMar>
              <w:top w:w="15" w:type="dxa"/>
              <w:left w:w="15" w:type="dxa"/>
              <w:bottom w:w="15" w:type="dxa"/>
              <w:right w:w="15" w:type="dxa"/>
            </w:tcMar>
            <w:vAlign w:val="center"/>
          </w:tcPr>
          <w:p w:rsidRPr="00D75194" w:rsidR="3E74594B" w:rsidP="002B14B9" w:rsidRDefault="3E74594B" w14:paraId="7DE37647" w14:textId="1CB54CEC">
            <w:pPr>
              <w:spacing w:after="0" w:line="257" w:lineRule="auto"/>
              <w:ind w:left="57" w:right="57"/>
              <w:jc w:val="left"/>
              <w:rPr>
                <w:rFonts w:eastAsia="Segoe UI" w:cs="Segoe UI"/>
                <w:sz w:val="16"/>
                <w:szCs w:val="16"/>
              </w:rPr>
            </w:pPr>
            <w:r w:rsidRPr="00D75194">
              <w:rPr>
                <w:rFonts w:eastAsia="Segoe UI" w:cs="Segoe UI"/>
                <w:sz w:val="16"/>
                <w:szCs w:val="16"/>
              </w:rPr>
              <w:t xml:space="preserve">52% </w:t>
            </w:r>
          </w:p>
        </w:tc>
        <w:tc>
          <w:tcPr>
            <w:tcW w:w="1975" w:type="dxa"/>
            <w:shd w:val="clear" w:color="auto" w:fill="00B050"/>
            <w:tcMar>
              <w:top w:w="15" w:type="dxa"/>
              <w:left w:w="15" w:type="dxa"/>
              <w:bottom w:w="15" w:type="dxa"/>
              <w:right w:w="15" w:type="dxa"/>
            </w:tcMar>
            <w:vAlign w:val="center"/>
          </w:tcPr>
          <w:p w:rsidRPr="00D75194" w:rsidR="3E74594B" w:rsidP="002B14B9" w:rsidRDefault="3E74594B" w14:paraId="4320EF0D" w14:textId="67BE9D4F">
            <w:pPr>
              <w:spacing w:after="0" w:line="257" w:lineRule="auto"/>
              <w:ind w:left="57" w:right="57"/>
              <w:jc w:val="left"/>
              <w:rPr>
                <w:rFonts w:eastAsia="Segoe UI" w:cs="Segoe UI"/>
                <w:sz w:val="16"/>
                <w:szCs w:val="16"/>
              </w:rPr>
            </w:pPr>
            <w:r w:rsidRPr="00D75194">
              <w:rPr>
                <w:rFonts w:eastAsia="Segoe UI" w:cs="Segoe UI"/>
                <w:sz w:val="16"/>
                <w:szCs w:val="16"/>
              </w:rPr>
              <w:t>54.5% of support instances involved women (individuals or groups)</w:t>
            </w:r>
          </w:p>
        </w:tc>
        <w:tc>
          <w:tcPr>
            <w:tcW w:w="1975" w:type="dxa"/>
            <w:shd w:val="clear" w:color="auto" w:fill="00B050"/>
            <w:tcMar>
              <w:top w:w="15" w:type="dxa"/>
              <w:left w:w="15" w:type="dxa"/>
              <w:bottom w:w="15" w:type="dxa"/>
              <w:right w:w="15" w:type="dxa"/>
            </w:tcMar>
            <w:vAlign w:val="center"/>
          </w:tcPr>
          <w:p w:rsidRPr="00D75194" w:rsidR="3E74594B" w:rsidP="002B14B9" w:rsidRDefault="3E74594B" w14:paraId="7A59A6CF" w14:textId="431F49D9">
            <w:pPr>
              <w:spacing w:after="0" w:line="257" w:lineRule="auto"/>
              <w:ind w:left="57" w:right="57"/>
              <w:jc w:val="left"/>
              <w:rPr>
                <w:rFonts w:eastAsia="Segoe UI" w:cs="Segoe UI"/>
                <w:sz w:val="16"/>
                <w:szCs w:val="16"/>
              </w:rPr>
            </w:pPr>
            <w:r w:rsidRPr="00D75194">
              <w:rPr>
                <w:rFonts w:eastAsia="Segoe UI" w:cs="Segoe UI"/>
                <w:sz w:val="16"/>
                <w:szCs w:val="16"/>
              </w:rPr>
              <w:t>Between 93</w:t>
            </w:r>
            <w:r w:rsidRPr="00D75194" w:rsidR="008A3E8D">
              <w:rPr>
                <w:rFonts w:eastAsia="Segoe UI" w:cs="Segoe UI"/>
                <w:sz w:val="16"/>
                <w:szCs w:val="16"/>
              </w:rPr>
              <w:t xml:space="preserve"> and </w:t>
            </w:r>
            <w:r w:rsidRPr="00D75194">
              <w:rPr>
                <w:rFonts w:eastAsia="Segoe UI" w:cs="Segoe UI"/>
                <w:sz w:val="16"/>
                <w:szCs w:val="16"/>
              </w:rPr>
              <w:t>95.3% of budgeted costs</w:t>
            </w:r>
          </w:p>
        </w:tc>
        <w:tc>
          <w:tcPr>
            <w:tcW w:w="1976" w:type="dxa"/>
            <w:shd w:val="clear" w:color="auto" w:fill="00B050"/>
            <w:tcMar>
              <w:top w:w="15" w:type="dxa"/>
              <w:left w:w="15" w:type="dxa"/>
              <w:bottom w:w="15" w:type="dxa"/>
              <w:right w:w="15" w:type="dxa"/>
            </w:tcMar>
            <w:vAlign w:val="center"/>
          </w:tcPr>
          <w:p w:rsidRPr="00D75194" w:rsidR="3E74594B" w:rsidP="002B14B9" w:rsidRDefault="3E74594B" w14:paraId="559F1587" w14:textId="4939BFB9">
            <w:pPr>
              <w:spacing w:after="0" w:line="257" w:lineRule="auto"/>
              <w:ind w:left="57" w:right="57"/>
              <w:jc w:val="left"/>
              <w:rPr>
                <w:rFonts w:eastAsia="Segoe UI" w:cs="Segoe UI"/>
                <w:sz w:val="16"/>
                <w:szCs w:val="16"/>
              </w:rPr>
            </w:pPr>
            <w:r w:rsidRPr="00D75194">
              <w:rPr>
                <w:rFonts w:eastAsia="Segoe UI" w:cs="Segoe UI"/>
                <w:sz w:val="16"/>
                <w:szCs w:val="16"/>
              </w:rPr>
              <w:t>41.7%</w:t>
            </w:r>
          </w:p>
        </w:tc>
      </w:tr>
      <w:tr w:rsidRPr="00D75194" w:rsidR="00ED2B1E" w:rsidTr="007F7DE1" w14:paraId="24DF7407" w14:textId="77777777">
        <w:trPr>
          <w:trHeight w:val="660"/>
        </w:trPr>
        <w:tc>
          <w:tcPr>
            <w:tcW w:w="1975" w:type="dxa"/>
            <w:tcBorders>
              <w:top w:val="single" w:color="000000" w:sz="12" w:space="0"/>
              <w:left w:val="single" w:color="000000" w:sz="12" w:space="0"/>
              <w:bottom w:val="single" w:color="000000" w:sz="12" w:space="0"/>
              <w:right w:val="single" w:color="000000" w:sz="12" w:space="0"/>
            </w:tcBorders>
            <w:shd w:val="clear" w:color="auto" w:fill="F2F2F2" w:themeFill="background1" w:themeFillShade="F2"/>
            <w:tcMar>
              <w:top w:w="15" w:type="dxa"/>
              <w:left w:w="15" w:type="dxa"/>
              <w:bottom w:w="15" w:type="dxa"/>
              <w:right w:w="15" w:type="dxa"/>
            </w:tcMar>
            <w:vAlign w:val="center"/>
          </w:tcPr>
          <w:p w:rsidRPr="00D75194" w:rsidR="3DA063DA" w:rsidRDefault="3DA063DA" w14:paraId="1F052379" w14:textId="40E5A501">
            <w:pPr>
              <w:spacing w:after="0" w:line="257" w:lineRule="auto"/>
              <w:jc w:val="left"/>
              <w:rPr>
                <w:rFonts w:eastAsia="Segoe UI" w:cs="Segoe UI"/>
                <w:b/>
                <w:bCs/>
                <w:sz w:val="16"/>
                <w:szCs w:val="16"/>
              </w:rPr>
            </w:pPr>
            <w:r w:rsidRPr="00D75194">
              <w:rPr>
                <w:rFonts w:eastAsia="Segoe UI" w:cs="Segoe UI"/>
                <w:b/>
                <w:bCs/>
                <w:sz w:val="16"/>
                <w:szCs w:val="16"/>
              </w:rPr>
              <w:t>Data source</w:t>
            </w:r>
          </w:p>
        </w:tc>
        <w:tc>
          <w:tcPr>
            <w:tcW w:w="1975"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3E74594B" w14:paraId="0237A11B" w14:textId="4E3EAC3C">
            <w:pPr>
              <w:spacing w:after="0" w:line="257" w:lineRule="auto"/>
              <w:ind w:left="57" w:right="57"/>
              <w:jc w:val="left"/>
              <w:rPr>
                <w:rFonts w:eastAsia="Segoe UI" w:cs="Segoe UI"/>
                <w:sz w:val="16"/>
                <w:szCs w:val="16"/>
              </w:rPr>
            </w:pPr>
            <w:r w:rsidRPr="65EC14CC">
              <w:rPr>
                <w:rFonts w:eastAsia="Segoe UI" w:cs="Segoe UI"/>
                <w:sz w:val="16"/>
                <w:szCs w:val="16"/>
              </w:rPr>
              <w:t xml:space="preserve">CASA </w:t>
            </w:r>
            <w:r w:rsidRPr="65EC14CC" w:rsidR="00EE79D7">
              <w:rPr>
                <w:rFonts w:eastAsia="Segoe UI" w:cs="Segoe UI"/>
                <w:sz w:val="16"/>
                <w:szCs w:val="16"/>
              </w:rPr>
              <w:t>l</w:t>
            </w:r>
            <w:r w:rsidRPr="65EC14CC">
              <w:rPr>
                <w:rFonts w:eastAsia="Segoe UI" w:cs="Segoe UI"/>
                <w:sz w:val="16"/>
                <w:szCs w:val="16"/>
              </w:rPr>
              <w:t>ogframe</w:t>
            </w:r>
          </w:p>
          <w:p w:rsidRPr="00D75194" w:rsidR="3E74594B" w:rsidP="002B14B9" w:rsidRDefault="00655DE9" w14:paraId="46A40DC0" w14:textId="325175AC">
            <w:pPr>
              <w:spacing w:after="0" w:line="257" w:lineRule="auto"/>
              <w:ind w:left="57" w:right="57"/>
              <w:jc w:val="left"/>
              <w:rPr>
                <w:rFonts w:eastAsia="Segoe UI" w:cs="Segoe UI"/>
                <w:sz w:val="16"/>
                <w:szCs w:val="16"/>
              </w:rPr>
            </w:pPr>
            <w:r w:rsidRPr="65EC14CC">
              <w:rPr>
                <w:rFonts w:eastAsia="Segoe UI" w:cs="Segoe UI"/>
                <w:sz w:val="16"/>
                <w:szCs w:val="16"/>
              </w:rPr>
              <w:t>Master sheet</w:t>
            </w:r>
            <w:r w:rsidRPr="65EC14CC" w:rsidR="3E74594B">
              <w:rPr>
                <w:rFonts w:eastAsia="Segoe UI" w:cs="Segoe UI"/>
                <w:sz w:val="16"/>
                <w:szCs w:val="16"/>
              </w:rPr>
              <w:t xml:space="preserve"> MEL Data</w:t>
            </w:r>
            <w:r w:rsidRPr="65EC14CC" w:rsidDel="006B601D" w:rsidR="3E74594B">
              <w:rPr>
                <w:rFonts w:eastAsia="Segoe UI" w:cs="Segoe UI"/>
                <w:sz w:val="16"/>
                <w:szCs w:val="16"/>
              </w:rPr>
              <w:t xml:space="preserve"> </w:t>
            </w:r>
          </w:p>
        </w:tc>
        <w:tc>
          <w:tcPr>
            <w:tcW w:w="1975"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00655DE9" w14:paraId="16AC894E" w14:textId="56EBB722">
            <w:pPr>
              <w:spacing w:after="0" w:line="257" w:lineRule="auto"/>
              <w:ind w:left="57" w:right="57"/>
              <w:jc w:val="left"/>
              <w:rPr>
                <w:rFonts w:eastAsia="Segoe UI" w:cs="Segoe UI"/>
                <w:sz w:val="16"/>
                <w:szCs w:val="16"/>
              </w:rPr>
            </w:pPr>
            <w:r w:rsidRPr="00D75194">
              <w:rPr>
                <w:rFonts w:eastAsia="Segoe UI" w:cs="Segoe UI"/>
                <w:sz w:val="16"/>
                <w:szCs w:val="16"/>
              </w:rPr>
              <w:t>Master sheet</w:t>
            </w:r>
            <w:r w:rsidRPr="00D75194" w:rsidR="3E74594B">
              <w:rPr>
                <w:rFonts w:eastAsia="Segoe UI" w:cs="Segoe UI"/>
                <w:sz w:val="16"/>
                <w:szCs w:val="16"/>
              </w:rPr>
              <w:t xml:space="preserve"> MEL Data </w:t>
            </w:r>
          </w:p>
        </w:tc>
        <w:tc>
          <w:tcPr>
            <w:tcW w:w="1975"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00655DE9" w14:paraId="64DF14A2" w14:textId="5A2E6D34">
            <w:pPr>
              <w:spacing w:after="0" w:line="257" w:lineRule="auto"/>
              <w:ind w:left="57" w:right="57"/>
              <w:jc w:val="left"/>
              <w:rPr>
                <w:rFonts w:eastAsia="Segoe UI" w:cs="Segoe UI"/>
                <w:sz w:val="16"/>
                <w:szCs w:val="16"/>
              </w:rPr>
            </w:pPr>
            <w:r w:rsidRPr="00D75194">
              <w:rPr>
                <w:rFonts w:eastAsia="Segoe UI" w:cs="Segoe UI"/>
                <w:sz w:val="16"/>
                <w:szCs w:val="16"/>
              </w:rPr>
              <w:t>Master sheet</w:t>
            </w:r>
            <w:r w:rsidRPr="00D75194" w:rsidR="3E74594B">
              <w:rPr>
                <w:rFonts w:eastAsia="Segoe UI" w:cs="Segoe UI"/>
                <w:sz w:val="16"/>
                <w:szCs w:val="16"/>
              </w:rPr>
              <w:t xml:space="preserve"> MEL Data</w:t>
            </w:r>
          </w:p>
          <w:p w:rsidRPr="00D75194" w:rsidR="3E74594B" w:rsidP="002B14B9" w:rsidRDefault="3E74594B" w14:paraId="20190CDC" w14:textId="4321A3CB">
            <w:pPr>
              <w:spacing w:after="0" w:line="257" w:lineRule="auto"/>
              <w:ind w:left="57" w:right="57"/>
              <w:jc w:val="left"/>
              <w:rPr>
                <w:rFonts w:eastAsia="Segoe UI" w:cs="Segoe UI"/>
                <w:sz w:val="16"/>
                <w:szCs w:val="16"/>
              </w:rPr>
            </w:pPr>
            <w:r w:rsidRPr="00D75194">
              <w:rPr>
                <w:rFonts w:eastAsia="Segoe UI" w:cs="Segoe UI"/>
                <w:sz w:val="16"/>
                <w:szCs w:val="16"/>
              </w:rPr>
              <w:t>Bi-monthly invoices to DESNZ</w:t>
            </w:r>
          </w:p>
        </w:tc>
        <w:tc>
          <w:tcPr>
            <w:tcW w:w="1976" w:type="dxa"/>
            <w:tcBorders>
              <w:top w:val="single" w:color="000000" w:sz="12" w:space="0"/>
              <w:left w:val="single" w:color="000000" w:sz="12" w:space="0"/>
              <w:bottom w:val="single" w:color="000000" w:sz="12" w:space="0"/>
              <w:right w:val="single" w:color="000000" w:sz="12" w:space="0"/>
            </w:tcBorders>
            <w:tcMar>
              <w:top w:w="15" w:type="dxa"/>
              <w:left w:w="15" w:type="dxa"/>
              <w:bottom w:w="15" w:type="dxa"/>
              <w:right w:w="15" w:type="dxa"/>
            </w:tcMar>
            <w:vAlign w:val="center"/>
          </w:tcPr>
          <w:p w:rsidRPr="00D75194" w:rsidR="3E74594B" w:rsidP="002B14B9" w:rsidRDefault="00655DE9" w14:paraId="0678F4D3" w14:textId="6F0D95F5">
            <w:pPr>
              <w:spacing w:after="0" w:line="257" w:lineRule="auto"/>
              <w:ind w:left="57" w:right="57"/>
              <w:jc w:val="left"/>
              <w:rPr>
                <w:rFonts w:eastAsia="Segoe UI" w:cs="Segoe UI"/>
                <w:sz w:val="16"/>
                <w:szCs w:val="16"/>
              </w:rPr>
            </w:pPr>
            <w:r w:rsidRPr="00D75194">
              <w:rPr>
                <w:rFonts w:eastAsia="Segoe UI" w:cs="Segoe UI"/>
                <w:sz w:val="16"/>
                <w:szCs w:val="16"/>
              </w:rPr>
              <w:t>Master sheet</w:t>
            </w:r>
            <w:r w:rsidRPr="00D75194" w:rsidR="3E74594B">
              <w:rPr>
                <w:rFonts w:eastAsia="Segoe UI" w:cs="Segoe UI"/>
                <w:sz w:val="16"/>
                <w:szCs w:val="16"/>
              </w:rPr>
              <w:t xml:space="preserve"> MEL Data</w:t>
            </w:r>
          </w:p>
        </w:tc>
      </w:tr>
    </w:tbl>
    <w:p w:rsidRPr="00D75194" w:rsidR="00083A6A" w:rsidP="008E2151" w:rsidRDefault="1940839D" w14:paraId="78C4713D" w14:textId="405309FF">
      <w:pPr>
        <w:spacing w:after="160" w:line="257" w:lineRule="auto"/>
        <w:rPr>
          <w:rFonts w:eastAsia="Segoe UI" w:cs="Segoe UI"/>
        </w:rPr>
      </w:pPr>
      <w:r w:rsidRPr="00D75194">
        <w:rPr>
          <w:rFonts w:eastAsia="Segoe UI" w:cs="Segoe UI"/>
          <w:b/>
          <w:bCs/>
        </w:rPr>
        <w:t>CASA II</w:t>
      </w:r>
      <w:r w:rsidRPr="00D75194" w:rsidR="00EE79D7">
        <w:rPr>
          <w:rFonts w:eastAsia="Segoe UI" w:cs="Segoe UI"/>
          <w:b/>
          <w:bCs/>
        </w:rPr>
        <w:t xml:space="preserve"> has</w:t>
      </w:r>
      <w:r w:rsidRPr="00D75194">
        <w:rPr>
          <w:rFonts w:eastAsia="Segoe UI" w:cs="Segoe UI"/>
          <w:b/>
          <w:bCs/>
        </w:rPr>
        <w:t xml:space="preserve"> exceeded expectations on gender and youth inclusion</w:t>
      </w:r>
      <w:r w:rsidRPr="00D75194">
        <w:rPr>
          <w:rFonts w:eastAsia="Segoe UI" w:cs="Segoe UI"/>
        </w:rPr>
        <w:t>, achieving strong results across key indicators and demonstrating a clear commitment to supporting underrepresented groups.</w:t>
      </w:r>
    </w:p>
    <w:p w:rsidRPr="00D75194" w:rsidR="00083A6A" w:rsidP="00D463A8" w:rsidRDefault="658384B5" w14:paraId="42909548" w14:textId="6DCF5106">
      <w:pPr>
        <w:spacing w:before="240"/>
        <w:rPr>
          <w:rFonts w:eastAsia="Segoe UI" w:cs="Segoe UI"/>
        </w:rPr>
      </w:pPr>
      <w:r w:rsidRPr="00D75194">
        <w:rPr>
          <w:rFonts w:eastAsia="Segoe UI" w:cs="Segoe UI"/>
        </w:rPr>
        <w:t>Of the 318 negotiators supported during Year 1 and Year 2, 45% were women</w:t>
      </w:r>
      <w:r w:rsidRPr="00D75194" w:rsidR="00EE79D7">
        <w:rPr>
          <w:rFonts w:eastAsia="Segoe UI" w:cs="Segoe UI"/>
        </w:rPr>
        <w:t>,</w:t>
      </w:r>
      <w:r w:rsidRPr="00D75194" w:rsidR="525CC97C">
        <w:rPr>
          <w:rFonts w:eastAsia="Segoe UI" w:cs="Segoe UI"/>
        </w:rPr>
        <w:t xml:space="preserve"> against a target</w:t>
      </w:r>
      <w:r w:rsidRPr="00D75194" w:rsidR="1940839D">
        <w:rPr>
          <w:rFonts w:eastAsia="Segoe UI" w:cs="Segoe UI"/>
        </w:rPr>
        <w:t xml:space="preserve"> of </w:t>
      </w:r>
      <w:r w:rsidRPr="00D75194" w:rsidR="525CC97C">
        <w:rPr>
          <w:rFonts w:eastAsia="Segoe UI" w:cs="Segoe UI"/>
        </w:rPr>
        <w:t>40%</w:t>
      </w:r>
      <w:r w:rsidRPr="00D75194" w:rsidR="15025E40">
        <w:rPr>
          <w:rFonts w:eastAsia="Segoe UI" w:cs="Segoe UI"/>
        </w:rPr>
        <w:t>. Year 2 saw a marked rise in the proportion of women supported (from 41% to 52%</w:t>
      </w:r>
      <w:r w:rsidRPr="00D75194" w:rsidR="00F61CDA">
        <w:rPr>
          <w:rFonts w:eastAsia="Segoe UI" w:cs="Segoe UI"/>
        </w:rPr>
        <w:t>)</w:t>
      </w:r>
      <w:r w:rsidRPr="00D75194" w:rsidR="15025E40">
        <w:rPr>
          <w:rFonts w:eastAsia="Segoe UI" w:cs="Segoe UI"/>
        </w:rPr>
        <w:t>, suggestin</w:t>
      </w:r>
      <w:r w:rsidRPr="00D75194" w:rsidR="253D519D">
        <w:rPr>
          <w:rFonts w:eastAsia="Segoe UI" w:cs="Segoe UI"/>
        </w:rPr>
        <w:t>g</w:t>
      </w:r>
      <w:r w:rsidRPr="00D75194" w:rsidR="15025E40">
        <w:rPr>
          <w:rFonts w:eastAsia="Segoe UI" w:cs="Segoe UI"/>
        </w:rPr>
        <w:t xml:space="preserve"> that TPs </w:t>
      </w:r>
      <w:r w:rsidRPr="65EC14CC" w:rsidR="0073671E">
        <w:rPr>
          <w:rFonts w:eastAsia="Segoe UI" w:cs="Segoe UI"/>
        </w:rPr>
        <w:t>were</w:t>
      </w:r>
      <w:r w:rsidRPr="00D75194" w:rsidR="6258396C">
        <w:rPr>
          <w:rFonts w:eastAsia="Segoe UI" w:cs="Segoe UI"/>
        </w:rPr>
        <w:t xml:space="preserve"> able to </w:t>
      </w:r>
      <w:r w:rsidRPr="00D75194" w:rsidR="5B060F82">
        <w:rPr>
          <w:rFonts w:eastAsia="Segoe UI" w:cs="Segoe UI"/>
        </w:rPr>
        <w:t xml:space="preserve">target the support offering better. </w:t>
      </w:r>
      <w:r w:rsidRPr="00D75194" w:rsidR="1940839D">
        <w:rPr>
          <w:rFonts w:eastAsia="Segoe UI" w:cs="Segoe UI"/>
        </w:rPr>
        <w:t>Year 2 saw improvements in gender representation, contributing to the programme’s achievement of internal targets.</w:t>
      </w:r>
    </w:p>
    <w:p w:rsidRPr="00D75194" w:rsidR="00083A6A" w:rsidP="00D463A8" w:rsidRDefault="1940839D" w14:paraId="34AA0DD4" w14:textId="0E505202">
      <w:pPr>
        <w:spacing w:before="240"/>
        <w:rPr>
          <w:rFonts w:eastAsia="Segoe UI" w:cs="Segoe UI"/>
        </w:rPr>
      </w:pPr>
      <w:r w:rsidRPr="00D75194">
        <w:rPr>
          <w:rFonts w:eastAsia="Segoe UI" w:cs="Segoe UI"/>
        </w:rPr>
        <w:t xml:space="preserve">Support involving women negotiators </w:t>
      </w:r>
      <w:r w:rsidRPr="00D75194" w:rsidR="00B071E0">
        <w:rPr>
          <w:rFonts w:eastAsia="Segoe UI" w:cs="Segoe UI"/>
        </w:rPr>
        <w:t xml:space="preserve">has been </w:t>
      </w:r>
      <w:r w:rsidRPr="00D75194">
        <w:rPr>
          <w:rFonts w:eastAsia="Segoe UI" w:cs="Segoe UI"/>
        </w:rPr>
        <w:t xml:space="preserve">distributed across several </w:t>
      </w:r>
      <w:r w:rsidRPr="65EC14CC" w:rsidR="00690A66">
        <w:rPr>
          <w:rFonts w:eastAsia="Segoe UI" w:cs="Segoe UI"/>
        </w:rPr>
        <w:t>TP</w:t>
      </w:r>
      <w:r w:rsidRPr="65EC14CC">
        <w:rPr>
          <w:rFonts w:eastAsia="Segoe UI" w:cs="Segoe UI"/>
        </w:rPr>
        <w:t>s.</w:t>
      </w:r>
      <w:r w:rsidRPr="00D75194">
        <w:rPr>
          <w:rFonts w:eastAsia="Segoe UI" w:cs="Segoe UI"/>
        </w:rPr>
        <w:t xml:space="preserve"> </w:t>
      </w:r>
      <w:r w:rsidRPr="00D75194" w:rsidR="095B950C">
        <w:rPr>
          <w:rFonts w:eastAsia="Segoe UI" w:cs="Segoe UI"/>
        </w:rPr>
        <w:t xml:space="preserve">Of the total women negotiators supported, </w:t>
      </w:r>
      <w:r w:rsidRPr="00D75194">
        <w:rPr>
          <w:rFonts w:eastAsia="Segoe UI" w:cs="Segoe UI"/>
        </w:rPr>
        <w:t xml:space="preserve">LRI (29.1%) and Climate Analytics (27.0%) </w:t>
      </w:r>
      <w:r w:rsidRPr="65EC14CC">
        <w:rPr>
          <w:rFonts w:eastAsia="Segoe UI" w:cs="Segoe UI"/>
        </w:rPr>
        <w:t>account</w:t>
      </w:r>
      <w:r w:rsidRPr="00D75194">
        <w:rPr>
          <w:rFonts w:eastAsia="Segoe UI" w:cs="Segoe UI"/>
        </w:rPr>
        <w:t xml:space="preserve"> for the largest shares, followed by CIES (11.7%), </w:t>
      </w:r>
      <w:r w:rsidRPr="65EC14CC" w:rsidR="00494461">
        <w:rPr>
          <w:rFonts w:eastAsia="Segoe UI" w:cs="Segoe UI"/>
        </w:rPr>
        <w:t>Independent</w:t>
      </w:r>
      <w:r w:rsidRPr="00D75194" w:rsidR="00494461">
        <w:rPr>
          <w:rFonts w:eastAsia="Segoe UI" w:cs="Segoe UI"/>
        </w:rPr>
        <w:t xml:space="preserve"> Diplomat</w:t>
      </w:r>
      <w:r w:rsidRPr="00D75194">
        <w:rPr>
          <w:rFonts w:eastAsia="Segoe UI" w:cs="Segoe UI"/>
        </w:rPr>
        <w:t xml:space="preserve"> (9.7%), and IIED (7.7%). This indicates that inclusive delivery </w:t>
      </w:r>
      <w:r w:rsidRPr="00D75194" w:rsidR="009E6F88">
        <w:rPr>
          <w:rFonts w:eastAsia="Segoe UI" w:cs="Segoe UI"/>
        </w:rPr>
        <w:t xml:space="preserve">has been </w:t>
      </w:r>
      <w:r w:rsidRPr="00D75194">
        <w:rPr>
          <w:rFonts w:eastAsia="Segoe UI" w:cs="Segoe UI"/>
        </w:rPr>
        <w:t>taken up across a range of partners.</w:t>
      </w:r>
    </w:p>
    <w:p w:rsidRPr="00D75194" w:rsidR="00083A6A" w:rsidP="00D463A8" w:rsidRDefault="1940839D" w14:paraId="483279D5" w14:textId="5D2CECF5">
      <w:pPr>
        <w:spacing w:before="240"/>
        <w:rPr>
          <w:rFonts w:eastAsia="Segoe UI" w:cs="Segoe UI"/>
        </w:rPr>
      </w:pPr>
      <w:r w:rsidRPr="00D75194">
        <w:rPr>
          <w:rFonts w:eastAsia="Segoe UI" w:cs="Segoe UI"/>
        </w:rPr>
        <w:t xml:space="preserve">Within the </w:t>
      </w:r>
      <w:r w:rsidRPr="00D75194" w:rsidR="00FB6482">
        <w:rPr>
          <w:rFonts w:eastAsia="Segoe UI" w:cs="Segoe UI"/>
        </w:rPr>
        <w:t>OF</w:t>
      </w:r>
      <w:r w:rsidRPr="00D75194">
        <w:rPr>
          <w:rFonts w:eastAsia="Segoe UI" w:cs="Segoe UI"/>
        </w:rPr>
        <w:t xml:space="preserve">, 41.7% of negotiators supported </w:t>
      </w:r>
      <w:r w:rsidRPr="00D75194" w:rsidR="008619D0">
        <w:rPr>
          <w:rFonts w:eastAsia="Segoe UI" w:cs="Segoe UI"/>
        </w:rPr>
        <w:t xml:space="preserve">have been </w:t>
      </w:r>
      <w:r w:rsidRPr="00D75194">
        <w:rPr>
          <w:rFonts w:eastAsia="Segoe UI" w:cs="Segoe UI"/>
        </w:rPr>
        <w:t xml:space="preserve">women and/or youth—slightly below the programme-wide average of 58.7% but still reflecting a significant level of inclusion. However, only </w:t>
      </w:r>
      <w:r w:rsidRPr="00D75194" w:rsidR="009A061B">
        <w:rPr>
          <w:rFonts w:eastAsia="Segoe UI" w:cs="Segoe UI"/>
        </w:rPr>
        <w:t>two</w:t>
      </w:r>
      <w:r w:rsidRPr="00D75194">
        <w:rPr>
          <w:rFonts w:eastAsia="Segoe UI" w:cs="Segoe UI"/>
        </w:rPr>
        <w:t xml:space="preserve"> of the 10 youth </w:t>
      </w:r>
      <w:r w:rsidRPr="00D75194" w:rsidR="44D0D979">
        <w:rPr>
          <w:rFonts w:eastAsia="Segoe UI" w:cs="Segoe UI"/>
        </w:rPr>
        <w:t>negotiators receiving direct negotiation support through the OF</w:t>
      </w:r>
      <w:r w:rsidRPr="00D75194">
        <w:rPr>
          <w:rFonts w:eastAsia="Segoe UI" w:cs="Segoe UI"/>
        </w:rPr>
        <w:t xml:space="preserve"> </w:t>
      </w:r>
      <w:r w:rsidRPr="00D75194" w:rsidR="006F15C9">
        <w:rPr>
          <w:rFonts w:eastAsia="Segoe UI" w:cs="Segoe UI"/>
        </w:rPr>
        <w:t xml:space="preserve">have been </w:t>
      </w:r>
      <w:r w:rsidRPr="00D75194">
        <w:rPr>
          <w:rFonts w:eastAsia="Segoe UI" w:cs="Segoe UI"/>
        </w:rPr>
        <w:t xml:space="preserve">women, suggesting </w:t>
      </w:r>
      <w:r w:rsidRPr="00D75194" w:rsidR="6A8D61E4">
        <w:rPr>
          <w:rFonts w:eastAsia="Segoe UI" w:cs="Segoe UI"/>
        </w:rPr>
        <w:t xml:space="preserve">a </w:t>
      </w:r>
      <w:r w:rsidRPr="00D75194">
        <w:rPr>
          <w:rFonts w:eastAsia="Segoe UI" w:cs="Segoe UI"/>
        </w:rPr>
        <w:t xml:space="preserve">more limited gender balance within that group. </w:t>
      </w:r>
      <w:r w:rsidRPr="00D75194" w:rsidR="08CDC42D">
        <w:rPr>
          <w:rFonts w:eastAsia="Segoe UI" w:cs="Segoe UI"/>
        </w:rPr>
        <w:t>However, it sh</w:t>
      </w:r>
      <w:r w:rsidRPr="00D75194" w:rsidR="201866EF">
        <w:rPr>
          <w:rFonts w:eastAsia="Segoe UI" w:cs="Segoe UI"/>
        </w:rPr>
        <w:t>o</w:t>
      </w:r>
      <w:r w:rsidRPr="00D75194" w:rsidR="6DFCBC2A">
        <w:rPr>
          <w:rFonts w:eastAsia="Segoe UI" w:cs="Segoe UI"/>
        </w:rPr>
        <w:t>u</w:t>
      </w:r>
      <w:r w:rsidRPr="00D75194" w:rsidR="08CDC42D">
        <w:rPr>
          <w:rFonts w:eastAsia="Segoe UI" w:cs="Segoe UI"/>
        </w:rPr>
        <w:t>ld be noted that t</w:t>
      </w:r>
      <w:r w:rsidRPr="00D75194">
        <w:rPr>
          <w:rFonts w:eastAsia="Segoe UI" w:cs="Segoe UI"/>
        </w:rPr>
        <w:t xml:space="preserve">he </w:t>
      </w:r>
      <w:r w:rsidRPr="00D75194" w:rsidR="00FB6482">
        <w:rPr>
          <w:rFonts w:eastAsia="Segoe UI" w:cs="Segoe UI"/>
        </w:rPr>
        <w:t>OF</w:t>
      </w:r>
      <w:r w:rsidRPr="00D75194">
        <w:rPr>
          <w:rFonts w:eastAsia="Segoe UI" w:cs="Segoe UI"/>
        </w:rPr>
        <w:t xml:space="preserve"> dataset is incomplet</w:t>
      </w:r>
      <w:r w:rsidRPr="00D75194" w:rsidR="009B3397">
        <w:rPr>
          <w:rFonts w:eastAsia="Segoe UI" w:cs="Segoe UI"/>
        </w:rPr>
        <w:t>e</w:t>
      </w:r>
      <w:r w:rsidRPr="00D75194" w:rsidR="00AB447D">
        <w:rPr>
          <w:rFonts w:eastAsia="Segoe UI" w:cs="Segoe UI"/>
        </w:rPr>
        <w:t>,</w:t>
      </w:r>
      <w:r w:rsidRPr="00D75194" w:rsidR="00D85904">
        <w:rPr>
          <w:rStyle w:val="FootnoteReference"/>
          <w:rFonts w:eastAsia="Segoe UI" w:cs="Segoe UI"/>
        </w:rPr>
        <w:footnoteReference w:id="14"/>
      </w:r>
      <w:r w:rsidRPr="00D75194">
        <w:rPr>
          <w:rFonts w:eastAsia="Segoe UI" w:cs="Segoe UI"/>
        </w:rPr>
        <w:t xml:space="preserve"> so actual representation </w:t>
      </w:r>
      <w:r w:rsidRPr="00D75194" w:rsidR="34E3EE70">
        <w:rPr>
          <w:rFonts w:eastAsia="Segoe UI" w:cs="Segoe UI"/>
        </w:rPr>
        <w:t>of both youth and women</w:t>
      </w:r>
      <w:r w:rsidRPr="00D75194">
        <w:rPr>
          <w:rFonts w:eastAsia="Segoe UI" w:cs="Segoe UI"/>
        </w:rPr>
        <w:t xml:space="preserve"> may be higher than recorded.</w:t>
      </w:r>
    </w:p>
    <w:p w:rsidRPr="00D75194" w:rsidR="00083A6A" w:rsidP="00D463A8" w:rsidRDefault="1940839D" w14:paraId="13C84C89" w14:textId="7C202796">
      <w:pPr>
        <w:spacing w:before="240"/>
        <w:rPr>
          <w:rFonts w:eastAsia="Segoe UI" w:cs="Segoe UI"/>
        </w:rPr>
      </w:pPr>
      <w:r w:rsidRPr="00D75194">
        <w:rPr>
          <w:rFonts w:eastAsia="Segoe UI" w:cs="Segoe UI"/>
        </w:rPr>
        <w:t>The per capita cost of supporting youth negotiators fell within 93–95.3% of budgeted levels, with the range reflecting slight differences in calculations between LEP and DAI. This indicates efficient use of resources to support targeted inclusion.</w:t>
      </w:r>
    </w:p>
    <w:p w:rsidRPr="00D75194" w:rsidR="0061364D" w:rsidP="008071DF" w:rsidRDefault="77CDAF80" w14:paraId="5703CD2F" w14:textId="6F7DCEEF">
      <w:pPr>
        <w:spacing w:before="240"/>
        <w:rPr>
          <w:rFonts w:eastAsia="Segoe UI" w:cs="Segoe UI"/>
        </w:rPr>
      </w:pPr>
      <w:r w:rsidRPr="594AC4B1">
        <w:rPr>
          <w:rFonts w:eastAsia="Segoe UI" w:cs="Segoe UI"/>
        </w:rPr>
        <w:t xml:space="preserve">Based on the available data, </w:t>
      </w:r>
      <w:r w:rsidRPr="594AC4B1" w:rsidR="1940839D">
        <w:rPr>
          <w:rFonts w:eastAsia="Segoe UI" w:cs="Segoe UI"/>
          <w:b/>
          <w:bCs/>
        </w:rPr>
        <w:t xml:space="preserve">CASA II </w:t>
      </w:r>
      <w:r w:rsidRPr="594AC4B1" w:rsidR="007D65F5">
        <w:rPr>
          <w:rFonts w:eastAsia="Segoe UI" w:cs="Segoe UI"/>
          <w:b/>
          <w:bCs/>
        </w:rPr>
        <w:t xml:space="preserve">has </w:t>
      </w:r>
      <w:r w:rsidRPr="594AC4B1" w:rsidR="1940839D">
        <w:rPr>
          <w:rFonts w:eastAsia="Segoe UI" w:cs="Segoe UI"/>
          <w:b/>
          <w:bCs/>
        </w:rPr>
        <w:t>consistently delivered support to women and youth across multiple workstreams.</w:t>
      </w:r>
      <w:r w:rsidRPr="594AC4B1" w:rsidR="1940839D">
        <w:rPr>
          <w:rFonts w:eastAsia="Segoe UI" w:cs="Segoe UI"/>
        </w:rPr>
        <w:t xml:space="preserve"> The results justify a rating of “Exceeded expectations” under the </w:t>
      </w:r>
      <w:r w:rsidRPr="594AC4B1" w:rsidR="001018F7">
        <w:rPr>
          <w:rFonts w:eastAsia="Segoe UI" w:cs="Segoe UI"/>
        </w:rPr>
        <w:t xml:space="preserve">equity </w:t>
      </w:r>
      <w:r w:rsidRPr="594AC4B1" w:rsidR="1940839D">
        <w:rPr>
          <w:rFonts w:eastAsia="Segoe UI" w:cs="Segoe UI"/>
        </w:rPr>
        <w:t>criterion</w:t>
      </w:r>
      <w:r w:rsidRPr="594AC4B1" w:rsidR="6F214966">
        <w:rPr>
          <w:rFonts w:eastAsia="Segoe UI" w:cs="Segoe UI"/>
        </w:rPr>
        <w:t xml:space="preserve">, though this </w:t>
      </w:r>
      <w:r w:rsidRPr="594AC4B1" w:rsidR="008A61D9">
        <w:rPr>
          <w:rFonts w:eastAsia="Segoe UI" w:cs="Segoe UI"/>
        </w:rPr>
        <w:t xml:space="preserve">has </w:t>
      </w:r>
      <w:r w:rsidRPr="594AC4B1" w:rsidR="6F214966">
        <w:rPr>
          <w:rFonts w:eastAsia="Segoe UI" w:cs="Segoe UI"/>
        </w:rPr>
        <w:t>not always translate</w:t>
      </w:r>
      <w:r w:rsidRPr="594AC4B1" w:rsidR="008A61D9">
        <w:rPr>
          <w:rFonts w:eastAsia="Segoe UI" w:cs="Segoe UI"/>
        </w:rPr>
        <w:t>d</w:t>
      </w:r>
      <w:r w:rsidRPr="594AC4B1" w:rsidR="6F214966">
        <w:rPr>
          <w:rFonts w:eastAsia="Segoe UI" w:cs="Segoe UI"/>
        </w:rPr>
        <w:t xml:space="preserve"> into perceived change, as evidenced by the TPs</w:t>
      </w:r>
      <w:r w:rsidRPr="594AC4B1" w:rsidR="00B95D6C">
        <w:rPr>
          <w:rFonts w:eastAsia="Segoe UI" w:cs="Segoe UI"/>
        </w:rPr>
        <w:t>’</w:t>
      </w:r>
      <w:r w:rsidRPr="594AC4B1" w:rsidR="6F214966">
        <w:rPr>
          <w:rFonts w:eastAsia="Segoe UI" w:cs="Segoe UI"/>
        </w:rPr>
        <w:t xml:space="preserve"> responses</w:t>
      </w:r>
      <w:r w:rsidRPr="594AC4B1" w:rsidR="00C439ED">
        <w:rPr>
          <w:rFonts w:eastAsia="Segoe UI" w:cs="Segoe UI"/>
        </w:rPr>
        <w:t xml:space="preserve"> in the</w:t>
      </w:r>
      <w:r w:rsidRPr="594AC4B1" w:rsidR="6F214966">
        <w:rPr>
          <w:rFonts w:eastAsia="Segoe UI" w:cs="Segoe UI"/>
        </w:rPr>
        <w:t xml:space="preserve"> KPI</w:t>
      </w:r>
      <w:r w:rsidRPr="594AC4B1" w:rsidR="00D01D4B">
        <w:rPr>
          <w:rFonts w:eastAsia="Segoe UI" w:cs="Segoe UI"/>
        </w:rPr>
        <w:t xml:space="preserve"> </w:t>
      </w:r>
      <w:r w:rsidRPr="594AC4B1" w:rsidR="6F214966">
        <w:rPr>
          <w:rFonts w:eastAsia="Segoe UI" w:cs="Segoe UI"/>
        </w:rPr>
        <w:t>15 assessment</w:t>
      </w:r>
      <w:r w:rsidRPr="594AC4B1" w:rsidR="3117C869">
        <w:rPr>
          <w:rFonts w:eastAsia="Segoe UI" w:cs="Segoe UI"/>
        </w:rPr>
        <w:t xml:space="preserve">, where, for example, </w:t>
      </w:r>
      <w:r w:rsidR="00A3066D">
        <w:rPr>
          <w:rFonts w:eastAsia="Segoe UI" w:cs="Segoe UI"/>
        </w:rPr>
        <w:t>two TPs</w:t>
      </w:r>
      <w:r w:rsidRPr="594AC4B1" w:rsidR="00494461">
        <w:rPr>
          <w:rFonts w:eastAsia="Segoe UI" w:cs="Segoe UI"/>
        </w:rPr>
        <w:t xml:space="preserve"> </w:t>
      </w:r>
      <w:r w:rsidRPr="594AC4B1" w:rsidR="65F38840">
        <w:rPr>
          <w:rFonts w:eastAsia="Segoe UI" w:cs="Segoe UI"/>
        </w:rPr>
        <w:t>assess</w:t>
      </w:r>
      <w:r w:rsidR="00A3066D">
        <w:rPr>
          <w:rFonts w:eastAsia="Segoe UI" w:cs="Segoe UI"/>
        </w:rPr>
        <w:t>ed</w:t>
      </w:r>
      <w:r w:rsidRPr="594AC4B1" w:rsidR="65F38840">
        <w:rPr>
          <w:rFonts w:eastAsia="Segoe UI" w:cs="Segoe UI"/>
        </w:rPr>
        <w:t xml:space="preserve"> change relating to women’s participation in AOSIS negotiation activities as </w:t>
      </w:r>
      <w:r w:rsidRPr="594AC4B1" w:rsidR="00466B55">
        <w:rPr>
          <w:rFonts w:eastAsia="Segoe UI" w:cs="Segoe UI"/>
        </w:rPr>
        <w:t>“</w:t>
      </w:r>
      <w:r w:rsidRPr="594AC4B1" w:rsidR="2648B78A">
        <w:rPr>
          <w:rFonts w:eastAsia="Segoe UI" w:cs="Segoe UI"/>
        </w:rPr>
        <w:t xml:space="preserve">no </w:t>
      </w:r>
      <w:r w:rsidRPr="594AC4B1" w:rsidR="00466B55">
        <w:rPr>
          <w:rFonts w:eastAsia="Segoe UI" w:cs="Segoe UI"/>
        </w:rPr>
        <w:t xml:space="preserve">change” </w:t>
      </w:r>
      <w:r w:rsidRPr="594AC4B1" w:rsidR="2648B78A">
        <w:rPr>
          <w:rFonts w:eastAsia="Segoe UI" w:cs="Segoe UI"/>
        </w:rPr>
        <w:t xml:space="preserve">or </w:t>
      </w:r>
      <w:r w:rsidRPr="594AC4B1" w:rsidR="00466B55">
        <w:rPr>
          <w:rFonts w:eastAsia="Segoe UI" w:cs="Segoe UI"/>
        </w:rPr>
        <w:t>“emergent”</w:t>
      </w:r>
      <w:r w:rsidRPr="594AC4B1" w:rsidR="2648B78A">
        <w:rPr>
          <w:rFonts w:eastAsia="Segoe UI" w:cs="Segoe UI"/>
        </w:rPr>
        <w:t xml:space="preserve">. </w:t>
      </w:r>
      <w:r w:rsidRPr="594AC4B1" w:rsidR="02C73193">
        <w:rPr>
          <w:rFonts w:eastAsia="Segoe UI" w:cs="Segoe UI"/>
        </w:rPr>
        <w:t>This pattern is also seen in the overachievement on logframe outputs</w:t>
      </w:r>
      <w:r w:rsidRPr="594AC4B1" w:rsidR="007B5A75">
        <w:rPr>
          <w:rFonts w:eastAsia="Segoe UI" w:cs="Segoe UI"/>
        </w:rPr>
        <w:t>,</w:t>
      </w:r>
      <w:r w:rsidRPr="594AC4B1" w:rsidR="02C73193">
        <w:rPr>
          <w:rFonts w:eastAsia="Segoe UI" w:cs="Segoe UI"/>
        </w:rPr>
        <w:t xml:space="preserve"> </w:t>
      </w:r>
      <w:r w:rsidRPr="594AC4B1" w:rsidR="1163D941">
        <w:rPr>
          <w:rFonts w:eastAsia="Segoe UI" w:cs="Segoe UI"/>
        </w:rPr>
        <w:t>where output</w:t>
      </w:r>
      <w:r w:rsidRPr="594AC4B1" w:rsidR="007B5A75">
        <w:rPr>
          <w:rFonts w:eastAsia="Segoe UI" w:cs="Segoe UI"/>
        </w:rPr>
        <w:t>-</w:t>
      </w:r>
      <w:r w:rsidRPr="594AC4B1" w:rsidR="1163D941">
        <w:rPr>
          <w:rFonts w:eastAsia="Segoe UI" w:cs="Segoe UI"/>
        </w:rPr>
        <w:t>level results have not been mirrored by outcome</w:t>
      </w:r>
      <w:r w:rsidRPr="594AC4B1" w:rsidR="000E1D15">
        <w:rPr>
          <w:rFonts w:eastAsia="Segoe UI" w:cs="Segoe UI"/>
        </w:rPr>
        <w:t>-</w:t>
      </w:r>
      <w:r w:rsidRPr="594AC4B1" w:rsidR="1163D941">
        <w:rPr>
          <w:rFonts w:eastAsia="Segoe UI" w:cs="Segoe UI"/>
        </w:rPr>
        <w:t>level change across the board</w:t>
      </w:r>
      <w:r w:rsidRPr="594AC4B1" w:rsidR="68DD89FF">
        <w:rPr>
          <w:rFonts w:eastAsia="Segoe UI" w:cs="Segoe UI"/>
        </w:rPr>
        <w:t xml:space="preserve"> </w:t>
      </w:r>
      <w:r w:rsidRPr="594AC4B1" w:rsidR="02C73193">
        <w:rPr>
          <w:rFonts w:eastAsia="Segoe UI" w:cs="Segoe UI"/>
        </w:rPr>
        <w:t xml:space="preserve">(see </w:t>
      </w:r>
      <w:r w:rsidRPr="594AC4B1" w:rsidR="000E1D15">
        <w:rPr>
          <w:rFonts w:eastAsia="Segoe UI" w:cs="Segoe UI"/>
        </w:rPr>
        <w:t xml:space="preserve">the </w:t>
      </w:r>
      <w:r w:rsidRPr="594AC4B1" w:rsidR="00C2061D">
        <w:rPr>
          <w:rFonts w:eastAsia="Segoe UI" w:cs="Segoe UI"/>
        </w:rPr>
        <w:t>section</w:t>
      </w:r>
      <w:r w:rsidRPr="594AC4B1" w:rsidR="02C73193">
        <w:rPr>
          <w:rFonts w:eastAsia="Segoe UI" w:cs="Segoe UI"/>
        </w:rPr>
        <w:t xml:space="preserve"> </w:t>
      </w:r>
      <w:r w:rsidRPr="594AC4B1" w:rsidR="000E1D15">
        <w:rPr>
          <w:rFonts w:eastAsia="Segoe UI" w:cs="Segoe UI"/>
        </w:rPr>
        <w:t xml:space="preserve">on effectiveness </w:t>
      </w:r>
      <w:r w:rsidRPr="594AC4B1" w:rsidR="02C73193">
        <w:rPr>
          <w:rFonts w:eastAsia="Segoe UI" w:cs="Segoe UI"/>
        </w:rPr>
        <w:t>below)</w:t>
      </w:r>
      <w:r w:rsidRPr="594AC4B1" w:rsidR="61D62B95">
        <w:rPr>
          <w:rFonts w:eastAsia="Segoe UI" w:cs="Segoe UI"/>
        </w:rPr>
        <w:t>.</w:t>
      </w:r>
      <w:bookmarkStart w:name="_Toc201170729" w:id="79"/>
      <w:bookmarkStart w:name="_Ref173434893" w:id="80"/>
      <w:bookmarkEnd w:id="79"/>
      <w:r w:rsidRPr="594AC4B1" w:rsidR="008071DF">
        <w:rPr>
          <w:rFonts w:eastAsia="Segoe UI" w:cs="Segoe UI"/>
        </w:rPr>
        <w:t xml:space="preserve"> </w:t>
      </w:r>
    </w:p>
    <w:p w:rsidRPr="00D75194" w:rsidR="0017556C" w:rsidP="0017556C" w:rsidRDefault="0017556C" w14:paraId="6044D86F" w14:textId="25468A80">
      <w:pPr>
        <w:pStyle w:val="Heading3"/>
      </w:pPr>
      <w:bookmarkStart w:name="_Toc204259827" w:id="81"/>
      <w:r w:rsidRPr="00D75194">
        <w:t>Perceptions of VFM</w:t>
      </w:r>
      <w:r w:rsidRPr="00D75194" w:rsidR="0022050F">
        <w:t xml:space="preserve">: </w:t>
      </w:r>
      <w:r w:rsidRPr="00D75194">
        <w:t>challenges and barriers</w:t>
      </w:r>
      <w:bookmarkEnd w:id="81"/>
    </w:p>
    <w:p w:rsidRPr="00D75194" w:rsidR="0017556C" w:rsidP="0017556C" w:rsidRDefault="0017556C" w14:paraId="4C2FF177" w14:textId="71BB0AEC">
      <w:pPr>
        <w:spacing w:before="240"/>
        <w:rPr>
          <w:rFonts w:eastAsia="Segoe UI" w:cs="Segoe UI"/>
        </w:rPr>
      </w:pPr>
      <w:r w:rsidRPr="00D75194">
        <w:rPr>
          <w:rFonts w:eastAsia="Segoe UI" w:cs="Segoe UI"/>
        </w:rPr>
        <w:t>When considering the question of VFM, stakeholders shared important insights relating to their concerns for the programme and its likely direction. Key themes emerging from interviews with stakeholders include</w:t>
      </w:r>
      <w:r w:rsidRPr="00D75194" w:rsidR="00BA080B">
        <w:rPr>
          <w:rFonts w:eastAsia="Segoe UI" w:cs="Segoe UI"/>
        </w:rPr>
        <w:t xml:space="preserve"> the following</w:t>
      </w:r>
      <w:r w:rsidRPr="00D75194">
        <w:rPr>
          <w:rFonts w:eastAsia="Segoe UI" w:cs="Segoe UI"/>
        </w:rPr>
        <w:t>:</w:t>
      </w:r>
    </w:p>
    <w:p w:rsidRPr="00D75194" w:rsidR="0017556C" w:rsidP="0017556C" w:rsidRDefault="0017556C" w14:paraId="664F4595" w14:textId="6D0F0E7F">
      <w:pPr>
        <w:spacing w:before="240"/>
        <w:rPr>
          <w:rFonts w:eastAsia="Segoe UI" w:cs="Segoe UI"/>
          <w:b/>
          <w:bCs/>
          <w:i/>
          <w:iCs/>
        </w:rPr>
      </w:pPr>
      <w:r w:rsidRPr="00D75194">
        <w:rPr>
          <w:rFonts w:eastAsia="Segoe UI" w:cs="Segoe UI"/>
          <w:b/>
          <w:bCs/>
          <w:i/>
          <w:iCs/>
        </w:rPr>
        <w:t>Concerns over the OF</w:t>
      </w:r>
    </w:p>
    <w:p w:rsidRPr="00D75194" w:rsidR="0017556C" w:rsidP="00A32B5D" w:rsidRDefault="0017556C" w14:paraId="09C08920" w14:textId="272534DD">
      <w:pPr>
        <w:spacing w:before="240"/>
        <w:rPr>
          <w:rFonts w:eastAsia="Segoe UI" w:cs="Segoe UI"/>
        </w:rPr>
      </w:pPr>
      <w:r w:rsidRPr="00D75194">
        <w:rPr>
          <w:rFonts w:eastAsia="Segoe UI" w:cs="Segoe UI"/>
        </w:rPr>
        <w:t xml:space="preserve">The OF </w:t>
      </w:r>
      <w:r w:rsidRPr="00D75194" w:rsidR="00BA080B">
        <w:rPr>
          <w:rFonts w:eastAsia="Segoe UI" w:cs="Segoe UI"/>
        </w:rPr>
        <w:t xml:space="preserve">has </w:t>
      </w:r>
      <w:r w:rsidRPr="00D75194">
        <w:rPr>
          <w:rFonts w:eastAsia="Segoe UI" w:cs="Segoe UI"/>
        </w:rPr>
        <w:t>brought in many new partners, many of whom were not previously set up to operate with UK government funding. As a result, DAI</w:t>
      </w:r>
      <w:r w:rsidRPr="00D75194" w:rsidR="001B48C6">
        <w:rPr>
          <w:rFonts w:eastAsia="Segoe UI" w:cs="Segoe UI"/>
        </w:rPr>
        <w:t xml:space="preserve"> has</w:t>
      </w:r>
      <w:r w:rsidRPr="00D75194">
        <w:rPr>
          <w:rFonts w:eastAsia="Segoe UI" w:cs="Segoe UI"/>
        </w:rPr>
        <w:t xml:space="preserve"> had to invest considerable time in onboarding and capacity building</w:t>
      </w:r>
      <w:r w:rsidRPr="65EC14CC">
        <w:rPr>
          <w:rFonts w:eastAsia="Segoe UI" w:cs="Segoe UI"/>
        </w:rPr>
        <w:t>—</w:t>
      </w:r>
      <w:r w:rsidRPr="00D75194">
        <w:rPr>
          <w:rFonts w:eastAsia="Segoe UI" w:cs="Segoe UI"/>
        </w:rPr>
        <w:t>particularly around financial reporting, MEL, and compliance. While this</w:t>
      </w:r>
      <w:r w:rsidRPr="00D75194" w:rsidR="001B48C6">
        <w:rPr>
          <w:rFonts w:eastAsia="Segoe UI" w:cs="Segoe UI"/>
        </w:rPr>
        <w:t xml:space="preserve"> has</w:t>
      </w:r>
      <w:r w:rsidRPr="00D75194">
        <w:rPr>
          <w:rFonts w:eastAsia="Segoe UI" w:cs="Segoe UI"/>
        </w:rPr>
        <w:t xml:space="preserve"> served as an informal form of organisational strengthening, it has been resource-intensive and has stretched programme management capacity. As one interviewee noted, “</w:t>
      </w:r>
      <w:r w:rsidRPr="00D75194">
        <w:rPr>
          <w:rFonts w:eastAsia="Segoe UI" w:cs="Segoe UI"/>
          <w:i/>
          <w:iCs/>
        </w:rPr>
        <w:t>DAI and DESNZ underestimated how much onboarding and coaching would be needed</w:t>
      </w:r>
      <w:r w:rsidRPr="00D75194">
        <w:rPr>
          <w:rFonts w:eastAsia="Segoe UI" w:cs="Segoe UI"/>
        </w:rPr>
        <w:t>.” There is also a sense that the OF has tested the limits of CASA’s current delivery model, with mixed feedback on strategic alignment: some projects were seen as “</w:t>
      </w:r>
      <w:r w:rsidRPr="00D75194">
        <w:rPr>
          <w:rFonts w:eastAsia="Segoe UI" w:cs="Segoe UI"/>
          <w:i/>
          <w:iCs/>
        </w:rPr>
        <w:t>really valuable</w:t>
      </w:r>
      <w:r w:rsidRPr="65EC14CC" w:rsidR="00F14760">
        <w:rPr>
          <w:rFonts w:eastAsia="Segoe UI" w:cs="Segoe UI"/>
          <w:i/>
          <w:iCs/>
        </w:rPr>
        <w:t>”</w:t>
      </w:r>
      <w:r w:rsidRPr="65EC14CC">
        <w:rPr>
          <w:rFonts w:eastAsia="Segoe UI" w:cs="Segoe UI"/>
        </w:rPr>
        <w:t>,</w:t>
      </w:r>
      <w:r w:rsidRPr="00D75194">
        <w:rPr>
          <w:rFonts w:eastAsia="Segoe UI" w:cs="Segoe UI"/>
        </w:rPr>
        <w:t xml:space="preserve"> while others “</w:t>
      </w:r>
      <w:r w:rsidRPr="00D75194">
        <w:rPr>
          <w:rFonts w:eastAsia="Segoe UI" w:cs="Segoe UI"/>
          <w:i/>
          <w:iCs/>
        </w:rPr>
        <w:t>felt</w:t>
      </w:r>
      <w:r w:rsidRPr="00D75194" w:rsidR="0075428D">
        <w:rPr>
          <w:rFonts w:eastAsia="Segoe UI" w:cs="Segoe UI"/>
          <w:i/>
          <w:iCs/>
        </w:rPr>
        <w:t xml:space="preserve"> [to be]</w:t>
      </w:r>
      <w:r w:rsidRPr="00D75194">
        <w:rPr>
          <w:rFonts w:eastAsia="Segoe UI" w:cs="Segoe UI"/>
          <w:i/>
          <w:iCs/>
        </w:rPr>
        <w:t xml:space="preserve"> a little too far removed from core negotiations</w:t>
      </w:r>
      <w:r w:rsidRPr="00D75194">
        <w:rPr>
          <w:rFonts w:eastAsia="Segoe UI" w:cs="Segoe UI"/>
        </w:rPr>
        <w:t>.”</w:t>
      </w:r>
    </w:p>
    <w:p w:rsidRPr="00D75194" w:rsidR="0017556C" w:rsidP="00A32B5D" w:rsidRDefault="0017556C" w14:paraId="3A5941B4" w14:textId="77777777">
      <w:pPr>
        <w:spacing w:before="240"/>
        <w:rPr>
          <w:rFonts w:eastAsia="Segoe UI" w:cs="Segoe UI"/>
          <w:b/>
          <w:bCs/>
          <w:i/>
          <w:iCs/>
        </w:rPr>
      </w:pPr>
      <w:r w:rsidRPr="00D75194">
        <w:rPr>
          <w:rFonts w:eastAsia="Segoe UI" w:cs="Segoe UI"/>
          <w:b/>
          <w:bCs/>
          <w:i/>
          <w:iCs/>
        </w:rPr>
        <w:t>Continuity</w:t>
      </w:r>
    </w:p>
    <w:p w:rsidRPr="00D75194" w:rsidR="0017556C" w:rsidP="00684630" w:rsidRDefault="0017556C" w14:paraId="15CAFACA" w14:textId="0626213E">
      <w:pPr>
        <w:spacing w:before="240"/>
        <w:rPr>
          <w:rFonts w:eastAsia="Segoe UI" w:cs="Segoe UI"/>
        </w:rPr>
      </w:pPr>
      <w:r w:rsidRPr="00D75194">
        <w:rPr>
          <w:rFonts w:eastAsia="Segoe UI" w:cs="Segoe UI"/>
        </w:rPr>
        <w:t xml:space="preserve">Several partners emphasised the importance of sustained engagement over time, with value also slowly being realised over longer periods. One TP employee said: </w:t>
      </w:r>
      <w:r w:rsidRPr="00D75194">
        <w:rPr>
          <w:rFonts w:eastAsia="Segoe UI" w:cs="Segoe UI"/>
          <w:i/>
          <w:iCs/>
        </w:rPr>
        <w:t>“The value comes from consistency. If we work for two years then get cut off, we are wasting money if we then start working again. Continuity saves money.”</w:t>
      </w:r>
      <w:r w:rsidRPr="00D75194">
        <w:rPr>
          <w:rFonts w:eastAsia="Segoe UI" w:cs="Segoe UI"/>
        </w:rPr>
        <w:t xml:space="preserve"> This theme came through particularly strongly in reflections on LDC </w:t>
      </w:r>
      <w:r w:rsidRPr="65EC14CC" w:rsidR="00E44CA2">
        <w:rPr>
          <w:rFonts w:eastAsia="Segoe UI" w:cs="Segoe UI"/>
        </w:rPr>
        <w:t>S</w:t>
      </w:r>
      <w:r w:rsidRPr="65EC14CC">
        <w:rPr>
          <w:rFonts w:eastAsia="Segoe UI" w:cs="Segoe UI"/>
        </w:rPr>
        <w:t>ecretariat</w:t>
      </w:r>
      <w:r w:rsidRPr="00D75194">
        <w:rPr>
          <w:rFonts w:eastAsia="Segoe UI" w:cs="Segoe UI"/>
        </w:rPr>
        <w:t xml:space="preserve"> support, where the long-term presence of TPs like IIED and Climate Analytics has enabled a steady accumulation of institutional knowledge and negotiating capacity. Continuity is also seen as essential for realising the full benefits of capacity-building investments, which often take multiple COP cycles to bear fruit.</w:t>
      </w:r>
    </w:p>
    <w:p w:rsidRPr="00D75194" w:rsidR="0017556C" w:rsidP="00684630" w:rsidRDefault="0017556C" w14:paraId="2703D99F" w14:textId="77777777">
      <w:pPr>
        <w:spacing w:before="240"/>
        <w:rPr>
          <w:rFonts w:eastAsia="Segoe UI" w:cs="Segoe UI"/>
          <w:b/>
          <w:bCs/>
          <w:i/>
          <w:iCs/>
        </w:rPr>
      </w:pPr>
      <w:r w:rsidRPr="00D75194">
        <w:rPr>
          <w:rFonts w:eastAsia="Segoe UI" w:cs="Segoe UI"/>
          <w:b/>
          <w:bCs/>
          <w:i/>
          <w:iCs/>
        </w:rPr>
        <w:t>Transition between implementers</w:t>
      </w:r>
    </w:p>
    <w:p w:rsidRPr="00D75194" w:rsidR="0017556C" w:rsidP="00684630" w:rsidRDefault="0017556C" w14:paraId="59C0721E" w14:textId="6A16B9B8">
      <w:pPr>
        <w:spacing w:before="240"/>
        <w:rPr>
          <w:rFonts w:eastAsia="Segoe UI" w:cs="Segoe UI"/>
        </w:rPr>
      </w:pPr>
      <w:r w:rsidRPr="00D75194">
        <w:rPr>
          <w:rFonts w:eastAsia="Segoe UI" w:cs="Segoe UI"/>
        </w:rPr>
        <w:t>However, concerns were raised about the transition from PwC (CASA I) to DAI (CASA II). While DAI has improved oversight and built more presence across the year, some TPs felt that technical expertise was lost in the shift. DAI’s more compliance-heavy style has, at times, been seen as too process-focused. The transition also involved rebuilding trust and clarifying expectations, which introduced some inefficiencies in Year 1.</w:t>
      </w:r>
    </w:p>
    <w:p w:rsidRPr="00D75194" w:rsidR="6CFDE445" w:rsidP="4FE4A7C2" w:rsidRDefault="6CFDE445" w14:paraId="1C2484FE" w14:textId="5EC2BCD8">
      <w:pPr>
        <w:spacing w:before="240"/>
        <w:rPr>
          <w:rFonts w:eastAsia="Segoe UI" w:cs="Segoe UI"/>
          <w:b/>
          <w:bCs/>
          <w:i/>
          <w:iCs/>
        </w:rPr>
      </w:pPr>
      <w:r w:rsidRPr="1A0AFD94">
        <w:rPr>
          <w:rFonts w:eastAsia="Segoe UI" w:cs="Segoe UI"/>
          <w:b/>
          <w:bCs/>
          <w:i/>
          <w:iCs/>
        </w:rPr>
        <w:t>Virtual v</w:t>
      </w:r>
      <w:r w:rsidRPr="1A0AFD94" w:rsidR="00BD441B">
        <w:rPr>
          <w:rFonts w:eastAsia="Segoe UI" w:cs="Segoe UI"/>
          <w:b/>
          <w:bCs/>
          <w:i/>
          <w:iCs/>
        </w:rPr>
        <w:t>ersus</w:t>
      </w:r>
      <w:r w:rsidRPr="1A0AFD94">
        <w:rPr>
          <w:rFonts w:eastAsia="Segoe UI" w:cs="Segoe UI"/>
          <w:b/>
          <w:bCs/>
          <w:i/>
          <w:iCs/>
        </w:rPr>
        <w:t xml:space="preserve"> COP </w:t>
      </w:r>
      <w:r w:rsidRPr="1A0AFD94" w:rsidR="00822FF8">
        <w:rPr>
          <w:rFonts w:eastAsia="Segoe UI" w:cs="Segoe UI"/>
          <w:b/>
          <w:bCs/>
          <w:i/>
          <w:iCs/>
        </w:rPr>
        <w:t>attendance</w:t>
      </w:r>
    </w:p>
    <w:p w:rsidRPr="00D75194" w:rsidR="6CFDE445" w:rsidP="4FE4A7C2" w:rsidRDefault="6CFDE445" w14:paraId="26249614" w14:textId="61C592EC">
      <w:pPr>
        <w:spacing w:before="240"/>
        <w:rPr>
          <w:rFonts w:eastAsia="Segoe UI" w:cs="Segoe UI"/>
        </w:rPr>
      </w:pPr>
      <w:r w:rsidRPr="00D75194">
        <w:rPr>
          <w:rFonts w:eastAsia="Segoe UI" w:cs="Segoe UI"/>
        </w:rPr>
        <w:t xml:space="preserve">While many partners praised the utility of virtual training, there was broad agreement that physical presence at COP remains the most impactful part of negotiation support. Several raised concerns about the inefficiency of negotiators “wasting time begging for funding” to attend, with one youth delegate unable to travel until </w:t>
      </w:r>
      <w:r w:rsidRPr="00D75194" w:rsidR="00B27C70">
        <w:rPr>
          <w:rFonts w:eastAsia="Segoe UI" w:cs="Segoe UI"/>
        </w:rPr>
        <w:t xml:space="preserve">they secured </w:t>
      </w:r>
      <w:r w:rsidRPr="00D75194">
        <w:rPr>
          <w:rFonts w:eastAsia="Segoe UI" w:cs="Segoe UI"/>
        </w:rPr>
        <w:t>credit for flights. Interviewees underscored the importance of providing adequate, timely support for logistics</w:t>
      </w:r>
      <w:r w:rsidRPr="65EC14CC">
        <w:rPr>
          <w:rFonts w:eastAsia="Segoe UI" w:cs="Segoe UI"/>
        </w:rPr>
        <w:t>—</w:t>
      </w:r>
      <w:r w:rsidRPr="00D75194">
        <w:rPr>
          <w:rFonts w:eastAsia="Segoe UI" w:cs="Segoe UI"/>
        </w:rPr>
        <w:t>not just</w:t>
      </w:r>
      <w:r w:rsidRPr="00D75194" w:rsidDel="00DC6BA9">
        <w:rPr>
          <w:rFonts w:eastAsia="Segoe UI" w:cs="Segoe UI"/>
        </w:rPr>
        <w:t xml:space="preserve"> </w:t>
      </w:r>
      <w:r w:rsidRPr="00D75194" w:rsidR="00DC6BA9">
        <w:rPr>
          <w:rFonts w:eastAsia="Segoe UI" w:cs="Segoe UI"/>
        </w:rPr>
        <w:t xml:space="preserve">to ensure </w:t>
      </w:r>
      <w:r w:rsidRPr="00D75194">
        <w:rPr>
          <w:rFonts w:eastAsia="Segoe UI" w:cs="Segoe UI"/>
        </w:rPr>
        <w:t>dignity and effectiveness, but also to enable negotiators to fully engage from the outset. A more flexible and realistic logistics budget was seen as essential to avoid undermining the programme’s intended outcomes.</w:t>
      </w:r>
    </w:p>
    <w:p w:rsidRPr="00D75194" w:rsidR="0017556C" w:rsidP="005A6228" w:rsidRDefault="0017556C" w14:paraId="1CC9C9D8" w14:textId="74FD493A">
      <w:pPr>
        <w:spacing w:before="240"/>
        <w:rPr>
          <w:rFonts w:eastAsia="Segoe UI" w:cs="Segoe UI"/>
          <w:b/>
          <w:bCs/>
          <w:i/>
          <w:iCs/>
        </w:rPr>
      </w:pPr>
      <w:r w:rsidRPr="00D75194">
        <w:rPr>
          <w:rFonts w:eastAsia="Segoe UI" w:cs="Segoe UI"/>
          <w:b/>
          <w:bCs/>
          <w:i/>
          <w:iCs/>
        </w:rPr>
        <w:t>Payment processes</w:t>
      </w:r>
    </w:p>
    <w:p w:rsidRPr="00D75194" w:rsidR="1CC10E2A" w:rsidP="64DBAFC9" w:rsidRDefault="1CC10E2A" w14:paraId="72AA6F8B" w14:textId="3932B8ED">
      <w:pPr>
        <w:spacing w:before="240"/>
        <w:rPr>
          <w:rFonts w:eastAsia="Segoe UI" w:cs="Segoe UI"/>
        </w:rPr>
      </w:pPr>
      <w:r w:rsidRPr="00D75194">
        <w:rPr>
          <w:rFonts w:eastAsia="Segoe UI" w:cs="Segoe UI"/>
        </w:rPr>
        <w:t xml:space="preserve">The reimbursement-based payment model was widely cited as a barrier to efficiency and equitable access. Global South partners reported cash flow difficulties, with some forced to borrow internally or </w:t>
      </w:r>
      <w:r w:rsidRPr="00D75194" w:rsidR="00AE701C">
        <w:rPr>
          <w:rFonts w:eastAsia="Segoe UI" w:cs="Segoe UI"/>
        </w:rPr>
        <w:t xml:space="preserve">to </w:t>
      </w:r>
      <w:r w:rsidRPr="00D75194">
        <w:rPr>
          <w:rFonts w:eastAsia="Segoe UI" w:cs="Segoe UI"/>
        </w:rPr>
        <w:t>delay activities while awaiting reimbursement</w:t>
      </w:r>
      <w:r w:rsidRPr="00D75194" w:rsidR="00CD7F19">
        <w:rPr>
          <w:rFonts w:eastAsia="Segoe UI" w:cs="Segoe UI"/>
        </w:rPr>
        <w:t>—</w:t>
      </w:r>
      <w:r w:rsidRPr="00D75194">
        <w:rPr>
          <w:rFonts w:eastAsia="Segoe UI" w:cs="Segoe UI"/>
        </w:rPr>
        <w:t xml:space="preserve">typically </w:t>
      </w:r>
      <w:r w:rsidRPr="00D75194" w:rsidR="00CD7F19">
        <w:rPr>
          <w:rFonts w:eastAsia="Segoe UI" w:cs="Segoe UI"/>
        </w:rPr>
        <w:t xml:space="preserve">for </w:t>
      </w:r>
      <w:r w:rsidRPr="00D75194">
        <w:rPr>
          <w:rFonts w:eastAsia="Segoe UI" w:cs="Segoe UI"/>
        </w:rPr>
        <w:t>up to 40 working days. In some cases, participation in COP was delayed until credit could be secured. Financial reporting requirements were also described as unexpectedly complex. These challenges stemmed from DESNZ’s payment schedules and reporting processes, which are common across UK-funded programmes. While not caused by the implementer, the burden fell heavily on delivery partners. Some flexibility was reportedly applied, but stakeholders called for clearer communication of funding terms and more adaptable payment approaches in future phases.</w:t>
      </w:r>
    </w:p>
    <w:p w:rsidRPr="00D75194" w:rsidR="00774A26" w:rsidP="00524F49" w:rsidRDefault="00B71EEF" w14:paraId="013645E5" w14:textId="076433A8">
      <w:pPr>
        <w:pStyle w:val="Heading2"/>
      </w:pPr>
      <w:bookmarkStart w:name="_Toc214452915" w:id="82"/>
      <w:r w:rsidRPr="00D75194">
        <w:t>Effectiveness</w:t>
      </w:r>
      <w:bookmarkEnd w:id="80"/>
      <w:bookmarkEnd w:id="82"/>
      <w:r w:rsidRPr="00D75194">
        <w:t xml:space="preserve"> </w:t>
      </w:r>
    </w:p>
    <w:p w:rsidRPr="00D75194" w:rsidR="00C31797" w:rsidP="00B9611C" w:rsidRDefault="00C31797" w14:paraId="5CCD9B46" w14:textId="37507D98">
      <w:pPr>
        <w:spacing w:after="0" w:line="240" w:lineRule="auto"/>
        <w:rPr>
          <w:rFonts w:eastAsia="Segoe UI" w:cs="Segoe UI"/>
          <w:color w:val="000000"/>
        </w:rPr>
      </w:pPr>
    </w:p>
    <w:tbl>
      <w:tblPr>
        <w:tblStyle w:val="TableGrid"/>
        <w:tblpPr w:leftFromText="180" w:rightFromText="180" w:vertAnchor="text" w:horzAnchor="margin" w:tblpY="105"/>
        <w:tblW w:w="0" w:type="auto"/>
        <w:tblLook w:val="04A0" w:firstRow="1" w:lastRow="0" w:firstColumn="1" w:lastColumn="0" w:noHBand="0" w:noVBand="1"/>
      </w:tblPr>
      <w:tblGrid>
        <w:gridCol w:w="9854"/>
      </w:tblGrid>
      <w:tr w:rsidRPr="00D75194" w:rsidR="000B0CA0" w:rsidTr="000B0CA0" w14:paraId="7199A393" w14:textId="77777777">
        <w:trPr>
          <w:trHeight w:val="642"/>
        </w:trPr>
        <w:tc>
          <w:tcPr>
            <w:tcW w:w="9854" w:type="dxa"/>
            <w:shd w:val="clear" w:color="auto" w:fill="C4D5D3" w:themeFill="accent1"/>
            <w:vAlign w:val="center"/>
          </w:tcPr>
          <w:p w:rsidRPr="00D75194" w:rsidR="000B0CA0" w:rsidP="000B0CA0" w:rsidRDefault="000B0CA0" w14:paraId="2C3E6AF2" w14:textId="77777777">
            <w:pPr>
              <w:pStyle w:val="NoSpacing"/>
              <w:jc w:val="center"/>
              <w:rPr>
                <w:b/>
                <w:bCs/>
              </w:rPr>
            </w:pPr>
            <w:r w:rsidRPr="00D75194">
              <w:rPr>
                <w:b/>
                <w:bCs/>
              </w:rPr>
              <w:t xml:space="preserve">EQ 4. To what extent is the UK’s support under CASA II achieving its intended results? </w:t>
            </w:r>
          </w:p>
        </w:tc>
      </w:tr>
    </w:tbl>
    <w:p w:rsidRPr="00D75194" w:rsidR="00601041" w:rsidP="00D006A6" w:rsidRDefault="00601041" w14:paraId="1F6253B5" w14:textId="505FADA5">
      <w:pPr>
        <w:spacing w:after="0"/>
        <w:rPr>
          <w:rStyle w:val="eop"/>
          <w:rFonts w:eastAsia="Segoe UI" w:cs="Segoe UI"/>
          <w:color w:val="000000"/>
        </w:rPr>
      </w:pPr>
    </w:p>
    <w:p w:rsidRPr="00D75194" w:rsidR="00D006A6" w:rsidP="00D006A6" w:rsidRDefault="00D006A6" w14:paraId="5881D305" w14:textId="50CB394E">
      <w:pPr>
        <w:spacing w:after="0"/>
        <w:rPr>
          <w:b/>
          <w:bCs/>
        </w:rPr>
      </w:pPr>
      <w:r w:rsidRPr="00D75194">
        <w:rPr>
          <w:b/>
          <w:bCs/>
        </w:rPr>
        <w:t>Summary:</w:t>
      </w:r>
    </w:p>
    <w:p w:rsidRPr="00D75194" w:rsidR="00C0512C" w:rsidP="00D006A6" w:rsidRDefault="00C0512C" w14:paraId="6AE4082F" w14:textId="77777777">
      <w:pPr>
        <w:spacing w:after="0"/>
        <w:rPr>
          <w:b/>
          <w:bCs/>
        </w:rPr>
      </w:pPr>
    </w:p>
    <w:p w:rsidRPr="00D75194" w:rsidR="000B0CA0" w:rsidP="00A829EE" w:rsidRDefault="000B0CA0" w14:paraId="60383E2B" w14:textId="45191A23">
      <w:pPr>
        <w:rPr>
          <w:rFonts w:cs="Segoe UI"/>
          <w:lang w:eastAsia="en-GB"/>
        </w:rPr>
      </w:pPr>
      <w:r w:rsidRPr="00D75194">
        <w:rPr>
          <w:rFonts w:cs="Segoe UI"/>
          <w:b/>
          <w:bCs/>
          <w:lang w:eastAsia="en-GB"/>
        </w:rPr>
        <w:t>CASA II has made a series of critical and important contributions to strengthening negotiator capacity, negotiating group capability</w:t>
      </w:r>
      <w:r w:rsidRPr="00D75194" w:rsidR="00C0512C">
        <w:rPr>
          <w:rFonts w:cs="Segoe UI"/>
          <w:b/>
          <w:bCs/>
          <w:lang w:eastAsia="en-GB"/>
        </w:rPr>
        <w:t>,</w:t>
      </w:r>
      <w:r w:rsidRPr="00D75194">
        <w:rPr>
          <w:rFonts w:cs="Segoe UI"/>
          <w:b/>
          <w:bCs/>
          <w:lang w:eastAsia="en-GB"/>
        </w:rPr>
        <w:t xml:space="preserve"> and the successful delivery of domestic climate</w:t>
      </w:r>
      <w:r w:rsidRPr="00D75194" w:rsidR="00702837">
        <w:rPr>
          <w:rFonts w:cs="Segoe UI"/>
          <w:b/>
          <w:bCs/>
          <w:lang w:eastAsia="en-GB"/>
        </w:rPr>
        <w:t>-</w:t>
      </w:r>
      <w:r w:rsidRPr="00D75194">
        <w:rPr>
          <w:rFonts w:cs="Segoe UI"/>
          <w:b/>
          <w:bCs/>
          <w:lang w:eastAsia="en-GB"/>
        </w:rPr>
        <w:t xml:space="preserve">related policies. </w:t>
      </w:r>
      <w:r w:rsidRPr="00D75194">
        <w:rPr>
          <w:rFonts w:cs="Segoe UI"/>
          <w:lang w:eastAsia="en-GB"/>
        </w:rPr>
        <w:t xml:space="preserve">The CASA II programme and its predecessor programmes (CDKN, CaBIN, CASA I) since 2010 have been a critical enabler of organisational capabilities, and then institutional and </w:t>
      </w:r>
      <w:r w:rsidRPr="00D75194" w:rsidR="00AB3EBC">
        <w:rPr>
          <w:rFonts w:cs="Segoe UI"/>
          <w:lang w:eastAsia="en-GB"/>
        </w:rPr>
        <w:t>normative</w:t>
      </w:r>
      <w:r w:rsidRPr="00D75194">
        <w:rPr>
          <w:rFonts w:cs="Segoe UI"/>
          <w:lang w:eastAsia="en-GB"/>
        </w:rPr>
        <w:t xml:space="preserve"> gains. Stand</w:t>
      </w:r>
      <w:r w:rsidRPr="00D75194" w:rsidR="00AB3EBC">
        <w:rPr>
          <w:rFonts w:cs="Segoe UI"/>
          <w:lang w:eastAsia="en-GB"/>
        </w:rPr>
        <w:t>-</w:t>
      </w:r>
      <w:r w:rsidRPr="00D75194">
        <w:rPr>
          <w:rFonts w:cs="Segoe UI"/>
          <w:lang w:eastAsia="en-GB"/>
        </w:rPr>
        <w:t xml:space="preserve">out examples include the strengthening of </w:t>
      </w:r>
      <w:r w:rsidRPr="00D75194" w:rsidR="00702837">
        <w:rPr>
          <w:rFonts w:cs="Segoe UI"/>
          <w:lang w:eastAsia="en-GB"/>
        </w:rPr>
        <w:t xml:space="preserve">the </w:t>
      </w:r>
      <w:r w:rsidRPr="00D75194">
        <w:rPr>
          <w:rFonts w:cs="Segoe UI"/>
          <w:lang w:eastAsia="en-GB"/>
        </w:rPr>
        <w:t>LDC Group</w:t>
      </w:r>
      <w:r w:rsidRPr="00D75194" w:rsidR="00702837">
        <w:rPr>
          <w:rFonts w:cs="Segoe UI"/>
          <w:lang w:eastAsia="en-GB"/>
        </w:rPr>
        <w:t>’s</w:t>
      </w:r>
      <w:r w:rsidRPr="00D75194">
        <w:rPr>
          <w:rFonts w:cs="Segoe UI"/>
          <w:lang w:eastAsia="en-GB"/>
        </w:rPr>
        <w:t xml:space="preserve"> and HAC</w:t>
      </w:r>
      <w:r w:rsidRPr="00D75194" w:rsidR="00702837">
        <w:rPr>
          <w:rFonts w:cs="Segoe UI"/>
          <w:lang w:eastAsia="en-GB"/>
        </w:rPr>
        <w:t>’s</w:t>
      </w:r>
      <w:r w:rsidRPr="00D75194">
        <w:rPr>
          <w:rFonts w:cs="Segoe UI"/>
          <w:lang w:eastAsia="en-GB"/>
        </w:rPr>
        <w:t xml:space="preserve"> organisational capability. </w:t>
      </w:r>
      <w:r w:rsidRPr="00D75194" w:rsidR="00EE0B8C">
        <w:rPr>
          <w:rFonts w:cs="Segoe UI"/>
          <w:lang w:eastAsia="en-GB"/>
        </w:rPr>
        <w:t>Emerging structures</w:t>
      </w:r>
      <w:r w:rsidRPr="00D75194" w:rsidR="004F3900">
        <w:rPr>
          <w:rFonts w:cs="Segoe UI"/>
          <w:lang w:eastAsia="en-GB"/>
        </w:rPr>
        <w:t>,</w:t>
      </w:r>
      <w:r w:rsidRPr="00D75194" w:rsidR="00EE0B8C">
        <w:rPr>
          <w:rFonts w:cs="Segoe UI"/>
          <w:lang w:eastAsia="en-GB"/>
        </w:rPr>
        <w:t xml:space="preserve"> such as the </w:t>
      </w:r>
      <w:r w:rsidRPr="00D75194">
        <w:rPr>
          <w:rFonts w:cs="Segoe UI"/>
          <w:lang w:eastAsia="en-GB"/>
        </w:rPr>
        <w:t xml:space="preserve">LDC </w:t>
      </w:r>
      <w:r w:rsidRPr="00D75194" w:rsidR="00EE0B8C">
        <w:rPr>
          <w:rFonts w:cs="Segoe UI"/>
          <w:lang w:eastAsia="en-GB"/>
        </w:rPr>
        <w:t>Secretariat</w:t>
      </w:r>
      <w:r w:rsidRPr="00D75194" w:rsidR="004F3900">
        <w:rPr>
          <w:rFonts w:cs="Segoe UI"/>
          <w:lang w:eastAsia="en-GB"/>
        </w:rPr>
        <w:t>,</w:t>
      </w:r>
      <w:r w:rsidRPr="00D75194" w:rsidR="00EE0B8C">
        <w:rPr>
          <w:rFonts w:cs="Segoe UI"/>
          <w:lang w:eastAsia="en-GB"/>
        </w:rPr>
        <w:t xml:space="preserve"> reflect </w:t>
      </w:r>
      <w:r w:rsidRPr="00D75194">
        <w:rPr>
          <w:rFonts w:cs="Segoe UI"/>
          <w:lang w:eastAsia="en-GB"/>
        </w:rPr>
        <w:t xml:space="preserve">sustainable institutional gains. </w:t>
      </w:r>
      <w:r w:rsidRPr="00D75194" w:rsidR="000B3C2A">
        <w:rPr>
          <w:rFonts w:cs="Segoe UI"/>
          <w:lang w:eastAsia="en-GB"/>
        </w:rPr>
        <w:t>D</w:t>
      </w:r>
      <w:r w:rsidRPr="00D75194" w:rsidR="00204175">
        <w:rPr>
          <w:rFonts w:cs="Segoe UI"/>
          <w:lang w:eastAsia="en-GB"/>
        </w:rPr>
        <w:t>omestic implementation</w:t>
      </w:r>
      <w:r w:rsidRPr="00D75194" w:rsidDel="00A74DDE" w:rsidR="00204175">
        <w:rPr>
          <w:rFonts w:cs="Segoe UI"/>
          <w:lang w:eastAsia="en-GB"/>
        </w:rPr>
        <w:t xml:space="preserve"> </w:t>
      </w:r>
      <w:r w:rsidRPr="00D75194" w:rsidR="00A74DDE">
        <w:rPr>
          <w:rFonts w:cs="Segoe UI"/>
          <w:lang w:eastAsia="en-GB"/>
        </w:rPr>
        <w:t xml:space="preserve">has been </w:t>
      </w:r>
      <w:r w:rsidRPr="00D75194" w:rsidR="00204175">
        <w:rPr>
          <w:rFonts w:cs="Segoe UI"/>
          <w:lang w:eastAsia="en-GB"/>
        </w:rPr>
        <w:t>catalysed</w:t>
      </w:r>
      <w:r w:rsidRPr="00D75194" w:rsidR="00F66775">
        <w:rPr>
          <w:rFonts w:cs="Segoe UI"/>
          <w:lang w:eastAsia="en-GB"/>
        </w:rPr>
        <w:t xml:space="preserve"> through</w:t>
      </w:r>
      <w:r w:rsidRPr="00D75194" w:rsidR="00231CB4">
        <w:rPr>
          <w:rFonts w:cs="Segoe UI"/>
          <w:lang w:eastAsia="en-GB"/>
        </w:rPr>
        <w:t xml:space="preserve"> legal and policy support</w:t>
      </w:r>
      <w:r w:rsidRPr="00D75194" w:rsidR="000B3C2A">
        <w:rPr>
          <w:rFonts w:cs="Segoe UI"/>
          <w:lang w:eastAsia="en-GB"/>
        </w:rPr>
        <w:t xml:space="preserve">, such as </w:t>
      </w:r>
      <w:r w:rsidRPr="00D75194" w:rsidR="00231CB4">
        <w:rPr>
          <w:rFonts w:cs="Segoe UI"/>
          <w:lang w:eastAsia="en-GB"/>
        </w:rPr>
        <w:t>LRI’s expanded model</w:t>
      </w:r>
      <w:r w:rsidRPr="00D75194" w:rsidR="000B3C2A">
        <w:rPr>
          <w:rFonts w:cs="Segoe UI"/>
          <w:lang w:eastAsia="en-GB"/>
        </w:rPr>
        <w:t>, which</w:t>
      </w:r>
      <w:r w:rsidRPr="00D75194" w:rsidR="00231CB4">
        <w:rPr>
          <w:rFonts w:cs="Segoe UI"/>
          <w:lang w:eastAsia="en-GB"/>
        </w:rPr>
        <w:t xml:space="preserve"> </w:t>
      </w:r>
      <w:r w:rsidRPr="00D75194" w:rsidR="0031043B">
        <w:rPr>
          <w:rFonts w:cs="Segoe UI"/>
          <w:lang w:eastAsia="en-GB"/>
        </w:rPr>
        <w:t xml:space="preserve">has </w:t>
      </w:r>
      <w:r w:rsidRPr="00D75194" w:rsidR="00231CB4">
        <w:rPr>
          <w:rFonts w:cs="Segoe UI"/>
          <w:lang w:eastAsia="en-GB"/>
        </w:rPr>
        <w:t>provided high</w:t>
      </w:r>
      <w:r w:rsidRPr="00D75194" w:rsidR="0031043B">
        <w:rPr>
          <w:rFonts w:cs="Segoe UI"/>
          <w:lang w:eastAsia="en-GB"/>
        </w:rPr>
        <w:t>-</w:t>
      </w:r>
      <w:r w:rsidRPr="00D75194" w:rsidR="00231CB4">
        <w:rPr>
          <w:rFonts w:cs="Segoe UI"/>
          <w:lang w:eastAsia="en-GB"/>
        </w:rPr>
        <w:t>quality, pro bono legal assistance</w:t>
      </w:r>
      <w:r w:rsidRPr="00D75194" w:rsidR="004E0466">
        <w:rPr>
          <w:rFonts w:cs="Segoe UI"/>
          <w:lang w:eastAsia="en-GB"/>
        </w:rPr>
        <w:t xml:space="preserve">, directly strengthening legal frameworks and capacities of negotiating delegations. </w:t>
      </w:r>
    </w:p>
    <w:p w:rsidRPr="00D75194" w:rsidR="003C19AB" w:rsidP="00A829EE" w:rsidRDefault="00E92177" w14:paraId="0E267671" w14:textId="3CEB5806">
      <w:pPr>
        <w:rPr>
          <w:rFonts w:cs="Segoe UI"/>
          <w:lang w:eastAsia="en-GB"/>
        </w:rPr>
      </w:pPr>
      <w:r w:rsidRPr="00D75194">
        <w:rPr>
          <w:rFonts w:cs="Segoe UI"/>
          <w:b/>
          <w:bCs/>
          <w:lang w:eastAsia="en-GB"/>
        </w:rPr>
        <w:t>TPs</w:t>
      </w:r>
      <w:r w:rsidRPr="00D75194" w:rsidDel="00351C65" w:rsidR="003C19AB">
        <w:rPr>
          <w:rFonts w:cs="Segoe UI"/>
          <w:b/>
          <w:bCs/>
          <w:lang w:eastAsia="en-GB"/>
        </w:rPr>
        <w:t xml:space="preserve"> </w:t>
      </w:r>
      <w:r w:rsidRPr="00D75194" w:rsidR="00351C65">
        <w:rPr>
          <w:rFonts w:cs="Segoe UI"/>
          <w:b/>
          <w:bCs/>
          <w:lang w:eastAsia="en-GB"/>
        </w:rPr>
        <w:t xml:space="preserve">are </w:t>
      </w:r>
      <w:r w:rsidRPr="00D75194" w:rsidR="003C19AB">
        <w:rPr>
          <w:rFonts w:cs="Segoe UI"/>
          <w:b/>
          <w:bCs/>
          <w:lang w:eastAsia="en-GB"/>
        </w:rPr>
        <w:t xml:space="preserve">critical enablers of CASA II effectiveness. </w:t>
      </w:r>
      <w:r w:rsidRPr="00D75194" w:rsidR="00EA0FDB">
        <w:rPr>
          <w:rFonts w:cs="Segoe UI"/>
          <w:lang w:eastAsia="en-GB"/>
        </w:rPr>
        <w:t xml:space="preserve">Through longstanding, trust-based relationships, </w:t>
      </w:r>
      <w:r w:rsidRPr="00D75194">
        <w:rPr>
          <w:rFonts w:cs="Segoe UI"/>
          <w:lang w:eastAsia="en-GB"/>
        </w:rPr>
        <w:t xml:space="preserve">TPs </w:t>
      </w:r>
      <w:r w:rsidRPr="00D75194" w:rsidR="00EA0FDB">
        <w:rPr>
          <w:rFonts w:cs="Segoe UI"/>
          <w:lang w:eastAsia="en-GB"/>
        </w:rPr>
        <w:t xml:space="preserve">such as </w:t>
      </w:r>
      <w:r w:rsidRPr="037509AB" w:rsidR="00494461">
        <w:rPr>
          <w:rFonts w:cs="Segoe UI"/>
          <w:lang w:eastAsia="en-GB"/>
        </w:rPr>
        <w:t>Independent</w:t>
      </w:r>
      <w:r w:rsidRPr="00D75194" w:rsidR="00494461">
        <w:rPr>
          <w:rFonts w:cs="Segoe UI"/>
          <w:lang w:eastAsia="en-GB"/>
        </w:rPr>
        <w:t xml:space="preserve"> Diplomat</w:t>
      </w:r>
      <w:r w:rsidRPr="00D75194" w:rsidR="00EA0FDB">
        <w:rPr>
          <w:rFonts w:cs="Segoe UI"/>
          <w:lang w:eastAsia="en-GB"/>
        </w:rPr>
        <w:t xml:space="preserve">, LRI, </w:t>
      </w:r>
      <w:r w:rsidRPr="00D75194" w:rsidR="00776FE5">
        <w:rPr>
          <w:rFonts w:cs="Segoe UI"/>
          <w:lang w:eastAsia="en-GB"/>
        </w:rPr>
        <w:t>IIED and,</w:t>
      </w:r>
      <w:r w:rsidRPr="00D75194" w:rsidDel="00494461" w:rsidR="00EA0FDB">
        <w:rPr>
          <w:rFonts w:cs="Segoe UI"/>
          <w:lang w:eastAsia="en-GB"/>
        </w:rPr>
        <w:t xml:space="preserve"> </w:t>
      </w:r>
      <w:r w:rsidRPr="00D75194" w:rsidR="00494461">
        <w:rPr>
          <w:rFonts w:cs="Segoe UI"/>
          <w:lang w:eastAsia="en-GB"/>
        </w:rPr>
        <w:t>Climate Analytics</w:t>
      </w:r>
      <w:r w:rsidRPr="00D75194" w:rsidR="000D1B8B">
        <w:rPr>
          <w:rFonts w:cs="Segoe UI"/>
          <w:lang w:eastAsia="en-GB"/>
        </w:rPr>
        <w:t xml:space="preserve"> have</w:t>
      </w:r>
      <w:r w:rsidRPr="00D75194" w:rsidR="00494461">
        <w:rPr>
          <w:rFonts w:cs="Segoe UI"/>
          <w:lang w:eastAsia="en-GB"/>
        </w:rPr>
        <w:t xml:space="preserve"> </w:t>
      </w:r>
      <w:r w:rsidRPr="00D75194" w:rsidR="00EA0FDB">
        <w:rPr>
          <w:rFonts w:cs="Segoe UI"/>
          <w:lang w:eastAsia="en-GB"/>
        </w:rPr>
        <w:t xml:space="preserve">delivered tailored support that </w:t>
      </w:r>
      <w:r w:rsidRPr="00D75194" w:rsidR="000D1B8B">
        <w:rPr>
          <w:rFonts w:cs="Segoe UI"/>
          <w:lang w:eastAsia="en-GB"/>
        </w:rPr>
        <w:t xml:space="preserve">has </w:t>
      </w:r>
      <w:r w:rsidRPr="00D75194" w:rsidR="00EA0FDB">
        <w:rPr>
          <w:rFonts w:cs="Segoe UI"/>
          <w:lang w:eastAsia="en-GB"/>
        </w:rPr>
        <w:t>enhanced negotiation preparation, alliance buildin</w:t>
      </w:r>
      <w:r w:rsidR="003F1309">
        <w:rPr>
          <w:rFonts w:cs="Segoe UI"/>
          <w:lang w:eastAsia="en-GB"/>
        </w:rPr>
        <w:t>g</w:t>
      </w:r>
      <w:r w:rsidR="001215DF">
        <w:rPr>
          <w:rFonts w:cs="Segoe UI"/>
          <w:lang w:eastAsia="en-GB"/>
        </w:rPr>
        <w:t>,</w:t>
      </w:r>
      <w:r w:rsidRPr="00D75194" w:rsidR="00EA0FDB">
        <w:rPr>
          <w:rFonts w:cs="Segoe UI"/>
          <w:lang w:eastAsia="en-GB"/>
        </w:rPr>
        <w:t xml:space="preserve"> and legal capacity. </w:t>
      </w:r>
      <w:r w:rsidRPr="00D75194" w:rsidR="009A7724">
        <w:rPr>
          <w:rFonts w:cs="Segoe UI"/>
          <w:lang w:eastAsia="en-GB"/>
        </w:rPr>
        <w:t xml:space="preserve">While the relational delivery model led to </w:t>
      </w:r>
      <w:r w:rsidRPr="00D75194" w:rsidR="31D3DECF">
        <w:rPr>
          <w:rFonts w:cs="Segoe UI"/>
          <w:lang w:eastAsia="en-GB"/>
        </w:rPr>
        <w:t>CASA II exceeding its intended</w:t>
      </w:r>
      <w:r w:rsidRPr="00D75194" w:rsidR="009A7724">
        <w:rPr>
          <w:rFonts w:cs="Segoe UI"/>
          <w:lang w:eastAsia="en-GB"/>
        </w:rPr>
        <w:t xml:space="preserve"> impact relative to </w:t>
      </w:r>
      <w:r w:rsidRPr="00D75194" w:rsidR="31D3DECF">
        <w:rPr>
          <w:rFonts w:cs="Segoe UI"/>
          <w:lang w:eastAsia="en-GB"/>
        </w:rPr>
        <w:t xml:space="preserve">its </w:t>
      </w:r>
      <w:r w:rsidRPr="00D75194" w:rsidR="009A7724">
        <w:rPr>
          <w:rFonts w:cs="Segoe UI"/>
          <w:lang w:eastAsia="en-GB"/>
        </w:rPr>
        <w:t>investment</w:t>
      </w:r>
      <w:r w:rsidRPr="00D75194" w:rsidR="00EA0FDB">
        <w:rPr>
          <w:rFonts w:cs="Segoe UI"/>
          <w:lang w:eastAsia="en-GB"/>
        </w:rPr>
        <w:t xml:space="preserve">, concerns about </w:t>
      </w:r>
      <w:r w:rsidRPr="00D75194" w:rsidR="31D3DECF">
        <w:rPr>
          <w:rFonts w:cs="Segoe UI"/>
          <w:lang w:eastAsia="en-GB"/>
        </w:rPr>
        <w:t xml:space="preserve">an imbalance of </w:t>
      </w:r>
      <w:r w:rsidRPr="00D75194" w:rsidR="00EA0FDB">
        <w:rPr>
          <w:rFonts w:cs="Segoe UI"/>
          <w:lang w:eastAsia="en-GB"/>
        </w:rPr>
        <w:t xml:space="preserve">power </w:t>
      </w:r>
      <w:r w:rsidRPr="00D75194" w:rsidR="31D3DECF">
        <w:rPr>
          <w:rFonts w:cs="Segoe UI"/>
          <w:lang w:eastAsia="en-GB"/>
        </w:rPr>
        <w:t xml:space="preserve">between TPs </w:t>
      </w:r>
      <w:r w:rsidRPr="00D75194" w:rsidR="31D3DECF">
        <w:rPr>
          <w:rFonts w:cs="Segoe UI"/>
          <w:lang w:eastAsia="en-GB"/>
        </w:rPr>
        <w:t>supported groups,</w:t>
      </w:r>
      <w:r w:rsidRPr="00D75194" w:rsidR="00EA0FDB">
        <w:rPr>
          <w:rFonts w:cs="Segoe UI"/>
          <w:lang w:eastAsia="en-GB"/>
        </w:rPr>
        <w:t xml:space="preserve"> and </w:t>
      </w:r>
      <w:r w:rsidRPr="00D75194" w:rsidR="31D3DECF">
        <w:rPr>
          <w:rFonts w:cs="Segoe UI"/>
          <w:lang w:eastAsia="en-GB"/>
        </w:rPr>
        <w:t>unequal</w:t>
      </w:r>
      <w:r w:rsidRPr="00D75194" w:rsidR="00EA0FDB">
        <w:rPr>
          <w:rFonts w:cs="Segoe UI"/>
          <w:lang w:eastAsia="en-GB"/>
        </w:rPr>
        <w:t xml:space="preserve"> access to support</w:t>
      </w:r>
      <w:r w:rsidRPr="00D75194" w:rsidR="31D3DECF">
        <w:rPr>
          <w:rFonts w:cs="Segoe UI"/>
          <w:lang w:eastAsia="en-GB"/>
        </w:rPr>
        <w:t>,</w:t>
      </w:r>
      <w:r w:rsidRPr="00D75194" w:rsidR="00EA0FDB">
        <w:rPr>
          <w:rFonts w:cs="Segoe UI"/>
          <w:lang w:eastAsia="en-GB"/>
        </w:rPr>
        <w:t xml:space="preserve"> remain.</w:t>
      </w:r>
      <w:r w:rsidRPr="00D75194" w:rsidR="00953E59">
        <w:rPr>
          <w:rFonts w:cs="Segoe UI"/>
          <w:lang w:eastAsia="en-GB"/>
        </w:rPr>
        <w:t xml:space="preserve"> </w:t>
      </w:r>
      <w:r w:rsidRPr="00D75194" w:rsidR="00D50046">
        <w:rPr>
          <w:rFonts w:cs="Segoe UI"/>
          <w:lang w:eastAsia="en-GB"/>
        </w:rPr>
        <w:t>Evidence from several interviews suggests that e</w:t>
      </w:r>
      <w:r w:rsidRPr="00D75194" w:rsidR="00953E59">
        <w:rPr>
          <w:rFonts w:cs="Segoe UI"/>
          <w:lang w:eastAsia="en-GB"/>
        </w:rPr>
        <w:t>ffectiveness is constrained when</w:t>
      </w:r>
      <w:r w:rsidRPr="00D75194" w:rsidR="00811160">
        <w:rPr>
          <w:rFonts w:cs="Segoe UI"/>
          <w:lang w:eastAsia="en-GB"/>
        </w:rPr>
        <w:t xml:space="preserve"> </w:t>
      </w:r>
      <w:r w:rsidRPr="00D75194" w:rsidR="00566F2F">
        <w:rPr>
          <w:rFonts w:cs="Segoe UI"/>
          <w:lang w:eastAsia="en-GB"/>
        </w:rPr>
        <w:t xml:space="preserve">TPs </w:t>
      </w:r>
      <w:r w:rsidRPr="00D75194" w:rsidR="007C1545">
        <w:rPr>
          <w:rFonts w:cs="Segoe UI"/>
          <w:lang w:eastAsia="en-GB"/>
        </w:rPr>
        <w:t xml:space="preserve">support negotiator priorities but at the same time displace their agency. </w:t>
      </w:r>
    </w:p>
    <w:p w:rsidRPr="00D75194" w:rsidR="00EA1924" w:rsidP="00A829EE" w:rsidRDefault="00EA1924" w14:paraId="304782B0" w14:textId="46208424">
      <w:pPr>
        <w:rPr>
          <w:rFonts w:cs="Segoe UI"/>
          <w:lang w:eastAsia="en-GB"/>
        </w:rPr>
      </w:pPr>
      <w:r w:rsidRPr="00D75194">
        <w:rPr>
          <w:rFonts w:cs="Segoe UI"/>
          <w:b/>
          <w:lang w:eastAsia="en-GB"/>
        </w:rPr>
        <w:t xml:space="preserve">Support through the </w:t>
      </w:r>
      <w:r w:rsidRPr="00D75194" w:rsidR="00FB6482">
        <w:rPr>
          <w:rFonts w:cs="Segoe UI"/>
          <w:b/>
          <w:lang w:eastAsia="en-GB"/>
        </w:rPr>
        <w:t>OF</w:t>
      </w:r>
      <w:r w:rsidRPr="00D75194" w:rsidR="00242BAB">
        <w:rPr>
          <w:rFonts w:cs="Segoe UI"/>
          <w:b/>
          <w:lang w:eastAsia="en-GB"/>
        </w:rPr>
        <w:t xml:space="preserve"> has</w:t>
      </w:r>
      <w:r w:rsidRPr="00D75194">
        <w:rPr>
          <w:rFonts w:cs="Segoe UI"/>
          <w:b/>
          <w:lang w:eastAsia="en-GB"/>
        </w:rPr>
        <w:t xml:space="preserve"> enabled innovation and inclusion. </w:t>
      </w:r>
      <w:r w:rsidRPr="00D75194" w:rsidR="00D2656A">
        <w:rPr>
          <w:rFonts w:cs="Segoe UI"/>
          <w:lang w:eastAsia="en-GB"/>
        </w:rPr>
        <w:t>New modalities (</w:t>
      </w:r>
      <w:r w:rsidRPr="00D75194" w:rsidR="003E7258">
        <w:rPr>
          <w:rFonts w:cs="Segoe UI"/>
          <w:lang w:eastAsia="en-GB"/>
        </w:rPr>
        <w:t xml:space="preserve">in </w:t>
      </w:r>
      <w:r w:rsidRPr="00D75194" w:rsidR="00D2656A">
        <w:rPr>
          <w:rFonts w:cs="Segoe UI"/>
          <w:lang w:eastAsia="en-GB"/>
        </w:rPr>
        <w:t>CASA II)</w:t>
      </w:r>
      <w:r w:rsidRPr="00D75194" w:rsidR="00A023DE">
        <w:rPr>
          <w:rFonts w:cs="Segoe UI"/>
          <w:lang w:eastAsia="en-GB"/>
        </w:rPr>
        <w:t>,</w:t>
      </w:r>
      <w:r w:rsidRPr="00D75194" w:rsidR="00D2656A">
        <w:rPr>
          <w:rFonts w:cs="Segoe UI"/>
          <w:lang w:eastAsia="en-GB"/>
        </w:rPr>
        <w:t xml:space="preserve"> such as the negotiating group</w:t>
      </w:r>
      <w:r w:rsidRPr="00D75194" w:rsidR="003E7258">
        <w:rPr>
          <w:rFonts w:cs="Segoe UI"/>
          <w:lang w:eastAsia="en-GB"/>
        </w:rPr>
        <w:t>-</w:t>
      </w:r>
      <w:r w:rsidRPr="00D75194" w:rsidR="00D2656A">
        <w:rPr>
          <w:rFonts w:cs="Segoe UI"/>
          <w:lang w:eastAsia="en-GB"/>
        </w:rPr>
        <w:t>nominated youth fello</w:t>
      </w:r>
      <w:r w:rsidRPr="00D75194" w:rsidR="00B6689A">
        <w:rPr>
          <w:rFonts w:cs="Segoe UI"/>
          <w:lang w:eastAsia="en-GB"/>
        </w:rPr>
        <w:t>wship and targeted capacity building for Nepal’s stakeholders</w:t>
      </w:r>
      <w:r w:rsidRPr="00D75194" w:rsidR="00A023DE">
        <w:rPr>
          <w:rFonts w:cs="Segoe UI"/>
          <w:lang w:eastAsia="en-GB"/>
        </w:rPr>
        <w:t>,</w:t>
      </w:r>
      <w:r w:rsidRPr="00D75194" w:rsidR="001B5520">
        <w:rPr>
          <w:rFonts w:cs="Segoe UI"/>
          <w:lang w:eastAsia="en-GB"/>
        </w:rPr>
        <w:t xml:space="preserve"> have</w:t>
      </w:r>
      <w:r w:rsidRPr="00D75194" w:rsidR="00B6689A">
        <w:rPr>
          <w:rFonts w:cs="Segoe UI"/>
          <w:lang w:eastAsia="en-GB"/>
        </w:rPr>
        <w:t xml:space="preserve"> extended CASA II’s reach and impact. </w:t>
      </w:r>
      <w:r w:rsidRPr="00D75194" w:rsidR="00B3578C">
        <w:rPr>
          <w:rFonts w:cs="Segoe UI"/>
          <w:lang w:eastAsia="en-GB"/>
        </w:rPr>
        <w:t>These efforts</w:t>
      </w:r>
      <w:r w:rsidRPr="00D75194" w:rsidR="003301D7">
        <w:rPr>
          <w:rFonts w:cs="Segoe UI"/>
          <w:lang w:eastAsia="en-GB"/>
        </w:rPr>
        <w:t xml:space="preserve"> have</w:t>
      </w:r>
      <w:r w:rsidRPr="00D75194" w:rsidR="00B3578C">
        <w:rPr>
          <w:rFonts w:cs="Segoe UI"/>
          <w:lang w:eastAsia="en-GB"/>
        </w:rPr>
        <w:t xml:space="preserve"> reinforced thematic leadership and secured participation in key processes like the Mountainous Ranges </w:t>
      </w:r>
      <w:r w:rsidRPr="00D75194" w:rsidDel="00E44CA2" w:rsidR="00B3578C">
        <w:rPr>
          <w:rFonts w:cs="Segoe UI"/>
          <w:lang w:eastAsia="en-GB"/>
        </w:rPr>
        <w:t>Agenda</w:t>
      </w:r>
      <w:r w:rsidRPr="00D75194" w:rsidR="00B3578C">
        <w:rPr>
          <w:rFonts w:cs="Segoe UI"/>
          <w:lang w:eastAsia="en-GB"/>
        </w:rPr>
        <w:t xml:space="preserve">. </w:t>
      </w:r>
    </w:p>
    <w:p w:rsidRPr="00D75194" w:rsidR="000B0CA0" w:rsidP="00A829EE" w:rsidRDefault="000B0CA0" w14:paraId="02940332" w14:textId="17F1F75B">
      <w:pPr>
        <w:rPr>
          <w:rFonts w:cs="Segoe UI"/>
          <w:lang w:eastAsia="en-GB"/>
        </w:rPr>
      </w:pPr>
      <w:r w:rsidRPr="00D75194">
        <w:rPr>
          <w:rFonts w:cs="Segoe UI"/>
          <w:b/>
          <w:bCs/>
          <w:lang w:eastAsia="en-GB"/>
        </w:rPr>
        <w:t xml:space="preserve">CASA II has overachieved across all logframe outputs and sustained a very high level of satisfaction </w:t>
      </w:r>
      <w:proofErr w:type="gramStart"/>
      <w:r w:rsidRPr="00D75194">
        <w:rPr>
          <w:rFonts w:cs="Segoe UI"/>
          <w:b/>
          <w:bCs/>
          <w:lang w:eastAsia="en-GB"/>
        </w:rPr>
        <w:t xml:space="preserve">with </w:t>
      </w:r>
      <w:r w:rsidRPr="037509AB">
        <w:rPr>
          <w:rFonts w:cs="Segoe UI"/>
          <w:b/>
          <w:bCs/>
          <w:lang w:eastAsia="en-GB"/>
        </w:rPr>
        <w:t>regard</w:t>
      </w:r>
      <w:r w:rsidRPr="00D75194">
        <w:rPr>
          <w:rFonts w:cs="Segoe UI"/>
          <w:b/>
          <w:bCs/>
          <w:lang w:eastAsia="en-GB"/>
        </w:rPr>
        <w:t xml:space="preserve"> to</w:t>
      </w:r>
      <w:proofErr w:type="gramEnd"/>
      <w:r w:rsidRPr="00D75194">
        <w:rPr>
          <w:rFonts w:cs="Segoe UI"/>
          <w:b/>
          <w:bCs/>
          <w:lang w:eastAsia="en-GB"/>
        </w:rPr>
        <w:t xml:space="preserve"> </w:t>
      </w:r>
      <w:r w:rsidRPr="00D75194" w:rsidR="00C43000">
        <w:rPr>
          <w:rFonts w:cs="Segoe UI"/>
          <w:b/>
          <w:bCs/>
          <w:lang w:eastAsia="en-GB"/>
        </w:rPr>
        <w:t xml:space="preserve">the </w:t>
      </w:r>
      <w:r w:rsidRPr="00D75194">
        <w:rPr>
          <w:rFonts w:cs="Segoe UI"/>
          <w:b/>
          <w:bCs/>
          <w:lang w:eastAsia="en-GB"/>
        </w:rPr>
        <w:t xml:space="preserve">support provided. </w:t>
      </w:r>
      <w:r w:rsidRPr="00D75194" w:rsidR="00D26088">
        <w:rPr>
          <w:rFonts w:cs="Segoe UI"/>
          <w:b/>
          <w:bCs/>
          <w:lang w:eastAsia="en-GB"/>
        </w:rPr>
        <w:t xml:space="preserve">However, </w:t>
      </w:r>
      <w:r w:rsidRPr="037509AB" w:rsidR="00D26088">
        <w:rPr>
          <w:rFonts w:cs="Segoe UI"/>
          <w:b/>
          <w:bCs/>
          <w:lang w:eastAsia="en-GB"/>
        </w:rPr>
        <w:t>t</w:t>
      </w:r>
      <w:r w:rsidRPr="037509AB" w:rsidR="007E100D">
        <w:rPr>
          <w:rFonts w:cs="Segoe UI"/>
          <w:b/>
          <w:bCs/>
          <w:lang w:eastAsia="en-GB"/>
        </w:rPr>
        <w:t>he</w:t>
      </w:r>
      <w:r w:rsidRPr="00D75194" w:rsidR="007E100D">
        <w:rPr>
          <w:rFonts w:cs="Segoe UI"/>
          <w:b/>
          <w:lang w:eastAsia="en-GB"/>
        </w:rPr>
        <w:t xml:space="preserve"> LEP team question whether the level of </w:t>
      </w:r>
      <w:r w:rsidRPr="00D75194" w:rsidR="003B5B5E">
        <w:rPr>
          <w:rFonts w:cs="Segoe UI"/>
          <w:b/>
          <w:lang w:eastAsia="en-GB"/>
        </w:rPr>
        <w:t xml:space="preserve">the </w:t>
      </w:r>
      <w:r w:rsidRPr="00D75194" w:rsidR="007E100D">
        <w:rPr>
          <w:rFonts w:cs="Segoe UI"/>
          <w:b/>
          <w:lang w:eastAsia="en-GB"/>
        </w:rPr>
        <w:t>programme</w:t>
      </w:r>
      <w:r w:rsidRPr="00D75194" w:rsidR="003B5B5E">
        <w:rPr>
          <w:rFonts w:cs="Segoe UI"/>
          <w:b/>
          <w:lang w:eastAsia="en-GB"/>
        </w:rPr>
        <w:t>’s</w:t>
      </w:r>
      <w:r w:rsidRPr="00D75194" w:rsidR="007E100D">
        <w:rPr>
          <w:rFonts w:cs="Segoe UI"/>
          <w:b/>
          <w:lang w:eastAsia="en-GB"/>
        </w:rPr>
        <w:t xml:space="preserve"> ambition </w:t>
      </w:r>
      <w:r w:rsidRPr="00D75194" w:rsidR="003B5B5E">
        <w:rPr>
          <w:rFonts w:cs="Segoe UI"/>
          <w:b/>
          <w:lang w:eastAsia="en-GB"/>
        </w:rPr>
        <w:t>has been</w:t>
      </w:r>
      <w:r w:rsidRPr="00D75194" w:rsidR="008D3854">
        <w:rPr>
          <w:rFonts w:cs="Segoe UI"/>
          <w:b/>
          <w:bCs/>
          <w:lang w:eastAsia="en-GB"/>
        </w:rPr>
        <w:t xml:space="preserve"> </w:t>
      </w:r>
      <w:r w:rsidRPr="00D75194" w:rsidR="007E100D">
        <w:rPr>
          <w:rFonts w:cs="Segoe UI"/>
          <w:b/>
          <w:bCs/>
          <w:lang w:eastAsia="en-GB"/>
        </w:rPr>
        <w:t>inappropriate</w:t>
      </w:r>
      <w:r w:rsidRPr="00D75194" w:rsidR="000E7CF4">
        <w:rPr>
          <w:rFonts w:cs="Segoe UI"/>
          <w:b/>
          <w:bCs/>
          <w:lang w:eastAsia="en-GB"/>
        </w:rPr>
        <w:t>,</w:t>
      </w:r>
      <w:r w:rsidRPr="00D75194" w:rsidR="00EE59EC">
        <w:rPr>
          <w:rFonts w:cs="Segoe UI"/>
          <w:b/>
          <w:bCs/>
          <w:lang w:eastAsia="en-GB"/>
        </w:rPr>
        <w:t xml:space="preserve"> or </w:t>
      </w:r>
      <w:r w:rsidRPr="00D75194" w:rsidR="007E100D">
        <w:rPr>
          <w:rFonts w:cs="Segoe UI"/>
          <w:b/>
          <w:lang w:eastAsia="en-GB"/>
        </w:rPr>
        <w:t>too modest</w:t>
      </w:r>
      <w:r w:rsidRPr="00D75194" w:rsidR="00EE59EC">
        <w:rPr>
          <w:rFonts w:cs="Segoe UI"/>
          <w:b/>
          <w:lang w:eastAsia="en-GB"/>
        </w:rPr>
        <w:t>,</w:t>
      </w:r>
      <w:r w:rsidRPr="00D75194" w:rsidR="007E100D">
        <w:rPr>
          <w:rFonts w:cs="Segoe UI"/>
          <w:b/>
          <w:bCs/>
          <w:lang w:eastAsia="en-GB"/>
        </w:rPr>
        <w:t xml:space="preserve"> given historic achievements</w:t>
      </w:r>
      <w:r w:rsidRPr="00D75194" w:rsidR="007E100D">
        <w:rPr>
          <w:rFonts w:cs="Segoe UI"/>
          <w:b/>
          <w:lang w:eastAsia="en-GB"/>
        </w:rPr>
        <w:t>.</w:t>
      </w:r>
      <w:r w:rsidRPr="00D75194" w:rsidR="007E100D">
        <w:rPr>
          <w:rFonts w:cs="Segoe UI"/>
          <w:lang w:eastAsia="en-GB"/>
        </w:rPr>
        <w:t xml:space="preserve"> So, w</w:t>
      </w:r>
      <w:r w:rsidRPr="00D75194" w:rsidR="00BF17B0">
        <w:rPr>
          <w:rFonts w:cs="Segoe UI"/>
          <w:lang w:eastAsia="en-GB"/>
        </w:rPr>
        <w:t>hile</w:t>
      </w:r>
      <w:r w:rsidRPr="00D75194" w:rsidR="000B52A0">
        <w:rPr>
          <w:rFonts w:cs="Segoe UI"/>
          <w:b/>
          <w:bCs/>
          <w:lang w:eastAsia="en-GB"/>
        </w:rPr>
        <w:t xml:space="preserve"> </w:t>
      </w:r>
      <w:r w:rsidRPr="00D75194" w:rsidR="000B52A0">
        <w:rPr>
          <w:rFonts w:cs="Segoe UI"/>
          <w:lang w:eastAsia="en-GB"/>
        </w:rPr>
        <w:t>t</w:t>
      </w:r>
      <w:r w:rsidRPr="00D75194">
        <w:rPr>
          <w:rFonts w:cs="Segoe UI"/>
          <w:lang w:eastAsia="en-GB"/>
        </w:rPr>
        <w:t xml:space="preserve">he overwhelming strength of CASA II’s logframe performance, across both individual negotiator and negotiating group capabilities, </w:t>
      </w:r>
      <w:r w:rsidRPr="00D75194" w:rsidR="00567C18">
        <w:rPr>
          <w:rFonts w:cs="Segoe UI"/>
          <w:lang w:eastAsia="en-GB"/>
        </w:rPr>
        <w:t>seems to validat</w:t>
      </w:r>
      <w:r w:rsidRPr="00D75194" w:rsidR="007E100D">
        <w:rPr>
          <w:rFonts w:cs="Segoe UI"/>
          <w:lang w:eastAsia="en-GB"/>
        </w:rPr>
        <w:t xml:space="preserve">e the findings, </w:t>
      </w:r>
      <w:r w:rsidRPr="00D75194" w:rsidR="005B601A">
        <w:rPr>
          <w:rFonts w:cs="Segoe UI"/>
          <w:lang w:eastAsia="en-GB"/>
        </w:rPr>
        <w:t>the LEP team would caution against</w:t>
      </w:r>
      <w:r w:rsidRPr="00D75194" w:rsidR="000C6B1E">
        <w:rPr>
          <w:rFonts w:cs="Segoe UI"/>
          <w:lang w:eastAsia="en-GB"/>
        </w:rPr>
        <w:t xml:space="preserve"> an exaggerated </w:t>
      </w:r>
      <w:r w:rsidRPr="00D75194" w:rsidR="002C56D7">
        <w:rPr>
          <w:rFonts w:cs="Segoe UI"/>
          <w:lang w:eastAsia="en-GB"/>
        </w:rPr>
        <w:t xml:space="preserve">positive </w:t>
      </w:r>
      <w:r w:rsidRPr="00D75194" w:rsidR="000C6B1E">
        <w:rPr>
          <w:rFonts w:cs="Segoe UI"/>
          <w:lang w:eastAsia="en-GB"/>
        </w:rPr>
        <w:t xml:space="preserve">view of performance relative to </w:t>
      </w:r>
      <w:r w:rsidRPr="00D75194" w:rsidR="00CA79E7">
        <w:rPr>
          <w:rFonts w:cs="Segoe UI"/>
          <w:lang w:eastAsia="en-GB"/>
        </w:rPr>
        <w:t xml:space="preserve">strong </w:t>
      </w:r>
      <w:r w:rsidRPr="00D75194" w:rsidR="000C6B1E">
        <w:rPr>
          <w:rFonts w:cs="Segoe UI"/>
          <w:lang w:eastAsia="en-GB"/>
        </w:rPr>
        <w:t>historical results</w:t>
      </w:r>
      <w:r w:rsidRPr="00D75194" w:rsidR="00B46490">
        <w:rPr>
          <w:rFonts w:cs="Segoe UI"/>
          <w:lang w:eastAsia="en-GB"/>
        </w:rPr>
        <w:t xml:space="preserve">. </w:t>
      </w:r>
    </w:p>
    <w:p w:rsidRPr="00D75194" w:rsidR="00A829EE" w:rsidP="00A829EE" w:rsidRDefault="00A829EE" w14:paraId="4B2D5657" w14:textId="77777777">
      <w:pPr>
        <w:spacing w:after="0"/>
        <w:rPr>
          <w:b/>
          <w:i/>
        </w:rPr>
      </w:pPr>
      <w:r w:rsidRPr="00D75194">
        <w:rPr>
          <w:b/>
          <w:i/>
        </w:rPr>
        <w:t xml:space="preserve">Strength of evidence </w:t>
      </w:r>
    </w:p>
    <w:p w:rsidRPr="00D75194" w:rsidR="00A829EE" w:rsidP="00A829EE" w:rsidRDefault="00A829EE" w14:paraId="255628B7" w14:textId="7431CB0A">
      <w:pPr>
        <w:spacing w:after="0"/>
        <w:rPr>
          <w:rFonts w:eastAsia="Aptos" w:asciiTheme="minorHAnsi" w:hAnsiTheme="minorHAnsi"/>
        </w:rPr>
      </w:pPr>
      <w:r w:rsidRPr="00D75194">
        <w:t xml:space="preserve">The purpose of this </w:t>
      </w:r>
      <w:r w:rsidRPr="00D75194" w:rsidR="00016972">
        <w:t xml:space="preserve">evaluation question </w:t>
      </w:r>
      <w:r w:rsidRPr="00D75194">
        <w:t xml:space="preserve">is to review the effectiveness of CASA II support in achieving its intended results, surfacing what has helped and hindered the programme’s effectiveness. </w:t>
      </w:r>
    </w:p>
    <w:p w:rsidRPr="00D75194" w:rsidR="00A829EE" w:rsidP="00A829EE" w:rsidRDefault="00A829EE" w14:paraId="7564B78A" w14:textId="77777777">
      <w:pPr>
        <w:spacing w:after="0"/>
        <w:rPr>
          <w:rFonts w:eastAsia="Aptos" w:asciiTheme="minorHAnsi" w:hAnsiTheme="minorHAnsi" w:cstheme="minorHAnsi"/>
        </w:rPr>
      </w:pPr>
      <w:r w:rsidRPr="00D75194">
        <w:t> </w:t>
      </w:r>
    </w:p>
    <w:p w:rsidRPr="00D75194" w:rsidR="00A829EE" w:rsidP="00A829EE" w:rsidRDefault="00A829EE" w14:paraId="33E218C7" w14:textId="663E1250">
      <w:pPr>
        <w:pStyle w:val="Caption"/>
        <w:keepNext/>
      </w:pPr>
      <w:bookmarkStart w:name="_Toc180599810" w:id="83"/>
      <w:bookmarkStart w:name="_Toc214452997" w:id="84"/>
      <w:r w:rsidRPr="00D75194">
        <w:t xml:space="preserve">Table </w:t>
      </w:r>
      <w:r w:rsidRPr="00D75194">
        <w:fldChar w:fldCharType="begin"/>
      </w:r>
      <w:r w:rsidRPr="00D75194">
        <w:instrText xml:space="preserve"> SEQ Table \* ARABIC </w:instrText>
      </w:r>
      <w:r w:rsidRPr="00D75194">
        <w:fldChar w:fldCharType="separate"/>
      </w:r>
      <w:r w:rsidRPr="00D75194" w:rsidR="004D7A82">
        <w:t>8</w:t>
      </w:r>
      <w:r w:rsidRPr="00D75194">
        <w:fldChar w:fldCharType="end"/>
      </w:r>
      <w:r w:rsidRPr="00D75194">
        <w:t>: Strength of evidence</w:t>
      </w:r>
      <w:r w:rsidRPr="00D75194" w:rsidR="00E70920">
        <w:t>—</w:t>
      </w:r>
      <w:r w:rsidRPr="00D75194">
        <w:t>effectiveness</w:t>
      </w:r>
      <w:bookmarkEnd w:id="83"/>
      <w:bookmarkEnd w:id="84"/>
      <w:r w:rsidRPr="00D75194">
        <w:t xml:space="preserve"> </w:t>
      </w:r>
    </w:p>
    <w:tbl>
      <w:tblPr>
        <w:tblStyle w:val="TableGrid10"/>
        <w:tblW w:w="0" w:type="auto"/>
        <w:tblLook w:val="04A0" w:firstRow="1" w:lastRow="0" w:firstColumn="1" w:lastColumn="0" w:noHBand="0" w:noVBand="1"/>
      </w:tblPr>
      <w:tblGrid>
        <w:gridCol w:w="985"/>
        <w:gridCol w:w="1530"/>
        <w:gridCol w:w="1980"/>
        <w:gridCol w:w="4855"/>
      </w:tblGrid>
      <w:tr w:rsidRPr="00D75194" w:rsidR="00A829EE" w:rsidTr="037509AB" w14:paraId="77854E09" w14:textId="77777777">
        <w:trPr>
          <w:trHeight w:val="440"/>
        </w:trPr>
        <w:tc>
          <w:tcPr>
            <w:tcW w:w="985" w:type="dxa"/>
            <w:shd w:val="clear" w:color="auto" w:fill="D9D9D9" w:themeFill="background1" w:themeFillShade="D9"/>
            <w:vAlign w:val="center"/>
          </w:tcPr>
          <w:p w:rsidRPr="00D75194" w:rsidR="00A829EE" w:rsidP="002529D1" w:rsidRDefault="00A829EE" w14:paraId="03DD56A6" w14:textId="77777777">
            <w:pPr>
              <w:spacing w:after="0"/>
              <w:rPr>
                <w:rFonts w:eastAsia="Aptos" w:asciiTheme="minorHAnsi" w:hAnsiTheme="minorHAnsi" w:cstheme="minorHAnsi"/>
                <w:b/>
                <w:bCs/>
                <w:sz w:val="18"/>
                <w:szCs w:val="18"/>
              </w:rPr>
            </w:pPr>
            <w:r w:rsidRPr="00D75194">
              <w:rPr>
                <w:rFonts w:eastAsia="Aptos" w:asciiTheme="minorHAnsi" w:hAnsiTheme="minorHAnsi" w:cstheme="minorHAnsi"/>
                <w:b/>
                <w:bCs/>
                <w:sz w:val="18"/>
                <w:szCs w:val="18"/>
              </w:rPr>
              <w:t>Rating</w:t>
            </w:r>
          </w:p>
        </w:tc>
        <w:tc>
          <w:tcPr>
            <w:tcW w:w="1530" w:type="dxa"/>
            <w:shd w:val="clear" w:color="auto" w:fill="D9D9D9" w:themeFill="background1" w:themeFillShade="D9"/>
            <w:vAlign w:val="center"/>
          </w:tcPr>
          <w:p w:rsidRPr="00D75194" w:rsidR="00A829EE" w:rsidP="002529D1" w:rsidRDefault="00A829EE" w14:paraId="5D51D54D" w14:textId="77777777">
            <w:pPr>
              <w:spacing w:after="0"/>
              <w:rPr>
                <w:rFonts w:eastAsia="Aptos" w:asciiTheme="minorHAnsi" w:hAnsiTheme="minorHAnsi" w:cstheme="minorHAnsi"/>
                <w:b/>
                <w:bCs/>
                <w:sz w:val="18"/>
                <w:szCs w:val="18"/>
              </w:rPr>
            </w:pPr>
            <w:r w:rsidRPr="00D75194">
              <w:rPr>
                <w:rFonts w:eastAsia="Aptos" w:asciiTheme="minorHAnsi" w:hAnsiTheme="minorHAnsi" w:cstheme="minorHAnsi"/>
                <w:b/>
                <w:bCs/>
                <w:sz w:val="18"/>
                <w:szCs w:val="18"/>
              </w:rPr>
              <w:t>Statement</w:t>
            </w:r>
          </w:p>
        </w:tc>
        <w:tc>
          <w:tcPr>
            <w:tcW w:w="1980" w:type="dxa"/>
            <w:shd w:val="clear" w:color="auto" w:fill="D9D9D9" w:themeFill="background1" w:themeFillShade="D9"/>
            <w:vAlign w:val="center"/>
          </w:tcPr>
          <w:p w:rsidRPr="00D75194" w:rsidR="00A829EE" w:rsidP="002529D1" w:rsidRDefault="00A829EE" w14:paraId="2770D140" w14:textId="77777777">
            <w:pPr>
              <w:spacing w:after="0"/>
              <w:rPr>
                <w:rFonts w:eastAsia="Aptos" w:asciiTheme="minorHAnsi" w:hAnsiTheme="minorHAnsi" w:cstheme="minorHAnsi"/>
                <w:b/>
                <w:bCs/>
                <w:sz w:val="18"/>
                <w:szCs w:val="18"/>
              </w:rPr>
            </w:pPr>
            <w:r w:rsidRPr="00D75194">
              <w:rPr>
                <w:rFonts w:eastAsia="Aptos" w:asciiTheme="minorHAnsi" w:hAnsiTheme="minorHAnsi" w:cstheme="minorHAnsi"/>
                <w:b/>
                <w:bCs/>
                <w:sz w:val="18"/>
                <w:szCs w:val="18"/>
              </w:rPr>
              <w:t xml:space="preserve">Definition </w:t>
            </w:r>
          </w:p>
        </w:tc>
        <w:tc>
          <w:tcPr>
            <w:tcW w:w="4855" w:type="dxa"/>
            <w:shd w:val="clear" w:color="auto" w:fill="D9D9D9" w:themeFill="background1" w:themeFillShade="D9"/>
            <w:vAlign w:val="center"/>
          </w:tcPr>
          <w:p w:rsidRPr="00D75194" w:rsidR="00A829EE" w:rsidP="002529D1" w:rsidRDefault="00A829EE" w14:paraId="2E185BC5" w14:textId="77777777">
            <w:pPr>
              <w:spacing w:after="0"/>
              <w:rPr>
                <w:rFonts w:eastAsia="Aptos" w:asciiTheme="minorHAnsi" w:hAnsiTheme="minorHAnsi" w:cstheme="minorHAnsi"/>
                <w:b/>
                <w:bCs/>
                <w:sz w:val="18"/>
                <w:szCs w:val="18"/>
              </w:rPr>
            </w:pPr>
            <w:r w:rsidRPr="00D75194">
              <w:rPr>
                <w:rFonts w:eastAsia="Aptos" w:asciiTheme="minorHAnsi" w:hAnsiTheme="minorHAnsi" w:cstheme="minorHAnsi"/>
                <w:b/>
                <w:bCs/>
                <w:sz w:val="18"/>
                <w:szCs w:val="18"/>
              </w:rPr>
              <w:t xml:space="preserve">Description </w:t>
            </w:r>
          </w:p>
        </w:tc>
      </w:tr>
      <w:tr w:rsidRPr="00D75194" w:rsidR="00965C90" w:rsidTr="000E7A3D" w14:paraId="4DAF4F93" w14:textId="77777777">
        <w:trPr>
          <w:trHeight w:val="1632"/>
        </w:trPr>
        <w:tc>
          <w:tcPr>
            <w:tcW w:w="985" w:type="dxa"/>
            <w:shd w:val="clear" w:color="auto" w:fill="00B050"/>
            <w:vAlign w:val="center"/>
          </w:tcPr>
          <w:p w:rsidRPr="00D75194" w:rsidR="00965C90" w:rsidP="00116AB2" w:rsidRDefault="00965C90" w14:paraId="500F9552" w14:textId="595C5BC3">
            <w:pPr>
              <w:spacing w:after="0"/>
              <w:jc w:val="left"/>
              <w:rPr>
                <w:rFonts w:eastAsia="Aptos" w:asciiTheme="minorHAnsi" w:hAnsiTheme="minorHAnsi"/>
                <w:b/>
                <w:sz w:val="18"/>
                <w:szCs w:val="18"/>
              </w:rPr>
            </w:pPr>
            <w:r w:rsidRPr="00D75194">
              <w:rPr>
                <w:b/>
                <w:bCs/>
                <w:sz w:val="18"/>
                <w:szCs w:val="18"/>
              </w:rPr>
              <w:t xml:space="preserve">Strong evidence </w:t>
            </w:r>
          </w:p>
        </w:tc>
        <w:tc>
          <w:tcPr>
            <w:tcW w:w="1530" w:type="dxa"/>
            <w:vAlign w:val="center"/>
          </w:tcPr>
          <w:p w:rsidRPr="00D75194" w:rsidR="00965C90" w:rsidP="00116AB2" w:rsidRDefault="00965C90" w14:paraId="00E053EB" w14:textId="47392400">
            <w:pPr>
              <w:spacing w:after="0"/>
              <w:jc w:val="left"/>
              <w:rPr>
                <w:rFonts w:eastAsia="Aptos" w:asciiTheme="minorHAnsi" w:hAnsiTheme="minorHAnsi" w:cstheme="minorHAnsi"/>
                <w:sz w:val="18"/>
                <w:szCs w:val="18"/>
              </w:rPr>
            </w:pPr>
            <w:r w:rsidRPr="00D75194">
              <w:rPr>
                <w:sz w:val="18"/>
                <w:szCs w:val="18"/>
              </w:rPr>
              <w:t xml:space="preserve">There is clear and corroborative evidence to make a judgement </w:t>
            </w:r>
          </w:p>
        </w:tc>
        <w:tc>
          <w:tcPr>
            <w:tcW w:w="1980" w:type="dxa"/>
            <w:vAlign w:val="center"/>
          </w:tcPr>
          <w:p w:rsidRPr="00D75194" w:rsidR="00965C90" w:rsidP="00116AB2" w:rsidRDefault="00965C90" w14:paraId="39000BC7" w14:textId="3F37E2A1">
            <w:pPr>
              <w:spacing w:after="0"/>
              <w:jc w:val="left"/>
              <w:rPr>
                <w:rFonts w:eastAsia="Aptos" w:asciiTheme="minorHAnsi" w:hAnsiTheme="minorHAnsi"/>
                <w:sz w:val="18"/>
                <w:szCs w:val="18"/>
              </w:rPr>
            </w:pPr>
            <w:r w:rsidRPr="00D75194">
              <w:rPr>
                <w:sz w:val="18"/>
                <w:szCs w:val="18"/>
              </w:rPr>
              <w:t xml:space="preserve">Evidence </w:t>
            </w:r>
            <w:r w:rsidRPr="037509AB" w:rsidR="00B02994">
              <w:rPr>
                <w:sz w:val="18"/>
                <w:szCs w:val="18"/>
              </w:rPr>
              <w:t>can</w:t>
            </w:r>
            <w:r w:rsidRPr="00D75194">
              <w:rPr>
                <w:sz w:val="18"/>
                <w:szCs w:val="18"/>
              </w:rPr>
              <w:t xml:space="preserve"> be corroborated </w:t>
            </w:r>
            <w:r w:rsidRPr="00D75194" w:rsidR="00B02994">
              <w:rPr>
                <w:sz w:val="18"/>
                <w:szCs w:val="18"/>
              </w:rPr>
              <w:t xml:space="preserve">by </w:t>
            </w:r>
            <w:r w:rsidRPr="00D75194">
              <w:rPr>
                <w:sz w:val="18"/>
                <w:szCs w:val="18"/>
              </w:rPr>
              <w:t>monitoring data, programme documents, and primary data to support a judgement</w:t>
            </w:r>
          </w:p>
        </w:tc>
        <w:tc>
          <w:tcPr>
            <w:tcW w:w="4855" w:type="dxa"/>
            <w:vAlign w:val="center"/>
          </w:tcPr>
          <w:p w:rsidRPr="00D75194" w:rsidR="00965C90" w:rsidP="00116AB2" w:rsidRDefault="00E107D6" w14:paraId="51D0ADFB" w14:textId="5CEAB014">
            <w:pPr>
              <w:spacing w:after="0"/>
              <w:jc w:val="left"/>
              <w:rPr>
                <w:rFonts w:eastAsia="Aptos" w:asciiTheme="minorHAnsi" w:hAnsiTheme="minorHAnsi"/>
                <w:sz w:val="18"/>
                <w:szCs w:val="18"/>
              </w:rPr>
            </w:pPr>
            <w:r w:rsidRPr="037509AB">
              <w:rPr>
                <w:rFonts w:eastAsia="Aptos" w:asciiTheme="minorHAnsi" w:hAnsiTheme="minorHAnsi"/>
                <w:sz w:val="18"/>
                <w:szCs w:val="18"/>
              </w:rPr>
              <w:t xml:space="preserve">The LEP team benefited from over </w:t>
            </w:r>
            <w:r w:rsidRPr="037509AB" w:rsidR="00364026">
              <w:rPr>
                <w:rFonts w:eastAsia="Aptos" w:asciiTheme="minorHAnsi" w:hAnsiTheme="minorHAnsi"/>
                <w:sz w:val="18"/>
                <w:szCs w:val="18"/>
              </w:rPr>
              <w:t>48</w:t>
            </w:r>
            <w:r w:rsidRPr="037509AB">
              <w:rPr>
                <w:rFonts w:eastAsia="Aptos" w:asciiTheme="minorHAnsi" w:hAnsiTheme="minorHAnsi"/>
                <w:sz w:val="18"/>
                <w:szCs w:val="18"/>
              </w:rPr>
              <w:t xml:space="preserve"> KII</w:t>
            </w:r>
            <w:r w:rsidRPr="037509AB" w:rsidR="000E7A3D">
              <w:rPr>
                <w:rFonts w:eastAsia="Aptos" w:asciiTheme="minorHAnsi" w:hAnsiTheme="minorHAnsi"/>
                <w:sz w:val="18"/>
                <w:szCs w:val="18"/>
              </w:rPr>
              <w:t>s</w:t>
            </w:r>
            <w:r w:rsidRPr="037509AB" w:rsidR="00364026">
              <w:rPr>
                <w:rFonts w:eastAsia="Aptos" w:asciiTheme="minorHAnsi" w:hAnsiTheme="minorHAnsi"/>
                <w:sz w:val="18"/>
                <w:szCs w:val="18"/>
              </w:rPr>
              <w:t xml:space="preserve"> with 74 individuals</w:t>
            </w:r>
            <w:r w:rsidRPr="037509AB">
              <w:rPr>
                <w:rFonts w:eastAsia="Aptos" w:asciiTheme="minorHAnsi" w:hAnsiTheme="minorHAnsi"/>
                <w:sz w:val="18"/>
                <w:szCs w:val="18"/>
              </w:rPr>
              <w:t xml:space="preserve"> and </w:t>
            </w:r>
            <w:r w:rsidRPr="037509AB" w:rsidR="003B3D88">
              <w:rPr>
                <w:rFonts w:eastAsia="Aptos" w:asciiTheme="minorHAnsi" w:hAnsiTheme="minorHAnsi"/>
                <w:sz w:val="18"/>
                <w:szCs w:val="18"/>
              </w:rPr>
              <w:t>35</w:t>
            </w:r>
            <w:r w:rsidRPr="037509AB">
              <w:rPr>
                <w:rFonts w:eastAsia="Aptos" w:asciiTheme="minorHAnsi" w:hAnsiTheme="minorHAnsi"/>
                <w:sz w:val="18"/>
                <w:szCs w:val="18"/>
              </w:rPr>
              <w:t xml:space="preserve"> </w:t>
            </w:r>
            <w:r w:rsidRPr="037509AB" w:rsidR="003B3D88">
              <w:rPr>
                <w:rFonts w:eastAsia="Aptos" w:asciiTheme="minorHAnsi" w:hAnsiTheme="minorHAnsi"/>
                <w:sz w:val="18"/>
                <w:szCs w:val="18"/>
              </w:rPr>
              <w:t xml:space="preserve">coded </w:t>
            </w:r>
            <w:r w:rsidRPr="037509AB">
              <w:rPr>
                <w:rFonts w:eastAsia="Aptos" w:asciiTheme="minorHAnsi" w:hAnsiTheme="minorHAnsi"/>
                <w:sz w:val="18"/>
                <w:szCs w:val="18"/>
              </w:rPr>
              <w:t xml:space="preserve">documents. </w:t>
            </w:r>
            <w:r w:rsidRPr="037509AB" w:rsidR="00676FBB">
              <w:rPr>
                <w:rFonts w:eastAsia="Aptos" w:asciiTheme="minorHAnsi" w:hAnsiTheme="minorHAnsi"/>
                <w:sz w:val="18"/>
                <w:szCs w:val="18"/>
              </w:rPr>
              <w:t xml:space="preserve">The coding process </w:t>
            </w:r>
            <w:r w:rsidRPr="037509AB" w:rsidR="67A2E5A3">
              <w:rPr>
                <w:rFonts w:eastAsia="Aptos" w:asciiTheme="minorHAnsi" w:hAnsiTheme="minorHAnsi"/>
                <w:sz w:val="18"/>
                <w:szCs w:val="18"/>
              </w:rPr>
              <w:t>in</w:t>
            </w:r>
            <w:r w:rsidRPr="037509AB" w:rsidR="00676FBB">
              <w:rPr>
                <w:rFonts w:eastAsia="Aptos" w:asciiTheme="minorHAnsi" w:hAnsiTheme="minorHAnsi"/>
                <w:sz w:val="18"/>
                <w:szCs w:val="18"/>
              </w:rPr>
              <w:t xml:space="preserve"> MAXQDA resulted in over </w:t>
            </w:r>
            <w:r w:rsidRPr="037509AB" w:rsidR="0021712A">
              <w:rPr>
                <w:rFonts w:eastAsia="Aptos" w:asciiTheme="minorHAnsi" w:hAnsiTheme="minorHAnsi"/>
                <w:sz w:val="18"/>
                <w:szCs w:val="18"/>
              </w:rPr>
              <w:t>500</w:t>
            </w:r>
            <w:r w:rsidRPr="037509AB" w:rsidR="00676FBB">
              <w:rPr>
                <w:rFonts w:eastAsia="Aptos" w:asciiTheme="minorHAnsi" w:hAnsiTheme="minorHAnsi"/>
                <w:sz w:val="18"/>
                <w:szCs w:val="18"/>
              </w:rPr>
              <w:t xml:space="preserve"> codes allocated to effectiveness. </w:t>
            </w:r>
            <w:r w:rsidRPr="037509AB" w:rsidR="0097526B">
              <w:rPr>
                <w:rFonts w:eastAsia="Aptos" w:asciiTheme="minorHAnsi" w:hAnsiTheme="minorHAnsi"/>
                <w:sz w:val="18"/>
                <w:szCs w:val="18"/>
              </w:rPr>
              <w:t>The production of six contribution stories meant that the team</w:t>
            </w:r>
            <w:r w:rsidRPr="037509AB" w:rsidR="007E2500">
              <w:rPr>
                <w:rFonts w:eastAsia="Aptos" w:asciiTheme="minorHAnsi" w:hAnsiTheme="minorHAnsi"/>
                <w:sz w:val="18"/>
                <w:szCs w:val="18"/>
              </w:rPr>
              <w:t xml:space="preserve"> circled back to TPs and others to validate statements</w:t>
            </w:r>
            <w:r w:rsidRPr="037509AB" w:rsidR="00130454">
              <w:rPr>
                <w:rFonts w:eastAsia="Aptos" w:asciiTheme="minorHAnsi" w:hAnsiTheme="minorHAnsi"/>
                <w:sz w:val="18"/>
                <w:szCs w:val="18"/>
              </w:rPr>
              <w:t xml:space="preserve"> and judgements. </w:t>
            </w:r>
          </w:p>
        </w:tc>
      </w:tr>
    </w:tbl>
    <w:p w:rsidRPr="00D75194" w:rsidR="00BD1C2C" w:rsidP="00116AB2" w:rsidRDefault="00F66357" w14:paraId="0A10AB65" w14:textId="11E21D39">
      <w:pPr>
        <w:rPr>
          <w:lang w:eastAsia="en-GB"/>
        </w:rPr>
      </w:pPr>
      <w:r>
        <w:br/>
      </w:r>
      <w:r w:rsidRPr="00D75194" w:rsidR="00E954B9">
        <w:rPr>
          <w:lang w:eastAsia="en-GB"/>
        </w:rPr>
        <w:t>The discussion of effectiveness is spread across three subsections</w:t>
      </w:r>
      <w:r w:rsidRPr="00D75194" w:rsidR="00561874">
        <w:rPr>
          <w:lang w:eastAsia="en-GB"/>
        </w:rPr>
        <w:t>,</w:t>
      </w:r>
      <w:r w:rsidRPr="00D75194" w:rsidR="00E954B9">
        <w:rPr>
          <w:lang w:eastAsia="en-GB"/>
        </w:rPr>
        <w:t xml:space="preserve"> which consider organisational and institutional strengthening, individual capacity strengthening</w:t>
      </w:r>
      <w:r w:rsidRPr="00D75194" w:rsidR="0024600B">
        <w:rPr>
          <w:lang w:eastAsia="en-GB"/>
        </w:rPr>
        <w:t>,</w:t>
      </w:r>
      <w:r w:rsidRPr="00D75194" w:rsidR="00E954B9">
        <w:rPr>
          <w:lang w:eastAsia="en-GB"/>
        </w:rPr>
        <w:t xml:space="preserve"> and the role of the </w:t>
      </w:r>
      <w:r w:rsidRPr="00D75194" w:rsidR="00E60549">
        <w:rPr>
          <w:lang w:eastAsia="en-GB"/>
        </w:rPr>
        <w:t>OF</w:t>
      </w:r>
      <w:r w:rsidRPr="00D75194" w:rsidR="00E954B9">
        <w:rPr>
          <w:lang w:eastAsia="en-GB"/>
        </w:rPr>
        <w:t>.</w:t>
      </w:r>
      <w:r w:rsidRPr="00D75194" w:rsidDel="006B601D" w:rsidR="00E954B9">
        <w:rPr>
          <w:lang w:eastAsia="en-GB"/>
        </w:rPr>
        <w:t xml:space="preserve"> </w:t>
      </w:r>
      <w:r w:rsidRPr="00D75194" w:rsidR="00721B0D">
        <w:rPr>
          <w:lang w:eastAsia="en-GB"/>
        </w:rPr>
        <w:t xml:space="preserve">To facilitate </w:t>
      </w:r>
      <w:r w:rsidRPr="00D75194" w:rsidR="00096295">
        <w:rPr>
          <w:lang w:eastAsia="en-GB"/>
        </w:rPr>
        <w:t>the reader’s</w:t>
      </w:r>
      <w:r w:rsidRPr="00D75194" w:rsidR="00721B0D">
        <w:rPr>
          <w:lang w:eastAsia="en-GB"/>
        </w:rPr>
        <w:t xml:space="preserve"> navigation to what interests </w:t>
      </w:r>
      <w:r w:rsidRPr="00D75194" w:rsidR="0058452B">
        <w:rPr>
          <w:lang w:eastAsia="en-GB"/>
        </w:rPr>
        <w:t>them</w:t>
      </w:r>
      <w:r w:rsidRPr="00D75194" w:rsidR="00721B0D">
        <w:rPr>
          <w:lang w:eastAsia="en-GB"/>
        </w:rPr>
        <w:t xml:space="preserve"> most, we have</w:t>
      </w:r>
      <w:r w:rsidRPr="00D75194" w:rsidR="00FD3A5A">
        <w:rPr>
          <w:lang w:eastAsia="en-GB"/>
        </w:rPr>
        <w:t xml:space="preserve"> summarised </w:t>
      </w:r>
      <w:r w:rsidRPr="00D75194" w:rsidR="002120F9">
        <w:rPr>
          <w:lang w:eastAsia="en-GB"/>
        </w:rPr>
        <w:t xml:space="preserve">and numbered </w:t>
      </w:r>
      <w:r w:rsidRPr="00D75194" w:rsidR="00FD3A5A">
        <w:rPr>
          <w:lang w:eastAsia="en-GB"/>
        </w:rPr>
        <w:t>the key finding</w:t>
      </w:r>
      <w:r w:rsidRPr="00D75194" w:rsidR="002120F9">
        <w:rPr>
          <w:lang w:eastAsia="en-GB"/>
        </w:rPr>
        <w:t>s at the top of each sub</w:t>
      </w:r>
      <w:r w:rsidRPr="00D75194" w:rsidR="00651F9D">
        <w:rPr>
          <w:lang w:eastAsia="en-GB"/>
        </w:rPr>
        <w:t>-</w:t>
      </w:r>
      <w:r w:rsidRPr="00D75194" w:rsidR="002120F9">
        <w:rPr>
          <w:lang w:eastAsia="en-GB"/>
        </w:rPr>
        <w:t xml:space="preserve">section. </w:t>
      </w:r>
      <w:r w:rsidRPr="00D75194" w:rsidR="00821887">
        <w:rPr>
          <w:lang w:eastAsia="en-GB"/>
        </w:rPr>
        <w:t xml:space="preserve">The reader </w:t>
      </w:r>
      <w:r w:rsidRPr="00D75194" w:rsidR="00096295">
        <w:rPr>
          <w:lang w:eastAsia="en-GB"/>
        </w:rPr>
        <w:t xml:space="preserve">can </w:t>
      </w:r>
      <w:r w:rsidRPr="00D75194" w:rsidR="00821887">
        <w:rPr>
          <w:lang w:eastAsia="en-GB"/>
        </w:rPr>
        <w:t xml:space="preserve">skip to the findings </w:t>
      </w:r>
      <w:r w:rsidRPr="00D75194" w:rsidR="00C37AB4">
        <w:rPr>
          <w:lang w:eastAsia="en-GB"/>
        </w:rPr>
        <w:t xml:space="preserve">that are </w:t>
      </w:r>
      <w:r w:rsidRPr="00D75194" w:rsidR="00821887">
        <w:rPr>
          <w:lang w:eastAsia="en-GB"/>
        </w:rPr>
        <w:t>of greatest interest</w:t>
      </w:r>
      <w:r w:rsidRPr="00D75194" w:rsidR="00AA2297">
        <w:rPr>
          <w:lang w:eastAsia="en-GB"/>
        </w:rPr>
        <w:t xml:space="preserve"> </w:t>
      </w:r>
      <w:r w:rsidRPr="00D75194" w:rsidR="00C37AB4">
        <w:rPr>
          <w:lang w:eastAsia="en-GB"/>
        </w:rPr>
        <w:t xml:space="preserve">to </w:t>
      </w:r>
      <w:r w:rsidRPr="00D75194" w:rsidR="00190A5A">
        <w:rPr>
          <w:lang w:eastAsia="en-GB"/>
        </w:rPr>
        <w:t>them or</w:t>
      </w:r>
      <w:r w:rsidRPr="00D75194" w:rsidR="00AA2297">
        <w:rPr>
          <w:lang w:eastAsia="en-GB"/>
        </w:rPr>
        <w:t xml:space="preserve"> read through </w:t>
      </w:r>
      <w:r w:rsidRPr="00D75194" w:rsidR="00DC4533">
        <w:rPr>
          <w:lang w:eastAsia="en-GB"/>
        </w:rPr>
        <w:t xml:space="preserve">the section in full. </w:t>
      </w:r>
    </w:p>
    <w:p w:rsidRPr="00D75194" w:rsidR="00A16349" w:rsidP="00F46317" w:rsidRDefault="00A16349" w14:paraId="1B2B4CB9" w14:textId="3DFA22F0">
      <w:pPr>
        <w:pStyle w:val="Heading3"/>
        <w:rPr>
          <w:lang w:eastAsia="en-GB"/>
        </w:rPr>
      </w:pPr>
      <w:bookmarkStart w:name="_Toc204259829" w:id="85"/>
      <w:r w:rsidRPr="00D75194">
        <w:rPr>
          <w:lang w:eastAsia="en-GB"/>
        </w:rPr>
        <w:t xml:space="preserve">Organisational and </w:t>
      </w:r>
      <w:bookmarkEnd w:id="85"/>
      <w:r w:rsidRPr="037509AB" w:rsidR="00171B99">
        <w:rPr>
          <w:lang w:eastAsia="en-GB"/>
        </w:rPr>
        <w:t>i</w:t>
      </w:r>
      <w:r w:rsidRPr="037509AB">
        <w:rPr>
          <w:lang w:eastAsia="en-GB"/>
        </w:rPr>
        <w:t xml:space="preserve">nstitutional </w:t>
      </w:r>
      <w:r w:rsidRPr="037509AB" w:rsidR="00171B99">
        <w:rPr>
          <w:lang w:eastAsia="en-GB"/>
        </w:rPr>
        <w:t>s</w:t>
      </w:r>
      <w:r w:rsidRPr="037509AB">
        <w:rPr>
          <w:lang w:eastAsia="en-GB"/>
        </w:rPr>
        <w:t>trengthening</w:t>
      </w:r>
      <w:r w:rsidRPr="00D75194">
        <w:rPr>
          <w:lang w:eastAsia="en-GB"/>
        </w:rPr>
        <w:t xml:space="preserve"> </w:t>
      </w:r>
    </w:p>
    <w:p w:rsidRPr="00D75194" w:rsidR="005967A4" w:rsidP="00116AB2" w:rsidRDefault="00F742C5" w14:paraId="3511A30E" w14:textId="77D4AD32">
      <w:pPr>
        <w:rPr>
          <w:lang w:eastAsia="en-GB"/>
        </w:rPr>
      </w:pPr>
      <w:r w:rsidRPr="037509AB">
        <w:rPr>
          <w:lang w:eastAsia="en-GB"/>
        </w:rPr>
        <w:t>T</w:t>
      </w:r>
      <w:r w:rsidRPr="037509AB" w:rsidR="005967A4">
        <w:rPr>
          <w:lang w:eastAsia="en-GB"/>
        </w:rPr>
        <w:t>his</w:t>
      </w:r>
      <w:r w:rsidRPr="00D75194" w:rsidR="005967A4">
        <w:rPr>
          <w:lang w:eastAsia="en-GB"/>
        </w:rPr>
        <w:t xml:space="preserve"> sub</w:t>
      </w:r>
      <w:r w:rsidRPr="00D75194" w:rsidR="00EA0B35">
        <w:rPr>
          <w:lang w:eastAsia="en-GB"/>
        </w:rPr>
        <w:t>-</w:t>
      </w:r>
      <w:r w:rsidRPr="00D75194" w:rsidR="005967A4">
        <w:rPr>
          <w:lang w:eastAsia="en-GB"/>
        </w:rPr>
        <w:t>section</w:t>
      </w:r>
      <w:r w:rsidRPr="00D75194">
        <w:rPr>
          <w:lang w:eastAsia="en-GB"/>
        </w:rPr>
        <w:t xml:space="preserve"> presents</w:t>
      </w:r>
      <w:r w:rsidRPr="00D75194">
        <w:t xml:space="preserve"> </w:t>
      </w:r>
      <w:r w:rsidRPr="00D75194">
        <w:rPr>
          <w:lang w:eastAsia="en-GB"/>
        </w:rPr>
        <w:t>five key findings</w:t>
      </w:r>
      <w:r w:rsidRPr="00D75194" w:rsidR="00726062">
        <w:rPr>
          <w:lang w:eastAsia="en-GB"/>
        </w:rPr>
        <w:t xml:space="preserve">, which are detailed </w:t>
      </w:r>
      <w:r w:rsidRPr="037509AB" w:rsidR="00EF6131">
        <w:rPr>
          <w:lang w:eastAsia="en-GB"/>
        </w:rPr>
        <w:t>in</w:t>
      </w:r>
      <w:r w:rsidRPr="00D75194" w:rsidR="00EF6131">
        <w:rPr>
          <w:lang w:eastAsia="en-GB"/>
        </w:rPr>
        <w:t xml:space="preserve"> the following paragraphs</w:t>
      </w:r>
      <w:r w:rsidRPr="00D75194" w:rsidR="00726062">
        <w:rPr>
          <w:lang w:eastAsia="en-GB"/>
        </w:rPr>
        <w:t>.</w:t>
      </w:r>
    </w:p>
    <w:p w:rsidRPr="00D75194" w:rsidR="0058678F" w:rsidP="00866E69" w:rsidRDefault="00A16349" w14:paraId="6374BD21" w14:textId="169E8DE2">
      <w:pPr>
        <w:pStyle w:val="ListParagraph"/>
        <w:numPr>
          <w:ilvl w:val="0"/>
          <w:numId w:val="32"/>
        </w:numPr>
        <w:rPr>
          <w:rFonts w:cs="Segoe UI"/>
          <w:lang w:eastAsia="en-GB"/>
        </w:rPr>
      </w:pPr>
      <w:r w:rsidRPr="00D75194">
        <w:rPr>
          <w:rFonts w:cs="Segoe UI"/>
          <w:lang w:eastAsia="en-GB"/>
        </w:rPr>
        <w:t xml:space="preserve">There is strong evidence that CASA II </w:t>
      </w:r>
      <w:r w:rsidRPr="00D75194" w:rsidR="0021245F">
        <w:rPr>
          <w:rFonts w:cs="Segoe UI"/>
          <w:lang w:eastAsia="en-GB"/>
        </w:rPr>
        <w:t xml:space="preserve">has </w:t>
      </w:r>
      <w:r w:rsidRPr="00D75194">
        <w:rPr>
          <w:rFonts w:cs="Segoe UI"/>
          <w:lang w:eastAsia="en-GB"/>
        </w:rPr>
        <w:t>made a critical contribution to strengthening the LDC Group</w:t>
      </w:r>
      <w:r w:rsidRPr="00D75194" w:rsidR="000E2349">
        <w:rPr>
          <w:rFonts w:cs="Segoe UI"/>
          <w:lang w:eastAsia="en-GB"/>
        </w:rPr>
        <w:t>’s</w:t>
      </w:r>
      <w:r w:rsidRPr="00D75194">
        <w:rPr>
          <w:rFonts w:cs="Segoe UI"/>
          <w:lang w:eastAsia="en-GB"/>
        </w:rPr>
        <w:t xml:space="preserve"> and</w:t>
      </w:r>
      <w:r w:rsidRPr="00D75194" w:rsidR="00D92319">
        <w:rPr>
          <w:rFonts w:cs="Segoe UI"/>
          <w:lang w:eastAsia="en-GB"/>
        </w:rPr>
        <w:t xml:space="preserve"> the</w:t>
      </w:r>
      <w:r w:rsidRPr="00D75194">
        <w:rPr>
          <w:rFonts w:cs="Segoe UI"/>
          <w:lang w:eastAsia="en-GB"/>
        </w:rPr>
        <w:t xml:space="preserve"> HAC</w:t>
      </w:r>
      <w:r w:rsidRPr="00D75194" w:rsidR="000E2349">
        <w:rPr>
          <w:rFonts w:cs="Segoe UI"/>
          <w:lang w:eastAsia="en-GB"/>
        </w:rPr>
        <w:t>’s</w:t>
      </w:r>
      <w:r w:rsidRPr="00D75194">
        <w:rPr>
          <w:rFonts w:cs="Segoe UI"/>
          <w:lang w:eastAsia="en-GB"/>
        </w:rPr>
        <w:t xml:space="preserve"> organisational </w:t>
      </w:r>
      <w:r w:rsidRPr="00D75194" w:rsidR="00190A5A">
        <w:rPr>
          <w:rFonts w:cs="Segoe UI"/>
          <w:lang w:eastAsia="en-GB"/>
        </w:rPr>
        <w:t>capability and</w:t>
      </w:r>
      <w:r w:rsidRPr="00D75194" w:rsidR="00B023DA">
        <w:rPr>
          <w:rFonts w:cs="Segoe UI"/>
          <w:lang w:eastAsia="en-GB"/>
        </w:rPr>
        <w:t xml:space="preserve"> has</w:t>
      </w:r>
      <w:r w:rsidRPr="00D75194">
        <w:rPr>
          <w:rFonts w:cs="Segoe UI"/>
          <w:lang w:eastAsia="en-GB"/>
        </w:rPr>
        <w:t xml:space="preserve"> supported sustainable institutional capacity in the case of the LDC Group. </w:t>
      </w:r>
    </w:p>
    <w:p w:rsidRPr="00D75194" w:rsidR="0058678F" w:rsidP="00866E69" w:rsidRDefault="00BD1C2C" w14:paraId="07771878" w14:textId="030228A2">
      <w:pPr>
        <w:pStyle w:val="ListParagraph"/>
        <w:numPr>
          <w:ilvl w:val="0"/>
          <w:numId w:val="32"/>
        </w:numPr>
        <w:rPr>
          <w:rFonts w:cs="Segoe UI"/>
          <w:lang w:eastAsia="en-GB"/>
        </w:rPr>
      </w:pPr>
      <w:r w:rsidRPr="00D75194">
        <w:rPr>
          <w:rFonts w:cs="Segoe UI"/>
          <w:lang w:eastAsia="en-GB"/>
        </w:rPr>
        <w:t xml:space="preserve">However, while </w:t>
      </w:r>
      <w:r w:rsidRPr="037509AB" w:rsidR="00690A66">
        <w:rPr>
          <w:rFonts w:cs="Segoe UI"/>
          <w:lang w:eastAsia="en-GB"/>
        </w:rPr>
        <w:t>TP</w:t>
      </w:r>
      <w:r w:rsidRPr="037509AB">
        <w:rPr>
          <w:rFonts w:cs="Segoe UI"/>
          <w:lang w:eastAsia="en-GB"/>
        </w:rPr>
        <w:t>s</w:t>
      </w:r>
      <w:r w:rsidRPr="00D75194">
        <w:rPr>
          <w:rFonts w:cs="Segoe UI"/>
          <w:lang w:eastAsia="en-GB"/>
        </w:rPr>
        <w:t xml:space="preserve"> are generally valued by the LDC Group, lingering concerns around ownership and power asymmetries persist</w:t>
      </w:r>
      <w:r w:rsidRPr="00D75194" w:rsidR="00385704">
        <w:rPr>
          <w:rFonts w:cs="Segoe UI"/>
          <w:lang w:eastAsia="en-GB"/>
        </w:rPr>
        <w:t>.</w:t>
      </w:r>
    </w:p>
    <w:p w:rsidRPr="00D75194" w:rsidR="0058678F" w:rsidP="00866E69" w:rsidRDefault="00690A66" w14:paraId="7435DDC3" w14:textId="5569B746">
      <w:pPr>
        <w:pStyle w:val="ListParagraph"/>
        <w:numPr>
          <w:ilvl w:val="0"/>
          <w:numId w:val="32"/>
        </w:numPr>
        <w:rPr>
          <w:rFonts w:cs="Segoe UI"/>
          <w:lang w:eastAsia="en-GB"/>
        </w:rPr>
      </w:pPr>
      <w:r w:rsidRPr="037509AB">
        <w:rPr>
          <w:rFonts w:cs="Segoe UI"/>
          <w:lang w:eastAsia="en-GB"/>
        </w:rPr>
        <w:t>TP</w:t>
      </w:r>
      <w:r w:rsidRPr="037509AB" w:rsidR="00BD1C2C">
        <w:rPr>
          <w:rFonts w:cs="Segoe UI"/>
          <w:lang w:eastAsia="en-GB"/>
        </w:rPr>
        <w:t>s</w:t>
      </w:r>
      <w:r w:rsidRPr="00D75194" w:rsidR="00BD1C2C">
        <w:rPr>
          <w:rFonts w:cs="Segoe UI"/>
          <w:lang w:eastAsia="en-GB"/>
        </w:rPr>
        <w:t xml:space="preserve"> contributed to the development and adoption of the LDC Charter, enabling transparent chair selection and internal governance</w:t>
      </w:r>
      <w:r w:rsidRPr="00D75194" w:rsidR="00385704">
        <w:rPr>
          <w:rFonts w:cs="Segoe UI"/>
          <w:lang w:eastAsia="en-GB"/>
        </w:rPr>
        <w:t>.</w:t>
      </w:r>
    </w:p>
    <w:p w:rsidRPr="00D75194" w:rsidR="00BD1C2C" w:rsidP="00866E69" w:rsidRDefault="00BD1C2C" w14:paraId="3A73E16F" w14:textId="76AA7E92">
      <w:pPr>
        <w:pStyle w:val="ListParagraph"/>
        <w:numPr>
          <w:ilvl w:val="0"/>
          <w:numId w:val="32"/>
        </w:numPr>
        <w:rPr>
          <w:rFonts w:cs="Segoe UI"/>
          <w:lang w:eastAsia="en-GB"/>
        </w:rPr>
      </w:pPr>
      <w:r w:rsidRPr="00D75194">
        <w:rPr>
          <w:rFonts w:cs="Segoe UI"/>
        </w:rPr>
        <w:t xml:space="preserve">There is also some evidence that CASA II </w:t>
      </w:r>
      <w:r w:rsidRPr="00D75194" w:rsidR="00A676F1">
        <w:rPr>
          <w:rFonts w:cs="Segoe UI"/>
        </w:rPr>
        <w:t xml:space="preserve">has </w:t>
      </w:r>
      <w:r w:rsidRPr="00D75194">
        <w:rPr>
          <w:rFonts w:cs="Segoe UI"/>
        </w:rPr>
        <w:t>made an important contribution to the sustained leadership and presence of RMI as the convenor and chair of the HAC, which in turn</w:t>
      </w:r>
      <w:r w:rsidRPr="00D75194" w:rsidR="00D92319">
        <w:rPr>
          <w:rFonts w:cs="Segoe UI"/>
        </w:rPr>
        <w:t xml:space="preserve"> has</w:t>
      </w:r>
      <w:r w:rsidRPr="00D75194">
        <w:rPr>
          <w:rFonts w:cs="Segoe UI"/>
        </w:rPr>
        <w:t xml:space="preserve"> influenced </w:t>
      </w:r>
      <w:r w:rsidRPr="037509AB" w:rsidR="200D0D02">
        <w:rPr>
          <w:rFonts w:cs="Segoe UI"/>
        </w:rPr>
        <w:t xml:space="preserve">the HAC to achieve </w:t>
      </w:r>
      <w:r w:rsidRPr="00D75194">
        <w:rPr>
          <w:rFonts w:cs="Segoe UI"/>
        </w:rPr>
        <w:t>more ambitious negotiation outcomes by the HAC.</w:t>
      </w:r>
    </w:p>
    <w:p w:rsidRPr="00D75194" w:rsidR="00BD1C2C" w:rsidP="00866E69" w:rsidRDefault="00BD1C2C" w14:paraId="402A150F" w14:textId="644BF4E8">
      <w:pPr>
        <w:pStyle w:val="ListParagraph"/>
        <w:numPr>
          <w:ilvl w:val="0"/>
          <w:numId w:val="32"/>
        </w:numPr>
        <w:rPr>
          <w:rFonts w:cs="Segoe UI"/>
          <w:lang w:eastAsia="en-GB"/>
        </w:rPr>
      </w:pPr>
      <w:r w:rsidRPr="00D75194">
        <w:rPr>
          <w:rFonts w:cs="Segoe UI"/>
          <w:lang w:eastAsia="en-GB"/>
        </w:rPr>
        <w:t xml:space="preserve">In the case of CIES, </w:t>
      </w:r>
      <w:r w:rsidRPr="00D75194">
        <w:rPr>
          <w:rFonts w:cs="Segoe UI"/>
        </w:rPr>
        <w:t>CASA II</w:t>
      </w:r>
      <w:r w:rsidRPr="00D75194" w:rsidDel="006B601D">
        <w:rPr>
          <w:rFonts w:cs="Segoe UI"/>
        </w:rPr>
        <w:t xml:space="preserve"> </w:t>
      </w:r>
      <w:r w:rsidRPr="00D75194" w:rsidR="00053F88">
        <w:rPr>
          <w:rFonts w:cs="Segoe UI"/>
        </w:rPr>
        <w:t xml:space="preserve">has </w:t>
      </w:r>
      <w:r w:rsidRPr="00D75194" w:rsidR="00B65E03">
        <w:rPr>
          <w:rFonts w:cs="Segoe UI"/>
        </w:rPr>
        <w:t>utilised</w:t>
      </w:r>
      <w:r w:rsidRPr="00D75194">
        <w:rPr>
          <w:rFonts w:cs="Segoe UI"/>
        </w:rPr>
        <w:t xml:space="preserve"> the well-established AILAC support unit</w:t>
      </w:r>
      <w:r w:rsidRPr="00D75194">
        <w:rPr>
          <w:rStyle w:val="FootnoteReference"/>
          <w:rFonts w:cs="Segoe UI"/>
        </w:rPr>
        <w:footnoteReference w:id="15"/>
      </w:r>
      <w:r w:rsidRPr="00D75194">
        <w:rPr>
          <w:rFonts w:cs="Segoe UI"/>
        </w:rPr>
        <w:t xml:space="preserve"> (est</w:t>
      </w:r>
      <w:r w:rsidRPr="00D75194" w:rsidR="00053F88">
        <w:rPr>
          <w:rFonts w:cs="Segoe UI"/>
        </w:rPr>
        <w:t>ablished in</w:t>
      </w:r>
      <w:r w:rsidRPr="00D75194">
        <w:rPr>
          <w:rFonts w:cs="Segoe UI"/>
        </w:rPr>
        <w:t xml:space="preserve"> 2013)</w:t>
      </w:r>
      <w:r w:rsidRPr="00D75194" w:rsidR="00053F88">
        <w:rPr>
          <w:rFonts w:cs="Segoe UI"/>
        </w:rPr>
        <w:t>,</w:t>
      </w:r>
      <w:r w:rsidRPr="00D75194">
        <w:rPr>
          <w:rFonts w:cs="Segoe UI"/>
        </w:rPr>
        <w:t xml:space="preserve"> run by CIES</w:t>
      </w:r>
      <w:r w:rsidRPr="00D75194" w:rsidR="00053F88">
        <w:rPr>
          <w:rFonts w:cs="Segoe UI"/>
        </w:rPr>
        <w:t>,</w:t>
      </w:r>
      <w:r w:rsidRPr="00D75194">
        <w:rPr>
          <w:rFonts w:cs="Segoe UI"/>
        </w:rPr>
        <w:t xml:space="preserve"> to expand and continue the chain of support to strengthen domestic institutions.</w:t>
      </w:r>
    </w:p>
    <w:p w:rsidRPr="00D75194" w:rsidR="002B1686" w:rsidP="002B1686" w:rsidRDefault="002B1686" w14:paraId="2D7D370C" w14:textId="77777777">
      <w:pPr>
        <w:rPr>
          <w:rFonts w:cs="Segoe UI"/>
          <w:b/>
          <w:bCs/>
          <w:lang w:eastAsia="en-GB"/>
        </w:rPr>
      </w:pPr>
    </w:p>
    <w:p w:rsidRPr="00D75194" w:rsidR="0066755B" w:rsidP="002B1686" w:rsidRDefault="0066755B" w14:paraId="65296D1D" w14:textId="66E76FEB">
      <w:pPr>
        <w:rPr>
          <w:rFonts w:cs="Segoe UI"/>
          <w:lang w:eastAsia="en-GB"/>
        </w:rPr>
      </w:pPr>
      <w:r w:rsidRPr="00D75194">
        <w:rPr>
          <w:rFonts w:cs="Segoe UI"/>
          <w:b/>
          <w:bCs/>
          <w:lang w:eastAsia="en-GB"/>
        </w:rPr>
        <w:t>#1:</w:t>
      </w:r>
      <w:r w:rsidRPr="00D75194" w:rsidR="00CC7726">
        <w:rPr>
          <w:rFonts w:cs="Segoe UI"/>
          <w:b/>
          <w:bCs/>
          <w:lang w:eastAsia="en-GB"/>
        </w:rPr>
        <w:t xml:space="preserve"> </w:t>
      </w:r>
      <w:r w:rsidRPr="00D75194" w:rsidR="0058678F">
        <w:rPr>
          <w:rFonts w:cs="Segoe UI"/>
          <w:b/>
          <w:lang w:eastAsia="en-GB"/>
        </w:rPr>
        <w:t xml:space="preserve">There is strong evidence that CASA II </w:t>
      </w:r>
      <w:r w:rsidRPr="00D75194" w:rsidR="000E28B9">
        <w:rPr>
          <w:rFonts w:cs="Segoe UI"/>
          <w:b/>
          <w:lang w:eastAsia="en-GB"/>
        </w:rPr>
        <w:t xml:space="preserve">has </w:t>
      </w:r>
      <w:r w:rsidRPr="00D75194" w:rsidR="0058678F">
        <w:rPr>
          <w:rFonts w:cs="Segoe UI"/>
          <w:b/>
          <w:lang w:eastAsia="en-GB"/>
        </w:rPr>
        <w:t>made a critical contribution to strengthening the LDC Group and HAC</w:t>
      </w:r>
      <w:r w:rsidRPr="00D75194" w:rsidR="000E28B9">
        <w:rPr>
          <w:rFonts w:cs="Segoe UI"/>
          <w:b/>
          <w:lang w:eastAsia="en-GB"/>
        </w:rPr>
        <w:t>’s</w:t>
      </w:r>
      <w:r w:rsidRPr="00D75194" w:rsidR="000E28B9">
        <w:t xml:space="preserve"> </w:t>
      </w:r>
      <w:r w:rsidRPr="00D75194" w:rsidR="000E28B9">
        <w:rPr>
          <w:rFonts w:cs="Segoe UI"/>
          <w:b/>
          <w:lang w:eastAsia="en-GB"/>
        </w:rPr>
        <w:t xml:space="preserve">organisational </w:t>
      </w:r>
      <w:r w:rsidRPr="00D75194" w:rsidR="00190A5A">
        <w:rPr>
          <w:rFonts w:cs="Segoe UI"/>
          <w:b/>
          <w:lang w:eastAsia="en-GB"/>
        </w:rPr>
        <w:t>capability and</w:t>
      </w:r>
      <w:r w:rsidRPr="00D75194" w:rsidR="000E28B9">
        <w:rPr>
          <w:rFonts w:cs="Segoe UI"/>
          <w:b/>
          <w:lang w:eastAsia="en-GB"/>
        </w:rPr>
        <w:t xml:space="preserve"> has supported sustainable institutional capacity </w:t>
      </w:r>
      <w:r w:rsidRPr="00D75194" w:rsidR="0058678F">
        <w:rPr>
          <w:rFonts w:cs="Segoe UI"/>
          <w:b/>
          <w:lang w:eastAsia="en-GB"/>
        </w:rPr>
        <w:t>in the case of the LDC Group</w:t>
      </w:r>
      <w:r w:rsidRPr="00D75194" w:rsidR="0058678F">
        <w:rPr>
          <w:rFonts w:cs="Segoe UI"/>
          <w:lang w:eastAsia="en-GB"/>
        </w:rPr>
        <w:t xml:space="preserve">. </w:t>
      </w:r>
      <w:r w:rsidRPr="00D75194" w:rsidR="00A16349">
        <w:rPr>
          <w:rFonts w:cs="Segoe UI"/>
          <w:lang w:eastAsia="en-GB"/>
        </w:rPr>
        <w:t>Between 2023 and 2025, the LDC Group further strengthened its organisational systems and processes</w:t>
      </w:r>
      <w:r w:rsidRPr="00D75194" w:rsidR="006A4E9C">
        <w:rPr>
          <w:rFonts w:cs="Segoe UI"/>
          <w:lang w:eastAsia="en-GB"/>
        </w:rPr>
        <w:t>,</w:t>
      </w:r>
      <w:r w:rsidRPr="00D75194" w:rsidR="00A16349">
        <w:rPr>
          <w:rFonts w:cs="Segoe UI"/>
          <w:lang w:eastAsia="en-GB"/>
        </w:rPr>
        <w:t xml:space="preserve"> as well as </w:t>
      </w:r>
      <w:r w:rsidRPr="00D75194" w:rsidR="00827A78">
        <w:rPr>
          <w:rFonts w:cs="Segoe UI"/>
          <w:lang w:eastAsia="en-GB"/>
        </w:rPr>
        <w:t xml:space="preserve">its </w:t>
      </w:r>
      <w:r w:rsidRPr="00D75194" w:rsidR="00A16349">
        <w:rPr>
          <w:rFonts w:cs="Segoe UI"/>
          <w:lang w:eastAsia="en-GB"/>
        </w:rPr>
        <w:t>credibility in global climate negotiations, notably through its leadership in shaping the UAE Framework for Global Climate Resilience and its role on the Loss and Damage Fund Board. It shifted its position from vulnerability to agency, positioning itself as a credible, solutions-oriented voice</w:t>
      </w:r>
      <w:r w:rsidRPr="00D75194" w:rsidR="004A5613">
        <w:rPr>
          <w:rFonts w:cs="Segoe UI"/>
          <w:lang w:eastAsia="en-GB"/>
        </w:rPr>
        <w:t>—</w:t>
      </w:r>
      <w:r w:rsidRPr="00D75194" w:rsidR="00A16349">
        <w:rPr>
          <w:rFonts w:cs="Segoe UI"/>
          <w:lang w:eastAsia="en-GB"/>
        </w:rPr>
        <w:t>especially in finance</w:t>
      </w:r>
      <w:r w:rsidRPr="00D75194" w:rsidR="00964522">
        <w:rPr>
          <w:rFonts w:cs="Segoe UI"/>
          <w:lang w:eastAsia="en-GB"/>
        </w:rPr>
        <w:t xml:space="preserve"> and </w:t>
      </w:r>
      <w:r w:rsidRPr="037509AB" w:rsidR="00AE1F47">
        <w:rPr>
          <w:rFonts w:cs="Segoe UI"/>
          <w:lang w:eastAsia="en-GB"/>
        </w:rPr>
        <w:t>L</w:t>
      </w:r>
      <w:r w:rsidRPr="037509AB" w:rsidR="00A16349">
        <w:rPr>
          <w:rFonts w:cs="Segoe UI"/>
          <w:lang w:eastAsia="en-GB"/>
        </w:rPr>
        <w:t>oss</w:t>
      </w:r>
      <w:r w:rsidRPr="00D75194" w:rsidR="00A16349">
        <w:rPr>
          <w:rFonts w:cs="Segoe UI"/>
          <w:lang w:eastAsia="en-GB"/>
        </w:rPr>
        <w:t xml:space="preserve"> and </w:t>
      </w:r>
      <w:r w:rsidRPr="037509AB" w:rsidR="00AE1F47">
        <w:rPr>
          <w:rFonts w:cs="Segoe UI"/>
          <w:lang w:eastAsia="en-GB"/>
        </w:rPr>
        <w:t>D</w:t>
      </w:r>
      <w:r w:rsidRPr="037509AB" w:rsidR="00A16349">
        <w:rPr>
          <w:rFonts w:cs="Segoe UI"/>
          <w:lang w:eastAsia="en-GB"/>
        </w:rPr>
        <w:t>amage</w:t>
      </w:r>
      <w:r w:rsidRPr="00D75194" w:rsidR="00A16349">
        <w:rPr>
          <w:rFonts w:cs="Segoe UI"/>
          <w:lang w:eastAsia="en-GB"/>
        </w:rPr>
        <w:t xml:space="preserve"> discussions</w:t>
      </w:r>
      <w:r w:rsidRPr="00D75194" w:rsidR="3C3310A9">
        <w:rPr>
          <w:rFonts w:cs="Segoe UI"/>
          <w:lang w:eastAsia="en-GB"/>
        </w:rPr>
        <w:t>.</w:t>
      </w:r>
      <w:r w:rsidRPr="00D75194" w:rsidR="0034726B">
        <w:rPr>
          <w:rFonts w:cs="Segoe UI"/>
          <w:lang w:eastAsia="en-GB"/>
        </w:rPr>
        <w:t xml:space="preserve"> </w:t>
      </w:r>
      <w:r w:rsidRPr="00D75194" w:rsidR="0FA164FE">
        <w:rPr>
          <w:rFonts w:cs="Segoe UI"/>
          <w:lang w:eastAsia="en-GB"/>
        </w:rPr>
        <w:t>R</w:t>
      </w:r>
      <w:r w:rsidRPr="00D75194" w:rsidR="3C3310A9">
        <w:rPr>
          <w:rFonts w:cs="Segoe UI"/>
          <w:lang w:eastAsia="en-GB"/>
        </w:rPr>
        <w:t>esults</w:t>
      </w:r>
      <w:r w:rsidRPr="00D75194" w:rsidR="00A16349">
        <w:rPr>
          <w:rFonts w:cs="Segoe UI"/>
          <w:lang w:eastAsia="en-GB"/>
        </w:rPr>
        <w:t xml:space="preserve"> were enabled by improved internal systems, sustained technical support, and strategic alignment in the form of alliances. Importantly, </w:t>
      </w:r>
      <w:r w:rsidRPr="00D75194" w:rsidR="2C63A663">
        <w:rPr>
          <w:lang w:eastAsia="en-GB"/>
        </w:rPr>
        <w:t>TPs ensured</w:t>
      </w:r>
      <w:r w:rsidRPr="00D75194" w:rsidR="00A16349">
        <w:rPr>
          <w:lang w:eastAsia="en-GB"/>
        </w:rPr>
        <w:t xml:space="preserve"> workplans </w:t>
      </w:r>
      <w:r w:rsidRPr="00D75194" w:rsidR="2C63A663">
        <w:rPr>
          <w:lang w:eastAsia="en-GB"/>
        </w:rPr>
        <w:t>were</w:t>
      </w:r>
      <w:r w:rsidRPr="00D75194" w:rsidR="3C3310A9">
        <w:rPr>
          <w:rFonts w:cs="Segoe UI"/>
          <w:lang w:eastAsia="en-GB"/>
        </w:rPr>
        <w:t xml:space="preserve"> co-create</w:t>
      </w:r>
      <w:r w:rsidRPr="00D75194" w:rsidR="53E4363E">
        <w:rPr>
          <w:rFonts w:cs="Segoe UI"/>
          <w:lang w:eastAsia="en-GB"/>
        </w:rPr>
        <w:t xml:space="preserve">d and implemented </w:t>
      </w:r>
      <w:r w:rsidRPr="00D75194" w:rsidR="00A16349">
        <w:rPr>
          <w:rFonts w:cs="Segoe UI"/>
          <w:lang w:eastAsia="en-GB"/>
        </w:rPr>
        <w:t xml:space="preserve">with the </w:t>
      </w:r>
      <w:r w:rsidRPr="00D75194" w:rsidR="009E53A8">
        <w:rPr>
          <w:rFonts w:cs="Segoe UI"/>
          <w:lang w:eastAsia="en-GB"/>
        </w:rPr>
        <w:t xml:space="preserve">chair’s </w:t>
      </w:r>
      <w:r w:rsidRPr="00D75194" w:rsidR="00A16349">
        <w:rPr>
          <w:rFonts w:cs="Segoe UI"/>
          <w:lang w:eastAsia="en-GB"/>
        </w:rPr>
        <w:t xml:space="preserve">team. </w:t>
      </w:r>
    </w:p>
    <w:p w:rsidRPr="00D75194" w:rsidR="00A16349" w:rsidP="002B1686" w:rsidRDefault="32DDD449" w14:paraId="672B1C3D" w14:textId="773C75B1">
      <w:pPr>
        <w:rPr>
          <w:rFonts w:cs="Segoe UI"/>
          <w:lang w:eastAsia="en-GB"/>
        </w:rPr>
      </w:pPr>
      <w:r w:rsidRPr="00D75194">
        <w:rPr>
          <w:rFonts w:cs="Segoe UI"/>
          <w:lang w:eastAsia="en-GB"/>
        </w:rPr>
        <w:t>There</w:t>
      </w:r>
      <w:r w:rsidRPr="00D75194" w:rsidR="00A16349">
        <w:rPr>
          <w:rFonts w:cs="Segoe UI"/>
          <w:lang w:eastAsia="en-GB"/>
        </w:rPr>
        <w:t xml:space="preserve"> is </w:t>
      </w:r>
      <w:r w:rsidRPr="00D75194">
        <w:rPr>
          <w:rFonts w:cs="Segoe UI"/>
          <w:lang w:eastAsia="en-GB"/>
        </w:rPr>
        <w:t xml:space="preserve">overwhelming </w:t>
      </w:r>
      <w:r w:rsidRPr="00D75194" w:rsidR="00013A13">
        <w:rPr>
          <w:rFonts w:cs="Segoe UI"/>
          <w:lang w:eastAsia="en-GB"/>
        </w:rPr>
        <w:t>evidence</w:t>
      </w:r>
      <w:r w:rsidRPr="00D75194">
        <w:rPr>
          <w:rFonts w:cs="Segoe UI"/>
          <w:lang w:eastAsia="en-GB"/>
        </w:rPr>
        <w:t xml:space="preserve"> from both TPs</w:t>
      </w:r>
      <w:r w:rsidRPr="00D75194" w:rsidR="00A16349">
        <w:rPr>
          <w:rFonts w:cs="Segoe UI"/>
          <w:lang w:eastAsia="en-GB"/>
        </w:rPr>
        <w:t xml:space="preserve"> and </w:t>
      </w:r>
      <w:r w:rsidRPr="00D75194">
        <w:rPr>
          <w:rFonts w:cs="Segoe UI"/>
          <w:lang w:eastAsia="en-GB"/>
        </w:rPr>
        <w:t>people supported by the programme</w:t>
      </w:r>
      <w:r w:rsidRPr="00D75194" w:rsidR="00A16349">
        <w:rPr>
          <w:rFonts w:cs="Segoe UI"/>
          <w:lang w:eastAsia="en-GB"/>
        </w:rPr>
        <w:t xml:space="preserve"> that without CASA II’s sustained, flexible support, many of these internal systems and negotiation-ready processes would not have matured. This maturity has allowed the </w:t>
      </w:r>
      <w:r w:rsidRPr="00D75194" w:rsidR="005E4D46">
        <w:rPr>
          <w:rFonts w:cs="Segoe UI"/>
          <w:lang w:eastAsia="en-GB"/>
        </w:rPr>
        <w:t xml:space="preserve">LDC </w:t>
      </w:r>
      <w:r w:rsidRPr="00D75194" w:rsidR="00A16349">
        <w:rPr>
          <w:rFonts w:cs="Segoe UI"/>
          <w:lang w:eastAsia="en-GB"/>
        </w:rPr>
        <w:t>Group to respond in real time to high-level political manoeuvring (informal and formal)</w:t>
      </w:r>
      <w:r w:rsidRPr="00D75194" w:rsidR="00146BAB">
        <w:rPr>
          <w:rFonts w:cs="Segoe UI"/>
          <w:lang w:eastAsia="en-GB"/>
        </w:rPr>
        <w:t>,</w:t>
      </w:r>
      <w:r w:rsidRPr="00D75194" w:rsidR="00A16349">
        <w:rPr>
          <w:rFonts w:cs="Segoe UI"/>
          <w:lang w:eastAsia="en-GB"/>
        </w:rPr>
        <w:t xml:space="preserve"> as well as procedural challenges. </w:t>
      </w:r>
    </w:p>
    <w:p w:rsidRPr="00D75194" w:rsidR="00A16349" w:rsidP="00A16349" w:rsidRDefault="00A16349" w14:paraId="7BE7317D" w14:textId="6F2E44EA">
      <w:pPr>
        <w:rPr>
          <w:rFonts w:cs="Arial"/>
        </w:rPr>
      </w:pPr>
      <w:r w:rsidRPr="00D75194">
        <w:rPr>
          <w:rFonts w:cs="Segoe UI"/>
          <w:lang w:eastAsia="en-GB"/>
        </w:rPr>
        <w:t xml:space="preserve">Over the last decade, the LDC Group has developed into a more formalised organisation that attracts and nurtures climate leaders from the </w:t>
      </w:r>
      <w:r w:rsidRPr="037509AB" w:rsidR="00D60232">
        <w:rPr>
          <w:rFonts w:cs="Segoe UI"/>
          <w:lang w:eastAsia="en-GB"/>
        </w:rPr>
        <w:t>G</w:t>
      </w:r>
      <w:r w:rsidRPr="037509AB">
        <w:rPr>
          <w:rFonts w:cs="Segoe UI"/>
          <w:lang w:eastAsia="en-GB"/>
        </w:rPr>
        <w:t xml:space="preserve">lobal </w:t>
      </w:r>
      <w:r w:rsidRPr="037509AB" w:rsidR="00D60232">
        <w:rPr>
          <w:rFonts w:cs="Segoe UI"/>
          <w:lang w:eastAsia="en-GB"/>
        </w:rPr>
        <w:t>S</w:t>
      </w:r>
      <w:r w:rsidRPr="037509AB">
        <w:rPr>
          <w:rFonts w:cs="Segoe UI"/>
          <w:lang w:eastAsia="en-GB"/>
        </w:rPr>
        <w:t>outh</w:t>
      </w:r>
      <w:r w:rsidRPr="037509AB" w:rsidR="4CFA706C">
        <w:rPr>
          <w:rFonts w:cs="Segoe UI"/>
          <w:lang w:eastAsia="en-GB"/>
        </w:rPr>
        <w:t>.</w:t>
      </w:r>
      <w:r w:rsidRPr="00D75194">
        <w:rPr>
          <w:rFonts w:cs="Segoe UI"/>
          <w:lang w:eastAsia="en-GB"/>
        </w:rPr>
        <w:t xml:space="preserve"> </w:t>
      </w:r>
      <w:r w:rsidRPr="00D75194" w:rsidR="23049F94">
        <w:rPr>
          <w:rFonts w:cs="Segoe UI"/>
          <w:lang w:eastAsia="en-GB"/>
        </w:rPr>
        <w:t>It</w:t>
      </w:r>
      <w:r w:rsidRPr="00D75194">
        <w:rPr>
          <w:rFonts w:cs="Segoe UI"/>
          <w:lang w:eastAsia="en-GB"/>
        </w:rPr>
        <w:t xml:space="preserve"> has been able to solidify its position within </w:t>
      </w:r>
      <w:r w:rsidRPr="00D75194" w:rsidR="0CCC8A5F">
        <w:rPr>
          <w:rFonts w:cs="Segoe UI"/>
          <w:lang w:eastAsia="en-GB"/>
        </w:rPr>
        <w:t xml:space="preserve">climate </w:t>
      </w:r>
      <w:r w:rsidRPr="00D75194">
        <w:rPr>
          <w:rFonts w:cs="Segoe UI"/>
          <w:lang w:eastAsia="en-GB"/>
        </w:rPr>
        <w:t>negotiation</w:t>
      </w:r>
      <w:r w:rsidRPr="00D75194" w:rsidR="5CF2031A">
        <w:rPr>
          <w:rFonts w:cs="Segoe UI"/>
          <w:lang w:eastAsia="en-GB"/>
        </w:rPr>
        <w:t>s</w:t>
      </w:r>
      <w:r w:rsidRPr="00D75194">
        <w:rPr>
          <w:rFonts w:cs="Segoe UI"/>
          <w:lang w:eastAsia="en-GB"/>
        </w:rPr>
        <w:t>, enabl</w:t>
      </w:r>
      <w:r w:rsidRPr="00D75194" w:rsidR="72F63154">
        <w:rPr>
          <w:rFonts w:cs="Segoe UI"/>
          <w:lang w:eastAsia="en-GB"/>
        </w:rPr>
        <w:t xml:space="preserve">ing </w:t>
      </w:r>
      <w:r w:rsidRPr="00D75194">
        <w:rPr>
          <w:rFonts w:cs="Segoe UI"/>
          <w:lang w:eastAsia="en-GB"/>
        </w:rPr>
        <w:t xml:space="preserve">it to influence institutional-level changes </w:t>
      </w:r>
      <w:r w:rsidRPr="00D75194" w:rsidR="00434124">
        <w:rPr>
          <w:rFonts w:cs="Segoe UI"/>
          <w:lang w:eastAsia="en-GB"/>
        </w:rPr>
        <w:t>(</w:t>
      </w:r>
      <w:r w:rsidRPr="00D75194">
        <w:rPr>
          <w:rFonts w:cs="Segoe UI"/>
          <w:lang w:eastAsia="en-GB"/>
        </w:rPr>
        <w:t>e.g. ambitious negotiation outcomes</w:t>
      </w:r>
      <w:r w:rsidRPr="00D75194" w:rsidR="00D24D08">
        <w:rPr>
          <w:rFonts w:cs="Segoe UI"/>
          <w:lang w:eastAsia="en-GB"/>
        </w:rPr>
        <w:t xml:space="preserve"> targeted</w:t>
      </w:r>
      <w:r w:rsidRPr="00D75194">
        <w:rPr>
          <w:rFonts w:cs="Segoe UI"/>
          <w:lang w:eastAsia="en-GB"/>
        </w:rPr>
        <w:t xml:space="preserve"> by the HAC and the C</w:t>
      </w:r>
      <w:r w:rsidRPr="00D75194" w:rsidR="00A66B13">
        <w:rPr>
          <w:rFonts w:cs="Segoe UI"/>
          <w:lang w:eastAsia="en-GB"/>
        </w:rPr>
        <w:t>O</w:t>
      </w:r>
      <w:r w:rsidRPr="00D75194">
        <w:rPr>
          <w:rFonts w:cs="Segoe UI"/>
          <w:lang w:eastAsia="en-GB"/>
        </w:rPr>
        <w:t xml:space="preserve">P29 submissions by </w:t>
      </w:r>
      <w:r w:rsidRPr="00D75194" w:rsidR="00206032">
        <w:rPr>
          <w:rFonts w:cs="Segoe UI"/>
          <w:lang w:eastAsia="en-GB"/>
        </w:rPr>
        <w:t xml:space="preserve">the </w:t>
      </w:r>
      <w:r w:rsidRPr="00D75194">
        <w:rPr>
          <w:rFonts w:cs="Segoe UI"/>
          <w:lang w:eastAsia="en-GB"/>
        </w:rPr>
        <w:t>LDC Group</w:t>
      </w:r>
      <w:r w:rsidRPr="00D75194" w:rsidR="00434124">
        <w:rPr>
          <w:rFonts w:cs="Segoe UI"/>
          <w:lang w:eastAsia="en-GB"/>
        </w:rPr>
        <w:t>)</w:t>
      </w:r>
      <w:r w:rsidRPr="00D75194">
        <w:rPr>
          <w:rFonts w:cs="Segoe UI"/>
          <w:lang w:eastAsia="en-GB"/>
        </w:rPr>
        <w:t xml:space="preserve">. </w:t>
      </w:r>
      <w:r w:rsidRPr="00D75194" w:rsidR="006E5D3B">
        <w:rPr>
          <w:rFonts w:cs="Segoe UI"/>
          <w:lang w:eastAsia="en-GB"/>
        </w:rPr>
        <w:t xml:space="preserve">The </w:t>
      </w:r>
      <w:r w:rsidRPr="00D75194" w:rsidR="00397F68">
        <w:rPr>
          <w:rFonts w:cs="Segoe UI"/>
          <w:lang w:eastAsia="en-GB"/>
        </w:rPr>
        <w:t>organisational</w:t>
      </w:r>
      <w:r w:rsidRPr="00D75194" w:rsidR="006E5D3B">
        <w:rPr>
          <w:rFonts w:cs="Segoe UI"/>
          <w:lang w:eastAsia="en-GB"/>
        </w:rPr>
        <w:t xml:space="preserve"> capability can be seen in two </w:t>
      </w:r>
      <w:proofErr w:type="gramStart"/>
      <w:r w:rsidRPr="00D75194" w:rsidR="006E5D3B">
        <w:rPr>
          <w:rFonts w:cs="Segoe UI"/>
          <w:lang w:eastAsia="en-GB"/>
        </w:rPr>
        <w:t>particular areas</w:t>
      </w:r>
      <w:proofErr w:type="gramEnd"/>
      <w:r w:rsidRPr="00D75194" w:rsidR="006E5D3B">
        <w:rPr>
          <w:rFonts w:cs="Segoe UI"/>
          <w:lang w:eastAsia="en-GB"/>
        </w:rPr>
        <w:t>. First, i</w:t>
      </w:r>
      <w:r w:rsidRPr="00D75194">
        <w:rPr>
          <w:rFonts w:cs="Segoe UI"/>
          <w:lang w:eastAsia="en-GB"/>
        </w:rPr>
        <w:t xml:space="preserve">t </w:t>
      </w:r>
      <w:r w:rsidRPr="00D75194" w:rsidR="007502D4">
        <w:rPr>
          <w:rFonts w:cs="Segoe UI"/>
          <w:lang w:eastAsia="en-GB"/>
        </w:rPr>
        <w:t xml:space="preserve">is </w:t>
      </w:r>
      <w:r w:rsidRPr="00D75194">
        <w:rPr>
          <w:rFonts w:cs="Segoe UI"/>
          <w:lang w:eastAsia="en-GB"/>
        </w:rPr>
        <w:t xml:space="preserve">now inconceivable that the LDC Group </w:t>
      </w:r>
      <w:r w:rsidRPr="037509AB" w:rsidR="007502D4">
        <w:rPr>
          <w:rFonts w:cs="Segoe UI"/>
          <w:lang w:eastAsia="en-GB"/>
        </w:rPr>
        <w:t xml:space="preserve">would </w:t>
      </w:r>
      <w:r w:rsidRPr="037509AB">
        <w:rPr>
          <w:rFonts w:cs="Segoe UI"/>
          <w:lang w:eastAsia="en-GB"/>
        </w:rPr>
        <w:t>not</w:t>
      </w:r>
      <w:r w:rsidRPr="00D75194" w:rsidDel="007502D4">
        <w:rPr>
          <w:rFonts w:cs="Segoe UI"/>
          <w:lang w:eastAsia="en-GB"/>
        </w:rPr>
        <w:t xml:space="preserve"> </w:t>
      </w:r>
      <w:r w:rsidRPr="00D75194" w:rsidR="007502D4">
        <w:rPr>
          <w:rFonts w:cs="Segoe UI"/>
          <w:lang w:eastAsia="en-GB"/>
        </w:rPr>
        <w:t xml:space="preserve">participate </w:t>
      </w:r>
      <w:r w:rsidRPr="00D75194">
        <w:rPr>
          <w:rFonts w:cs="Segoe UI"/>
          <w:lang w:eastAsia="en-GB"/>
        </w:rPr>
        <w:t>in global negotiations across all thematic areas; and</w:t>
      </w:r>
      <w:r w:rsidRPr="00D75194" w:rsidR="006E5D3B">
        <w:rPr>
          <w:rFonts w:cs="Segoe UI"/>
          <w:lang w:eastAsia="en-GB"/>
        </w:rPr>
        <w:t xml:space="preserve"> secondly,</w:t>
      </w:r>
      <w:r w:rsidRPr="00D75194">
        <w:rPr>
          <w:rFonts w:cs="Segoe UI"/>
          <w:lang w:eastAsia="en-GB"/>
        </w:rPr>
        <w:t xml:space="preserve"> </w:t>
      </w:r>
      <w:r w:rsidRPr="00D75194" w:rsidR="00085B5F">
        <w:rPr>
          <w:rFonts w:cs="Segoe UI"/>
          <w:lang w:eastAsia="en-GB"/>
        </w:rPr>
        <w:t xml:space="preserve">the group has now not missed a single </w:t>
      </w:r>
      <w:r w:rsidRPr="00D75194" w:rsidR="00214541">
        <w:rPr>
          <w:rFonts w:cs="Segoe UI"/>
          <w:lang w:eastAsia="en-GB"/>
        </w:rPr>
        <w:t>Intergovernmental Panel on Climate Change (</w:t>
      </w:r>
      <w:r w:rsidRPr="00D75194">
        <w:rPr>
          <w:rFonts w:cs="Segoe UI"/>
          <w:lang w:eastAsia="en-GB"/>
        </w:rPr>
        <w:t>IPCC</w:t>
      </w:r>
      <w:r w:rsidRPr="00D75194" w:rsidR="00214541">
        <w:rPr>
          <w:rFonts w:cs="Segoe UI"/>
          <w:lang w:eastAsia="en-GB"/>
        </w:rPr>
        <w:t>)</w:t>
      </w:r>
      <w:r w:rsidRPr="00D75194">
        <w:rPr>
          <w:rFonts w:cs="Segoe UI"/>
          <w:lang w:eastAsia="en-GB"/>
        </w:rPr>
        <w:t xml:space="preserve"> submission</w:t>
      </w:r>
      <w:r w:rsidRPr="00D75194" w:rsidR="00214541">
        <w:rPr>
          <w:rFonts w:cs="Segoe UI"/>
          <w:lang w:eastAsia="en-GB"/>
        </w:rPr>
        <w:t>,</w:t>
      </w:r>
      <w:r w:rsidRPr="00D75194">
        <w:rPr>
          <w:rFonts w:cs="Segoe UI"/>
          <w:lang w:eastAsia="en-GB"/>
        </w:rPr>
        <w:t xml:space="preserve"> </w:t>
      </w:r>
      <w:proofErr w:type="gramStart"/>
      <w:r w:rsidRPr="00D75194" w:rsidR="00085B5F">
        <w:rPr>
          <w:rFonts w:cs="Segoe UI"/>
          <w:lang w:eastAsia="en-GB"/>
        </w:rPr>
        <w:t>in spite of</w:t>
      </w:r>
      <w:proofErr w:type="gramEnd"/>
      <w:r w:rsidRPr="00D75194" w:rsidR="00085B5F">
        <w:rPr>
          <w:rFonts w:cs="Segoe UI"/>
          <w:lang w:eastAsia="en-GB"/>
        </w:rPr>
        <w:t xml:space="preserve"> the growth of the agenda.</w:t>
      </w:r>
      <w:r w:rsidRPr="00D75194">
        <w:rPr>
          <w:rFonts w:cs="Segoe UI"/>
          <w:lang w:eastAsia="en-GB"/>
        </w:rPr>
        <w:t xml:space="preserve"> Th</w:t>
      </w:r>
      <w:r w:rsidRPr="00D75194" w:rsidR="009D07A2">
        <w:rPr>
          <w:rFonts w:cs="Segoe UI"/>
          <w:lang w:eastAsia="en-GB"/>
        </w:rPr>
        <w:t xml:space="preserve">ese institutional gains and successful </w:t>
      </w:r>
      <w:r w:rsidRPr="00D75194">
        <w:rPr>
          <w:rFonts w:cs="Segoe UI"/>
          <w:lang w:eastAsia="en-GB"/>
        </w:rPr>
        <w:t xml:space="preserve">positioning </w:t>
      </w:r>
      <w:r w:rsidRPr="00D75194" w:rsidR="00B50129">
        <w:rPr>
          <w:rFonts w:cs="Segoe UI"/>
          <w:lang w:eastAsia="en-GB"/>
        </w:rPr>
        <w:t xml:space="preserve">are </w:t>
      </w:r>
      <w:r w:rsidRPr="00D75194">
        <w:rPr>
          <w:rFonts w:cs="Segoe UI"/>
          <w:lang w:eastAsia="en-GB"/>
        </w:rPr>
        <w:t xml:space="preserve">thanks to the formalisation and embedding of </w:t>
      </w:r>
      <w:r w:rsidRPr="00D75194" w:rsidR="009D07A2">
        <w:rPr>
          <w:rFonts w:cs="Segoe UI"/>
          <w:lang w:eastAsia="en-GB"/>
        </w:rPr>
        <w:t xml:space="preserve">organisational </w:t>
      </w:r>
      <w:r w:rsidRPr="00D75194">
        <w:rPr>
          <w:rFonts w:cs="Segoe UI"/>
          <w:lang w:eastAsia="en-GB"/>
        </w:rPr>
        <w:t>policies and decisions (from 2022</w:t>
      </w:r>
      <w:r w:rsidRPr="00D75194" w:rsidR="00DA73AA">
        <w:rPr>
          <w:rFonts w:cs="Segoe UI"/>
          <w:lang w:eastAsia="en-GB"/>
        </w:rPr>
        <w:t xml:space="preserve"> to </w:t>
      </w:r>
      <w:r w:rsidRPr="037509AB" w:rsidR="00DA73AA">
        <w:rPr>
          <w:rFonts w:cs="Segoe UI"/>
          <w:lang w:eastAsia="en-GB"/>
        </w:rPr>
        <w:t>20</w:t>
      </w:r>
      <w:r w:rsidRPr="037509AB">
        <w:rPr>
          <w:rFonts w:cs="Segoe UI"/>
          <w:lang w:eastAsia="en-GB"/>
        </w:rPr>
        <w:t>25</w:t>
      </w:r>
      <w:r w:rsidRPr="00D75194">
        <w:rPr>
          <w:rFonts w:cs="Segoe UI"/>
          <w:lang w:eastAsia="en-GB"/>
        </w:rPr>
        <w:t>)</w:t>
      </w:r>
      <w:r w:rsidRPr="00D75194" w:rsidR="35FA810E">
        <w:rPr>
          <w:rFonts w:cs="Segoe UI"/>
          <w:lang w:eastAsia="en-GB"/>
        </w:rPr>
        <w:t>. F</w:t>
      </w:r>
      <w:r w:rsidRPr="00D75194">
        <w:rPr>
          <w:rFonts w:cs="Segoe UI"/>
          <w:lang w:eastAsia="en-GB"/>
        </w:rPr>
        <w:t>or example</w:t>
      </w:r>
      <w:r w:rsidRPr="00D75194" w:rsidR="0B619A1C">
        <w:rPr>
          <w:rFonts w:cs="Segoe UI"/>
          <w:lang w:eastAsia="en-GB"/>
        </w:rPr>
        <w:t>, in 2022</w:t>
      </w:r>
      <w:r w:rsidRPr="00D75194">
        <w:rPr>
          <w:rFonts w:cs="Segoe UI"/>
          <w:lang w:eastAsia="en-GB"/>
        </w:rPr>
        <w:t xml:space="preserve"> the LDC Charter adopted formal guidelines for </w:t>
      </w:r>
      <w:r w:rsidRPr="00D75194" w:rsidR="00001FF7">
        <w:rPr>
          <w:rFonts w:cs="Segoe UI"/>
          <w:lang w:eastAsia="en-GB"/>
        </w:rPr>
        <w:t xml:space="preserve">chair </w:t>
      </w:r>
      <w:r w:rsidRPr="00D75194">
        <w:rPr>
          <w:rFonts w:cs="Segoe UI"/>
          <w:lang w:eastAsia="en-GB"/>
        </w:rPr>
        <w:t xml:space="preserve">selection </w:t>
      </w:r>
      <w:r w:rsidRPr="00D75194" w:rsidR="4D61885C">
        <w:rPr>
          <w:rFonts w:cs="Segoe UI"/>
          <w:lang w:eastAsia="en-GB"/>
        </w:rPr>
        <w:t>(</w:t>
      </w:r>
      <w:r w:rsidRPr="00D75194">
        <w:rPr>
          <w:rFonts w:cs="Segoe UI"/>
          <w:lang w:eastAsia="en-GB"/>
        </w:rPr>
        <w:t>after years of consultation</w:t>
      </w:r>
      <w:r w:rsidRPr="00D75194" w:rsidR="7B9F16FA">
        <w:rPr>
          <w:rFonts w:cs="Segoe UI"/>
          <w:lang w:eastAsia="en-GB"/>
        </w:rPr>
        <w:t>)</w:t>
      </w:r>
      <w:r w:rsidRPr="00D75194">
        <w:rPr>
          <w:rFonts w:cs="Segoe UI"/>
          <w:lang w:eastAsia="en-GB"/>
        </w:rPr>
        <w:t xml:space="preserve">, </w:t>
      </w:r>
      <w:r w:rsidRPr="00D75194" w:rsidR="7DDA561D">
        <w:rPr>
          <w:rFonts w:cs="Segoe UI"/>
          <w:lang w:eastAsia="en-GB"/>
        </w:rPr>
        <w:t xml:space="preserve">formal </w:t>
      </w:r>
      <w:r w:rsidRPr="00D75194">
        <w:rPr>
          <w:rFonts w:cs="Segoe UI"/>
          <w:lang w:eastAsia="en-GB"/>
        </w:rPr>
        <w:t>mandate</w:t>
      </w:r>
      <w:r w:rsidRPr="00D75194" w:rsidR="6552455C">
        <w:rPr>
          <w:rFonts w:cs="Segoe UI"/>
          <w:lang w:eastAsia="en-GB"/>
        </w:rPr>
        <w:t>d</w:t>
      </w:r>
      <w:r w:rsidRPr="00D75194">
        <w:rPr>
          <w:rFonts w:cs="Segoe UI"/>
          <w:lang w:eastAsia="en-GB"/>
        </w:rPr>
        <w:t xml:space="preserve"> transition</w:t>
      </w:r>
      <w:r w:rsidRPr="00D75194" w:rsidR="3EB334BA">
        <w:rPr>
          <w:rFonts w:cs="Segoe UI"/>
          <w:lang w:eastAsia="en-GB"/>
        </w:rPr>
        <w:t>s</w:t>
      </w:r>
      <w:r w:rsidRPr="00D75194" w:rsidR="0E60CFBC">
        <w:rPr>
          <w:rFonts w:cs="Segoe UI"/>
          <w:lang w:eastAsia="en-GB"/>
        </w:rPr>
        <w:t>,</w:t>
      </w:r>
      <w:r w:rsidRPr="00D75194">
        <w:rPr>
          <w:rFonts w:cs="Segoe UI"/>
          <w:lang w:eastAsia="en-GB"/>
        </w:rPr>
        <w:t xml:space="preserve"> and internal decision-making </w:t>
      </w:r>
      <w:r w:rsidRPr="00D75194" w:rsidR="16B373CC">
        <w:rPr>
          <w:rFonts w:cs="Segoe UI"/>
          <w:lang w:eastAsia="en-GB"/>
        </w:rPr>
        <w:t>proces</w:t>
      </w:r>
      <w:r w:rsidRPr="00D75194">
        <w:rPr>
          <w:rFonts w:cs="Segoe UI"/>
          <w:lang w:eastAsia="en-GB"/>
        </w:rPr>
        <w:t>se</w:t>
      </w:r>
      <w:r w:rsidRPr="00D75194" w:rsidR="16B373CC">
        <w:rPr>
          <w:rFonts w:cs="Segoe UI"/>
          <w:lang w:eastAsia="en-GB"/>
        </w:rPr>
        <w:t>s</w:t>
      </w:r>
      <w:r w:rsidRPr="00D75194">
        <w:rPr>
          <w:rFonts w:cs="Segoe UI"/>
          <w:lang w:eastAsia="en-GB"/>
        </w:rPr>
        <w:t xml:space="preserve">. </w:t>
      </w:r>
      <w:r w:rsidRPr="00D75194">
        <w:rPr>
          <w:rFonts w:cs="Segoe UI"/>
        </w:rPr>
        <w:t>The Charter has helped</w:t>
      </w:r>
      <w:r w:rsidRPr="00D75194" w:rsidR="00366A32">
        <w:rPr>
          <w:rFonts w:cs="Segoe UI"/>
        </w:rPr>
        <w:t xml:space="preserve"> to</w:t>
      </w:r>
      <w:r w:rsidRPr="00D75194">
        <w:rPr>
          <w:rFonts w:cs="Segoe UI"/>
        </w:rPr>
        <w:t xml:space="preserve"> depersonalise leadership transitions</w:t>
      </w:r>
      <w:r w:rsidRPr="00D75194" w:rsidR="000D1CB1">
        <w:rPr>
          <w:rFonts w:cs="Segoe UI"/>
        </w:rPr>
        <w:t xml:space="preserve"> </w:t>
      </w:r>
      <w:r w:rsidRPr="00D75194">
        <w:rPr>
          <w:rFonts w:cs="Segoe UI"/>
        </w:rPr>
        <w:t xml:space="preserve">and </w:t>
      </w:r>
      <w:r w:rsidRPr="00D75194" w:rsidR="00F65BD0">
        <w:rPr>
          <w:rFonts w:cs="Segoe UI"/>
        </w:rPr>
        <w:t xml:space="preserve">to </w:t>
      </w:r>
      <w:r w:rsidRPr="037509AB">
        <w:rPr>
          <w:rFonts w:cs="Segoe UI"/>
        </w:rPr>
        <w:t>foster</w:t>
      </w:r>
      <w:r w:rsidRPr="00D75194">
        <w:rPr>
          <w:rFonts w:cs="Segoe UI"/>
        </w:rPr>
        <w:t xml:space="preserve"> greater predictability in strategic planning. This is also supported by a new group of former LDC senior negotiators and chairs</w:t>
      </w:r>
      <w:r w:rsidRPr="00D75194" w:rsidR="00F56960">
        <w:rPr>
          <w:rFonts w:cs="Segoe UI"/>
        </w:rPr>
        <w:t xml:space="preserve">—the </w:t>
      </w:r>
      <w:r w:rsidRPr="00D75194">
        <w:rPr>
          <w:rFonts w:cs="Segoe UI"/>
        </w:rPr>
        <w:t>“</w:t>
      </w:r>
      <w:r w:rsidRPr="037509AB" w:rsidR="00F56960">
        <w:rPr>
          <w:rFonts w:cs="Segoe UI"/>
        </w:rPr>
        <w:t>e</w:t>
      </w:r>
      <w:r w:rsidRPr="037509AB">
        <w:rPr>
          <w:rFonts w:cs="Segoe UI"/>
        </w:rPr>
        <w:t>lders”.</w:t>
      </w:r>
      <w:r w:rsidRPr="00D75194" w:rsidR="006B601D">
        <w:rPr>
          <w:rFonts w:cs="Segoe UI"/>
        </w:rPr>
        <w:t xml:space="preserve"> </w:t>
      </w:r>
    </w:p>
    <w:p w:rsidRPr="00D75194" w:rsidR="00A16349" w:rsidP="00A16349" w:rsidRDefault="00BB78CA" w14:paraId="6F6286BD" w14:textId="31D75011">
      <w:pPr>
        <w:rPr>
          <w:rFonts w:cs="Segoe UI"/>
          <w:lang w:eastAsia="en-GB"/>
        </w:rPr>
      </w:pPr>
      <w:r w:rsidRPr="00D75194">
        <w:rPr>
          <w:rFonts w:cs="Segoe UI"/>
          <w:lang w:eastAsia="en-GB"/>
        </w:rPr>
        <w:t>The United Nations Industrial Development Organization (</w:t>
      </w:r>
      <w:r w:rsidRPr="00D75194" w:rsidR="00A16349">
        <w:rPr>
          <w:rFonts w:cs="Segoe UI"/>
          <w:lang w:eastAsia="en-GB"/>
        </w:rPr>
        <w:t>UNIDO</w:t>
      </w:r>
      <w:r w:rsidRPr="00D75194">
        <w:rPr>
          <w:rFonts w:cs="Segoe UI"/>
          <w:lang w:eastAsia="en-GB"/>
        </w:rPr>
        <w:t>)</w:t>
      </w:r>
      <w:r w:rsidRPr="00D75194" w:rsidR="00A16349">
        <w:rPr>
          <w:rFonts w:cs="Segoe UI"/>
          <w:lang w:eastAsia="en-GB"/>
        </w:rPr>
        <w:t xml:space="preserve"> played a lead role in establishing the LDC Secretariat through a </w:t>
      </w:r>
      <w:r w:rsidRPr="037509AB" w:rsidR="591AA371">
        <w:rPr>
          <w:rFonts w:cs="Segoe UI"/>
          <w:lang w:eastAsia="en-GB"/>
        </w:rPr>
        <w:t>Global Environment Facility (GEF)-</w:t>
      </w:r>
      <w:r w:rsidRPr="00D75194" w:rsidR="00A16349">
        <w:rPr>
          <w:rFonts w:cs="Segoe UI"/>
          <w:lang w:eastAsia="en-GB"/>
        </w:rPr>
        <w:t xml:space="preserve">GEF-funded project launched in 2022. This included formal registration, staffing, and the development of operational protocols. </w:t>
      </w:r>
      <w:r w:rsidRPr="037509AB" w:rsidR="00A16349">
        <w:rPr>
          <w:rFonts w:cs="Segoe UI"/>
          <w:lang w:eastAsia="en-GB"/>
        </w:rPr>
        <w:t xml:space="preserve">While </w:t>
      </w:r>
      <w:r w:rsidRPr="037509AB" w:rsidR="00690A66">
        <w:rPr>
          <w:rFonts w:cs="Segoe UI"/>
          <w:lang w:eastAsia="en-GB"/>
        </w:rPr>
        <w:t>TP</w:t>
      </w:r>
      <w:r w:rsidRPr="037509AB" w:rsidR="00A16349">
        <w:rPr>
          <w:rFonts w:cs="Segoe UI"/>
          <w:lang w:eastAsia="en-GB"/>
        </w:rPr>
        <w:t>s</w:t>
      </w:r>
      <w:r w:rsidRPr="00D75194" w:rsidR="00A16349">
        <w:rPr>
          <w:rFonts w:cs="Segoe UI"/>
          <w:lang w:eastAsia="en-GB"/>
        </w:rPr>
        <w:t xml:space="preserve"> such as Climate Analytics and IIED contributed content and </w:t>
      </w:r>
      <w:r w:rsidRPr="00D75194" w:rsidR="0A77BC35">
        <w:rPr>
          <w:rFonts w:cs="Segoe UI"/>
          <w:lang w:eastAsia="en-GB"/>
        </w:rPr>
        <w:t xml:space="preserve">organisational </w:t>
      </w:r>
      <w:r w:rsidRPr="00D75194" w:rsidR="00A16349">
        <w:rPr>
          <w:rFonts w:cs="Segoe UI"/>
          <w:lang w:eastAsia="en-GB"/>
        </w:rPr>
        <w:t>advice, the core coordination function rested with UNIDO. The development of the UNIDO</w:t>
      </w:r>
      <w:r w:rsidRPr="037509AB" w:rsidR="002A200C">
        <w:rPr>
          <w:rFonts w:cs="Segoe UI"/>
          <w:lang w:eastAsia="en-GB"/>
        </w:rPr>
        <w:t>–</w:t>
      </w:r>
      <w:r w:rsidRPr="00D75194" w:rsidR="00A16349">
        <w:rPr>
          <w:rFonts w:cs="Segoe UI"/>
          <w:lang w:eastAsia="en-GB"/>
        </w:rPr>
        <w:t>GEF</w:t>
      </w:r>
      <w:r w:rsidRPr="00D75194" w:rsidR="002A200C">
        <w:rPr>
          <w:rFonts w:cs="Segoe UI"/>
          <w:lang w:eastAsia="en-GB"/>
        </w:rPr>
        <w:t>-</w:t>
      </w:r>
      <w:r w:rsidRPr="00D75194" w:rsidR="00A16349">
        <w:rPr>
          <w:rFonts w:cs="Segoe UI"/>
          <w:lang w:eastAsia="en-GB"/>
        </w:rPr>
        <w:t xml:space="preserve"> funded Secretariat has introduced new tensions and opportunities. It became formally operational in 2025, with responsibilities including documentation, coordination between </w:t>
      </w:r>
      <w:r w:rsidRPr="037509AB" w:rsidR="00A00333">
        <w:rPr>
          <w:rFonts w:cs="Segoe UI"/>
          <w:lang w:eastAsia="en-GB"/>
        </w:rPr>
        <w:t>chairships</w:t>
      </w:r>
      <w:r w:rsidRPr="00D75194" w:rsidR="00A16349">
        <w:rPr>
          <w:rFonts w:cs="Segoe UI"/>
          <w:lang w:eastAsia="en-GB"/>
        </w:rPr>
        <w:t xml:space="preserve">, and convening technical meetings throughout the year. The Secretariat has the potential to anchor institutional memory, provide year-round coordination, and reduce the administrative burden on incoming </w:t>
      </w:r>
      <w:r w:rsidRPr="037509AB" w:rsidR="00991310">
        <w:rPr>
          <w:rFonts w:cs="Segoe UI"/>
          <w:lang w:eastAsia="en-GB"/>
        </w:rPr>
        <w:t>chairs</w:t>
      </w:r>
      <w:r w:rsidRPr="037509AB" w:rsidR="00A16349">
        <w:rPr>
          <w:rFonts w:cs="Segoe UI"/>
          <w:lang w:eastAsia="en-GB"/>
        </w:rPr>
        <w:t>.</w:t>
      </w:r>
      <w:r w:rsidRPr="00D75194" w:rsidR="00A16349">
        <w:rPr>
          <w:rFonts w:cs="Segoe UI"/>
          <w:lang w:eastAsia="en-GB"/>
        </w:rPr>
        <w:t xml:space="preserve"> Its formal hosting in 2025 marks a significant milestone. However, several interviewees highlighted that its functionality and authority remain unclear, particularly in relation to the </w:t>
      </w:r>
      <w:r w:rsidRPr="00D75194" w:rsidR="00E87B8D">
        <w:rPr>
          <w:rFonts w:cs="Segoe UI"/>
          <w:lang w:eastAsia="en-GB"/>
        </w:rPr>
        <w:t xml:space="preserve">chair’s </w:t>
      </w:r>
      <w:r w:rsidRPr="00D75194" w:rsidR="00A16349">
        <w:rPr>
          <w:rFonts w:cs="Segoe UI"/>
          <w:lang w:eastAsia="en-GB"/>
        </w:rPr>
        <w:t xml:space="preserve">in-country team. Tensions or duplication may arise if roles and mandates are not clearly defined. For the Secretariat to contribute meaningfully to sustainability, its </w:t>
      </w:r>
      <w:r w:rsidRPr="00D75194" w:rsidR="00A16349">
        <w:rPr>
          <w:rFonts w:cs="Segoe UI"/>
          <w:lang w:eastAsia="en-GB"/>
        </w:rPr>
        <w:t xml:space="preserve">functions must be codified, financed independently of project cycles, and well-aligned with the </w:t>
      </w:r>
      <w:r w:rsidRPr="00D75194" w:rsidR="00774C17">
        <w:rPr>
          <w:rFonts w:cs="Segoe UI"/>
          <w:lang w:eastAsia="en-GB"/>
        </w:rPr>
        <w:t xml:space="preserve">chair’s </w:t>
      </w:r>
      <w:r w:rsidRPr="00D75194" w:rsidR="00A16349">
        <w:rPr>
          <w:rFonts w:cs="Segoe UI"/>
          <w:lang w:eastAsia="en-GB"/>
        </w:rPr>
        <w:t>strategic direction. Deliberate efforts will be needed to ensure that the Secretariat complements</w:t>
      </w:r>
      <w:r w:rsidRPr="037509AB" w:rsidR="00A16349">
        <w:rPr>
          <w:rFonts w:cs="Segoe UI"/>
          <w:lang w:eastAsia="en-GB"/>
        </w:rPr>
        <w:t>—</w:t>
      </w:r>
      <w:r w:rsidRPr="00D75194" w:rsidR="00A16349">
        <w:rPr>
          <w:rFonts w:cs="Segoe UI"/>
          <w:lang w:eastAsia="en-GB"/>
        </w:rPr>
        <w:t xml:space="preserve">rather than </w:t>
      </w:r>
      <w:r w:rsidRPr="00D75194" w:rsidR="00595F71">
        <w:rPr>
          <w:rFonts w:cs="Segoe UI"/>
          <w:lang w:eastAsia="en-GB"/>
        </w:rPr>
        <w:t xml:space="preserve">substituting </w:t>
      </w:r>
      <w:r w:rsidRPr="00D75194" w:rsidR="00A16349">
        <w:rPr>
          <w:rFonts w:cs="Segoe UI"/>
          <w:lang w:eastAsia="en-GB"/>
        </w:rPr>
        <w:t xml:space="preserve">or </w:t>
      </w:r>
      <w:r w:rsidRPr="00D75194" w:rsidR="00595F71">
        <w:rPr>
          <w:rFonts w:cs="Segoe UI"/>
          <w:lang w:eastAsia="en-GB"/>
        </w:rPr>
        <w:t>complicating</w:t>
      </w:r>
      <w:r w:rsidRPr="00D75194" w:rsidR="00A16349">
        <w:rPr>
          <w:rFonts w:cs="Segoe UI"/>
          <w:lang w:eastAsia="en-GB"/>
        </w:rPr>
        <w:t xml:space="preserve">—the leadership of the </w:t>
      </w:r>
      <w:r w:rsidRPr="037509AB" w:rsidR="00595F71">
        <w:rPr>
          <w:rFonts w:cs="Segoe UI"/>
          <w:lang w:eastAsia="en-GB"/>
        </w:rPr>
        <w:t>c</w:t>
      </w:r>
      <w:r w:rsidRPr="037509AB" w:rsidR="00A16349">
        <w:rPr>
          <w:rFonts w:cs="Segoe UI"/>
          <w:lang w:eastAsia="en-GB"/>
        </w:rPr>
        <w:t>hair</w:t>
      </w:r>
      <w:r w:rsidRPr="00D75194" w:rsidR="00A16349">
        <w:rPr>
          <w:rFonts w:cs="Segoe UI"/>
          <w:lang w:eastAsia="en-GB"/>
        </w:rPr>
        <w:t>.</w:t>
      </w:r>
    </w:p>
    <w:p w:rsidRPr="00D75194" w:rsidR="00A16349" w:rsidP="00A16349" w:rsidRDefault="00CC7726" w14:paraId="31D7E417" w14:textId="128F45E8">
      <w:pPr>
        <w:rPr>
          <w:rFonts w:cs="Segoe UI"/>
          <w:lang w:eastAsia="en-GB"/>
        </w:rPr>
      </w:pPr>
      <w:r w:rsidRPr="00D75194">
        <w:rPr>
          <w:rFonts w:cs="Segoe UI"/>
          <w:b/>
          <w:bCs/>
          <w:lang w:eastAsia="en-GB"/>
        </w:rPr>
        <w:t>#</w:t>
      </w:r>
      <w:r w:rsidRPr="00D75194" w:rsidR="00BD1C2C">
        <w:rPr>
          <w:rFonts w:cs="Segoe UI"/>
          <w:b/>
          <w:bCs/>
          <w:lang w:eastAsia="en-GB"/>
        </w:rPr>
        <w:t>2</w:t>
      </w:r>
      <w:r w:rsidRPr="00D75194">
        <w:rPr>
          <w:rFonts w:cs="Segoe UI"/>
          <w:b/>
          <w:bCs/>
          <w:lang w:eastAsia="en-GB"/>
        </w:rPr>
        <w:t>:</w:t>
      </w:r>
      <w:r w:rsidRPr="00D75194" w:rsidR="00B6292D">
        <w:rPr>
          <w:rFonts w:cs="Segoe UI"/>
          <w:b/>
          <w:bCs/>
          <w:lang w:eastAsia="en-GB"/>
        </w:rPr>
        <w:t xml:space="preserve"> </w:t>
      </w:r>
      <w:r w:rsidRPr="00D75194" w:rsidR="00A16349">
        <w:rPr>
          <w:rFonts w:cs="Segoe UI"/>
          <w:b/>
          <w:bCs/>
          <w:lang w:eastAsia="en-GB"/>
        </w:rPr>
        <w:t xml:space="preserve">However, while </w:t>
      </w:r>
      <w:r w:rsidRPr="037509AB" w:rsidR="00690A66">
        <w:rPr>
          <w:rFonts w:cs="Segoe UI"/>
          <w:b/>
          <w:bCs/>
          <w:lang w:eastAsia="en-GB"/>
        </w:rPr>
        <w:t>TP</w:t>
      </w:r>
      <w:r w:rsidRPr="037509AB" w:rsidR="00A16349">
        <w:rPr>
          <w:rFonts w:cs="Segoe UI"/>
          <w:b/>
          <w:bCs/>
          <w:lang w:eastAsia="en-GB"/>
        </w:rPr>
        <w:t>s</w:t>
      </w:r>
      <w:r w:rsidRPr="00D75194" w:rsidR="00A16349">
        <w:rPr>
          <w:rFonts w:cs="Segoe UI"/>
          <w:b/>
          <w:bCs/>
          <w:lang w:eastAsia="en-GB"/>
        </w:rPr>
        <w:t xml:space="preserve"> are generally valued by the LDC Group, lingering concerns around ownership and power asymmetries persist.</w:t>
      </w:r>
      <w:r w:rsidRPr="00D75194" w:rsidR="00A16349">
        <w:rPr>
          <w:rFonts w:cs="Segoe UI"/>
          <w:lang w:eastAsia="en-GB"/>
        </w:rPr>
        <w:t xml:space="preserve"> Some interviewees criticised past tendencies </w:t>
      </w:r>
      <w:r w:rsidR="0066316F">
        <w:rPr>
          <w:rFonts w:cs="Segoe UI"/>
          <w:lang w:eastAsia="en-GB"/>
        </w:rPr>
        <w:t>of some TPs</w:t>
      </w:r>
      <w:r w:rsidRPr="00D75194" w:rsidR="00A16349">
        <w:rPr>
          <w:rFonts w:cs="Segoe UI"/>
          <w:lang w:eastAsia="en-GB"/>
        </w:rPr>
        <w:t xml:space="preserve"> to control messaging, access to information, or negotiation positions. These dynamics were framed in terms of “colonial continuity</w:t>
      </w:r>
      <w:r w:rsidRPr="037509AB" w:rsidR="00582E2E">
        <w:rPr>
          <w:rFonts w:cs="Segoe UI"/>
          <w:lang w:eastAsia="en-GB"/>
        </w:rPr>
        <w:t>”</w:t>
      </w:r>
      <w:r w:rsidRPr="037509AB" w:rsidR="00A16349">
        <w:rPr>
          <w:rFonts w:cs="Segoe UI"/>
          <w:lang w:eastAsia="en-GB"/>
        </w:rPr>
        <w:t>,</w:t>
      </w:r>
      <w:r w:rsidRPr="00D75194" w:rsidR="00A16349">
        <w:rPr>
          <w:rFonts w:cs="Segoe UI"/>
          <w:lang w:eastAsia="en-GB"/>
        </w:rPr>
        <w:t xml:space="preserve"> though IIED was specifically commended for improving transparency and responsiveness in recent years. The underlying concern remains</w:t>
      </w:r>
      <w:r w:rsidRPr="00D75194" w:rsidR="00F86225">
        <w:rPr>
          <w:rFonts w:cs="Segoe UI"/>
          <w:lang w:eastAsia="en-GB"/>
        </w:rPr>
        <w:t>:</w:t>
      </w:r>
      <w:r w:rsidRPr="00D75194" w:rsidDel="00F86225" w:rsidR="000379FD">
        <w:rPr>
          <w:rFonts w:cs="Segoe UI"/>
          <w:lang w:eastAsia="en-GB"/>
        </w:rPr>
        <w:t xml:space="preserve"> </w:t>
      </w:r>
      <w:r w:rsidRPr="00D75194" w:rsidR="00A16349">
        <w:rPr>
          <w:rFonts w:cs="Segoe UI"/>
          <w:lang w:eastAsia="en-GB"/>
        </w:rPr>
        <w:t xml:space="preserve">external technical assistance, while essential, must be aligned with the </w:t>
      </w:r>
      <w:r w:rsidRPr="00D75194" w:rsidR="00843DFB">
        <w:rPr>
          <w:rFonts w:cs="Segoe UI"/>
          <w:lang w:eastAsia="en-GB"/>
        </w:rPr>
        <w:t xml:space="preserve">LDC </w:t>
      </w:r>
      <w:r w:rsidRPr="00D75194" w:rsidR="00A16349">
        <w:rPr>
          <w:rFonts w:cs="Segoe UI"/>
          <w:lang w:eastAsia="en-GB"/>
        </w:rPr>
        <w:t>Group’s own leadership, priorities, and voice.</w:t>
      </w:r>
    </w:p>
    <w:p w:rsidRPr="00D75194" w:rsidR="00A16349" w:rsidP="00A16349" w:rsidRDefault="00A16349" w14:paraId="7D576D3F" w14:textId="515E7721">
      <w:pPr>
        <w:rPr>
          <w:rFonts w:cs="Segoe UI"/>
          <w:lang w:eastAsia="en-GB"/>
        </w:rPr>
      </w:pPr>
      <w:r w:rsidRPr="00D75194">
        <w:rPr>
          <w:rFonts w:cs="Segoe UI"/>
          <w:lang w:eastAsia="en-GB"/>
        </w:rPr>
        <w:t xml:space="preserve">A central premise of CASA’s revised </w:t>
      </w:r>
      <w:r w:rsidRPr="00D75194" w:rsidR="00A26094">
        <w:rPr>
          <w:rFonts w:cs="Segoe UI"/>
          <w:lang w:eastAsia="en-GB"/>
        </w:rPr>
        <w:t>ToC</w:t>
      </w:r>
      <w:r w:rsidRPr="00D75194">
        <w:rPr>
          <w:rFonts w:cs="Segoe UI"/>
          <w:lang w:eastAsia="en-GB"/>
        </w:rPr>
        <w:t xml:space="preserve"> is that </w:t>
      </w:r>
      <w:r w:rsidRPr="037509AB" w:rsidR="00690A66">
        <w:rPr>
          <w:rFonts w:cs="Segoe UI"/>
          <w:lang w:eastAsia="en-GB"/>
        </w:rPr>
        <w:t>TP</w:t>
      </w:r>
      <w:r w:rsidRPr="037509AB">
        <w:rPr>
          <w:rFonts w:cs="Segoe UI"/>
          <w:lang w:eastAsia="en-GB"/>
        </w:rPr>
        <w:t>s</w:t>
      </w:r>
      <w:r w:rsidRPr="00D75194">
        <w:rPr>
          <w:rFonts w:cs="Segoe UI"/>
          <w:lang w:eastAsia="en-GB"/>
        </w:rPr>
        <w:t xml:space="preserve"> bring a “stock of assets</w:t>
      </w:r>
      <w:r w:rsidRPr="037509AB">
        <w:rPr>
          <w:rFonts w:cs="Segoe UI"/>
          <w:lang w:eastAsia="en-GB"/>
        </w:rPr>
        <w:t>”—</w:t>
      </w:r>
      <w:r w:rsidRPr="00D75194" w:rsidR="214C613E">
        <w:rPr>
          <w:rFonts w:cs="Segoe UI"/>
          <w:lang w:eastAsia="en-GB"/>
        </w:rPr>
        <w:t xml:space="preserve">organisational </w:t>
      </w:r>
      <w:r w:rsidRPr="00D75194">
        <w:rPr>
          <w:rFonts w:cs="Segoe UI"/>
          <w:lang w:eastAsia="en-GB"/>
        </w:rPr>
        <w:t>knowledge, networks, and expertise</w:t>
      </w:r>
      <w:r w:rsidRPr="037509AB">
        <w:rPr>
          <w:rFonts w:cs="Segoe UI"/>
          <w:lang w:eastAsia="en-GB"/>
        </w:rPr>
        <w:t>—</w:t>
      </w:r>
      <w:r w:rsidRPr="00D75194">
        <w:rPr>
          <w:rFonts w:cs="Segoe UI"/>
          <w:lang w:eastAsia="en-GB"/>
        </w:rPr>
        <w:t xml:space="preserve">which CASA enables negotiating groups, including the LDC Group, to access. This access is intended to </w:t>
      </w:r>
      <w:r w:rsidRPr="00D75194" w:rsidR="7F0F175E">
        <w:rPr>
          <w:rFonts w:cs="Segoe UI"/>
          <w:lang w:eastAsia="en-GB"/>
        </w:rPr>
        <w:t>1)</w:t>
      </w:r>
      <w:r w:rsidRPr="00D75194">
        <w:rPr>
          <w:rFonts w:cs="Segoe UI"/>
          <w:lang w:eastAsia="en-GB"/>
        </w:rPr>
        <w:t xml:space="preserve"> build the </w:t>
      </w:r>
      <w:r w:rsidRPr="00D75194" w:rsidR="009C0301">
        <w:rPr>
          <w:rFonts w:cs="Segoe UI"/>
          <w:lang w:eastAsia="en-GB"/>
        </w:rPr>
        <w:t xml:space="preserve">technical </w:t>
      </w:r>
      <w:r w:rsidRPr="00D75194">
        <w:rPr>
          <w:rFonts w:cs="Segoe UI"/>
          <w:lang w:eastAsia="en-GB"/>
        </w:rPr>
        <w:t>capital of individual negotiators</w:t>
      </w:r>
      <w:r w:rsidRPr="00D75194" w:rsidR="0B0A6F5C">
        <w:rPr>
          <w:rFonts w:cs="Segoe UI"/>
          <w:lang w:eastAsia="en-GB"/>
        </w:rPr>
        <w:t>,</w:t>
      </w:r>
      <w:r w:rsidRPr="00D75194">
        <w:rPr>
          <w:rFonts w:cs="Segoe UI"/>
          <w:lang w:eastAsia="en-GB"/>
        </w:rPr>
        <w:t xml:space="preserve"> </w:t>
      </w:r>
      <w:r w:rsidRPr="00D75194" w:rsidR="7B0215A9">
        <w:rPr>
          <w:rFonts w:cs="Segoe UI"/>
          <w:lang w:eastAsia="en-GB"/>
        </w:rPr>
        <w:t>2)</w:t>
      </w:r>
      <w:r w:rsidRPr="00D75194">
        <w:rPr>
          <w:rFonts w:cs="Segoe UI"/>
          <w:lang w:eastAsia="en-GB"/>
        </w:rPr>
        <w:t xml:space="preserve"> strengthen the </w:t>
      </w:r>
      <w:r w:rsidRPr="00D75194" w:rsidR="1858EC94">
        <w:rPr>
          <w:rFonts w:cs="Segoe UI"/>
          <w:lang w:eastAsia="en-GB"/>
        </w:rPr>
        <w:t xml:space="preserve">organisational capabilities of </w:t>
      </w:r>
      <w:r w:rsidRPr="00D75194" w:rsidR="276EC654">
        <w:rPr>
          <w:rFonts w:cs="Segoe UI"/>
          <w:lang w:eastAsia="en-GB"/>
        </w:rPr>
        <w:t>negotiating</w:t>
      </w:r>
      <w:r w:rsidRPr="00D75194" w:rsidR="1858EC94">
        <w:rPr>
          <w:rFonts w:cs="Segoe UI"/>
          <w:lang w:eastAsia="en-GB"/>
        </w:rPr>
        <w:t xml:space="preserve"> groups, and 3) enhance the </w:t>
      </w:r>
      <w:r w:rsidRPr="00D75194">
        <w:rPr>
          <w:rFonts w:cs="Segoe UI"/>
          <w:lang w:eastAsia="en-GB"/>
        </w:rPr>
        <w:t xml:space="preserve">institutional </w:t>
      </w:r>
      <w:r w:rsidRPr="00D75194" w:rsidR="64F5C311">
        <w:rPr>
          <w:rFonts w:cs="Segoe UI"/>
          <w:lang w:eastAsia="en-GB"/>
        </w:rPr>
        <w:t xml:space="preserve">influence the groups wield. </w:t>
      </w:r>
      <w:r w:rsidRPr="00D75194">
        <w:rPr>
          <w:rFonts w:cs="Segoe UI"/>
          <w:lang w:eastAsia="en-GB"/>
        </w:rPr>
        <w:t xml:space="preserve">However, </w:t>
      </w:r>
      <w:proofErr w:type="gramStart"/>
      <w:r w:rsidRPr="00D75194" w:rsidR="0945AF98">
        <w:rPr>
          <w:rFonts w:cs="Segoe UI"/>
          <w:lang w:eastAsia="en-GB"/>
        </w:rPr>
        <w:t>a number of</w:t>
      </w:r>
      <w:proofErr w:type="gramEnd"/>
      <w:r w:rsidRPr="00D75194" w:rsidR="0945AF98">
        <w:rPr>
          <w:rFonts w:cs="Segoe UI"/>
          <w:lang w:eastAsia="en-GB"/>
        </w:rPr>
        <w:t xml:space="preserve"> CASA-supported persons</w:t>
      </w:r>
      <w:r w:rsidRPr="00D75194" w:rsidR="212D27A0">
        <w:rPr>
          <w:rFonts w:cs="Segoe UI"/>
          <w:lang w:eastAsia="en-GB"/>
        </w:rPr>
        <w:t xml:space="preserve"> </w:t>
      </w:r>
      <w:r w:rsidRPr="00D75194">
        <w:rPr>
          <w:rFonts w:cs="Segoe UI"/>
          <w:lang w:eastAsia="en-GB"/>
        </w:rPr>
        <w:t xml:space="preserve">pointed to important limitations in how these assets are shared. Access </w:t>
      </w:r>
      <w:r w:rsidRPr="00D75194" w:rsidR="21071B60">
        <w:rPr>
          <w:rFonts w:cs="Segoe UI"/>
          <w:lang w:eastAsia="en-GB"/>
        </w:rPr>
        <w:t>to TP stocks of assets</w:t>
      </w:r>
      <w:r w:rsidRPr="00D75194">
        <w:rPr>
          <w:rFonts w:cs="Segoe UI"/>
          <w:lang w:eastAsia="en-GB"/>
        </w:rPr>
        <w:t xml:space="preserve"> is often uneven, shaped by pre-existing relationships and the </w:t>
      </w:r>
      <w:r w:rsidRPr="037509AB" w:rsidR="00690A66">
        <w:rPr>
          <w:rFonts w:cs="Segoe UI"/>
          <w:lang w:eastAsia="en-GB"/>
        </w:rPr>
        <w:t>TP</w:t>
      </w:r>
      <w:r w:rsidRPr="037509AB">
        <w:rPr>
          <w:rFonts w:cs="Segoe UI"/>
          <w:lang w:eastAsia="en-GB"/>
        </w:rPr>
        <w:t>s’</w:t>
      </w:r>
      <w:r w:rsidRPr="00D75194">
        <w:rPr>
          <w:rFonts w:cs="Segoe UI"/>
          <w:lang w:eastAsia="en-GB"/>
        </w:rPr>
        <w:t xml:space="preserve"> own strategic priorities. While such variability is not unexpected, it raises questions about who benefits most from CASA’s investments.</w:t>
      </w:r>
    </w:p>
    <w:p w:rsidRPr="00D75194" w:rsidR="00A16349" w:rsidP="00A16349" w:rsidRDefault="00A16349" w14:paraId="1E0703F3" w14:textId="465AB059">
      <w:pPr>
        <w:rPr>
          <w:rFonts w:cs="Segoe UI"/>
          <w:lang w:eastAsia="en-GB"/>
        </w:rPr>
      </w:pPr>
      <w:r w:rsidRPr="00D75194">
        <w:rPr>
          <w:rFonts w:cs="Segoe UI"/>
          <w:lang w:eastAsia="en-GB"/>
        </w:rPr>
        <w:t xml:space="preserve">Some interviewees suggested that the CASA programme </w:t>
      </w:r>
      <w:r w:rsidRPr="00D75194" w:rsidR="004B39B6">
        <w:rPr>
          <w:rFonts w:cs="Segoe UI"/>
          <w:lang w:eastAsia="en-GB"/>
        </w:rPr>
        <w:t>may</w:t>
      </w:r>
      <w:r w:rsidR="004B39B6">
        <w:rPr>
          <w:rFonts w:cs="Segoe UI"/>
          <w:lang w:eastAsia="en-GB"/>
        </w:rPr>
        <w:t xml:space="preserve"> </w:t>
      </w:r>
      <w:r w:rsidRPr="00D75194" w:rsidR="004B39B6">
        <w:rPr>
          <w:rFonts w:cs="Segoe UI"/>
          <w:lang w:eastAsia="en-GB"/>
        </w:rPr>
        <w:t>have</w:t>
      </w:r>
      <w:r w:rsidRPr="00D75194">
        <w:rPr>
          <w:rFonts w:cs="Segoe UI"/>
          <w:lang w:eastAsia="en-GB"/>
        </w:rPr>
        <w:t xml:space="preserve"> at times, consolidated the organisational strength of </w:t>
      </w:r>
      <w:r w:rsidRPr="00D75194" w:rsidR="003E3777">
        <w:rPr>
          <w:rFonts w:cs="Segoe UI"/>
          <w:lang w:eastAsia="en-GB"/>
        </w:rPr>
        <w:t>TPs</w:t>
      </w:r>
      <w:r w:rsidRPr="00D75194">
        <w:rPr>
          <w:rFonts w:cs="Segoe UI"/>
          <w:lang w:eastAsia="en-GB"/>
        </w:rPr>
        <w:t xml:space="preserve"> more than that of the LDC Group itself. While there has clearly been progress in building the </w:t>
      </w:r>
      <w:r w:rsidRPr="00D75194" w:rsidR="00D1472B">
        <w:rPr>
          <w:rFonts w:cs="Segoe UI"/>
          <w:lang w:eastAsia="en-GB"/>
        </w:rPr>
        <w:t xml:space="preserve">LDC </w:t>
      </w:r>
      <w:r w:rsidRPr="00D75194">
        <w:rPr>
          <w:rFonts w:cs="Segoe UI"/>
          <w:lang w:eastAsia="en-GB"/>
        </w:rPr>
        <w:t xml:space="preserve">Group’s organisational </w:t>
      </w:r>
      <w:r w:rsidRPr="00D75194" w:rsidR="63E2AD70">
        <w:rPr>
          <w:rFonts w:cs="Segoe UI"/>
          <w:lang w:eastAsia="en-GB"/>
        </w:rPr>
        <w:t>capabilities</w:t>
      </w:r>
      <w:r w:rsidRPr="00D75194">
        <w:rPr>
          <w:rFonts w:cs="Segoe UI"/>
          <w:lang w:eastAsia="en-GB"/>
        </w:rPr>
        <w:t xml:space="preserve">, the benefits have not always translated into durable or equitable gains for LDC negotiators. In some cases, </w:t>
      </w:r>
      <w:r w:rsidRPr="037509AB" w:rsidR="00690A66">
        <w:rPr>
          <w:rFonts w:cs="Segoe UI"/>
          <w:lang w:eastAsia="en-GB"/>
        </w:rPr>
        <w:t>TP</w:t>
      </w:r>
      <w:r w:rsidRPr="037509AB">
        <w:rPr>
          <w:rFonts w:cs="Segoe UI"/>
          <w:lang w:eastAsia="en-GB"/>
        </w:rPr>
        <w:t>s'</w:t>
      </w:r>
      <w:r w:rsidRPr="00D75194">
        <w:rPr>
          <w:rFonts w:cs="Segoe UI"/>
          <w:lang w:eastAsia="en-GB"/>
        </w:rPr>
        <w:t xml:space="preserve"> capacity risks overshadowing or substituting for that of the Group.</w:t>
      </w:r>
    </w:p>
    <w:p w:rsidRPr="00D75194" w:rsidR="00A16349" w:rsidP="00A16349" w:rsidRDefault="00CC7726" w14:paraId="0E2F30B6" w14:textId="3495C5DB">
      <w:pPr>
        <w:rPr>
          <w:rFonts w:cs="Segoe UI"/>
        </w:rPr>
      </w:pPr>
      <w:r w:rsidRPr="00D75194">
        <w:rPr>
          <w:rFonts w:cs="Segoe UI"/>
          <w:b/>
          <w:bCs/>
          <w:lang w:eastAsia="en-GB"/>
        </w:rPr>
        <w:t>#</w:t>
      </w:r>
      <w:r w:rsidRPr="00D75194" w:rsidR="00BD1C2C">
        <w:rPr>
          <w:rFonts w:cs="Segoe UI"/>
          <w:b/>
          <w:bCs/>
          <w:lang w:eastAsia="en-GB"/>
        </w:rPr>
        <w:t>3</w:t>
      </w:r>
      <w:r w:rsidRPr="00D75194">
        <w:rPr>
          <w:rFonts w:cs="Segoe UI"/>
          <w:b/>
          <w:bCs/>
          <w:lang w:eastAsia="en-GB"/>
        </w:rPr>
        <w:t>:</w:t>
      </w:r>
      <w:r w:rsidRPr="00D75194" w:rsidR="00B6292D">
        <w:rPr>
          <w:rFonts w:cs="Segoe UI"/>
          <w:b/>
          <w:bCs/>
          <w:lang w:eastAsia="en-GB"/>
        </w:rPr>
        <w:t xml:space="preserve"> </w:t>
      </w:r>
      <w:r w:rsidRPr="037509AB" w:rsidR="00690A66">
        <w:rPr>
          <w:rFonts w:cs="Segoe UI"/>
          <w:b/>
          <w:bCs/>
          <w:lang w:eastAsia="en-GB"/>
        </w:rPr>
        <w:t>TP</w:t>
      </w:r>
      <w:r w:rsidRPr="037509AB" w:rsidR="00A16349">
        <w:rPr>
          <w:rFonts w:cs="Segoe UI"/>
          <w:b/>
          <w:bCs/>
          <w:lang w:eastAsia="en-GB"/>
        </w:rPr>
        <w:t>s</w:t>
      </w:r>
      <w:r w:rsidRPr="00D75194" w:rsidR="00A16349">
        <w:rPr>
          <w:rFonts w:cs="Segoe UI"/>
          <w:b/>
          <w:bCs/>
          <w:lang w:eastAsia="en-GB"/>
        </w:rPr>
        <w:t xml:space="preserve"> contributed to the development and adoption of the LDC Charter, enabling transparent chair selection and internal governance</w:t>
      </w:r>
      <w:r w:rsidRPr="00D75194" w:rsidR="00A16349">
        <w:rPr>
          <w:rFonts w:cs="Segoe UI"/>
          <w:lang w:eastAsia="en-GB"/>
        </w:rPr>
        <w:t>. Climate Analytics, through dedicated SIDS and LDC support teams</w:t>
      </w:r>
      <w:r w:rsidRPr="00D75194" w:rsidR="5ECE7DA4">
        <w:rPr>
          <w:rFonts w:cs="Segoe UI"/>
          <w:lang w:eastAsia="en-GB"/>
        </w:rPr>
        <w:t>,</w:t>
      </w:r>
      <w:r w:rsidRPr="00D75194" w:rsidR="00A16349">
        <w:rPr>
          <w:rFonts w:cs="Segoe UI"/>
          <w:lang w:eastAsia="en-GB"/>
        </w:rPr>
        <w:t xml:space="preserve"> provided in-country support to chairs (notably in Senegal and Malawi), and led regular technical coordination calls, briefing sessions, and preparation</w:t>
      </w:r>
      <w:r w:rsidRPr="00D75194" w:rsidR="00365FF9">
        <w:rPr>
          <w:rFonts w:cs="Segoe UI"/>
          <w:lang w:eastAsia="en-GB"/>
        </w:rPr>
        <w:t xml:space="preserve"> of</w:t>
      </w:r>
      <w:r w:rsidRPr="00D75194" w:rsidR="00365FF9">
        <w:t xml:space="preserve"> </w:t>
      </w:r>
      <w:r w:rsidRPr="00D75194" w:rsidR="00365FF9">
        <w:rPr>
          <w:rFonts w:cs="Segoe UI"/>
          <w:lang w:eastAsia="en-GB"/>
        </w:rPr>
        <w:t>draft text</w:t>
      </w:r>
      <w:r w:rsidRPr="00D75194" w:rsidR="00A16349">
        <w:rPr>
          <w:rFonts w:cs="Segoe UI"/>
          <w:lang w:eastAsia="en-GB"/>
        </w:rPr>
        <w:t>. IIED</w:t>
      </w:r>
      <w:r w:rsidRPr="00D75194" w:rsidDel="5C2D476F" w:rsidR="00A16349">
        <w:rPr>
          <w:rFonts w:cs="Segoe UI"/>
          <w:lang w:eastAsia="en-GB"/>
        </w:rPr>
        <w:t xml:space="preserve"> </w:t>
      </w:r>
      <w:r w:rsidRPr="00D75194" w:rsidR="00A16349">
        <w:rPr>
          <w:rFonts w:cs="Segoe UI"/>
          <w:lang w:eastAsia="en-GB"/>
        </w:rPr>
        <w:t>played a complementary role</w:t>
      </w:r>
      <w:r w:rsidRPr="00D75194" w:rsidR="00AE1F47">
        <w:rPr>
          <w:rFonts w:cs="Segoe UI"/>
          <w:lang w:eastAsia="en-GB"/>
        </w:rPr>
        <w:t>,</w:t>
      </w:r>
      <w:r w:rsidRPr="00D75194" w:rsidR="00A16349">
        <w:rPr>
          <w:rFonts w:cs="Segoe UI"/>
          <w:lang w:eastAsia="en-GB"/>
        </w:rPr>
        <w:t xml:space="preserve"> supporting the development of a coherent external engagement strategy,</w:t>
      </w:r>
      <w:r w:rsidRPr="00D75194" w:rsidR="0039301F">
        <w:rPr>
          <w:rFonts w:cs="Segoe UI"/>
          <w:lang w:eastAsia="en-GB"/>
        </w:rPr>
        <w:t xml:space="preserve"> providing</w:t>
      </w:r>
      <w:r w:rsidRPr="00D75194" w:rsidR="00A16349">
        <w:rPr>
          <w:rFonts w:cs="Segoe UI"/>
          <w:lang w:eastAsia="en-GB"/>
        </w:rPr>
        <w:t xml:space="preserve"> coaching</w:t>
      </w:r>
      <w:r w:rsidRPr="00D75194" w:rsidR="00AE1F47">
        <w:rPr>
          <w:rFonts w:cs="Segoe UI"/>
          <w:lang w:eastAsia="en-GB"/>
        </w:rPr>
        <w:t xml:space="preserve"> on</w:t>
      </w:r>
      <w:r w:rsidRPr="00D75194" w:rsidR="00AE1F47">
        <w:t xml:space="preserve"> </w:t>
      </w:r>
      <w:r w:rsidRPr="00D75194" w:rsidR="00AE1F47">
        <w:rPr>
          <w:rFonts w:cs="Segoe UI"/>
          <w:lang w:eastAsia="en-GB"/>
        </w:rPr>
        <w:t>negotiations</w:t>
      </w:r>
      <w:r w:rsidRPr="00D75194" w:rsidR="00A16349">
        <w:rPr>
          <w:rFonts w:cs="Segoe UI"/>
          <w:lang w:eastAsia="en-GB"/>
        </w:rPr>
        <w:t xml:space="preserve">, and providing expert input into themes including Loss and Damage and adaptation. </w:t>
      </w:r>
      <w:r w:rsidRPr="00D75194" w:rsidR="00A16349">
        <w:rPr>
          <w:rFonts w:cs="Segoe UI"/>
        </w:rPr>
        <w:t>This capacity</w:t>
      </w:r>
      <w:r w:rsidRPr="00D75194" w:rsidDel="008A02EE" w:rsidR="00A16349">
        <w:rPr>
          <w:rFonts w:cs="Segoe UI"/>
        </w:rPr>
        <w:t xml:space="preserve"> </w:t>
      </w:r>
      <w:r w:rsidRPr="00D75194" w:rsidR="00A16349">
        <w:rPr>
          <w:rFonts w:cs="Segoe UI"/>
        </w:rPr>
        <w:t>allowed the</w:t>
      </w:r>
      <w:r w:rsidRPr="00D75194" w:rsidR="0065052E">
        <w:rPr>
          <w:rFonts w:cs="Segoe UI"/>
        </w:rPr>
        <w:t xml:space="preserve"> LDC</w:t>
      </w:r>
      <w:r w:rsidRPr="00D75194" w:rsidR="00A16349">
        <w:rPr>
          <w:rFonts w:cs="Segoe UI"/>
        </w:rPr>
        <w:t xml:space="preserve"> Group to engage proactively with others. For example, the Lilongwe Declaration, published just ahead of COP29, set out 10 demands</w:t>
      </w:r>
      <w:r w:rsidRPr="00D75194" w:rsidR="1A35AD96">
        <w:rPr>
          <w:rFonts w:cs="Segoe UI"/>
        </w:rPr>
        <w:t>,</w:t>
      </w:r>
      <w:r w:rsidRPr="00D75194" w:rsidR="00A16349">
        <w:rPr>
          <w:rFonts w:cs="Segoe UI"/>
        </w:rPr>
        <w:t xml:space="preserve"> including increased climate finance, operationalising the Loss and Damage Fund, and supporting gender-responsive programming. Unlike earlier statements, it reflected a deliberate consultation process across sectors and generations</w:t>
      </w:r>
      <w:r w:rsidRPr="00D75194" w:rsidR="004F4A70">
        <w:rPr>
          <w:rFonts w:cs="Segoe UI"/>
        </w:rPr>
        <w:t xml:space="preserve"> (older and younger negotiators)</w:t>
      </w:r>
      <w:r w:rsidRPr="00D75194" w:rsidR="00A16349">
        <w:rPr>
          <w:rFonts w:cs="Segoe UI"/>
        </w:rPr>
        <w:t>. The LDC submission on gender-responsive climate action (2023) outlined a unified position that balanced technical language with equity principles</w:t>
      </w:r>
      <w:r w:rsidRPr="037509AB" w:rsidR="00A16349">
        <w:rPr>
          <w:rFonts w:cs="Segoe UI"/>
        </w:rPr>
        <w:t>—</w:t>
      </w:r>
      <w:r w:rsidRPr="00D75194" w:rsidR="00A16349">
        <w:rPr>
          <w:rFonts w:cs="Segoe UI"/>
        </w:rPr>
        <w:t>a shift from earlier, more reactive statements. Similarly, the COP29 opening statement demonstrated a coordinated position that referenced decisions, finance flows, and implementation pathways</w:t>
      </w:r>
      <w:r w:rsidRPr="037509AB" w:rsidR="00A16349">
        <w:rPr>
          <w:rFonts w:cs="Segoe UI"/>
        </w:rPr>
        <w:t>—</w:t>
      </w:r>
      <w:r w:rsidRPr="00D75194" w:rsidR="00A16349">
        <w:rPr>
          <w:rFonts w:cs="Segoe UI"/>
        </w:rPr>
        <w:t xml:space="preserve">signalling a level of technical and </w:t>
      </w:r>
      <w:r w:rsidRPr="00D75194" w:rsidR="1C354E2A">
        <w:rPr>
          <w:rFonts w:cs="Segoe UI"/>
          <w:lang w:eastAsia="en-GB"/>
        </w:rPr>
        <w:t>organisational</w:t>
      </w:r>
      <w:r w:rsidRPr="00D75194" w:rsidR="1C354E2A">
        <w:rPr>
          <w:rFonts w:cs="Segoe UI"/>
          <w:b/>
          <w:bCs/>
          <w:lang w:eastAsia="en-GB"/>
        </w:rPr>
        <w:t xml:space="preserve"> </w:t>
      </w:r>
      <w:r w:rsidRPr="00D75194" w:rsidR="00A16349">
        <w:rPr>
          <w:rFonts w:cs="Segoe UI"/>
        </w:rPr>
        <w:t>maturity not always present in past cycles.</w:t>
      </w:r>
    </w:p>
    <w:p w:rsidRPr="00D75194" w:rsidR="00A16349" w:rsidP="00A16349" w:rsidRDefault="00A16349" w14:paraId="436C68C5" w14:textId="0CCBB473">
      <w:pPr>
        <w:rPr>
          <w:rFonts w:cs="Segoe UI"/>
          <w:lang w:eastAsia="en-GB"/>
        </w:rPr>
      </w:pPr>
      <w:r w:rsidRPr="00D75194">
        <w:rPr>
          <w:rFonts w:cs="Segoe UI"/>
          <w:lang w:eastAsia="en-GB"/>
        </w:rPr>
        <w:t xml:space="preserve">Overall, through </w:t>
      </w:r>
      <w:r w:rsidRPr="037509AB" w:rsidR="6002F31F">
        <w:rPr>
          <w:rFonts w:cs="Segoe UI"/>
          <w:lang w:eastAsia="en-GB"/>
        </w:rPr>
        <w:t>CASA II’s</w:t>
      </w:r>
      <w:r w:rsidRPr="00D75194">
        <w:rPr>
          <w:rFonts w:cs="Segoe UI"/>
          <w:lang w:eastAsia="en-GB"/>
        </w:rPr>
        <w:t xml:space="preserve"> funding, </w:t>
      </w:r>
      <w:r w:rsidRPr="00D75194" w:rsidR="00273161">
        <w:rPr>
          <w:rFonts w:cs="Segoe UI"/>
          <w:lang w:eastAsia="en-GB"/>
        </w:rPr>
        <w:t>TPs</w:t>
      </w:r>
      <w:r w:rsidRPr="037509AB">
        <w:rPr>
          <w:rFonts w:cs="Segoe UI"/>
          <w:lang w:eastAsia="en-GB"/>
        </w:rPr>
        <w:t>—</w:t>
      </w:r>
      <w:r w:rsidRPr="00D75194">
        <w:rPr>
          <w:rFonts w:cs="Segoe UI"/>
          <w:lang w:eastAsia="en-GB"/>
        </w:rPr>
        <w:t>primarily Climate Analytics and IIED</w:t>
      </w:r>
      <w:r w:rsidRPr="037509AB">
        <w:rPr>
          <w:rFonts w:cs="Segoe UI"/>
          <w:lang w:eastAsia="en-GB"/>
        </w:rPr>
        <w:t>—</w:t>
      </w:r>
      <w:r w:rsidRPr="00D75194">
        <w:rPr>
          <w:rFonts w:cs="Segoe UI"/>
          <w:lang w:eastAsia="en-GB"/>
        </w:rPr>
        <w:t xml:space="preserve">have formed the operational backbone of the LDC Group’s negotiation architecture. </w:t>
      </w:r>
      <w:r w:rsidRPr="00D75194">
        <w:rPr>
          <w:rFonts w:cs="Segoe UI"/>
        </w:rPr>
        <w:t>One example of this is a set of informal but highly functional knowledge systems. These include multilingual WhatsApp groups, shared digital drives for briefings and submissions, and simultaneous translation protocols that allow real-time coordination between francophone, lusophone, and anglophone negotiators. These systems were frequently cited in interviews as making the Group “more resilient to turnover” and helping new negotiators “plug in without weeks of prep</w:t>
      </w:r>
      <w:r w:rsidRPr="037509AB" w:rsidR="004852F5">
        <w:rPr>
          <w:rFonts w:cs="Segoe UI"/>
        </w:rPr>
        <w:t>”</w:t>
      </w:r>
      <w:r w:rsidRPr="037509AB">
        <w:rPr>
          <w:rFonts w:cs="Segoe UI"/>
        </w:rPr>
        <w:t>.</w:t>
      </w:r>
      <w:r w:rsidRPr="00D75194">
        <w:rPr>
          <w:rFonts w:cs="Segoe UI"/>
        </w:rPr>
        <w:t xml:space="preserve"> </w:t>
      </w:r>
      <w:r w:rsidRPr="00D75194">
        <w:rPr>
          <w:rFonts w:cs="Segoe UI"/>
          <w:lang w:eastAsia="en-GB"/>
        </w:rPr>
        <w:t>CASA II has supported the Group’s ability to coordinate, prepare, and engage consistently throughout the UNFCCC calendar. I</w:t>
      </w:r>
      <w:r w:rsidRPr="00D75194">
        <w:rPr>
          <w:rFonts w:cs="Segoe UI"/>
        </w:rPr>
        <w:t xml:space="preserve">nterviewees credited Climate Analytics’ ability to respond rapidly to </w:t>
      </w:r>
      <w:r w:rsidRPr="00D75194" w:rsidR="004852F5">
        <w:rPr>
          <w:rFonts w:cs="Segoe UI"/>
        </w:rPr>
        <w:t xml:space="preserve">chair </w:t>
      </w:r>
      <w:r w:rsidRPr="00D75194">
        <w:rPr>
          <w:rFonts w:cs="Segoe UI"/>
        </w:rPr>
        <w:t xml:space="preserve">requests and IIED’s depth of negotiation experience </w:t>
      </w:r>
      <w:r w:rsidRPr="00D75194">
        <w:rPr>
          <w:rFonts w:cs="Segoe UI"/>
        </w:rPr>
        <w:t xml:space="preserve">as critical enablers of LDC coherence. </w:t>
      </w:r>
      <w:r w:rsidRPr="00D75194">
        <w:rPr>
          <w:rFonts w:cs="Segoe UI"/>
          <w:lang w:eastAsia="en-GB"/>
        </w:rPr>
        <w:t>Without CASA’s sustained, flexible support, many of the internal systems and negotiation-ready processes would not have matured.</w:t>
      </w:r>
    </w:p>
    <w:p w:rsidRPr="00D75194" w:rsidR="00A16349" w:rsidP="00A16349" w:rsidRDefault="00CC7726" w14:paraId="30FC1F50" w14:textId="7BF6EE48">
      <w:pPr>
        <w:rPr>
          <w:rFonts w:cs="Segoe UI"/>
        </w:rPr>
      </w:pPr>
      <w:r w:rsidRPr="00D75194">
        <w:rPr>
          <w:rFonts w:cs="Segoe UI"/>
          <w:b/>
          <w:bCs/>
        </w:rPr>
        <w:t>#</w:t>
      </w:r>
      <w:r w:rsidRPr="00D75194" w:rsidR="00BD1C2C">
        <w:rPr>
          <w:rFonts w:cs="Segoe UI"/>
          <w:b/>
          <w:bCs/>
        </w:rPr>
        <w:t>4</w:t>
      </w:r>
      <w:r w:rsidRPr="00D75194">
        <w:rPr>
          <w:rFonts w:cs="Segoe UI"/>
          <w:b/>
          <w:bCs/>
        </w:rPr>
        <w:t>:</w:t>
      </w:r>
      <w:r w:rsidRPr="00D75194" w:rsidR="00B6292D">
        <w:rPr>
          <w:rFonts w:cs="Segoe UI"/>
          <w:b/>
          <w:bCs/>
        </w:rPr>
        <w:t xml:space="preserve"> </w:t>
      </w:r>
      <w:r w:rsidRPr="00D75194" w:rsidR="00A16349">
        <w:rPr>
          <w:rFonts w:cs="Segoe UI"/>
          <w:b/>
          <w:bCs/>
        </w:rPr>
        <w:t>There is also some evidence that CASA II made an important contribution to the sustained leadership and presence of RMI as the convenor and chair of the HAC, which in turn influenced more ambitious negotiation outcomes by the HAC.</w:t>
      </w:r>
      <w:r w:rsidRPr="00D75194" w:rsidR="00A16349">
        <w:rPr>
          <w:rFonts w:cs="Segoe UI"/>
        </w:rPr>
        <w:t xml:space="preserve"> Through technical diplomacy, </w:t>
      </w:r>
      <w:r w:rsidRPr="037509AB" w:rsidR="00494461">
        <w:rPr>
          <w:rFonts w:cs="Segoe UI"/>
        </w:rPr>
        <w:t>Independent</w:t>
      </w:r>
      <w:r w:rsidRPr="00D75194" w:rsidR="00494461">
        <w:rPr>
          <w:rFonts w:cs="Segoe UI"/>
        </w:rPr>
        <w:t xml:space="preserve"> Diplomat</w:t>
      </w:r>
      <w:r w:rsidRPr="00D75194" w:rsidR="00A16349">
        <w:rPr>
          <w:rFonts w:cs="Segoe UI"/>
        </w:rPr>
        <w:t xml:space="preserve"> supports building alliances, coordinating outreach, and facilitating member engagement to secure outcomes</w:t>
      </w:r>
      <w:r w:rsidRPr="00D75194" w:rsidR="6A8636C8">
        <w:rPr>
          <w:rFonts w:cs="Segoe UI"/>
        </w:rPr>
        <w:t>,</w:t>
      </w:r>
      <w:r w:rsidRPr="00D75194" w:rsidR="00A16349">
        <w:rPr>
          <w:rFonts w:cs="Segoe UI"/>
        </w:rPr>
        <w:t xml:space="preserve"> such as the commitment to double adaptation finance agreed at COP26. </w:t>
      </w:r>
      <w:r w:rsidRPr="037509AB" w:rsidR="00494461">
        <w:rPr>
          <w:rFonts w:cs="Segoe UI"/>
        </w:rPr>
        <w:t>Independent</w:t>
      </w:r>
      <w:r w:rsidRPr="00D75194" w:rsidR="00494461">
        <w:rPr>
          <w:rFonts w:cs="Segoe UI"/>
        </w:rPr>
        <w:t xml:space="preserve"> Diplomat</w:t>
      </w:r>
      <w:r w:rsidRPr="00D75194" w:rsidR="00A16349">
        <w:rPr>
          <w:rFonts w:cs="Segoe UI"/>
        </w:rPr>
        <w:t xml:space="preserve"> assists in identifying and approaching new HAC members, balancing representation between </w:t>
      </w:r>
      <w:r w:rsidRPr="037509AB" w:rsidR="00F0585F">
        <w:rPr>
          <w:rFonts w:cs="Segoe UI"/>
        </w:rPr>
        <w:t>G</w:t>
      </w:r>
      <w:r w:rsidRPr="037509AB" w:rsidR="00A16349">
        <w:rPr>
          <w:rFonts w:cs="Segoe UI"/>
        </w:rPr>
        <w:t xml:space="preserve">lobal </w:t>
      </w:r>
      <w:r w:rsidRPr="037509AB" w:rsidR="00F0585F">
        <w:rPr>
          <w:rFonts w:cs="Segoe UI"/>
        </w:rPr>
        <w:t>S</w:t>
      </w:r>
      <w:r w:rsidRPr="037509AB" w:rsidR="00A16349">
        <w:rPr>
          <w:rFonts w:cs="Segoe UI"/>
        </w:rPr>
        <w:t>outh</w:t>
      </w:r>
      <w:r w:rsidRPr="00D75194" w:rsidR="00A16349">
        <w:rPr>
          <w:rFonts w:cs="Segoe UI"/>
        </w:rPr>
        <w:t xml:space="preserve"> and </w:t>
      </w:r>
      <w:r w:rsidRPr="00D75194" w:rsidR="00F0585F">
        <w:rPr>
          <w:rFonts w:cs="Segoe UI"/>
        </w:rPr>
        <w:t xml:space="preserve">Global </w:t>
      </w:r>
      <w:r w:rsidRPr="037509AB" w:rsidR="00F0585F">
        <w:rPr>
          <w:rFonts w:cs="Segoe UI"/>
        </w:rPr>
        <w:t>N</w:t>
      </w:r>
      <w:r w:rsidRPr="037509AB" w:rsidR="00A16349">
        <w:rPr>
          <w:rFonts w:cs="Segoe UI"/>
        </w:rPr>
        <w:t>orth</w:t>
      </w:r>
      <w:r w:rsidRPr="00D75194" w:rsidR="00A16349">
        <w:rPr>
          <w:rFonts w:cs="Segoe UI"/>
        </w:rPr>
        <w:t xml:space="preserve"> countries, and ensuring that group strategy reflects the needs and ambitions of all members. Ultimately</w:t>
      </w:r>
      <w:r w:rsidRPr="00D75194" w:rsidR="6004DCC0">
        <w:rPr>
          <w:rFonts w:cs="Segoe UI"/>
        </w:rPr>
        <w:t>,</w:t>
      </w:r>
      <w:r w:rsidRPr="00D75194" w:rsidR="00A16349">
        <w:rPr>
          <w:rFonts w:cs="Segoe UI"/>
        </w:rPr>
        <w:t xml:space="preserve"> </w:t>
      </w:r>
      <w:r w:rsidRPr="037509AB" w:rsidR="00494461">
        <w:rPr>
          <w:rFonts w:cs="Segoe UI"/>
        </w:rPr>
        <w:t>Independent</w:t>
      </w:r>
      <w:r w:rsidRPr="00D75194" w:rsidR="00494461">
        <w:rPr>
          <w:rFonts w:cs="Segoe UI"/>
        </w:rPr>
        <w:t xml:space="preserve"> Diplomat</w:t>
      </w:r>
      <w:r w:rsidRPr="00D75194" w:rsidR="00A16349">
        <w:rPr>
          <w:rFonts w:cs="Segoe UI"/>
        </w:rPr>
        <w:t xml:space="preserve"> </w:t>
      </w:r>
      <w:r w:rsidRPr="00D75194" w:rsidR="003768F6">
        <w:rPr>
          <w:rFonts w:cs="Segoe UI"/>
        </w:rPr>
        <w:t xml:space="preserve">helps </w:t>
      </w:r>
      <w:r w:rsidRPr="00D75194" w:rsidR="00A16349">
        <w:rPr>
          <w:rFonts w:cs="Segoe UI"/>
        </w:rPr>
        <w:t xml:space="preserve">shape the strategic direction of the HAC as an entity. </w:t>
      </w:r>
    </w:p>
    <w:p w:rsidRPr="00D75194" w:rsidR="00EB2409" w:rsidP="00EB2409" w:rsidRDefault="00A16349" w14:paraId="6C7EB9CE" w14:textId="17E159BA">
      <w:pPr>
        <w:rPr>
          <w:rFonts w:cs="Segoe UI"/>
        </w:rPr>
      </w:pPr>
      <w:r w:rsidRPr="716A782B">
        <w:rPr>
          <w:rFonts w:cs="Segoe UI"/>
        </w:rPr>
        <w:t xml:space="preserve">In its Secretariat role for the HAC, </w:t>
      </w:r>
      <w:r w:rsidRPr="716A782B" w:rsidR="00494461">
        <w:rPr>
          <w:rFonts w:cs="Segoe UI"/>
        </w:rPr>
        <w:t>Independent Diplomat</w:t>
      </w:r>
      <w:r w:rsidRPr="716A782B">
        <w:rPr>
          <w:rFonts w:cs="Segoe UI"/>
        </w:rPr>
        <w:t xml:space="preserve"> supports RMI’s leadership by managing day-to-day logistics, preparing statements and screening notes, and advising on strategic direction, including expansion of HAC's agenda to </w:t>
      </w:r>
      <w:r w:rsidRPr="716A782B" w:rsidR="003768F6">
        <w:rPr>
          <w:rFonts w:cs="Segoe UI"/>
        </w:rPr>
        <w:t xml:space="preserve">emphasise </w:t>
      </w:r>
      <w:r w:rsidRPr="716A782B">
        <w:rPr>
          <w:rFonts w:cs="Segoe UI"/>
        </w:rPr>
        <w:t xml:space="preserve">adaptation. Each year, </w:t>
      </w:r>
      <w:r w:rsidRPr="716A782B" w:rsidR="00494461">
        <w:rPr>
          <w:rFonts w:cs="Segoe UI"/>
        </w:rPr>
        <w:t>Independent Diplomat</w:t>
      </w:r>
      <w:r w:rsidRPr="716A782B">
        <w:rPr>
          <w:rFonts w:cs="Segoe UI"/>
        </w:rPr>
        <w:t xml:space="preserve"> co-develops an annual workplan with the RMI Climate Envoy, ensuring that strategic priorities are aligned with both political and technical leadership. Historically, </w:t>
      </w:r>
      <w:r w:rsidRPr="716A782B" w:rsidR="00494461">
        <w:rPr>
          <w:rFonts w:cs="Segoe UI"/>
        </w:rPr>
        <w:t>Independent Diplomat</w:t>
      </w:r>
      <w:r w:rsidRPr="716A782B">
        <w:rPr>
          <w:rFonts w:cs="Segoe UI"/>
        </w:rPr>
        <w:t xml:space="preserve"> supported a shift from just focusing on mitigation towards including a strong focus on adaptation</w:t>
      </w:r>
      <w:r w:rsidRPr="716A782B" w:rsidR="003768F6">
        <w:rPr>
          <w:rFonts w:cs="Segoe UI"/>
        </w:rPr>
        <w:t>—</w:t>
      </w:r>
      <w:r w:rsidRPr="716A782B">
        <w:rPr>
          <w:rFonts w:cs="Segoe UI"/>
        </w:rPr>
        <w:t>both within international negotiations and in domestic implementation</w:t>
      </w:r>
      <w:r w:rsidRPr="716A782B" w:rsidR="2A1DC9A3">
        <w:rPr>
          <w:rFonts w:cs="Segoe UI"/>
        </w:rPr>
        <w:t>,</w:t>
      </w:r>
      <w:r w:rsidRPr="716A782B">
        <w:rPr>
          <w:rFonts w:cs="Segoe UI"/>
        </w:rPr>
        <w:t xml:space="preserve"> through the development of their National Adaptation Plan. </w:t>
      </w:r>
      <w:r w:rsidRPr="716A782B" w:rsidR="00494461">
        <w:rPr>
          <w:rFonts w:cs="Segoe UI"/>
        </w:rPr>
        <w:t>Independent Diplomat</w:t>
      </w:r>
      <w:r w:rsidRPr="716A782B">
        <w:rPr>
          <w:rFonts w:cs="Segoe UI"/>
        </w:rPr>
        <w:t xml:space="preserve"> played a critical role by bringing in experts with adaptation expertise, </w:t>
      </w:r>
      <w:r w:rsidRPr="716A782B" w:rsidR="00EB2409">
        <w:rPr>
          <w:rFonts w:cs="Segoe UI"/>
        </w:rPr>
        <w:t xml:space="preserve">supporting and tailoring assistance to acquire capabilities, then slowly withdrawing when proficient and as a result strengthening RMI’s internal capabilities. </w:t>
      </w:r>
    </w:p>
    <w:p w:rsidRPr="00D75194" w:rsidR="004E6D03" w:rsidP="00A16349" w:rsidRDefault="005661BA" w14:paraId="36D580E7" w14:textId="28FACFE9">
      <w:pPr>
        <w:rPr>
          <w:rFonts w:cs="Segoe UI"/>
        </w:rPr>
      </w:pPr>
      <w:r w:rsidRPr="00D75194">
        <w:rPr>
          <w:rFonts w:cs="Segoe UI"/>
          <w:noProof/>
        </w:rPr>
        <mc:AlternateContent>
          <mc:Choice Requires="wpg">
            <w:drawing>
              <wp:anchor distT="0" distB="0" distL="114300" distR="114300" simplePos="0" relativeHeight="251658242" behindDoc="0" locked="0" layoutInCell="1" allowOverlap="1" wp14:anchorId="0CA08286" wp14:editId="1464CB31">
                <wp:simplePos x="0" y="0"/>
                <wp:positionH relativeFrom="margin">
                  <wp:posOffset>3208049</wp:posOffset>
                </wp:positionH>
                <wp:positionV relativeFrom="margin">
                  <wp:posOffset>1124925</wp:posOffset>
                </wp:positionV>
                <wp:extent cx="3288030" cy="6334125"/>
                <wp:effectExtent l="0" t="0" r="7620" b="9525"/>
                <wp:wrapSquare wrapText="bothSides"/>
                <wp:docPr id="211" name="Group 219"/>
                <wp:cNvGraphicFramePr/>
                <a:graphic xmlns:a="http://schemas.openxmlformats.org/drawingml/2006/main">
                  <a:graphicData uri="http://schemas.microsoft.com/office/word/2010/wordprocessingGroup">
                    <wpg:wgp>
                      <wpg:cNvGrpSpPr/>
                      <wpg:grpSpPr>
                        <a:xfrm>
                          <a:off x="0" y="0"/>
                          <a:ext cx="3288030" cy="6334125"/>
                          <a:chOff x="-149803" y="-12"/>
                          <a:chExt cx="2553443" cy="7814670"/>
                        </a:xfrm>
                      </wpg:grpSpPr>
                      <wps:wsp>
                        <wps:cNvPr id="212" name="AutoShape 14"/>
                        <wps:cNvSpPr>
                          <a:spLocks noChangeArrowheads="1"/>
                        </wps:cNvSpPr>
                        <wps:spPr bwMode="auto">
                          <a:xfrm>
                            <a:off x="-138210" y="0"/>
                            <a:ext cx="2530256" cy="7814657"/>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rsidRPr="00D75194" w:rsidR="00A16349" w:rsidP="008E2151" w:rsidRDefault="00A16349" w14:paraId="78A5B325" w14:textId="77777777">
                              <w:pPr>
                                <w:spacing w:before="280" w:line="240" w:lineRule="auto"/>
                                <w:jc w:val="center"/>
                                <w:rPr>
                                  <w:rFonts w:asciiTheme="majorHAnsi" w:hAnsiTheme="majorHAnsi" w:eastAsiaTheme="majorEastAsia" w:cstheme="majorBidi"/>
                                  <w:color w:val="36706B" w:themeColor="accent4"/>
                                  <w:sz w:val="40"/>
                                  <w:szCs w:val="40"/>
                                </w:rPr>
                              </w:pPr>
                              <w:r w:rsidRPr="00D75194">
                                <w:rPr>
                                  <w:rFonts w:asciiTheme="majorHAnsi" w:hAnsiTheme="majorHAnsi" w:eastAsiaTheme="majorEastAsia" w:cstheme="majorBidi"/>
                                  <w:color w:val="36706B" w:themeColor="accent4"/>
                                  <w:sz w:val="40"/>
                                  <w:szCs w:val="40"/>
                                </w:rPr>
                                <w:t>IIED mentorship programme</w:t>
                              </w:r>
                            </w:p>
                            <w:p w:rsidRPr="00D75194" w:rsidR="00A16349" w:rsidP="00A16349" w:rsidRDefault="00A16349" w14:paraId="07D68203" w14:textId="68781820">
                              <w:pPr>
                                <w:rPr>
                                  <w:color w:val="152D2A" w:themeColor="accent5" w:themeShade="80"/>
                                  <w:sz w:val="18"/>
                                  <w:szCs w:val="18"/>
                                </w:rPr>
                              </w:pPr>
                              <w:r w:rsidRPr="00D75194">
                                <w:rPr>
                                  <w:color w:val="152D2A" w:themeColor="accent5" w:themeShade="80"/>
                                  <w:sz w:val="18"/>
                                  <w:szCs w:val="18"/>
                                </w:rPr>
                                <w:t>The IIED Fellowship Programme played a foundational role between 2022 and 2024.</w:t>
                              </w:r>
                              <w:r w:rsidRPr="00D75194" w:rsidR="006B601D">
                                <w:rPr>
                                  <w:color w:val="152D2A" w:themeColor="accent5" w:themeShade="80"/>
                                  <w:sz w:val="18"/>
                                  <w:szCs w:val="18"/>
                                </w:rPr>
                                <w:t xml:space="preserve"> </w:t>
                              </w:r>
                              <w:r w:rsidRPr="00D75194">
                                <w:rPr>
                                  <w:color w:val="152D2A" w:themeColor="accent5" w:themeShade="80"/>
                                  <w:sz w:val="18"/>
                                  <w:szCs w:val="18"/>
                                </w:rPr>
                                <w:t xml:space="preserve">IIED mentored over a dozen junior negotiators, </w:t>
                              </w:r>
                              <w:r w:rsidR="00BE3594">
                                <w:rPr>
                                  <w:color w:val="152D2A" w:themeColor="accent5" w:themeShade="80"/>
                                  <w:sz w:val="18"/>
                                  <w:szCs w:val="18"/>
                                </w:rPr>
                                <w:t xml:space="preserve">including </w:t>
                              </w:r>
                              <w:r w:rsidR="0059228D">
                                <w:rPr>
                                  <w:color w:val="152D2A" w:themeColor="accent5" w:themeShade="80"/>
                                  <w:sz w:val="18"/>
                                  <w:szCs w:val="18"/>
                                </w:rPr>
                                <w:t>funding</w:t>
                              </w:r>
                              <w:r w:rsidR="00BE3594">
                                <w:rPr>
                                  <w:color w:val="152D2A" w:themeColor="accent5" w:themeShade="80"/>
                                  <w:sz w:val="18"/>
                                  <w:szCs w:val="18"/>
                                </w:rPr>
                                <w:t xml:space="preserve"> for</w:t>
                              </w:r>
                              <w:r w:rsidRPr="00D75194">
                                <w:rPr>
                                  <w:color w:val="152D2A" w:themeColor="accent5" w:themeShade="80"/>
                                  <w:sz w:val="18"/>
                                  <w:szCs w:val="18"/>
                                </w:rPr>
                                <w:t xml:space="preserve"> travel, subsistence, and </w:t>
                              </w:r>
                              <w:r w:rsidRPr="00D75194" w:rsidR="00D951FA">
                                <w:rPr>
                                  <w:color w:val="152D2A" w:themeColor="accent5" w:themeShade="80"/>
                                  <w:sz w:val="18"/>
                                  <w:szCs w:val="18"/>
                                </w:rPr>
                                <w:t>technical</w:t>
                              </w:r>
                              <w:r w:rsidRPr="00D75194">
                                <w:rPr>
                                  <w:color w:val="152D2A" w:themeColor="accent5" w:themeShade="80"/>
                                  <w:sz w:val="18"/>
                                  <w:szCs w:val="18"/>
                                </w:rPr>
                                <w:t xml:space="preserve"> support. Fellows were embedded in key agenda tracks</w:t>
                              </w:r>
                              <w:r w:rsidRPr="00D75194" w:rsidR="00EB60AA">
                                <w:rPr>
                                  <w:color w:val="152D2A" w:themeColor="accent5" w:themeShade="80"/>
                                  <w:sz w:val="18"/>
                                  <w:szCs w:val="18"/>
                                </w:rPr>
                                <w:t>,</w:t>
                              </w:r>
                              <w:r w:rsidRPr="00D75194">
                                <w:rPr>
                                  <w:color w:val="152D2A" w:themeColor="accent5" w:themeShade="80"/>
                                  <w:sz w:val="18"/>
                                  <w:szCs w:val="18"/>
                                </w:rPr>
                                <w:t xml:space="preserve"> such as </w:t>
                              </w:r>
                              <w:r w:rsidRPr="00D75194" w:rsidR="009D2EE9">
                                <w:rPr>
                                  <w:color w:val="152D2A" w:themeColor="accent5" w:themeShade="80"/>
                                  <w:sz w:val="18"/>
                                  <w:szCs w:val="18"/>
                                </w:rPr>
                                <w:t>T</w:t>
                              </w:r>
                              <w:r w:rsidRPr="00D75194">
                                <w:rPr>
                                  <w:color w:val="152D2A" w:themeColor="accent5" w:themeShade="80"/>
                                  <w:sz w:val="18"/>
                                  <w:szCs w:val="18"/>
                                </w:rPr>
                                <w:t xml:space="preserve">ransparency, Article 6, </w:t>
                              </w:r>
                              <w:r w:rsidRPr="00D75194" w:rsidR="009D2EE9">
                                <w:rPr>
                                  <w:color w:val="152D2A" w:themeColor="accent5" w:themeShade="80"/>
                                  <w:sz w:val="18"/>
                                  <w:szCs w:val="18"/>
                                </w:rPr>
                                <w:t>F</w:t>
                              </w:r>
                              <w:r w:rsidRPr="00D75194">
                                <w:rPr>
                                  <w:color w:val="152D2A" w:themeColor="accent5" w:themeShade="80"/>
                                  <w:sz w:val="18"/>
                                  <w:szCs w:val="18"/>
                                </w:rPr>
                                <w:t xml:space="preserve">inance, and </w:t>
                              </w:r>
                              <w:r w:rsidRPr="00D75194" w:rsidR="009D2EE9">
                                <w:rPr>
                                  <w:color w:val="152D2A" w:themeColor="accent5" w:themeShade="80"/>
                                  <w:sz w:val="18"/>
                                  <w:szCs w:val="18"/>
                                </w:rPr>
                                <w:t>J</w:t>
                              </w:r>
                              <w:r w:rsidRPr="00D75194">
                                <w:rPr>
                                  <w:color w:val="152D2A" w:themeColor="accent5" w:themeShade="80"/>
                                  <w:sz w:val="18"/>
                                  <w:szCs w:val="18"/>
                                </w:rPr>
                                <w:t xml:space="preserve">ust </w:t>
                              </w:r>
                              <w:r w:rsidRPr="00D75194" w:rsidR="009D2EE9">
                                <w:rPr>
                                  <w:color w:val="152D2A" w:themeColor="accent5" w:themeShade="80"/>
                                  <w:sz w:val="18"/>
                                  <w:szCs w:val="18"/>
                                </w:rPr>
                                <w:t>T</w:t>
                              </w:r>
                              <w:r w:rsidRPr="00D75194">
                                <w:rPr>
                                  <w:color w:val="152D2A" w:themeColor="accent5" w:themeShade="80"/>
                                  <w:sz w:val="18"/>
                                  <w:szCs w:val="18"/>
                                </w:rPr>
                                <w:t xml:space="preserve">ransition. Several former fellows now hold leadership positions. </w:t>
                              </w:r>
                            </w:p>
                            <w:p w:rsidRPr="00D75194" w:rsidR="00A16349" w:rsidP="00A16349" w:rsidRDefault="00A16349" w14:paraId="4B467266" w14:textId="30305A3E">
                              <w:pPr>
                                <w:rPr>
                                  <w:color w:val="152D2A" w:themeColor="accent5" w:themeShade="80"/>
                                  <w:sz w:val="18"/>
                                  <w:szCs w:val="18"/>
                                </w:rPr>
                              </w:pPr>
                              <w:r w:rsidRPr="00D75194">
                                <w:rPr>
                                  <w:color w:val="152D2A" w:themeColor="accent5" w:themeShade="80"/>
                                  <w:sz w:val="18"/>
                                  <w:szCs w:val="18"/>
                                </w:rPr>
                                <w:t>Deliverables included</w:t>
                              </w:r>
                              <w:r w:rsidRPr="00D75194" w:rsidR="00EB60AA">
                                <w:rPr>
                                  <w:color w:val="152D2A" w:themeColor="accent5" w:themeShade="80"/>
                                  <w:sz w:val="18"/>
                                  <w:szCs w:val="18"/>
                                </w:rPr>
                                <w:t xml:space="preserve"> the following</w:t>
                              </w:r>
                              <w:r w:rsidRPr="00D75194">
                                <w:rPr>
                                  <w:color w:val="152D2A" w:themeColor="accent5" w:themeShade="80"/>
                                  <w:sz w:val="18"/>
                                  <w:szCs w:val="18"/>
                                </w:rPr>
                                <w:t>:</w:t>
                              </w:r>
                            </w:p>
                            <w:p w:rsidRPr="00D75194" w:rsidR="00A16349" w:rsidP="00866E69" w:rsidRDefault="002A17C1" w14:paraId="689F8D91" w14:textId="19B48BC8">
                              <w:pPr>
                                <w:pStyle w:val="ListParagraph"/>
                                <w:numPr>
                                  <w:ilvl w:val="0"/>
                                  <w:numId w:val="28"/>
                                </w:numPr>
                                <w:spacing w:after="160" w:line="259" w:lineRule="auto"/>
                                <w:jc w:val="left"/>
                                <w:rPr>
                                  <w:color w:val="152D2A" w:themeColor="accent5" w:themeShade="80"/>
                                  <w:sz w:val="18"/>
                                  <w:szCs w:val="18"/>
                                </w:rPr>
                              </w:pPr>
                              <w:r w:rsidRPr="00D75194">
                                <w:rPr>
                                  <w:color w:val="152D2A" w:themeColor="accent5" w:themeShade="80"/>
                                  <w:sz w:val="18"/>
                                  <w:szCs w:val="18"/>
                                </w:rPr>
                                <w:t>l</w:t>
                              </w:r>
                              <w:r w:rsidRPr="00D75194" w:rsidR="00A16349">
                                <w:rPr>
                                  <w:color w:val="152D2A" w:themeColor="accent5" w:themeShade="80"/>
                                  <w:sz w:val="18"/>
                                  <w:szCs w:val="18"/>
                                </w:rPr>
                                <w:t xml:space="preserve">ogistical support to </w:t>
                              </w:r>
                              <w:r w:rsidRPr="00D75194" w:rsidR="00EB60AA">
                                <w:rPr>
                                  <w:color w:val="152D2A" w:themeColor="accent5" w:themeShade="80"/>
                                  <w:sz w:val="18"/>
                                  <w:szCs w:val="18"/>
                                </w:rPr>
                                <w:t>five</w:t>
                              </w:r>
                              <w:r w:rsidRPr="00D75194" w:rsidR="00A16349">
                                <w:rPr>
                                  <w:color w:val="152D2A" w:themeColor="accent5" w:themeShade="80"/>
                                  <w:sz w:val="18"/>
                                  <w:szCs w:val="18"/>
                                </w:rPr>
                                <w:t xml:space="preserve"> new LDC negotiators, including women, </w:t>
                              </w:r>
                              <w:r w:rsidRPr="00D75194" w:rsidR="00EB60AA">
                                <w:rPr>
                                  <w:color w:val="152D2A" w:themeColor="accent5" w:themeShade="80"/>
                                  <w:sz w:val="18"/>
                                  <w:szCs w:val="18"/>
                                </w:rPr>
                                <w:t>f</w:t>
                              </w:r>
                              <w:r w:rsidRPr="00D75194" w:rsidR="00A16349">
                                <w:rPr>
                                  <w:color w:val="152D2A" w:themeColor="accent5" w:themeShade="80"/>
                                  <w:sz w:val="18"/>
                                  <w:szCs w:val="18"/>
                                </w:rPr>
                                <w:t>rancophone, and youth delegates, to attend SB60 in Bonn and COP29 in Baku</w:t>
                              </w:r>
                              <w:r w:rsidRPr="00D75194">
                                <w:rPr>
                                  <w:color w:val="152D2A" w:themeColor="accent5" w:themeShade="80"/>
                                  <w:sz w:val="18"/>
                                  <w:szCs w:val="18"/>
                                </w:rPr>
                                <w:t>; and</w:t>
                              </w:r>
                            </w:p>
                            <w:p w:rsidRPr="00D75194" w:rsidR="00A16349" w:rsidP="00866E69" w:rsidRDefault="002A17C1" w14:paraId="4C06DDB3" w14:textId="3E632643">
                              <w:pPr>
                                <w:pStyle w:val="ListParagraph"/>
                                <w:numPr>
                                  <w:ilvl w:val="0"/>
                                  <w:numId w:val="28"/>
                                </w:numPr>
                                <w:spacing w:after="160" w:line="259" w:lineRule="auto"/>
                                <w:jc w:val="left"/>
                                <w:rPr>
                                  <w:color w:val="152D2A" w:themeColor="accent5" w:themeShade="80"/>
                                  <w:sz w:val="18"/>
                                  <w:szCs w:val="18"/>
                                </w:rPr>
                              </w:pPr>
                              <w:r w:rsidRPr="00D75194">
                                <w:rPr>
                                  <w:color w:val="152D2A" w:themeColor="accent5" w:themeShade="80"/>
                                  <w:sz w:val="18"/>
                                  <w:szCs w:val="18"/>
                                </w:rPr>
                                <w:t>r</w:t>
                              </w:r>
                              <w:r w:rsidRPr="00D75194" w:rsidR="00A16349">
                                <w:rPr>
                                  <w:color w:val="152D2A" w:themeColor="accent5" w:themeShade="80"/>
                                  <w:sz w:val="18"/>
                                  <w:szCs w:val="18"/>
                                </w:rPr>
                                <w:t>eports from both the new and senior LDC negotiators who participate in the mentoring scheme, reflecting on their experience and sharing feedback for improvement.</w:t>
                              </w:r>
                            </w:p>
                            <w:p w:rsidRPr="00D75194" w:rsidR="00A16349" w:rsidP="00A16349" w:rsidRDefault="00A16349" w14:paraId="3E73F6B1" w14:textId="1FB91B68">
                              <w:pPr>
                                <w:rPr>
                                  <w:color w:val="152D2A" w:themeColor="accent5" w:themeShade="80"/>
                                  <w:sz w:val="18"/>
                                  <w:szCs w:val="18"/>
                                </w:rPr>
                              </w:pPr>
                              <w:r w:rsidRPr="00D75194">
                                <w:rPr>
                                  <w:color w:val="152D2A" w:themeColor="accent5" w:themeShade="80"/>
                                  <w:sz w:val="18"/>
                                  <w:szCs w:val="18"/>
                                </w:rPr>
                                <w:t>Supporting activities included</w:t>
                              </w:r>
                              <w:r w:rsidRPr="00D75194" w:rsidR="00211280">
                                <w:rPr>
                                  <w:color w:val="152D2A" w:themeColor="accent5" w:themeShade="80"/>
                                  <w:sz w:val="18"/>
                                  <w:szCs w:val="18"/>
                                </w:rPr>
                                <w:t xml:space="preserve"> the following</w:t>
                              </w:r>
                              <w:r w:rsidRPr="00D75194">
                                <w:rPr>
                                  <w:color w:val="152D2A" w:themeColor="accent5" w:themeShade="80"/>
                                  <w:sz w:val="18"/>
                                  <w:szCs w:val="18"/>
                                </w:rPr>
                                <w:t xml:space="preserve">: </w:t>
                              </w:r>
                            </w:p>
                            <w:p w:rsidRPr="00D75194" w:rsidR="00A16349" w:rsidP="00866E69" w:rsidRDefault="0093200E" w14:paraId="01CBB5E7" w14:textId="6C0E8478">
                              <w:pPr>
                                <w:pStyle w:val="ListParagraph"/>
                                <w:numPr>
                                  <w:ilvl w:val="0"/>
                                  <w:numId w:val="29"/>
                                </w:numPr>
                                <w:spacing w:after="160" w:line="259" w:lineRule="auto"/>
                                <w:jc w:val="left"/>
                                <w:rPr>
                                  <w:color w:val="152D2A" w:themeColor="accent5" w:themeShade="80"/>
                                  <w:sz w:val="18"/>
                                  <w:szCs w:val="18"/>
                                </w:rPr>
                              </w:pPr>
                              <w:r w:rsidRPr="00D75194">
                                <w:rPr>
                                  <w:color w:val="152D2A" w:themeColor="accent5" w:themeShade="80"/>
                                  <w:sz w:val="18"/>
                                  <w:szCs w:val="18"/>
                                </w:rPr>
                                <w:t xml:space="preserve">with </w:t>
                              </w:r>
                              <w:r w:rsidRPr="00D75194" w:rsidR="00A16349">
                                <w:rPr>
                                  <w:color w:val="152D2A" w:themeColor="accent5" w:themeShade="80"/>
                                  <w:sz w:val="18"/>
                                  <w:szCs w:val="18"/>
                                </w:rPr>
                                <w:t xml:space="preserve">the support of the LDC </w:t>
                              </w:r>
                              <w:r w:rsidRPr="00D75194" w:rsidR="00211280">
                                <w:rPr>
                                  <w:color w:val="152D2A" w:themeColor="accent5" w:themeShade="80"/>
                                  <w:sz w:val="18"/>
                                  <w:szCs w:val="18"/>
                                </w:rPr>
                                <w:t xml:space="preserve">chair, </w:t>
                              </w:r>
                              <w:r w:rsidRPr="00D75194" w:rsidR="00A16349">
                                <w:rPr>
                                  <w:color w:val="152D2A" w:themeColor="accent5" w:themeShade="80"/>
                                  <w:sz w:val="18"/>
                                  <w:szCs w:val="18"/>
                                </w:rPr>
                                <w:t>identify</w:t>
                              </w:r>
                              <w:r w:rsidRPr="00D75194" w:rsidR="00211280">
                                <w:rPr>
                                  <w:color w:val="152D2A" w:themeColor="accent5" w:themeShade="80"/>
                                  <w:sz w:val="18"/>
                                  <w:szCs w:val="18"/>
                                </w:rPr>
                                <w:t>ing</w:t>
                              </w:r>
                              <w:r w:rsidRPr="00D75194" w:rsidR="00A16349">
                                <w:rPr>
                                  <w:color w:val="152D2A" w:themeColor="accent5" w:themeShade="80"/>
                                  <w:sz w:val="18"/>
                                  <w:szCs w:val="18"/>
                                </w:rPr>
                                <w:t xml:space="preserve"> senior LDC negotiators and match</w:t>
                              </w:r>
                              <w:r w:rsidRPr="00D75194" w:rsidR="00211280">
                                <w:rPr>
                                  <w:color w:val="152D2A" w:themeColor="accent5" w:themeShade="80"/>
                                  <w:sz w:val="18"/>
                                  <w:szCs w:val="18"/>
                                </w:rPr>
                                <w:t>ing</w:t>
                              </w:r>
                              <w:r w:rsidRPr="00D75194" w:rsidR="00A16349">
                                <w:rPr>
                                  <w:color w:val="152D2A" w:themeColor="accent5" w:themeShade="80"/>
                                  <w:sz w:val="18"/>
                                  <w:szCs w:val="18"/>
                                </w:rPr>
                                <w:t xml:space="preserve"> them with the newcomers according to their thematic interests, </w:t>
                              </w:r>
                              <w:r w:rsidRPr="00D75194">
                                <w:rPr>
                                  <w:color w:val="152D2A" w:themeColor="accent5" w:themeShade="80"/>
                                  <w:sz w:val="18"/>
                                  <w:szCs w:val="18"/>
                                </w:rPr>
                                <w:t xml:space="preserve">and facilitating </w:t>
                              </w:r>
                              <w:r w:rsidRPr="00D75194" w:rsidR="00A16349">
                                <w:rPr>
                                  <w:color w:val="152D2A" w:themeColor="accent5" w:themeShade="80"/>
                                  <w:sz w:val="18"/>
                                  <w:szCs w:val="18"/>
                                </w:rPr>
                                <w:t>introductions and connections</w:t>
                              </w:r>
                              <w:r w:rsidRPr="00D75194">
                                <w:rPr>
                                  <w:color w:val="152D2A" w:themeColor="accent5" w:themeShade="80"/>
                                  <w:sz w:val="18"/>
                                  <w:szCs w:val="18"/>
                                </w:rPr>
                                <w:t>; and</w:t>
                              </w:r>
                            </w:p>
                            <w:p w:rsidRPr="00D75194" w:rsidR="00A16349" w:rsidP="00866E69" w:rsidRDefault="0093200E" w14:paraId="7F0E0AF9" w14:textId="066A2D11">
                              <w:pPr>
                                <w:pStyle w:val="ListParagraph"/>
                                <w:numPr>
                                  <w:ilvl w:val="0"/>
                                  <w:numId w:val="29"/>
                                </w:numPr>
                                <w:spacing w:after="160" w:line="259" w:lineRule="auto"/>
                                <w:jc w:val="left"/>
                                <w:rPr>
                                  <w:color w:val="152D2A" w:themeColor="accent5" w:themeShade="80"/>
                                  <w:sz w:val="18"/>
                                  <w:szCs w:val="18"/>
                                </w:rPr>
                              </w:pPr>
                              <w:r w:rsidRPr="00D75194">
                                <w:rPr>
                                  <w:color w:val="152D2A" w:themeColor="accent5" w:themeShade="80"/>
                                  <w:sz w:val="18"/>
                                  <w:szCs w:val="18"/>
                                </w:rPr>
                                <w:t>c</w:t>
                              </w:r>
                              <w:r w:rsidRPr="00D75194" w:rsidR="00A16349">
                                <w:rPr>
                                  <w:color w:val="152D2A" w:themeColor="accent5" w:themeShade="80"/>
                                  <w:sz w:val="18"/>
                                  <w:szCs w:val="18"/>
                                </w:rPr>
                                <w:t>oordinat</w:t>
                              </w:r>
                              <w:r w:rsidRPr="00D75194">
                                <w:rPr>
                                  <w:color w:val="152D2A" w:themeColor="accent5" w:themeShade="80"/>
                                  <w:sz w:val="18"/>
                                  <w:szCs w:val="18"/>
                                </w:rPr>
                                <w:t>ing</w:t>
                              </w:r>
                              <w:r w:rsidRPr="00D75194" w:rsidR="00A16349">
                                <w:rPr>
                                  <w:color w:val="152D2A" w:themeColor="accent5" w:themeShade="80"/>
                                  <w:sz w:val="18"/>
                                  <w:szCs w:val="18"/>
                                </w:rPr>
                                <w:t xml:space="preserve"> daily meetings at UNFCCC sessions with supported delegates, as a safe space for mentees to share concerns</w:t>
                              </w:r>
                              <w:r w:rsidRPr="00D75194" w:rsidR="00036E55">
                                <w:rPr>
                                  <w:color w:val="152D2A" w:themeColor="accent5" w:themeShade="80"/>
                                  <w:sz w:val="18"/>
                                  <w:szCs w:val="18"/>
                                </w:rPr>
                                <w:t xml:space="preserve"> and </w:t>
                              </w:r>
                              <w:r w:rsidRPr="00D75194" w:rsidR="00A16349">
                                <w:rPr>
                                  <w:color w:val="152D2A" w:themeColor="accent5" w:themeShade="80"/>
                                  <w:sz w:val="18"/>
                                  <w:szCs w:val="18"/>
                                </w:rPr>
                                <w:t>ideas, ask questions, bond with each other, and reflect on the negotiations and their personal experiences.</w:t>
                              </w:r>
                            </w:p>
                          </w:txbxContent>
                        </wps:txbx>
                        <wps:bodyPr rot="0" vert="horz" wrap="square" lIns="182880" tIns="457200" rIns="182880" bIns="73152" anchor="t" anchorCtr="0" upright="1">
                          <a:noAutofit/>
                        </wps:bodyPr>
                      </wps:wsp>
                      <wps:wsp>
                        <wps:cNvPr id="213" name="Rectangle 213"/>
                        <wps:cNvSpPr/>
                        <wps:spPr>
                          <a:xfrm>
                            <a:off x="-149803" y="-12"/>
                            <a:ext cx="2541849"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75194" w:rsidR="00A16349" w:rsidP="00A16349" w:rsidRDefault="000F696D" w14:paraId="58C7EB2B" w14:textId="7F243D90">
                              <w:pPr>
                                <w:spacing w:before="240"/>
                                <w:rPr>
                                  <w:color w:val="FFFFFF" w:themeColor="background1"/>
                                </w:rPr>
                              </w:pPr>
                              <w:r w:rsidRPr="00D75194">
                                <w:rPr>
                                  <w:color w:val="FFFFFF" w:themeColor="background1"/>
                                </w:rPr>
                                <w:t>Box 2</w:t>
                              </w:r>
                              <w:r w:rsidRPr="00D75194" w:rsidR="00683083">
                                <w:rPr>
                                  <w:color w:val="FFFFFF" w:themeColor="background1"/>
                                </w:rPr>
                                <w:t>Box</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138209" y="7695913"/>
                            <a:ext cx="2541849"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75194" w:rsidR="00A16349" w:rsidP="00A16349" w:rsidRDefault="00A16349" w14:paraId="43D45A1C" w14:textId="7777777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w14:anchorId="0A87B2B5">
              <v:group id="Group 219" style="position:absolute;left:0;text-align:left;margin-left:252.6pt;margin-top:88.6pt;width:258.9pt;height:498.75pt;z-index:251658242;mso-position-horizontal-relative:margin;mso-position-vertical-relative:margin" coordsize="25534,78146" coordorigin="-1498" o:spid="_x0000_s1027" w14:anchorId="0CA0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">
                <v:rect id="AutoShape 14" style="position:absolute;left:-1382;width:25302;height:78146;visibility:visible;mso-wrap-style:square;v-text-anchor:top" o:spid="_x0000_s1028" fillcolor="white [3212]" strokecolor="#618b84 [1614]"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v:textbox inset="14.4pt,36pt,14.4pt,5.76pt">
                    <w:txbxContent>
                      <w:p w:rsidRPr="00D75194" w:rsidR="00A16349" w:rsidP="008E2151" w:rsidRDefault="00A16349" w14:paraId="52121C6E" w14:textId="77777777">
                        <w:pPr>
                          <w:spacing w:before="280" w:line="240" w:lineRule="auto"/>
                          <w:jc w:val="center"/>
                          <w:rPr>
                            <w:rFonts w:asciiTheme="majorHAnsi" w:hAnsiTheme="majorHAnsi" w:eastAsiaTheme="majorEastAsia" w:cstheme="majorBidi"/>
                            <w:color w:val="36706B" w:themeColor="accent4"/>
                            <w:sz w:val="40"/>
                            <w:szCs w:val="40"/>
                          </w:rPr>
                        </w:pPr>
                        <w:r w:rsidRPr="00D75194">
                          <w:rPr>
                            <w:rFonts w:asciiTheme="majorHAnsi" w:hAnsiTheme="majorHAnsi" w:eastAsiaTheme="majorEastAsia" w:cstheme="majorBidi"/>
                            <w:color w:val="36706B" w:themeColor="accent4"/>
                            <w:sz w:val="40"/>
                            <w:szCs w:val="40"/>
                          </w:rPr>
                          <w:t>IIED mentorship programme</w:t>
                        </w:r>
                      </w:p>
                      <w:p w:rsidRPr="00D75194" w:rsidR="00A16349" w:rsidP="00A16349" w:rsidRDefault="00A16349" w14:paraId="52519DBE" w14:textId="68781820">
                        <w:pPr>
                          <w:rPr>
                            <w:color w:val="152D2A" w:themeColor="accent5" w:themeShade="80"/>
                            <w:sz w:val="18"/>
                            <w:szCs w:val="18"/>
                          </w:rPr>
                        </w:pPr>
                        <w:r w:rsidRPr="00D75194">
                          <w:rPr>
                            <w:color w:val="152D2A" w:themeColor="accent5" w:themeShade="80"/>
                            <w:sz w:val="18"/>
                            <w:szCs w:val="18"/>
                          </w:rPr>
                          <w:t>The IIED Fellowship Programme played a foundational role between 2022 and 2024.</w:t>
                        </w:r>
                        <w:r w:rsidRPr="00D75194" w:rsidR="006B601D">
                          <w:rPr>
                            <w:color w:val="152D2A" w:themeColor="accent5" w:themeShade="80"/>
                            <w:sz w:val="18"/>
                            <w:szCs w:val="18"/>
                          </w:rPr>
                          <w:t xml:space="preserve"> </w:t>
                        </w:r>
                        <w:r w:rsidRPr="00D75194">
                          <w:rPr>
                            <w:color w:val="152D2A" w:themeColor="accent5" w:themeShade="80"/>
                            <w:sz w:val="18"/>
                            <w:szCs w:val="18"/>
                          </w:rPr>
                          <w:t xml:space="preserve">IIED mentored over a dozen junior negotiators, </w:t>
                        </w:r>
                        <w:r w:rsidR="00BE3594">
                          <w:rPr>
                            <w:color w:val="152D2A" w:themeColor="accent5" w:themeShade="80"/>
                            <w:sz w:val="18"/>
                            <w:szCs w:val="18"/>
                          </w:rPr>
                          <w:t xml:space="preserve">including </w:t>
                        </w:r>
                        <w:r w:rsidR="0059228D">
                          <w:rPr>
                            <w:color w:val="152D2A" w:themeColor="accent5" w:themeShade="80"/>
                            <w:sz w:val="18"/>
                            <w:szCs w:val="18"/>
                          </w:rPr>
                          <w:t>funding</w:t>
                        </w:r>
                        <w:r w:rsidR="00BE3594">
                          <w:rPr>
                            <w:color w:val="152D2A" w:themeColor="accent5" w:themeShade="80"/>
                            <w:sz w:val="18"/>
                            <w:szCs w:val="18"/>
                          </w:rPr>
                          <w:t xml:space="preserve"> for</w:t>
                        </w:r>
                        <w:r w:rsidRPr="00D75194">
                          <w:rPr>
                            <w:color w:val="152D2A" w:themeColor="accent5" w:themeShade="80"/>
                            <w:sz w:val="18"/>
                            <w:szCs w:val="18"/>
                          </w:rPr>
                          <w:t xml:space="preserve"> travel, subsistence, and </w:t>
                        </w:r>
                        <w:r w:rsidRPr="00D75194" w:rsidR="00D951FA">
                          <w:rPr>
                            <w:color w:val="152D2A" w:themeColor="accent5" w:themeShade="80"/>
                            <w:sz w:val="18"/>
                            <w:szCs w:val="18"/>
                          </w:rPr>
                          <w:t>technical</w:t>
                        </w:r>
                        <w:r w:rsidRPr="00D75194">
                          <w:rPr>
                            <w:color w:val="152D2A" w:themeColor="accent5" w:themeShade="80"/>
                            <w:sz w:val="18"/>
                            <w:szCs w:val="18"/>
                          </w:rPr>
                          <w:t xml:space="preserve"> support. Fellows were embedded in key agenda tracks</w:t>
                        </w:r>
                        <w:r w:rsidRPr="00D75194" w:rsidR="00EB60AA">
                          <w:rPr>
                            <w:color w:val="152D2A" w:themeColor="accent5" w:themeShade="80"/>
                            <w:sz w:val="18"/>
                            <w:szCs w:val="18"/>
                          </w:rPr>
                          <w:t>,</w:t>
                        </w:r>
                        <w:r w:rsidRPr="00D75194">
                          <w:rPr>
                            <w:color w:val="152D2A" w:themeColor="accent5" w:themeShade="80"/>
                            <w:sz w:val="18"/>
                            <w:szCs w:val="18"/>
                          </w:rPr>
                          <w:t xml:space="preserve"> such as </w:t>
                        </w:r>
                        <w:r w:rsidRPr="00D75194" w:rsidR="009D2EE9">
                          <w:rPr>
                            <w:color w:val="152D2A" w:themeColor="accent5" w:themeShade="80"/>
                            <w:sz w:val="18"/>
                            <w:szCs w:val="18"/>
                          </w:rPr>
                          <w:t>T</w:t>
                        </w:r>
                        <w:r w:rsidRPr="00D75194">
                          <w:rPr>
                            <w:color w:val="152D2A" w:themeColor="accent5" w:themeShade="80"/>
                            <w:sz w:val="18"/>
                            <w:szCs w:val="18"/>
                          </w:rPr>
                          <w:t xml:space="preserve">ransparency, Article 6, </w:t>
                        </w:r>
                        <w:r w:rsidRPr="00D75194" w:rsidR="009D2EE9">
                          <w:rPr>
                            <w:color w:val="152D2A" w:themeColor="accent5" w:themeShade="80"/>
                            <w:sz w:val="18"/>
                            <w:szCs w:val="18"/>
                          </w:rPr>
                          <w:t>F</w:t>
                        </w:r>
                        <w:r w:rsidRPr="00D75194">
                          <w:rPr>
                            <w:color w:val="152D2A" w:themeColor="accent5" w:themeShade="80"/>
                            <w:sz w:val="18"/>
                            <w:szCs w:val="18"/>
                          </w:rPr>
                          <w:t xml:space="preserve">inance, and </w:t>
                        </w:r>
                        <w:r w:rsidRPr="00D75194" w:rsidR="009D2EE9">
                          <w:rPr>
                            <w:color w:val="152D2A" w:themeColor="accent5" w:themeShade="80"/>
                            <w:sz w:val="18"/>
                            <w:szCs w:val="18"/>
                          </w:rPr>
                          <w:t>J</w:t>
                        </w:r>
                        <w:r w:rsidRPr="00D75194">
                          <w:rPr>
                            <w:color w:val="152D2A" w:themeColor="accent5" w:themeShade="80"/>
                            <w:sz w:val="18"/>
                            <w:szCs w:val="18"/>
                          </w:rPr>
                          <w:t xml:space="preserve">ust </w:t>
                        </w:r>
                        <w:r w:rsidRPr="00D75194" w:rsidR="009D2EE9">
                          <w:rPr>
                            <w:color w:val="152D2A" w:themeColor="accent5" w:themeShade="80"/>
                            <w:sz w:val="18"/>
                            <w:szCs w:val="18"/>
                          </w:rPr>
                          <w:t>T</w:t>
                        </w:r>
                        <w:r w:rsidRPr="00D75194">
                          <w:rPr>
                            <w:color w:val="152D2A" w:themeColor="accent5" w:themeShade="80"/>
                            <w:sz w:val="18"/>
                            <w:szCs w:val="18"/>
                          </w:rPr>
                          <w:t xml:space="preserve">ransition. Several former fellows now hold leadership positions. </w:t>
                        </w:r>
                      </w:p>
                      <w:p w:rsidRPr="00D75194" w:rsidR="00A16349" w:rsidP="00A16349" w:rsidRDefault="00A16349" w14:paraId="10109ACE" w14:textId="30305A3E">
                        <w:pPr>
                          <w:rPr>
                            <w:color w:val="152D2A" w:themeColor="accent5" w:themeShade="80"/>
                            <w:sz w:val="18"/>
                            <w:szCs w:val="18"/>
                          </w:rPr>
                        </w:pPr>
                        <w:r w:rsidRPr="00D75194">
                          <w:rPr>
                            <w:color w:val="152D2A" w:themeColor="accent5" w:themeShade="80"/>
                            <w:sz w:val="18"/>
                            <w:szCs w:val="18"/>
                          </w:rPr>
                          <w:t>Deliverables included</w:t>
                        </w:r>
                        <w:r w:rsidRPr="00D75194" w:rsidR="00EB60AA">
                          <w:rPr>
                            <w:color w:val="152D2A" w:themeColor="accent5" w:themeShade="80"/>
                            <w:sz w:val="18"/>
                            <w:szCs w:val="18"/>
                          </w:rPr>
                          <w:t xml:space="preserve"> the following</w:t>
                        </w:r>
                        <w:r w:rsidRPr="00D75194">
                          <w:rPr>
                            <w:color w:val="152D2A" w:themeColor="accent5" w:themeShade="80"/>
                            <w:sz w:val="18"/>
                            <w:szCs w:val="18"/>
                          </w:rPr>
                          <w:t>:</w:t>
                        </w:r>
                      </w:p>
                      <w:p w:rsidRPr="00D75194" w:rsidR="00A16349" w:rsidP="00866E69" w:rsidRDefault="002A17C1" w14:paraId="532631C3" w14:textId="19B48BC8">
                        <w:pPr>
                          <w:pStyle w:val="ListParagraph"/>
                          <w:numPr>
                            <w:ilvl w:val="0"/>
                            <w:numId w:val="28"/>
                          </w:numPr>
                          <w:spacing w:after="160" w:line="259" w:lineRule="auto"/>
                          <w:jc w:val="left"/>
                          <w:rPr>
                            <w:color w:val="152D2A" w:themeColor="accent5" w:themeShade="80"/>
                            <w:sz w:val="18"/>
                            <w:szCs w:val="18"/>
                          </w:rPr>
                        </w:pPr>
                        <w:r w:rsidRPr="00D75194">
                          <w:rPr>
                            <w:color w:val="152D2A" w:themeColor="accent5" w:themeShade="80"/>
                            <w:sz w:val="18"/>
                            <w:szCs w:val="18"/>
                          </w:rPr>
                          <w:t>l</w:t>
                        </w:r>
                        <w:r w:rsidRPr="00D75194" w:rsidR="00A16349">
                          <w:rPr>
                            <w:color w:val="152D2A" w:themeColor="accent5" w:themeShade="80"/>
                            <w:sz w:val="18"/>
                            <w:szCs w:val="18"/>
                          </w:rPr>
                          <w:t xml:space="preserve">ogistical support to </w:t>
                        </w:r>
                        <w:r w:rsidRPr="00D75194" w:rsidR="00EB60AA">
                          <w:rPr>
                            <w:color w:val="152D2A" w:themeColor="accent5" w:themeShade="80"/>
                            <w:sz w:val="18"/>
                            <w:szCs w:val="18"/>
                          </w:rPr>
                          <w:t>five</w:t>
                        </w:r>
                        <w:r w:rsidRPr="00D75194" w:rsidR="00A16349">
                          <w:rPr>
                            <w:color w:val="152D2A" w:themeColor="accent5" w:themeShade="80"/>
                            <w:sz w:val="18"/>
                            <w:szCs w:val="18"/>
                          </w:rPr>
                          <w:t xml:space="preserve"> new LDC negotiators, including women, </w:t>
                        </w:r>
                        <w:r w:rsidRPr="00D75194" w:rsidR="00EB60AA">
                          <w:rPr>
                            <w:color w:val="152D2A" w:themeColor="accent5" w:themeShade="80"/>
                            <w:sz w:val="18"/>
                            <w:szCs w:val="18"/>
                          </w:rPr>
                          <w:t>f</w:t>
                        </w:r>
                        <w:r w:rsidRPr="00D75194" w:rsidR="00A16349">
                          <w:rPr>
                            <w:color w:val="152D2A" w:themeColor="accent5" w:themeShade="80"/>
                            <w:sz w:val="18"/>
                            <w:szCs w:val="18"/>
                          </w:rPr>
                          <w:t>rancophone, and youth delegates, to attend SB60 in Bonn and COP29 in Baku</w:t>
                        </w:r>
                        <w:r w:rsidRPr="00D75194">
                          <w:rPr>
                            <w:color w:val="152D2A" w:themeColor="accent5" w:themeShade="80"/>
                            <w:sz w:val="18"/>
                            <w:szCs w:val="18"/>
                          </w:rPr>
                          <w:t>; and</w:t>
                        </w:r>
                      </w:p>
                      <w:p w:rsidRPr="00D75194" w:rsidR="00A16349" w:rsidP="00866E69" w:rsidRDefault="002A17C1" w14:paraId="3A9B0CDA" w14:textId="3E632643">
                        <w:pPr>
                          <w:pStyle w:val="ListParagraph"/>
                          <w:numPr>
                            <w:ilvl w:val="0"/>
                            <w:numId w:val="28"/>
                          </w:numPr>
                          <w:spacing w:after="160" w:line="259" w:lineRule="auto"/>
                          <w:jc w:val="left"/>
                          <w:rPr>
                            <w:color w:val="152D2A" w:themeColor="accent5" w:themeShade="80"/>
                            <w:sz w:val="18"/>
                            <w:szCs w:val="18"/>
                          </w:rPr>
                        </w:pPr>
                        <w:r w:rsidRPr="00D75194">
                          <w:rPr>
                            <w:color w:val="152D2A" w:themeColor="accent5" w:themeShade="80"/>
                            <w:sz w:val="18"/>
                            <w:szCs w:val="18"/>
                          </w:rPr>
                          <w:t>r</w:t>
                        </w:r>
                        <w:r w:rsidRPr="00D75194" w:rsidR="00A16349">
                          <w:rPr>
                            <w:color w:val="152D2A" w:themeColor="accent5" w:themeShade="80"/>
                            <w:sz w:val="18"/>
                            <w:szCs w:val="18"/>
                          </w:rPr>
                          <w:t>eports from both the new and senior LDC negotiators who participate in the mentoring scheme, reflecting on their experience and sharing feedback for improvement.</w:t>
                        </w:r>
                      </w:p>
                      <w:p w:rsidRPr="00D75194" w:rsidR="00A16349" w:rsidP="00A16349" w:rsidRDefault="00A16349" w14:paraId="71FD462B" w14:textId="1FB91B68">
                        <w:pPr>
                          <w:rPr>
                            <w:color w:val="152D2A" w:themeColor="accent5" w:themeShade="80"/>
                            <w:sz w:val="18"/>
                            <w:szCs w:val="18"/>
                          </w:rPr>
                        </w:pPr>
                        <w:r w:rsidRPr="00D75194">
                          <w:rPr>
                            <w:color w:val="152D2A" w:themeColor="accent5" w:themeShade="80"/>
                            <w:sz w:val="18"/>
                            <w:szCs w:val="18"/>
                          </w:rPr>
                          <w:t>Supporting activities included</w:t>
                        </w:r>
                        <w:r w:rsidRPr="00D75194" w:rsidR="00211280">
                          <w:rPr>
                            <w:color w:val="152D2A" w:themeColor="accent5" w:themeShade="80"/>
                            <w:sz w:val="18"/>
                            <w:szCs w:val="18"/>
                          </w:rPr>
                          <w:t xml:space="preserve"> the following</w:t>
                        </w:r>
                        <w:r w:rsidRPr="00D75194">
                          <w:rPr>
                            <w:color w:val="152D2A" w:themeColor="accent5" w:themeShade="80"/>
                            <w:sz w:val="18"/>
                            <w:szCs w:val="18"/>
                          </w:rPr>
                          <w:t xml:space="preserve">: </w:t>
                        </w:r>
                      </w:p>
                      <w:p w:rsidRPr="00D75194" w:rsidR="00A16349" w:rsidP="00866E69" w:rsidRDefault="0093200E" w14:paraId="61AF01C9" w14:textId="6C0E8478">
                        <w:pPr>
                          <w:pStyle w:val="ListParagraph"/>
                          <w:numPr>
                            <w:ilvl w:val="0"/>
                            <w:numId w:val="29"/>
                          </w:numPr>
                          <w:spacing w:after="160" w:line="259" w:lineRule="auto"/>
                          <w:jc w:val="left"/>
                          <w:rPr>
                            <w:color w:val="152D2A" w:themeColor="accent5" w:themeShade="80"/>
                            <w:sz w:val="18"/>
                            <w:szCs w:val="18"/>
                          </w:rPr>
                        </w:pPr>
                        <w:r w:rsidRPr="00D75194">
                          <w:rPr>
                            <w:color w:val="152D2A" w:themeColor="accent5" w:themeShade="80"/>
                            <w:sz w:val="18"/>
                            <w:szCs w:val="18"/>
                          </w:rPr>
                          <w:t xml:space="preserve">with </w:t>
                        </w:r>
                        <w:r w:rsidRPr="00D75194" w:rsidR="00A16349">
                          <w:rPr>
                            <w:color w:val="152D2A" w:themeColor="accent5" w:themeShade="80"/>
                            <w:sz w:val="18"/>
                            <w:szCs w:val="18"/>
                          </w:rPr>
                          <w:t xml:space="preserve">the support of the LDC </w:t>
                        </w:r>
                        <w:r w:rsidRPr="00D75194" w:rsidR="00211280">
                          <w:rPr>
                            <w:color w:val="152D2A" w:themeColor="accent5" w:themeShade="80"/>
                            <w:sz w:val="18"/>
                            <w:szCs w:val="18"/>
                          </w:rPr>
                          <w:t xml:space="preserve">chair, </w:t>
                        </w:r>
                        <w:r w:rsidRPr="00D75194" w:rsidR="00A16349">
                          <w:rPr>
                            <w:color w:val="152D2A" w:themeColor="accent5" w:themeShade="80"/>
                            <w:sz w:val="18"/>
                            <w:szCs w:val="18"/>
                          </w:rPr>
                          <w:t>identify</w:t>
                        </w:r>
                        <w:r w:rsidRPr="00D75194" w:rsidR="00211280">
                          <w:rPr>
                            <w:color w:val="152D2A" w:themeColor="accent5" w:themeShade="80"/>
                            <w:sz w:val="18"/>
                            <w:szCs w:val="18"/>
                          </w:rPr>
                          <w:t>ing</w:t>
                        </w:r>
                        <w:r w:rsidRPr="00D75194" w:rsidR="00A16349">
                          <w:rPr>
                            <w:color w:val="152D2A" w:themeColor="accent5" w:themeShade="80"/>
                            <w:sz w:val="18"/>
                            <w:szCs w:val="18"/>
                          </w:rPr>
                          <w:t xml:space="preserve"> senior LDC negotiators and match</w:t>
                        </w:r>
                        <w:r w:rsidRPr="00D75194" w:rsidR="00211280">
                          <w:rPr>
                            <w:color w:val="152D2A" w:themeColor="accent5" w:themeShade="80"/>
                            <w:sz w:val="18"/>
                            <w:szCs w:val="18"/>
                          </w:rPr>
                          <w:t>ing</w:t>
                        </w:r>
                        <w:r w:rsidRPr="00D75194" w:rsidR="00A16349">
                          <w:rPr>
                            <w:color w:val="152D2A" w:themeColor="accent5" w:themeShade="80"/>
                            <w:sz w:val="18"/>
                            <w:szCs w:val="18"/>
                          </w:rPr>
                          <w:t xml:space="preserve"> them with the newcomers according to their thematic interests, </w:t>
                        </w:r>
                        <w:r w:rsidRPr="00D75194">
                          <w:rPr>
                            <w:color w:val="152D2A" w:themeColor="accent5" w:themeShade="80"/>
                            <w:sz w:val="18"/>
                            <w:szCs w:val="18"/>
                          </w:rPr>
                          <w:t xml:space="preserve">and facilitating </w:t>
                        </w:r>
                        <w:r w:rsidRPr="00D75194" w:rsidR="00A16349">
                          <w:rPr>
                            <w:color w:val="152D2A" w:themeColor="accent5" w:themeShade="80"/>
                            <w:sz w:val="18"/>
                            <w:szCs w:val="18"/>
                          </w:rPr>
                          <w:t>introductions and connections</w:t>
                        </w:r>
                        <w:r w:rsidRPr="00D75194">
                          <w:rPr>
                            <w:color w:val="152D2A" w:themeColor="accent5" w:themeShade="80"/>
                            <w:sz w:val="18"/>
                            <w:szCs w:val="18"/>
                          </w:rPr>
                          <w:t>; and</w:t>
                        </w:r>
                      </w:p>
                      <w:p w:rsidRPr="00D75194" w:rsidR="00A16349" w:rsidP="00866E69" w:rsidRDefault="0093200E" w14:paraId="35582706" w14:textId="066A2D11">
                        <w:pPr>
                          <w:pStyle w:val="ListParagraph"/>
                          <w:numPr>
                            <w:ilvl w:val="0"/>
                            <w:numId w:val="29"/>
                          </w:numPr>
                          <w:spacing w:after="160" w:line="259" w:lineRule="auto"/>
                          <w:jc w:val="left"/>
                          <w:rPr>
                            <w:color w:val="152D2A" w:themeColor="accent5" w:themeShade="80"/>
                            <w:sz w:val="18"/>
                            <w:szCs w:val="18"/>
                          </w:rPr>
                        </w:pPr>
                        <w:r w:rsidRPr="00D75194">
                          <w:rPr>
                            <w:color w:val="152D2A" w:themeColor="accent5" w:themeShade="80"/>
                            <w:sz w:val="18"/>
                            <w:szCs w:val="18"/>
                          </w:rPr>
                          <w:t>c</w:t>
                        </w:r>
                        <w:r w:rsidRPr="00D75194" w:rsidR="00A16349">
                          <w:rPr>
                            <w:color w:val="152D2A" w:themeColor="accent5" w:themeShade="80"/>
                            <w:sz w:val="18"/>
                            <w:szCs w:val="18"/>
                          </w:rPr>
                          <w:t>oordinat</w:t>
                        </w:r>
                        <w:r w:rsidRPr="00D75194">
                          <w:rPr>
                            <w:color w:val="152D2A" w:themeColor="accent5" w:themeShade="80"/>
                            <w:sz w:val="18"/>
                            <w:szCs w:val="18"/>
                          </w:rPr>
                          <w:t>ing</w:t>
                        </w:r>
                        <w:r w:rsidRPr="00D75194" w:rsidR="00A16349">
                          <w:rPr>
                            <w:color w:val="152D2A" w:themeColor="accent5" w:themeShade="80"/>
                            <w:sz w:val="18"/>
                            <w:szCs w:val="18"/>
                          </w:rPr>
                          <w:t xml:space="preserve"> daily meetings at UNFCCC sessions with supported delegates, as a safe space for mentees to share concerns</w:t>
                        </w:r>
                        <w:r w:rsidRPr="00D75194" w:rsidR="00036E55">
                          <w:rPr>
                            <w:color w:val="152D2A" w:themeColor="accent5" w:themeShade="80"/>
                            <w:sz w:val="18"/>
                            <w:szCs w:val="18"/>
                          </w:rPr>
                          <w:t xml:space="preserve"> and </w:t>
                        </w:r>
                        <w:r w:rsidRPr="00D75194" w:rsidR="00A16349">
                          <w:rPr>
                            <w:color w:val="152D2A" w:themeColor="accent5" w:themeShade="80"/>
                            <w:sz w:val="18"/>
                            <w:szCs w:val="18"/>
                          </w:rPr>
                          <w:t>ideas, ask questions, bond with each other, and reflect on the negotiations and their personal experiences.</w:t>
                        </w:r>
                      </w:p>
                    </w:txbxContent>
                  </v:textbox>
                </v:rect>
                <v:rect id="Rectangle 213" style="position:absolute;left:-1498;width:25418;height:7042;visibility:visible;mso-wrap-style:square;v-text-anchor:bottom" o:spid="_x0000_s1029" fillcolor="#1d4542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v:textbox inset="14.4pt,14.4pt,14.4pt,28.8pt">
                    <w:txbxContent>
                      <w:p w:rsidRPr="00D75194" w:rsidR="00A16349" w:rsidP="00A16349" w:rsidRDefault="000F696D" w14:paraId="482C1A8A" w14:textId="7F243D90">
                        <w:pPr>
                          <w:spacing w:before="240"/>
                          <w:rPr>
                            <w:color w:val="FFFFFF" w:themeColor="background1"/>
                          </w:rPr>
                        </w:pPr>
                        <w:r w:rsidRPr="00D75194">
                          <w:rPr>
                            <w:color w:val="FFFFFF" w:themeColor="background1"/>
                          </w:rPr>
                          <w:t>Box 2</w:t>
                        </w:r>
                        <w:r w:rsidRPr="00D75194" w:rsidR="00683083">
                          <w:rPr>
                            <w:color w:val="FFFFFF" w:themeColor="background1"/>
                          </w:rPr>
                          <w:t>Box</w:t>
                        </w:r>
                      </w:p>
                    </w:txbxContent>
                  </v:textbox>
                </v:rect>
                <v:rect id="Rectangle 214" style="position:absolute;left:-1382;top:76959;width:25418;height:1187;visibility:visible;mso-wrap-style:square;v-text-anchor:bottom" o:spid="_x0000_s1030" fillcolor="#c4d5d3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v:textbox inset="14.4pt,14.4pt,14.4pt,28.8pt">
                    <w:txbxContent>
                      <w:p w:rsidRPr="00D75194" w:rsidR="00A16349" w:rsidP="00A16349" w:rsidRDefault="00A16349" w14:paraId="672A6659" w14:textId="77777777">
                        <w:pPr>
                          <w:spacing w:before="240"/>
                          <w:rPr>
                            <w:color w:val="FFFFFF" w:themeColor="background1"/>
                          </w:rPr>
                        </w:pPr>
                      </w:p>
                    </w:txbxContent>
                  </v:textbox>
                </v:rect>
                <w10:wrap type="square" anchorx="margin" anchory="margin"/>
              </v:group>
            </w:pict>
          </mc:Fallback>
        </mc:AlternateContent>
      </w:r>
      <w:r w:rsidRPr="00D75194" w:rsidR="0087537B">
        <w:rPr>
          <w:rFonts w:cs="Segoe UI"/>
          <w:b/>
          <w:bCs/>
          <w:lang w:eastAsia="en-GB"/>
        </w:rPr>
        <w:t>#</w:t>
      </w:r>
      <w:r w:rsidRPr="00D75194" w:rsidR="00BD1C2C">
        <w:rPr>
          <w:rFonts w:cs="Segoe UI"/>
          <w:b/>
          <w:bCs/>
          <w:lang w:eastAsia="en-GB"/>
        </w:rPr>
        <w:t>5</w:t>
      </w:r>
      <w:r w:rsidRPr="00D75194" w:rsidR="0087537B">
        <w:rPr>
          <w:rFonts w:cs="Segoe UI"/>
          <w:b/>
          <w:bCs/>
          <w:lang w:eastAsia="en-GB"/>
        </w:rPr>
        <w:t>:</w:t>
      </w:r>
      <w:r w:rsidRPr="00D75194" w:rsidR="00BD1C2C">
        <w:rPr>
          <w:rFonts w:cs="Segoe UI"/>
          <w:b/>
          <w:bCs/>
          <w:lang w:eastAsia="en-GB"/>
        </w:rPr>
        <w:t xml:space="preserve"> </w:t>
      </w:r>
      <w:r w:rsidRPr="00D75194" w:rsidR="00A16349">
        <w:rPr>
          <w:rFonts w:cs="Segoe UI"/>
          <w:b/>
          <w:bCs/>
          <w:lang w:eastAsia="en-GB"/>
        </w:rPr>
        <w:t xml:space="preserve">In the case of CIES, </w:t>
      </w:r>
      <w:r w:rsidRPr="00D75194" w:rsidR="00A16349">
        <w:rPr>
          <w:rFonts w:cs="Segoe UI"/>
          <w:b/>
          <w:bCs/>
        </w:rPr>
        <w:t>CASA II</w:t>
      </w:r>
      <w:r w:rsidRPr="00D75194" w:rsidR="00423CC5">
        <w:rPr>
          <w:rFonts w:cs="Segoe UI"/>
          <w:b/>
          <w:bCs/>
        </w:rPr>
        <w:t xml:space="preserve"> has</w:t>
      </w:r>
      <w:r w:rsidRPr="00D75194" w:rsidR="00A16349">
        <w:rPr>
          <w:rFonts w:cs="Segoe UI"/>
          <w:b/>
          <w:bCs/>
        </w:rPr>
        <w:t xml:space="preserve"> </w:t>
      </w:r>
      <w:r w:rsidRPr="00D75194" w:rsidR="68E6B5EB">
        <w:rPr>
          <w:rFonts w:cs="Segoe UI"/>
          <w:b/>
          <w:bCs/>
        </w:rPr>
        <w:t>expande</w:t>
      </w:r>
      <w:r w:rsidRPr="00D75194" w:rsidR="00A16349">
        <w:rPr>
          <w:rFonts w:cs="Segoe UI"/>
          <w:b/>
          <w:bCs/>
        </w:rPr>
        <w:t>d the well-established AILAC support unit</w:t>
      </w:r>
      <w:r w:rsidRPr="00D75194" w:rsidR="00A16349">
        <w:rPr>
          <w:rStyle w:val="FootnoteReference"/>
          <w:rFonts w:cs="Segoe UI"/>
          <w:b/>
          <w:bCs/>
        </w:rPr>
        <w:footnoteReference w:id="16"/>
      </w:r>
      <w:r w:rsidRPr="00D75194" w:rsidR="00A16349">
        <w:rPr>
          <w:rFonts w:cs="Segoe UI"/>
          <w:b/>
          <w:bCs/>
        </w:rPr>
        <w:t xml:space="preserve"> (est</w:t>
      </w:r>
      <w:r w:rsidRPr="00D75194" w:rsidR="00525A5B">
        <w:rPr>
          <w:rFonts w:cs="Segoe UI"/>
          <w:b/>
          <w:bCs/>
        </w:rPr>
        <w:t xml:space="preserve">ablished in </w:t>
      </w:r>
      <w:r w:rsidRPr="00D75194" w:rsidR="00A16349">
        <w:rPr>
          <w:rFonts w:cs="Segoe UI"/>
          <w:b/>
          <w:bCs/>
        </w:rPr>
        <w:t>2013)</w:t>
      </w:r>
      <w:r w:rsidRPr="00D75194" w:rsidR="00525A5B">
        <w:rPr>
          <w:rFonts w:cs="Segoe UI"/>
          <w:b/>
          <w:bCs/>
        </w:rPr>
        <w:t>,</w:t>
      </w:r>
      <w:r w:rsidRPr="00D75194" w:rsidR="00A16349">
        <w:rPr>
          <w:rFonts w:cs="Segoe UI"/>
          <w:b/>
          <w:bCs/>
        </w:rPr>
        <w:t xml:space="preserve"> run by CIES</w:t>
      </w:r>
      <w:r w:rsidRPr="00D75194" w:rsidR="00525A5B">
        <w:rPr>
          <w:rFonts w:cs="Segoe UI"/>
          <w:b/>
          <w:bCs/>
        </w:rPr>
        <w:t>,</w:t>
      </w:r>
      <w:r w:rsidRPr="00D75194" w:rsidR="00A16349">
        <w:rPr>
          <w:rFonts w:cs="Segoe UI"/>
          <w:b/>
          <w:bCs/>
        </w:rPr>
        <w:t xml:space="preserve"> to expand and continue the chain of support to strengthen domestic institutions</w:t>
      </w:r>
      <w:r w:rsidRPr="00D75194" w:rsidR="003B1E1E">
        <w:rPr>
          <w:rFonts w:cs="Segoe UI"/>
          <w:b/>
          <w:bCs/>
        </w:rPr>
        <w:t>,</w:t>
      </w:r>
      <w:r w:rsidRPr="00D75194" w:rsidR="14C2565C">
        <w:rPr>
          <w:rFonts w:cs="Segoe UI"/>
          <w:b/>
          <w:bCs/>
        </w:rPr>
        <w:t xml:space="preserve"> as well as </w:t>
      </w:r>
      <w:r w:rsidRPr="00D75194" w:rsidR="003B1E1E">
        <w:rPr>
          <w:rFonts w:cs="Segoe UI"/>
          <w:b/>
          <w:bCs/>
        </w:rPr>
        <w:t xml:space="preserve">to </w:t>
      </w:r>
      <w:r w:rsidRPr="00D75194" w:rsidR="14C2565C">
        <w:rPr>
          <w:rFonts w:cs="Segoe UI"/>
          <w:b/>
          <w:bCs/>
        </w:rPr>
        <w:t xml:space="preserve">facilitate coordination between </w:t>
      </w:r>
      <w:r w:rsidRPr="00D75194" w:rsidR="00156C91">
        <w:rPr>
          <w:rFonts w:cs="Segoe UI"/>
          <w:b/>
          <w:bCs/>
        </w:rPr>
        <w:t>p</w:t>
      </w:r>
      <w:r w:rsidRPr="00D75194" w:rsidR="14C2565C">
        <w:rPr>
          <w:rFonts w:cs="Segoe UI"/>
          <w:b/>
          <w:bCs/>
        </w:rPr>
        <w:t xml:space="preserve">arties and </w:t>
      </w:r>
      <w:r w:rsidRPr="00D75194" w:rsidR="00156C91">
        <w:rPr>
          <w:rFonts w:cs="Segoe UI"/>
          <w:b/>
          <w:bCs/>
        </w:rPr>
        <w:t>g</w:t>
      </w:r>
      <w:r w:rsidRPr="00D75194" w:rsidR="14C2565C">
        <w:rPr>
          <w:rFonts w:cs="Segoe UI"/>
          <w:b/>
          <w:bCs/>
        </w:rPr>
        <w:t>roups</w:t>
      </w:r>
      <w:r w:rsidRPr="00D75194" w:rsidR="00A16349">
        <w:rPr>
          <w:rFonts w:cs="Segoe UI"/>
        </w:rPr>
        <w:t>. As a result</w:t>
      </w:r>
      <w:r w:rsidRPr="00D75194" w:rsidR="4FB94037">
        <w:rPr>
          <w:rFonts w:cs="Segoe UI"/>
        </w:rPr>
        <w:t>,</w:t>
      </w:r>
      <w:r w:rsidRPr="00D75194" w:rsidR="00A16349">
        <w:rPr>
          <w:rFonts w:cs="Segoe UI"/>
        </w:rPr>
        <w:t xml:space="preserve"> Panama, the Dominican Republic</w:t>
      </w:r>
      <w:r w:rsidRPr="00D75194" w:rsidR="228606AF">
        <w:rPr>
          <w:rFonts w:cs="Segoe UI"/>
        </w:rPr>
        <w:t>,</w:t>
      </w:r>
      <w:r w:rsidRPr="00D75194" w:rsidR="00A16349">
        <w:rPr>
          <w:rFonts w:cs="Segoe UI"/>
        </w:rPr>
        <w:t xml:space="preserve"> and Costa Rica </w:t>
      </w:r>
      <w:r w:rsidRPr="00D75194" w:rsidR="0066240A">
        <w:rPr>
          <w:rFonts w:cs="Segoe UI"/>
        </w:rPr>
        <w:t xml:space="preserve">have been </w:t>
      </w:r>
      <w:r w:rsidRPr="00D75194" w:rsidR="00A16349">
        <w:rPr>
          <w:rFonts w:cs="Segoe UI"/>
        </w:rPr>
        <w:t xml:space="preserve">supported to </w:t>
      </w:r>
      <w:r w:rsidRPr="00D75194" w:rsidR="00A16349">
        <w:rPr>
          <w:rFonts w:cs="Segoe UI"/>
        </w:rPr>
        <w:t xml:space="preserve">strengthen domestic institutions, and not just within respective </w:t>
      </w:r>
      <w:r w:rsidRPr="00D75194" w:rsidR="00612664">
        <w:rPr>
          <w:rFonts w:cs="Segoe UI"/>
        </w:rPr>
        <w:t xml:space="preserve">ministries </w:t>
      </w:r>
      <w:r w:rsidRPr="00D75194" w:rsidR="00A16349">
        <w:rPr>
          <w:rFonts w:cs="Segoe UI"/>
        </w:rPr>
        <w:t xml:space="preserve">of </w:t>
      </w:r>
      <w:r w:rsidRPr="00D75194" w:rsidR="00612664">
        <w:rPr>
          <w:rFonts w:cs="Segoe UI"/>
        </w:rPr>
        <w:t>environment</w:t>
      </w:r>
      <w:r w:rsidRPr="00D75194" w:rsidR="00A16349">
        <w:rPr>
          <w:rFonts w:cs="Segoe UI"/>
        </w:rPr>
        <w:t xml:space="preserve">. Relationships and trust </w:t>
      </w:r>
      <w:r w:rsidRPr="00D75194" w:rsidR="00327D4A">
        <w:rPr>
          <w:rFonts w:cs="Segoe UI"/>
        </w:rPr>
        <w:t xml:space="preserve">are </w:t>
      </w:r>
      <w:r w:rsidRPr="00D75194" w:rsidR="00A16349">
        <w:rPr>
          <w:rFonts w:cs="Segoe UI"/>
        </w:rPr>
        <w:t xml:space="preserve">already demonstrated within AILAC, thanks to CIES’ engagement and previously funded programmes. The experts (aka ‘elders’) </w:t>
      </w:r>
      <w:r w:rsidRPr="00D75194" w:rsidR="000D72F2">
        <w:rPr>
          <w:rFonts w:cs="Segoe UI"/>
        </w:rPr>
        <w:t>are</w:t>
      </w:r>
      <w:r w:rsidRPr="00D75194" w:rsidDel="005D5A92" w:rsidR="00A16349">
        <w:rPr>
          <w:rFonts w:cs="Segoe UI"/>
        </w:rPr>
        <w:t xml:space="preserve"> </w:t>
      </w:r>
      <w:r w:rsidRPr="00D75194" w:rsidR="00A16349">
        <w:rPr>
          <w:rFonts w:cs="Segoe UI"/>
        </w:rPr>
        <w:t>entities</w:t>
      </w:r>
      <w:r w:rsidRPr="00D75194" w:rsidR="005D5A92">
        <w:rPr>
          <w:rFonts w:cs="Segoe UI"/>
        </w:rPr>
        <w:t xml:space="preserve"> that are</w:t>
      </w:r>
      <w:r w:rsidRPr="00D75194" w:rsidR="005D5A92">
        <w:t xml:space="preserve"> </w:t>
      </w:r>
      <w:r w:rsidRPr="00D75194" w:rsidR="005D5A92">
        <w:rPr>
          <w:rFonts w:cs="Segoe UI"/>
        </w:rPr>
        <w:t>well-known</w:t>
      </w:r>
      <w:r w:rsidRPr="00D75194" w:rsidR="00A16349">
        <w:rPr>
          <w:rFonts w:cs="Segoe UI"/>
        </w:rPr>
        <w:t xml:space="preserve"> to the AILAC countries. Further, the training of civil society leaders, in addition to delegates (including youth) </w:t>
      </w:r>
      <w:proofErr w:type="gramStart"/>
      <w:r w:rsidRPr="00D75194" w:rsidR="00A16349">
        <w:rPr>
          <w:rFonts w:cs="Segoe UI"/>
        </w:rPr>
        <w:t>through the use of</w:t>
      </w:r>
      <w:proofErr w:type="gramEnd"/>
      <w:r w:rsidRPr="00D75194" w:rsidR="00A16349">
        <w:rPr>
          <w:rFonts w:cs="Segoe UI"/>
        </w:rPr>
        <w:t xml:space="preserve"> ‘elders’, has expanded Costa Rica’s pool of possible negotiators. Training and capacity building has resulted in teams producing coordinated positions on Just Transition submissions, combining both negotiation and domestic policy advice. CIES supported the Costa Rica team to prepare a UNFCCC submission that formally reached the Secretariat.</w:t>
      </w:r>
    </w:p>
    <w:p w:rsidRPr="00D75194" w:rsidR="00A16349" w:rsidP="00F46317" w:rsidRDefault="00A16349" w14:paraId="40696ABC" w14:textId="6D31EE50">
      <w:pPr>
        <w:pStyle w:val="Heading3"/>
        <w:rPr>
          <w:lang w:eastAsia="en-GB"/>
        </w:rPr>
      </w:pPr>
      <w:bookmarkStart w:name="_Toc204259830" w:id="86"/>
      <w:r w:rsidRPr="00D75194">
        <w:rPr>
          <w:lang w:eastAsia="en-GB"/>
        </w:rPr>
        <w:t>Individual capacity</w:t>
      </w:r>
      <w:bookmarkEnd w:id="86"/>
    </w:p>
    <w:p w:rsidRPr="00D75194" w:rsidR="003D4A45" w:rsidP="003D4A45" w:rsidRDefault="002B6CE4" w14:paraId="51C953F5" w14:textId="4FC0196F">
      <w:pPr>
        <w:rPr>
          <w:lang w:eastAsia="en-GB"/>
        </w:rPr>
      </w:pPr>
      <w:r w:rsidRPr="00D75194">
        <w:rPr>
          <w:lang w:eastAsia="en-GB"/>
        </w:rPr>
        <w:t xml:space="preserve">This sub-section </w:t>
      </w:r>
      <w:r w:rsidRPr="3388DF63">
        <w:rPr>
          <w:lang w:eastAsia="en-GB"/>
        </w:rPr>
        <w:t>presents</w:t>
      </w:r>
      <w:r w:rsidRPr="00D75194" w:rsidR="003D4A45">
        <w:rPr>
          <w:lang w:eastAsia="en-GB"/>
        </w:rPr>
        <w:t xml:space="preserve"> </w:t>
      </w:r>
      <w:r w:rsidRPr="00D75194" w:rsidR="002C480D">
        <w:rPr>
          <w:lang w:eastAsia="en-GB"/>
        </w:rPr>
        <w:t>three</w:t>
      </w:r>
      <w:r w:rsidRPr="00D75194" w:rsidR="003D4A45">
        <w:rPr>
          <w:lang w:eastAsia="en-GB"/>
        </w:rPr>
        <w:t xml:space="preserve"> key findings </w:t>
      </w:r>
      <w:r w:rsidRPr="3388DF63" w:rsidR="003D4A45">
        <w:rPr>
          <w:lang w:eastAsia="en-GB"/>
        </w:rPr>
        <w:t>to</w:t>
      </w:r>
      <w:r w:rsidRPr="00D75194" w:rsidDel="001D4452" w:rsidR="003D4A45">
        <w:rPr>
          <w:lang w:eastAsia="en-GB"/>
        </w:rPr>
        <w:t xml:space="preserve"> </w:t>
      </w:r>
      <w:r w:rsidRPr="00D75194" w:rsidR="001D4452">
        <w:rPr>
          <w:lang w:eastAsia="en-GB"/>
        </w:rPr>
        <w:t xml:space="preserve">assess </w:t>
      </w:r>
      <w:proofErr w:type="gramStart"/>
      <w:r w:rsidRPr="00D75194" w:rsidR="003D4A45">
        <w:rPr>
          <w:lang w:eastAsia="en-GB"/>
        </w:rPr>
        <w:t>whether or not</w:t>
      </w:r>
      <w:proofErr w:type="gramEnd"/>
      <w:r w:rsidRPr="00D75194" w:rsidR="003D4A45">
        <w:rPr>
          <w:lang w:eastAsia="en-GB"/>
        </w:rPr>
        <w:t xml:space="preserve"> CASA II has achieved its intended results.</w:t>
      </w:r>
      <w:r w:rsidRPr="00D75194" w:rsidDel="006B601D" w:rsidR="003D4A45">
        <w:rPr>
          <w:lang w:eastAsia="en-GB"/>
        </w:rPr>
        <w:t xml:space="preserve"> </w:t>
      </w:r>
    </w:p>
    <w:p w:rsidRPr="00D75194" w:rsidR="005D29A2" w:rsidP="00866E69" w:rsidRDefault="003D4A45" w14:paraId="6CC0D919" w14:textId="5D47EA7F">
      <w:pPr>
        <w:pStyle w:val="ListParagraph"/>
        <w:numPr>
          <w:ilvl w:val="0"/>
          <w:numId w:val="33"/>
        </w:numPr>
        <w:rPr>
          <w:lang w:eastAsia="en-GB"/>
        </w:rPr>
      </w:pPr>
      <w:r w:rsidRPr="00D75194">
        <w:rPr>
          <w:rFonts w:cs="Segoe UI"/>
          <w:lang w:eastAsia="en-GB"/>
        </w:rPr>
        <w:t xml:space="preserve">Providing technical and tailored support to negotiators through trust-based relationships remains the keystone of CASA’s offering </w:t>
      </w:r>
      <w:proofErr w:type="gramStart"/>
      <w:r w:rsidRPr="00D75194" w:rsidR="002533F0">
        <w:rPr>
          <w:rFonts w:cs="Segoe UI"/>
          <w:lang w:eastAsia="en-GB"/>
        </w:rPr>
        <w:t xml:space="preserve">in regard </w:t>
      </w:r>
      <w:r w:rsidRPr="00D75194">
        <w:rPr>
          <w:rFonts w:cs="Segoe UI"/>
          <w:lang w:eastAsia="en-GB"/>
        </w:rPr>
        <w:t>to</w:t>
      </w:r>
      <w:proofErr w:type="gramEnd"/>
      <w:r w:rsidRPr="00D75194">
        <w:rPr>
          <w:rFonts w:cs="Segoe UI"/>
          <w:lang w:eastAsia="en-GB"/>
        </w:rPr>
        <w:t xml:space="preserve"> achieving more ambitious climate outcomes. </w:t>
      </w:r>
      <w:r w:rsidRPr="00D75194">
        <w:rPr>
          <w:rFonts w:cs="Segoe UI"/>
        </w:rPr>
        <w:t xml:space="preserve">The successful expansion of LRI’s operating model </w:t>
      </w:r>
      <w:r w:rsidRPr="00D75194" w:rsidR="00AB1DA7">
        <w:rPr>
          <w:rFonts w:cs="Segoe UI"/>
        </w:rPr>
        <w:t xml:space="preserve">has been </w:t>
      </w:r>
      <w:r w:rsidRPr="00D75194">
        <w:rPr>
          <w:rFonts w:cs="Segoe UI"/>
        </w:rPr>
        <w:t xml:space="preserve">a critical contribution to </w:t>
      </w:r>
      <w:r w:rsidRPr="3388DF63">
        <w:rPr>
          <w:rFonts w:cs="Segoe UI"/>
        </w:rPr>
        <w:t>servic</w:t>
      </w:r>
      <w:r w:rsidRPr="3388DF63" w:rsidR="00B20A5F">
        <w:rPr>
          <w:rFonts w:cs="Segoe UI"/>
        </w:rPr>
        <w:t>ing</w:t>
      </w:r>
      <w:r w:rsidRPr="00D75194" w:rsidDel="00162102">
        <w:rPr>
          <w:rFonts w:cs="Segoe UI"/>
        </w:rPr>
        <w:t xml:space="preserve"> </w:t>
      </w:r>
      <w:r w:rsidRPr="00D75194" w:rsidR="00162102">
        <w:rPr>
          <w:rFonts w:cs="Segoe UI"/>
        </w:rPr>
        <w:t xml:space="preserve">Global </w:t>
      </w:r>
      <w:r w:rsidRPr="3388DF63" w:rsidR="00162102">
        <w:rPr>
          <w:rFonts w:cs="Segoe UI"/>
        </w:rPr>
        <w:t>S</w:t>
      </w:r>
      <w:r w:rsidRPr="3388DF63">
        <w:rPr>
          <w:rFonts w:cs="Segoe UI"/>
        </w:rPr>
        <w:t>outh</w:t>
      </w:r>
      <w:r w:rsidRPr="00D75194">
        <w:rPr>
          <w:rFonts w:cs="Segoe UI"/>
        </w:rPr>
        <w:t xml:space="preserve"> country implementation needs</w:t>
      </w:r>
      <w:r w:rsidRPr="00D75194" w:rsidR="00700FD4">
        <w:rPr>
          <w:rFonts w:cs="Segoe UI"/>
        </w:rPr>
        <w:t xml:space="preserve">, as </w:t>
      </w:r>
      <w:r w:rsidRPr="3388DF63" w:rsidR="00B77DBF">
        <w:rPr>
          <w:rFonts w:cs="Segoe UI"/>
        </w:rPr>
        <w:t>has</w:t>
      </w:r>
      <w:r w:rsidRPr="00D75194" w:rsidR="00657630">
        <w:rPr>
          <w:rFonts w:cs="Segoe UI"/>
        </w:rPr>
        <w:t xml:space="preserve"> the inclusion of ICCCAD and CIES, who provide more focus on in-country </w:t>
      </w:r>
      <w:r w:rsidRPr="00D75194" w:rsidR="00265F43">
        <w:rPr>
          <w:rFonts w:cs="Segoe UI"/>
        </w:rPr>
        <w:t>capacity</w:t>
      </w:r>
      <w:r w:rsidRPr="00D75194">
        <w:rPr>
          <w:rFonts w:cs="Segoe UI"/>
        </w:rPr>
        <w:t>.</w:t>
      </w:r>
      <w:r w:rsidRPr="00D75194" w:rsidDel="006B601D">
        <w:rPr>
          <w:rFonts w:cs="Segoe UI"/>
        </w:rPr>
        <w:t xml:space="preserve"> </w:t>
      </w:r>
      <w:r w:rsidRPr="00D75194">
        <w:rPr>
          <w:rFonts w:cs="Segoe UI"/>
          <w:lang w:eastAsia="en-GB"/>
        </w:rPr>
        <w:t>There</w:t>
      </w:r>
      <w:r w:rsidRPr="00D75194" w:rsidDel="00826F5A">
        <w:rPr>
          <w:rFonts w:cs="Segoe UI"/>
          <w:lang w:eastAsia="en-GB"/>
        </w:rPr>
        <w:t xml:space="preserve"> </w:t>
      </w:r>
      <w:r w:rsidRPr="00D75194" w:rsidR="00826F5A">
        <w:rPr>
          <w:rFonts w:cs="Segoe UI"/>
          <w:lang w:eastAsia="en-GB"/>
        </w:rPr>
        <w:t xml:space="preserve">has been </w:t>
      </w:r>
      <w:r w:rsidRPr="00D75194">
        <w:rPr>
          <w:rFonts w:cs="Segoe UI"/>
          <w:lang w:eastAsia="en-GB"/>
        </w:rPr>
        <w:t>demonstrable progress in the technical confidence of CASA</w:t>
      </w:r>
      <w:r w:rsidRPr="00D75194" w:rsidR="00826F5A">
        <w:rPr>
          <w:rFonts w:cs="Segoe UI"/>
          <w:lang w:eastAsia="en-GB"/>
        </w:rPr>
        <w:t>-</w:t>
      </w:r>
      <w:r w:rsidRPr="00D75194">
        <w:rPr>
          <w:rFonts w:cs="Segoe UI"/>
          <w:lang w:eastAsia="en-GB"/>
        </w:rPr>
        <w:t xml:space="preserve">supported </w:t>
      </w:r>
      <w:r w:rsidRPr="00D75194" w:rsidR="00190A5A">
        <w:rPr>
          <w:rFonts w:cs="Segoe UI"/>
          <w:lang w:eastAsia="en-GB"/>
        </w:rPr>
        <w:t>negotiators but</w:t>
      </w:r>
      <w:r w:rsidRPr="00D75194">
        <w:rPr>
          <w:rFonts w:cs="Segoe UI"/>
          <w:lang w:eastAsia="en-GB"/>
        </w:rPr>
        <w:t xml:space="preserve"> concerns about equal access to TP resources </w:t>
      </w:r>
      <w:r w:rsidRPr="00D75194" w:rsidR="00840C1C">
        <w:rPr>
          <w:rFonts w:cs="Segoe UI"/>
          <w:lang w:eastAsia="en-GB"/>
        </w:rPr>
        <w:t xml:space="preserve">were </w:t>
      </w:r>
      <w:r w:rsidRPr="00D75194">
        <w:rPr>
          <w:rFonts w:cs="Segoe UI"/>
          <w:lang w:eastAsia="en-GB"/>
        </w:rPr>
        <w:t>raised.</w:t>
      </w:r>
    </w:p>
    <w:p w:rsidRPr="00D75194" w:rsidR="00582DE2" w:rsidP="00866E69" w:rsidRDefault="00F85FFC" w14:paraId="7907DE90" w14:textId="4810BF42">
      <w:pPr>
        <w:pStyle w:val="ListParagraph"/>
        <w:numPr>
          <w:ilvl w:val="0"/>
          <w:numId w:val="33"/>
        </w:numPr>
        <w:rPr>
          <w:lang w:eastAsia="en-GB"/>
        </w:rPr>
      </w:pPr>
      <w:r w:rsidRPr="00D75194">
        <w:rPr>
          <w:rFonts w:cs="Segoe UI"/>
        </w:rPr>
        <w:t xml:space="preserve">One </w:t>
      </w:r>
      <w:r w:rsidRPr="00D75194" w:rsidR="00582DE2">
        <w:rPr>
          <w:rFonts w:cs="Segoe UI"/>
        </w:rPr>
        <w:t xml:space="preserve">example of deepening technical credibility </w:t>
      </w:r>
      <w:r w:rsidRPr="00D75194">
        <w:rPr>
          <w:rFonts w:cs="Segoe UI"/>
        </w:rPr>
        <w:t xml:space="preserve">was </w:t>
      </w:r>
      <w:r w:rsidRPr="00D75194" w:rsidR="00582DE2">
        <w:rPr>
          <w:rFonts w:cs="Segoe UI"/>
        </w:rPr>
        <w:t xml:space="preserve">when an RMI national, with </w:t>
      </w:r>
      <w:r w:rsidRPr="3388DF63" w:rsidR="00494461">
        <w:rPr>
          <w:rFonts w:cs="Segoe UI"/>
        </w:rPr>
        <w:t>Independent</w:t>
      </w:r>
      <w:r w:rsidRPr="00D75194" w:rsidR="00494461">
        <w:rPr>
          <w:rFonts w:cs="Segoe UI"/>
        </w:rPr>
        <w:t xml:space="preserve"> Diplomat</w:t>
      </w:r>
      <w:r w:rsidRPr="00D75194" w:rsidR="00582DE2">
        <w:rPr>
          <w:rFonts w:cs="Segoe UI"/>
        </w:rPr>
        <w:t>’s support, coordinated adaptation planning efforts</w:t>
      </w:r>
      <w:r w:rsidRPr="00D75194" w:rsidR="003D332F">
        <w:rPr>
          <w:rFonts w:cs="Segoe UI"/>
        </w:rPr>
        <w:t>.</w:t>
      </w:r>
    </w:p>
    <w:p w:rsidRPr="00D75194" w:rsidR="00582DE2" w:rsidP="00866E69" w:rsidRDefault="00582DE2" w14:paraId="190A2A72" w14:textId="651B16A5">
      <w:pPr>
        <w:pStyle w:val="ListParagraph"/>
        <w:numPr>
          <w:ilvl w:val="0"/>
          <w:numId w:val="33"/>
        </w:numPr>
        <w:rPr>
          <w:lang w:eastAsia="en-GB"/>
        </w:rPr>
      </w:pPr>
      <w:r w:rsidRPr="00D75194">
        <w:rPr>
          <w:rFonts w:cs="Segoe UI"/>
        </w:rPr>
        <w:t>In the case of CIES, support was provided to capacitate a cohort of climate-aware expertise across AILAC countries.</w:t>
      </w:r>
    </w:p>
    <w:p w:rsidRPr="00D75194" w:rsidR="00582DE2" w:rsidP="00116AB2" w:rsidRDefault="00582DE2" w14:paraId="749B1CAD" w14:textId="1459FDB0">
      <w:pPr>
        <w:pStyle w:val="ListParagraph"/>
        <w:rPr>
          <w:lang w:eastAsia="en-GB"/>
        </w:rPr>
      </w:pPr>
    </w:p>
    <w:p w:rsidRPr="00D75194" w:rsidR="00A16349" w:rsidP="00A16349" w:rsidRDefault="003D1560" w14:paraId="273076C1" w14:textId="331F5FBE">
      <w:pPr>
        <w:rPr>
          <w:rFonts w:cs="Segoe UI"/>
        </w:rPr>
      </w:pPr>
      <w:r w:rsidRPr="00D75194">
        <w:rPr>
          <w:rFonts w:cs="Segoe UI"/>
          <w:b/>
          <w:bCs/>
          <w:lang w:eastAsia="en-GB"/>
        </w:rPr>
        <w:t>#</w:t>
      </w:r>
      <w:r w:rsidRPr="00D75194" w:rsidR="003D4A45">
        <w:rPr>
          <w:rFonts w:cs="Segoe UI"/>
          <w:b/>
          <w:bCs/>
          <w:lang w:eastAsia="en-GB"/>
        </w:rPr>
        <w:t>1</w:t>
      </w:r>
      <w:r w:rsidRPr="00D75194">
        <w:rPr>
          <w:rFonts w:cs="Segoe UI"/>
          <w:b/>
          <w:bCs/>
          <w:lang w:eastAsia="en-GB"/>
        </w:rPr>
        <w:t xml:space="preserve">: </w:t>
      </w:r>
      <w:r w:rsidRPr="00D75194" w:rsidR="00A16349">
        <w:rPr>
          <w:rFonts w:cs="Segoe UI"/>
          <w:b/>
          <w:bCs/>
          <w:lang w:eastAsia="en-GB"/>
        </w:rPr>
        <w:t>Providing technical and tailored support to negotiators through trust-based relationships remains the keystone of CASA’s offering</w:t>
      </w:r>
      <w:r w:rsidRPr="00D75194" w:rsidR="00AB1DA7">
        <w:rPr>
          <w:rFonts w:cs="Segoe UI"/>
          <w:b/>
          <w:bCs/>
          <w:lang w:eastAsia="en-GB"/>
        </w:rPr>
        <w:t xml:space="preserve"> </w:t>
      </w:r>
      <w:proofErr w:type="gramStart"/>
      <w:r w:rsidRPr="00D75194" w:rsidR="00AB1DA7">
        <w:rPr>
          <w:rFonts w:cs="Segoe UI"/>
          <w:b/>
          <w:bCs/>
          <w:lang w:eastAsia="en-GB"/>
        </w:rPr>
        <w:t>in regard</w:t>
      </w:r>
      <w:r w:rsidRPr="00D75194" w:rsidR="00A16349">
        <w:rPr>
          <w:rFonts w:cs="Segoe UI"/>
          <w:b/>
          <w:bCs/>
          <w:lang w:eastAsia="en-GB"/>
        </w:rPr>
        <w:t xml:space="preserve"> to</w:t>
      </w:r>
      <w:proofErr w:type="gramEnd"/>
      <w:r w:rsidRPr="00D75194" w:rsidR="00A16349">
        <w:rPr>
          <w:rFonts w:cs="Segoe UI"/>
          <w:b/>
          <w:bCs/>
          <w:lang w:eastAsia="en-GB"/>
        </w:rPr>
        <w:t xml:space="preserve"> achieving more ambitious climate outcomes. </w:t>
      </w:r>
      <w:r w:rsidRPr="00D75194" w:rsidR="00A16349">
        <w:rPr>
          <w:rFonts w:cs="Segoe UI"/>
          <w:b/>
          <w:bCs/>
        </w:rPr>
        <w:t xml:space="preserve">The successful expansion of LRI’s operating model </w:t>
      </w:r>
      <w:r w:rsidRPr="00D75194" w:rsidR="005B0EA1">
        <w:rPr>
          <w:rFonts w:cs="Segoe UI"/>
          <w:b/>
          <w:bCs/>
        </w:rPr>
        <w:t xml:space="preserve">has been </w:t>
      </w:r>
      <w:r w:rsidRPr="00D75194" w:rsidR="00491734">
        <w:rPr>
          <w:rFonts w:cs="Segoe UI"/>
          <w:b/>
          <w:bCs/>
        </w:rPr>
        <w:t xml:space="preserve">a critical contribution </w:t>
      </w:r>
      <w:r w:rsidRPr="00D75194" w:rsidR="00A16349">
        <w:rPr>
          <w:rFonts w:cs="Segoe UI"/>
          <w:b/>
          <w:bCs/>
        </w:rPr>
        <w:t xml:space="preserve">to </w:t>
      </w:r>
      <w:r w:rsidRPr="3388DF63" w:rsidR="00A16349">
        <w:rPr>
          <w:rFonts w:cs="Segoe UI"/>
          <w:b/>
          <w:bCs/>
        </w:rPr>
        <w:t>servic</w:t>
      </w:r>
      <w:r w:rsidRPr="3388DF63" w:rsidR="007D377B">
        <w:rPr>
          <w:rFonts w:cs="Segoe UI"/>
          <w:b/>
          <w:bCs/>
        </w:rPr>
        <w:t>ing</w:t>
      </w:r>
      <w:r w:rsidRPr="00D75194" w:rsidDel="00AB1DA7" w:rsidR="00A16349">
        <w:rPr>
          <w:rFonts w:cs="Segoe UI"/>
          <w:b/>
          <w:bCs/>
        </w:rPr>
        <w:t xml:space="preserve"> </w:t>
      </w:r>
      <w:r w:rsidRPr="00D75194" w:rsidR="00AB1DA7">
        <w:rPr>
          <w:rFonts w:cs="Segoe UI"/>
          <w:b/>
          <w:bCs/>
        </w:rPr>
        <w:t xml:space="preserve">Global South </w:t>
      </w:r>
      <w:r w:rsidRPr="00D75194" w:rsidR="00A16349">
        <w:rPr>
          <w:rFonts w:cs="Segoe UI"/>
          <w:b/>
          <w:bCs/>
        </w:rPr>
        <w:t>country implementation needs</w:t>
      </w:r>
      <w:r w:rsidRPr="00D75194" w:rsidR="00491734">
        <w:rPr>
          <w:rFonts w:cs="Segoe UI"/>
          <w:b/>
          <w:bCs/>
        </w:rPr>
        <w:t>.</w:t>
      </w:r>
      <w:r w:rsidRPr="00D75194" w:rsidDel="006B601D" w:rsidR="00A16349">
        <w:rPr>
          <w:rFonts w:cs="Segoe UI"/>
        </w:rPr>
        <w:t xml:space="preserve"> </w:t>
      </w:r>
      <w:r w:rsidRPr="00D75194" w:rsidR="00A16349">
        <w:rPr>
          <w:rFonts w:cs="Segoe UI"/>
          <w:b/>
          <w:bCs/>
          <w:lang w:eastAsia="en-GB"/>
        </w:rPr>
        <w:t xml:space="preserve">There </w:t>
      </w:r>
      <w:r w:rsidRPr="00D75194" w:rsidR="007D377B">
        <w:rPr>
          <w:rFonts w:cs="Segoe UI"/>
          <w:b/>
          <w:bCs/>
          <w:lang w:eastAsia="en-GB"/>
        </w:rPr>
        <w:t xml:space="preserve">has </w:t>
      </w:r>
      <w:r w:rsidRPr="3388DF63" w:rsidR="007D377B">
        <w:rPr>
          <w:rFonts w:cs="Segoe UI"/>
          <w:b/>
          <w:bCs/>
          <w:lang w:eastAsia="en-GB"/>
        </w:rPr>
        <w:t>been</w:t>
      </w:r>
      <w:r w:rsidRPr="00D75194" w:rsidR="00A16349">
        <w:rPr>
          <w:rFonts w:cs="Segoe UI"/>
          <w:b/>
          <w:bCs/>
          <w:lang w:eastAsia="en-GB"/>
        </w:rPr>
        <w:t xml:space="preserve"> demonstrable progress in the technical confidence of CASA</w:t>
      </w:r>
      <w:r w:rsidRPr="00D75194" w:rsidR="007D377B">
        <w:rPr>
          <w:rFonts w:cs="Segoe UI"/>
          <w:b/>
          <w:bCs/>
          <w:lang w:eastAsia="en-GB"/>
        </w:rPr>
        <w:t>-</w:t>
      </w:r>
      <w:r w:rsidRPr="00D75194" w:rsidR="00A16349">
        <w:rPr>
          <w:rFonts w:cs="Segoe UI"/>
          <w:b/>
          <w:bCs/>
          <w:lang w:eastAsia="en-GB"/>
        </w:rPr>
        <w:t xml:space="preserve">supported negotiators but concerns about </w:t>
      </w:r>
      <w:r w:rsidRPr="00D75194" w:rsidR="3CA0561E">
        <w:rPr>
          <w:rFonts w:cs="Segoe UI"/>
          <w:b/>
          <w:bCs/>
          <w:lang w:eastAsia="en-GB"/>
        </w:rPr>
        <w:t>equal</w:t>
      </w:r>
      <w:r w:rsidRPr="00D75194" w:rsidR="00A16349">
        <w:rPr>
          <w:rFonts w:cs="Segoe UI"/>
          <w:b/>
          <w:bCs/>
          <w:lang w:eastAsia="en-GB"/>
        </w:rPr>
        <w:t xml:space="preserve"> access to TP resources </w:t>
      </w:r>
      <w:r w:rsidRPr="00D75194" w:rsidR="0005294D">
        <w:rPr>
          <w:rFonts w:cs="Segoe UI"/>
          <w:b/>
          <w:bCs/>
          <w:lang w:eastAsia="en-GB"/>
        </w:rPr>
        <w:t xml:space="preserve">were </w:t>
      </w:r>
      <w:r w:rsidRPr="00D75194" w:rsidR="00A16349">
        <w:rPr>
          <w:rFonts w:cs="Segoe UI"/>
          <w:b/>
          <w:bCs/>
          <w:lang w:eastAsia="en-GB"/>
        </w:rPr>
        <w:t xml:space="preserve">raised. </w:t>
      </w:r>
      <w:r w:rsidRPr="00D75194" w:rsidR="00A16349">
        <w:rPr>
          <w:rFonts w:cs="Segoe UI"/>
          <w:lang w:eastAsia="en-GB"/>
        </w:rPr>
        <w:t xml:space="preserve">As explored and expressed in </w:t>
      </w:r>
      <w:r w:rsidRPr="00D75194" w:rsidR="00A9008C">
        <w:rPr>
          <w:rFonts w:cs="Segoe UI"/>
          <w:lang w:eastAsia="en-GB"/>
        </w:rPr>
        <w:t>the section</w:t>
      </w:r>
      <w:r w:rsidRPr="00D75194" w:rsidR="0005294D">
        <w:rPr>
          <w:rFonts w:cs="Segoe UI"/>
          <w:lang w:eastAsia="en-GB"/>
        </w:rPr>
        <w:t xml:space="preserve"> on relevance</w:t>
      </w:r>
      <w:r w:rsidRPr="00D75194" w:rsidR="00A16349">
        <w:rPr>
          <w:rFonts w:cs="Segoe UI"/>
          <w:lang w:eastAsia="en-GB"/>
        </w:rPr>
        <w:t xml:space="preserve">, real-time direct engagement and support of negotiators from </w:t>
      </w:r>
      <w:r w:rsidRPr="3388DF63" w:rsidR="00BD18C6">
        <w:rPr>
          <w:rFonts w:cs="Segoe UI"/>
          <w:lang w:eastAsia="en-GB"/>
        </w:rPr>
        <w:t>G</w:t>
      </w:r>
      <w:r w:rsidRPr="3388DF63" w:rsidR="00A16349">
        <w:rPr>
          <w:rFonts w:cs="Segoe UI"/>
          <w:lang w:eastAsia="en-GB"/>
        </w:rPr>
        <w:t xml:space="preserve">lobal </w:t>
      </w:r>
      <w:r w:rsidRPr="3388DF63" w:rsidR="00BD18C6">
        <w:rPr>
          <w:rFonts w:cs="Segoe UI"/>
          <w:lang w:eastAsia="en-GB"/>
        </w:rPr>
        <w:t>S</w:t>
      </w:r>
      <w:r w:rsidRPr="3388DF63" w:rsidR="00A16349">
        <w:rPr>
          <w:rFonts w:cs="Segoe UI"/>
          <w:lang w:eastAsia="en-GB"/>
        </w:rPr>
        <w:t>outh</w:t>
      </w:r>
      <w:r w:rsidRPr="00D75194" w:rsidR="00A16349">
        <w:rPr>
          <w:rFonts w:cs="Segoe UI"/>
          <w:lang w:eastAsia="en-GB"/>
        </w:rPr>
        <w:t xml:space="preserve"> countries, throughout the UNFCCC calendar, remains the most in</w:t>
      </w:r>
      <w:r w:rsidRPr="00D75194" w:rsidR="71729323">
        <w:rPr>
          <w:rFonts w:cs="Segoe UI"/>
          <w:lang w:eastAsia="en-GB"/>
        </w:rPr>
        <w:t>-</w:t>
      </w:r>
      <w:r w:rsidRPr="00D75194" w:rsidR="00A16349">
        <w:rPr>
          <w:rFonts w:cs="Segoe UI"/>
          <w:lang w:eastAsia="en-GB"/>
        </w:rPr>
        <w:t>demand part of the</w:t>
      </w:r>
      <w:r w:rsidRPr="00D75194" w:rsidR="000A6155">
        <w:rPr>
          <w:rFonts w:cs="Segoe UI"/>
          <w:lang w:eastAsia="en-GB"/>
        </w:rPr>
        <w:t xml:space="preserve"> CASA</w:t>
      </w:r>
      <w:r w:rsidRPr="00D75194" w:rsidR="00A16349">
        <w:rPr>
          <w:rFonts w:cs="Segoe UI"/>
          <w:lang w:eastAsia="en-GB"/>
        </w:rPr>
        <w:t xml:space="preserve"> package and the pathway</w:t>
      </w:r>
      <w:r w:rsidRPr="00D75194" w:rsidR="00E13436">
        <w:rPr>
          <w:rFonts w:cs="Segoe UI"/>
          <w:lang w:eastAsia="en-GB"/>
        </w:rPr>
        <w:t xml:space="preserve"> (of CASA II’s </w:t>
      </w:r>
      <w:r w:rsidRPr="3388DF63" w:rsidR="00690A66">
        <w:rPr>
          <w:rFonts w:cs="Segoe UI"/>
          <w:lang w:eastAsia="en-GB"/>
        </w:rPr>
        <w:t>ToC</w:t>
      </w:r>
      <w:r w:rsidRPr="00D75194" w:rsidR="00E13436">
        <w:rPr>
          <w:rFonts w:cs="Segoe UI"/>
          <w:lang w:eastAsia="en-GB"/>
        </w:rPr>
        <w:t>)</w:t>
      </w:r>
      <w:r w:rsidRPr="00D75194" w:rsidR="00A16349">
        <w:rPr>
          <w:rFonts w:cs="Segoe UI"/>
          <w:lang w:eastAsia="en-GB"/>
        </w:rPr>
        <w:t xml:space="preserve"> which enables all others (pathways are iterative and circuitous</w:t>
      </w:r>
      <w:r w:rsidRPr="00D75194" w:rsidR="000A6155">
        <w:rPr>
          <w:rFonts w:cs="Segoe UI"/>
          <w:lang w:eastAsia="en-GB"/>
        </w:rPr>
        <w:t>,</w:t>
      </w:r>
      <w:r w:rsidRPr="00D75194" w:rsidR="00A16349">
        <w:rPr>
          <w:rFonts w:cs="Segoe UI"/>
          <w:lang w:eastAsia="en-GB"/>
        </w:rPr>
        <w:t xml:space="preserve"> rather than linear and casual).</w:t>
      </w:r>
      <w:r w:rsidRPr="00D75194" w:rsidR="00A16349">
        <w:rPr>
          <w:rFonts w:cs="Segoe UI"/>
          <w:b/>
          <w:bCs/>
          <w:lang w:eastAsia="en-GB"/>
        </w:rPr>
        <w:t xml:space="preserve"> </w:t>
      </w:r>
      <w:r w:rsidRPr="00D75194" w:rsidR="00A16349">
        <w:rPr>
          <w:rFonts w:cs="Segoe UI"/>
          <w:lang w:eastAsia="en-GB"/>
        </w:rPr>
        <w:t xml:space="preserve">Progress in technical confidence </w:t>
      </w:r>
      <w:r w:rsidRPr="00D75194" w:rsidR="00CF57F5">
        <w:rPr>
          <w:rFonts w:cs="Segoe UI"/>
          <w:lang w:eastAsia="en-GB"/>
        </w:rPr>
        <w:t xml:space="preserve">has been </w:t>
      </w:r>
      <w:r w:rsidRPr="00D75194" w:rsidR="00A16349">
        <w:rPr>
          <w:rFonts w:cs="Segoe UI"/>
          <w:lang w:eastAsia="en-GB"/>
        </w:rPr>
        <w:t xml:space="preserve">made </w:t>
      </w:r>
      <w:r w:rsidRPr="00D75194" w:rsidR="00A16349">
        <w:rPr>
          <w:rFonts w:cs="Segoe UI"/>
        </w:rPr>
        <w:t>through strategic investments in training, mentorship, and resourcing</w:t>
      </w:r>
      <w:r w:rsidRPr="3388DF63" w:rsidR="00A16349">
        <w:rPr>
          <w:rFonts w:cs="Segoe UI"/>
        </w:rPr>
        <w:t>—</w:t>
      </w:r>
      <w:r w:rsidRPr="00D75194" w:rsidR="00A16349">
        <w:rPr>
          <w:rFonts w:cs="Segoe UI"/>
        </w:rPr>
        <w:t xml:space="preserve">particularly for women and youth. The successful expansion of LRI’s operating model to service </w:t>
      </w:r>
      <w:r w:rsidRPr="3388DF63" w:rsidR="0005718B">
        <w:rPr>
          <w:rFonts w:cs="Segoe UI"/>
        </w:rPr>
        <w:t>Global S</w:t>
      </w:r>
      <w:r w:rsidRPr="3388DF63" w:rsidR="00A16349">
        <w:rPr>
          <w:rFonts w:cs="Segoe UI"/>
        </w:rPr>
        <w:t>outh</w:t>
      </w:r>
      <w:r w:rsidRPr="00D75194" w:rsidR="00A16349">
        <w:rPr>
          <w:rFonts w:cs="Segoe UI"/>
        </w:rPr>
        <w:t xml:space="preserve"> country implementation needs </w:t>
      </w:r>
      <w:r w:rsidRPr="00D75194" w:rsidR="00FF44FF">
        <w:rPr>
          <w:rFonts w:cs="Segoe UI"/>
        </w:rPr>
        <w:t xml:space="preserve">has been </w:t>
      </w:r>
      <w:r w:rsidRPr="00D75194" w:rsidR="00A16349">
        <w:rPr>
          <w:rFonts w:cs="Segoe UI"/>
        </w:rPr>
        <w:t>a critical contribution. Further, interviewees consistently noted the importance of mentoring roles and mechanisms like</w:t>
      </w:r>
      <w:r w:rsidRPr="00D75194" w:rsidR="00A74FF3">
        <w:rPr>
          <w:rFonts w:cs="Segoe UI"/>
        </w:rPr>
        <w:t xml:space="preserve"> the</w:t>
      </w:r>
      <w:r w:rsidRPr="00D75194" w:rsidR="00A16349">
        <w:rPr>
          <w:rFonts w:cs="Segoe UI"/>
        </w:rPr>
        <w:t xml:space="preserve"> ‘elders’ to ensuring</w:t>
      </w:r>
      <w:r w:rsidRPr="00D75194" w:rsidR="00327893">
        <w:rPr>
          <w:rFonts w:cs="Segoe UI"/>
        </w:rPr>
        <w:t xml:space="preserve"> the</w:t>
      </w:r>
      <w:r w:rsidRPr="00D75194" w:rsidR="00A16349">
        <w:rPr>
          <w:rFonts w:cs="Segoe UI"/>
        </w:rPr>
        <w:t xml:space="preserve"> </w:t>
      </w:r>
      <w:r w:rsidRPr="3388DF63" w:rsidR="60F2EFC9">
        <w:rPr>
          <w:rFonts w:cs="Segoe UI"/>
        </w:rPr>
        <w:t>capacity</w:t>
      </w:r>
      <w:r w:rsidRPr="00D75194" w:rsidDel="000430BF" w:rsidR="00A16349">
        <w:rPr>
          <w:rFonts w:cs="Segoe UI"/>
        </w:rPr>
        <w:t xml:space="preserve"> </w:t>
      </w:r>
      <w:r w:rsidRPr="00D75194" w:rsidR="00A16349">
        <w:rPr>
          <w:rFonts w:cs="Segoe UI"/>
        </w:rPr>
        <w:t>development</w:t>
      </w:r>
      <w:r w:rsidRPr="00D75194" w:rsidR="000430BF">
        <w:rPr>
          <w:rFonts w:cs="Segoe UI"/>
        </w:rPr>
        <w:t xml:space="preserve"> of</w:t>
      </w:r>
      <w:r w:rsidRPr="00D75194" w:rsidR="000430BF">
        <w:t xml:space="preserve"> </w:t>
      </w:r>
      <w:r w:rsidRPr="00D75194" w:rsidR="000430BF">
        <w:rPr>
          <w:rFonts w:cs="Segoe UI"/>
        </w:rPr>
        <w:t>younger negotiators</w:t>
      </w:r>
      <w:r w:rsidRPr="00D75194" w:rsidR="00A16349">
        <w:rPr>
          <w:rFonts w:cs="Segoe UI"/>
        </w:rPr>
        <w:t>, policy continuity</w:t>
      </w:r>
      <w:r w:rsidRPr="00D75194" w:rsidR="78260E84">
        <w:rPr>
          <w:rFonts w:cs="Segoe UI"/>
        </w:rPr>
        <w:t>,</w:t>
      </w:r>
      <w:r w:rsidRPr="00D75194" w:rsidR="00A16349">
        <w:rPr>
          <w:rFonts w:cs="Segoe UI"/>
        </w:rPr>
        <w:t xml:space="preserve"> and t</w:t>
      </w:r>
      <w:r w:rsidRPr="00D75194" w:rsidR="52FD8994">
        <w:rPr>
          <w:rFonts w:cs="Segoe UI"/>
        </w:rPr>
        <w:t>echnical expertise</w:t>
      </w:r>
      <w:r w:rsidRPr="00D75194" w:rsidR="00A16349">
        <w:rPr>
          <w:rFonts w:cs="Segoe UI"/>
        </w:rPr>
        <w:t xml:space="preserve">. However, not all delegates </w:t>
      </w:r>
      <w:r w:rsidRPr="3388DF63" w:rsidR="00A16349">
        <w:rPr>
          <w:rFonts w:cs="Segoe UI"/>
        </w:rPr>
        <w:t>access</w:t>
      </w:r>
      <w:r w:rsidRPr="00D75194" w:rsidR="00A16349">
        <w:rPr>
          <w:rFonts w:cs="Segoe UI"/>
        </w:rPr>
        <w:t xml:space="preserve"> TP resources equally, particularly those outside the central coordination team or those working in languages other than English. </w:t>
      </w:r>
    </w:p>
    <w:p w:rsidRPr="00D75194" w:rsidR="00A16349" w:rsidP="00A16349" w:rsidRDefault="00A16349" w14:paraId="09489665" w14:textId="209A6EC0">
      <w:pPr>
        <w:rPr>
          <w:rFonts w:cs="Segoe UI"/>
        </w:rPr>
      </w:pPr>
      <w:r w:rsidRPr="00D75194">
        <w:rPr>
          <w:rFonts w:cs="Segoe UI"/>
        </w:rPr>
        <w:t>LRI uses a unique operating model</w:t>
      </w:r>
      <w:r w:rsidRPr="00D75194" w:rsidR="1748F98B">
        <w:rPr>
          <w:rFonts w:cs="Segoe UI"/>
        </w:rPr>
        <w:t xml:space="preserve">, </w:t>
      </w:r>
      <w:r w:rsidRPr="00D75194">
        <w:rPr>
          <w:rFonts w:cs="Segoe UI"/>
        </w:rPr>
        <w:t>providing pro bono, ad hoc and targeted legal support across a wide array of legal issues related to domestic implementation. During CASA II</w:t>
      </w:r>
      <w:r w:rsidRPr="00D75194" w:rsidR="00E32BB9">
        <w:rPr>
          <w:rFonts w:cs="Segoe UI"/>
        </w:rPr>
        <w:t>,</w:t>
      </w:r>
      <w:r w:rsidRPr="00D75194">
        <w:rPr>
          <w:rFonts w:cs="Segoe UI"/>
        </w:rPr>
        <w:t xml:space="preserve"> LRI</w:t>
      </w:r>
      <w:r w:rsidRPr="00D75194" w:rsidR="00816029">
        <w:rPr>
          <w:rFonts w:cs="Segoe UI"/>
        </w:rPr>
        <w:t xml:space="preserve"> has</w:t>
      </w:r>
      <w:r w:rsidRPr="00D75194">
        <w:rPr>
          <w:rFonts w:cs="Segoe UI"/>
        </w:rPr>
        <w:t xml:space="preserve"> adapted its operating model to offer a broader suite of services through the niche of high-quality legal expertise—ranging from NDC support, drafting of climate legislation and carbon market frameworks, to conducting legal research and aligning domestic laws with international climate obligations. CASA’s </w:t>
      </w:r>
      <w:proofErr w:type="gramStart"/>
      <w:r w:rsidRPr="00D75194">
        <w:rPr>
          <w:rFonts w:cs="Segoe UI"/>
        </w:rPr>
        <w:t>support</w:t>
      </w:r>
      <w:r w:rsidRPr="00D75194" w:rsidR="0B513C64">
        <w:rPr>
          <w:rFonts w:cs="Segoe UI"/>
        </w:rPr>
        <w:t xml:space="preserve"> </w:t>
      </w:r>
      <w:r w:rsidR="00F91CF1">
        <w:rPr>
          <w:rFonts w:cs="Segoe UI"/>
        </w:rPr>
        <w:t>,</w:t>
      </w:r>
      <w:r w:rsidRPr="00D75194" w:rsidR="00BC6EE6">
        <w:rPr>
          <w:rFonts w:cs="Segoe UI"/>
        </w:rPr>
        <w:t>has</w:t>
      </w:r>
      <w:proofErr w:type="gramEnd"/>
      <w:r w:rsidRPr="00D75194" w:rsidR="00BC6EE6">
        <w:rPr>
          <w:rFonts w:cs="Segoe UI"/>
        </w:rPr>
        <w:t xml:space="preserve"> </w:t>
      </w:r>
      <w:r w:rsidRPr="00D75194">
        <w:rPr>
          <w:rFonts w:cs="Segoe UI"/>
        </w:rPr>
        <w:t>enabled LRI to expand its approach and evolve into the go-to organisation for legal advice and support within the climate space. Continuous funding from the UK</w:t>
      </w:r>
      <w:r w:rsidRPr="00D75194" w:rsidDel="00DB5B88">
        <w:rPr>
          <w:rFonts w:cs="Segoe UI"/>
        </w:rPr>
        <w:t xml:space="preserve"> </w:t>
      </w:r>
      <w:r w:rsidRPr="00D75194" w:rsidR="00DB5B88">
        <w:rPr>
          <w:rFonts w:cs="Segoe UI"/>
        </w:rPr>
        <w:t xml:space="preserve">Government </w:t>
      </w:r>
      <w:r w:rsidRPr="00D75194">
        <w:rPr>
          <w:rFonts w:cs="Segoe UI"/>
        </w:rPr>
        <w:t xml:space="preserve">for over </w:t>
      </w:r>
      <w:r w:rsidRPr="00D75194" w:rsidR="00DB5B88">
        <w:rPr>
          <w:rFonts w:cs="Segoe UI"/>
        </w:rPr>
        <w:t xml:space="preserve">15 </w:t>
      </w:r>
      <w:r w:rsidRPr="00D75194">
        <w:rPr>
          <w:rFonts w:cs="Segoe UI"/>
        </w:rPr>
        <w:t xml:space="preserve">years has allowed LRI to maintain a consistent presence at climate negotiations and </w:t>
      </w:r>
      <w:r w:rsidRPr="00D75194" w:rsidR="00B72277">
        <w:rPr>
          <w:rFonts w:cs="Segoe UI"/>
        </w:rPr>
        <w:t xml:space="preserve">to </w:t>
      </w:r>
      <w:r w:rsidRPr="00D75194">
        <w:rPr>
          <w:rFonts w:cs="Segoe UI"/>
        </w:rPr>
        <w:t xml:space="preserve">develop its stock of assets, which has led to an increase in demand for </w:t>
      </w:r>
      <w:r w:rsidRPr="00D75194" w:rsidR="00016D01">
        <w:rPr>
          <w:rFonts w:cs="Segoe UI"/>
        </w:rPr>
        <w:t xml:space="preserve">its </w:t>
      </w:r>
      <w:r w:rsidRPr="00D75194">
        <w:rPr>
          <w:rFonts w:cs="Segoe UI"/>
        </w:rPr>
        <w:t xml:space="preserve">services—solidifying its role as an essential provider of legal support to </w:t>
      </w:r>
      <w:r w:rsidRPr="3388DF63" w:rsidR="00A14C17">
        <w:rPr>
          <w:rFonts w:cs="Segoe UI"/>
        </w:rPr>
        <w:t>G</w:t>
      </w:r>
      <w:r w:rsidRPr="3388DF63">
        <w:rPr>
          <w:rFonts w:cs="Segoe UI"/>
        </w:rPr>
        <w:t xml:space="preserve">lobal </w:t>
      </w:r>
      <w:r w:rsidRPr="3388DF63" w:rsidR="00A14C17">
        <w:rPr>
          <w:rFonts w:cs="Segoe UI"/>
        </w:rPr>
        <w:t>S</w:t>
      </w:r>
      <w:r w:rsidRPr="3388DF63">
        <w:rPr>
          <w:rFonts w:cs="Segoe UI"/>
        </w:rPr>
        <w:t>outh</w:t>
      </w:r>
      <w:r w:rsidRPr="00D75194">
        <w:rPr>
          <w:rFonts w:cs="Segoe UI"/>
        </w:rPr>
        <w:t xml:space="preserve"> country negotiators and delegations.</w:t>
      </w:r>
    </w:p>
    <w:p w:rsidRPr="00D75194" w:rsidR="00A16349" w:rsidP="00A16349" w:rsidRDefault="003D1560" w14:paraId="40BE50B9" w14:textId="5D54965E">
      <w:r w:rsidRPr="00D75194">
        <w:rPr>
          <w:rFonts w:cs="Segoe UI"/>
          <w:b/>
          <w:bCs/>
        </w:rPr>
        <w:t>#</w:t>
      </w:r>
      <w:r w:rsidRPr="00D75194" w:rsidR="00582DE2">
        <w:rPr>
          <w:rFonts w:cs="Segoe UI"/>
          <w:b/>
          <w:bCs/>
        </w:rPr>
        <w:t>2</w:t>
      </w:r>
      <w:r w:rsidRPr="00D75194">
        <w:rPr>
          <w:rFonts w:cs="Segoe UI"/>
          <w:b/>
          <w:bCs/>
        </w:rPr>
        <w:t>:</w:t>
      </w:r>
      <w:r w:rsidRPr="00D75194" w:rsidDel="00984F61" w:rsidR="00582DE2">
        <w:rPr>
          <w:rFonts w:cs="Segoe UI"/>
          <w:b/>
        </w:rPr>
        <w:t xml:space="preserve"> </w:t>
      </w:r>
      <w:r w:rsidRPr="00D75194" w:rsidR="00984F61">
        <w:rPr>
          <w:rFonts w:cs="Segoe UI"/>
          <w:b/>
        </w:rPr>
        <w:t xml:space="preserve">One </w:t>
      </w:r>
      <w:r w:rsidRPr="00D75194" w:rsidR="00582DE2">
        <w:rPr>
          <w:rFonts w:cs="Segoe UI"/>
          <w:b/>
        </w:rPr>
        <w:t xml:space="preserve">example of deepening technical credibility </w:t>
      </w:r>
      <w:r w:rsidRPr="00D75194" w:rsidR="00984F61">
        <w:rPr>
          <w:rFonts w:cs="Segoe UI"/>
          <w:b/>
        </w:rPr>
        <w:t xml:space="preserve">was </w:t>
      </w:r>
      <w:r w:rsidRPr="00D75194" w:rsidR="00582DE2">
        <w:rPr>
          <w:rFonts w:cs="Segoe UI"/>
          <w:b/>
        </w:rPr>
        <w:t xml:space="preserve">when an RMI national, with </w:t>
      </w:r>
      <w:r w:rsidRPr="3388DF63" w:rsidR="00494461">
        <w:rPr>
          <w:rFonts w:cs="Segoe UI"/>
          <w:b/>
          <w:bCs/>
        </w:rPr>
        <w:t>Independent</w:t>
      </w:r>
      <w:r w:rsidRPr="00D75194" w:rsidR="00494461">
        <w:rPr>
          <w:rFonts w:cs="Segoe UI"/>
          <w:b/>
        </w:rPr>
        <w:t xml:space="preserve"> Diplomat</w:t>
      </w:r>
      <w:r w:rsidRPr="00D75194" w:rsidR="00582DE2">
        <w:rPr>
          <w:rFonts w:cs="Segoe UI"/>
          <w:b/>
        </w:rPr>
        <w:t>’s support, coordinated adaptation planning efforts</w:t>
      </w:r>
      <w:r w:rsidRPr="00D75194" w:rsidR="00582DE2">
        <w:rPr>
          <w:rFonts w:cs="Segoe UI"/>
        </w:rPr>
        <w:t xml:space="preserve">. </w:t>
      </w:r>
      <w:r w:rsidRPr="3388DF63" w:rsidR="00494461">
        <w:rPr>
          <w:rFonts w:cs="Segoe UI"/>
        </w:rPr>
        <w:t>Independent</w:t>
      </w:r>
      <w:r w:rsidRPr="00D75194" w:rsidR="00494461">
        <w:rPr>
          <w:rFonts w:cs="Segoe UI"/>
        </w:rPr>
        <w:t xml:space="preserve"> Diplomat</w:t>
      </w:r>
      <w:r w:rsidRPr="00D75194" w:rsidR="00A16349">
        <w:rPr>
          <w:rFonts w:cs="Segoe UI"/>
        </w:rPr>
        <w:t xml:space="preserve">, as previously expressed, is the Secretariat of the HAC. With mentorship and strategic backing from </w:t>
      </w:r>
      <w:r w:rsidRPr="3388DF63" w:rsidR="00494461">
        <w:rPr>
          <w:rFonts w:cs="Segoe UI"/>
        </w:rPr>
        <w:t>Independent</w:t>
      </w:r>
      <w:r w:rsidRPr="00D75194" w:rsidR="00494461">
        <w:rPr>
          <w:rFonts w:cs="Segoe UI"/>
        </w:rPr>
        <w:t xml:space="preserve"> Diplomat</w:t>
      </w:r>
      <w:r w:rsidRPr="00D75194" w:rsidR="00A16349">
        <w:rPr>
          <w:rFonts w:cs="Segoe UI"/>
        </w:rPr>
        <w:t>, this individual was able to step into the role of RMI's lead negotiator on adaptation. They were accepted into the AOSIS Fellowship Programme and have since been appointed as the lead adaptation negotiator for AOSIS</w:t>
      </w:r>
      <w:r w:rsidRPr="3388DF63" w:rsidR="00A16349">
        <w:rPr>
          <w:rFonts w:cs="Segoe UI"/>
        </w:rPr>
        <w:t>—</w:t>
      </w:r>
      <w:r w:rsidRPr="00D75194" w:rsidR="00A16349">
        <w:rPr>
          <w:rFonts w:cs="Segoe UI"/>
        </w:rPr>
        <w:t xml:space="preserve">a historic first for someone from RMI. They continue to receive support from </w:t>
      </w:r>
      <w:r w:rsidRPr="3388DF63" w:rsidR="00494461">
        <w:rPr>
          <w:rFonts w:cs="Segoe UI"/>
        </w:rPr>
        <w:t>Independent</w:t>
      </w:r>
      <w:r w:rsidRPr="00D75194" w:rsidR="00494461">
        <w:rPr>
          <w:rFonts w:cs="Segoe UI"/>
        </w:rPr>
        <w:t xml:space="preserve"> Diplomat</w:t>
      </w:r>
      <w:r w:rsidRPr="00D75194" w:rsidR="00A16349">
        <w:rPr>
          <w:rFonts w:cs="Segoe UI"/>
        </w:rPr>
        <w:t xml:space="preserve">. A further example of </w:t>
      </w:r>
      <w:r w:rsidRPr="3388DF63" w:rsidR="00494461">
        <w:rPr>
          <w:rFonts w:cs="Segoe UI"/>
        </w:rPr>
        <w:t>Independent</w:t>
      </w:r>
      <w:r w:rsidRPr="00D75194" w:rsidR="00494461">
        <w:rPr>
          <w:rFonts w:cs="Segoe UI"/>
        </w:rPr>
        <w:t xml:space="preserve"> Diplomat</w:t>
      </w:r>
      <w:r w:rsidRPr="00D75194" w:rsidR="00A16349">
        <w:rPr>
          <w:rFonts w:cs="Segoe UI"/>
        </w:rPr>
        <w:t xml:space="preserve">’s responsiveness </w:t>
      </w:r>
      <w:r w:rsidRPr="3388DF63" w:rsidR="00493CF1">
        <w:rPr>
          <w:rFonts w:cs="Segoe UI"/>
        </w:rPr>
        <w:t>relates</w:t>
      </w:r>
      <w:r w:rsidRPr="00D75194" w:rsidR="00A16349">
        <w:rPr>
          <w:rFonts w:cs="Segoe UI"/>
        </w:rPr>
        <w:t xml:space="preserve"> to increased climate finance support and capacity</w:t>
      </w:r>
      <w:r w:rsidRPr="00D75194" w:rsidR="00493CF1">
        <w:rPr>
          <w:rFonts w:cs="Segoe UI"/>
        </w:rPr>
        <w:t>:</w:t>
      </w:r>
      <w:r w:rsidRPr="00D75194" w:rsidDel="00493CF1" w:rsidR="00A16349">
        <w:rPr>
          <w:rFonts w:cs="Segoe UI"/>
        </w:rPr>
        <w:t xml:space="preserve"> </w:t>
      </w:r>
      <w:r w:rsidRPr="3388DF63" w:rsidR="00494461">
        <w:rPr>
          <w:rFonts w:cs="Segoe UI"/>
        </w:rPr>
        <w:t>Independent</w:t>
      </w:r>
      <w:r w:rsidRPr="00D75194" w:rsidR="00494461">
        <w:rPr>
          <w:rFonts w:cs="Segoe UI"/>
        </w:rPr>
        <w:t xml:space="preserve"> Diplomat</w:t>
      </w:r>
      <w:r w:rsidRPr="00D75194" w:rsidR="00A16349">
        <w:rPr>
          <w:rFonts w:cs="Segoe UI"/>
        </w:rPr>
        <w:t xml:space="preserve"> brought in a full-time member in 2022, who has now become the climate finance expert in relation to climate negotiations.</w:t>
      </w:r>
    </w:p>
    <w:p w:rsidRPr="00D75194" w:rsidR="00A16349" w:rsidP="00A16349" w:rsidRDefault="00A16349" w14:paraId="602B8D3E" w14:textId="77DD6194">
      <w:pPr>
        <w:rPr>
          <w:rFonts w:cs="Segoe UI"/>
        </w:rPr>
      </w:pPr>
      <w:r w:rsidRPr="00D75194">
        <w:rPr>
          <w:rFonts w:cs="Segoe UI"/>
        </w:rPr>
        <w:t xml:space="preserve">Much of the support </w:t>
      </w:r>
      <w:r w:rsidRPr="3388DF63" w:rsidR="00494461">
        <w:rPr>
          <w:rFonts w:cs="Segoe UI"/>
        </w:rPr>
        <w:t>Independent</w:t>
      </w:r>
      <w:r w:rsidRPr="00D75194" w:rsidR="00494461">
        <w:rPr>
          <w:rFonts w:cs="Segoe UI"/>
        </w:rPr>
        <w:t xml:space="preserve"> Diplomat</w:t>
      </w:r>
      <w:r w:rsidRPr="00D75194">
        <w:rPr>
          <w:rFonts w:cs="Segoe UI"/>
        </w:rPr>
        <w:t xml:space="preserve"> provides to RMI (outside of strategic advisory support</w:t>
      </w:r>
      <w:r w:rsidRPr="3388DF63">
        <w:rPr>
          <w:rFonts w:cs="Segoe UI"/>
        </w:rPr>
        <w:t>/</w:t>
      </w:r>
      <w:r w:rsidRPr="00D75194">
        <w:rPr>
          <w:rFonts w:cs="Segoe UI"/>
        </w:rPr>
        <w:t xml:space="preserve">training) is viewed to be essential </w:t>
      </w:r>
      <w:r w:rsidRPr="3388DF63" w:rsidR="00620683">
        <w:rPr>
          <w:rFonts w:cs="Segoe UI"/>
        </w:rPr>
        <w:t>‘</w:t>
      </w:r>
      <w:r w:rsidRPr="00D75194">
        <w:rPr>
          <w:rFonts w:cs="Segoe UI"/>
        </w:rPr>
        <w:t>logistical</w:t>
      </w:r>
      <w:r w:rsidRPr="00D75194" w:rsidR="00620683">
        <w:rPr>
          <w:rFonts w:cs="Segoe UI"/>
        </w:rPr>
        <w:t>’</w:t>
      </w:r>
      <w:r w:rsidRPr="00D75194">
        <w:rPr>
          <w:rFonts w:cs="Segoe UI"/>
        </w:rPr>
        <w:t xml:space="preserve"> or </w:t>
      </w:r>
      <w:r w:rsidRPr="3388DF63" w:rsidR="00620683">
        <w:rPr>
          <w:rFonts w:cs="Segoe UI"/>
        </w:rPr>
        <w:t>‘</w:t>
      </w:r>
      <w:r w:rsidRPr="3388DF63">
        <w:rPr>
          <w:rFonts w:cs="Segoe UI"/>
        </w:rPr>
        <w:t>administrative</w:t>
      </w:r>
      <w:r w:rsidRPr="3388DF63" w:rsidR="00620683">
        <w:rPr>
          <w:rFonts w:cs="Segoe UI"/>
        </w:rPr>
        <w:t>’</w:t>
      </w:r>
      <w:r w:rsidRPr="00D75194">
        <w:rPr>
          <w:rFonts w:cs="Segoe UI"/>
        </w:rPr>
        <w:t xml:space="preserve"> support that the RMI team could potentially do if they had a larger delegation or more members</w:t>
      </w:r>
      <w:r w:rsidRPr="3388DF63" w:rsidR="00D31A9B">
        <w:rPr>
          <w:rFonts w:cs="Segoe UI"/>
        </w:rPr>
        <w:t>—a</w:t>
      </w:r>
      <w:r w:rsidRPr="00D75194">
        <w:rPr>
          <w:rFonts w:cs="Segoe UI"/>
        </w:rPr>
        <w:t xml:space="preserve"> possibility</w:t>
      </w:r>
      <w:r w:rsidRPr="00D75194" w:rsidR="00D31A9B">
        <w:rPr>
          <w:rFonts w:cs="Segoe UI"/>
        </w:rPr>
        <w:t xml:space="preserve"> that</w:t>
      </w:r>
      <w:r w:rsidRPr="00D75194">
        <w:rPr>
          <w:rFonts w:cs="Segoe UI"/>
        </w:rPr>
        <w:t xml:space="preserve"> is</w:t>
      </w:r>
      <w:r w:rsidRPr="00D75194" w:rsidR="00D31A9B">
        <w:rPr>
          <w:rFonts w:cs="Segoe UI"/>
        </w:rPr>
        <w:t xml:space="preserve"> </w:t>
      </w:r>
      <w:r w:rsidRPr="00D75194">
        <w:rPr>
          <w:rFonts w:cs="Segoe UI"/>
        </w:rPr>
        <w:t>constrained by the small population size of RMI (~40,000 people). The RMI Climate Envoy states that it would be near impossible to operate at the same levels if they were to remove CASA support and rely only on internal RMI resources</w:t>
      </w:r>
      <w:r w:rsidRPr="3388DF63" w:rsidR="002452C0">
        <w:rPr>
          <w:rFonts w:cs="Segoe UI"/>
        </w:rPr>
        <w:t>:</w:t>
      </w:r>
      <w:r w:rsidRPr="00D75194">
        <w:rPr>
          <w:rFonts w:cs="Segoe UI"/>
        </w:rPr>
        <w:t xml:space="preserve"> “There’s no clear solution though</w:t>
      </w:r>
      <w:r w:rsidRPr="00D75194" w:rsidR="002452C0">
        <w:rPr>
          <w:rFonts w:cs="Segoe UI"/>
        </w:rPr>
        <w:t>—</w:t>
      </w:r>
      <w:r w:rsidRPr="00D75194">
        <w:rPr>
          <w:rFonts w:cs="Segoe UI"/>
        </w:rPr>
        <w:t>not replaceable just with homegrown support as there simply aren’t enough people.”</w:t>
      </w:r>
    </w:p>
    <w:p w:rsidRPr="00D75194" w:rsidR="00F06A30" w:rsidP="00A16349" w:rsidRDefault="003D1560" w14:paraId="37AF0ED4" w14:textId="74B7F317">
      <w:pPr>
        <w:rPr>
          <w:rFonts w:cs="Segoe UI"/>
        </w:rPr>
      </w:pPr>
      <w:r w:rsidRPr="00D75194">
        <w:rPr>
          <w:rFonts w:cs="Segoe UI"/>
          <w:b/>
        </w:rPr>
        <w:t>#</w:t>
      </w:r>
      <w:r w:rsidRPr="00D75194" w:rsidR="00582DE2">
        <w:rPr>
          <w:rFonts w:cs="Segoe UI"/>
          <w:b/>
        </w:rPr>
        <w:t>3</w:t>
      </w:r>
      <w:r w:rsidRPr="00D75194">
        <w:rPr>
          <w:rFonts w:cs="Segoe UI"/>
          <w:b/>
          <w:bCs/>
        </w:rPr>
        <w:t>:</w:t>
      </w:r>
      <w:r w:rsidRPr="00D75194" w:rsidR="00582DE2">
        <w:rPr>
          <w:rFonts w:cs="Segoe UI"/>
          <w:b/>
        </w:rPr>
        <w:t xml:space="preserve"> </w:t>
      </w:r>
      <w:r w:rsidRPr="00D75194" w:rsidR="00A16349">
        <w:rPr>
          <w:rFonts w:cs="Segoe UI"/>
          <w:b/>
        </w:rPr>
        <w:t>In the case of CIES</w:t>
      </w:r>
      <w:r w:rsidRPr="00D75194" w:rsidR="3E6AFB6D">
        <w:rPr>
          <w:rFonts w:cs="Segoe UI"/>
          <w:b/>
        </w:rPr>
        <w:t>,</w:t>
      </w:r>
      <w:r w:rsidRPr="00D75194" w:rsidR="00A16349">
        <w:rPr>
          <w:rFonts w:cs="Segoe UI"/>
          <w:b/>
        </w:rPr>
        <w:t xml:space="preserve"> support </w:t>
      </w:r>
      <w:r w:rsidRPr="00D75194" w:rsidR="00807824">
        <w:rPr>
          <w:rFonts w:cs="Segoe UI"/>
          <w:b/>
        </w:rPr>
        <w:t xml:space="preserve">has been </w:t>
      </w:r>
      <w:r w:rsidRPr="00D75194" w:rsidR="00A16349">
        <w:rPr>
          <w:rFonts w:cs="Segoe UI"/>
          <w:b/>
        </w:rPr>
        <w:t>provided to capacitate a cohort of climate-aware expertise across AILAC countries</w:t>
      </w:r>
      <w:r w:rsidRPr="00D75194" w:rsidR="00A16349">
        <w:rPr>
          <w:rFonts w:cs="Segoe UI"/>
        </w:rPr>
        <w:t>. While there is insufficient evidence to support a contribution judg</w:t>
      </w:r>
      <w:r w:rsidRPr="00D75194" w:rsidR="00807824">
        <w:rPr>
          <w:rFonts w:cs="Segoe UI"/>
        </w:rPr>
        <w:t>e</w:t>
      </w:r>
      <w:r w:rsidRPr="00D75194" w:rsidR="00A16349">
        <w:rPr>
          <w:rFonts w:cs="Segoe UI"/>
        </w:rPr>
        <w:t>ment</w:t>
      </w:r>
      <w:r w:rsidRPr="00D75194" w:rsidR="00807824">
        <w:rPr>
          <w:rFonts w:cs="Segoe UI"/>
        </w:rPr>
        <w:t>,</w:t>
      </w:r>
      <w:r w:rsidRPr="00D75194" w:rsidR="00A16349">
        <w:rPr>
          <w:vertAlign w:val="superscript"/>
        </w:rPr>
        <w:footnoteReference w:id="17"/>
      </w:r>
      <w:r w:rsidRPr="00D75194" w:rsidR="00A16349">
        <w:rPr>
          <w:rFonts w:cs="Segoe UI"/>
        </w:rPr>
        <w:t xml:space="preserve"> CIES has supported capacity building of junior/younger delegates from Costa Rica to build </w:t>
      </w:r>
      <w:r w:rsidRPr="00D75194" w:rsidR="00807824">
        <w:rPr>
          <w:rFonts w:cs="Segoe UI"/>
        </w:rPr>
        <w:t>‘</w:t>
      </w:r>
      <w:r w:rsidRPr="00D75194" w:rsidR="00A16349">
        <w:rPr>
          <w:rFonts w:cs="Segoe UI"/>
        </w:rPr>
        <w:t>permanent capacity</w:t>
      </w:r>
      <w:r w:rsidRPr="00D75194" w:rsidR="00807824">
        <w:rPr>
          <w:rFonts w:cs="Segoe UI"/>
        </w:rPr>
        <w:t>’</w:t>
      </w:r>
      <w:r w:rsidRPr="00D75194" w:rsidR="00A16349">
        <w:rPr>
          <w:rFonts w:cs="Segoe UI"/>
        </w:rPr>
        <w:t xml:space="preserve"> at the Ministry of Environment. One directly supported negotiator was reported to have taken a high</w:t>
      </w:r>
      <w:r w:rsidRPr="00D75194" w:rsidR="091D7063">
        <w:rPr>
          <w:rFonts w:cs="Segoe UI"/>
        </w:rPr>
        <w:t>-</w:t>
      </w:r>
      <w:r w:rsidRPr="00D75194" w:rsidR="00A16349">
        <w:rPr>
          <w:rFonts w:cs="Segoe UI"/>
        </w:rPr>
        <w:t>profile position on the UN</w:t>
      </w:r>
      <w:r w:rsidRPr="00D75194" w:rsidR="00E77F28">
        <w:rPr>
          <w:rFonts w:cs="Segoe UI"/>
        </w:rPr>
        <w:t>F</w:t>
      </w:r>
      <w:r w:rsidRPr="00D75194" w:rsidR="00A16349">
        <w:rPr>
          <w:rFonts w:cs="Segoe UI"/>
        </w:rPr>
        <w:t xml:space="preserve">CCC Bureau (Board) through the support provided by CASA. </w:t>
      </w:r>
    </w:p>
    <w:p w:rsidRPr="00D75194" w:rsidR="00A16349" w:rsidP="00F46317" w:rsidRDefault="005025FC" w14:paraId="17610F1E" w14:textId="70B26F56">
      <w:pPr>
        <w:pStyle w:val="Heading3"/>
      </w:pPr>
      <w:r>
        <w:t>O</w:t>
      </w:r>
      <w:r w:rsidR="00565048">
        <w:t xml:space="preserve">pportunity </w:t>
      </w:r>
      <w:r>
        <w:t>F</w:t>
      </w:r>
      <w:r w:rsidR="00565048">
        <w:t>und</w:t>
      </w:r>
    </w:p>
    <w:p w:rsidRPr="00D75194" w:rsidR="005D2EDE" w:rsidP="00A16349" w:rsidRDefault="005D2EDE" w14:paraId="4D4BEACC" w14:textId="41BA8B30">
      <w:pPr>
        <w:rPr>
          <w:rFonts w:cs="Segoe UI"/>
        </w:rPr>
      </w:pPr>
      <w:r w:rsidRPr="00D75194">
        <w:rPr>
          <w:rFonts w:cs="Segoe UI"/>
        </w:rPr>
        <w:t>Finally</w:t>
      </w:r>
      <w:r w:rsidRPr="00D75194" w:rsidR="00422B87">
        <w:rPr>
          <w:rFonts w:cs="Segoe UI"/>
        </w:rPr>
        <w:t>,</w:t>
      </w:r>
      <w:r w:rsidRPr="00D75194">
        <w:rPr>
          <w:rFonts w:cs="Segoe UI"/>
        </w:rPr>
        <w:t xml:space="preserve"> the </w:t>
      </w:r>
      <w:r w:rsidRPr="3388DF63" w:rsidR="00D279DB">
        <w:rPr>
          <w:rFonts w:cs="Segoe UI"/>
        </w:rPr>
        <w:t>OF</w:t>
      </w:r>
      <w:r w:rsidRPr="00D75194" w:rsidR="000244B7">
        <w:rPr>
          <w:rFonts w:cs="Segoe UI"/>
        </w:rPr>
        <w:t xml:space="preserve"> is analysed</w:t>
      </w:r>
      <w:r w:rsidRPr="00D75194" w:rsidR="00D30DB3">
        <w:rPr>
          <w:rFonts w:cs="Segoe UI"/>
        </w:rPr>
        <w:t>,</w:t>
      </w:r>
      <w:r w:rsidRPr="00D75194" w:rsidR="000244B7">
        <w:rPr>
          <w:rFonts w:cs="Segoe UI"/>
        </w:rPr>
        <w:t xml:space="preserve"> to consider its contribution to CASA II’s effectiveness. </w:t>
      </w:r>
    </w:p>
    <w:p w:rsidRPr="00D75194" w:rsidR="009D79BF" w:rsidP="00A16349" w:rsidRDefault="33CC5689" w14:paraId="79BADCBD" w14:textId="7C5629D1">
      <w:pPr>
        <w:rPr>
          <w:rFonts w:cs="Segoe UI"/>
        </w:rPr>
      </w:pPr>
      <w:r w:rsidRPr="00D75194">
        <w:rPr>
          <w:rFonts w:cs="Segoe UI"/>
          <w:b/>
          <w:bCs/>
        </w:rPr>
        <w:t xml:space="preserve">#1: </w:t>
      </w:r>
      <w:r w:rsidRPr="00D75194" w:rsidR="00A16349">
        <w:rPr>
          <w:rFonts w:cs="Segoe UI"/>
          <w:b/>
          <w:bCs/>
        </w:rPr>
        <w:t xml:space="preserve">The </w:t>
      </w:r>
      <w:r w:rsidRPr="00D75194" w:rsidR="00E60549">
        <w:rPr>
          <w:rFonts w:cs="Segoe UI"/>
          <w:b/>
          <w:bCs/>
        </w:rPr>
        <w:t>OF</w:t>
      </w:r>
      <w:r w:rsidRPr="00D75194" w:rsidR="00A16349">
        <w:rPr>
          <w:rFonts w:cs="Segoe UI"/>
          <w:b/>
          <w:bCs/>
        </w:rPr>
        <w:t xml:space="preserve"> has enabled an expansion of </w:t>
      </w:r>
      <w:r w:rsidRPr="3388DF63" w:rsidR="1983CF9F">
        <w:rPr>
          <w:rFonts w:cs="Segoe UI"/>
          <w:b/>
          <w:bCs/>
        </w:rPr>
        <w:t xml:space="preserve">CASA II’s </w:t>
      </w:r>
      <w:r w:rsidRPr="00D75194" w:rsidR="00A16349">
        <w:rPr>
          <w:rFonts w:cs="Segoe UI"/>
          <w:b/>
          <w:bCs/>
        </w:rPr>
        <w:t>scope</w:t>
      </w:r>
      <w:r w:rsidRPr="3388DF63" w:rsidR="30DE5B29">
        <w:rPr>
          <w:rFonts w:cs="Segoe UI"/>
          <w:b/>
          <w:bCs/>
        </w:rPr>
        <w:t>,</w:t>
      </w:r>
      <w:r w:rsidRPr="00D75194" w:rsidR="00A16349">
        <w:rPr>
          <w:rFonts w:cs="Segoe UI"/>
          <w:b/>
          <w:bCs/>
        </w:rPr>
        <w:t xml:space="preserve"> in terms of services provided, but also in terms of the inclusion of new TPs. The OF grantees for CASA II have introduced new ways of addressing issues. </w:t>
      </w:r>
      <w:r w:rsidRPr="3388DF63" w:rsidR="0E9A9F2D">
        <w:rPr>
          <w:rFonts w:cs="Segoe UI"/>
          <w:b/>
          <w:bCs/>
        </w:rPr>
        <w:t>One</w:t>
      </w:r>
      <w:r w:rsidRPr="00D75194" w:rsidR="00A16349">
        <w:rPr>
          <w:rFonts w:cs="Segoe UI"/>
          <w:b/>
          <w:bCs/>
        </w:rPr>
        <w:t xml:space="preserve"> example</w:t>
      </w:r>
      <w:r w:rsidRPr="3388DF63" w:rsidR="433F84A1">
        <w:rPr>
          <w:rFonts w:cs="Segoe UI"/>
          <w:b/>
          <w:bCs/>
        </w:rPr>
        <w:t xml:space="preserve"> is the model of</w:t>
      </w:r>
      <w:r w:rsidRPr="00D75194" w:rsidR="00A16349">
        <w:rPr>
          <w:rFonts w:cs="Segoe UI"/>
          <w:b/>
          <w:bCs/>
        </w:rPr>
        <w:t xml:space="preserve"> the NGP negotiating group</w:t>
      </w:r>
      <w:r w:rsidRPr="3388DF63" w:rsidR="755E5319">
        <w:rPr>
          <w:rFonts w:cs="Segoe UI"/>
          <w:b/>
          <w:bCs/>
        </w:rPr>
        <w:t xml:space="preserve"> </w:t>
      </w:r>
      <w:r w:rsidRPr="3388DF63" w:rsidR="00A16349">
        <w:rPr>
          <w:rFonts w:cs="Segoe UI"/>
          <w:b/>
          <w:bCs/>
        </w:rPr>
        <w:t>nominat</w:t>
      </w:r>
      <w:r w:rsidRPr="3388DF63" w:rsidR="34322753">
        <w:rPr>
          <w:rFonts w:cs="Segoe UI"/>
          <w:b/>
          <w:bCs/>
        </w:rPr>
        <w:t xml:space="preserve">ing </w:t>
      </w:r>
      <w:r w:rsidRPr="3388DF63" w:rsidR="45EDB303">
        <w:rPr>
          <w:rFonts w:cs="Segoe UI"/>
          <w:b/>
          <w:bCs/>
        </w:rPr>
        <w:t>a</w:t>
      </w:r>
      <w:r w:rsidRPr="00D75194" w:rsidR="00A16349">
        <w:rPr>
          <w:rFonts w:cs="Segoe UI"/>
          <w:b/>
          <w:bCs/>
        </w:rPr>
        <w:t xml:space="preserve"> youth fellow</w:t>
      </w:r>
      <w:r w:rsidRPr="3388DF63" w:rsidR="7991341C">
        <w:rPr>
          <w:rFonts w:cs="Segoe UI"/>
          <w:b/>
          <w:bCs/>
        </w:rPr>
        <w:t xml:space="preserve">. Another example is the OF’s strengthening of the </w:t>
      </w:r>
      <w:r w:rsidRPr="00D75194" w:rsidR="00A16349">
        <w:rPr>
          <w:rFonts w:cs="Segoe UI"/>
          <w:b/>
          <w:bCs/>
        </w:rPr>
        <w:t xml:space="preserve">capabilities and leadership of </w:t>
      </w:r>
      <w:r w:rsidRPr="00D75194" w:rsidR="00EA1E52">
        <w:rPr>
          <w:rFonts w:cs="Segoe UI"/>
          <w:b/>
          <w:bCs/>
        </w:rPr>
        <w:t xml:space="preserve">Nepali </w:t>
      </w:r>
      <w:r w:rsidRPr="00D75194" w:rsidR="00365CAC">
        <w:rPr>
          <w:rFonts w:cs="Segoe UI"/>
          <w:b/>
          <w:bCs/>
        </w:rPr>
        <w:t xml:space="preserve">government </w:t>
      </w:r>
      <w:r w:rsidRPr="00D75194" w:rsidR="00EA1E52">
        <w:rPr>
          <w:rFonts w:cs="Segoe UI"/>
          <w:b/>
          <w:bCs/>
        </w:rPr>
        <w:t>stakeholders to address key climate change issues.</w:t>
      </w:r>
      <w:r w:rsidRPr="00D75194" w:rsidR="005D2EDE">
        <w:t xml:space="preserve"> </w:t>
      </w:r>
      <w:r w:rsidRPr="00D75194" w:rsidR="00A16349">
        <w:rPr>
          <w:rFonts w:cs="Segoe UI"/>
        </w:rPr>
        <w:t>The CASA-funded third cohort of the NGP marked a shift from an open-call youth fellowship to a negotiating group</w:t>
      </w:r>
      <w:r w:rsidRPr="3388DF63" w:rsidR="00B76B65">
        <w:rPr>
          <w:rFonts w:cs="Segoe UI"/>
        </w:rPr>
        <w:t>-</w:t>
      </w:r>
      <w:r w:rsidRPr="00D75194" w:rsidR="00A16349">
        <w:rPr>
          <w:rFonts w:cs="Segoe UI"/>
        </w:rPr>
        <w:t xml:space="preserve">nominated model, embedding young negotiators directly within party delegations. This evolution ensured stronger alignment between fellows and national priorities and resulted in all participants being accredited as official delegates at COP29. Alumni from previous cohorts returned as mentors and programme leads, establishing a self-reinforcing model of peer-led training and continuity. </w:t>
      </w:r>
    </w:p>
    <w:p w:rsidRPr="00D75194" w:rsidR="009E0EE7" w:rsidP="003542B0" w:rsidRDefault="7CA3FE93" w14:paraId="49AF410A" w14:textId="0DC9CAB5">
      <w:pPr>
        <w:rPr>
          <w:rFonts w:cs="Segoe UI"/>
        </w:rPr>
      </w:pPr>
      <w:r w:rsidRPr="00D75194">
        <w:rPr>
          <w:rFonts w:cs="Segoe UI"/>
          <w:b/>
          <w:bCs/>
        </w:rPr>
        <w:t xml:space="preserve">#2: </w:t>
      </w:r>
      <w:r w:rsidRPr="00D75194" w:rsidR="00A16349">
        <w:rPr>
          <w:rFonts w:cs="Segoe UI"/>
          <w:b/>
        </w:rPr>
        <w:t>NGP now functions less as a standalone initiative and more as a structured pathway</w:t>
      </w:r>
      <w:r w:rsidRPr="00D75194" w:rsidR="00A16349">
        <w:rPr>
          <w:rFonts w:cs="Segoe UI"/>
        </w:rPr>
        <w:t xml:space="preserve"> into formal negotiating roles</w:t>
      </w:r>
      <w:r w:rsidRPr="3388DF63" w:rsidR="00A16349">
        <w:rPr>
          <w:rFonts w:cs="Segoe UI"/>
        </w:rPr>
        <w:t>—</w:t>
      </w:r>
      <w:r w:rsidRPr="00D75194" w:rsidR="00A16349">
        <w:rPr>
          <w:rFonts w:cs="Segoe UI"/>
        </w:rPr>
        <w:t xml:space="preserve">particularly within the LDC Group. </w:t>
      </w:r>
      <w:r w:rsidRPr="00D75194" w:rsidR="00C827EF">
        <w:rPr>
          <w:rFonts w:cs="Segoe UI"/>
        </w:rPr>
        <w:t xml:space="preserve">Evidence </w:t>
      </w:r>
      <w:r w:rsidRPr="00D75194" w:rsidR="00ED0B7C">
        <w:rPr>
          <w:rFonts w:cs="Segoe UI"/>
        </w:rPr>
        <w:t>across stakeholder</w:t>
      </w:r>
      <w:r w:rsidRPr="00D75194" w:rsidR="006D09C3">
        <w:rPr>
          <w:rFonts w:cs="Segoe UI"/>
        </w:rPr>
        <w:t xml:space="preserve"> groups </w:t>
      </w:r>
      <w:r w:rsidRPr="00D75194" w:rsidR="00C827EF">
        <w:rPr>
          <w:rFonts w:cs="Segoe UI"/>
        </w:rPr>
        <w:t>was highl</w:t>
      </w:r>
      <w:r w:rsidRPr="00D75194" w:rsidR="00ED0B7C">
        <w:rPr>
          <w:rFonts w:cs="Segoe UI"/>
        </w:rPr>
        <w:t>y consistent</w:t>
      </w:r>
      <w:r w:rsidRPr="00D75194" w:rsidR="00F254AC">
        <w:rPr>
          <w:rFonts w:cs="Segoe UI"/>
        </w:rPr>
        <w:t xml:space="preserve"> on the fact that</w:t>
      </w:r>
      <w:r w:rsidRPr="00D75194" w:rsidR="00ED0B7C">
        <w:rPr>
          <w:rFonts w:cs="Segoe UI"/>
        </w:rPr>
        <w:t xml:space="preserve"> </w:t>
      </w:r>
      <w:r w:rsidRPr="00D75194" w:rsidR="00A16349">
        <w:rPr>
          <w:rFonts w:cs="Segoe UI"/>
        </w:rPr>
        <w:t>CASA II funding was critical to enabling this shift, supporting core staffing and wider thematic engagement. As a result, the NGP has matured into a recognised pipeline of young leaders who continue to shape climate diplomacy well beyond their initial fellowship.</w:t>
      </w:r>
      <w:r w:rsidRPr="00D75194" w:rsidR="00C827EF">
        <w:rPr>
          <w:rFonts w:cs="Segoe UI"/>
        </w:rPr>
        <w:t xml:space="preserve"> </w:t>
      </w:r>
      <w:r w:rsidRPr="00D75194" w:rsidR="00A16349">
        <w:rPr>
          <w:rFonts w:cs="Segoe UI"/>
        </w:rPr>
        <w:t>A wide set of reinforcing factors shaped the outcomes of the third cohort of the NGP</w:t>
      </w:r>
      <w:r w:rsidRPr="3388DF63" w:rsidR="00A16349">
        <w:rPr>
          <w:rFonts w:cs="Segoe UI"/>
        </w:rPr>
        <w:t>—</w:t>
      </w:r>
      <w:r w:rsidRPr="00D75194" w:rsidR="00A16349">
        <w:rPr>
          <w:rFonts w:cs="Segoe UI"/>
        </w:rPr>
        <w:t xml:space="preserve">many </w:t>
      </w:r>
      <w:r w:rsidRPr="00D75194" w:rsidR="17C00A1A">
        <w:rPr>
          <w:rFonts w:cs="Segoe UI"/>
        </w:rPr>
        <w:t xml:space="preserve">of </w:t>
      </w:r>
      <w:r w:rsidRPr="00D75194" w:rsidR="00F254AC">
        <w:rPr>
          <w:rFonts w:cs="Segoe UI"/>
        </w:rPr>
        <w:t xml:space="preserve">whom </w:t>
      </w:r>
      <w:r w:rsidRPr="00D75194" w:rsidR="00A16349">
        <w:rPr>
          <w:rFonts w:cs="Segoe UI"/>
        </w:rPr>
        <w:t xml:space="preserve">were supported, directly or indirectly, by CASA. Overall, we see that CASA’s </w:t>
      </w:r>
      <w:r w:rsidRPr="00D75194" w:rsidR="00A16349">
        <w:rPr>
          <w:rFonts w:cs="Segoe UI"/>
        </w:rPr>
        <w:t>support came in at a strategic point</w:t>
      </w:r>
      <w:r w:rsidRPr="00D75194" w:rsidR="003542B0">
        <w:rPr>
          <w:rFonts w:cs="Segoe UI"/>
        </w:rPr>
        <w:t>—</w:t>
      </w:r>
      <w:r w:rsidRPr="00D75194" w:rsidR="00A16349">
        <w:rPr>
          <w:rFonts w:cs="Segoe UI"/>
        </w:rPr>
        <w:t xml:space="preserve">for both CLI and </w:t>
      </w:r>
      <w:r w:rsidRPr="00D75194" w:rsidR="003542B0">
        <w:rPr>
          <w:rFonts w:cs="Segoe UI"/>
        </w:rPr>
        <w:t xml:space="preserve">the </w:t>
      </w:r>
      <w:r w:rsidRPr="00D75194" w:rsidR="0039118D">
        <w:rPr>
          <w:rFonts w:cs="Segoe UI"/>
        </w:rPr>
        <w:t>NGP</w:t>
      </w:r>
      <w:r w:rsidRPr="00D75194" w:rsidR="003542B0">
        <w:rPr>
          <w:rFonts w:cs="Segoe UI"/>
        </w:rPr>
        <w:t>—</w:t>
      </w:r>
      <w:r w:rsidRPr="00D75194" w:rsidR="00A16349">
        <w:rPr>
          <w:rFonts w:cs="Segoe UI"/>
        </w:rPr>
        <w:t>but that the NGP’s credibility, and overall stock of assets, had been built during the previous cohorts.</w:t>
      </w:r>
    </w:p>
    <w:p w:rsidRPr="00D75194" w:rsidR="000F6109" w:rsidP="00A16349" w:rsidRDefault="4021C483" w14:paraId="48432008" w14:textId="19B54666">
      <w:pPr>
        <w:rPr>
          <w:rFonts w:cs="Segoe UI"/>
        </w:rPr>
      </w:pPr>
      <w:r w:rsidRPr="00D75194">
        <w:rPr>
          <w:rFonts w:cs="Segoe UI"/>
          <w:b/>
          <w:bCs/>
        </w:rPr>
        <w:t xml:space="preserve">#3: </w:t>
      </w:r>
      <w:r w:rsidRPr="00D75194" w:rsidR="00A16349">
        <w:rPr>
          <w:rFonts w:cs="Segoe UI"/>
          <w:b/>
        </w:rPr>
        <w:t xml:space="preserve">The LEP team are also more confident than not that CASA II support through </w:t>
      </w:r>
      <w:r w:rsidRPr="00D75194" w:rsidR="00E60549">
        <w:rPr>
          <w:rFonts w:cs="Segoe UI"/>
          <w:b/>
        </w:rPr>
        <w:t>OF</w:t>
      </w:r>
      <w:r w:rsidRPr="00D75194" w:rsidR="00A16349">
        <w:rPr>
          <w:rFonts w:cs="Segoe UI"/>
          <w:b/>
        </w:rPr>
        <w:t xml:space="preserve"> grantees in Nepal </w:t>
      </w:r>
      <w:proofErr w:type="gramStart"/>
      <w:r w:rsidRPr="00D75194" w:rsidR="00A16349">
        <w:rPr>
          <w:rFonts w:cs="Segoe UI"/>
          <w:b/>
        </w:rPr>
        <w:t>made a contribution</w:t>
      </w:r>
      <w:proofErr w:type="gramEnd"/>
      <w:r w:rsidRPr="00D75194" w:rsidR="00A16349">
        <w:rPr>
          <w:rFonts w:cs="Segoe UI"/>
          <w:b/>
        </w:rPr>
        <w:t>, alongside other factors, to strengthening government and stakeholders’ influence and engagement in UNFCCC</w:t>
      </w:r>
      <w:r w:rsidRPr="00D75194" w:rsidR="009E0EE7">
        <w:rPr>
          <w:rFonts w:cs="Segoe UI"/>
        </w:rPr>
        <w:t xml:space="preserve"> and</w:t>
      </w:r>
      <w:r w:rsidRPr="00D75194" w:rsidR="00A16349">
        <w:rPr>
          <w:rFonts w:cs="Segoe UI"/>
        </w:rPr>
        <w:t xml:space="preserve"> further enabled the country to take transformative actions to confront climate change both domestically and abroad. CASA support between late 2023 and May 2025 through </w:t>
      </w:r>
      <w:r w:rsidRPr="00D75194" w:rsidR="00D1578C">
        <w:rPr>
          <w:rFonts w:cs="Segoe UI"/>
        </w:rPr>
        <w:t xml:space="preserve">four </w:t>
      </w:r>
      <w:r w:rsidRPr="00D75194" w:rsidR="00A16349">
        <w:rPr>
          <w:rFonts w:cs="Segoe UI"/>
        </w:rPr>
        <w:t>OF grants has strengthened</w:t>
      </w:r>
      <w:r w:rsidRPr="00D75194" w:rsidR="00656B1F">
        <w:rPr>
          <w:rFonts w:cs="Segoe UI"/>
        </w:rPr>
        <w:t xml:space="preserve"> Nepal’s</w:t>
      </w:r>
      <w:r w:rsidRPr="00D75194" w:rsidR="00A16349">
        <w:rPr>
          <w:rFonts w:cs="Segoe UI"/>
        </w:rPr>
        <w:t xml:space="preserve"> capabilities and leadership to participate in the UNFCCC process</w:t>
      </w:r>
      <w:r w:rsidRPr="00D75194" w:rsidR="00EB302B">
        <w:rPr>
          <w:rFonts w:cs="Segoe UI"/>
        </w:rPr>
        <w:t>. This occurred</w:t>
      </w:r>
      <w:r w:rsidRPr="00D75194" w:rsidR="00A16349">
        <w:rPr>
          <w:rFonts w:cs="Segoe UI"/>
        </w:rPr>
        <w:t xml:space="preserve"> through training</w:t>
      </w:r>
      <w:r w:rsidRPr="00D75194" w:rsidDel="00397D7D" w:rsidR="00A16349">
        <w:rPr>
          <w:rFonts w:cs="Segoe UI"/>
        </w:rPr>
        <w:t xml:space="preserve"> </w:t>
      </w:r>
      <w:r w:rsidRPr="00D75194" w:rsidR="00A16349">
        <w:rPr>
          <w:rFonts w:cs="Segoe UI"/>
        </w:rPr>
        <w:t>stakeholders in negotiations (including youth</w:t>
      </w:r>
      <w:r w:rsidRPr="3388DF63" w:rsidR="00A16349">
        <w:rPr>
          <w:rFonts w:cs="Segoe UI"/>
        </w:rPr>
        <w:t>/</w:t>
      </w:r>
      <w:r w:rsidRPr="00D75194" w:rsidR="00A16349">
        <w:rPr>
          <w:rFonts w:cs="Segoe UI"/>
        </w:rPr>
        <w:t>junior delegates)</w:t>
      </w:r>
      <w:r w:rsidRPr="00D75194" w:rsidR="090A4D60">
        <w:rPr>
          <w:rFonts w:cs="Segoe UI"/>
        </w:rPr>
        <w:t>,</w:t>
      </w:r>
      <w:r w:rsidRPr="00D75194" w:rsidR="00A16349">
        <w:rPr>
          <w:rFonts w:cs="Segoe UI"/>
        </w:rPr>
        <w:t xml:space="preserve"> </w:t>
      </w:r>
      <w:r w:rsidRPr="3388DF63" w:rsidR="009E3EE3">
        <w:rPr>
          <w:rFonts w:cs="Segoe UI"/>
        </w:rPr>
        <w:t>facilitating</w:t>
      </w:r>
      <w:r w:rsidRPr="00D75194" w:rsidR="00A16349">
        <w:rPr>
          <w:rFonts w:cs="Segoe UI"/>
        </w:rPr>
        <w:t xml:space="preserve"> high-level dialogues for the Mountainous Ranges </w:t>
      </w:r>
      <w:r w:rsidRPr="3388DF63" w:rsidR="00E44CA2">
        <w:rPr>
          <w:rFonts w:cs="Segoe UI"/>
        </w:rPr>
        <w:t>A</w:t>
      </w:r>
      <w:r w:rsidRPr="3388DF63" w:rsidR="00A16349">
        <w:rPr>
          <w:rFonts w:cs="Segoe UI"/>
        </w:rPr>
        <w:t>genda</w:t>
      </w:r>
      <w:r w:rsidRPr="00D75194" w:rsidR="00F82072">
        <w:rPr>
          <w:rFonts w:cs="Segoe UI"/>
        </w:rPr>
        <w:t xml:space="preserve"> setting</w:t>
      </w:r>
      <w:r w:rsidRPr="00D75194" w:rsidR="00A16349">
        <w:rPr>
          <w:rFonts w:cs="Segoe UI"/>
        </w:rPr>
        <w:t xml:space="preserve">, and </w:t>
      </w:r>
      <w:r w:rsidRPr="00D75194" w:rsidR="00EB302B">
        <w:rPr>
          <w:rFonts w:cs="Segoe UI"/>
        </w:rPr>
        <w:t xml:space="preserve">ensuring </w:t>
      </w:r>
      <w:r w:rsidRPr="00D75194" w:rsidR="5D1A5A68">
        <w:rPr>
          <w:rFonts w:cs="Segoe UI"/>
        </w:rPr>
        <w:t xml:space="preserve">the </w:t>
      </w:r>
      <w:r w:rsidRPr="00D75194" w:rsidR="00A16349">
        <w:rPr>
          <w:rFonts w:cs="Segoe UI"/>
        </w:rPr>
        <w:t xml:space="preserve">inclusive presence of diverse </w:t>
      </w:r>
      <w:r w:rsidRPr="3388DF63" w:rsidR="00A16349">
        <w:rPr>
          <w:rFonts w:cs="Segoe UI"/>
        </w:rPr>
        <w:t>stakeholder</w:t>
      </w:r>
      <w:r w:rsidRPr="00D75194" w:rsidR="00A16349">
        <w:rPr>
          <w:rFonts w:cs="Segoe UI"/>
        </w:rPr>
        <w:t xml:space="preserve"> voices at </w:t>
      </w:r>
      <w:r w:rsidRPr="00D75194" w:rsidR="003C0ED5">
        <w:rPr>
          <w:rFonts w:cs="Segoe UI"/>
        </w:rPr>
        <w:t xml:space="preserve">the </w:t>
      </w:r>
      <w:r w:rsidRPr="00D75194" w:rsidR="00A16349">
        <w:rPr>
          <w:rFonts w:cs="Segoe UI"/>
        </w:rPr>
        <w:t>UNFCCC</w:t>
      </w:r>
      <w:r w:rsidRPr="3388DF63" w:rsidR="621B1868">
        <w:rPr>
          <w:rFonts w:cs="Segoe UI"/>
        </w:rPr>
        <w:t>. These activities were carried out by</w:t>
      </w:r>
      <w:r w:rsidRPr="00D75194" w:rsidR="00A16349">
        <w:rPr>
          <w:rFonts w:cs="Segoe UI"/>
        </w:rPr>
        <w:t xml:space="preserve"> the OF grantees </w:t>
      </w:r>
      <w:r w:rsidRPr="3388DF63" w:rsidR="2F1BF062">
        <w:rPr>
          <w:rFonts w:cs="Segoe UI"/>
        </w:rPr>
        <w:t xml:space="preserve">who </w:t>
      </w:r>
      <w:r w:rsidRPr="3388DF63" w:rsidR="1DB442D0">
        <w:rPr>
          <w:rFonts w:cs="Segoe UI"/>
        </w:rPr>
        <w:t>support</w:t>
      </w:r>
      <w:r w:rsidRPr="3388DF63" w:rsidR="757C2759">
        <w:rPr>
          <w:rFonts w:cs="Segoe UI"/>
        </w:rPr>
        <w:t>ed</w:t>
      </w:r>
      <w:r w:rsidR="00822EE6">
        <w:rPr>
          <w:rFonts w:cs="Segoe UI"/>
        </w:rPr>
        <w:t xml:space="preserve"> </w:t>
      </w:r>
      <w:r w:rsidRPr="00D75194" w:rsidR="00A16349">
        <w:rPr>
          <w:rFonts w:cs="Segoe UI"/>
        </w:rPr>
        <w:t>Nepal’s Local Adaptation Plans of Action (LAPA</w:t>
      </w:r>
      <w:r w:rsidRPr="00D75194" w:rsidR="00EB302B">
        <w:rPr>
          <w:rFonts w:cs="Segoe UI"/>
        </w:rPr>
        <w:t>s</w:t>
      </w:r>
      <w:r w:rsidRPr="00D75194" w:rsidR="00A16349">
        <w:rPr>
          <w:rFonts w:cs="Segoe UI"/>
        </w:rPr>
        <w:t xml:space="preserve">) and NDC development and consultations. </w:t>
      </w:r>
    </w:p>
    <w:p w:rsidRPr="00D75194" w:rsidR="009E0EE7" w:rsidP="00A16349" w:rsidRDefault="00B476BA" w14:paraId="5115DF7A" w14:textId="3E0C1F61">
      <w:pPr>
        <w:rPr>
          <w:rStyle w:val="normaltextrun"/>
          <w:rFonts w:eastAsia="Segoe UI" w:cs="Segoe UI"/>
          <w:b/>
          <w:color w:val="000000"/>
        </w:rPr>
      </w:pPr>
      <w:r w:rsidRPr="00D75194">
        <w:rPr>
          <w:rStyle w:val="normaltextrun"/>
          <w:rFonts w:eastAsia="Segoe UI" w:cs="Segoe UI"/>
          <w:b/>
          <w:bCs/>
          <w:color w:val="000000"/>
        </w:rPr>
        <w:t xml:space="preserve">EQ </w:t>
      </w:r>
      <w:r w:rsidRPr="00D75194" w:rsidR="00A16349">
        <w:rPr>
          <w:rStyle w:val="normaltextrun"/>
          <w:rFonts w:eastAsia="Segoe UI" w:cs="Segoe UI"/>
          <w:b/>
          <w:bCs/>
          <w:color w:val="000000"/>
        </w:rPr>
        <w:t>4.1</w:t>
      </w:r>
      <w:r w:rsidRPr="00D75194">
        <w:rPr>
          <w:rStyle w:val="normaltextrun"/>
          <w:rFonts w:eastAsia="Segoe UI" w:cs="Segoe UI"/>
          <w:b/>
          <w:bCs/>
          <w:color w:val="000000"/>
        </w:rPr>
        <w:t>:</w:t>
      </w:r>
      <w:r w:rsidRPr="00D75194" w:rsidR="00A16349">
        <w:rPr>
          <w:rStyle w:val="normaltextrun"/>
          <w:rFonts w:eastAsia="Segoe UI" w:cs="Segoe UI"/>
          <w:b/>
          <w:bCs/>
          <w:color w:val="000000"/>
        </w:rPr>
        <w:t xml:space="preserve"> What progress has been made against CASA II logframe outputs and outcomes across both individual negotiator and institutional capacity support?</w:t>
      </w:r>
      <w:r w:rsidRPr="00D75194" w:rsidR="006B601D">
        <w:rPr>
          <w:rStyle w:val="normaltextrun"/>
          <w:rFonts w:eastAsia="Segoe UI" w:cs="Segoe UI"/>
          <w:b/>
          <w:bCs/>
          <w:color w:val="000000"/>
        </w:rPr>
        <w:t xml:space="preserve"> </w:t>
      </w:r>
    </w:p>
    <w:p w:rsidRPr="00D75194" w:rsidR="00C5641B" w:rsidP="00A16349" w:rsidRDefault="00A16349" w14:paraId="6878B5D3" w14:textId="1573B804">
      <w:pPr>
        <w:rPr>
          <w:rStyle w:val="normaltextrun"/>
          <w:rFonts w:eastAsia="Segoe UI" w:cs="Segoe UI"/>
          <w:color w:val="000000"/>
        </w:rPr>
      </w:pPr>
      <w:r w:rsidRPr="00D75194">
        <w:rPr>
          <w:rStyle w:val="normaltextrun"/>
          <w:rFonts w:eastAsia="Segoe UI" w:cs="Segoe UI"/>
          <w:color w:val="000000"/>
        </w:rPr>
        <w:t xml:space="preserve">The overwhelming strength of CASA II’s logframe performance across both individual negotiator and organisational capacity validates the effectiveness of CASA II. Below are more details </w:t>
      </w:r>
      <w:r w:rsidRPr="00D75194" w:rsidR="00884B97">
        <w:rPr>
          <w:rStyle w:val="normaltextrun"/>
          <w:rFonts w:eastAsia="Segoe UI" w:cs="Segoe UI"/>
          <w:color w:val="000000"/>
        </w:rPr>
        <w:t xml:space="preserve">on </w:t>
      </w:r>
      <w:r w:rsidRPr="00D75194">
        <w:rPr>
          <w:rStyle w:val="normaltextrun"/>
          <w:rFonts w:eastAsia="Segoe UI" w:cs="Segoe UI"/>
          <w:color w:val="000000"/>
        </w:rPr>
        <w:t xml:space="preserve">the types of changes reported in the logframe. </w:t>
      </w:r>
    </w:p>
    <w:p w:rsidRPr="00D75194" w:rsidR="00C5641B" w:rsidP="00116AB2" w:rsidRDefault="00A16349" w14:paraId="45C5BC90" w14:textId="5E0581A6">
      <w:pPr>
        <w:pStyle w:val="Heading3"/>
      </w:pPr>
      <w:bookmarkStart w:name="_Toc204259832" w:id="87"/>
      <w:r w:rsidRPr="00D75194">
        <w:rPr>
          <w:rStyle w:val="normaltextrun"/>
          <w:rFonts w:asciiTheme="minorHAnsi" w:hAnsiTheme="minorHAnsi" w:cstheme="majorBidi"/>
        </w:rPr>
        <w:t>Outcome</w:t>
      </w:r>
      <w:r w:rsidRPr="00D75194" w:rsidR="00884B97">
        <w:rPr>
          <w:rStyle w:val="normaltextrun"/>
          <w:rFonts w:asciiTheme="minorHAnsi" w:hAnsiTheme="minorHAnsi" w:cstheme="majorBidi"/>
        </w:rPr>
        <w:t>-</w:t>
      </w:r>
      <w:r w:rsidRPr="00D75194">
        <w:rPr>
          <w:rStyle w:val="normaltextrun"/>
          <w:rFonts w:asciiTheme="minorHAnsi" w:hAnsiTheme="minorHAnsi" w:cstheme="majorBidi"/>
        </w:rPr>
        <w:t>level change</w:t>
      </w:r>
      <w:bookmarkEnd w:id="87"/>
    </w:p>
    <w:p w:rsidRPr="00D75194" w:rsidR="00DA2AAA" w:rsidP="00570A28" w:rsidRDefault="00A16349" w14:paraId="1A095E0F" w14:textId="20147814">
      <w:r w:rsidRPr="00D75194">
        <w:rPr>
          <w:rStyle w:val="normaltextrun"/>
          <w:rFonts w:eastAsia="Segoe UI" w:cs="Segoe UI"/>
          <w:color w:val="000000"/>
        </w:rPr>
        <w:t>CASA II</w:t>
      </w:r>
      <w:r w:rsidRPr="00D75194" w:rsidR="00A96259">
        <w:rPr>
          <w:rStyle w:val="normaltextrun"/>
          <w:rFonts w:eastAsia="Segoe UI" w:cs="Segoe UI"/>
          <w:color w:val="000000"/>
        </w:rPr>
        <w:t xml:space="preserve"> has</w:t>
      </w:r>
      <w:r w:rsidRPr="00D75194">
        <w:rPr>
          <w:rStyle w:val="normaltextrun"/>
          <w:rFonts w:eastAsia="Segoe UI" w:cs="Segoe UI"/>
          <w:color w:val="000000"/>
        </w:rPr>
        <w:t xml:space="preserve"> sustained a very high level of satisfaction (see</w:t>
      </w:r>
      <w:r w:rsidRPr="00D75194" w:rsidR="004C3004">
        <w:rPr>
          <w:rStyle w:val="normaltextrun"/>
          <w:rFonts w:eastAsia="Segoe UI" w:cs="Segoe UI"/>
          <w:color w:val="000000"/>
        </w:rPr>
        <w:t xml:space="preserve"> </w:t>
      </w:r>
      <w:r w:rsidRPr="00D75194" w:rsidR="00884B97">
        <w:rPr>
          <w:rStyle w:val="normaltextrun"/>
          <w:rFonts w:eastAsia="Segoe UI" w:cs="Segoe UI"/>
          <w:color w:val="000000"/>
        </w:rPr>
        <w:t xml:space="preserve">Figure </w:t>
      </w:r>
      <w:r w:rsidRPr="00D75194" w:rsidR="004C3004">
        <w:rPr>
          <w:rStyle w:val="normaltextrun"/>
          <w:rFonts w:eastAsia="Segoe UI" w:cs="Segoe UI"/>
          <w:color w:val="000000"/>
        </w:rPr>
        <w:t>7)</w:t>
      </w:r>
      <w:r w:rsidRPr="00D75194">
        <w:rPr>
          <w:rStyle w:val="normaltextrun"/>
          <w:rFonts w:eastAsia="Segoe UI" w:cs="Segoe UI"/>
          <w:color w:val="000000"/>
        </w:rPr>
        <w:t xml:space="preserve"> </w:t>
      </w:r>
      <w:proofErr w:type="gramStart"/>
      <w:r w:rsidRPr="00D75194">
        <w:rPr>
          <w:rStyle w:val="normaltextrun"/>
          <w:rFonts w:eastAsia="Segoe UI" w:cs="Segoe UI"/>
          <w:color w:val="000000"/>
        </w:rPr>
        <w:t xml:space="preserve">with </w:t>
      </w:r>
      <w:r w:rsidRPr="3388DF63">
        <w:rPr>
          <w:rStyle w:val="normaltextrun"/>
          <w:rFonts w:eastAsia="Segoe UI" w:cs="Segoe UI"/>
          <w:color w:val="000000"/>
        </w:rPr>
        <w:t>regard</w:t>
      </w:r>
      <w:r w:rsidRPr="00D75194">
        <w:rPr>
          <w:rStyle w:val="normaltextrun"/>
          <w:rFonts w:eastAsia="Segoe UI" w:cs="Segoe UI"/>
          <w:color w:val="000000"/>
        </w:rPr>
        <w:t xml:space="preserve"> to</w:t>
      </w:r>
      <w:proofErr w:type="gramEnd"/>
      <w:r w:rsidRPr="00D75194">
        <w:rPr>
          <w:rStyle w:val="normaltextrun"/>
          <w:rFonts w:eastAsia="Segoe UI" w:cs="Segoe UI"/>
          <w:color w:val="000000"/>
        </w:rPr>
        <w:t xml:space="preserve"> </w:t>
      </w:r>
      <w:r w:rsidRPr="00D75194" w:rsidR="00884B97">
        <w:rPr>
          <w:rStyle w:val="normaltextrun"/>
          <w:rFonts w:eastAsia="Segoe UI" w:cs="Segoe UI"/>
          <w:color w:val="000000"/>
        </w:rPr>
        <w:t xml:space="preserve">the </w:t>
      </w:r>
      <w:r w:rsidRPr="00D75194">
        <w:rPr>
          <w:rStyle w:val="normaltextrun"/>
          <w:rFonts w:eastAsia="Segoe UI" w:cs="Segoe UI"/>
          <w:color w:val="000000"/>
        </w:rPr>
        <w:t>support provided</w:t>
      </w:r>
      <w:r w:rsidRPr="00D75194" w:rsidR="09E7B3D0">
        <w:rPr>
          <w:rStyle w:val="normaltextrun"/>
          <w:rFonts w:eastAsia="Segoe UI" w:cs="Segoe UI"/>
          <w:color w:val="000000"/>
        </w:rPr>
        <w:t>, at 90% in 2024 and only a marginal reduction in 2025</w:t>
      </w:r>
      <w:r w:rsidRPr="00D75194" w:rsidR="00EA6957">
        <w:rPr>
          <w:rStyle w:val="normaltextrun"/>
          <w:rFonts w:eastAsia="Segoe UI" w:cs="Segoe UI"/>
          <w:color w:val="000000"/>
        </w:rPr>
        <w:t>—</w:t>
      </w:r>
      <w:r w:rsidRPr="00D75194" w:rsidR="09E7B3D0">
        <w:rPr>
          <w:rStyle w:val="normaltextrun"/>
          <w:rFonts w:eastAsia="Segoe UI" w:cs="Segoe UI"/>
          <w:color w:val="000000"/>
        </w:rPr>
        <w:t>but in each case exceeding the target</w:t>
      </w:r>
      <w:r w:rsidRPr="00D75194">
        <w:rPr>
          <w:rStyle w:val="normaltextrun"/>
          <w:rFonts w:eastAsia="Segoe UI" w:cs="Segoe UI"/>
          <w:color w:val="000000"/>
        </w:rPr>
        <w:t>.</w:t>
      </w:r>
    </w:p>
    <w:p w:rsidRPr="00D75194" w:rsidR="00DA2AAA" w:rsidP="672BED1D" w:rsidRDefault="203D52D6" w14:paraId="3FFA0B41" w14:textId="63B1A4B8">
      <w:pPr>
        <w:rPr>
          <w:rStyle w:val="normaltextrun"/>
          <w:rFonts w:eastAsia="Segoe UI" w:cs="Segoe UI"/>
          <w:color w:val="000000"/>
        </w:rPr>
      </w:pPr>
      <w:r w:rsidRPr="00D75194">
        <w:rPr>
          <w:rStyle w:val="normaltextrun"/>
          <w:rFonts w:eastAsia="Segoe UI" w:cs="Segoe UI"/>
          <w:color w:val="000000"/>
        </w:rPr>
        <w:t>Further, in 2024 CASA II met expectations in terms of level of change</w:t>
      </w:r>
      <w:r w:rsidRPr="00D75194" w:rsidR="00506A15">
        <w:rPr>
          <w:rStyle w:val="normaltextrun"/>
          <w:rFonts w:eastAsia="Segoe UI" w:cs="Segoe UI"/>
          <w:color w:val="000000"/>
        </w:rPr>
        <w:t>,</w:t>
      </w:r>
      <w:r w:rsidRPr="00D75194" w:rsidR="00A16349">
        <w:rPr>
          <w:rStyle w:val="FootnoteReference"/>
          <w:rFonts w:eastAsia="Segoe UI" w:cs="Segoe UI"/>
          <w:color w:val="000000"/>
        </w:rPr>
        <w:footnoteReference w:id="18"/>
      </w:r>
      <w:r w:rsidRPr="00D75194" w:rsidR="00506A15">
        <w:rPr>
          <w:rStyle w:val="normaltextrun"/>
          <w:rFonts w:eastAsia="Segoe UI" w:cs="Segoe UI"/>
          <w:color w:val="000000"/>
        </w:rPr>
        <w:t xml:space="preserve"> and</w:t>
      </w:r>
      <w:r w:rsidRPr="00D75194">
        <w:rPr>
          <w:rStyle w:val="normaltextrun"/>
          <w:rFonts w:eastAsia="Segoe UI" w:cs="Segoe UI"/>
          <w:color w:val="000000"/>
        </w:rPr>
        <w:t xml:space="preserve"> exceeded </w:t>
      </w:r>
      <w:r w:rsidRPr="00D75194" w:rsidR="00E83503">
        <w:rPr>
          <w:rStyle w:val="normaltextrun"/>
          <w:rFonts w:eastAsia="Segoe UI" w:cs="Segoe UI"/>
          <w:color w:val="000000"/>
        </w:rPr>
        <w:t xml:space="preserve">expectations </w:t>
      </w:r>
      <w:r w:rsidRPr="00D75194">
        <w:rPr>
          <w:rStyle w:val="normaltextrun"/>
          <w:rFonts w:eastAsia="Segoe UI" w:cs="Segoe UI"/>
          <w:color w:val="000000"/>
        </w:rPr>
        <w:t>for broader and more difficult</w:t>
      </w:r>
      <w:r w:rsidRPr="00D75194" w:rsidR="001562E3">
        <w:rPr>
          <w:rStyle w:val="normaltextrun"/>
          <w:rFonts w:eastAsia="Segoe UI" w:cs="Segoe UI"/>
          <w:color w:val="000000"/>
        </w:rPr>
        <w:t>-</w:t>
      </w:r>
      <w:r w:rsidRPr="00D75194">
        <w:rPr>
          <w:rStyle w:val="normaltextrun"/>
          <w:rFonts w:eastAsia="Segoe UI" w:cs="Segoe UI"/>
          <w:color w:val="000000"/>
        </w:rPr>
        <w:t>to</w:t>
      </w:r>
      <w:r w:rsidRPr="00D75194" w:rsidR="001562E3">
        <w:rPr>
          <w:rStyle w:val="normaltextrun"/>
          <w:rFonts w:eastAsia="Segoe UI" w:cs="Segoe UI"/>
          <w:color w:val="000000"/>
        </w:rPr>
        <w:t>-</w:t>
      </w:r>
      <w:r w:rsidRPr="00D75194">
        <w:rPr>
          <w:rStyle w:val="normaltextrun"/>
          <w:rFonts w:eastAsia="Segoe UI" w:cs="Segoe UI"/>
          <w:color w:val="000000"/>
        </w:rPr>
        <w:t>achieve change (</w:t>
      </w:r>
      <w:r w:rsidRPr="00D75194" w:rsidR="001562E3">
        <w:rPr>
          <w:rStyle w:val="normaltextrun"/>
          <w:rFonts w:eastAsia="Segoe UI" w:cs="Segoe UI"/>
          <w:color w:val="000000"/>
        </w:rPr>
        <w:t>“</w:t>
      </w:r>
      <w:r w:rsidRPr="00D75194">
        <w:rPr>
          <w:rStyle w:val="normaltextrun"/>
          <w:rFonts w:eastAsia="Segoe UI" w:cs="Segoe UI"/>
          <w:color w:val="000000"/>
        </w:rPr>
        <w:t>like</w:t>
      </w:r>
      <w:r w:rsidRPr="00D75194" w:rsidR="001562E3">
        <w:rPr>
          <w:rStyle w:val="normaltextrun"/>
          <w:rFonts w:eastAsia="Segoe UI" w:cs="Segoe UI"/>
          <w:color w:val="000000"/>
        </w:rPr>
        <w:t xml:space="preserve"> to see”</w:t>
      </w:r>
      <w:r w:rsidRPr="00D75194">
        <w:rPr>
          <w:rStyle w:val="normaltextrun"/>
          <w:rFonts w:eastAsia="Segoe UI" w:cs="Segoe UI"/>
          <w:color w:val="000000"/>
        </w:rPr>
        <w:t xml:space="preserve"> and </w:t>
      </w:r>
      <w:r w:rsidRPr="00D75194" w:rsidR="001562E3">
        <w:rPr>
          <w:rStyle w:val="normaltextrun"/>
          <w:rFonts w:eastAsia="Segoe UI" w:cs="Segoe UI"/>
          <w:color w:val="000000"/>
        </w:rPr>
        <w:t>“</w:t>
      </w:r>
      <w:r w:rsidRPr="00D75194">
        <w:rPr>
          <w:rStyle w:val="normaltextrun"/>
          <w:rFonts w:eastAsia="Segoe UI" w:cs="Segoe UI"/>
          <w:color w:val="000000"/>
        </w:rPr>
        <w:t>love to see</w:t>
      </w:r>
      <w:r w:rsidRPr="00D75194" w:rsidR="001562E3">
        <w:rPr>
          <w:rStyle w:val="normaltextrun"/>
          <w:rFonts w:eastAsia="Segoe UI" w:cs="Segoe UI"/>
          <w:color w:val="000000"/>
        </w:rPr>
        <w:t>”</w:t>
      </w:r>
      <w:r w:rsidRPr="00D75194">
        <w:rPr>
          <w:rStyle w:val="normaltextrun"/>
          <w:rFonts w:eastAsia="Segoe UI" w:cs="Segoe UI"/>
          <w:color w:val="000000"/>
        </w:rPr>
        <w:t xml:space="preserve">). </w:t>
      </w:r>
      <w:r w:rsidRPr="00D75194" w:rsidR="00570A28">
        <w:rPr>
          <w:rStyle w:val="normaltextrun"/>
          <w:rFonts w:eastAsia="Segoe UI" w:cs="Segoe UI"/>
          <w:color w:val="000000"/>
        </w:rPr>
        <w:t xml:space="preserve">This validates the strength of confidence in the contribution ratings and the contributions shared in the preceding section. Interestingly, this </w:t>
      </w:r>
      <w:r w:rsidRPr="00D75194" w:rsidR="00AE6539">
        <w:rPr>
          <w:rStyle w:val="normaltextrun"/>
          <w:rFonts w:eastAsia="Segoe UI" w:cs="Segoe UI"/>
          <w:color w:val="000000"/>
        </w:rPr>
        <w:t xml:space="preserve">was </w:t>
      </w:r>
      <w:r w:rsidRPr="00D75194" w:rsidR="00570A28">
        <w:rPr>
          <w:rStyle w:val="normaltextrun"/>
          <w:rFonts w:eastAsia="Segoe UI" w:cs="Segoe UI"/>
          <w:color w:val="000000"/>
        </w:rPr>
        <w:t>further reinforced in 2025, when CASA II TPs managed to meet the ambitious target of 40% of difficult</w:t>
      </w:r>
      <w:r w:rsidRPr="00D75194" w:rsidR="00F9150E">
        <w:rPr>
          <w:rStyle w:val="normaltextrun"/>
          <w:rFonts w:eastAsia="Segoe UI" w:cs="Segoe UI"/>
          <w:color w:val="000000"/>
        </w:rPr>
        <w:t>-</w:t>
      </w:r>
      <w:r w:rsidRPr="00D75194" w:rsidR="00570A28">
        <w:rPr>
          <w:rStyle w:val="normaltextrun"/>
          <w:rFonts w:eastAsia="Segoe UI" w:cs="Segoe UI"/>
          <w:color w:val="000000"/>
        </w:rPr>
        <w:t>to</w:t>
      </w:r>
      <w:r w:rsidRPr="00D75194" w:rsidR="00F9150E">
        <w:rPr>
          <w:rStyle w:val="normaltextrun"/>
          <w:rFonts w:eastAsia="Segoe UI" w:cs="Segoe UI"/>
          <w:color w:val="000000"/>
        </w:rPr>
        <w:t>-</w:t>
      </w:r>
      <w:r w:rsidRPr="00D75194" w:rsidR="00570A28">
        <w:rPr>
          <w:rStyle w:val="normaltextrun"/>
          <w:rFonts w:eastAsia="Segoe UI" w:cs="Segoe UI"/>
          <w:color w:val="000000"/>
        </w:rPr>
        <w:t xml:space="preserve">achieve changes. </w:t>
      </w:r>
    </w:p>
    <w:p w:rsidRPr="00D75194" w:rsidR="00DA2AAA" w:rsidP="00A16349" w:rsidRDefault="00570A28" w14:paraId="50AC4343" w14:textId="321C263B">
      <w:pPr>
        <w:rPr>
          <w:rStyle w:val="normaltextrun"/>
          <w:rFonts w:eastAsia="Segoe UI" w:cs="Segoe UI"/>
          <w:color w:val="000000"/>
        </w:rPr>
      </w:pPr>
      <w:r w:rsidRPr="00D75194">
        <w:rPr>
          <w:rStyle w:val="normaltextrun"/>
          <w:rFonts w:eastAsia="Segoe UI" w:cs="Segoe UI"/>
          <w:color w:val="000000"/>
        </w:rPr>
        <w:t>However, it could be interpreted that the push for this ambition by TPs slightly affected a drop in broader, easier</w:t>
      </w:r>
      <w:r w:rsidRPr="00D75194" w:rsidR="00883492">
        <w:rPr>
          <w:rStyle w:val="normaltextrun"/>
          <w:rFonts w:eastAsia="Segoe UI" w:cs="Segoe UI"/>
          <w:color w:val="000000"/>
        </w:rPr>
        <w:t>-</w:t>
      </w:r>
      <w:r w:rsidRPr="00D75194">
        <w:rPr>
          <w:rStyle w:val="normaltextrun"/>
          <w:rFonts w:eastAsia="Segoe UI" w:cs="Segoe UI"/>
          <w:color w:val="000000"/>
        </w:rPr>
        <w:t>to</w:t>
      </w:r>
      <w:r w:rsidRPr="00D75194" w:rsidR="00883492">
        <w:rPr>
          <w:rStyle w:val="normaltextrun"/>
          <w:rFonts w:eastAsia="Segoe UI" w:cs="Segoe UI"/>
          <w:color w:val="000000"/>
        </w:rPr>
        <w:t>-</w:t>
      </w:r>
      <w:r w:rsidRPr="00D75194">
        <w:rPr>
          <w:rStyle w:val="normaltextrun"/>
          <w:rFonts w:eastAsia="Segoe UI" w:cs="Segoe UI"/>
          <w:color w:val="000000"/>
        </w:rPr>
        <w:t xml:space="preserve">achieve changes (see </w:t>
      </w:r>
      <w:r w:rsidRPr="00D75194" w:rsidR="00883492">
        <w:rPr>
          <w:rStyle w:val="normaltextrun"/>
          <w:rFonts w:eastAsia="Segoe UI" w:cs="Segoe UI"/>
          <w:color w:val="000000"/>
        </w:rPr>
        <w:t xml:space="preserve">Figure </w:t>
      </w:r>
      <w:r w:rsidRPr="00D75194">
        <w:rPr>
          <w:rStyle w:val="normaltextrun"/>
          <w:rFonts w:eastAsia="Segoe UI" w:cs="Segoe UI"/>
          <w:color w:val="000000"/>
        </w:rPr>
        <w:t>8). The LEP team believes that this evidence validates the strength of the TP</w:t>
      </w:r>
      <w:r w:rsidRPr="00D75194" w:rsidR="00883492">
        <w:rPr>
          <w:rStyle w:val="normaltextrun"/>
          <w:rFonts w:eastAsia="Segoe UI" w:cs="Segoe UI"/>
          <w:color w:val="000000"/>
        </w:rPr>
        <w:t>s’</w:t>
      </w:r>
      <w:r w:rsidRPr="00D75194">
        <w:rPr>
          <w:rStyle w:val="normaltextrun"/>
          <w:rFonts w:eastAsia="Segoe UI" w:cs="Segoe UI"/>
          <w:color w:val="000000"/>
        </w:rPr>
        <w:t xml:space="preserve"> </w:t>
      </w:r>
      <w:r w:rsidRPr="3388DF63">
        <w:rPr>
          <w:rStyle w:val="normaltextrun"/>
          <w:rFonts w:eastAsia="Segoe UI" w:cs="Segoe UI"/>
          <w:color w:val="000000"/>
        </w:rPr>
        <w:t>stock</w:t>
      </w:r>
      <w:r w:rsidRPr="00D75194">
        <w:rPr>
          <w:rStyle w:val="normaltextrun"/>
          <w:rFonts w:eastAsia="Segoe UI" w:cs="Segoe UI"/>
          <w:color w:val="000000"/>
        </w:rPr>
        <w:t xml:space="preserve"> of assets and their ability to reach for more ambitious changes and outcomes after a lengthy period (&gt;10 years) of support.</w:t>
      </w:r>
    </w:p>
    <w:p w:rsidRPr="00D75194" w:rsidR="007E7245" w:rsidP="00F136FA" w:rsidRDefault="007E7245" w14:paraId="7A158E3F" w14:textId="53415C3F">
      <w:pPr>
        <w:pStyle w:val="Caption"/>
      </w:pPr>
      <w:r w:rsidRPr="00D75194">
        <w:rPr>
          <w:noProof/>
        </w:rPr>
        <w:drawing>
          <wp:inline distT="0" distB="0" distL="0" distR="0" wp14:anchorId="0D7CCC75" wp14:editId="47160E4E">
            <wp:extent cx="6198235" cy="3540642"/>
            <wp:effectExtent l="0" t="0" r="12065" b="3175"/>
            <wp:docPr id="501847402" name="Chart 1" descr="A bar chart showing percentage of outcomes with moderate change for &quot;expect to see&quot;, &quot;like to see&quot;, and &quot;love to see&quot; against targets and actuals for 2024 and 2025. ">
              <a:extLst xmlns:a="http://schemas.openxmlformats.org/drawingml/2006/main">
                <a:ext uri="{FF2B5EF4-FFF2-40B4-BE49-F238E27FC236}">
                  <a16:creationId xmlns:a16="http://schemas.microsoft.com/office/drawing/2014/main" id="{152F6177-6DC9-982D-A6CA-5604A9604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D75194" w:rsidR="00F136FA" w:rsidP="00F136FA" w:rsidRDefault="00F136FA" w14:paraId="58ECA963" w14:textId="43497E90">
      <w:pPr>
        <w:pStyle w:val="Caption"/>
      </w:pPr>
      <w:bookmarkStart w:name="_Toc214453006" w:id="88"/>
      <w:r w:rsidRPr="00D75194">
        <w:t xml:space="preserve">Figure </w:t>
      </w:r>
      <w:r w:rsidRPr="00D75194">
        <w:fldChar w:fldCharType="begin"/>
      </w:r>
      <w:r w:rsidRPr="00D75194">
        <w:instrText xml:space="preserve"> SEQ Figure \* ARABIC </w:instrText>
      </w:r>
      <w:r w:rsidRPr="00D75194">
        <w:fldChar w:fldCharType="separate"/>
      </w:r>
      <w:r w:rsidRPr="00D75194" w:rsidR="004D7A82">
        <w:t>5</w:t>
      </w:r>
      <w:r w:rsidRPr="00D75194">
        <w:fldChar w:fldCharType="end"/>
      </w:r>
      <w:r w:rsidR="009F281F">
        <w:t>:</w:t>
      </w:r>
      <w:r w:rsidRPr="00D75194">
        <w:t xml:space="preserve"> Outcome 2</w:t>
      </w:r>
      <w:r w:rsidRPr="00D75194" w:rsidR="00553655">
        <w:t>—</w:t>
      </w:r>
      <w:r w:rsidRPr="00D75194">
        <w:t>Percentage of outcomes with moderate change</w:t>
      </w:r>
      <w:bookmarkEnd w:id="88"/>
      <w:r w:rsidRPr="00D75194" w:rsidDel="006B601D">
        <w:t xml:space="preserve"> </w:t>
      </w:r>
    </w:p>
    <w:p w:rsidRPr="00D75194" w:rsidR="00D16B06" w:rsidP="00A16349" w:rsidRDefault="00A16349" w14:paraId="256AB5E7" w14:textId="062C8BB0">
      <w:pPr>
        <w:rPr>
          <w:rFonts w:eastAsia="Segoe UI" w:cs="Segoe UI"/>
          <w:color w:val="000000"/>
        </w:rPr>
      </w:pPr>
      <w:r w:rsidRPr="00D75194">
        <w:rPr>
          <w:rFonts w:eastAsia="Segoe UI" w:cs="Segoe UI"/>
          <w:b/>
          <w:bCs/>
          <w:color w:val="000000"/>
        </w:rPr>
        <w:t xml:space="preserve">Across all outputs, CASA II has overachieved. The results validate the </w:t>
      </w:r>
      <w:r w:rsidRPr="00D75194" w:rsidR="00465A98">
        <w:rPr>
          <w:rFonts w:eastAsia="Segoe UI" w:cs="Segoe UI"/>
          <w:b/>
          <w:bCs/>
          <w:color w:val="000000"/>
        </w:rPr>
        <w:t>output</w:t>
      </w:r>
      <w:r w:rsidRPr="00D75194" w:rsidR="00DA1000">
        <w:rPr>
          <w:rFonts w:eastAsia="Segoe UI" w:cs="Segoe UI"/>
          <w:b/>
          <w:bCs/>
          <w:color w:val="000000"/>
        </w:rPr>
        <w:t>-</w:t>
      </w:r>
      <w:r w:rsidRPr="00D75194" w:rsidR="00465A98">
        <w:rPr>
          <w:rFonts w:eastAsia="Segoe UI" w:cs="Segoe UI"/>
          <w:b/>
          <w:bCs/>
          <w:color w:val="000000"/>
        </w:rPr>
        <w:t xml:space="preserve">level changes </w:t>
      </w:r>
      <w:r w:rsidRPr="00D75194">
        <w:rPr>
          <w:rFonts w:eastAsia="Segoe UI" w:cs="Segoe UI"/>
          <w:b/>
          <w:bCs/>
          <w:color w:val="000000"/>
        </w:rPr>
        <w:t>shared from the contribution stories</w:t>
      </w:r>
      <w:r w:rsidRPr="00D75194" w:rsidR="006905D3">
        <w:rPr>
          <w:rFonts w:eastAsia="Segoe UI" w:cs="Segoe UI"/>
          <w:b/>
          <w:bCs/>
          <w:color w:val="000000"/>
        </w:rPr>
        <w:t xml:space="preserve">. </w:t>
      </w:r>
      <w:r w:rsidRPr="00D75194" w:rsidR="00F86653">
        <w:rPr>
          <w:rFonts w:eastAsia="Segoe UI" w:cs="Segoe UI"/>
          <w:color w:val="000000"/>
        </w:rPr>
        <w:t>However</w:t>
      </w:r>
      <w:r w:rsidRPr="00D75194" w:rsidR="006E7EB1">
        <w:rPr>
          <w:rFonts w:eastAsia="Segoe UI" w:cs="Segoe UI"/>
          <w:color w:val="000000"/>
        </w:rPr>
        <w:t>,</w:t>
      </w:r>
      <w:r w:rsidRPr="00D75194" w:rsidDel="00F86653">
        <w:rPr>
          <w:rFonts w:eastAsia="Segoe UI" w:cs="Segoe UI"/>
          <w:b/>
          <w:color w:val="000000"/>
        </w:rPr>
        <w:t xml:space="preserve"> </w:t>
      </w:r>
      <w:r w:rsidRPr="00D75194" w:rsidR="00F86653">
        <w:rPr>
          <w:rFonts w:eastAsia="Segoe UI" w:cs="Segoe UI"/>
          <w:color w:val="000000"/>
        </w:rPr>
        <w:t>h</w:t>
      </w:r>
      <w:r w:rsidRPr="00D75194" w:rsidR="00030514">
        <w:rPr>
          <w:rFonts w:eastAsia="Segoe UI" w:cs="Segoe UI"/>
          <w:color w:val="000000"/>
        </w:rPr>
        <w:t xml:space="preserve">aving reviewed the final </w:t>
      </w:r>
      <w:r w:rsidRPr="3388DF63" w:rsidR="00DA1000">
        <w:rPr>
          <w:rFonts w:eastAsia="Segoe UI" w:cs="Segoe UI"/>
          <w:color w:val="000000"/>
        </w:rPr>
        <w:t>l</w:t>
      </w:r>
      <w:r w:rsidRPr="3388DF63" w:rsidR="00030514">
        <w:rPr>
          <w:rFonts w:eastAsia="Segoe UI" w:cs="Segoe UI"/>
          <w:color w:val="000000"/>
        </w:rPr>
        <w:t>ogf</w:t>
      </w:r>
      <w:r w:rsidRPr="3388DF63" w:rsidR="00F86653">
        <w:rPr>
          <w:rFonts w:eastAsia="Segoe UI" w:cs="Segoe UI"/>
          <w:color w:val="000000"/>
        </w:rPr>
        <w:t>r</w:t>
      </w:r>
      <w:r w:rsidRPr="3388DF63" w:rsidR="00030514">
        <w:rPr>
          <w:rFonts w:eastAsia="Segoe UI" w:cs="Segoe UI"/>
          <w:color w:val="000000"/>
        </w:rPr>
        <w:t xml:space="preserve">ame </w:t>
      </w:r>
      <w:r w:rsidRPr="3388DF63" w:rsidR="00DA1000">
        <w:rPr>
          <w:rFonts w:eastAsia="Segoe UI" w:cs="Segoe UI"/>
          <w:color w:val="000000"/>
        </w:rPr>
        <w:t>r</w:t>
      </w:r>
      <w:r w:rsidRPr="3388DF63" w:rsidR="00030514">
        <w:rPr>
          <w:rFonts w:eastAsia="Segoe UI" w:cs="Segoe UI"/>
          <w:color w:val="000000"/>
        </w:rPr>
        <w:t>eport</w:t>
      </w:r>
      <w:r w:rsidRPr="00D75194" w:rsidDel="00EE1773" w:rsidR="00030514">
        <w:rPr>
          <w:rFonts w:eastAsia="Segoe UI" w:cs="Segoe UI"/>
          <w:color w:val="000000"/>
        </w:rPr>
        <w:t xml:space="preserve"> </w:t>
      </w:r>
      <w:r w:rsidRPr="00D75194" w:rsidR="00EE1773">
        <w:rPr>
          <w:rFonts w:eastAsia="Segoe UI" w:cs="Segoe UI"/>
          <w:color w:val="000000"/>
        </w:rPr>
        <w:t xml:space="preserve">for </w:t>
      </w:r>
      <w:r w:rsidRPr="00D75194" w:rsidR="00030514">
        <w:rPr>
          <w:rFonts w:eastAsia="Segoe UI" w:cs="Segoe UI"/>
          <w:color w:val="000000"/>
        </w:rPr>
        <w:t>CASA I by I</w:t>
      </w:r>
      <w:r w:rsidRPr="00D75194" w:rsidR="00F9608D">
        <w:rPr>
          <w:rFonts w:eastAsia="Segoe UI" w:cs="Segoe UI"/>
          <w:color w:val="000000"/>
        </w:rPr>
        <w:t xml:space="preserve">NTRAC </w:t>
      </w:r>
      <w:r w:rsidRPr="00D75194" w:rsidR="00F86653">
        <w:rPr>
          <w:rFonts w:eastAsia="Segoe UI" w:cs="Segoe UI"/>
          <w:color w:val="000000"/>
        </w:rPr>
        <w:t xml:space="preserve">and </w:t>
      </w:r>
      <w:r w:rsidRPr="00D75194" w:rsidR="00AE4D1D">
        <w:rPr>
          <w:rFonts w:eastAsia="Segoe UI" w:cs="Segoe UI"/>
          <w:color w:val="000000"/>
        </w:rPr>
        <w:t>compared it to the</w:t>
      </w:r>
      <w:r w:rsidRPr="00D75194" w:rsidR="00F86653">
        <w:rPr>
          <w:rFonts w:eastAsia="Segoe UI" w:cs="Segoe UI"/>
          <w:color w:val="000000"/>
        </w:rPr>
        <w:t xml:space="preserve"> final available logframe by DAI </w:t>
      </w:r>
      <w:r w:rsidRPr="00D75194" w:rsidR="00EE1773">
        <w:rPr>
          <w:rFonts w:eastAsia="Segoe UI" w:cs="Segoe UI"/>
          <w:color w:val="000000"/>
        </w:rPr>
        <w:t xml:space="preserve">for </w:t>
      </w:r>
      <w:r w:rsidRPr="00D75194" w:rsidR="00F86653">
        <w:rPr>
          <w:rFonts w:eastAsia="Segoe UI" w:cs="Segoe UI"/>
          <w:color w:val="000000"/>
        </w:rPr>
        <w:t xml:space="preserve">CASA II, </w:t>
      </w:r>
      <w:r w:rsidRPr="00D75194" w:rsidR="00030514">
        <w:rPr>
          <w:rFonts w:eastAsia="Segoe UI" w:cs="Segoe UI"/>
          <w:color w:val="000000"/>
        </w:rPr>
        <w:t xml:space="preserve">it </w:t>
      </w:r>
      <w:r w:rsidRPr="00D75194" w:rsidR="00465A98">
        <w:rPr>
          <w:rFonts w:eastAsia="Segoe UI" w:cs="Segoe UI"/>
          <w:color w:val="000000"/>
        </w:rPr>
        <w:t>could be suggested</w:t>
      </w:r>
      <w:r w:rsidRPr="00D75194" w:rsidR="00F9608D">
        <w:rPr>
          <w:rFonts w:eastAsia="Segoe UI" w:cs="Segoe UI"/>
          <w:color w:val="000000"/>
        </w:rPr>
        <w:t xml:space="preserve"> </w:t>
      </w:r>
      <w:r w:rsidRPr="00D75194" w:rsidR="00465A98">
        <w:rPr>
          <w:rFonts w:eastAsia="Segoe UI" w:cs="Segoe UI"/>
          <w:color w:val="000000"/>
        </w:rPr>
        <w:t>that the targets for CASA II could have been increased</w:t>
      </w:r>
      <w:r w:rsidRPr="00D75194" w:rsidR="00F9608D">
        <w:rPr>
          <w:rFonts w:eastAsia="Segoe UI" w:cs="Segoe UI"/>
          <w:color w:val="000000"/>
        </w:rPr>
        <w:t xml:space="preserve">, </w:t>
      </w:r>
      <w:r w:rsidRPr="00D75194" w:rsidR="007508B3">
        <w:rPr>
          <w:rFonts w:eastAsia="Segoe UI" w:cs="Segoe UI"/>
          <w:color w:val="000000"/>
        </w:rPr>
        <w:t>given</w:t>
      </w:r>
      <w:r w:rsidRPr="00D75194" w:rsidR="005C3166">
        <w:rPr>
          <w:rFonts w:eastAsia="Segoe UI" w:cs="Segoe UI"/>
          <w:color w:val="000000"/>
        </w:rPr>
        <w:t xml:space="preserve"> the</w:t>
      </w:r>
      <w:r w:rsidRPr="00D75194" w:rsidR="007508B3">
        <w:rPr>
          <w:rFonts w:eastAsia="Segoe UI" w:cs="Segoe UI"/>
          <w:color w:val="000000"/>
        </w:rPr>
        <w:t xml:space="preserve"> prior success. </w:t>
      </w:r>
    </w:p>
    <w:p w:rsidRPr="00D75194" w:rsidR="00B8382E" w:rsidP="00333DA3" w:rsidRDefault="00333DA3" w14:paraId="38939181" w14:textId="64BF3D5A">
      <w:pPr>
        <w:rPr>
          <w:rFonts w:eastAsia="Segoe UI" w:cs="Segoe UI"/>
          <w:color w:val="000000"/>
        </w:rPr>
      </w:pPr>
      <w:r w:rsidRPr="00D75194">
        <w:rPr>
          <w:rFonts w:eastAsia="Segoe UI" w:cs="Segoe UI"/>
          <w:color w:val="000000"/>
        </w:rPr>
        <w:t xml:space="preserve">For example, during the </w:t>
      </w:r>
      <w:r w:rsidRPr="00D75194" w:rsidR="003F5CF6">
        <w:rPr>
          <w:rFonts w:eastAsia="Segoe UI" w:cs="Segoe UI"/>
          <w:color w:val="000000"/>
        </w:rPr>
        <w:t xml:space="preserve">COVID-19 </w:t>
      </w:r>
      <w:r w:rsidRPr="00D75194">
        <w:rPr>
          <w:rFonts w:eastAsia="Segoe UI" w:cs="Segoe UI"/>
          <w:color w:val="000000"/>
        </w:rPr>
        <w:t>pandemic</w:t>
      </w:r>
      <w:r w:rsidRPr="00D75194" w:rsidR="003F5CF6">
        <w:rPr>
          <w:rFonts w:eastAsia="Segoe UI" w:cs="Segoe UI"/>
          <w:color w:val="000000"/>
        </w:rPr>
        <w:t>,</w:t>
      </w:r>
      <w:r w:rsidRPr="00D75194">
        <w:rPr>
          <w:rFonts w:eastAsia="Segoe UI" w:cs="Segoe UI"/>
          <w:color w:val="000000"/>
        </w:rPr>
        <w:t xml:space="preserve"> CASA I achieved 1,722 person</w:t>
      </w:r>
      <w:r w:rsidRPr="00D75194" w:rsidR="00B0656C">
        <w:rPr>
          <w:rFonts w:eastAsia="Segoe UI" w:cs="Segoe UI"/>
          <w:color w:val="000000"/>
        </w:rPr>
        <w:t>-</w:t>
      </w:r>
      <w:r w:rsidRPr="00D75194">
        <w:rPr>
          <w:rFonts w:eastAsia="Segoe UI" w:cs="Segoe UI"/>
          <w:color w:val="000000"/>
        </w:rPr>
        <w:t>days of training</w:t>
      </w:r>
      <w:r w:rsidRPr="00D75194" w:rsidR="00EF3B5E">
        <w:rPr>
          <w:rFonts w:eastAsia="Segoe UI" w:cs="Segoe UI"/>
          <w:color w:val="000000"/>
        </w:rPr>
        <w:t>,</w:t>
      </w:r>
      <w:r w:rsidRPr="00D75194">
        <w:rPr>
          <w:rFonts w:eastAsia="Segoe UI" w:cs="Segoe UI"/>
          <w:color w:val="000000"/>
        </w:rPr>
        <w:t xml:space="preserve"> compared to 1,245 by CASA II</w:t>
      </w:r>
      <w:r w:rsidRPr="00D75194" w:rsidR="00EF3B5E">
        <w:rPr>
          <w:rFonts w:eastAsia="Segoe UI" w:cs="Segoe UI"/>
          <w:color w:val="000000"/>
        </w:rPr>
        <w:t>.</w:t>
      </w:r>
      <w:r w:rsidRPr="00D75194" w:rsidR="64672718">
        <w:rPr>
          <w:rFonts w:eastAsia="Segoe UI" w:cs="Segoe UI"/>
          <w:color w:val="000000"/>
        </w:rPr>
        <w:t xml:space="preserve"> (It should be noted that CASA I covered </w:t>
      </w:r>
      <w:r w:rsidRPr="00D75194" w:rsidR="00EF3B5E">
        <w:rPr>
          <w:rFonts w:eastAsia="Segoe UI" w:cs="Segoe UI"/>
          <w:color w:val="000000"/>
        </w:rPr>
        <w:t xml:space="preserve">four </w:t>
      </w:r>
      <w:r w:rsidRPr="00D75194" w:rsidR="64672718">
        <w:rPr>
          <w:rFonts w:eastAsia="Segoe UI" w:cs="Segoe UI"/>
          <w:color w:val="000000"/>
        </w:rPr>
        <w:t>years, from 2019</w:t>
      </w:r>
      <w:r w:rsidRPr="00D75194" w:rsidR="00EF3B5E">
        <w:rPr>
          <w:rFonts w:eastAsia="Segoe UI" w:cs="Segoe UI"/>
          <w:color w:val="000000"/>
        </w:rPr>
        <w:t xml:space="preserve"> to </w:t>
      </w:r>
      <w:r w:rsidRPr="00D75194" w:rsidR="64672718">
        <w:rPr>
          <w:rFonts w:eastAsia="Segoe UI" w:cs="Segoe UI"/>
          <w:color w:val="000000"/>
        </w:rPr>
        <w:t xml:space="preserve">2023, while CASA II covered </w:t>
      </w:r>
      <w:r w:rsidRPr="3388DF63" w:rsidR="00A34C69">
        <w:rPr>
          <w:rFonts w:eastAsia="Segoe UI" w:cs="Segoe UI"/>
          <w:color w:val="000000"/>
        </w:rPr>
        <w:t>two</w:t>
      </w:r>
      <w:r w:rsidRPr="00D75194" w:rsidR="64672718">
        <w:rPr>
          <w:rFonts w:eastAsia="Segoe UI" w:cs="Segoe UI"/>
          <w:color w:val="000000"/>
        </w:rPr>
        <w:t xml:space="preserve"> years, from 2023</w:t>
      </w:r>
      <w:r w:rsidRPr="00D75194" w:rsidR="00A34C69">
        <w:rPr>
          <w:rFonts w:eastAsia="Segoe UI" w:cs="Segoe UI"/>
          <w:color w:val="000000"/>
        </w:rPr>
        <w:t xml:space="preserve"> to </w:t>
      </w:r>
      <w:r w:rsidRPr="00D75194" w:rsidR="64672718">
        <w:rPr>
          <w:rFonts w:eastAsia="Segoe UI" w:cs="Segoe UI"/>
          <w:color w:val="000000"/>
        </w:rPr>
        <w:t>2025)</w:t>
      </w:r>
      <w:r w:rsidRPr="00D75194">
        <w:rPr>
          <w:rFonts w:eastAsia="Segoe UI" w:cs="Segoe UI"/>
          <w:color w:val="000000"/>
        </w:rPr>
        <w:t>. Instances of real</w:t>
      </w:r>
      <w:r w:rsidRPr="00D75194" w:rsidR="00E02DA8">
        <w:rPr>
          <w:rFonts w:eastAsia="Segoe UI" w:cs="Segoe UI"/>
          <w:color w:val="000000"/>
        </w:rPr>
        <w:t>-</w:t>
      </w:r>
      <w:r w:rsidRPr="00D75194">
        <w:rPr>
          <w:rFonts w:eastAsia="Segoe UI" w:cs="Segoe UI"/>
          <w:color w:val="000000"/>
        </w:rPr>
        <w:t xml:space="preserve">time support to negotiators during technical sessions for CASA </w:t>
      </w:r>
      <w:r w:rsidRPr="00D75194" w:rsidR="5AFA51F4">
        <w:rPr>
          <w:rFonts w:eastAsia="Segoe UI" w:cs="Segoe UI"/>
          <w:color w:val="000000"/>
        </w:rPr>
        <w:t>I</w:t>
      </w:r>
      <w:r w:rsidRPr="00D75194">
        <w:rPr>
          <w:rFonts w:eastAsia="Segoe UI" w:cs="Segoe UI"/>
          <w:color w:val="000000"/>
        </w:rPr>
        <w:t xml:space="preserve"> </w:t>
      </w:r>
      <w:r w:rsidRPr="00D75194" w:rsidR="00E02DA8">
        <w:rPr>
          <w:rFonts w:eastAsia="Segoe UI" w:cs="Segoe UI"/>
          <w:color w:val="000000"/>
        </w:rPr>
        <w:t xml:space="preserve">numbered </w:t>
      </w:r>
      <w:r w:rsidRPr="00D75194">
        <w:rPr>
          <w:rFonts w:eastAsia="Segoe UI" w:cs="Segoe UI"/>
          <w:color w:val="000000"/>
        </w:rPr>
        <w:t xml:space="preserve">287, </w:t>
      </w:r>
      <w:r w:rsidRPr="00D75194" w:rsidR="00E02DA8">
        <w:rPr>
          <w:rFonts w:eastAsia="Segoe UI" w:cs="Segoe UI"/>
          <w:color w:val="000000"/>
        </w:rPr>
        <w:t xml:space="preserve">while </w:t>
      </w:r>
      <w:r w:rsidRPr="00D75194">
        <w:rPr>
          <w:rFonts w:eastAsia="Segoe UI" w:cs="Segoe UI"/>
          <w:color w:val="000000"/>
        </w:rPr>
        <w:t xml:space="preserve">for CASA II </w:t>
      </w:r>
      <w:r w:rsidRPr="00D75194" w:rsidR="00E02DA8">
        <w:rPr>
          <w:rFonts w:eastAsia="Segoe UI" w:cs="Segoe UI"/>
          <w:color w:val="000000"/>
        </w:rPr>
        <w:t xml:space="preserve">they numbered </w:t>
      </w:r>
      <w:r w:rsidRPr="00D75194">
        <w:rPr>
          <w:rFonts w:eastAsia="Segoe UI" w:cs="Segoe UI"/>
          <w:color w:val="000000"/>
        </w:rPr>
        <w:t xml:space="preserve">220. Achievements of </w:t>
      </w:r>
      <w:proofErr w:type="gramStart"/>
      <w:r w:rsidRPr="00D75194">
        <w:rPr>
          <w:rFonts w:eastAsia="Segoe UI" w:cs="Segoe UI"/>
          <w:color w:val="000000"/>
        </w:rPr>
        <w:t>particular note</w:t>
      </w:r>
      <w:proofErr w:type="gramEnd"/>
      <w:r w:rsidRPr="00D75194">
        <w:rPr>
          <w:rFonts w:eastAsia="Segoe UI" w:cs="Segoe UI"/>
          <w:color w:val="000000"/>
        </w:rPr>
        <w:t xml:space="preserve"> for CASA II include</w:t>
      </w:r>
      <w:r w:rsidRPr="00D75194" w:rsidR="00B8382E">
        <w:rPr>
          <w:rFonts w:eastAsia="Segoe UI" w:cs="Segoe UI"/>
          <w:color w:val="000000"/>
        </w:rPr>
        <w:t xml:space="preserve"> the following:</w:t>
      </w:r>
    </w:p>
    <w:p w:rsidRPr="00D75194" w:rsidR="00333DA3" w:rsidP="00333DA3" w:rsidRDefault="00333DA3" w14:paraId="547CD415" w14:textId="2DC6F509">
      <w:r w:rsidRPr="00D75194">
        <w:rPr>
          <w:rFonts w:eastAsia="Segoe UI" w:cs="Segoe UI"/>
          <w:color w:val="000000"/>
          <w:u w:val="single"/>
        </w:rPr>
        <w:t>Output 1:</w:t>
      </w:r>
      <w:r w:rsidRPr="00D75194">
        <w:rPr>
          <w:rFonts w:eastAsia="Segoe UI" w:cs="Segoe UI"/>
          <w:color w:val="000000"/>
        </w:rPr>
        <w:t xml:space="preserve"> CASA II TPs</w:t>
      </w:r>
      <w:r w:rsidRPr="00D75194" w:rsidR="006C1D35">
        <w:rPr>
          <w:rFonts w:eastAsia="Segoe UI" w:cs="Segoe UI"/>
          <w:color w:val="000000"/>
        </w:rPr>
        <w:t xml:space="preserve"> have</w:t>
      </w:r>
      <w:r w:rsidRPr="00D75194">
        <w:rPr>
          <w:rFonts w:eastAsia="Segoe UI" w:cs="Segoe UI"/>
          <w:color w:val="000000"/>
        </w:rPr>
        <w:t xml:space="preserve"> consistently overachieved on</w:t>
      </w:r>
      <w:r w:rsidRPr="00D75194" w:rsidR="00DD0FE1">
        <w:rPr>
          <w:rFonts w:eastAsia="Segoe UI" w:cs="Segoe UI"/>
          <w:color w:val="000000"/>
        </w:rPr>
        <w:t xml:space="preserve"> the</w:t>
      </w:r>
      <w:r w:rsidRPr="00D75194">
        <w:rPr>
          <w:rFonts w:eastAsia="Segoe UI" w:cs="Segoe UI"/>
          <w:color w:val="000000"/>
        </w:rPr>
        <w:t xml:space="preserve"> number of training days delivered. Of note</w:t>
      </w:r>
      <w:r w:rsidRPr="00D75194" w:rsidR="00141B58">
        <w:rPr>
          <w:rFonts w:eastAsia="Segoe UI" w:cs="Segoe UI"/>
          <w:color w:val="000000"/>
        </w:rPr>
        <w:t xml:space="preserve"> is the fact that</w:t>
      </w:r>
      <w:r w:rsidRPr="00D75194">
        <w:rPr>
          <w:rFonts w:eastAsia="Segoe UI" w:cs="Segoe UI"/>
          <w:color w:val="000000"/>
        </w:rPr>
        <w:t xml:space="preserve"> in 2025 the OF delivered 1,245 days (with </w:t>
      </w:r>
      <w:r w:rsidRPr="00D75194" w:rsidR="008E6610">
        <w:rPr>
          <w:rFonts w:eastAsia="Segoe UI" w:cs="Segoe UI"/>
          <w:color w:val="000000"/>
        </w:rPr>
        <w:t>Work</w:t>
      </w:r>
      <w:r w:rsidR="008E6610">
        <w:rPr>
          <w:rFonts w:eastAsia="Segoe UI" w:cs="Segoe UI"/>
          <w:color w:val="000000"/>
        </w:rPr>
        <w:t xml:space="preserve"> package</w:t>
      </w:r>
      <w:r w:rsidRPr="00D75194" w:rsidR="00E46047">
        <w:rPr>
          <w:rFonts w:eastAsia="Segoe UI" w:cs="Segoe UI"/>
          <w:color w:val="000000"/>
        </w:rPr>
        <w:t xml:space="preserve"> 2 </w:t>
      </w:r>
      <w:r w:rsidRPr="00D75194">
        <w:rPr>
          <w:rFonts w:eastAsia="Segoe UI" w:cs="Segoe UI"/>
          <w:color w:val="000000"/>
        </w:rPr>
        <w:t>on 182)</w:t>
      </w:r>
      <w:r w:rsidRPr="00D75194" w:rsidR="004172E0">
        <w:rPr>
          <w:rFonts w:eastAsia="Segoe UI" w:cs="Segoe UI"/>
          <w:color w:val="000000"/>
        </w:rPr>
        <w:t>,</w:t>
      </w:r>
      <w:r w:rsidRPr="00D75194">
        <w:rPr>
          <w:rFonts w:eastAsia="Segoe UI" w:cs="Segoe UI"/>
          <w:color w:val="000000"/>
        </w:rPr>
        <w:t xml:space="preserve"> against a target total of 350 (nearly four times higher than the target, </w:t>
      </w:r>
      <w:r w:rsidRPr="00D75194" w:rsidR="00382033">
        <w:rPr>
          <w:rFonts w:eastAsia="Segoe UI" w:cs="Segoe UI"/>
          <w:color w:val="000000"/>
        </w:rPr>
        <w:t xml:space="preserve">suggesting </w:t>
      </w:r>
      <w:r w:rsidRPr="00D75194">
        <w:rPr>
          <w:rFonts w:eastAsia="Segoe UI" w:cs="Segoe UI"/>
          <w:color w:val="000000"/>
        </w:rPr>
        <w:t xml:space="preserve">that the target was not accurately set). The breakdown </w:t>
      </w:r>
      <w:r w:rsidRPr="00D75194" w:rsidR="00AA5D02">
        <w:rPr>
          <w:rFonts w:eastAsia="Segoe UI" w:cs="Segoe UI"/>
          <w:color w:val="000000"/>
        </w:rPr>
        <w:t xml:space="preserve">indicates </w:t>
      </w:r>
      <w:r w:rsidRPr="00D75194">
        <w:rPr>
          <w:rFonts w:eastAsia="Segoe UI" w:cs="Segoe UI"/>
          <w:color w:val="000000"/>
        </w:rPr>
        <w:t>almost an even split between female (754) and male (772)</w:t>
      </w:r>
      <w:r w:rsidRPr="00D75194" w:rsidR="00E7617C">
        <w:rPr>
          <w:rFonts w:eastAsia="Segoe UI" w:cs="Segoe UI"/>
          <w:color w:val="000000"/>
        </w:rPr>
        <w:t xml:space="preserve"> trainees</w:t>
      </w:r>
      <w:r w:rsidRPr="00D75194">
        <w:rPr>
          <w:rFonts w:eastAsia="Segoe UI" w:cs="Segoe UI"/>
          <w:color w:val="000000"/>
        </w:rPr>
        <w:t>.</w:t>
      </w:r>
      <w:r w:rsidRPr="00D75194">
        <w:t xml:space="preserve"> </w:t>
      </w:r>
    </w:p>
    <w:p w:rsidRPr="00D75194" w:rsidR="00B65B3F" w:rsidP="36FA8897" w:rsidRDefault="00333DA3" w14:paraId="09DC1F37" w14:textId="6E25C139">
      <w:pPr>
        <w:rPr>
          <w:rFonts w:eastAsia="Segoe UI" w:cs="Segoe UI"/>
          <w:color w:val="000000"/>
        </w:rPr>
      </w:pPr>
      <w:r w:rsidRPr="00D75194">
        <w:rPr>
          <w:rFonts w:eastAsia="Segoe UI" w:cs="Segoe UI"/>
          <w:color w:val="000000"/>
          <w:u w:val="single"/>
        </w:rPr>
        <w:t>Output 2:</w:t>
      </w:r>
      <w:r w:rsidRPr="00D75194">
        <w:rPr>
          <w:rFonts w:eastAsia="Segoe UI" w:cs="Segoe UI"/>
          <w:color w:val="000000"/>
        </w:rPr>
        <w:t xml:space="preserve"> In 2024 and 2025 CASA II TPs doubled the target number of negotiators supported and met equity demands. </w:t>
      </w:r>
      <w:r w:rsidRPr="3388DF63">
        <w:rPr>
          <w:rFonts w:eastAsia="Segoe UI" w:cs="Segoe UI"/>
          <w:color w:val="000000"/>
        </w:rPr>
        <w:t xml:space="preserve">At </w:t>
      </w:r>
      <w:r w:rsidRPr="3388DF63" w:rsidR="00AE63B3">
        <w:rPr>
          <w:rFonts w:eastAsia="Segoe UI" w:cs="Segoe UI"/>
          <w:color w:val="000000"/>
        </w:rPr>
        <w:t>the</w:t>
      </w:r>
      <w:r w:rsidRPr="00D75194" w:rsidR="00AE63B3">
        <w:rPr>
          <w:rFonts w:eastAsia="Segoe UI" w:cs="Segoe UI"/>
          <w:color w:val="000000"/>
        </w:rPr>
        <w:t xml:space="preserve"> time of writing,</w:t>
      </w:r>
      <w:r w:rsidRPr="00D75194">
        <w:rPr>
          <w:rFonts w:eastAsia="Segoe UI" w:cs="Segoe UI"/>
          <w:color w:val="000000"/>
        </w:rPr>
        <w:t xml:space="preserve"> in 2025, there </w:t>
      </w:r>
      <w:r w:rsidRPr="00D75194" w:rsidR="00AE63B3">
        <w:rPr>
          <w:rFonts w:eastAsia="Segoe UI" w:cs="Segoe UI"/>
          <w:color w:val="000000"/>
        </w:rPr>
        <w:t xml:space="preserve">have been </w:t>
      </w:r>
      <w:r w:rsidRPr="00D75194">
        <w:rPr>
          <w:rFonts w:eastAsia="Segoe UI" w:cs="Segoe UI"/>
          <w:color w:val="000000"/>
        </w:rPr>
        <w:t>220 instances of real</w:t>
      </w:r>
      <w:r w:rsidRPr="00D75194" w:rsidR="00AE63B3">
        <w:rPr>
          <w:rFonts w:eastAsia="Segoe UI" w:cs="Segoe UI"/>
          <w:color w:val="000000"/>
        </w:rPr>
        <w:t>-</w:t>
      </w:r>
      <w:r w:rsidRPr="00D75194">
        <w:rPr>
          <w:rFonts w:eastAsia="Segoe UI" w:cs="Segoe UI"/>
          <w:color w:val="000000"/>
        </w:rPr>
        <w:t>time support to negotiators</w:t>
      </w:r>
      <w:r w:rsidRPr="00D75194" w:rsidR="00DD3E55">
        <w:rPr>
          <w:rFonts w:eastAsia="Segoe UI" w:cs="Segoe UI"/>
          <w:color w:val="000000"/>
        </w:rPr>
        <w:t xml:space="preserve"> and</w:t>
      </w:r>
      <w:r w:rsidRPr="00D75194">
        <w:rPr>
          <w:rFonts w:eastAsia="Segoe UI" w:cs="Segoe UI"/>
          <w:color w:val="000000"/>
        </w:rPr>
        <w:t xml:space="preserve"> 101</w:t>
      </w:r>
      <w:r w:rsidRPr="00D75194" w:rsidR="00BA65DE">
        <w:rPr>
          <w:rFonts w:eastAsia="Segoe UI" w:cs="Segoe UI"/>
          <w:color w:val="000000"/>
        </w:rPr>
        <w:t xml:space="preserve"> instances of</w:t>
      </w:r>
      <w:r w:rsidRPr="00D75194" w:rsidR="00DD3E55">
        <w:rPr>
          <w:rFonts w:eastAsia="Segoe UI" w:cs="Segoe UI"/>
          <w:color w:val="000000"/>
        </w:rPr>
        <w:t xml:space="preserve"> support to</w:t>
      </w:r>
      <w:r w:rsidRPr="00D75194" w:rsidDel="00BA65DE">
        <w:rPr>
          <w:rFonts w:eastAsia="Segoe UI" w:cs="Segoe UI"/>
          <w:color w:val="000000"/>
        </w:rPr>
        <w:t xml:space="preserve"> </w:t>
      </w:r>
      <w:r w:rsidRPr="00D75194">
        <w:rPr>
          <w:rFonts w:eastAsia="Segoe UI" w:cs="Segoe UI"/>
          <w:color w:val="000000"/>
        </w:rPr>
        <w:t>preparation</w:t>
      </w:r>
      <w:r w:rsidRPr="00D75194" w:rsidR="00BA65DE">
        <w:rPr>
          <w:rFonts w:eastAsia="Segoe UI" w:cs="Segoe UI"/>
          <w:color w:val="000000"/>
        </w:rPr>
        <w:t>, while</w:t>
      </w:r>
      <w:r w:rsidRPr="00D75194" w:rsidDel="00BA65DE">
        <w:rPr>
          <w:rFonts w:eastAsia="Segoe UI" w:cs="Segoe UI"/>
          <w:color w:val="000000"/>
        </w:rPr>
        <w:t xml:space="preserve"> </w:t>
      </w:r>
      <w:r w:rsidRPr="00D75194">
        <w:rPr>
          <w:rFonts w:eastAsia="Segoe UI" w:cs="Segoe UI"/>
          <w:color w:val="000000"/>
        </w:rPr>
        <w:t xml:space="preserve">the remainder </w:t>
      </w:r>
      <w:r w:rsidRPr="00D75194" w:rsidR="00BA65DE">
        <w:rPr>
          <w:rFonts w:eastAsia="Segoe UI" w:cs="Segoe UI"/>
          <w:color w:val="000000"/>
        </w:rPr>
        <w:t xml:space="preserve">fall </w:t>
      </w:r>
      <w:r w:rsidRPr="00D75194">
        <w:rPr>
          <w:rFonts w:eastAsia="Segoe UI" w:cs="Segoe UI"/>
          <w:color w:val="000000"/>
        </w:rPr>
        <w:t>into both categories (38). The total number of submissions between 2024 and 2025 increased and</w:t>
      </w:r>
      <w:r w:rsidRPr="00D75194" w:rsidR="0075760D">
        <w:rPr>
          <w:rFonts w:eastAsia="Segoe UI" w:cs="Segoe UI"/>
          <w:color w:val="000000"/>
        </w:rPr>
        <w:t>,</w:t>
      </w:r>
      <w:r w:rsidRPr="00D75194">
        <w:rPr>
          <w:rFonts w:eastAsia="Segoe UI" w:cs="Segoe UI"/>
          <w:color w:val="000000"/>
        </w:rPr>
        <w:t xml:space="preserve"> in both instances, the actual number of submissions which fed into negotiations surpassed expectations. </w:t>
      </w:r>
    </w:p>
    <w:p w:rsidRPr="00D75194" w:rsidR="00790B1B" w:rsidP="00D16B06" w:rsidRDefault="00D16B06" w14:paraId="0A081B2A" w14:textId="5F5A2A19">
      <w:r w:rsidRPr="00D75194">
        <w:rPr>
          <w:rFonts w:eastAsia="Segoe UI" w:cs="Segoe UI"/>
          <w:color w:val="000000"/>
          <w:u w:val="single"/>
        </w:rPr>
        <w:t>Output 3</w:t>
      </w:r>
      <w:r w:rsidRPr="00D75194" w:rsidR="00DF35FF">
        <w:rPr>
          <w:rFonts w:eastAsia="Segoe UI" w:cs="Segoe UI"/>
          <w:color w:val="000000"/>
          <w:u w:val="single"/>
        </w:rPr>
        <w:t>:</w:t>
      </w:r>
      <w:r w:rsidRPr="00D75194">
        <w:rPr>
          <w:rFonts w:eastAsia="Segoe UI" w:cs="Segoe UI"/>
          <w:color w:val="000000"/>
        </w:rPr>
        <w:t xml:space="preserve"> </w:t>
      </w:r>
      <w:r w:rsidRPr="00D75194" w:rsidR="00DF35FF">
        <w:rPr>
          <w:rFonts w:eastAsia="Segoe UI" w:cs="Segoe UI"/>
          <w:color w:val="000000"/>
        </w:rPr>
        <w:t xml:space="preserve">The results for Output 3 </w:t>
      </w:r>
      <w:r w:rsidRPr="3388DF63">
        <w:rPr>
          <w:rFonts w:eastAsia="Segoe UI" w:cs="Segoe UI"/>
          <w:color w:val="000000"/>
        </w:rPr>
        <w:t>further</w:t>
      </w:r>
      <w:r w:rsidRPr="00D75194">
        <w:rPr>
          <w:rFonts w:eastAsia="Segoe UI" w:cs="Segoe UI"/>
          <w:color w:val="000000"/>
        </w:rPr>
        <w:t xml:space="preserve"> this story</w:t>
      </w:r>
      <w:r w:rsidRPr="00D75194" w:rsidR="00941706">
        <w:rPr>
          <w:rFonts w:eastAsia="Segoe UI" w:cs="Segoe UI"/>
          <w:color w:val="000000"/>
        </w:rPr>
        <w:t>,</w:t>
      </w:r>
      <w:r w:rsidRPr="00D75194">
        <w:rPr>
          <w:rFonts w:eastAsia="Segoe UI" w:cs="Segoe UI"/>
          <w:color w:val="000000"/>
        </w:rPr>
        <w:t xml:space="preserve"> </w:t>
      </w:r>
      <w:r w:rsidRPr="3388DF63" w:rsidR="00941706">
        <w:rPr>
          <w:rFonts w:eastAsia="Segoe UI" w:cs="Segoe UI"/>
          <w:color w:val="000000"/>
        </w:rPr>
        <w:t>with</w:t>
      </w:r>
      <w:r w:rsidRPr="00D75194">
        <w:rPr>
          <w:rFonts w:eastAsia="Segoe UI" w:cs="Segoe UI"/>
          <w:color w:val="000000"/>
        </w:rPr>
        <w:t xml:space="preserve"> the actual number of initiatives launched by national/regional organisations in the </w:t>
      </w:r>
      <w:r w:rsidRPr="3388DF63" w:rsidR="001B1B4C">
        <w:rPr>
          <w:rFonts w:eastAsia="Segoe UI" w:cs="Segoe UI"/>
          <w:color w:val="000000"/>
        </w:rPr>
        <w:t>G</w:t>
      </w:r>
      <w:r w:rsidRPr="3388DF63">
        <w:rPr>
          <w:rFonts w:eastAsia="Segoe UI" w:cs="Segoe UI"/>
          <w:color w:val="000000"/>
        </w:rPr>
        <w:t xml:space="preserve">lobal </w:t>
      </w:r>
      <w:r w:rsidRPr="3388DF63" w:rsidR="001B1B4C">
        <w:rPr>
          <w:rFonts w:eastAsia="Segoe UI" w:cs="Segoe UI"/>
          <w:color w:val="000000"/>
        </w:rPr>
        <w:t>S</w:t>
      </w:r>
      <w:r w:rsidRPr="3388DF63">
        <w:rPr>
          <w:rFonts w:eastAsia="Segoe UI" w:cs="Segoe UI"/>
          <w:color w:val="000000"/>
        </w:rPr>
        <w:t>outh</w:t>
      </w:r>
      <w:r w:rsidRPr="00D75194">
        <w:rPr>
          <w:rFonts w:eastAsia="Segoe UI" w:cs="Segoe UI"/>
          <w:color w:val="000000"/>
        </w:rPr>
        <w:t xml:space="preserve"> to support implementation (12) greatly </w:t>
      </w:r>
      <w:r w:rsidRPr="00D75194" w:rsidR="006D4FDD">
        <w:rPr>
          <w:rFonts w:eastAsia="Segoe UI" w:cs="Segoe UI"/>
          <w:color w:val="000000"/>
        </w:rPr>
        <w:t xml:space="preserve">exceeding </w:t>
      </w:r>
      <w:r w:rsidRPr="00D75194">
        <w:rPr>
          <w:rFonts w:eastAsia="Segoe UI" w:cs="Segoe UI"/>
          <w:color w:val="000000"/>
        </w:rPr>
        <w:t>expectations (7) in 2025. When we interrogate this further, we find that the number of products/initiatives that supported countries to implement the goals of the Paris Agreement</w:t>
      </w:r>
      <w:r w:rsidRPr="00D75194" w:rsidR="00BD018D">
        <w:rPr>
          <w:rFonts w:eastAsia="Segoe UI" w:cs="Segoe UI"/>
          <w:color w:val="000000"/>
        </w:rPr>
        <w:t>—</w:t>
      </w:r>
      <w:r w:rsidRPr="00D75194">
        <w:rPr>
          <w:rFonts w:eastAsia="Segoe UI" w:cs="Segoe UI"/>
          <w:color w:val="000000"/>
        </w:rPr>
        <w:t>while slightly less than the target (13</w:t>
      </w:r>
      <w:r w:rsidRPr="00D75194" w:rsidR="00BD018D">
        <w:rPr>
          <w:rFonts w:eastAsia="Segoe UI" w:cs="Segoe UI"/>
          <w:color w:val="000000"/>
        </w:rPr>
        <w:t xml:space="preserve"> compared</w:t>
      </w:r>
      <w:r w:rsidRPr="00D75194">
        <w:rPr>
          <w:rFonts w:eastAsia="Segoe UI" w:cs="Segoe UI"/>
          <w:color w:val="000000"/>
        </w:rPr>
        <w:t xml:space="preserve"> to 15)</w:t>
      </w:r>
      <w:r w:rsidRPr="00D75194" w:rsidR="00BD018D">
        <w:rPr>
          <w:rFonts w:eastAsia="Segoe UI" w:cs="Segoe UI"/>
          <w:color w:val="000000"/>
        </w:rPr>
        <w:t>—</w:t>
      </w:r>
      <w:r w:rsidRPr="00D75194">
        <w:rPr>
          <w:rFonts w:eastAsia="Segoe UI" w:cs="Segoe UI"/>
          <w:color w:val="000000"/>
        </w:rPr>
        <w:t>arguably maintained momentum.</w:t>
      </w:r>
      <w:r w:rsidRPr="00D75194">
        <w:t xml:space="preserve"> </w:t>
      </w:r>
    </w:p>
    <w:p w:rsidRPr="00D75194" w:rsidR="00205BA3" w:rsidP="00A16349" w:rsidRDefault="00333DA3" w14:paraId="4E25FD22" w14:textId="3FDD8693">
      <w:pPr>
        <w:rPr>
          <w:rFonts w:eastAsia="Segoe UI" w:cs="Segoe UI"/>
          <w:color w:val="000000"/>
        </w:rPr>
      </w:pPr>
      <w:r w:rsidRPr="00D75194">
        <w:rPr>
          <w:rFonts w:eastAsia="Segoe UI" w:cs="Segoe UI"/>
          <w:color w:val="000000"/>
          <w:u w:val="single"/>
        </w:rPr>
        <w:t>Output 4:</w:t>
      </w:r>
      <w:r w:rsidRPr="00D75194">
        <w:rPr>
          <w:rFonts w:eastAsia="Segoe UI" w:cs="Segoe UI"/>
          <w:color w:val="000000"/>
        </w:rPr>
        <w:t xml:space="preserve"> Finally, it is of interest to consider the success of the OF (as set out in the preceding section). In both 2024 and 2025 the team exceeded the target by building on both existing projects (</w:t>
      </w:r>
      <w:r w:rsidRPr="00D75194" w:rsidR="008F5326">
        <w:rPr>
          <w:rFonts w:eastAsia="Segoe UI" w:cs="Segoe UI"/>
          <w:color w:val="000000"/>
        </w:rPr>
        <w:t xml:space="preserve">the </w:t>
      </w:r>
      <w:r w:rsidRPr="00D75194">
        <w:rPr>
          <w:rFonts w:eastAsia="Segoe UI" w:cs="Segoe UI"/>
          <w:color w:val="000000"/>
        </w:rPr>
        <w:t xml:space="preserve">NGP) and starting new projects. The results demonstrate the very useful nature of </w:t>
      </w:r>
      <w:r w:rsidRPr="3388DF63">
        <w:rPr>
          <w:rFonts w:eastAsia="Segoe UI" w:cs="Segoe UI"/>
          <w:color w:val="000000"/>
        </w:rPr>
        <w:t>th</w:t>
      </w:r>
      <w:r w:rsidRPr="3388DF63" w:rsidR="22D5DB19">
        <w:rPr>
          <w:rFonts w:eastAsia="Segoe UI" w:cs="Segoe UI"/>
          <w:color w:val="000000"/>
        </w:rPr>
        <w:t xml:space="preserve">is </w:t>
      </w:r>
      <w:r w:rsidRPr="3388DF63">
        <w:rPr>
          <w:rFonts w:eastAsia="Segoe UI" w:cs="Segoe UI"/>
          <w:color w:val="000000"/>
        </w:rPr>
        <w:t xml:space="preserve">fund </w:t>
      </w:r>
      <w:r w:rsidRPr="00D75194">
        <w:rPr>
          <w:rFonts w:eastAsia="Segoe UI" w:cs="Segoe UI"/>
          <w:color w:val="000000"/>
        </w:rPr>
        <w:t xml:space="preserve">(see </w:t>
      </w:r>
      <w:r w:rsidRPr="00D75194" w:rsidR="00FD3AEA">
        <w:rPr>
          <w:rFonts w:eastAsia="Segoe UI" w:cs="Segoe UI"/>
          <w:color w:val="000000"/>
        </w:rPr>
        <w:t xml:space="preserve">Figure </w:t>
      </w:r>
      <w:r w:rsidRPr="00D75194">
        <w:rPr>
          <w:rFonts w:eastAsia="Segoe UI" w:cs="Segoe UI"/>
          <w:color w:val="000000"/>
        </w:rPr>
        <w:t>10).</w:t>
      </w:r>
      <w:r w:rsidRPr="00D75194" w:rsidDel="006B601D">
        <w:rPr>
          <w:rFonts w:eastAsia="Segoe UI" w:cs="Segoe UI"/>
          <w:color w:val="000000"/>
        </w:rPr>
        <w:t xml:space="preserve"> </w:t>
      </w:r>
    </w:p>
    <w:p w:rsidRPr="00D75194" w:rsidR="00205BA3" w:rsidP="00A16349" w:rsidRDefault="00776AC7" w14:paraId="6B077D6A" w14:textId="1075E64C">
      <w:r w:rsidRPr="00D75194">
        <w:rPr>
          <w:rStyle w:val="normaltextrun"/>
          <w:rFonts w:eastAsia="Segoe UI" w:cs="Segoe UI"/>
          <w:b/>
          <w:bCs/>
          <w:color w:val="000000"/>
        </w:rPr>
        <w:t xml:space="preserve">EQ </w:t>
      </w:r>
      <w:r w:rsidRPr="00D75194" w:rsidR="00A16349">
        <w:rPr>
          <w:rStyle w:val="normaltextrun"/>
          <w:rFonts w:eastAsia="Segoe UI" w:cs="Segoe UI"/>
          <w:b/>
          <w:bCs/>
          <w:color w:val="000000"/>
        </w:rPr>
        <w:t>4.2: What are the main internal and external factors which have enabled or hindered CASA II</w:t>
      </w:r>
      <w:r w:rsidRPr="00D75194" w:rsidR="00AC0C81">
        <w:rPr>
          <w:rStyle w:val="normaltextrun"/>
          <w:rFonts w:eastAsia="Segoe UI" w:cs="Segoe UI"/>
          <w:b/>
          <w:bCs/>
          <w:color w:val="000000"/>
        </w:rPr>
        <w:t>-</w:t>
      </w:r>
      <w:r w:rsidRPr="00D75194" w:rsidR="00A16349">
        <w:rPr>
          <w:rStyle w:val="normaltextrun"/>
          <w:rFonts w:eastAsia="Segoe UI" w:cs="Segoe UI"/>
          <w:b/>
          <w:bCs/>
          <w:color w:val="000000"/>
        </w:rPr>
        <w:t>supported results?</w:t>
      </w:r>
      <w:r w:rsidRPr="00D75194" w:rsidR="00A16349">
        <w:rPr>
          <w:rStyle w:val="FootnoteReference"/>
          <w:rFonts w:eastAsia="Segoe UI" w:cs="Segoe UI"/>
          <w:b/>
          <w:bCs/>
          <w:color w:val="000000"/>
        </w:rPr>
        <w:footnoteReference w:id="19"/>
      </w:r>
    </w:p>
    <w:p w:rsidRPr="00D75194" w:rsidR="00BF265A" w:rsidP="00A16349" w:rsidRDefault="00B0059C" w14:paraId="74A5E26C" w14:textId="48DC0B06">
      <w:pPr>
        <w:rPr>
          <w:rFonts w:eastAsia="Segoe UI" w:cs="Segoe UI"/>
          <w:color w:val="000000"/>
        </w:rPr>
      </w:pPr>
      <w:r w:rsidRPr="00D75194">
        <w:rPr>
          <w:rFonts w:eastAsia="Segoe UI" w:cs="Segoe UI"/>
          <w:b/>
          <w:bCs/>
          <w:color w:val="000000"/>
        </w:rPr>
        <w:t>Evidence suggests that it is the combination of several internal enabling factors</w:t>
      </w:r>
      <w:r w:rsidRPr="00D75194" w:rsidR="00AC0C81">
        <w:rPr>
          <w:rFonts w:eastAsia="Segoe UI" w:cs="Segoe UI"/>
          <w:b/>
          <w:bCs/>
          <w:color w:val="000000"/>
        </w:rPr>
        <w:t xml:space="preserve"> that</w:t>
      </w:r>
      <w:r w:rsidRPr="00D75194">
        <w:rPr>
          <w:rFonts w:eastAsia="Segoe UI" w:cs="Segoe UI"/>
          <w:b/>
          <w:bCs/>
          <w:color w:val="000000"/>
        </w:rPr>
        <w:t xml:space="preserve">, as a package, </w:t>
      </w:r>
      <w:r w:rsidRPr="00D75194" w:rsidR="00A918BD">
        <w:rPr>
          <w:rFonts w:eastAsia="Segoe UI" w:cs="Segoe UI"/>
          <w:b/>
          <w:bCs/>
          <w:color w:val="000000"/>
        </w:rPr>
        <w:t xml:space="preserve">have </w:t>
      </w:r>
      <w:r w:rsidRPr="00D75194">
        <w:rPr>
          <w:rFonts w:eastAsia="Segoe UI" w:cs="Segoe UI"/>
          <w:b/>
          <w:bCs/>
          <w:color w:val="000000"/>
        </w:rPr>
        <w:t>promoted the desired outcomes.</w:t>
      </w:r>
      <w:r w:rsidRPr="00D75194" w:rsidDel="006B601D">
        <w:rPr>
          <w:rFonts w:eastAsia="Segoe UI" w:cs="Segoe UI"/>
          <w:b/>
          <w:bCs/>
          <w:color w:val="000000"/>
        </w:rPr>
        <w:t xml:space="preserve"> </w:t>
      </w:r>
      <w:r w:rsidRPr="00D75194">
        <w:rPr>
          <w:rFonts w:eastAsia="Segoe UI" w:cs="Segoe UI"/>
          <w:color w:val="000000"/>
        </w:rPr>
        <w:t xml:space="preserve">Namely: i) </w:t>
      </w:r>
      <w:r w:rsidRPr="00D75194" w:rsidR="00AC0C81">
        <w:rPr>
          <w:rFonts w:eastAsia="Segoe UI" w:cs="Segoe UI"/>
          <w:color w:val="000000"/>
        </w:rPr>
        <w:t xml:space="preserve">the </w:t>
      </w:r>
      <w:r w:rsidRPr="00D75194">
        <w:rPr>
          <w:rFonts w:eastAsia="Segoe UI" w:cs="Segoe UI"/>
          <w:color w:val="000000"/>
        </w:rPr>
        <w:t>organisational memory and</w:t>
      </w:r>
      <w:r w:rsidRPr="00D75194" w:rsidR="00BF432D">
        <w:rPr>
          <w:rFonts w:eastAsia="Segoe UI" w:cs="Segoe UI"/>
          <w:color w:val="000000"/>
        </w:rPr>
        <w:t xml:space="preserve"> the</w:t>
      </w:r>
      <w:r w:rsidRPr="00D75194">
        <w:rPr>
          <w:rFonts w:eastAsia="Segoe UI" w:cs="Segoe UI"/>
          <w:color w:val="000000"/>
        </w:rPr>
        <w:t xml:space="preserve"> technical depth of partners; ii) trust-based relationships</w:t>
      </w:r>
      <w:r w:rsidRPr="00D75194" w:rsidR="00B44CD8">
        <w:rPr>
          <w:rFonts w:eastAsia="Segoe UI" w:cs="Segoe UI"/>
          <w:color w:val="000000"/>
        </w:rPr>
        <w:t>,</w:t>
      </w:r>
      <w:r w:rsidRPr="00D75194">
        <w:rPr>
          <w:rFonts w:eastAsia="Segoe UI" w:cs="Segoe UI"/>
          <w:color w:val="000000"/>
        </w:rPr>
        <w:t xml:space="preserve"> which enable convening; iii) the leadership of individual LDC Group </w:t>
      </w:r>
      <w:r w:rsidRPr="3388DF63" w:rsidR="00B44CD8">
        <w:rPr>
          <w:rFonts w:eastAsia="Segoe UI" w:cs="Segoe UI"/>
          <w:color w:val="000000"/>
        </w:rPr>
        <w:t>chairs</w:t>
      </w:r>
      <w:r w:rsidRPr="00D75194">
        <w:rPr>
          <w:rFonts w:eastAsia="Segoe UI" w:cs="Segoe UI"/>
          <w:color w:val="000000"/>
        </w:rPr>
        <w:t>; iv) the agility of some TP operating models</w:t>
      </w:r>
      <w:r w:rsidRPr="00D75194" w:rsidR="009002D9">
        <w:rPr>
          <w:rFonts w:eastAsia="Segoe UI" w:cs="Segoe UI"/>
          <w:color w:val="000000"/>
        </w:rPr>
        <w:t xml:space="preserve">; </w:t>
      </w:r>
      <w:r w:rsidRPr="00D75194">
        <w:rPr>
          <w:rFonts w:eastAsia="Segoe UI" w:cs="Segoe UI"/>
          <w:color w:val="000000"/>
        </w:rPr>
        <w:t>and</w:t>
      </w:r>
      <w:r w:rsidRPr="00D75194" w:rsidR="009002D9">
        <w:rPr>
          <w:rFonts w:eastAsia="Segoe UI" w:cs="Segoe UI"/>
          <w:color w:val="000000"/>
        </w:rPr>
        <w:t xml:space="preserve"> </w:t>
      </w:r>
      <w:r w:rsidRPr="00D75194">
        <w:rPr>
          <w:rFonts w:eastAsia="Segoe UI" w:cs="Segoe UI"/>
          <w:color w:val="000000"/>
        </w:rPr>
        <w:t xml:space="preserve">v) the use of the </w:t>
      </w:r>
      <w:r w:rsidRPr="00D75194" w:rsidR="00E60549">
        <w:rPr>
          <w:rFonts w:eastAsia="Segoe UI" w:cs="Segoe UI"/>
          <w:color w:val="000000"/>
        </w:rPr>
        <w:t>OF</w:t>
      </w:r>
      <w:r w:rsidRPr="00D75194">
        <w:rPr>
          <w:rFonts w:eastAsia="Segoe UI" w:cs="Segoe UI"/>
          <w:color w:val="000000"/>
        </w:rPr>
        <w:t xml:space="preserve"> as a springboard. Inhibiting factors which</w:t>
      </w:r>
      <w:r w:rsidRPr="00D75194" w:rsidR="00B44CD8">
        <w:rPr>
          <w:rFonts w:eastAsia="Segoe UI" w:cs="Segoe UI"/>
          <w:color w:val="000000"/>
        </w:rPr>
        <w:t xml:space="preserve"> have</w:t>
      </w:r>
      <w:r w:rsidRPr="00D75194">
        <w:rPr>
          <w:rFonts w:eastAsia="Segoe UI" w:cs="Segoe UI"/>
          <w:color w:val="000000"/>
        </w:rPr>
        <w:t xml:space="preserve"> impeded this package of causal factors </w:t>
      </w:r>
      <w:r w:rsidRPr="3388DF63" w:rsidR="00F335F7">
        <w:rPr>
          <w:rFonts w:eastAsia="Segoe UI" w:cs="Segoe UI"/>
          <w:color w:val="000000"/>
        </w:rPr>
        <w:t>include</w:t>
      </w:r>
      <w:r w:rsidRPr="00D75194">
        <w:rPr>
          <w:rFonts w:eastAsia="Segoe UI" w:cs="Segoe UI"/>
          <w:color w:val="000000"/>
        </w:rPr>
        <w:t xml:space="preserve"> unequal access to TP resources and the financial constraints of CASA II’s funding model. </w:t>
      </w:r>
    </w:p>
    <w:p w:rsidRPr="00D75194" w:rsidR="00935EAB" w:rsidP="00A16349" w:rsidRDefault="00B0059C" w14:paraId="52E1CD6E" w14:textId="20FB7714">
      <w:pPr>
        <w:rPr>
          <w:rFonts w:eastAsia="Segoe UI" w:cs="Segoe UI"/>
          <w:color w:val="000000"/>
        </w:rPr>
      </w:pPr>
      <w:r w:rsidRPr="00D75194">
        <w:rPr>
          <w:rFonts w:eastAsia="Segoe UI" w:cs="Segoe UI"/>
          <w:b/>
          <w:bCs/>
          <w:color w:val="000000"/>
        </w:rPr>
        <w:t>While external barriers remain (e.g. structural participation and resourcing), the programme</w:t>
      </w:r>
      <w:r w:rsidRPr="00D75194" w:rsidR="00DC6ED2">
        <w:rPr>
          <w:rFonts w:eastAsia="Segoe UI" w:cs="Segoe UI"/>
          <w:b/>
          <w:bCs/>
          <w:color w:val="000000"/>
        </w:rPr>
        <w:t xml:space="preserve"> has</w:t>
      </w:r>
      <w:r w:rsidRPr="00D75194">
        <w:rPr>
          <w:rFonts w:eastAsia="Segoe UI" w:cs="Segoe UI"/>
          <w:b/>
          <w:bCs/>
          <w:color w:val="000000"/>
        </w:rPr>
        <w:t xml:space="preserve"> benefited from several favourable dynamics within the broader climate diplomacy ecosystem.</w:t>
      </w:r>
      <w:r w:rsidRPr="00D75194">
        <w:rPr>
          <w:rFonts w:eastAsia="Segoe UI" w:cs="Segoe UI"/>
          <w:color w:val="000000"/>
        </w:rPr>
        <w:t xml:space="preserve"> A growing emphasis on domestic implementation </w:t>
      </w:r>
      <w:r w:rsidRPr="00D75194" w:rsidR="00E83480">
        <w:rPr>
          <w:rFonts w:eastAsia="Segoe UI" w:cs="Segoe UI"/>
          <w:color w:val="000000"/>
        </w:rPr>
        <w:t xml:space="preserve">has </w:t>
      </w:r>
      <w:r w:rsidRPr="00D75194">
        <w:rPr>
          <w:rFonts w:eastAsia="Segoe UI" w:cs="Segoe UI"/>
          <w:color w:val="000000"/>
        </w:rPr>
        <w:t>created stronger national incentives to engage in negotiation processes. Wider sectoral trends</w:t>
      </w:r>
      <w:r w:rsidRPr="00D75194" w:rsidR="00CF2BFF">
        <w:rPr>
          <w:rFonts w:eastAsia="Segoe UI" w:cs="Segoe UI"/>
          <w:color w:val="000000"/>
        </w:rPr>
        <w:t xml:space="preserve"> have</w:t>
      </w:r>
      <w:r w:rsidRPr="00D75194">
        <w:rPr>
          <w:rFonts w:eastAsia="Segoe UI" w:cs="Segoe UI"/>
          <w:color w:val="000000"/>
        </w:rPr>
        <w:t xml:space="preserve"> further reinformed programme outcomes. The expanding youth diplomacy ecosystem</w:t>
      </w:r>
      <w:r w:rsidRPr="00D75194" w:rsidR="00CF2BFF">
        <w:rPr>
          <w:rFonts w:eastAsia="Segoe UI" w:cs="Segoe UI"/>
          <w:color w:val="000000"/>
        </w:rPr>
        <w:t xml:space="preserve"> has</w:t>
      </w:r>
      <w:r w:rsidRPr="00D75194">
        <w:rPr>
          <w:rFonts w:eastAsia="Segoe UI" w:cs="Segoe UI"/>
          <w:color w:val="000000"/>
        </w:rPr>
        <w:t xml:space="preserve"> improved thematic coordination capacity, and deepening collaboration with other negotiation blocks</w:t>
      </w:r>
      <w:r w:rsidRPr="00D75194" w:rsidR="000A3279">
        <w:rPr>
          <w:rFonts w:eastAsia="Segoe UI" w:cs="Segoe UI"/>
          <w:color w:val="000000"/>
        </w:rPr>
        <w:t xml:space="preserve"> has</w:t>
      </w:r>
      <w:r w:rsidRPr="00D75194">
        <w:rPr>
          <w:rFonts w:eastAsia="Segoe UI" w:cs="Segoe UI"/>
          <w:color w:val="000000"/>
        </w:rPr>
        <w:t xml:space="preserve"> collectively strengthened the negotiating position of LDCs on critical agenda items</w:t>
      </w:r>
      <w:r w:rsidRPr="00D75194" w:rsidR="00A647FA">
        <w:rPr>
          <w:rFonts w:eastAsia="Segoe UI" w:cs="Segoe UI"/>
          <w:color w:val="000000"/>
        </w:rPr>
        <w:t>,</w:t>
      </w:r>
      <w:r w:rsidRPr="00D75194">
        <w:rPr>
          <w:rFonts w:eastAsia="Segoe UI" w:cs="Segoe UI"/>
          <w:color w:val="000000"/>
        </w:rPr>
        <w:t xml:space="preserve"> such as Loss and Damage. </w:t>
      </w:r>
    </w:p>
    <w:p w:rsidRPr="00D75194" w:rsidR="00620BF1" w:rsidP="00AD0D28" w:rsidRDefault="00ED4646" w14:paraId="18FCCD6F" w14:textId="56A13D2B">
      <w:pPr>
        <w:pStyle w:val="Heading2"/>
      </w:pPr>
      <w:bookmarkStart w:name="_Toc214452916" w:id="89"/>
      <w:bookmarkStart w:name="_Hlk204779695" w:id="90"/>
      <w:r w:rsidRPr="00D75194">
        <w:t>I</w:t>
      </w:r>
      <w:r w:rsidRPr="00D75194" w:rsidDel="00620BF1" w:rsidR="00B71EEF">
        <w:t>mpact</w:t>
      </w:r>
      <w:bookmarkEnd w:id="89"/>
    </w:p>
    <w:tbl>
      <w:tblPr>
        <w:tblStyle w:val="TableGrid"/>
        <w:tblpPr w:leftFromText="180" w:rightFromText="180" w:vertAnchor="text" w:horzAnchor="margin" w:tblpY="301"/>
        <w:tblW w:w="0" w:type="auto"/>
        <w:tblLook w:val="04A0" w:firstRow="1" w:lastRow="0" w:firstColumn="1" w:lastColumn="0" w:noHBand="0" w:noVBand="1"/>
      </w:tblPr>
      <w:tblGrid>
        <w:gridCol w:w="9854"/>
      </w:tblGrid>
      <w:tr w:rsidRPr="00D75194" w:rsidR="00CA741F" w:rsidTr="00CA741F" w14:paraId="513F0DAD" w14:textId="77777777">
        <w:trPr>
          <w:trHeight w:val="813"/>
        </w:trPr>
        <w:tc>
          <w:tcPr>
            <w:tcW w:w="9854" w:type="dxa"/>
            <w:shd w:val="clear" w:color="auto" w:fill="C4D5D3" w:themeFill="accent1"/>
            <w:vAlign w:val="center"/>
          </w:tcPr>
          <w:p w:rsidRPr="00D75194" w:rsidR="00CA741F" w:rsidP="00CA741F" w:rsidRDefault="00620BF1" w14:paraId="1AABF0BC" w14:textId="0F9BC4CA">
            <w:pPr>
              <w:pStyle w:val="NoSpacing"/>
              <w:jc w:val="center"/>
              <w:rPr>
                <w:b/>
                <w:bCs/>
              </w:rPr>
            </w:pPr>
            <w:bookmarkStart w:name="_Toc201170739" w:id="91"/>
            <w:bookmarkStart w:name="_Toc201170742" w:id="92"/>
            <w:bookmarkEnd w:id="91"/>
            <w:bookmarkEnd w:id="92"/>
            <w:r w:rsidRPr="00D75194">
              <w:rPr>
                <w:b/>
                <w:bCs/>
              </w:rPr>
              <w:t>E</w:t>
            </w:r>
            <w:r w:rsidRPr="00D75194" w:rsidR="00CA741F">
              <w:rPr>
                <w:b/>
                <w:bCs/>
              </w:rPr>
              <w:t xml:space="preserve">Q 5: </w:t>
            </w:r>
            <w:r w:rsidRPr="00D75194" w:rsidR="00CA741F">
              <w:rPr>
                <w:rStyle w:val="normaltextrun"/>
                <w:rFonts w:eastAsia="Segoe UI" w:cs="Segoe UI"/>
                <w:b/>
                <w:bCs/>
                <w:color w:val="000000"/>
              </w:rPr>
              <w:t>To what extent is the UK's support to country negotiators and negotiating groups under CASA II contributing to</w:t>
            </w:r>
            <w:r w:rsidRPr="00D75194" w:rsidR="00C22F13">
              <w:rPr>
                <w:rStyle w:val="normaltextrun"/>
                <w:rFonts w:eastAsia="Segoe UI" w:cs="Segoe UI"/>
                <w:b/>
                <w:bCs/>
                <w:color w:val="000000"/>
              </w:rPr>
              <w:t>,</w:t>
            </w:r>
            <w:r w:rsidRPr="00D75194" w:rsidR="00CA741F">
              <w:rPr>
                <w:rStyle w:val="normaltextrun"/>
                <w:rFonts w:eastAsia="Segoe UI" w:cs="Segoe UI"/>
                <w:b/>
                <w:bCs/>
                <w:color w:val="000000"/>
              </w:rPr>
              <w:t xml:space="preserve"> or expected to contribute to</w:t>
            </w:r>
            <w:r w:rsidRPr="00D75194" w:rsidR="00C22F13">
              <w:rPr>
                <w:rStyle w:val="normaltextrun"/>
                <w:rFonts w:eastAsia="Segoe UI" w:cs="Segoe UI"/>
                <w:b/>
                <w:bCs/>
                <w:color w:val="000000"/>
              </w:rPr>
              <w:t>,</w:t>
            </w:r>
            <w:r w:rsidRPr="00D75194" w:rsidR="00CA741F">
              <w:rPr>
                <w:rStyle w:val="normaltextrun"/>
                <w:rFonts w:eastAsia="Segoe UI" w:cs="Segoe UI"/>
                <w:b/>
                <w:bCs/>
                <w:color w:val="000000"/>
              </w:rPr>
              <w:t xml:space="preserve"> its intended impact?</w:t>
            </w:r>
          </w:p>
        </w:tc>
      </w:tr>
    </w:tbl>
    <w:p w:rsidRPr="00D75194" w:rsidR="0085AEC8" w:rsidP="6DC9DB9F" w:rsidRDefault="00F66357" w14:paraId="057338A2" w14:textId="62C97596">
      <w:pPr>
        <w:spacing w:after="160" w:line="276" w:lineRule="auto"/>
        <w:rPr>
          <w:rFonts w:asciiTheme="minorHAnsi" w:hAnsiTheme="minorHAnsi" w:eastAsiaTheme="minorEastAsia"/>
          <w:b/>
        </w:rPr>
      </w:pPr>
      <w:r w:rsidRPr="00D75194">
        <w:br/>
      </w:r>
      <w:r w:rsidRPr="00D75194" w:rsidR="0085AEC8">
        <w:rPr>
          <w:rFonts w:asciiTheme="minorHAnsi" w:hAnsiTheme="minorHAnsi" w:eastAsiaTheme="minorEastAsia"/>
          <w:b/>
        </w:rPr>
        <w:t xml:space="preserve">Summary: </w:t>
      </w:r>
    </w:p>
    <w:bookmarkEnd w:id="90"/>
    <w:p w:rsidRPr="00D75194" w:rsidR="00C22F13" w:rsidP="00C22F13" w:rsidRDefault="00C22F13" w14:paraId="3400ABF3" w14:textId="7972537D">
      <w:pPr>
        <w:spacing w:after="160" w:line="276" w:lineRule="auto"/>
        <w:rPr>
          <w:rFonts w:eastAsia="MS Mincho" w:cs="Times New Roman"/>
        </w:rPr>
      </w:pPr>
      <w:r w:rsidRPr="00D75194">
        <w:rPr>
          <w:rFonts w:eastAsia="MS Mincho" w:cs="Times New Roman"/>
          <w:b/>
          <w:bCs/>
        </w:rPr>
        <w:t>CASA II has made critical and important contributions to achieving a fairer negotiation process that includes meaningful participation from groups of high</w:t>
      </w:r>
      <w:r w:rsidR="005C4FFA">
        <w:rPr>
          <w:rFonts w:eastAsia="MS Mincho" w:cs="Times New Roman"/>
          <w:b/>
          <w:bCs/>
        </w:rPr>
        <w:t xml:space="preserve"> </w:t>
      </w:r>
      <w:r w:rsidRPr="00D75194">
        <w:rPr>
          <w:rFonts w:eastAsia="MS Mincho" w:cs="Times New Roman"/>
          <w:b/>
          <w:bCs/>
        </w:rPr>
        <w:t xml:space="preserve">ambition developing countries and has negotiated outcomes that reflect the positions of these groups. </w:t>
      </w:r>
      <w:r w:rsidRPr="00D75194">
        <w:rPr>
          <w:rFonts w:eastAsia="MS Mincho" w:cs="Times New Roman"/>
        </w:rPr>
        <w:t xml:space="preserve">We can see CASA’s impact occurring across four different planes: </w:t>
      </w:r>
      <w:r w:rsidRPr="00D75194">
        <w:rPr>
          <w:rFonts w:eastAsia="MS Mincho" w:cs="Times New Roman"/>
          <w:b/>
          <w:bCs/>
        </w:rPr>
        <w:t>individual capacity</w:t>
      </w:r>
      <w:r w:rsidRPr="00D75194">
        <w:rPr>
          <w:rFonts w:eastAsia="MS Mincho" w:cs="Times New Roman"/>
        </w:rPr>
        <w:t xml:space="preserve">, </w:t>
      </w:r>
      <w:r w:rsidRPr="00D75194">
        <w:rPr>
          <w:rFonts w:eastAsia="MS Mincho" w:cs="Times New Roman"/>
          <w:b/>
          <w:bCs/>
        </w:rPr>
        <w:t>organisational capability</w:t>
      </w:r>
      <w:r w:rsidRPr="00D75194">
        <w:rPr>
          <w:rFonts w:eastAsia="MS Mincho" w:cs="Times New Roman"/>
        </w:rPr>
        <w:t xml:space="preserve">, </w:t>
      </w:r>
      <w:r w:rsidRPr="00D75194">
        <w:rPr>
          <w:rFonts w:eastAsia="MS Mincho" w:cs="Times New Roman"/>
          <w:b/>
          <w:bCs/>
        </w:rPr>
        <w:t>institutional change</w:t>
      </w:r>
      <w:r w:rsidRPr="00D75194">
        <w:rPr>
          <w:rFonts w:eastAsia="MS Mincho" w:cs="Times New Roman"/>
        </w:rPr>
        <w:t xml:space="preserve">, and </w:t>
      </w:r>
      <w:r w:rsidRPr="00D75194">
        <w:rPr>
          <w:rFonts w:eastAsia="MS Mincho" w:cs="Times New Roman"/>
          <w:b/>
          <w:bCs/>
        </w:rPr>
        <w:t>normative gains</w:t>
      </w:r>
      <w:r w:rsidRPr="00D75194">
        <w:rPr>
          <w:rFonts w:eastAsia="MS Mincho" w:cs="Times New Roman"/>
        </w:rPr>
        <w:t xml:space="preserve">. The following impact analysis is framed around these four areas. </w:t>
      </w:r>
    </w:p>
    <w:p w:rsidRPr="00D75194" w:rsidR="00C22F13" w:rsidP="00C22F13" w:rsidRDefault="00C22F13" w14:paraId="18D15D80" w14:textId="0558A0F1">
      <w:pPr>
        <w:rPr>
          <w:rFonts w:eastAsia="Segoe UI" w:cs="Times New Roman"/>
        </w:rPr>
      </w:pPr>
      <w:r w:rsidRPr="00D75194">
        <w:rPr>
          <w:rFonts w:eastAsia="Segoe UI" w:cs="Times New Roman"/>
          <w:b/>
          <w:bCs/>
        </w:rPr>
        <w:t>Global South negotiators have significantly increased their capacity and capability to engage in international climate negotiations.</w:t>
      </w:r>
      <w:r w:rsidRPr="00D75194">
        <w:rPr>
          <w:rFonts w:eastAsia="Segoe UI" w:cs="Times New Roman"/>
        </w:rPr>
        <w:t xml:space="preserve"> Critical contributions are evident in the individual negotiator capacity building and increased organisational capabilities that CASA has invested in, such as the LDC Group developing into a more formalised organisation, developing and growing </w:t>
      </w:r>
      <w:r w:rsidRPr="595E6A56">
        <w:rPr>
          <w:rFonts w:eastAsia="Segoe UI" w:cs="Times New Roman"/>
        </w:rPr>
        <w:t>its</w:t>
      </w:r>
      <w:r w:rsidRPr="00D75194">
        <w:rPr>
          <w:rFonts w:eastAsia="Segoe UI" w:cs="Times New Roman"/>
        </w:rPr>
        <w:t xml:space="preserve"> systems and processes </w:t>
      </w:r>
      <w:r w:rsidRPr="595E6A56">
        <w:rPr>
          <w:rFonts w:eastAsia="Segoe UI" w:cs="Times New Roman"/>
        </w:rPr>
        <w:t>so</w:t>
      </w:r>
      <w:r w:rsidRPr="00D75194">
        <w:rPr>
          <w:rFonts w:eastAsia="Segoe UI" w:cs="Times New Roman"/>
        </w:rPr>
        <w:t xml:space="preserve"> that it is a more resilient and influential </w:t>
      </w:r>
      <w:r w:rsidRPr="595E6A56">
        <w:rPr>
          <w:rFonts w:eastAsia="Segoe UI" w:cs="Times New Roman"/>
        </w:rPr>
        <w:t>agent</w:t>
      </w:r>
      <w:r w:rsidRPr="00D75194">
        <w:rPr>
          <w:rFonts w:eastAsia="Segoe UI" w:cs="Times New Roman"/>
        </w:rPr>
        <w:t xml:space="preserve"> in the climate negotiations landscape. </w:t>
      </w:r>
    </w:p>
    <w:p w:rsidRPr="00D75194" w:rsidR="00C22F13" w:rsidP="00C22F13" w:rsidRDefault="00C22F13" w14:paraId="32FCB145" w14:textId="642BEDA9">
      <w:pPr>
        <w:rPr>
          <w:rFonts w:eastAsia="Segoe UI" w:cs="Times New Roman"/>
        </w:rPr>
      </w:pPr>
      <w:r w:rsidRPr="00D75194">
        <w:rPr>
          <w:rFonts w:eastAsia="Segoe UI" w:cs="Times New Roman"/>
          <w:b/>
          <w:bCs/>
        </w:rPr>
        <w:t xml:space="preserve">There is some evidence that CASA has made important contributions to </w:t>
      </w:r>
      <w:r w:rsidRPr="31C35D80">
        <w:rPr>
          <w:rFonts w:eastAsia="Segoe UI" w:cs="Times New Roman"/>
          <w:b/>
          <w:bCs/>
        </w:rPr>
        <w:t>enabling</w:t>
      </w:r>
      <w:r w:rsidRPr="00D75194">
        <w:rPr>
          <w:rFonts w:eastAsia="Segoe UI" w:cs="Times New Roman"/>
          <w:b/>
          <w:bCs/>
        </w:rPr>
        <w:t xml:space="preserve"> negotiating groups to access, engage in, and influence climate negotiations.</w:t>
      </w:r>
      <w:r w:rsidRPr="00D75194">
        <w:rPr>
          <w:rFonts w:eastAsia="Segoe UI" w:cs="Times New Roman"/>
        </w:rPr>
        <w:t xml:space="preserve"> These findings relate to the institutional changes and normative gains that CASA has supported. </w:t>
      </w:r>
      <w:r w:rsidRPr="31C35D80">
        <w:rPr>
          <w:rFonts w:eastAsia="Segoe UI" w:cs="Times New Roman"/>
        </w:rPr>
        <w:t>However</w:t>
      </w:r>
      <w:r w:rsidRPr="00D75194">
        <w:rPr>
          <w:rFonts w:eastAsia="Segoe UI" w:cs="Times New Roman"/>
        </w:rPr>
        <w:t xml:space="preserve">, the degree of contribution at this level becomes more </w:t>
      </w:r>
      <w:r w:rsidRPr="03201961" w:rsidR="40AA813C">
        <w:rPr>
          <w:rFonts w:eastAsia="Segoe UI" w:cs="Times New Roman"/>
        </w:rPr>
        <w:t>difficult to validate</w:t>
      </w:r>
      <w:r w:rsidRPr="00D75194">
        <w:rPr>
          <w:rFonts w:eastAsia="Segoe UI" w:cs="Times New Roman"/>
        </w:rPr>
        <w:t xml:space="preserve"> given the very complex environment in which such decisions and changes occur. Examples include </w:t>
      </w:r>
      <w:r w:rsidRPr="00D75194">
        <w:rPr>
          <w:rFonts w:eastAsia="Segoe UI" w:cs="Times New Roman"/>
        </w:rPr>
        <w:t xml:space="preserve">Independent Diplomat, which was pointed to for playing a vital role in supporting RMI and for its role as the </w:t>
      </w:r>
      <w:r w:rsidRPr="03201961">
        <w:rPr>
          <w:rFonts w:eastAsia="Segoe UI" w:cs="Times New Roman"/>
        </w:rPr>
        <w:t>chair</w:t>
      </w:r>
      <w:r w:rsidRPr="00D75194">
        <w:rPr>
          <w:rFonts w:eastAsia="Segoe UI" w:cs="Times New Roman"/>
        </w:rPr>
        <w:t xml:space="preserve"> of the HAC, which has in turn influenced more ambitious outcomes by the HAC. </w:t>
      </w:r>
    </w:p>
    <w:p w:rsidRPr="00D75194" w:rsidR="00C22F13" w:rsidP="00C22F13" w:rsidRDefault="00C22F13" w14:paraId="23297FA2" w14:textId="368D5C58">
      <w:pPr>
        <w:rPr>
          <w:rFonts w:eastAsia="Segoe UI" w:cs="Times New Roman"/>
        </w:rPr>
      </w:pPr>
      <w:r w:rsidRPr="00D75194">
        <w:rPr>
          <w:rFonts w:eastAsia="Segoe UI" w:cs="Times New Roman"/>
          <w:b/>
          <w:bCs/>
        </w:rPr>
        <w:t xml:space="preserve">Normative gains relate to the aspect of CASA’s objectives of “a fairer negotiation </w:t>
      </w:r>
      <w:r w:rsidRPr="03201961">
        <w:rPr>
          <w:rFonts w:eastAsia="Segoe UI" w:cs="Times New Roman"/>
          <w:b/>
          <w:bCs/>
        </w:rPr>
        <w:t>process</w:t>
      </w:r>
      <w:r w:rsidRPr="00D75194">
        <w:rPr>
          <w:rFonts w:eastAsia="Segoe UI" w:cs="Times New Roman"/>
          <w:b/>
          <w:bCs/>
        </w:rPr>
        <w:t xml:space="preserve">” and </w:t>
      </w:r>
      <w:r w:rsidRPr="03201961">
        <w:rPr>
          <w:rFonts w:eastAsia="Segoe UI" w:cs="Times New Roman"/>
          <w:b/>
          <w:bCs/>
        </w:rPr>
        <w:t>“</w:t>
      </w:r>
      <w:r w:rsidRPr="00D75194">
        <w:rPr>
          <w:rFonts w:eastAsia="Segoe UI" w:cs="Times New Roman"/>
          <w:b/>
          <w:bCs/>
        </w:rPr>
        <w:t xml:space="preserve">meaningful </w:t>
      </w:r>
      <w:r w:rsidRPr="03201961">
        <w:rPr>
          <w:rFonts w:eastAsia="Segoe UI" w:cs="Times New Roman"/>
          <w:b/>
          <w:bCs/>
        </w:rPr>
        <w:t>participation</w:t>
      </w:r>
      <w:r w:rsidRPr="00D75194">
        <w:rPr>
          <w:rFonts w:eastAsia="Segoe UI" w:cs="Times New Roman"/>
          <w:b/>
          <w:bCs/>
        </w:rPr>
        <w:t>” around climate negotiations.</w:t>
      </w:r>
      <w:r w:rsidRPr="00D75194">
        <w:rPr>
          <w:rFonts w:eastAsia="Segoe UI" w:cs="Times New Roman"/>
        </w:rPr>
        <w:t xml:space="preserve"> Based on responses from stakeholders, </w:t>
      </w:r>
      <w:r w:rsidRPr="03201961">
        <w:rPr>
          <w:rFonts w:eastAsia="Segoe UI" w:cs="Times New Roman"/>
        </w:rPr>
        <w:t>“</w:t>
      </w:r>
      <w:r w:rsidRPr="00D75194">
        <w:rPr>
          <w:rFonts w:eastAsia="Segoe UI" w:cs="Times New Roman"/>
        </w:rPr>
        <w:t xml:space="preserve">fairer negotiation </w:t>
      </w:r>
      <w:r w:rsidRPr="03201961">
        <w:rPr>
          <w:rFonts w:eastAsia="Segoe UI" w:cs="Times New Roman"/>
        </w:rPr>
        <w:t>processes</w:t>
      </w:r>
      <w:r w:rsidRPr="00D75194">
        <w:rPr>
          <w:rFonts w:eastAsia="Segoe UI" w:cs="Times New Roman"/>
        </w:rPr>
        <w:t xml:space="preserve">” are generally seen to relate to the inclusion (attendance and participation) of marginalised or otherwise excluded voices in climate negotiations. </w:t>
      </w:r>
      <w:r w:rsidRPr="03201961">
        <w:rPr>
          <w:rFonts w:eastAsia="Segoe UI" w:cs="Times New Roman"/>
        </w:rPr>
        <w:t>Based</w:t>
      </w:r>
      <w:r w:rsidRPr="00D75194">
        <w:rPr>
          <w:rFonts w:eastAsia="Segoe UI" w:cs="Times New Roman"/>
        </w:rPr>
        <w:t xml:space="preserve"> on this view, there is strong evidence of CASA making critical contributions to fairer negotiation processes. For </w:t>
      </w:r>
      <w:r w:rsidRPr="03201961">
        <w:rPr>
          <w:rFonts w:eastAsia="Segoe UI" w:cs="Times New Roman"/>
        </w:rPr>
        <w:t>“</w:t>
      </w:r>
      <w:r w:rsidRPr="00D75194">
        <w:rPr>
          <w:rFonts w:eastAsia="Segoe UI" w:cs="Times New Roman"/>
        </w:rPr>
        <w:t xml:space="preserve">meaningful participation”, this relates to CASA’s support to participants’ ability to </w:t>
      </w:r>
      <w:r w:rsidRPr="4E54515E" w:rsidR="0D3A443A">
        <w:rPr>
          <w:rFonts w:eastAsia="Segoe UI" w:cs="Times New Roman"/>
        </w:rPr>
        <w:t>understand and apply technical</w:t>
      </w:r>
      <w:r w:rsidRPr="00D75194">
        <w:rPr>
          <w:rFonts w:eastAsia="Segoe UI" w:cs="Times New Roman"/>
        </w:rPr>
        <w:t xml:space="preserve"> knowledge, to understand the complex processes around the negotiations, and for both individuals and groups to </w:t>
      </w:r>
      <w:proofErr w:type="gramStart"/>
      <w:r w:rsidRPr="00D75194">
        <w:rPr>
          <w:rFonts w:eastAsia="Segoe UI" w:cs="Times New Roman"/>
        </w:rPr>
        <w:t>actually wield</w:t>
      </w:r>
      <w:proofErr w:type="gramEnd"/>
      <w:r w:rsidRPr="00D75194">
        <w:rPr>
          <w:rFonts w:eastAsia="Segoe UI" w:cs="Times New Roman"/>
        </w:rPr>
        <w:t xml:space="preserve"> influence over negotiation outcomes, for which there is similarly strong evidence of critical contributions from CASA. </w:t>
      </w:r>
    </w:p>
    <w:p w:rsidRPr="00D75194" w:rsidR="00C22F13" w:rsidP="00C22F13" w:rsidRDefault="00C22F13" w14:paraId="0A121BFB" w14:textId="65DEE5EE">
      <w:pPr>
        <w:rPr>
          <w:rFonts w:eastAsia="Segoe UI" w:cs="Times New Roman"/>
        </w:rPr>
      </w:pPr>
      <w:r w:rsidRPr="00D75194">
        <w:rPr>
          <w:rFonts w:eastAsia="Segoe UI" w:cs="Times New Roman"/>
          <w:b/>
          <w:bCs/>
        </w:rPr>
        <w:t xml:space="preserve">There is </w:t>
      </w:r>
      <w:r w:rsidRPr="5C62F8C9">
        <w:rPr>
          <w:rFonts w:eastAsia="Aptos" w:cs="Arial"/>
          <w:b/>
        </w:rPr>
        <w:t>some evidence</w:t>
      </w:r>
      <w:r w:rsidRPr="00D75194">
        <w:rPr>
          <w:rFonts w:eastAsia="Segoe UI" w:cs="Times New Roman"/>
          <w:b/>
          <w:bCs/>
        </w:rPr>
        <w:t xml:space="preserve"> of CASA making </w:t>
      </w:r>
      <w:r w:rsidRPr="5C62F8C9">
        <w:rPr>
          <w:rFonts w:eastAsia="Aptos" w:cs="Arial"/>
          <w:b/>
        </w:rPr>
        <w:t>some contribution</w:t>
      </w:r>
      <w:r w:rsidRPr="00D75194">
        <w:rPr>
          <w:rFonts w:eastAsia="Segoe UI" w:cs="Times New Roman"/>
          <w:b/>
          <w:bCs/>
        </w:rPr>
        <w:t xml:space="preserve"> to enabling national actors to implement international commitments at the domestic level.</w:t>
      </w:r>
      <w:r w:rsidRPr="00D75194">
        <w:rPr>
          <w:rFonts w:eastAsia="Segoe UI" w:cs="Times New Roman"/>
        </w:rPr>
        <w:t xml:space="preserve"> </w:t>
      </w:r>
      <w:r w:rsidRPr="5C62F8C9">
        <w:rPr>
          <w:rFonts w:eastAsia="Aptos" w:cs="Arial"/>
        </w:rPr>
        <w:t xml:space="preserve">As </w:t>
      </w:r>
      <w:r w:rsidRPr="00D75194">
        <w:rPr>
          <w:rFonts w:eastAsia="Segoe UI" w:cs="Times New Roman"/>
        </w:rPr>
        <w:t xml:space="preserve">this is a relatively recent area of focus for CASA, the accumulated evidence of its impact is still limited here. There are indications, however, that CASA may be on course to make important contributions in the years ahead if its trajectory of support </w:t>
      </w:r>
      <w:r w:rsidRPr="4E54515E">
        <w:rPr>
          <w:rFonts w:eastAsia="Segoe UI" w:cs="Times New Roman"/>
        </w:rPr>
        <w:t>remains</w:t>
      </w:r>
      <w:r w:rsidRPr="00D75194">
        <w:rPr>
          <w:rFonts w:eastAsia="Segoe UI" w:cs="Times New Roman"/>
        </w:rPr>
        <w:t xml:space="preserve"> consistent. </w:t>
      </w:r>
    </w:p>
    <w:p w:rsidRPr="00D75194" w:rsidR="00C22F13" w:rsidP="00C22F13" w:rsidRDefault="00C22F13" w14:paraId="73C83383" w14:textId="2F90FE98">
      <w:pPr>
        <w:rPr>
          <w:rFonts w:eastAsia="Segoe UI" w:cs="Times New Roman"/>
        </w:rPr>
      </w:pPr>
      <w:r w:rsidRPr="00D75194">
        <w:rPr>
          <w:rFonts w:eastAsia="Segoe UI" w:cs="Times New Roman"/>
          <w:b/>
          <w:bCs/>
        </w:rPr>
        <w:t>Unintended impacts are generally positive,</w:t>
      </w:r>
      <w:r w:rsidRPr="00D75194">
        <w:rPr>
          <w:rFonts w:eastAsia="Segoe UI" w:cs="Times New Roman"/>
        </w:rPr>
        <w:t xml:space="preserve"> with evidence of CASA support enabling expanded networks of negotiators, peripheral benefits from upskilling young negotiators (such as the involvement of youth in negotiations and their forming networks </w:t>
      </w:r>
      <w:r w:rsidRPr="7A4CE3CF">
        <w:rPr>
          <w:rFonts w:eastAsia="Segoe UI" w:cs="Times New Roman"/>
        </w:rPr>
        <w:t>with</w:t>
      </w:r>
      <w:r w:rsidRPr="00D75194">
        <w:rPr>
          <w:rFonts w:eastAsia="Segoe UI" w:cs="Times New Roman"/>
        </w:rPr>
        <w:t xml:space="preserve"> other youth negotiators</w:t>
      </w:r>
      <w:r w:rsidRPr="7A4CE3CF">
        <w:rPr>
          <w:rFonts w:eastAsia="Segoe UI" w:cs="Times New Roman"/>
        </w:rPr>
        <w:t>),</w:t>
      </w:r>
      <w:r w:rsidRPr="00D75194">
        <w:rPr>
          <w:rFonts w:eastAsia="Segoe UI" w:cs="Times New Roman"/>
        </w:rPr>
        <w:t xml:space="preserve"> leveraging external finances, and individuals’ </w:t>
      </w:r>
      <w:r w:rsidRPr="7A4CE3CF">
        <w:rPr>
          <w:rFonts w:eastAsia="Segoe UI" w:cs="Times New Roman"/>
        </w:rPr>
        <w:t>ascension</w:t>
      </w:r>
      <w:r w:rsidRPr="00D75194">
        <w:rPr>
          <w:rFonts w:eastAsia="Segoe UI" w:cs="Times New Roman"/>
        </w:rPr>
        <w:t xml:space="preserve"> to prominence </w:t>
      </w:r>
      <w:r w:rsidRPr="7A4CE3CF">
        <w:rPr>
          <w:rFonts w:eastAsia="Segoe UI" w:cs="Times New Roman"/>
        </w:rPr>
        <w:t>within</w:t>
      </w:r>
      <w:r w:rsidRPr="00D75194">
        <w:rPr>
          <w:rFonts w:eastAsia="Segoe UI" w:cs="Times New Roman"/>
        </w:rPr>
        <w:t xml:space="preserve"> climate negotiations.</w:t>
      </w:r>
    </w:p>
    <w:p w:rsidRPr="00D75194" w:rsidR="00C22F13" w:rsidP="00C22F13" w:rsidRDefault="00C22F13" w14:paraId="626D25CB" w14:textId="20E5F1D4">
      <w:pPr>
        <w:rPr>
          <w:rFonts w:eastAsia="Segoe UI" w:cs="Times New Roman"/>
        </w:rPr>
      </w:pPr>
      <w:r w:rsidRPr="00D75194">
        <w:rPr>
          <w:rFonts w:eastAsia="Segoe UI" w:cs="Times New Roman"/>
          <w:b/>
          <w:bCs/>
        </w:rPr>
        <w:t>The evaluation also found supporting evidence to validate CASA’s ICF KPI 15 reporting across multiple criteria, which provides further confidence in the recent ICF KPI 15 scoring of 4—partial evidence that suggests transformational change is likely</w:t>
      </w:r>
      <w:r w:rsidRPr="00D75194">
        <w:rPr>
          <w:rFonts w:eastAsia="Segoe UI" w:cs="Times New Roman"/>
        </w:rPr>
        <w:t>. CASA has created pockets and areas of transformation (‘tipping points’) that have created significant, sustainable change, notably through the OF and innovative models found in the LDC</w:t>
      </w:r>
      <w:r w:rsidRPr="7A4CE3CF">
        <w:rPr>
          <w:rFonts w:eastAsia="Segoe UI" w:cs="Times New Roman"/>
        </w:rPr>
        <w:t>–</w:t>
      </w:r>
      <w:r w:rsidRPr="00D75194">
        <w:rPr>
          <w:rFonts w:eastAsia="Segoe UI" w:cs="Times New Roman"/>
        </w:rPr>
        <w:t xml:space="preserve">CLI collaboration and the </w:t>
      </w:r>
      <w:r w:rsidRPr="7A4CE3CF">
        <w:rPr>
          <w:rFonts w:eastAsia="Segoe UI" w:cs="Times New Roman"/>
        </w:rPr>
        <w:t>NGP.</w:t>
      </w:r>
      <w:r w:rsidRPr="00D75194">
        <w:rPr>
          <w:rFonts w:eastAsia="Segoe UI" w:cs="Times New Roman"/>
        </w:rPr>
        <w:t xml:space="preserve"> These tipping points have changed the institutional or organisational landscape within the UNFCCC. </w:t>
      </w:r>
    </w:p>
    <w:p w:rsidRPr="00D75194" w:rsidR="00C22F13" w:rsidP="00C22F13" w:rsidRDefault="00C22F13" w14:paraId="104FCAAB" w14:textId="2D7B5F39">
      <w:pPr>
        <w:spacing w:after="160" w:line="278" w:lineRule="auto"/>
        <w:jc w:val="left"/>
        <w:rPr>
          <w:rFonts w:eastAsia="Segoe UI" w:cs="Times New Roman"/>
        </w:rPr>
      </w:pPr>
      <w:r w:rsidRPr="00D75194">
        <w:rPr>
          <w:rFonts w:eastAsia="Segoe UI" w:cs="Times New Roman"/>
          <w:b/>
          <w:bCs/>
          <w:i/>
          <w:iCs/>
        </w:rPr>
        <w:t xml:space="preserve">Strength of evidence </w:t>
      </w:r>
    </w:p>
    <w:p w:rsidRPr="00D75194" w:rsidR="00C22F13" w:rsidP="00C22F13" w:rsidRDefault="00C22F13" w14:paraId="601EC781" w14:textId="2081D029">
      <w:pPr>
        <w:rPr>
          <w:rFonts w:eastAsia="Segoe UI" w:cs="Times New Roman"/>
        </w:rPr>
      </w:pPr>
      <w:r w:rsidRPr="00D75194">
        <w:rPr>
          <w:rFonts w:eastAsia="Segoe UI" w:cs="Times New Roman"/>
        </w:rPr>
        <w:t xml:space="preserve">The purpose of this </w:t>
      </w:r>
      <w:r w:rsidRPr="7A4CE3CF">
        <w:rPr>
          <w:rFonts w:eastAsia="Segoe UI" w:cs="Times New Roman"/>
        </w:rPr>
        <w:t>evaluation</w:t>
      </w:r>
      <w:r w:rsidRPr="00D75194">
        <w:rPr>
          <w:rFonts w:eastAsia="Segoe UI" w:cs="Times New Roman"/>
        </w:rPr>
        <w:t xml:space="preserve"> question is to assess the impact of CASA II support </w:t>
      </w:r>
      <w:r w:rsidRPr="7A4CE3CF">
        <w:rPr>
          <w:rFonts w:eastAsia="Segoe UI" w:cs="Times New Roman"/>
        </w:rPr>
        <w:t>to</w:t>
      </w:r>
      <w:r w:rsidRPr="00D75194">
        <w:rPr>
          <w:rFonts w:eastAsia="Segoe UI" w:cs="Times New Roman"/>
        </w:rPr>
        <w:t xml:space="preserve"> achieving a fair negotiations process that includes meaningful participation from groups of high-ambition developing </w:t>
      </w:r>
      <w:r w:rsidRPr="00D75194" w:rsidR="00190A5A">
        <w:rPr>
          <w:rFonts w:eastAsia="Segoe UI" w:cs="Times New Roman"/>
        </w:rPr>
        <w:t>countries and</w:t>
      </w:r>
      <w:r w:rsidRPr="00D75194">
        <w:rPr>
          <w:rFonts w:eastAsia="Segoe UI" w:cs="Times New Roman"/>
        </w:rPr>
        <w:t xml:space="preserve"> negotiated outcomes that reflect the positions of these groups. </w:t>
      </w:r>
    </w:p>
    <w:p w:rsidRPr="00D75194" w:rsidR="00C22F13" w:rsidP="00C22F13" w:rsidRDefault="00C22F13" w14:paraId="17D88159" w14:textId="1B772072">
      <w:pPr>
        <w:keepNext/>
        <w:spacing w:before="60" w:after="60" w:line="260" w:lineRule="atLeast"/>
        <w:contextualSpacing/>
        <w:rPr>
          <w:rFonts w:eastAsia="Segoe UI" w:cs="Times New Roman"/>
          <w:sz w:val="18"/>
        </w:rPr>
      </w:pPr>
      <w:bookmarkStart w:name="_Toc201340649" w:id="93"/>
      <w:bookmarkStart w:name="_Toc214452998" w:id="94"/>
      <w:r w:rsidRPr="00D75194">
        <w:rPr>
          <w:rFonts w:eastAsia="Segoe UI" w:cs="Times New Roman"/>
          <w:sz w:val="18"/>
        </w:rPr>
        <w:t xml:space="preserve">Table </w:t>
      </w:r>
      <w:r w:rsidRPr="00D75194">
        <w:rPr>
          <w:rFonts w:eastAsia="Segoe UI" w:cs="Times New Roman"/>
          <w:sz w:val="18"/>
        </w:rPr>
        <w:fldChar w:fldCharType="begin"/>
      </w:r>
      <w:r w:rsidRPr="00D75194">
        <w:rPr>
          <w:rFonts w:eastAsia="Segoe UI" w:cs="Times New Roman"/>
          <w:sz w:val="18"/>
        </w:rPr>
        <w:instrText xml:space="preserve"> SEQ Table \* ARABIC </w:instrText>
      </w:r>
      <w:r w:rsidRPr="00D75194">
        <w:rPr>
          <w:rFonts w:eastAsia="Segoe UI" w:cs="Times New Roman"/>
          <w:sz w:val="18"/>
        </w:rPr>
        <w:fldChar w:fldCharType="separate"/>
      </w:r>
      <w:r w:rsidRPr="00D75194">
        <w:rPr>
          <w:rFonts w:eastAsia="Segoe UI" w:cs="Times New Roman"/>
          <w:sz w:val="18"/>
        </w:rPr>
        <w:t>9</w:t>
      </w:r>
      <w:r w:rsidRPr="00D75194">
        <w:rPr>
          <w:rFonts w:eastAsia="Segoe UI" w:cs="Times New Roman"/>
          <w:sz w:val="18"/>
        </w:rPr>
        <w:fldChar w:fldCharType="end"/>
      </w:r>
      <w:r w:rsidRPr="00D75194">
        <w:rPr>
          <w:rFonts w:eastAsia="Segoe UI" w:cs="Times New Roman"/>
          <w:sz w:val="18"/>
        </w:rPr>
        <w:t>: Strength of evidence—impact</w:t>
      </w:r>
      <w:bookmarkEnd w:id="93"/>
      <w:bookmarkEnd w:id="94"/>
      <w:r w:rsidRPr="00D75194">
        <w:rPr>
          <w:rFonts w:eastAsia="Segoe UI" w:cs="Times New Roman"/>
          <w:sz w:val="18"/>
        </w:rPr>
        <w:t xml:space="preserve"> </w:t>
      </w:r>
    </w:p>
    <w:tbl>
      <w:tblPr>
        <w:tblW w:w="980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75"/>
        <w:gridCol w:w="1530"/>
        <w:gridCol w:w="1890"/>
        <w:gridCol w:w="5407"/>
      </w:tblGrid>
      <w:tr w:rsidRPr="00D75194" w:rsidR="00C22F13" w:rsidTr="7A4CE3CF" w14:paraId="2F3B792E" w14:textId="77777777">
        <w:trPr>
          <w:trHeight w:val="435"/>
        </w:trPr>
        <w:tc>
          <w:tcPr>
            <w:tcW w:w="97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D75194" w:rsidR="00C22F13" w:rsidP="00C22F13" w:rsidRDefault="00C22F13" w14:paraId="67E6F2DE" w14:textId="77777777">
            <w:pPr>
              <w:spacing w:after="160" w:line="278" w:lineRule="auto"/>
              <w:jc w:val="left"/>
              <w:rPr>
                <w:rFonts w:eastAsia="Segoe UI" w:cs="Times New Roman"/>
                <w:sz w:val="18"/>
                <w:szCs w:val="18"/>
              </w:rPr>
            </w:pPr>
            <w:r w:rsidRPr="00D75194">
              <w:rPr>
                <w:rFonts w:eastAsia="Segoe UI" w:cs="Times New Roman"/>
                <w:b/>
                <w:bCs/>
                <w:sz w:val="18"/>
                <w:szCs w:val="18"/>
              </w:rPr>
              <w:t>Rating</w:t>
            </w:r>
            <w:r w:rsidRPr="00D75194">
              <w:rPr>
                <w:rFonts w:eastAsia="Segoe UI" w:cs="Times New Roman"/>
                <w:sz w:val="18"/>
                <w:szCs w:val="18"/>
              </w:rPr>
              <w:t> </w:t>
            </w:r>
          </w:p>
        </w:tc>
        <w:tc>
          <w:tcPr>
            <w:tcW w:w="1530"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D75194" w:rsidR="00C22F13" w:rsidP="00C22F13" w:rsidRDefault="00C22F13" w14:paraId="2200300D" w14:textId="77777777">
            <w:pPr>
              <w:spacing w:after="160" w:line="278" w:lineRule="auto"/>
              <w:jc w:val="left"/>
              <w:rPr>
                <w:rFonts w:eastAsia="Segoe UI" w:cs="Times New Roman"/>
                <w:sz w:val="18"/>
                <w:szCs w:val="18"/>
              </w:rPr>
            </w:pPr>
            <w:r w:rsidRPr="00D75194">
              <w:rPr>
                <w:rFonts w:eastAsia="Segoe UI" w:cs="Times New Roman"/>
                <w:b/>
                <w:bCs/>
                <w:sz w:val="18"/>
                <w:szCs w:val="18"/>
              </w:rPr>
              <w:t>Statement</w:t>
            </w:r>
            <w:r w:rsidRPr="00D75194">
              <w:rPr>
                <w:rFonts w:eastAsia="Segoe UI" w:cs="Times New Roman"/>
                <w:sz w:val="18"/>
                <w:szCs w:val="18"/>
              </w:rPr>
              <w:t> </w:t>
            </w:r>
          </w:p>
        </w:tc>
        <w:tc>
          <w:tcPr>
            <w:tcW w:w="1890"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D75194" w:rsidR="00C22F13" w:rsidP="00C22F13" w:rsidRDefault="00C22F13" w14:paraId="7C4030CB" w14:textId="0B603C75">
            <w:pPr>
              <w:spacing w:after="160" w:line="278" w:lineRule="auto"/>
              <w:jc w:val="left"/>
              <w:rPr>
                <w:rFonts w:eastAsia="Segoe UI" w:cs="Times New Roman"/>
                <w:sz w:val="18"/>
                <w:szCs w:val="18"/>
              </w:rPr>
            </w:pPr>
            <w:r w:rsidRPr="00D75194">
              <w:rPr>
                <w:rFonts w:eastAsia="Segoe UI" w:cs="Times New Roman"/>
                <w:b/>
                <w:bCs/>
                <w:sz w:val="18"/>
                <w:szCs w:val="18"/>
              </w:rPr>
              <w:t xml:space="preserve">Definition </w:t>
            </w:r>
          </w:p>
        </w:tc>
        <w:tc>
          <w:tcPr>
            <w:tcW w:w="5407"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D75194" w:rsidR="00C22F13" w:rsidP="00C22F13" w:rsidRDefault="00C22F13" w14:paraId="459CE64A" w14:textId="6858DE8A">
            <w:pPr>
              <w:spacing w:after="160" w:line="278" w:lineRule="auto"/>
              <w:jc w:val="left"/>
              <w:rPr>
                <w:rFonts w:eastAsia="Segoe UI" w:cs="Times New Roman"/>
                <w:sz w:val="18"/>
                <w:szCs w:val="18"/>
              </w:rPr>
            </w:pPr>
            <w:r w:rsidRPr="00D75194">
              <w:rPr>
                <w:rFonts w:eastAsia="Segoe UI" w:cs="Times New Roman"/>
                <w:b/>
                <w:bCs/>
                <w:sz w:val="18"/>
                <w:szCs w:val="18"/>
              </w:rPr>
              <w:t xml:space="preserve">Description </w:t>
            </w:r>
          </w:p>
        </w:tc>
      </w:tr>
      <w:tr w:rsidRPr="00D75194" w:rsidR="00C22F13" w:rsidTr="006A665A" w14:paraId="75AECB32" w14:textId="77777777">
        <w:trPr>
          <w:trHeight w:val="300"/>
        </w:trPr>
        <w:tc>
          <w:tcPr>
            <w:tcW w:w="975" w:type="dxa"/>
            <w:tcBorders>
              <w:top w:val="single" w:color="auto" w:sz="6" w:space="0"/>
              <w:left w:val="single" w:color="auto" w:sz="6" w:space="0"/>
              <w:bottom w:val="single" w:color="auto" w:sz="6" w:space="0"/>
              <w:right w:val="single" w:color="auto" w:sz="6" w:space="0"/>
            </w:tcBorders>
            <w:shd w:val="clear" w:color="auto" w:fill="00B050"/>
            <w:vAlign w:val="center"/>
            <w:hideMark/>
          </w:tcPr>
          <w:p w:rsidRPr="00D75194" w:rsidR="00C22F13" w:rsidP="00C22F13" w:rsidRDefault="00C22F13" w14:paraId="17A49A74" w14:textId="313065B8">
            <w:pPr>
              <w:spacing w:after="160" w:line="278" w:lineRule="auto"/>
              <w:jc w:val="left"/>
              <w:rPr>
                <w:rFonts w:eastAsia="Segoe UI" w:cs="Times New Roman"/>
                <w:sz w:val="18"/>
                <w:szCs w:val="18"/>
              </w:rPr>
            </w:pPr>
            <w:r w:rsidRPr="00D75194">
              <w:rPr>
                <w:rFonts w:eastAsia="Segoe UI" w:cs="Times New Roman"/>
                <w:b/>
                <w:bCs/>
                <w:sz w:val="18"/>
                <w:szCs w:val="18"/>
              </w:rPr>
              <w:t xml:space="preserve">Strong evidence </w:t>
            </w:r>
          </w:p>
        </w:tc>
        <w:tc>
          <w:tcPr>
            <w:tcW w:w="1530" w:type="dxa"/>
            <w:tcBorders>
              <w:top w:val="single" w:color="auto" w:sz="6" w:space="0"/>
              <w:left w:val="single" w:color="auto" w:sz="6" w:space="0"/>
              <w:bottom w:val="single" w:color="auto" w:sz="6" w:space="0"/>
              <w:right w:val="single" w:color="auto" w:sz="6" w:space="0"/>
            </w:tcBorders>
            <w:vAlign w:val="center"/>
            <w:hideMark/>
          </w:tcPr>
          <w:p w:rsidRPr="00D75194" w:rsidR="00C22F13" w:rsidP="00C22F13" w:rsidRDefault="00C22F13" w14:paraId="20C60539" w14:textId="76E6ECD9">
            <w:pPr>
              <w:spacing w:after="160" w:line="278" w:lineRule="auto"/>
              <w:jc w:val="left"/>
              <w:rPr>
                <w:rFonts w:eastAsia="Segoe UI" w:cs="Times New Roman"/>
                <w:sz w:val="18"/>
                <w:szCs w:val="18"/>
              </w:rPr>
            </w:pPr>
            <w:r w:rsidRPr="00D75194">
              <w:rPr>
                <w:rFonts w:eastAsia="Segoe UI" w:cs="Times New Roman"/>
                <w:sz w:val="18"/>
                <w:szCs w:val="18"/>
              </w:rPr>
              <w:t xml:space="preserve">In some </w:t>
            </w:r>
            <w:r w:rsidRPr="00D75194" w:rsidR="00190A5A">
              <w:rPr>
                <w:rFonts w:eastAsia="Segoe UI" w:cs="Times New Roman"/>
                <w:sz w:val="18"/>
                <w:szCs w:val="18"/>
              </w:rPr>
              <w:t>instances,</w:t>
            </w:r>
            <w:r w:rsidRPr="00D75194">
              <w:rPr>
                <w:rFonts w:eastAsia="Segoe UI" w:cs="Times New Roman"/>
                <w:sz w:val="18"/>
                <w:szCs w:val="18"/>
              </w:rPr>
              <w:t xml:space="preserve"> there is clear and corroborative evidence to make a judgement </w:t>
            </w:r>
          </w:p>
        </w:tc>
        <w:tc>
          <w:tcPr>
            <w:tcW w:w="1890" w:type="dxa"/>
            <w:tcBorders>
              <w:top w:val="single" w:color="auto" w:sz="6" w:space="0"/>
              <w:left w:val="single" w:color="auto" w:sz="6" w:space="0"/>
              <w:bottom w:val="single" w:color="auto" w:sz="6" w:space="0"/>
              <w:right w:val="single" w:color="auto" w:sz="6" w:space="0"/>
            </w:tcBorders>
            <w:vAlign w:val="center"/>
            <w:hideMark/>
          </w:tcPr>
          <w:p w:rsidRPr="00D75194" w:rsidR="00C22F13" w:rsidP="00C22F13" w:rsidRDefault="00C22F13" w14:paraId="67C30E35" w14:textId="60A02077">
            <w:pPr>
              <w:spacing w:after="160" w:line="278" w:lineRule="auto"/>
              <w:jc w:val="left"/>
              <w:rPr>
                <w:rFonts w:eastAsia="Segoe UI" w:cs="Times New Roman"/>
                <w:sz w:val="18"/>
                <w:szCs w:val="18"/>
              </w:rPr>
            </w:pPr>
            <w:r w:rsidRPr="00D75194">
              <w:rPr>
                <w:rFonts w:eastAsia="Segoe UI" w:cs="Times New Roman"/>
                <w:sz w:val="18"/>
                <w:szCs w:val="18"/>
              </w:rPr>
              <w:t xml:space="preserve">Evidence </w:t>
            </w:r>
            <w:r w:rsidRPr="7A4CE3CF">
              <w:rPr>
                <w:rFonts w:eastAsia="Segoe UI" w:cs="Times New Roman"/>
                <w:sz w:val="18"/>
                <w:szCs w:val="18"/>
              </w:rPr>
              <w:t>can</w:t>
            </w:r>
            <w:r w:rsidRPr="00D75194">
              <w:rPr>
                <w:rFonts w:eastAsia="Segoe UI" w:cs="Times New Roman"/>
                <w:sz w:val="18"/>
                <w:szCs w:val="18"/>
              </w:rPr>
              <w:t xml:space="preserve"> be corroborated </w:t>
            </w:r>
            <w:r w:rsidRPr="7A4CE3CF">
              <w:rPr>
                <w:rFonts w:eastAsia="Segoe UI" w:cs="Times New Roman"/>
                <w:sz w:val="18"/>
                <w:szCs w:val="18"/>
              </w:rPr>
              <w:t>by</w:t>
            </w:r>
            <w:r w:rsidRPr="00D75194">
              <w:rPr>
                <w:rFonts w:eastAsia="Segoe UI" w:cs="Times New Roman"/>
                <w:sz w:val="18"/>
                <w:szCs w:val="18"/>
              </w:rPr>
              <w:t xml:space="preserve"> monitoring data, programme documents, and primary data to support a judgement </w:t>
            </w:r>
          </w:p>
        </w:tc>
        <w:tc>
          <w:tcPr>
            <w:tcW w:w="5407" w:type="dxa"/>
            <w:tcBorders>
              <w:top w:val="single" w:color="auto" w:sz="6" w:space="0"/>
              <w:left w:val="single" w:color="auto" w:sz="6" w:space="0"/>
              <w:bottom w:val="single" w:color="auto" w:sz="6" w:space="0"/>
              <w:right w:val="single" w:color="auto" w:sz="6" w:space="0"/>
            </w:tcBorders>
            <w:vAlign w:val="center"/>
            <w:hideMark/>
          </w:tcPr>
          <w:p w:rsidRPr="00D75194" w:rsidR="00C22F13" w:rsidP="00C22F13" w:rsidRDefault="00C22F13" w14:paraId="4104F16D" w14:textId="1AD086EA">
            <w:pPr>
              <w:spacing w:after="160" w:line="278" w:lineRule="auto"/>
              <w:jc w:val="left"/>
              <w:rPr>
                <w:rFonts w:eastAsia="Segoe UI" w:cs="Times New Roman"/>
                <w:sz w:val="18"/>
                <w:szCs w:val="18"/>
              </w:rPr>
            </w:pPr>
            <w:r w:rsidRPr="00D75194">
              <w:rPr>
                <w:rFonts w:eastAsia="Segoe UI" w:cs="Times New Roman"/>
                <w:sz w:val="18"/>
                <w:szCs w:val="18"/>
              </w:rPr>
              <w:t xml:space="preserve">The LEP team benefited from extensive evidence collected during this </w:t>
            </w:r>
            <w:r w:rsidRPr="7A4CE3CF">
              <w:rPr>
                <w:rFonts w:eastAsia="Segoe UI" w:cs="Times New Roman"/>
                <w:sz w:val="18"/>
                <w:szCs w:val="18"/>
              </w:rPr>
              <w:t>final</w:t>
            </w:r>
            <w:r w:rsidRPr="00D75194">
              <w:rPr>
                <w:rFonts w:eastAsia="Segoe UI" w:cs="Times New Roman"/>
                <w:sz w:val="18"/>
                <w:szCs w:val="18"/>
              </w:rPr>
              <w:t xml:space="preserve"> evaluation, with over 70 </w:t>
            </w:r>
            <w:r w:rsidRPr="7A4CE3CF">
              <w:rPr>
                <w:rFonts w:eastAsia="Segoe UI" w:cs="Times New Roman"/>
                <w:sz w:val="18"/>
                <w:szCs w:val="18"/>
              </w:rPr>
              <w:t>KIIs</w:t>
            </w:r>
            <w:r w:rsidRPr="00D75194">
              <w:rPr>
                <w:rFonts w:eastAsia="Segoe UI" w:cs="Times New Roman"/>
                <w:sz w:val="18"/>
                <w:szCs w:val="18"/>
              </w:rPr>
              <w:t xml:space="preserve"> and 35 coded documents. The production of six contribution stories meant that the team circled back to TPs and others to validate statements and judgements, which have helped build the </w:t>
            </w:r>
            <w:r w:rsidRPr="7A4CE3CF">
              <w:rPr>
                <w:rFonts w:eastAsia="Segoe UI" w:cs="Times New Roman"/>
                <w:sz w:val="18"/>
                <w:szCs w:val="18"/>
              </w:rPr>
              <w:t>case</w:t>
            </w:r>
            <w:r w:rsidRPr="00D75194">
              <w:rPr>
                <w:rFonts w:eastAsia="Segoe UI" w:cs="Times New Roman"/>
                <w:sz w:val="18"/>
                <w:szCs w:val="18"/>
              </w:rPr>
              <w:t xml:space="preserve"> for CASA’s impacts. </w:t>
            </w:r>
          </w:p>
        </w:tc>
      </w:tr>
    </w:tbl>
    <w:p w:rsidRPr="00D75194" w:rsidR="00C22F13" w:rsidP="00C22F13" w:rsidRDefault="00C22F13" w14:paraId="4DB62CE2" w14:textId="77777777">
      <w:pPr>
        <w:spacing w:after="160" w:line="276" w:lineRule="auto"/>
        <w:rPr>
          <w:rFonts w:eastAsia="MS Mincho" w:cs="Times New Roman"/>
        </w:rPr>
      </w:pPr>
    </w:p>
    <w:tbl>
      <w:tblPr>
        <w:tblStyle w:val="TableGrid"/>
        <w:tblW w:w="0" w:type="auto"/>
        <w:tblLook w:val="04A0" w:firstRow="1" w:lastRow="0" w:firstColumn="1" w:lastColumn="0" w:noHBand="0" w:noVBand="1"/>
      </w:tblPr>
      <w:tblGrid>
        <w:gridCol w:w="9854"/>
      </w:tblGrid>
      <w:tr w:rsidRPr="00D75194" w:rsidR="00C22F13" w:rsidTr="7A4CE3CF" w14:paraId="06C724FC" w14:textId="77777777">
        <w:tc>
          <w:tcPr>
            <w:tcW w:w="9854" w:type="dxa"/>
            <w:shd w:val="clear" w:color="auto" w:fill="E9E9E9" w:themeFill="text1" w:themeFillTint="1A"/>
          </w:tcPr>
          <w:p w:rsidRPr="00D75194" w:rsidR="00C22F13" w:rsidP="00C22F13" w:rsidRDefault="00C22F13" w14:paraId="60E4AD58" w14:textId="30DA6422">
            <w:pPr>
              <w:jc w:val="center"/>
              <w:rPr>
                <w:rFonts w:eastAsia="Segoe UI" w:cs="Times New Roman"/>
                <w:b/>
                <w:bCs/>
                <w:i/>
                <w:iCs/>
              </w:rPr>
            </w:pPr>
            <w:r w:rsidRPr="00D75194">
              <w:rPr>
                <w:rFonts w:eastAsia="Segoe UI" w:cs="Times New Roman"/>
                <w:b/>
                <w:bCs/>
                <w:i/>
                <w:iCs/>
              </w:rPr>
              <w:t>Institutions and organisations—an introduction to the theory</w:t>
            </w:r>
          </w:p>
          <w:p w:rsidRPr="00D75194" w:rsidR="00C22F13" w:rsidP="00C22F13" w:rsidRDefault="00C22F13" w14:paraId="3FDB019B" w14:textId="1E07BB5B">
            <w:pPr>
              <w:rPr>
                <w:rFonts w:eastAsia="Segoe UI" w:cs="Times New Roman"/>
              </w:rPr>
            </w:pPr>
            <w:r w:rsidRPr="00D75194">
              <w:rPr>
                <w:rFonts w:eastAsia="Segoe UI" w:cs="Times New Roman"/>
                <w:b/>
                <w:bCs/>
              </w:rPr>
              <w:t>Institutions</w:t>
            </w:r>
            <w:r w:rsidRPr="00D75194">
              <w:rPr>
                <w:rFonts w:eastAsia="Segoe UI" w:cs="Times New Roman"/>
              </w:rPr>
              <w:t xml:space="preserve"> can be understood as “the rules of the game in a society or… the humanly devised constraints that shape human interaction”.</w:t>
            </w:r>
            <w:r w:rsidRPr="00D75194">
              <w:rPr>
                <w:rFonts w:eastAsia="Segoe UI" w:cs="Times New Roman"/>
                <w:vertAlign w:val="superscript"/>
              </w:rPr>
              <w:footnoteReference w:id="20"/>
            </w:r>
            <w:r w:rsidRPr="00D75194">
              <w:rPr>
                <w:rFonts w:eastAsia="Segoe UI" w:cs="Times New Roman"/>
              </w:rPr>
              <w:t xml:space="preserve"> The centrality of institutions to determining growth and change in a society has provided a central narrative for international development in recent decades (see Acemoglu and Robinson, 2012; Akmeemana </w:t>
            </w:r>
            <w:r w:rsidRPr="7A4CE3CF">
              <w:rPr>
                <w:rFonts w:eastAsia="Aptos" w:cs="Arial"/>
                <w:i/>
              </w:rPr>
              <w:t>et al</w:t>
            </w:r>
            <w:r w:rsidRPr="00D75194">
              <w:rPr>
                <w:rFonts w:eastAsia="Segoe UI" w:cs="Times New Roman"/>
              </w:rPr>
              <w:t xml:space="preserve">., 2014; Booth, 2014; North, 1990; World Bank, 2017). This institution-based paradigm is premised on the idea that institutions are possibly the most important governing force in human society, given their ability to constrain behaviour and shape beliefs (North, 1990). </w:t>
            </w:r>
          </w:p>
          <w:p w:rsidRPr="00D75194" w:rsidR="00C22F13" w:rsidP="00C22F13" w:rsidRDefault="00C22F13" w14:paraId="4FD95BB8" w14:textId="77777777">
            <w:pPr>
              <w:rPr>
                <w:rFonts w:eastAsia="Segoe UI" w:cs="Segoe UI"/>
              </w:rPr>
            </w:pPr>
            <w:r w:rsidRPr="00D75194">
              <w:rPr>
                <w:rFonts w:eastAsia="Segoe UI" w:cs="Times New Roman"/>
                <w:b/>
              </w:rPr>
              <w:t>Organisations</w:t>
            </w:r>
            <w:r w:rsidRPr="00D75194">
              <w:rPr>
                <w:rFonts w:eastAsia="Segoe UI" w:cs="Times New Roman"/>
              </w:rPr>
              <w:t>, on the other hand, are groups of individuals that coalesce around a common purpose or objective. Organisations are influenced by the institutional frameworks that surround them, both in their genesis and their evolution. As organisations pursue their objectives through purposive activity, they incrementally alter the institutional structures that surround them, becoming agents of institutional change.</w:t>
            </w:r>
            <w:r w:rsidRPr="00D75194">
              <w:rPr>
                <w:rFonts w:eastAsia="Segoe UI" w:cs="Times New Roman"/>
                <w:vertAlign w:val="superscript"/>
              </w:rPr>
              <w:footnoteReference w:id="21"/>
            </w:r>
            <w:r w:rsidRPr="00D75194">
              <w:rPr>
                <w:rFonts w:eastAsia="Segoe UI" w:cs="Times New Roman"/>
              </w:rPr>
              <w:t xml:space="preserve"> </w:t>
            </w:r>
          </w:p>
          <w:p w:rsidRPr="00D75194" w:rsidR="00C22F13" w:rsidP="00C22F13" w:rsidRDefault="00C22F13" w14:paraId="60A07576" w14:textId="429B2DEB">
            <w:pPr>
              <w:rPr>
                <w:rFonts w:eastAsia="MS Mincho" w:cs="Times New Roman"/>
              </w:rPr>
            </w:pPr>
            <w:r w:rsidRPr="00D75194">
              <w:rPr>
                <w:rFonts w:eastAsia="Segoe UI" w:cs="Times New Roman"/>
              </w:rPr>
              <w:t xml:space="preserve">The nexus in which change occurs is the interaction between organisations and institutions. Since it is individuals who ultimately give rise to organisations and institutions, the ensuing analysis begins at the level of the </w:t>
            </w:r>
            <w:r w:rsidRPr="00D75194">
              <w:rPr>
                <w:rFonts w:eastAsia="Segoe UI" w:cs="Times New Roman"/>
                <w:b/>
                <w:bCs/>
              </w:rPr>
              <w:t>individual</w:t>
            </w:r>
            <w:r w:rsidRPr="00D75194">
              <w:rPr>
                <w:rFonts w:eastAsia="Segoe UI" w:cs="Times New Roman"/>
              </w:rPr>
              <w:t>.</w:t>
            </w:r>
            <w:r w:rsidRPr="00D75194">
              <w:rPr>
                <w:rFonts w:eastAsia="Segoe UI" w:cs="Times New Roman"/>
                <w:vertAlign w:val="superscript"/>
              </w:rPr>
              <w:footnoteReference w:id="22"/>
            </w:r>
            <w:r w:rsidRPr="00D75194">
              <w:rPr>
                <w:rFonts w:eastAsia="Segoe UI" w:cs="Times New Roman"/>
              </w:rPr>
              <w:t xml:space="preserve"> </w:t>
            </w:r>
          </w:p>
        </w:tc>
      </w:tr>
    </w:tbl>
    <w:p w:rsidRPr="00D75194" w:rsidR="00C22F13" w:rsidP="00C22F13" w:rsidRDefault="00C22F13" w14:paraId="20E2875A" w14:textId="77777777">
      <w:pPr>
        <w:spacing w:after="160" w:line="278" w:lineRule="auto"/>
        <w:jc w:val="left"/>
        <w:rPr>
          <w:rFonts w:eastAsia="Segoe UI" w:cs="Times New Roman"/>
          <w:b/>
          <w:bCs/>
        </w:rPr>
      </w:pPr>
    </w:p>
    <w:p w:rsidRPr="00D75194" w:rsidR="00C22F13" w:rsidP="00C22F13" w:rsidRDefault="00C22F13" w14:paraId="2D6F5D31" w14:textId="77777777">
      <w:pPr>
        <w:keepNext/>
        <w:keepLines/>
        <w:suppressAutoHyphens/>
        <w:spacing w:before="180" w:after="0"/>
        <w:outlineLvl w:val="2"/>
        <w:rPr>
          <w:rFonts w:eastAsia="MS Gothic" w:cs="Arial"/>
          <w:b/>
          <w:szCs w:val="24"/>
        </w:rPr>
      </w:pPr>
      <w:bookmarkStart w:name="_Toc204259836" w:id="95"/>
      <w:r w:rsidRPr="00D75194">
        <w:rPr>
          <w:rFonts w:eastAsia="MS Gothic" w:cs="Arial"/>
          <w:b/>
          <w:szCs w:val="24"/>
        </w:rPr>
        <w:t>EQ 5.1: To what extent have Global South negotiators increased their capacity and capability to engage in international climate negotiations?</w:t>
      </w:r>
      <w:bookmarkEnd w:id="95"/>
    </w:p>
    <w:p w:rsidRPr="00D75194" w:rsidR="00C22F13" w:rsidP="00C22F13" w:rsidRDefault="00C22F13" w14:paraId="2456DDF2" w14:textId="1C32D1C2">
      <w:pPr>
        <w:rPr>
          <w:rFonts w:eastAsia="Segoe UI" w:cs="Times New Roman"/>
        </w:rPr>
      </w:pPr>
      <w:r w:rsidRPr="00D75194">
        <w:rPr>
          <w:rFonts w:eastAsia="Segoe UI" w:cs="Times New Roman"/>
        </w:rPr>
        <w:br/>
      </w:r>
      <w:r w:rsidRPr="00D75194">
        <w:rPr>
          <w:rFonts w:eastAsia="Segoe UI" w:cs="Times New Roman"/>
        </w:rPr>
        <w:t xml:space="preserve">There is strong evidence that CASA has made critical contributions to building individual-level capacity </w:t>
      </w:r>
      <w:r w:rsidRPr="7A4CE3CF">
        <w:rPr>
          <w:rFonts w:eastAsia="Segoe UI" w:cs="Times New Roman"/>
        </w:rPr>
        <w:t>among</w:t>
      </w:r>
      <w:r w:rsidRPr="00D75194">
        <w:rPr>
          <w:rFonts w:eastAsia="Segoe UI" w:cs="Times New Roman"/>
        </w:rPr>
        <w:t xml:space="preserve"> climate negotiators and organisational-level capabilities </w:t>
      </w:r>
      <w:r w:rsidRPr="7A4CE3CF">
        <w:rPr>
          <w:rFonts w:eastAsia="Segoe UI" w:cs="Times New Roman"/>
        </w:rPr>
        <w:t>among</w:t>
      </w:r>
      <w:r w:rsidRPr="00D75194">
        <w:rPr>
          <w:rFonts w:eastAsia="Segoe UI" w:cs="Times New Roman"/>
        </w:rPr>
        <w:t xml:space="preserve"> negotiation groups. </w:t>
      </w:r>
    </w:p>
    <w:p w:rsidRPr="00D75194" w:rsidR="00C22F13" w:rsidP="00C22F13" w:rsidRDefault="00C22F13" w14:paraId="338D48C8" w14:textId="77777777">
      <w:pPr>
        <w:rPr>
          <w:rFonts w:eastAsia="Segoe UI" w:cs="Times New Roman"/>
          <w:b/>
          <w:bCs/>
          <w:i/>
          <w:iCs/>
        </w:rPr>
      </w:pPr>
      <w:r w:rsidRPr="00D75194">
        <w:rPr>
          <w:rFonts w:eastAsia="Segoe UI" w:cs="Times New Roman"/>
          <w:b/>
          <w:bCs/>
          <w:i/>
          <w:iCs/>
        </w:rPr>
        <w:t xml:space="preserve">Individual capacity </w:t>
      </w:r>
    </w:p>
    <w:p w:rsidRPr="00D75194" w:rsidR="00C22F13" w:rsidP="00C22F13" w:rsidRDefault="00C22F13" w14:paraId="4E2DFF84" w14:textId="6081E297">
      <w:pPr>
        <w:rPr>
          <w:rFonts w:eastAsia="Segoe UI" w:cs="Times New Roman"/>
        </w:rPr>
      </w:pPr>
      <w:r w:rsidRPr="00D75194">
        <w:rPr>
          <w:rFonts w:eastAsia="Segoe UI" w:cs="Times New Roman"/>
          <w:b/>
          <w:bCs/>
        </w:rPr>
        <w:t>Individual capacity building remains in high demand</w:t>
      </w:r>
      <w:r w:rsidRPr="00D75194">
        <w:rPr>
          <w:rFonts w:eastAsia="Segoe UI" w:cs="Times New Roman"/>
        </w:rPr>
        <w:t xml:space="preserve">, as outlined in the section on relevance, </w:t>
      </w:r>
      <w:r w:rsidRPr="00D75194">
        <w:rPr>
          <w:rFonts w:eastAsia="Segoe UI" w:cs="Times New Roman"/>
          <w:b/>
          <w:bCs/>
        </w:rPr>
        <w:t>and is highly valued</w:t>
      </w:r>
      <w:r w:rsidRPr="00D75194">
        <w:rPr>
          <w:rFonts w:eastAsia="Segoe UI" w:cs="Times New Roman"/>
        </w:rPr>
        <w:t xml:space="preserve">, as noted in the sections on relevance and coherence. As noted by multiple respondents, this is not a function of capacities not being built, but rather a result of the ever-expanding scope of the UNFCCC agenda. There is evidence of increased confidence </w:t>
      </w:r>
      <w:r w:rsidRPr="281AAB19">
        <w:rPr>
          <w:rFonts w:eastAsia="Segoe UI" w:cs="Times New Roman"/>
        </w:rPr>
        <w:t>among</w:t>
      </w:r>
      <w:r w:rsidRPr="00D75194">
        <w:rPr>
          <w:rFonts w:eastAsia="Segoe UI" w:cs="Times New Roman"/>
        </w:rPr>
        <w:t xml:space="preserve"> CASA-supported negotiators, which has been fostered through CASA’s investments </w:t>
      </w:r>
      <w:r w:rsidRPr="281AAB19">
        <w:rPr>
          <w:rFonts w:eastAsia="Segoe UI" w:cs="Times New Roman"/>
        </w:rPr>
        <w:t>in</w:t>
      </w:r>
      <w:r w:rsidRPr="00D75194">
        <w:rPr>
          <w:rFonts w:eastAsia="Segoe UI" w:cs="Times New Roman"/>
        </w:rPr>
        <w:t xml:space="preserve"> training, mentorship, and resourcing. </w:t>
      </w:r>
      <w:r w:rsidRPr="281AAB19">
        <w:rPr>
          <w:rFonts w:eastAsia="Segoe UI" w:cs="Times New Roman"/>
        </w:rPr>
        <w:t>Two</w:t>
      </w:r>
      <w:r w:rsidRPr="00D75194">
        <w:rPr>
          <w:rFonts w:eastAsia="Segoe UI" w:cs="Times New Roman"/>
        </w:rPr>
        <w:t xml:space="preserve"> CASA-supported respondents spoke enthusiastically </w:t>
      </w:r>
      <w:r w:rsidRPr="281AAB19">
        <w:rPr>
          <w:rFonts w:eastAsia="Segoe UI" w:cs="Times New Roman"/>
        </w:rPr>
        <w:t>about</w:t>
      </w:r>
      <w:r w:rsidRPr="00D75194">
        <w:rPr>
          <w:rFonts w:eastAsia="Segoe UI" w:cs="Times New Roman"/>
        </w:rPr>
        <w:t xml:space="preserve"> CASA’s support: </w:t>
      </w:r>
    </w:p>
    <w:p w:rsidRPr="00D75194" w:rsidR="00C22F13" w:rsidP="00C22F13" w:rsidRDefault="00C22F13" w14:paraId="55B04325" w14:textId="77777777">
      <w:pPr>
        <w:rPr>
          <w:rFonts w:eastAsia="Segoe UI" w:cs="Times New Roman"/>
          <w:i/>
          <w:iCs/>
        </w:rPr>
      </w:pPr>
      <w:r w:rsidRPr="00D75194">
        <w:rPr>
          <w:rFonts w:eastAsia="Segoe UI" w:cs="Times New Roman"/>
          <w:i/>
          <w:iCs/>
        </w:rPr>
        <w:t>“I feel like we were given a chance to speak out, so as long as you are following what was going on they were open to listen to them… which to me I felt like it's a good space as long as you have the funding and the support, it's a very good space for you because at least we felt like they didn't underestimate how small or young we were.”</w:t>
      </w:r>
    </w:p>
    <w:p w:rsidRPr="00D75194" w:rsidR="00C22F13" w:rsidP="00C22F13" w:rsidRDefault="00C22F13" w14:paraId="106C55AB" w14:textId="0929FF3E">
      <w:pPr>
        <w:rPr>
          <w:rFonts w:eastAsia="Segoe UI" w:cs="Times New Roman"/>
          <w:i/>
          <w:iCs/>
        </w:rPr>
      </w:pPr>
      <w:r w:rsidRPr="00D75194">
        <w:rPr>
          <w:rFonts w:eastAsia="Segoe UI" w:cs="Times New Roman"/>
          <w:i/>
          <w:iCs/>
        </w:rPr>
        <w:t>“The CASA II programme enhanced my abilities to engage effectively in climate negotiations and provided me with sufficient knowledge and tools that are necessary to understand climate issues, the negotiation dynamics, especially in climate mitigation and just transition the thematic areas I am focusing on and contribute meaningfully to supporting [sector lead], especially in coordination with various sub-groups under the UNFCCC…. On top of that, through this program</w:t>
      </w:r>
      <w:r w:rsidRPr="00D75194" w:rsidR="00F705D5">
        <w:rPr>
          <w:rFonts w:eastAsia="Segoe UI" w:cs="Times New Roman"/>
          <w:i/>
          <w:iCs/>
        </w:rPr>
        <w:t>me</w:t>
      </w:r>
      <w:r w:rsidRPr="00D75194">
        <w:rPr>
          <w:rFonts w:eastAsia="Segoe UI" w:cs="Times New Roman"/>
          <w:i/>
          <w:iCs/>
        </w:rPr>
        <w:t>, I was able to establish strategic relationships with my country delegation and prove the value I may add to them as a potential climate negotiator.”</w:t>
      </w:r>
    </w:p>
    <w:p w:rsidRPr="00D75194" w:rsidR="00C22F13" w:rsidP="00C22F13" w:rsidRDefault="00C22F13" w14:paraId="271F471B" w14:textId="165267E2">
      <w:pPr>
        <w:rPr>
          <w:rFonts w:eastAsia="Segoe UI" w:cs="Times New Roman"/>
        </w:rPr>
      </w:pPr>
      <w:r w:rsidRPr="00D75194">
        <w:rPr>
          <w:rFonts w:eastAsia="Segoe UI" w:cs="Times New Roman"/>
        </w:rPr>
        <w:t xml:space="preserve">As noted in the section on effectiveness, CASA overachieved on its logframe targets for individual training and in instances of real-time support to negotiators, reflecting a clear and intentional focus within its programme delivery around building individual capacity. </w:t>
      </w:r>
    </w:p>
    <w:p w:rsidRPr="00D75194" w:rsidR="00C22F13" w:rsidP="00C22F13" w:rsidRDefault="00C22F13" w14:paraId="75F7A34F" w14:textId="558F9DDF">
      <w:pPr>
        <w:rPr>
          <w:rFonts w:eastAsia="Segoe UI" w:cs="Times New Roman"/>
        </w:rPr>
      </w:pPr>
      <w:r w:rsidRPr="45D259A1">
        <w:rPr>
          <w:rFonts w:eastAsia="Segoe UI" w:cs="Times New Roman"/>
        </w:rPr>
        <w:t>The</w:t>
      </w:r>
      <w:r w:rsidRPr="00D75194">
        <w:rPr>
          <w:rFonts w:eastAsia="Segoe UI" w:cs="Times New Roman"/>
        </w:rPr>
        <w:t xml:space="preserve"> evaluation also </w:t>
      </w:r>
      <w:r w:rsidRPr="45D259A1">
        <w:rPr>
          <w:rFonts w:eastAsia="Segoe UI" w:cs="Times New Roman"/>
        </w:rPr>
        <w:t>found</w:t>
      </w:r>
      <w:r w:rsidRPr="00D75194">
        <w:rPr>
          <w:rFonts w:eastAsia="Segoe UI" w:cs="Times New Roman"/>
        </w:rPr>
        <w:t xml:space="preserve"> that </w:t>
      </w:r>
      <w:r w:rsidRPr="00D75194">
        <w:rPr>
          <w:rFonts w:eastAsia="Segoe UI" w:cs="Times New Roman"/>
          <w:b/>
          <w:bCs/>
        </w:rPr>
        <w:t>CASA’s individual-level support has at times substituted for negotiators’ wider capability constraints</w:t>
      </w:r>
      <w:r w:rsidRPr="00D75194">
        <w:rPr>
          <w:rFonts w:eastAsia="Segoe UI" w:cs="Times New Roman"/>
        </w:rPr>
        <w:t xml:space="preserve">, such as civil servants </w:t>
      </w:r>
      <w:r w:rsidRPr="45D259A1">
        <w:rPr>
          <w:rFonts w:eastAsia="Segoe UI" w:cs="Times New Roman"/>
        </w:rPr>
        <w:t>who</w:t>
      </w:r>
      <w:r w:rsidRPr="00D75194">
        <w:rPr>
          <w:rFonts w:eastAsia="Segoe UI" w:cs="Times New Roman"/>
        </w:rPr>
        <w:t xml:space="preserve"> serve as negotiators only in a part-time </w:t>
      </w:r>
      <w:r w:rsidRPr="45D259A1">
        <w:rPr>
          <w:rFonts w:eastAsia="Segoe UI" w:cs="Times New Roman"/>
        </w:rPr>
        <w:t>capacity</w:t>
      </w:r>
      <w:r w:rsidRPr="00D75194">
        <w:rPr>
          <w:rFonts w:eastAsia="Segoe UI" w:cs="Times New Roman"/>
        </w:rPr>
        <w:t xml:space="preserve">, or where there is not sufficient capability within a negotiating group or delegation to hold the required technical skills to engage in thematic negotiations. As one TP </w:t>
      </w:r>
      <w:r w:rsidRPr="45D259A1">
        <w:rPr>
          <w:rFonts w:eastAsia="Segoe UI" w:cs="Times New Roman"/>
        </w:rPr>
        <w:t>noted</w:t>
      </w:r>
      <w:r w:rsidRPr="00D75194">
        <w:rPr>
          <w:rFonts w:eastAsia="Segoe UI" w:cs="Times New Roman"/>
        </w:rPr>
        <w:t xml:space="preserve"> regarding the support a negotiator received: </w:t>
      </w:r>
    </w:p>
    <w:p w:rsidRPr="00D75194" w:rsidR="00C22F13" w:rsidP="00C22F13" w:rsidRDefault="00C22F13" w14:paraId="3840F8FF" w14:textId="3C27011D">
      <w:pPr>
        <w:rPr>
          <w:rFonts w:eastAsia="Segoe UI" w:cs="Times New Roman"/>
        </w:rPr>
      </w:pPr>
      <w:r w:rsidRPr="00D75194">
        <w:rPr>
          <w:rFonts w:eastAsia="Segoe UI" w:cs="Times New Roman"/>
        </w:rPr>
        <w:t>“</w:t>
      </w:r>
      <w:r w:rsidRPr="00D75194">
        <w:rPr>
          <w:rFonts w:eastAsia="Segoe UI" w:cs="Times New Roman"/>
          <w:i/>
          <w:iCs/>
        </w:rPr>
        <w:t>CASA has made it possible so that she can focus on this work completely. If this work would fall to government officials they would be hugely stretched as their time is not solely dedicated to this. She has received one</w:t>
      </w:r>
      <w:r w:rsidRPr="00D75194" w:rsidR="00F631C4">
        <w:rPr>
          <w:rFonts w:eastAsia="Segoe UI" w:cs="Times New Roman"/>
          <w:i/>
          <w:iCs/>
        </w:rPr>
        <w:t>-</w:t>
      </w:r>
      <w:r w:rsidRPr="00D75194">
        <w:rPr>
          <w:rFonts w:eastAsia="Segoe UI" w:cs="Times New Roman"/>
          <w:i/>
          <w:iCs/>
        </w:rPr>
        <w:t>on</w:t>
      </w:r>
      <w:r w:rsidRPr="00D75194" w:rsidR="00F631C4">
        <w:rPr>
          <w:rFonts w:eastAsia="Segoe UI" w:cs="Times New Roman"/>
          <w:i/>
          <w:iCs/>
        </w:rPr>
        <w:t>-</w:t>
      </w:r>
      <w:r w:rsidRPr="00D75194">
        <w:rPr>
          <w:rFonts w:eastAsia="Segoe UI" w:cs="Times New Roman"/>
          <w:i/>
          <w:iCs/>
        </w:rPr>
        <w:t>one feedback positively affirming that advisors have been crucial.”</w:t>
      </w:r>
    </w:p>
    <w:p w:rsidRPr="00D75194" w:rsidR="00C22F13" w:rsidP="00C22F13" w:rsidRDefault="00C22F13" w14:paraId="2F9D2CAC" w14:textId="0010C75E">
      <w:pPr>
        <w:rPr>
          <w:rFonts w:eastAsia="Segoe UI" w:cs="Times New Roman"/>
        </w:rPr>
      </w:pPr>
      <w:r w:rsidRPr="00D75194">
        <w:rPr>
          <w:rFonts w:eastAsia="Segoe UI" w:cs="Times New Roman"/>
        </w:rPr>
        <w:t xml:space="preserve">LRI’s delivery model—commented on extensively in the preceding sections—has uniquely enabled it to effectively provide tailored yet broadly applicable legal expertise to climate negotiators. </w:t>
      </w:r>
      <w:r w:rsidRPr="45D259A1">
        <w:rPr>
          <w:rFonts w:eastAsia="Segoe UI" w:cs="Times New Roman"/>
        </w:rPr>
        <w:t>LRI</w:t>
      </w:r>
      <w:r w:rsidRPr="00D75194">
        <w:rPr>
          <w:rFonts w:eastAsia="Segoe UI" w:cs="Times New Roman"/>
        </w:rPr>
        <w:t xml:space="preserve"> is seen as a go-to resource for negotiators, many of whom noted the enabling role that LRI has played for them and their capacity to engage in negotiations. One recipient of LRI’s support </w:t>
      </w:r>
      <w:r w:rsidRPr="45D259A1">
        <w:rPr>
          <w:rFonts w:eastAsia="Segoe UI" w:cs="Times New Roman"/>
        </w:rPr>
        <w:t>made</w:t>
      </w:r>
      <w:r w:rsidRPr="00D75194">
        <w:rPr>
          <w:rFonts w:eastAsia="Segoe UI" w:cs="Times New Roman"/>
        </w:rPr>
        <w:t xml:space="preserve"> the following comment: </w:t>
      </w:r>
    </w:p>
    <w:p w:rsidRPr="00D75194" w:rsidR="00C22F13" w:rsidP="00C22F13" w:rsidRDefault="00C22F13" w14:paraId="3BC79AC0" w14:textId="77777777">
      <w:pPr>
        <w:rPr>
          <w:rFonts w:eastAsia="Segoe UI" w:cs="Times New Roman"/>
          <w:i/>
          <w:iCs/>
        </w:rPr>
      </w:pPr>
      <w:r w:rsidRPr="00D75194">
        <w:rPr>
          <w:rFonts w:eastAsia="Segoe UI" w:cs="Times New Roman"/>
          <w:i/>
          <w:iCs/>
        </w:rPr>
        <w:t>“The LRI has provided comprehensive and very useful advice on climate finance, especially on negotiations related to the NCQG. This has been very useful for my preparation before NCQG Technical Dialogue meetings, and to engage substantively on the topic. Their advice and research support is always of high quality and impartial. LRI is a neutral, technical support organisation that provides a very valuable service in the UNFCCC process.”</w:t>
      </w:r>
    </w:p>
    <w:p w:rsidRPr="00D75194" w:rsidR="00C22F13" w:rsidP="00C22F13" w:rsidRDefault="00C22F13" w14:paraId="7388908A" w14:textId="4A102504">
      <w:pPr>
        <w:rPr>
          <w:rFonts w:eastAsia="Segoe UI" w:cs="Times New Roman"/>
        </w:rPr>
      </w:pPr>
      <w:r w:rsidRPr="00D75194">
        <w:rPr>
          <w:rFonts w:eastAsia="Segoe UI" w:cs="Times New Roman"/>
        </w:rPr>
        <w:t>Within AILAC, CIES has contributed to building individual-level capacities for negotiators</w:t>
      </w:r>
      <w:r w:rsidRPr="45D259A1">
        <w:rPr>
          <w:rFonts w:eastAsia="Segoe UI" w:cs="Times New Roman"/>
        </w:rPr>
        <w:t>,</w:t>
      </w:r>
      <w:r w:rsidRPr="00D75194">
        <w:rPr>
          <w:rFonts w:eastAsia="Segoe UI" w:cs="Times New Roman"/>
        </w:rPr>
        <w:t xml:space="preserve"> including civil servants and individuals from civil society</w:t>
      </w:r>
      <w:r w:rsidRPr="45D259A1">
        <w:rPr>
          <w:rFonts w:eastAsia="Segoe UI" w:cs="Times New Roman"/>
        </w:rPr>
        <w:t>,</w:t>
      </w:r>
      <w:r w:rsidRPr="00D75194">
        <w:rPr>
          <w:rFonts w:eastAsia="Segoe UI" w:cs="Times New Roman"/>
        </w:rPr>
        <w:t xml:space="preserve"> thereby developing a wider pool of individuals who are able to participate in technical discussions </w:t>
      </w:r>
      <w:r w:rsidRPr="45D259A1">
        <w:rPr>
          <w:rFonts w:eastAsia="Segoe UI" w:cs="Times New Roman"/>
        </w:rPr>
        <w:t>around</w:t>
      </w:r>
      <w:r w:rsidRPr="00D75194">
        <w:rPr>
          <w:rFonts w:eastAsia="Segoe UI" w:cs="Times New Roman"/>
        </w:rPr>
        <w:t xml:space="preserve"> climate negotiations. </w:t>
      </w:r>
    </w:p>
    <w:p w:rsidRPr="00D75194" w:rsidR="00C22F13" w:rsidP="00C22F13" w:rsidRDefault="00C22F13" w14:paraId="591DE156" w14:textId="5A1F7315">
      <w:pPr>
        <w:rPr>
          <w:rFonts w:eastAsia="Segoe UI" w:cs="Times New Roman"/>
        </w:rPr>
      </w:pPr>
      <w:r w:rsidRPr="00D75194">
        <w:rPr>
          <w:rFonts w:eastAsia="Segoe UI" w:cs="Times New Roman"/>
        </w:rPr>
        <w:t>The OF’s grant to the third cohort of the NGP marked a significant organisational shift for the NGP (</w:t>
      </w:r>
      <w:r w:rsidRPr="45D259A1">
        <w:rPr>
          <w:rFonts w:eastAsia="Segoe UI" w:cs="Times New Roman"/>
        </w:rPr>
        <w:t>as noted in</w:t>
      </w:r>
      <w:r w:rsidRPr="00D75194">
        <w:rPr>
          <w:rFonts w:eastAsia="Segoe UI" w:cs="Times New Roman"/>
        </w:rPr>
        <w:t xml:space="preserve"> the section on effectiveness) that both bolstered the organisational strength of the NGP while also building individual capacities of party delegates. As a result, the NGP has matured into a recognised pipeline of young leaders who continue to shape climate diplomacy well beyond their initial fellowship. </w:t>
      </w:r>
    </w:p>
    <w:p w:rsidRPr="00D75194" w:rsidR="00C22F13" w:rsidP="00C22F13" w:rsidRDefault="00C22F13" w14:paraId="6A5A8CF6" w14:textId="74803442">
      <w:pPr>
        <w:rPr>
          <w:rFonts w:eastAsia="Segoe UI" w:cs="Times New Roman"/>
        </w:rPr>
      </w:pPr>
      <w:r w:rsidRPr="45D259A1">
        <w:rPr>
          <w:rFonts w:eastAsia="Segoe UI" w:cs="Times New Roman"/>
        </w:rPr>
        <w:t>In</w:t>
      </w:r>
      <w:r w:rsidRPr="00D75194">
        <w:rPr>
          <w:rFonts w:eastAsia="Segoe UI" w:cs="Times New Roman"/>
        </w:rPr>
        <w:t xml:space="preserve"> the stories of increased individual capacity over the years of CASA support there are several ‘</w:t>
      </w:r>
      <w:r w:rsidRPr="45D259A1">
        <w:rPr>
          <w:rFonts w:eastAsia="Segoe UI" w:cs="Times New Roman"/>
        </w:rPr>
        <w:t>hero’s</w:t>
      </w:r>
      <w:r w:rsidRPr="00D75194">
        <w:rPr>
          <w:rFonts w:eastAsia="Segoe UI" w:cs="Times New Roman"/>
        </w:rPr>
        <w:t xml:space="preserve"> journeys’ of specific individuals </w:t>
      </w:r>
      <w:r w:rsidRPr="45D259A1">
        <w:rPr>
          <w:rFonts w:eastAsia="Segoe UI" w:cs="Times New Roman"/>
        </w:rPr>
        <w:t>who</w:t>
      </w:r>
      <w:r w:rsidRPr="00D75194">
        <w:rPr>
          <w:rFonts w:eastAsia="Segoe UI" w:cs="Times New Roman"/>
        </w:rPr>
        <w:t xml:space="preserve"> have </w:t>
      </w:r>
      <w:r w:rsidRPr="45D259A1">
        <w:rPr>
          <w:rFonts w:eastAsia="Segoe UI" w:cs="Times New Roman"/>
        </w:rPr>
        <w:t>experienced</w:t>
      </w:r>
      <w:r w:rsidRPr="00D75194">
        <w:rPr>
          <w:rFonts w:eastAsia="Segoe UI" w:cs="Times New Roman"/>
        </w:rPr>
        <w:t xml:space="preserve"> a meteoric </w:t>
      </w:r>
      <w:r w:rsidRPr="45D259A1">
        <w:rPr>
          <w:rFonts w:eastAsia="Segoe UI" w:cs="Times New Roman"/>
        </w:rPr>
        <w:t>rise</w:t>
      </w:r>
      <w:r w:rsidRPr="00D75194">
        <w:rPr>
          <w:rFonts w:eastAsia="Segoe UI" w:cs="Times New Roman"/>
        </w:rPr>
        <w:t xml:space="preserve"> to a position of </w:t>
      </w:r>
      <w:r w:rsidRPr="45D259A1">
        <w:rPr>
          <w:rFonts w:eastAsia="Segoe UI" w:cs="Times New Roman"/>
        </w:rPr>
        <w:t>considerable</w:t>
      </w:r>
      <w:r w:rsidRPr="00D75194">
        <w:rPr>
          <w:rFonts w:eastAsia="Segoe UI" w:cs="Times New Roman"/>
        </w:rPr>
        <w:t xml:space="preserve"> influence, and even impact, largely through the support provided by CASA. Some of these have been noted in the preceding sections; many more are provided under the KPI 15 analysis below</w:t>
      </w:r>
      <w:r w:rsidRPr="45D259A1">
        <w:rPr>
          <w:rFonts w:eastAsia="Segoe UI" w:cs="Times New Roman"/>
        </w:rPr>
        <w:t>.</w:t>
      </w:r>
      <w:r w:rsidRPr="00D75194">
        <w:rPr>
          <w:rFonts w:eastAsia="Segoe UI" w:cs="Times New Roman"/>
        </w:rPr>
        <w:t xml:space="preserve"> Two examples are identified below: </w:t>
      </w:r>
    </w:p>
    <w:p w:rsidRPr="00D75194" w:rsidR="00C22F13" w:rsidP="00C22F13" w:rsidRDefault="00C22F13" w14:paraId="2EDEA8B6" w14:textId="2B41F92D">
      <w:pPr>
        <w:numPr>
          <w:ilvl w:val="0"/>
          <w:numId w:val="31"/>
        </w:numPr>
        <w:spacing w:after="160" w:line="278" w:lineRule="auto"/>
        <w:contextualSpacing/>
        <w:jc w:val="left"/>
        <w:rPr>
          <w:rFonts w:eastAsia="Segoe UI" w:cs="Times New Roman"/>
        </w:rPr>
      </w:pPr>
      <w:r w:rsidRPr="00D75194">
        <w:rPr>
          <w:rFonts w:eastAsia="Segoe UI" w:cs="Times New Roman"/>
        </w:rPr>
        <w:t xml:space="preserve">One individual negotiator directly supported under CIES was reported to have taken a high-profile position on the UNFCCC Bureau (Board) through the support provided by CASA. </w:t>
      </w:r>
    </w:p>
    <w:p w:rsidRPr="00D75194" w:rsidR="00C22F13" w:rsidP="00C22F13" w:rsidRDefault="00C22F13" w14:paraId="2EFB24D0" w14:textId="4A7406A8">
      <w:pPr>
        <w:numPr>
          <w:ilvl w:val="0"/>
          <w:numId w:val="31"/>
        </w:numPr>
        <w:spacing w:after="160" w:line="278" w:lineRule="auto"/>
        <w:contextualSpacing/>
        <w:jc w:val="left"/>
        <w:rPr>
          <w:rFonts w:eastAsia="Segoe UI" w:cs="Times New Roman"/>
        </w:rPr>
      </w:pPr>
      <w:r w:rsidRPr="00D75194">
        <w:rPr>
          <w:rFonts w:eastAsia="Segoe UI" w:cs="Times New Roman"/>
        </w:rPr>
        <w:t xml:space="preserve">With mentorship and strategic backing from </w:t>
      </w:r>
      <w:r w:rsidRPr="45D259A1">
        <w:rPr>
          <w:rFonts w:eastAsia="Segoe UI" w:cs="Times New Roman"/>
        </w:rPr>
        <w:t>Independent</w:t>
      </w:r>
      <w:r w:rsidRPr="00D75194">
        <w:rPr>
          <w:rFonts w:eastAsia="Segoe UI" w:cs="Times New Roman"/>
        </w:rPr>
        <w:t xml:space="preserve"> Diplomat, one supported individual was able to step into the role of RMI's lead negotiator on adaptation. This individual was accepted into the AOSIS Fellowship Programme and has since been appointed as the lead adaptation negotiator for AOSIS—a historic first for someone from RMI.</w:t>
      </w:r>
    </w:p>
    <w:p w:rsidRPr="00D75194" w:rsidR="00C22F13" w:rsidP="00C22F13" w:rsidRDefault="00C22F13" w14:paraId="73BFF91B" w14:textId="4A4EDF66">
      <w:pPr>
        <w:rPr>
          <w:rFonts w:eastAsia="Segoe UI" w:cs="Times New Roman"/>
        </w:rPr>
      </w:pPr>
      <w:r w:rsidRPr="00D75194">
        <w:rPr>
          <w:rFonts w:eastAsia="Segoe UI" w:cs="Times New Roman"/>
        </w:rPr>
        <w:t xml:space="preserve">Moreover, as noted </w:t>
      </w:r>
      <w:r w:rsidRPr="45D259A1">
        <w:rPr>
          <w:rFonts w:eastAsia="Segoe UI" w:cs="Times New Roman"/>
        </w:rPr>
        <w:t>in</w:t>
      </w:r>
      <w:r w:rsidRPr="00D75194">
        <w:rPr>
          <w:rFonts w:eastAsia="Segoe UI" w:cs="Times New Roman"/>
        </w:rPr>
        <w:t xml:space="preserve"> the section on coherence</w:t>
      </w:r>
      <w:r w:rsidRPr="45D259A1">
        <w:rPr>
          <w:rFonts w:eastAsia="Aptos" w:cs="Arial"/>
        </w:rPr>
        <w:t>,</w:t>
      </w:r>
      <w:r w:rsidRPr="00D75194">
        <w:rPr>
          <w:rFonts w:eastAsia="Segoe UI" w:cs="Times New Roman"/>
          <w:i/>
          <w:iCs/>
        </w:rPr>
        <w:t xml:space="preserve"> </w:t>
      </w:r>
      <w:r w:rsidRPr="00D75194">
        <w:rPr>
          <w:rFonts w:eastAsia="Segoe UI" w:cs="Times New Roman"/>
        </w:rPr>
        <w:t xml:space="preserve">the notable progression of former recipients of CASA support to joining TP teams highlights specific individuals that have been capacitated to support their negotiating groups and country delegations in new, impactful ways. </w:t>
      </w:r>
    </w:p>
    <w:p w:rsidRPr="00D75194" w:rsidR="00C22F13" w:rsidP="00C22F13" w:rsidRDefault="00C22F13" w14:paraId="26C46DD5" w14:textId="77777777">
      <w:pPr>
        <w:rPr>
          <w:rFonts w:eastAsia="Segoe UI" w:cs="Times New Roman"/>
          <w:b/>
          <w:bCs/>
          <w:i/>
          <w:iCs/>
        </w:rPr>
      </w:pPr>
      <w:r w:rsidRPr="00D75194">
        <w:rPr>
          <w:rFonts w:eastAsia="Segoe UI" w:cs="Times New Roman"/>
          <w:b/>
          <w:bCs/>
          <w:i/>
          <w:iCs/>
        </w:rPr>
        <w:t>Organisational capability</w:t>
      </w:r>
    </w:p>
    <w:p w:rsidRPr="00D75194" w:rsidR="00ED6E83" w:rsidP="00DF52B1" w:rsidRDefault="00C22F13" w14:paraId="12417B02" w14:textId="687192A2">
      <w:r w:rsidRPr="00D75194">
        <w:rPr>
          <w:rFonts w:eastAsia="Segoe UI" w:cs="Times New Roman"/>
        </w:rPr>
        <w:t xml:space="preserve">At the organisational level, we </w:t>
      </w:r>
      <w:r w:rsidRPr="45D259A1">
        <w:rPr>
          <w:rFonts w:eastAsia="Segoe UI" w:cs="Times New Roman"/>
        </w:rPr>
        <w:t>saw</w:t>
      </w:r>
      <w:r w:rsidRPr="00D75194">
        <w:rPr>
          <w:rFonts w:eastAsia="Segoe UI" w:cs="Times New Roman"/>
        </w:rPr>
        <w:t xml:space="preserve"> in the </w:t>
      </w:r>
      <w:r w:rsidRPr="45D259A1">
        <w:rPr>
          <w:rFonts w:eastAsia="Segoe UI" w:cs="Times New Roman"/>
        </w:rPr>
        <w:t>effectiveness</w:t>
      </w:r>
      <w:r w:rsidRPr="00D75194">
        <w:rPr>
          <w:rFonts w:eastAsia="Segoe UI" w:cs="Times New Roman"/>
        </w:rPr>
        <w:t xml:space="preserve"> section examples of how </w:t>
      </w:r>
      <w:r w:rsidRPr="00D75194">
        <w:rPr>
          <w:rFonts w:eastAsia="Segoe UI" w:cs="Times New Roman"/>
          <w:b/>
          <w:bCs/>
        </w:rPr>
        <w:t>CASA has contributed to the growth and development of supported negotiation groups</w:t>
      </w:r>
      <w:r w:rsidRPr="00D75194" w:rsidR="00DF52B1">
        <w:rPr>
          <w:rFonts w:eastAsia="Segoe UI" w:cs="Times New Roman"/>
          <w:b/>
          <w:bCs/>
        </w:rPr>
        <w:t xml:space="preserve">. </w:t>
      </w:r>
      <w:r w:rsidRPr="00D75194" w:rsidR="00ED6E83">
        <w:t xml:space="preserve">For example, the LDC Group </w:t>
      </w:r>
      <w:r w:rsidRPr="00D75194" w:rsidR="0066261A">
        <w:t>is</w:t>
      </w:r>
      <w:r w:rsidRPr="00D75194" w:rsidR="00ED6E83">
        <w:t xml:space="preserve"> developing into a more formalised organisation</w:t>
      </w:r>
      <w:r w:rsidRPr="00D75194" w:rsidR="002A7846">
        <w:t>,</w:t>
      </w:r>
      <w:r w:rsidRPr="00D75194" w:rsidR="00ED6E83">
        <w:t xml:space="preserve"> through clearer succession and capacity</w:t>
      </w:r>
      <w:r w:rsidRPr="00D75194" w:rsidR="002A7846">
        <w:t>-</w:t>
      </w:r>
      <w:r w:rsidRPr="00D75194" w:rsidR="00ED6E83">
        <w:t xml:space="preserve">building efforts that build negotiator capacity from the Global South, and the adoption of the LDC Charter in 2022, which </w:t>
      </w:r>
      <w:r w:rsidRPr="00D75194" w:rsidR="002A7846">
        <w:t xml:space="preserve">has </w:t>
      </w:r>
      <w:r w:rsidRPr="00D75194" w:rsidR="00ED6E83">
        <w:t xml:space="preserve">brought greater formality to many of the organisation’s governance processes (e.g. </w:t>
      </w:r>
      <w:r w:rsidRPr="00D75194" w:rsidR="004A3EE4">
        <w:t xml:space="preserve">chair </w:t>
      </w:r>
      <w:r w:rsidRPr="00D75194" w:rsidR="00ED6E83">
        <w:t>selection, transition mandates, internal decision-making processes, etc). The Group’s supporting partners</w:t>
      </w:r>
      <w:r w:rsidRPr="00D75194" w:rsidR="00F24613">
        <w:t>—</w:t>
      </w:r>
      <w:r w:rsidRPr="00D75194" w:rsidR="00ED6E83">
        <w:t>primarily Climate Analytics and IIED</w:t>
      </w:r>
      <w:r w:rsidRPr="00D75194" w:rsidR="00F24613">
        <w:t>—</w:t>
      </w:r>
      <w:r w:rsidR="00C0644C">
        <w:t>have</w:t>
      </w:r>
      <w:r w:rsidRPr="00D75194" w:rsidR="00ED6E83">
        <w:t xml:space="preserve"> also </w:t>
      </w:r>
      <w:r w:rsidRPr="00D75194" w:rsidR="00C0644C">
        <w:t xml:space="preserve">been </w:t>
      </w:r>
      <w:r w:rsidRPr="00D75194" w:rsidR="00ED6E83">
        <w:t xml:space="preserve">pointed to for their contributions to responding to </w:t>
      </w:r>
      <w:r w:rsidRPr="00D75194" w:rsidR="00C0644C">
        <w:t xml:space="preserve">chair </w:t>
      </w:r>
      <w:r w:rsidRPr="00D75194" w:rsidR="00ED6E83">
        <w:t xml:space="preserve">requests or </w:t>
      </w:r>
      <w:r w:rsidRPr="00D75194" w:rsidR="00BF6F63">
        <w:t xml:space="preserve">the </w:t>
      </w:r>
      <w:r w:rsidR="00ED6E83">
        <w:t>depth</w:t>
      </w:r>
      <w:r w:rsidRPr="00D75194" w:rsidR="00ED6E83">
        <w:t xml:space="preserve"> of </w:t>
      </w:r>
      <w:r w:rsidRPr="00D75194" w:rsidR="00BF6F63">
        <w:t xml:space="preserve">their </w:t>
      </w:r>
      <w:r w:rsidRPr="00D75194" w:rsidR="00ED6E83">
        <w:t>negotiation experience</w:t>
      </w:r>
      <w:r w:rsidRPr="00D75194" w:rsidR="00BF6F63">
        <w:t>,</w:t>
      </w:r>
      <w:r w:rsidRPr="00D75194" w:rsidR="00ED6E83">
        <w:t xml:space="preserve"> respectively, as key enablers of the Group’s coherence. These are core organisational elements that enable the LDC Group’s ‘negotiation readiness’</w:t>
      </w:r>
      <w:r w:rsidRPr="00D75194" w:rsidR="00811498">
        <w:t>, which</w:t>
      </w:r>
      <w:r w:rsidRPr="00D75194" w:rsidDel="00811498" w:rsidR="00ED6E83">
        <w:t xml:space="preserve"> </w:t>
      </w:r>
      <w:r w:rsidRPr="00D75194" w:rsidR="00811498">
        <w:t>is the</w:t>
      </w:r>
      <w:r w:rsidRPr="00D75194" w:rsidR="00ED6E83">
        <w:t xml:space="preserve"> basis of its increased influence in climate negotiations in recent years. </w:t>
      </w:r>
    </w:p>
    <w:p w:rsidRPr="00D75194" w:rsidR="00ED6E83" w:rsidP="00ED6E83" w:rsidRDefault="00ED6E83" w14:paraId="7518B785" w14:textId="03E9D7C6">
      <w:r w:rsidRPr="00D75194">
        <w:t xml:space="preserve">CASA’s contributions to RMI </w:t>
      </w:r>
      <w:r w:rsidRPr="00D75194" w:rsidR="00220DBC">
        <w:t>have</w:t>
      </w:r>
      <w:r w:rsidRPr="00D75194">
        <w:t xml:space="preserve"> clearly had a significant impact on RMI’s effectiveness as the HAC Chair. The extensive stock of </w:t>
      </w:r>
      <w:r>
        <w:t>assets</w:t>
      </w:r>
      <w:r w:rsidRPr="00D75194">
        <w:t xml:space="preserve"> in technical diplomacy that </w:t>
      </w:r>
      <w:r w:rsidR="00494461">
        <w:t>Independent</w:t>
      </w:r>
      <w:r w:rsidRPr="00D75194" w:rsidR="00494461">
        <w:t xml:space="preserve"> Diplomat</w:t>
      </w:r>
      <w:r w:rsidRPr="00D75194">
        <w:t xml:space="preserve"> has leveraged through RMI’s </w:t>
      </w:r>
      <w:r w:rsidRPr="00D75194" w:rsidR="31F3D86E">
        <w:t xml:space="preserve">role as Secretariat </w:t>
      </w:r>
      <w:r w:rsidRPr="00D75194">
        <w:t xml:space="preserve">of the HAC has been instrumental in shaping the strategic direction of the HAC. </w:t>
      </w:r>
      <w:r w:rsidR="00494461">
        <w:t>Independent</w:t>
      </w:r>
      <w:r w:rsidRPr="00D75194" w:rsidR="00494461">
        <w:t xml:space="preserve"> Diplomat</w:t>
      </w:r>
      <w:r w:rsidRPr="00D75194">
        <w:t xml:space="preserve">’s organisational support to RMI has come through its provision of day-to-day logistical support, statement preparation and screening notes, and strategic advice. </w:t>
      </w:r>
      <w:r>
        <w:t>Thus</w:t>
      </w:r>
      <w:r w:rsidR="008F0677">
        <w:t>,</w:t>
      </w:r>
      <w:r>
        <w:t xml:space="preserve"> </w:t>
      </w:r>
      <w:r w:rsidR="00494461">
        <w:t>Independent</w:t>
      </w:r>
      <w:r w:rsidRPr="00D75194" w:rsidR="00494461">
        <w:t xml:space="preserve"> Diplomat</w:t>
      </w:r>
      <w:r w:rsidRPr="00D75194" w:rsidR="008F0677">
        <w:t>’s</w:t>
      </w:r>
      <w:r w:rsidRPr="00D75194">
        <w:t xml:space="preserve"> </w:t>
      </w:r>
      <w:r w:rsidRPr="00D75194" w:rsidR="4A615DDB">
        <w:t xml:space="preserve">support to RMI has helped ensure it has the </w:t>
      </w:r>
      <w:r w:rsidRPr="00D75194">
        <w:t xml:space="preserve">organisational capabilities needed to influence the institutional level of the HAC. </w:t>
      </w:r>
    </w:p>
    <w:p w:rsidRPr="00D75194" w:rsidR="00ED6E83" w:rsidP="00ED6E83" w:rsidRDefault="00ED6E83" w14:paraId="50454CB5" w14:textId="6A006FF5">
      <w:r w:rsidRPr="00D75194">
        <w:t xml:space="preserve">Similarly, CIES has strengthened domestic negotiating delegations through various mechanisms within AILAC, such as its </w:t>
      </w:r>
      <w:r w:rsidR="00FA74A8">
        <w:t>s</w:t>
      </w:r>
      <w:r>
        <w:t xml:space="preserve">upport </w:t>
      </w:r>
      <w:r w:rsidR="00FA74A8">
        <w:t>u</w:t>
      </w:r>
      <w:r>
        <w:t>nit</w:t>
      </w:r>
      <w:r w:rsidRPr="00D75194">
        <w:t xml:space="preserve"> and its group of ‘</w:t>
      </w:r>
      <w:r w:rsidRPr="00D75194" w:rsidR="008F0677">
        <w:t>e</w:t>
      </w:r>
      <w:r w:rsidRPr="00D75194">
        <w:t>lders’, as well as providing more specific technical advice in or around climate negotiations</w:t>
      </w:r>
      <w:r w:rsidRPr="00D75194" w:rsidR="44223B35">
        <w:t xml:space="preserve"> (see CIES case study, Annex I)</w:t>
      </w:r>
      <w:r w:rsidRPr="00D75194">
        <w:t>. These mechanisms, however, predated or existed outside of CASA-specific support</w:t>
      </w:r>
      <w:r w:rsidR="003B7483">
        <w:t>.</w:t>
      </w:r>
      <w:r w:rsidRPr="00D75194" w:rsidDel="003B7483">
        <w:t xml:space="preserve"> </w:t>
      </w:r>
      <w:r w:rsidRPr="00D75194">
        <w:t xml:space="preserve">CASA support has augmented </w:t>
      </w:r>
      <w:r w:rsidRPr="00D75194" w:rsidR="003B7483">
        <w:t xml:space="preserve">them, </w:t>
      </w:r>
      <w:r w:rsidRPr="00D75194">
        <w:t xml:space="preserve">but </w:t>
      </w:r>
      <w:r w:rsidR="002B36DB">
        <w:t>has</w:t>
      </w:r>
      <w:r w:rsidRPr="00D75194">
        <w:t xml:space="preserve"> likely </w:t>
      </w:r>
      <w:r w:rsidRPr="00D75194" w:rsidR="002B36DB">
        <w:t xml:space="preserve">made a </w:t>
      </w:r>
      <w:r w:rsidRPr="00D75194">
        <w:t>smaller relative contribution</w:t>
      </w:r>
      <w:r w:rsidRPr="00D75194" w:rsidR="002B36DB">
        <w:t xml:space="preserve"> to them</w:t>
      </w:r>
      <w:r w:rsidRPr="00D75194">
        <w:t xml:space="preserve"> </w:t>
      </w:r>
      <w:r w:rsidRPr="00D75194" w:rsidR="002B36DB">
        <w:t xml:space="preserve">as compared to </w:t>
      </w:r>
      <w:r w:rsidRPr="00D75194">
        <w:t xml:space="preserve">other examples of organisational development. </w:t>
      </w:r>
    </w:p>
    <w:p w:rsidRPr="00D75194" w:rsidR="00ED6E83" w:rsidP="00ED6E83" w:rsidRDefault="00ED6E83" w14:paraId="0D9CA6D4" w14:textId="4862CBE2">
      <w:r w:rsidRPr="00D75194">
        <w:t>The CASA-funded third cohort of the NGP marked another significant impact for the programme’s contribution to organisational capabilities. As elaborated further in</w:t>
      </w:r>
      <w:r w:rsidRPr="00D75194" w:rsidR="00CA4244">
        <w:t xml:space="preserve"> the section on </w:t>
      </w:r>
      <w:r w:rsidR="00CA4244">
        <w:t>e</w:t>
      </w:r>
      <w:r>
        <w:t>ffectiveness</w:t>
      </w:r>
      <w:r w:rsidRPr="00D75194" w:rsidR="54EB5912">
        <w:rPr>
          <w:i/>
          <w:iCs/>
        </w:rPr>
        <w:t xml:space="preserve"> </w:t>
      </w:r>
      <w:r w:rsidRPr="00D75194" w:rsidR="54EB5912">
        <w:t xml:space="preserve">and </w:t>
      </w:r>
      <w:r w:rsidRPr="00D75194" w:rsidR="00335948">
        <w:t xml:space="preserve">in </w:t>
      </w:r>
      <w:r w:rsidRPr="00D75194" w:rsidR="54EB5912">
        <w:t>the NGP case study (see Annex I)</w:t>
      </w:r>
      <w:r w:rsidRPr="00D75194">
        <w:t>, this investment helped move the selection of negotiator fellows (trainees) from being selected through an open invitation for applicants to a more tailored and specific capacity</w:t>
      </w:r>
      <w:r w:rsidRPr="00D75194" w:rsidR="003D4BDB">
        <w:t>-</w:t>
      </w:r>
      <w:r w:rsidRPr="00D75194">
        <w:t xml:space="preserve">building effort for individuals nominated for party delegations. The significance of this shift was </w:t>
      </w:r>
      <w:r w:rsidRPr="00D75194" w:rsidR="003D7E8B">
        <w:t xml:space="preserve">the </w:t>
      </w:r>
      <w:r w:rsidRPr="00D75194">
        <w:t>move from individual-focused skills to individuals forming part of an organisational team (delegates) that the training was intended to complemen</w:t>
      </w:r>
      <w:r w:rsidRPr="00D75194" w:rsidR="5547E8E6">
        <w:t xml:space="preserve">t, for which CASA’s support was seen to be </w:t>
      </w:r>
      <w:r w:rsidRPr="00D75194" w:rsidR="7C67029D">
        <w:t>indispensable</w:t>
      </w:r>
      <w:r w:rsidRPr="00D75194">
        <w:t xml:space="preserve">. </w:t>
      </w:r>
      <w:r w:rsidRPr="00D75194" w:rsidR="6E3DEA28">
        <w:t xml:space="preserve">While </w:t>
      </w:r>
      <w:r w:rsidRPr="00D75194" w:rsidR="7590C860">
        <w:t>multiple</w:t>
      </w:r>
      <w:r w:rsidRPr="00D75194" w:rsidR="6E3DEA28">
        <w:t xml:space="preserve"> factors shaped the outcome of this third cohort of the NGP, </w:t>
      </w:r>
      <w:r w:rsidRPr="00D75194" w:rsidR="39C8283B">
        <w:t xml:space="preserve">including the </w:t>
      </w:r>
      <w:r w:rsidRPr="00D75194" w:rsidR="757F2731">
        <w:t xml:space="preserve">credibility of the </w:t>
      </w:r>
      <w:r w:rsidRPr="00D75194" w:rsidR="39C8283B">
        <w:t>NGP</w:t>
      </w:r>
      <w:r w:rsidRPr="00D75194" w:rsidR="4805D41D">
        <w:t xml:space="preserve"> </w:t>
      </w:r>
      <w:proofErr w:type="gramStart"/>
      <w:r w:rsidRPr="00D75194" w:rsidR="4805D41D">
        <w:t>as a result of</w:t>
      </w:r>
      <w:proofErr w:type="gramEnd"/>
      <w:r w:rsidRPr="00D75194" w:rsidR="4805D41D">
        <w:t xml:space="preserve"> its previous cohorts</w:t>
      </w:r>
      <w:r w:rsidR="000C209F">
        <w:t>,</w:t>
      </w:r>
      <w:r w:rsidRPr="00D75194" w:rsidR="4805D41D">
        <w:t xml:space="preserve"> CASA’s support was strategic and timely, building on the programme’s existing momentum. </w:t>
      </w:r>
    </w:p>
    <w:p w:rsidRPr="00D75194" w:rsidR="00AA0086" w:rsidP="00ED6E83" w:rsidRDefault="000B7F6A" w14:paraId="0CC8B38E" w14:textId="5EB41E1C">
      <w:r w:rsidRPr="00D75194">
        <w:t>However,</w:t>
      </w:r>
      <w:r w:rsidRPr="00D75194" w:rsidR="00ED6E83">
        <w:t xml:space="preserve"> </w:t>
      </w:r>
      <w:r w:rsidRPr="00D75194" w:rsidR="2F71D146">
        <w:t xml:space="preserve">CASA’s </w:t>
      </w:r>
      <w:r w:rsidRPr="00D75194" w:rsidR="00ED6E83">
        <w:t xml:space="preserve">ultimate objective is not to develop </w:t>
      </w:r>
      <w:r w:rsidRPr="00D75194" w:rsidR="014B6E1F">
        <w:t>organisational</w:t>
      </w:r>
      <w:r w:rsidRPr="00D75194" w:rsidR="00ED6E83">
        <w:t xml:space="preserve"> capabilities for its own sake, but rather </w:t>
      </w:r>
      <w:r w:rsidRPr="00D75194" w:rsidR="00BE379A">
        <w:t xml:space="preserve">to ensure </w:t>
      </w:r>
      <w:r w:rsidRPr="00D75194" w:rsidR="00ED6E83">
        <w:t>that</w:t>
      </w:r>
      <w:r w:rsidRPr="00D75194" w:rsidR="00BE379A">
        <w:t>,</w:t>
      </w:r>
      <w:r w:rsidRPr="00D75194" w:rsidR="00ED6E83">
        <w:t xml:space="preserve"> by increasing organisations’ capabilities, they will have greater influence on the institutions that shape international climate negotiations and ambitions</w:t>
      </w:r>
      <w:r w:rsidRPr="00D75194" w:rsidR="00776713">
        <w:t>—in short,</w:t>
      </w:r>
      <w:r w:rsidRPr="00D75194" w:rsidR="00ED6E83">
        <w:t xml:space="preserve"> that CASA-supported organisations become agents of institutional change. </w:t>
      </w:r>
    </w:p>
    <w:p w:rsidRPr="00D75194" w:rsidR="00DB5BDD" w:rsidP="00DD6E3E" w:rsidRDefault="004223DE" w14:paraId="6FDD4986" w14:textId="74B9E4E5">
      <w:pPr>
        <w:pStyle w:val="Heading3"/>
        <w:numPr>
          <w:ilvl w:val="0"/>
          <w:numId w:val="0"/>
        </w:numPr>
        <w:rPr>
          <w:rFonts w:cstheme="minorHAnsi"/>
          <w:bCs/>
        </w:rPr>
      </w:pPr>
      <w:bookmarkStart w:name="_Toc204259837" w:id="96"/>
      <w:r w:rsidRPr="00D75194">
        <w:t xml:space="preserve">EQ </w:t>
      </w:r>
      <w:r w:rsidRPr="00D75194" w:rsidR="00DB5BDD">
        <w:t>5.2: To what extent are supported negotiating groups able to access, engage in</w:t>
      </w:r>
      <w:r w:rsidRPr="00D75194" w:rsidR="00B51A9B">
        <w:t>,</w:t>
      </w:r>
      <w:r w:rsidRPr="00D75194" w:rsidR="00DB5BDD">
        <w:t xml:space="preserve"> and influence international climate negotiations?</w:t>
      </w:r>
      <w:bookmarkEnd w:id="96"/>
      <w:r w:rsidRPr="00D75194" w:rsidR="00DB5BDD">
        <w:t> </w:t>
      </w:r>
    </w:p>
    <w:p w:rsidRPr="00D75194" w:rsidR="040D63A5" w:rsidP="4EF27130" w:rsidRDefault="00DD6E3E" w14:paraId="79F37DBA" w14:textId="1A8CA24D">
      <w:pPr>
        <w:rPr>
          <w:rFonts w:asciiTheme="minorHAnsi" w:hAnsiTheme="minorHAnsi"/>
          <w:b/>
          <w:i/>
        </w:rPr>
      </w:pPr>
      <w:r w:rsidRPr="00D75194">
        <w:rPr>
          <w:rFonts w:asciiTheme="minorHAnsi" w:hAnsiTheme="minorHAnsi"/>
          <w:b/>
          <w:i/>
        </w:rPr>
        <w:br/>
      </w:r>
      <w:r w:rsidRPr="00D75194" w:rsidR="040D63A5">
        <w:rPr>
          <w:rFonts w:asciiTheme="minorHAnsi" w:hAnsiTheme="minorHAnsi"/>
          <w:b/>
          <w:i/>
        </w:rPr>
        <w:t>Institutional gains</w:t>
      </w:r>
    </w:p>
    <w:p w:rsidRPr="00D75194" w:rsidR="00DB5BDD" w:rsidP="00DB5BDD" w:rsidRDefault="00DB5BDD" w14:paraId="175A9C5C" w14:textId="506539CF">
      <w:pPr>
        <w:rPr>
          <w:rFonts w:asciiTheme="minorHAnsi" w:hAnsiTheme="minorHAnsi" w:cstheme="minorHAnsi"/>
        </w:rPr>
      </w:pPr>
      <w:r w:rsidRPr="00D75194">
        <w:rPr>
          <w:rFonts w:asciiTheme="minorHAnsi" w:hAnsiTheme="minorHAnsi" w:cstheme="minorHAnsi"/>
        </w:rPr>
        <w:t xml:space="preserve">As described at the outset of </w:t>
      </w:r>
      <w:r w:rsidRPr="129E1237">
        <w:rPr>
          <w:rFonts w:asciiTheme="minorHAnsi" w:hAnsiTheme="minorHAnsi"/>
        </w:rPr>
        <w:t>th</w:t>
      </w:r>
      <w:r w:rsidRPr="129E1237" w:rsidR="00A64AD4">
        <w:rPr>
          <w:rFonts w:asciiTheme="minorHAnsi" w:hAnsiTheme="minorHAnsi"/>
        </w:rPr>
        <w:t>is</w:t>
      </w:r>
      <w:r w:rsidRPr="00D75194" w:rsidDel="00A64AD4">
        <w:rPr>
          <w:rFonts w:asciiTheme="minorHAnsi" w:hAnsiTheme="minorHAnsi" w:cstheme="minorHAnsi"/>
        </w:rPr>
        <w:t xml:space="preserve"> </w:t>
      </w:r>
      <w:r w:rsidRPr="00D75194">
        <w:rPr>
          <w:rFonts w:asciiTheme="minorHAnsi" w:hAnsiTheme="minorHAnsi" w:cstheme="minorHAnsi"/>
        </w:rPr>
        <w:t>section</w:t>
      </w:r>
      <w:r w:rsidRPr="00D75194" w:rsidR="00A64AD4">
        <w:rPr>
          <w:rFonts w:asciiTheme="minorHAnsi" w:hAnsiTheme="minorHAnsi" w:cstheme="minorHAnsi"/>
        </w:rPr>
        <w:t xml:space="preserve"> o</w:t>
      </w:r>
      <w:r w:rsidRPr="00D75194" w:rsidR="00853267">
        <w:rPr>
          <w:rFonts w:asciiTheme="minorHAnsi" w:hAnsiTheme="minorHAnsi" w:cstheme="minorHAnsi"/>
        </w:rPr>
        <w:t>n</w:t>
      </w:r>
      <w:r w:rsidRPr="00D75194" w:rsidR="00A64AD4">
        <w:rPr>
          <w:rFonts w:asciiTheme="minorHAnsi" w:hAnsiTheme="minorHAnsi" w:cstheme="minorHAnsi"/>
        </w:rPr>
        <w:t xml:space="preserve"> impact</w:t>
      </w:r>
      <w:r w:rsidRPr="00D75194">
        <w:rPr>
          <w:rFonts w:asciiTheme="minorHAnsi" w:hAnsiTheme="minorHAnsi" w:cstheme="minorHAnsi"/>
        </w:rPr>
        <w:t xml:space="preserve">, </w:t>
      </w:r>
      <w:r w:rsidRPr="129E1237">
        <w:rPr>
          <w:rFonts w:asciiTheme="minorHAnsi" w:hAnsiTheme="minorHAnsi"/>
        </w:rPr>
        <w:t>institutions</w:t>
      </w:r>
      <w:r w:rsidRPr="00D75194">
        <w:rPr>
          <w:rFonts w:asciiTheme="minorHAnsi" w:hAnsiTheme="minorHAnsi" w:cstheme="minorHAnsi"/>
        </w:rPr>
        <w:t xml:space="preserve"> can be understood as </w:t>
      </w:r>
      <w:r w:rsidRPr="129E1237" w:rsidR="00A64AD4">
        <w:rPr>
          <w:rFonts w:asciiTheme="minorHAnsi" w:hAnsiTheme="minorHAnsi"/>
        </w:rPr>
        <w:t>“</w:t>
      </w:r>
      <w:r w:rsidRPr="00D75194">
        <w:rPr>
          <w:rFonts w:asciiTheme="minorHAnsi" w:hAnsiTheme="minorHAnsi" w:cstheme="minorHAnsi"/>
          <w:i/>
          <w:iCs/>
        </w:rPr>
        <w:t xml:space="preserve">the rules of the game in a society or… the humanly devised constraints that shape human </w:t>
      </w:r>
      <w:r w:rsidRPr="129E1237">
        <w:rPr>
          <w:rFonts w:asciiTheme="minorHAnsi" w:hAnsiTheme="minorHAnsi"/>
          <w:i/>
          <w:iCs/>
        </w:rPr>
        <w:t>interaction</w:t>
      </w:r>
      <w:r w:rsidRPr="129E1237" w:rsidR="00A64AD4">
        <w:rPr>
          <w:rFonts w:asciiTheme="minorHAnsi" w:hAnsiTheme="minorHAnsi"/>
        </w:rPr>
        <w:t>”</w:t>
      </w:r>
      <w:r w:rsidRPr="00D75194">
        <w:rPr>
          <w:rFonts w:asciiTheme="minorHAnsi" w:hAnsiTheme="minorHAnsi" w:cstheme="minorHAnsi"/>
        </w:rPr>
        <w:t xml:space="preserve"> In CASA’s context, this can be understood as the </w:t>
      </w:r>
      <w:r w:rsidRPr="129E1237" w:rsidR="00E103A9">
        <w:rPr>
          <w:rFonts w:asciiTheme="minorHAnsi" w:hAnsiTheme="minorHAnsi"/>
        </w:rPr>
        <w:t>“</w:t>
      </w:r>
      <w:r w:rsidRPr="00D75194">
        <w:rPr>
          <w:rFonts w:asciiTheme="minorHAnsi" w:hAnsiTheme="minorHAnsi" w:cstheme="minorHAnsi"/>
          <w:i/>
          <w:iCs/>
        </w:rPr>
        <w:t>negotiated outcomes that reflect the position of these [negotiation] groups [from high ambition developing countries</w:t>
      </w:r>
      <w:r w:rsidRPr="129E1237">
        <w:rPr>
          <w:rFonts w:asciiTheme="minorHAnsi" w:hAnsiTheme="minorHAnsi"/>
          <w:i/>
          <w:iCs/>
        </w:rPr>
        <w:t>]</w:t>
      </w:r>
      <w:r w:rsidRPr="129E1237" w:rsidR="00E103A9">
        <w:rPr>
          <w:rFonts w:asciiTheme="minorHAnsi" w:hAnsiTheme="minorHAnsi"/>
        </w:rPr>
        <w:t>”</w:t>
      </w:r>
      <w:r w:rsidRPr="129E1237">
        <w:rPr>
          <w:rFonts w:asciiTheme="minorHAnsi" w:hAnsiTheme="minorHAnsi"/>
        </w:rPr>
        <w:t>.</w:t>
      </w:r>
      <w:r w:rsidRPr="00D75194">
        <w:rPr>
          <w:rFonts w:asciiTheme="minorHAnsi" w:hAnsiTheme="minorHAnsi" w:cstheme="minorHAnsi"/>
        </w:rPr>
        <w:t xml:space="preserve"> </w:t>
      </w:r>
    </w:p>
    <w:p w:rsidRPr="00D75194" w:rsidR="00DB5BDD" w:rsidP="55F3CFC3" w:rsidRDefault="00DB5BDD" w14:paraId="0A2D2082" w14:textId="3F329C1C">
      <w:pPr>
        <w:rPr>
          <w:rFonts w:asciiTheme="minorHAnsi" w:hAnsiTheme="minorHAnsi"/>
        </w:rPr>
      </w:pPr>
      <w:r w:rsidRPr="00D75194">
        <w:rPr>
          <w:rFonts w:asciiTheme="minorHAnsi" w:hAnsiTheme="minorHAnsi"/>
        </w:rPr>
        <w:t>These are the decisions, the policies,</w:t>
      </w:r>
      <w:r w:rsidRPr="00D75194" w:rsidR="003C4D97">
        <w:rPr>
          <w:rFonts w:asciiTheme="minorHAnsi" w:hAnsiTheme="minorHAnsi"/>
        </w:rPr>
        <w:t xml:space="preserve"> and</w:t>
      </w:r>
      <w:r w:rsidRPr="00D75194">
        <w:rPr>
          <w:rFonts w:asciiTheme="minorHAnsi" w:hAnsiTheme="minorHAnsi"/>
        </w:rPr>
        <w:t xml:space="preserve"> the processes embedded </w:t>
      </w:r>
      <w:r w:rsidRPr="129E1237">
        <w:rPr>
          <w:rFonts w:asciiTheme="minorHAnsi" w:hAnsiTheme="minorHAnsi"/>
        </w:rPr>
        <w:t>in</w:t>
      </w:r>
      <w:r w:rsidRPr="00D75194">
        <w:rPr>
          <w:rFonts w:asciiTheme="minorHAnsi" w:hAnsiTheme="minorHAnsi"/>
        </w:rPr>
        <w:t xml:space="preserve"> the UNFCCC architecture that govern the way that climate negotiations are undertaken and the way that climate commitments are made and applied at both international and domestic levels. </w:t>
      </w:r>
      <w:r w:rsidRPr="129E1237" w:rsidR="00771471">
        <w:rPr>
          <w:rFonts w:asciiTheme="minorHAnsi" w:hAnsiTheme="minorHAnsi"/>
        </w:rPr>
        <w:t>Seen</w:t>
      </w:r>
      <w:r w:rsidRPr="00D75194" w:rsidR="00771471">
        <w:rPr>
          <w:rFonts w:asciiTheme="minorHAnsi" w:hAnsiTheme="minorHAnsi"/>
        </w:rPr>
        <w:t xml:space="preserve"> from this perspective</w:t>
      </w:r>
      <w:r w:rsidRPr="00D75194">
        <w:rPr>
          <w:rFonts w:asciiTheme="minorHAnsi" w:hAnsiTheme="minorHAnsi"/>
        </w:rPr>
        <w:t xml:space="preserve">, </w:t>
      </w:r>
      <w:r w:rsidRPr="00D75194">
        <w:rPr>
          <w:rFonts w:asciiTheme="minorHAnsi" w:hAnsiTheme="minorHAnsi"/>
          <w:b/>
          <w:bCs/>
        </w:rPr>
        <w:t>there is some evidence that CASA has made important contributions to its intended impact</w:t>
      </w:r>
      <w:r w:rsidRPr="00D75194">
        <w:rPr>
          <w:rFonts w:asciiTheme="minorHAnsi" w:hAnsiTheme="minorHAnsi"/>
        </w:rPr>
        <w:t xml:space="preserve">, examples of which we can see in several instances. </w:t>
      </w:r>
      <w:r w:rsidRPr="00D75194" w:rsidR="65CDAA4D">
        <w:rPr>
          <w:rFonts w:asciiTheme="minorHAnsi" w:hAnsiTheme="minorHAnsi"/>
        </w:rPr>
        <w:t xml:space="preserve">However, assessing the degree of CASA’s contribution is </w:t>
      </w:r>
      <w:r w:rsidRPr="00D75194" w:rsidR="0065180F">
        <w:rPr>
          <w:rFonts w:asciiTheme="minorHAnsi" w:hAnsiTheme="minorHAnsi"/>
        </w:rPr>
        <w:t xml:space="preserve">challenging </w:t>
      </w:r>
      <w:r w:rsidRPr="00D75194" w:rsidR="65CDAA4D">
        <w:rPr>
          <w:rFonts w:asciiTheme="minorHAnsi" w:hAnsiTheme="minorHAnsi"/>
        </w:rPr>
        <w:t>in the complex environment of policy decisions.</w:t>
      </w:r>
      <w:r w:rsidRPr="00D75194" w:rsidDel="006B601D" w:rsidR="65CDAA4D">
        <w:rPr>
          <w:rFonts w:asciiTheme="minorHAnsi" w:hAnsiTheme="minorHAnsi"/>
        </w:rPr>
        <w:t xml:space="preserve"> </w:t>
      </w:r>
    </w:p>
    <w:p w:rsidRPr="00D75194" w:rsidR="00DB5BDD" w:rsidP="00DB5BDD" w:rsidRDefault="00494461" w14:paraId="0044DFB7" w14:textId="04B5422F">
      <w:pPr>
        <w:rPr>
          <w:rFonts w:asciiTheme="minorHAnsi" w:hAnsiTheme="minorHAnsi"/>
        </w:rPr>
      </w:pPr>
      <w:r w:rsidRPr="129E1237">
        <w:rPr>
          <w:rFonts w:asciiTheme="minorHAnsi" w:hAnsiTheme="minorHAnsi"/>
        </w:rPr>
        <w:t>Independent</w:t>
      </w:r>
      <w:r w:rsidRPr="00D75194">
        <w:rPr>
          <w:rFonts w:asciiTheme="minorHAnsi" w:hAnsiTheme="minorHAnsi"/>
        </w:rPr>
        <w:t xml:space="preserve"> Diplomat</w:t>
      </w:r>
      <w:r w:rsidRPr="00D75194" w:rsidR="00DB5BDD">
        <w:rPr>
          <w:rFonts w:asciiTheme="minorHAnsi" w:hAnsiTheme="minorHAnsi"/>
        </w:rPr>
        <w:t xml:space="preserve"> </w:t>
      </w:r>
      <w:r w:rsidRPr="129E1237" w:rsidR="0041651D">
        <w:rPr>
          <w:rFonts w:asciiTheme="minorHAnsi" w:hAnsiTheme="minorHAnsi"/>
        </w:rPr>
        <w:t>was</w:t>
      </w:r>
      <w:r w:rsidRPr="00D75194" w:rsidR="00DB5BDD">
        <w:rPr>
          <w:rFonts w:asciiTheme="minorHAnsi" w:hAnsiTheme="minorHAnsi"/>
        </w:rPr>
        <w:t xml:space="preserve"> pointed to </w:t>
      </w:r>
      <w:r w:rsidRPr="00D75194" w:rsidR="012494B9">
        <w:rPr>
          <w:rFonts w:asciiTheme="minorHAnsi" w:hAnsiTheme="minorHAnsi"/>
        </w:rPr>
        <w:t xml:space="preserve">by TPs and CASA-supported people </w:t>
      </w:r>
      <w:r w:rsidRPr="00D75194" w:rsidR="00DB5BDD">
        <w:rPr>
          <w:rFonts w:asciiTheme="minorHAnsi" w:hAnsiTheme="minorHAnsi"/>
        </w:rPr>
        <w:t xml:space="preserve">for playing a vital role in supporting RMI and its role as the </w:t>
      </w:r>
      <w:r w:rsidRPr="00D75194" w:rsidR="00557308">
        <w:rPr>
          <w:rFonts w:asciiTheme="minorHAnsi" w:hAnsiTheme="minorHAnsi"/>
        </w:rPr>
        <w:t xml:space="preserve">chair </w:t>
      </w:r>
      <w:r w:rsidRPr="00D75194" w:rsidR="00DB5BDD">
        <w:rPr>
          <w:rFonts w:asciiTheme="minorHAnsi" w:hAnsiTheme="minorHAnsi"/>
        </w:rPr>
        <w:t xml:space="preserve">of the HAC, which has in turn influenced </w:t>
      </w:r>
      <w:r w:rsidRPr="0882BD19" w:rsidR="21F9C0CD">
        <w:rPr>
          <w:rFonts w:asciiTheme="minorHAnsi" w:hAnsiTheme="minorHAnsi"/>
        </w:rPr>
        <w:t xml:space="preserve">the HAC to set more ambitious </w:t>
      </w:r>
      <w:r w:rsidRPr="0817EE13" w:rsidR="21F9C0CD">
        <w:rPr>
          <w:rFonts w:asciiTheme="minorHAnsi" w:hAnsiTheme="minorHAnsi"/>
        </w:rPr>
        <w:t>targets for</w:t>
      </w:r>
      <w:r w:rsidRPr="00D75194" w:rsidR="00DB5BDD">
        <w:rPr>
          <w:rFonts w:asciiTheme="minorHAnsi" w:hAnsiTheme="minorHAnsi"/>
        </w:rPr>
        <w:t xml:space="preserve"> outcomes. Some of these ‘ambitious outcomes’ include the inclusion of adaptation as a strategic priority for the HAC; the commitment to double adaptation finance agreed at COP26; supporting RMI’s domestic efforts in its National Adaptation Plan; and even</w:t>
      </w:r>
      <w:r w:rsidRPr="00D75194" w:rsidR="00183E7E">
        <w:rPr>
          <w:rFonts w:asciiTheme="minorHAnsi" w:hAnsiTheme="minorHAnsi"/>
        </w:rPr>
        <w:t>,</w:t>
      </w:r>
      <w:r w:rsidRPr="00D75194" w:rsidR="00DB5BDD">
        <w:rPr>
          <w:rFonts w:asciiTheme="minorHAnsi" w:hAnsiTheme="minorHAnsi"/>
        </w:rPr>
        <w:t xml:space="preserve"> potentially</w:t>
      </w:r>
      <w:r w:rsidRPr="00D75194" w:rsidR="00183E7E">
        <w:rPr>
          <w:rFonts w:asciiTheme="minorHAnsi" w:hAnsiTheme="minorHAnsi"/>
        </w:rPr>
        <w:t>,</w:t>
      </w:r>
      <w:r w:rsidRPr="00D75194" w:rsidR="00DB5BDD">
        <w:rPr>
          <w:rFonts w:asciiTheme="minorHAnsi" w:hAnsiTheme="minorHAnsi"/>
        </w:rPr>
        <w:t xml:space="preserve"> considerably </w:t>
      </w:r>
      <w:r w:rsidRPr="5C62F8C9" w:rsidR="00822EE6">
        <w:rPr>
          <w:rFonts w:asciiTheme="minorHAnsi" w:hAnsiTheme="minorHAnsi"/>
        </w:rPr>
        <w:t>influencing the</w:t>
      </w:r>
      <w:r w:rsidRPr="00D75194" w:rsidR="00DB5BDD">
        <w:rPr>
          <w:rFonts w:asciiTheme="minorHAnsi" w:hAnsiTheme="minorHAnsi"/>
        </w:rPr>
        <w:t xml:space="preserve"> 1.5-degree commitment within the Paris Agreement. </w:t>
      </w:r>
    </w:p>
    <w:p w:rsidRPr="00D75194" w:rsidR="00DB5BDD" w:rsidP="2132A7E8" w:rsidRDefault="00DB5BDD" w14:paraId="6D4723B4" w14:textId="3062B2B1">
      <w:pPr>
        <w:rPr>
          <w:rFonts w:asciiTheme="minorHAnsi" w:hAnsiTheme="minorHAnsi"/>
        </w:rPr>
      </w:pPr>
      <w:r w:rsidRPr="00D75194">
        <w:rPr>
          <w:rFonts w:asciiTheme="minorHAnsi" w:hAnsiTheme="minorHAnsi"/>
        </w:rPr>
        <w:t xml:space="preserve">As </w:t>
      </w:r>
      <w:r w:rsidRPr="00D75194" w:rsidR="001670C3">
        <w:rPr>
          <w:rFonts w:asciiTheme="minorHAnsi" w:hAnsiTheme="minorHAnsi"/>
        </w:rPr>
        <w:t>one</w:t>
      </w:r>
      <w:r w:rsidRPr="00D75194">
        <w:rPr>
          <w:rFonts w:asciiTheme="minorHAnsi" w:hAnsiTheme="minorHAnsi"/>
        </w:rPr>
        <w:t xml:space="preserve"> respondent state</w:t>
      </w:r>
      <w:r w:rsidRPr="00D75194" w:rsidR="000D5FB0">
        <w:rPr>
          <w:rFonts w:asciiTheme="minorHAnsi" w:hAnsiTheme="minorHAnsi"/>
        </w:rPr>
        <w:t>d</w:t>
      </w:r>
      <w:r w:rsidRPr="00D75194">
        <w:rPr>
          <w:rFonts w:asciiTheme="minorHAnsi" w:hAnsiTheme="minorHAnsi"/>
        </w:rPr>
        <w:t xml:space="preserve">, RMI is unlikely to even </w:t>
      </w:r>
      <w:r w:rsidRPr="7FAB4807" w:rsidR="00036B92">
        <w:rPr>
          <w:rFonts w:asciiTheme="minorHAnsi" w:hAnsiTheme="minorHAnsi"/>
        </w:rPr>
        <w:t>“</w:t>
      </w:r>
      <w:r w:rsidRPr="00D75194">
        <w:rPr>
          <w:rFonts w:asciiTheme="minorHAnsi" w:hAnsiTheme="minorHAnsi"/>
          <w:i/>
          <w:iCs/>
        </w:rPr>
        <w:t>be at the table without CASA support</w:t>
      </w:r>
      <w:r w:rsidRPr="7FAB4807" w:rsidR="00334766">
        <w:rPr>
          <w:rFonts w:asciiTheme="minorHAnsi" w:hAnsiTheme="minorHAnsi"/>
          <w:i/>
          <w:iCs/>
        </w:rPr>
        <w:t>”</w:t>
      </w:r>
      <w:r w:rsidRPr="7FAB4807" w:rsidR="00334766">
        <w:rPr>
          <w:rFonts w:asciiTheme="minorHAnsi" w:hAnsiTheme="minorHAnsi"/>
        </w:rPr>
        <w:t xml:space="preserve"> and</w:t>
      </w:r>
      <w:r w:rsidRPr="00D75194">
        <w:rPr>
          <w:rFonts w:asciiTheme="minorHAnsi" w:hAnsiTheme="minorHAnsi"/>
        </w:rPr>
        <w:t xml:space="preserve"> would </w:t>
      </w:r>
      <w:r w:rsidRPr="7FAB4807" w:rsidR="00036B92">
        <w:rPr>
          <w:rFonts w:asciiTheme="minorHAnsi" w:hAnsiTheme="minorHAnsi"/>
          <w:i/>
          <w:iCs/>
        </w:rPr>
        <w:t>“</w:t>
      </w:r>
      <w:r w:rsidRPr="00D75194">
        <w:rPr>
          <w:rFonts w:asciiTheme="minorHAnsi" w:hAnsiTheme="minorHAnsi"/>
          <w:i/>
          <w:iCs/>
        </w:rPr>
        <w:t xml:space="preserve">certainly not be at the table in the same </w:t>
      </w:r>
      <w:r w:rsidRPr="00D75194" w:rsidR="00036B92">
        <w:rPr>
          <w:rFonts w:asciiTheme="minorHAnsi" w:hAnsiTheme="minorHAnsi"/>
          <w:i/>
          <w:iCs/>
        </w:rPr>
        <w:t>way”</w:t>
      </w:r>
      <w:r w:rsidRPr="00D75194" w:rsidR="00036B92">
        <w:rPr>
          <w:rFonts w:asciiTheme="minorHAnsi" w:hAnsiTheme="minorHAnsi"/>
        </w:rPr>
        <w:t xml:space="preserve"> </w:t>
      </w:r>
      <w:r w:rsidRPr="00D75194" w:rsidR="6C881DB7">
        <w:rPr>
          <w:rFonts w:asciiTheme="minorHAnsi" w:hAnsiTheme="minorHAnsi"/>
        </w:rPr>
        <w:t>(see RMI and HAC case study, Annex I)</w:t>
      </w:r>
      <w:r w:rsidRPr="00D75194">
        <w:rPr>
          <w:rFonts w:asciiTheme="minorHAnsi" w:hAnsiTheme="minorHAnsi"/>
        </w:rPr>
        <w:t xml:space="preserve">. It was further noted that RMI is invited to every HAC meeting because of their role as </w:t>
      </w:r>
      <w:r w:rsidRPr="00D75194" w:rsidR="00987A73">
        <w:rPr>
          <w:rFonts w:asciiTheme="minorHAnsi" w:hAnsiTheme="minorHAnsi"/>
        </w:rPr>
        <w:t xml:space="preserve">chair, </w:t>
      </w:r>
      <w:r w:rsidRPr="00D75194">
        <w:rPr>
          <w:rFonts w:asciiTheme="minorHAnsi" w:hAnsiTheme="minorHAnsi"/>
        </w:rPr>
        <w:t xml:space="preserve">and </w:t>
      </w:r>
      <w:r w:rsidRPr="7FAB4807" w:rsidR="00494461">
        <w:rPr>
          <w:rFonts w:asciiTheme="minorHAnsi" w:hAnsiTheme="minorHAnsi"/>
        </w:rPr>
        <w:t>Independent</w:t>
      </w:r>
      <w:r w:rsidRPr="00D75194" w:rsidR="00494461">
        <w:rPr>
          <w:rFonts w:asciiTheme="minorHAnsi" w:hAnsiTheme="minorHAnsi"/>
        </w:rPr>
        <w:t xml:space="preserve"> Diplomat</w:t>
      </w:r>
      <w:r w:rsidRPr="00D75194" w:rsidR="00987A73">
        <w:rPr>
          <w:rFonts w:asciiTheme="minorHAnsi" w:hAnsiTheme="minorHAnsi"/>
        </w:rPr>
        <w:t>’s role</w:t>
      </w:r>
      <w:r w:rsidRPr="00D75194">
        <w:rPr>
          <w:rFonts w:asciiTheme="minorHAnsi" w:hAnsiTheme="minorHAnsi"/>
        </w:rPr>
        <w:t xml:space="preserve"> as the Secretariat, and that they </w:t>
      </w:r>
      <w:r w:rsidRPr="7FAB4807" w:rsidR="00AB34AD">
        <w:rPr>
          <w:rFonts w:asciiTheme="minorHAnsi" w:hAnsiTheme="minorHAnsi"/>
          <w:i/>
          <w:iCs/>
        </w:rPr>
        <w:t>“</w:t>
      </w:r>
      <w:r w:rsidRPr="00D75194">
        <w:rPr>
          <w:rFonts w:asciiTheme="minorHAnsi" w:hAnsiTheme="minorHAnsi"/>
          <w:i/>
          <w:iCs/>
        </w:rPr>
        <w:t xml:space="preserve">would not be at the meetings if CASA wasn’t supporting small island states in the same </w:t>
      </w:r>
      <w:r w:rsidRPr="7FAB4807" w:rsidR="00C21BBA">
        <w:rPr>
          <w:rFonts w:asciiTheme="minorHAnsi" w:hAnsiTheme="minorHAnsi"/>
          <w:i/>
          <w:iCs/>
        </w:rPr>
        <w:t>way”</w:t>
      </w:r>
      <w:r w:rsidRPr="7FAB4807">
        <w:rPr>
          <w:rFonts w:asciiTheme="minorHAnsi" w:hAnsiTheme="minorHAnsi"/>
        </w:rPr>
        <w:t>.</w:t>
      </w:r>
      <w:r w:rsidRPr="00D75194">
        <w:rPr>
          <w:rFonts w:asciiTheme="minorHAnsi" w:hAnsiTheme="minorHAnsi"/>
        </w:rPr>
        <w:t xml:space="preserve"> The same respondent went on to state the following </w:t>
      </w:r>
      <w:r w:rsidRPr="00D75194" w:rsidR="00D85932">
        <w:rPr>
          <w:rFonts w:asciiTheme="minorHAnsi" w:hAnsiTheme="minorHAnsi"/>
        </w:rPr>
        <w:t xml:space="preserve">about </w:t>
      </w:r>
      <w:r w:rsidRPr="00D75194">
        <w:rPr>
          <w:rFonts w:asciiTheme="minorHAnsi" w:hAnsiTheme="minorHAnsi"/>
        </w:rPr>
        <w:t xml:space="preserve">CASA’s support and impact: </w:t>
      </w:r>
    </w:p>
    <w:p w:rsidRPr="00D75194" w:rsidR="00DB5BDD" w:rsidP="001670C3" w:rsidRDefault="001670C3" w14:paraId="5D31A162" w14:textId="0199D80B">
      <w:pPr>
        <w:rPr>
          <w:rFonts w:asciiTheme="minorHAnsi" w:hAnsiTheme="minorHAnsi" w:cstheme="minorHAnsi"/>
          <w:i/>
          <w:iCs/>
        </w:rPr>
      </w:pPr>
      <w:r w:rsidRPr="00D75194">
        <w:rPr>
          <w:rFonts w:asciiTheme="minorHAnsi" w:hAnsiTheme="minorHAnsi" w:cstheme="minorHAnsi"/>
          <w:i/>
          <w:iCs/>
        </w:rPr>
        <w:t>“</w:t>
      </w:r>
      <w:r w:rsidRPr="00D75194" w:rsidR="00DB5BDD">
        <w:rPr>
          <w:rFonts w:asciiTheme="minorHAnsi" w:hAnsiTheme="minorHAnsi" w:cstheme="minorHAnsi"/>
          <w:i/>
          <w:iCs/>
        </w:rPr>
        <w:t>If CASA wasn’t providing this support to the most climate vulnerable countries (SIDs, LDCs)</w:t>
      </w:r>
      <w:r w:rsidRPr="00D75194" w:rsidR="00F73D4F">
        <w:rPr>
          <w:rFonts w:asciiTheme="minorHAnsi" w:hAnsiTheme="minorHAnsi" w:cstheme="minorHAnsi"/>
          <w:i/>
          <w:iCs/>
        </w:rPr>
        <w:t>—</w:t>
      </w:r>
      <w:r w:rsidRPr="00D75194" w:rsidR="00DB5BDD">
        <w:rPr>
          <w:rFonts w:asciiTheme="minorHAnsi" w:hAnsiTheme="minorHAnsi" w:cstheme="minorHAnsi"/>
          <w:i/>
          <w:iCs/>
        </w:rPr>
        <w:t xml:space="preserve">if those voices weren’t in those spaces, </w:t>
      </w:r>
      <w:r w:rsidRPr="00D75194" w:rsidR="00664A0A">
        <w:rPr>
          <w:rFonts w:asciiTheme="minorHAnsi" w:hAnsiTheme="minorHAnsi" w:cstheme="minorHAnsi"/>
          <w:i/>
          <w:iCs/>
        </w:rPr>
        <w:t xml:space="preserve">I </w:t>
      </w:r>
      <w:r w:rsidRPr="00D75194" w:rsidR="00DB5BDD">
        <w:rPr>
          <w:rFonts w:asciiTheme="minorHAnsi" w:hAnsiTheme="minorHAnsi" w:cstheme="minorHAnsi"/>
          <w:i/>
          <w:iCs/>
        </w:rPr>
        <w:t>don’t know that there would be the Paris Agreement with 1.5 [degree commitment], I don’t know that there would be any initiative of ambition that has been driven by the most vulnerable countries that have pushed it.</w:t>
      </w:r>
      <w:r w:rsidRPr="00D75194">
        <w:rPr>
          <w:rFonts w:asciiTheme="minorHAnsi" w:hAnsiTheme="minorHAnsi" w:cstheme="minorHAnsi"/>
          <w:i/>
          <w:iCs/>
        </w:rPr>
        <w:t>”</w:t>
      </w:r>
    </w:p>
    <w:p w:rsidRPr="00D75194" w:rsidR="00DB5BDD" w:rsidP="00DB5BDD" w:rsidRDefault="00DB5BDD" w14:paraId="54091187" w14:textId="66D689BE">
      <w:pPr>
        <w:rPr>
          <w:rFonts w:asciiTheme="minorHAnsi" w:hAnsiTheme="minorHAnsi"/>
        </w:rPr>
      </w:pPr>
      <w:r w:rsidRPr="00D75194">
        <w:rPr>
          <w:rFonts w:asciiTheme="minorHAnsi" w:hAnsiTheme="minorHAnsi"/>
        </w:rPr>
        <w:t>Further impact can be seen through the LDC Group, with its organisational growth and development already noted above</w:t>
      </w:r>
      <w:r w:rsidRPr="00D75194" w:rsidR="00D5432C">
        <w:rPr>
          <w:rFonts w:asciiTheme="minorHAnsi" w:hAnsiTheme="minorHAnsi"/>
        </w:rPr>
        <w:t>,</w:t>
      </w:r>
      <w:r w:rsidRPr="00D75194">
        <w:rPr>
          <w:rFonts w:asciiTheme="minorHAnsi" w:hAnsiTheme="minorHAnsi"/>
        </w:rPr>
        <w:t xml:space="preserve"> as well as </w:t>
      </w:r>
      <w:r w:rsidRPr="00D75194" w:rsidR="00D5432C">
        <w:rPr>
          <w:rFonts w:asciiTheme="minorHAnsi" w:hAnsiTheme="minorHAnsi"/>
        </w:rPr>
        <w:t xml:space="preserve">in </w:t>
      </w:r>
      <w:r w:rsidRPr="00D75194">
        <w:rPr>
          <w:rFonts w:asciiTheme="minorHAnsi" w:hAnsiTheme="minorHAnsi"/>
        </w:rPr>
        <w:t>virtually all preceding sections</w:t>
      </w:r>
      <w:r w:rsidRPr="00D75194" w:rsidR="7F122C0D">
        <w:rPr>
          <w:rFonts w:asciiTheme="minorHAnsi" w:hAnsiTheme="minorHAnsi"/>
        </w:rPr>
        <w:t xml:space="preserve"> (see also the LDC Group case study, Annex I)</w:t>
      </w:r>
      <w:r w:rsidRPr="00D75194">
        <w:rPr>
          <w:rFonts w:asciiTheme="minorHAnsi" w:hAnsiTheme="minorHAnsi"/>
        </w:rPr>
        <w:t>. Climate Analytics and IIED have both provided technical support to the LDC Group. As noted in</w:t>
      </w:r>
      <w:r w:rsidRPr="00D75194" w:rsidR="001D42E3">
        <w:rPr>
          <w:rFonts w:asciiTheme="minorHAnsi" w:hAnsiTheme="minorHAnsi"/>
        </w:rPr>
        <w:t xml:space="preserve"> the section on</w:t>
      </w:r>
      <w:r w:rsidRPr="00D75194">
        <w:rPr>
          <w:rFonts w:asciiTheme="minorHAnsi" w:hAnsiTheme="minorHAnsi"/>
        </w:rPr>
        <w:t xml:space="preserve"> </w:t>
      </w:r>
      <w:r w:rsidRPr="7FAB4807" w:rsidR="001D42E3">
        <w:rPr>
          <w:rFonts w:asciiTheme="minorHAnsi" w:hAnsiTheme="minorHAnsi"/>
        </w:rPr>
        <w:t>e</w:t>
      </w:r>
      <w:r w:rsidRPr="7FAB4807">
        <w:rPr>
          <w:rFonts w:asciiTheme="minorHAnsi" w:hAnsiTheme="minorHAnsi"/>
        </w:rPr>
        <w:t>ffectiveness,</w:t>
      </w:r>
      <w:r w:rsidRPr="00D75194">
        <w:rPr>
          <w:rFonts w:asciiTheme="minorHAnsi" w:hAnsiTheme="minorHAnsi"/>
        </w:rPr>
        <w:t xml:space="preserve"> these two TPs worked in a complementary manner that included </w:t>
      </w:r>
      <w:r w:rsidRPr="00D75194" w:rsidR="005F1FF2">
        <w:rPr>
          <w:rFonts w:asciiTheme="minorHAnsi" w:hAnsiTheme="minorHAnsi"/>
        </w:rPr>
        <w:t xml:space="preserve">offering </w:t>
      </w:r>
      <w:r w:rsidRPr="00D75194">
        <w:rPr>
          <w:rFonts w:asciiTheme="minorHAnsi" w:hAnsiTheme="minorHAnsi"/>
        </w:rPr>
        <w:t xml:space="preserve">technical coordination, </w:t>
      </w:r>
      <w:r w:rsidRPr="00D75194" w:rsidR="005F1FF2">
        <w:rPr>
          <w:rFonts w:asciiTheme="minorHAnsi" w:hAnsiTheme="minorHAnsi"/>
        </w:rPr>
        <w:t xml:space="preserve">holding </w:t>
      </w:r>
      <w:r w:rsidRPr="00D75194">
        <w:rPr>
          <w:rFonts w:asciiTheme="minorHAnsi" w:hAnsiTheme="minorHAnsi"/>
        </w:rPr>
        <w:t>briefing sessions, drafting</w:t>
      </w:r>
      <w:r w:rsidRPr="00D75194" w:rsidR="00365540">
        <w:t xml:space="preserve"> </w:t>
      </w:r>
      <w:r w:rsidRPr="00D75194" w:rsidR="00365540">
        <w:rPr>
          <w:rFonts w:asciiTheme="minorHAnsi" w:hAnsiTheme="minorHAnsi"/>
        </w:rPr>
        <w:t>texts</w:t>
      </w:r>
      <w:r w:rsidRPr="00D75194">
        <w:rPr>
          <w:rFonts w:asciiTheme="minorHAnsi" w:hAnsiTheme="minorHAnsi"/>
        </w:rPr>
        <w:t xml:space="preserve">, </w:t>
      </w:r>
      <w:r w:rsidRPr="00D75194" w:rsidR="00365540">
        <w:rPr>
          <w:rFonts w:asciiTheme="minorHAnsi" w:hAnsiTheme="minorHAnsi"/>
        </w:rPr>
        <w:t xml:space="preserve">providing coaching on </w:t>
      </w:r>
      <w:r w:rsidRPr="00D75194">
        <w:rPr>
          <w:rFonts w:asciiTheme="minorHAnsi" w:hAnsiTheme="minorHAnsi"/>
        </w:rPr>
        <w:t>negotiation</w:t>
      </w:r>
      <w:r w:rsidRPr="00D75194" w:rsidR="007E7915">
        <w:rPr>
          <w:rFonts w:asciiTheme="minorHAnsi" w:hAnsiTheme="minorHAnsi"/>
        </w:rPr>
        <w:t>s</w:t>
      </w:r>
      <w:r w:rsidRPr="00D75194">
        <w:rPr>
          <w:rFonts w:asciiTheme="minorHAnsi" w:hAnsiTheme="minorHAnsi"/>
        </w:rPr>
        <w:t xml:space="preserve">, and </w:t>
      </w:r>
      <w:r w:rsidRPr="00D75194" w:rsidR="00365540">
        <w:rPr>
          <w:rFonts w:asciiTheme="minorHAnsi" w:hAnsiTheme="minorHAnsi"/>
        </w:rPr>
        <w:t xml:space="preserve">providing </w:t>
      </w:r>
      <w:r w:rsidRPr="00D75194">
        <w:rPr>
          <w:rFonts w:asciiTheme="minorHAnsi" w:hAnsiTheme="minorHAnsi"/>
        </w:rPr>
        <w:t xml:space="preserve">expert inputs into thematic areas, all of which has enabled the Group to engage substantively in the UNFCCC architecture. </w:t>
      </w:r>
    </w:p>
    <w:p w:rsidRPr="00D75194" w:rsidR="03E38047" w:rsidP="03E38047" w:rsidRDefault="00DB5BDD" w14:paraId="7FC5F5B2" w14:textId="4DA96536">
      <w:pPr>
        <w:rPr>
          <w:rFonts w:asciiTheme="minorHAnsi" w:hAnsiTheme="minorHAnsi"/>
        </w:rPr>
      </w:pPr>
      <w:r w:rsidRPr="00D75194">
        <w:rPr>
          <w:rFonts w:asciiTheme="minorHAnsi" w:hAnsiTheme="minorHAnsi"/>
        </w:rPr>
        <w:t xml:space="preserve">Examples of institutional changes with </w:t>
      </w:r>
      <w:r w:rsidRPr="00D75194" w:rsidR="006A2F1E">
        <w:rPr>
          <w:rFonts w:asciiTheme="minorHAnsi" w:hAnsiTheme="minorHAnsi"/>
        </w:rPr>
        <w:t>“</w:t>
      </w:r>
      <w:r w:rsidRPr="7FAB4807">
        <w:rPr>
          <w:rFonts w:asciiTheme="minorHAnsi" w:hAnsiTheme="minorHAnsi"/>
        </w:rPr>
        <w:t>some</w:t>
      </w:r>
      <w:r w:rsidRPr="7FAB4807" w:rsidR="006A2F1E">
        <w:rPr>
          <w:rFonts w:asciiTheme="minorHAnsi" w:hAnsiTheme="minorHAnsi"/>
        </w:rPr>
        <w:t xml:space="preserve"> contribution</w:t>
      </w:r>
      <w:r w:rsidRPr="00D75194" w:rsidR="006A2F1E">
        <w:rPr>
          <w:rFonts w:asciiTheme="minorHAnsi" w:hAnsiTheme="minorHAnsi"/>
          <w:iCs/>
        </w:rPr>
        <w:t>”</w:t>
      </w:r>
      <w:r w:rsidRPr="00D75194">
        <w:rPr>
          <w:rFonts w:asciiTheme="minorHAnsi" w:hAnsiTheme="minorHAnsi"/>
        </w:rPr>
        <w:t xml:space="preserve"> or</w:t>
      </w:r>
      <w:r w:rsidRPr="00D75194" w:rsidR="006A2F1E">
        <w:rPr>
          <w:rFonts w:asciiTheme="minorHAnsi" w:hAnsiTheme="minorHAnsi"/>
        </w:rPr>
        <w:t xml:space="preserve"> an</w:t>
      </w:r>
      <w:r w:rsidRPr="00D75194">
        <w:rPr>
          <w:rFonts w:asciiTheme="minorHAnsi" w:hAnsiTheme="minorHAnsi"/>
        </w:rPr>
        <w:t xml:space="preserve"> </w:t>
      </w:r>
      <w:r w:rsidRPr="00D75194" w:rsidR="006A2F1E">
        <w:rPr>
          <w:rFonts w:asciiTheme="minorHAnsi" w:hAnsiTheme="minorHAnsi"/>
        </w:rPr>
        <w:t>“</w:t>
      </w:r>
      <w:r w:rsidRPr="7FAB4807">
        <w:rPr>
          <w:rFonts w:asciiTheme="minorHAnsi" w:hAnsiTheme="minorHAnsi"/>
        </w:rPr>
        <w:t xml:space="preserve">important </w:t>
      </w:r>
      <w:r w:rsidRPr="5C62F8C9" w:rsidR="006A2F1E">
        <w:rPr>
          <w:rFonts w:asciiTheme="minorHAnsi" w:hAnsiTheme="minorHAnsi"/>
        </w:rPr>
        <w:t>contribution”</w:t>
      </w:r>
      <w:r w:rsidRPr="00D75194" w:rsidR="006A2F1E">
        <w:rPr>
          <w:rFonts w:asciiTheme="minorHAnsi" w:hAnsiTheme="minorHAnsi"/>
        </w:rPr>
        <w:t xml:space="preserve"> </w:t>
      </w:r>
      <w:r w:rsidRPr="00D75194">
        <w:rPr>
          <w:rFonts w:asciiTheme="minorHAnsi" w:hAnsiTheme="minorHAnsi"/>
        </w:rPr>
        <w:t>from CASA include</w:t>
      </w:r>
      <w:r w:rsidRPr="00D75194" w:rsidR="002E6315">
        <w:rPr>
          <w:rFonts w:asciiTheme="minorHAnsi" w:hAnsiTheme="minorHAnsi"/>
        </w:rPr>
        <w:t xml:space="preserve"> the following</w:t>
      </w:r>
      <w:r w:rsidRPr="00D75194">
        <w:rPr>
          <w:rFonts w:asciiTheme="minorHAnsi" w:hAnsiTheme="minorHAnsi"/>
        </w:rPr>
        <w:t>: the Lilongwe Declaration (COP29), which set out demands for increased climate finance, operationalising the Loss and Damage Fund, and supporting gender-responsive programming; the LDC submission on gender-responsive climate action (2023), signifying a shift towards more strategic inputs; demonstrable leadership in shaping the UAE Framework for Global Climate Resilience; and</w:t>
      </w:r>
      <w:r w:rsidRPr="00D75194" w:rsidR="002E6315">
        <w:rPr>
          <w:rFonts w:asciiTheme="minorHAnsi" w:hAnsiTheme="minorHAnsi"/>
        </w:rPr>
        <w:t xml:space="preserve"> the fact that</w:t>
      </w:r>
      <w:r w:rsidRPr="00D75194">
        <w:rPr>
          <w:rFonts w:asciiTheme="minorHAnsi" w:hAnsiTheme="minorHAnsi"/>
        </w:rPr>
        <w:t xml:space="preserve"> </w:t>
      </w:r>
      <w:r w:rsidRPr="00D75194" w:rsidR="002E6315">
        <w:rPr>
          <w:rFonts w:asciiTheme="minorHAnsi" w:hAnsiTheme="minorHAnsi"/>
        </w:rPr>
        <w:t xml:space="preserve">the LDC Group’s </w:t>
      </w:r>
      <w:r w:rsidRPr="00D75194">
        <w:rPr>
          <w:rFonts w:asciiTheme="minorHAnsi" w:hAnsiTheme="minorHAnsi"/>
        </w:rPr>
        <w:t>COP29 opening statement reflected a coordinated position that referenced decisions, finance flows, and implementation pathways</w:t>
      </w:r>
      <w:r w:rsidRPr="7FAB4807">
        <w:rPr>
          <w:rFonts w:asciiTheme="minorHAnsi" w:hAnsiTheme="minorHAnsi"/>
        </w:rPr>
        <w:t>—</w:t>
      </w:r>
      <w:r w:rsidRPr="00D75194">
        <w:rPr>
          <w:rFonts w:asciiTheme="minorHAnsi" w:hAnsiTheme="minorHAnsi"/>
        </w:rPr>
        <w:t>reflecting a new level of technical and organisational</w:t>
      </w:r>
      <w:r w:rsidRPr="00D75194">
        <w:rPr>
          <w:rFonts w:asciiTheme="minorHAnsi" w:hAnsiTheme="minorHAnsi"/>
          <w:b/>
        </w:rPr>
        <w:t xml:space="preserve"> </w:t>
      </w:r>
      <w:r w:rsidRPr="00D75194">
        <w:rPr>
          <w:rFonts w:asciiTheme="minorHAnsi" w:hAnsiTheme="minorHAnsi"/>
        </w:rPr>
        <w:t>maturity for the Group.</w:t>
      </w:r>
    </w:p>
    <w:p w:rsidRPr="00D75194" w:rsidR="0F7BFE5B" w:rsidP="3871CE7F" w:rsidRDefault="0F7BFE5B" w14:paraId="05EC2D4E" w14:textId="5298D376">
      <w:pPr>
        <w:spacing w:after="160" w:line="276" w:lineRule="auto"/>
        <w:rPr>
          <w:rFonts w:asciiTheme="minorHAnsi" w:hAnsiTheme="minorHAnsi" w:eastAsiaTheme="minorEastAsia"/>
          <w:i/>
        </w:rPr>
      </w:pPr>
      <w:r w:rsidRPr="00D75194">
        <w:rPr>
          <w:rFonts w:asciiTheme="minorHAnsi" w:hAnsiTheme="minorHAnsi" w:eastAsiaTheme="minorEastAsia"/>
          <w:b/>
          <w:i/>
        </w:rPr>
        <w:t>Normative gains</w:t>
      </w:r>
      <w:r w:rsidRPr="00D75194">
        <w:rPr>
          <w:rFonts w:asciiTheme="minorHAnsi" w:hAnsiTheme="minorHAnsi" w:eastAsiaTheme="minorEastAsia"/>
          <w:i/>
        </w:rPr>
        <w:t xml:space="preserve"> </w:t>
      </w:r>
    </w:p>
    <w:p w:rsidRPr="00D75194" w:rsidR="0F7BFE5B" w:rsidP="00964E5C" w:rsidRDefault="0F7BFE5B" w14:paraId="1279E794" w14:textId="7C6B96DB">
      <w:pPr>
        <w:spacing w:after="160" w:line="276" w:lineRule="auto"/>
        <w:rPr>
          <w:rFonts w:asciiTheme="minorHAnsi" w:hAnsiTheme="minorHAnsi" w:eastAsiaTheme="minorEastAsia"/>
        </w:rPr>
      </w:pPr>
      <w:r w:rsidRPr="00D75194">
        <w:rPr>
          <w:rFonts w:asciiTheme="minorHAnsi" w:hAnsiTheme="minorHAnsi" w:eastAsiaTheme="minorEastAsia"/>
        </w:rPr>
        <w:t xml:space="preserve">This dimension of CASA’s impact relates to the aspect of its objectives </w:t>
      </w:r>
      <w:r w:rsidRPr="00D75194" w:rsidR="00964E5C">
        <w:rPr>
          <w:rFonts w:asciiTheme="minorHAnsi" w:hAnsiTheme="minorHAnsi" w:eastAsiaTheme="minorEastAsia"/>
        </w:rPr>
        <w:t xml:space="preserve">of </w:t>
      </w:r>
      <w:r w:rsidRPr="7FAB4807" w:rsidR="00964E5C">
        <w:rPr>
          <w:rFonts w:asciiTheme="minorHAnsi" w:hAnsiTheme="minorHAnsi" w:eastAsiaTheme="minorEastAsia"/>
        </w:rPr>
        <w:t>“</w:t>
      </w:r>
      <w:r w:rsidRPr="00D75194">
        <w:rPr>
          <w:rFonts w:asciiTheme="minorHAnsi" w:hAnsiTheme="minorHAnsi" w:eastAsiaTheme="minorEastAsia"/>
        </w:rPr>
        <w:t>a fairer negotiation process</w:t>
      </w:r>
      <w:r w:rsidRPr="00D75194" w:rsidR="00964E5C">
        <w:rPr>
          <w:rFonts w:asciiTheme="minorHAnsi" w:hAnsiTheme="minorHAnsi" w:eastAsiaTheme="minorEastAsia"/>
        </w:rPr>
        <w:t>”</w:t>
      </w:r>
      <w:r w:rsidRPr="00D75194">
        <w:rPr>
          <w:rFonts w:asciiTheme="minorHAnsi" w:hAnsiTheme="minorHAnsi" w:eastAsiaTheme="minorEastAsia"/>
        </w:rPr>
        <w:t xml:space="preserve"> and </w:t>
      </w:r>
      <w:r w:rsidRPr="7FAB4807" w:rsidR="00964E5C">
        <w:rPr>
          <w:rFonts w:asciiTheme="minorHAnsi" w:hAnsiTheme="minorHAnsi" w:eastAsiaTheme="minorEastAsia"/>
        </w:rPr>
        <w:t>“</w:t>
      </w:r>
      <w:r w:rsidRPr="00D75194">
        <w:rPr>
          <w:rFonts w:asciiTheme="minorHAnsi" w:hAnsiTheme="minorHAnsi" w:eastAsiaTheme="minorEastAsia"/>
        </w:rPr>
        <w:t xml:space="preserve">meaningful </w:t>
      </w:r>
      <w:r w:rsidRPr="00D75194" w:rsidR="00964E5C">
        <w:rPr>
          <w:rFonts w:asciiTheme="minorHAnsi" w:hAnsiTheme="minorHAnsi" w:eastAsiaTheme="minorEastAsia"/>
        </w:rPr>
        <w:t xml:space="preserve">participation” </w:t>
      </w:r>
      <w:r w:rsidRPr="00D75194">
        <w:rPr>
          <w:rFonts w:asciiTheme="minorHAnsi" w:hAnsiTheme="minorHAnsi" w:eastAsiaTheme="minorEastAsia"/>
        </w:rPr>
        <w:t>around climate negotiations. Norms</w:t>
      </w:r>
      <w:r w:rsidRPr="00D75194" w:rsidR="00C80236">
        <w:rPr>
          <w:rFonts w:asciiTheme="minorHAnsi" w:hAnsiTheme="minorHAnsi" w:eastAsiaTheme="minorEastAsia"/>
        </w:rPr>
        <w:t>—</w:t>
      </w:r>
      <w:r w:rsidRPr="00D75194">
        <w:rPr>
          <w:rFonts w:asciiTheme="minorHAnsi" w:hAnsiTheme="minorHAnsi" w:eastAsiaTheme="minorEastAsia"/>
        </w:rPr>
        <w:t xml:space="preserve">understood as </w:t>
      </w:r>
      <w:r w:rsidRPr="7FAB4807" w:rsidR="00C80236">
        <w:rPr>
          <w:rFonts w:asciiTheme="minorHAnsi" w:hAnsiTheme="minorHAnsi" w:eastAsiaTheme="minorEastAsia"/>
        </w:rPr>
        <w:t>“</w:t>
      </w:r>
      <w:r w:rsidRPr="00D75194">
        <w:rPr>
          <w:rFonts w:asciiTheme="minorHAnsi" w:hAnsiTheme="minorHAnsi" w:eastAsiaTheme="minorEastAsia"/>
        </w:rPr>
        <w:t>principle</w:t>
      </w:r>
      <w:r w:rsidRPr="00D75194" w:rsidR="0011093B">
        <w:rPr>
          <w:rFonts w:asciiTheme="minorHAnsi" w:hAnsiTheme="minorHAnsi" w:eastAsiaTheme="minorEastAsia"/>
        </w:rPr>
        <w:t>[s]</w:t>
      </w:r>
      <w:r w:rsidRPr="00D75194">
        <w:rPr>
          <w:rFonts w:asciiTheme="minorHAnsi" w:hAnsiTheme="minorHAnsi" w:eastAsiaTheme="minorEastAsia"/>
        </w:rPr>
        <w:t xml:space="preserve"> of right action binding upon the members of a group and serving to guide, control, or regulate proper and acceptable behaviour</w:t>
      </w:r>
      <w:r w:rsidRPr="00D75194" w:rsidR="00C80236">
        <w:rPr>
          <w:rFonts w:asciiTheme="minorHAnsi" w:hAnsiTheme="minorHAnsi" w:eastAsiaTheme="minorEastAsia"/>
        </w:rPr>
        <w:t>”</w:t>
      </w:r>
      <w:r w:rsidRPr="7FAB4807" w:rsidR="00F40C0A">
        <w:rPr>
          <w:rStyle w:val="FootnoteReference"/>
          <w:rFonts w:asciiTheme="minorHAnsi" w:hAnsiTheme="minorHAnsi" w:eastAsiaTheme="minorEastAsia"/>
        </w:rPr>
        <w:footnoteReference w:id="23"/>
      </w:r>
      <w:r w:rsidRPr="7FAB4807">
        <w:rPr>
          <w:rFonts w:asciiTheme="minorHAnsi" w:hAnsiTheme="minorHAnsi" w:eastAsiaTheme="minorEastAsia"/>
        </w:rPr>
        <w:t xml:space="preserve"> </w:t>
      </w:r>
      <w:r w:rsidRPr="7FAB4807" w:rsidR="00FE045D">
        <w:rPr>
          <w:rFonts w:asciiTheme="minorHAnsi" w:hAnsiTheme="minorHAnsi" w:eastAsiaTheme="minorEastAsia"/>
        </w:rPr>
        <w:t>—</w:t>
      </w:r>
      <w:r w:rsidRPr="774B2529" w:rsidR="06129BA9">
        <w:rPr>
          <w:rFonts w:asciiTheme="minorHAnsi" w:hAnsiTheme="minorHAnsi" w:eastAsiaTheme="minorEastAsia"/>
        </w:rPr>
        <w:t xml:space="preserve"> can be a lens through which to understand </w:t>
      </w:r>
      <w:r w:rsidRPr="774B2529">
        <w:rPr>
          <w:rFonts w:asciiTheme="minorHAnsi" w:hAnsiTheme="minorHAnsi" w:eastAsiaTheme="minorEastAsia"/>
        </w:rPr>
        <w:t>some</w:t>
      </w:r>
      <w:r w:rsidRPr="00D75194">
        <w:rPr>
          <w:rFonts w:asciiTheme="minorHAnsi" w:hAnsiTheme="minorHAnsi" w:eastAsiaTheme="minorEastAsia"/>
        </w:rPr>
        <w:t xml:space="preserve"> of the qualitative aspects of CASA’s impacts and ambition. </w:t>
      </w:r>
      <w:r w:rsidRPr="00D75194">
        <w:rPr>
          <w:rFonts w:asciiTheme="minorHAnsi" w:hAnsiTheme="minorHAnsi" w:eastAsiaTheme="minorEastAsia"/>
        </w:rPr>
        <w:t xml:space="preserve">As such, the analysis below is divided between these two dimensions: </w:t>
      </w:r>
      <w:r w:rsidRPr="00D75194" w:rsidR="0011093B">
        <w:rPr>
          <w:rFonts w:asciiTheme="minorHAnsi" w:hAnsiTheme="minorHAnsi" w:eastAsiaTheme="minorEastAsia"/>
        </w:rPr>
        <w:t xml:space="preserve">a </w:t>
      </w:r>
      <w:r w:rsidRPr="00D75194">
        <w:rPr>
          <w:rFonts w:asciiTheme="minorHAnsi" w:hAnsiTheme="minorHAnsi" w:eastAsiaTheme="minorEastAsia"/>
        </w:rPr>
        <w:t xml:space="preserve">fairer negotiation </w:t>
      </w:r>
      <w:r w:rsidRPr="7FAB4807">
        <w:rPr>
          <w:rFonts w:asciiTheme="minorHAnsi" w:hAnsiTheme="minorHAnsi" w:eastAsiaTheme="minorEastAsia"/>
        </w:rPr>
        <w:t>process</w:t>
      </w:r>
      <w:r w:rsidRPr="00D75194">
        <w:rPr>
          <w:rFonts w:asciiTheme="minorHAnsi" w:hAnsiTheme="minorHAnsi" w:eastAsiaTheme="minorEastAsia"/>
        </w:rPr>
        <w:t xml:space="preserve"> and meaningful participation. </w:t>
      </w:r>
    </w:p>
    <w:p w:rsidRPr="00D75194" w:rsidR="0F7BFE5B" w:rsidP="3871CE7F" w:rsidRDefault="0F7BFE5B" w14:paraId="70B34FA9" w14:textId="603726F6">
      <w:pPr>
        <w:spacing w:after="160" w:line="276" w:lineRule="auto"/>
        <w:rPr>
          <w:rFonts w:asciiTheme="minorHAnsi" w:hAnsiTheme="minorHAnsi" w:eastAsiaTheme="minorEastAsia"/>
          <w:b/>
          <w:bCs/>
          <w:i/>
        </w:rPr>
      </w:pPr>
      <w:r w:rsidRPr="00D75194">
        <w:rPr>
          <w:rFonts w:asciiTheme="minorHAnsi" w:hAnsiTheme="minorHAnsi" w:eastAsiaTheme="minorEastAsia"/>
          <w:b/>
          <w:bCs/>
          <w:i/>
        </w:rPr>
        <w:t xml:space="preserve">A fairer negotiation process </w:t>
      </w:r>
    </w:p>
    <w:p w:rsidRPr="00D75194" w:rsidR="0F7BFE5B" w:rsidP="3871CE7F" w:rsidRDefault="0F7BFE5B" w14:paraId="0CBA074E" w14:textId="61D3B592">
      <w:pPr>
        <w:spacing w:after="160" w:line="276" w:lineRule="auto"/>
        <w:rPr>
          <w:rFonts w:asciiTheme="minorHAnsi" w:hAnsiTheme="minorHAnsi" w:eastAsiaTheme="minorEastAsia"/>
        </w:rPr>
      </w:pPr>
      <w:r w:rsidRPr="00D75194">
        <w:rPr>
          <w:rFonts w:asciiTheme="minorHAnsi" w:hAnsiTheme="minorHAnsi" w:eastAsiaTheme="minorEastAsia"/>
        </w:rPr>
        <w:t>Because C</w:t>
      </w:r>
      <w:r w:rsidRPr="00D75194" w:rsidR="00A66B13">
        <w:rPr>
          <w:rFonts w:asciiTheme="minorHAnsi" w:hAnsiTheme="minorHAnsi" w:eastAsiaTheme="minorEastAsia"/>
        </w:rPr>
        <w:t>O</w:t>
      </w:r>
      <w:r w:rsidRPr="00D75194">
        <w:rPr>
          <w:rFonts w:asciiTheme="minorHAnsi" w:hAnsiTheme="minorHAnsi" w:eastAsiaTheme="minorEastAsia"/>
        </w:rPr>
        <w:t xml:space="preserve">Ps </w:t>
      </w:r>
      <w:r w:rsidRPr="7FAB4807">
        <w:rPr>
          <w:rFonts w:asciiTheme="minorHAnsi" w:hAnsiTheme="minorHAnsi" w:eastAsiaTheme="minorEastAsia"/>
        </w:rPr>
        <w:t>operate</w:t>
      </w:r>
      <w:r w:rsidRPr="00D75194">
        <w:rPr>
          <w:rFonts w:asciiTheme="minorHAnsi" w:hAnsiTheme="minorHAnsi" w:eastAsiaTheme="minorEastAsia"/>
        </w:rPr>
        <w:t xml:space="preserve"> under the</w:t>
      </w:r>
      <w:r w:rsidRPr="00D75194" w:rsidDel="00891D1E">
        <w:rPr>
          <w:rFonts w:asciiTheme="minorHAnsi" w:hAnsiTheme="minorHAnsi" w:eastAsiaTheme="minorEastAsia"/>
        </w:rPr>
        <w:t xml:space="preserve"> </w:t>
      </w:r>
      <w:r w:rsidRPr="00D75194">
        <w:rPr>
          <w:rFonts w:asciiTheme="minorHAnsi" w:hAnsiTheme="minorHAnsi" w:eastAsiaTheme="minorEastAsia"/>
        </w:rPr>
        <w:t>auspices</w:t>
      </w:r>
      <w:r w:rsidRPr="00D75194" w:rsidR="00891D1E">
        <w:rPr>
          <w:rFonts w:asciiTheme="minorHAnsi" w:hAnsiTheme="minorHAnsi" w:eastAsiaTheme="minorEastAsia"/>
        </w:rPr>
        <w:t xml:space="preserve"> of the United Nations</w:t>
      </w:r>
      <w:r w:rsidRPr="00D75194">
        <w:rPr>
          <w:rFonts w:asciiTheme="minorHAnsi" w:hAnsiTheme="minorHAnsi" w:eastAsiaTheme="minorEastAsia"/>
        </w:rPr>
        <w:t xml:space="preserve">, there are institutional norms that seek to ensure that the administrative processes themselves are in fact </w:t>
      </w:r>
      <w:r w:rsidRPr="00D75194" w:rsidR="007C39CF">
        <w:rPr>
          <w:rFonts w:asciiTheme="minorHAnsi" w:hAnsiTheme="minorHAnsi" w:eastAsiaTheme="minorEastAsia"/>
        </w:rPr>
        <w:t>‘</w:t>
      </w:r>
      <w:r w:rsidRPr="7FAB4807">
        <w:rPr>
          <w:rFonts w:asciiTheme="minorHAnsi" w:hAnsiTheme="minorHAnsi" w:eastAsiaTheme="minorEastAsia"/>
        </w:rPr>
        <w:t>fair</w:t>
      </w:r>
      <w:r w:rsidRPr="00D75194" w:rsidR="007C39CF">
        <w:rPr>
          <w:rFonts w:asciiTheme="minorHAnsi" w:hAnsiTheme="minorHAnsi" w:eastAsiaTheme="minorEastAsia"/>
          <w:iCs/>
        </w:rPr>
        <w:t>’,</w:t>
      </w:r>
      <w:r w:rsidRPr="00D75194">
        <w:rPr>
          <w:rFonts w:asciiTheme="minorHAnsi" w:hAnsiTheme="minorHAnsi" w:eastAsiaTheme="minorEastAsia"/>
        </w:rPr>
        <w:t xml:space="preserve"> insofar as </w:t>
      </w:r>
      <w:r w:rsidRPr="7FAB4807" w:rsidR="00235480">
        <w:rPr>
          <w:rFonts w:asciiTheme="minorHAnsi" w:hAnsiTheme="minorHAnsi" w:eastAsiaTheme="minorEastAsia"/>
        </w:rPr>
        <w:t>no</w:t>
      </w:r>
      <w:r w:rsidRPr="00D75194">
        <w:rPr>
          <w:rFonts w:asciiTheme="minorHAnsi" w:hAnsiTheme="minorHAnsi" w:eastAsiaTheme="minorEastAsia"/>
        </w:rPr>
        <w:t xml:space="preserve"> countries or regions or groups of individuals are explicitly excluded from participating</w:t>
      </w:r>
      <w:r w:rsidRPr="7FAB4807">
        <w:rPr>
          <w:rFonts w:asciiTheme="minorHAnsi" w:hAnsiTheme="minorHAnsi" w:eastAsiaTheme="minorEastAsia"/>
        </w:rPr>
        <w:t>.</w:t>
      </w:r>
      <w:r w:rsidRPr="00D75194">
        <w:rPr>
          <w:rFonts w:asciiTheme="minorHAnsi" w:hAnsiTheme="minorHAnsi" w:eastAsiaTheme="minorEastAsia"/>
        </w:rPr>
        <w:t xml:space="preserve"> The climate C</w:t>
      </w:r>
      <w:r w:rsidRPr="00D75194" w:rsidR="00A66B13">
        <w:rPr>
          <w:rFonts w:asciiTheme="minorHAnsi" w:hAnsiTheme="minorHAnsi" w:eastAsiaTheme="minorEastAsia"/>
        </w:rPr>
        <w:t>O</w:t>
      </w:r>
      <w:r w:rsidRPr="00D75194">
        <w:rPr>
          <w:rFonts w:asciiTheme="minorHAnsi" w:hAnsiTheme="minorHAnsi" w:eastAsiaTheme="minorEastAsia"/>
        </w:rPr>
        <w:t>Ps are, in fact, the largest annual meetings convened by the United Nations.</w:t>
      </w:r>
      <w:r w:rsidRPr="00D75194" w:rsidR="005C27F2">
        <w:rPr>
          <w:rStyle w:val="FootnoteReference"/>
          <w:rFonts w:asciiTheme="minorHAnsi" w:hAnsiTheme="minorHAnsi" w:eastAsiaTheme="minorEastAsia"/>
        </w:rPr>
        <w:footnoteReference w:id="24"/>
      </w:r>
      <w:r w:rsidRPr="00D75194" w:rsidDel="006B601D">
        <w:rPr>
          <w:rFonts w:asciiTheme="minorHAnsi" w:hAnsiTheme="minorHAnsi" w:eastAsiaTheme="minorEastAsia"/>
        </w:rPr>
        <w:t xml:space="preserve"> </w:t>
      </w:r>
    </w:p>
    <w:p w:rsidRPr="00D75194" w:rsidR="0F7BFE5B" w:rsidP="3871CE7F" w:rsidRDefault="0F7BFE5B" w14:paraId="7089DC11" w14:textId="391FA3AE">
      <w:pPr>
        <w:spacing w:after="160" w:line="276" w:lineRule="auto"/>
        <w:rPr>
          <w:rFonts w:asciiTheme="minorHAnsi" w:hAnsiTheme="minorHAnsi" w:eastAsiaTheme="minorEastAsia"/>
        </w:rPr>
      </w:pPr>
      <w:r w:rsidRPr="00D75194">
        <w:rPr>
          <w:rFonts w:asciiTheme="minorHAnsi" w:hAnsiTheme="minorHAnsi" w:eastAsiaTheme="minorEastAsia"/>
        </w:rPr>
        <w:t xml:space="preserve">As such, the fairer negotiation processes </w:t>
      </w:r>
      <w:r w:rsidRPr="00D75194" w:rsidR="00150F9A">
        <w:rPr>
          <w:rFonts w:asciiTheme="minorHAnsi" w:hAnsiTheme="minorHAnsi" w:eastAsiaTheme="minorEastAsia"/>
        </w:rPr>
        <w:t xml:space="preserve">to which </w:t>
      </w:r>
      <w:r w:rsidRPr="00D75194">
        <w:rPr>
          <w:rFonts w:asciiTheme="minorHAnsi" w:hAnsiTheme="minorHAnsi" w:eastAsiaTheme="minorEastAsia"/>
        </w:rPr>
        <w:t xml:space="preserve">CASA intends to contribute </w:t>
      </w:r>
      <w:r w:rsidRPr="7FAB4807" w:rsidR="00716D2A">
        <w:rPr>
          <w:rFonts w:asciiTheme="minorHAnsi" w:hAnsiTheme="minorHAnsi" w:eastAsiaTheme="minorEastAsia"/>
        </w:rPr>
        <w:t>are</w:t>
      </w:r>
      <w:r w:rsidRPr="00D75194">
        <w:rPr>
          <w:rFonts w:asciiTheme="minorHAnsi" w:hAnsiTheme="minorHAnsi" w:eastAsiaTheme="minorEastAsia"/>
        </w:rPr>
        <w:t xml:space="preserve"> more about how the processes unfold in practice</w:t>
      </w:r>
      <w:r w:rsidRPr="00D75194" w:rsidR="00716D2A">
        <w:rPr>
          <w:rFonts w:asciiTheme="minorHAnsi" w:hAnsiTheme="minorHAnsi" w:eastAsiaTheme="minorEastAsia"/>
        </w:rPr>
        <w:t>,</w:t>
      </w:r>
      <w:r w:rsidRPr="00D75194">
        <w:rPr>
          <w:rFonts w:asciiTheme="minorHAnsi" w:hAnsiTheme="minorHAnsi" w:eastAsiaTheme="minorEastAsia"/>
        </w:rPr>
        <w:t xml:space="preserve"> rather than necessarily changing the way the UNFCCC is convened. For</w:t>
      </w:r>
      <w:r w:rsidRPr="00D75194" w:rsidR="00DB160C">
        <w:rPr>
          <w:rFonts w:asciiTheme="minorHAnsi" w:hAnsiTheme="minorHAnsi" w:eastAsiaTheme="minorEastAsia"/>
        </w:rPr>
        <w:t>,</w:t>
      </w:r>
      <w:r w:rsidRPr="00D75194">
        <w:rPr>
          <w:rFonts w:asciiTheme="minorHAnsi" w:hAnsiTheme="minorHAnsi" w:eastAsiaTheme="minorEastAsia"/>
        </w:rPr>
        <w:t xml:space="preserve"> in practice, not all nations or negotiating groups are equally able to access and attend the C</w:t>
      </w:r>
      <w:r w:rsidRPr="00D75194" w:rsidR="00A66B13">
        <w:rPr>
          <w:rFonts w:asciiTheme="minorHAnsi" w:hAnsiTheme="minorHAnsi" w:eastAsiaTheme="minorEastAsia"/>
        </w:rPr>
        <w:t>O</w:t>
      </w:r>
      <w:r w:rsidRPr="00D75194">
        <w:rPr>
          <w:rFonts w:asciiTheme="minorHAnsi" w:hAnsiTheme="minorHAnsi" w:eastAsiaTheme="minorEastAsia"/>
        </w:rPr>
        <w:t>Ps</w:t>
      </w:r>
      <w:r w:rsidRPr="00D75194" w:rsidR="00DB160C">
        <w:rPr>
          <w:rFonts w:asciiTheme="minorHAnsi" w:hAnsiTheme="minorHAnsi" w:eastAsiaTheme="minorEastAsia"/>
        </w:rPr>
        <w:t>,</w:t>
      </w:r>
      <w:r w:rsidRPr="00D75194">
        <w:rPr>
          <w:rFonts w:asciiTheme="minorHAnsi" w:hAnsiTheme="minorHAnsi" w:eastAsiaTheme="minorEastAsia"/>
        </w:rPr>
        <w:t xml:space="preserve"> given resource and capacity constraints, domestic political priorities, and other</w:t>
      </w:r>
      <w:r w:rsidRPr="00D75194" w:rsidR="00DB160C">
        <w:rPr>
          <w:rFonts w:asciiTheme="minorHAnsi" w:hAnsiTheme="minorHAnsi" w:eastAsiaTheme="minorEastAsia"/>
        </w:rPr>
        <w:t xml:space="preserve"> factor</w:t>
      </w:r>
      <w:r w:rsidRPr="00D75194">
        <w:rPr>
          <w:rFonts w:asciiTheme="minorHAnsi" w:hAnsiTheme="minorHAnsi" w:eastAsiaTheme="minorEastAsia"/>
        </w:rPr>
        <w:t xml:space="preserve">s. </w:t>
      </w:r>
    </w:p>
    <w:p w:rsidRPr="00D75194" w:rsidR="00364F23" w:rsidP="00364F23" w:rsidRDefault="0F7BFE5B" w14:paraId="6B04ADB3" w14:textId="25D69BEB">
      <w:pPr>
        <w:spacing w:after="160" w:line="276" w:lineRule="auto"/>
        <w:rPr>
          <w:rFonts w:asciiTheme="minorHAnsi" w:hAnsiTheme="minorHAnsi" w:eastAsiaTheme="minorEastAsia"/>
        </w:rPr>
      </w:pPr>
      <w:r w:rsidRPr="00D75194">
        <w:rPr>
          <w:rFonts w:asciiTheme="minorHAnsi" w:hAnsiTheme="minorHAnsi" w:eastAsiaTheme="minorEastAsia"/>
        </w:rPr>
        <w:t xml:space="preserve">Based on responses from stakeholders, </w:t>
      </w:r>
      <w:r w:rsidRPr="7FAB4807" w:rsidR="00706863">
        <w:rPr>
          <w:rFonts w:asciiTheme="minorHAnsi" w:hAnsiTheme="minorHAnsi" w:eastAsiaTheme="minorEastAsia"/>
        </w:rPr>
        <w:t>“</w:t>
      </w:r>
      <w:r w:rsidRPr="00D75194">
        <w:rPr>
          <w:rFonts w:asciiTheme="minorHAnsi" w:hAnsiTheme="minorHAnsi" w:eastAsiaTheme="minorEastAsia"/>
        </w:rPr>
        <w:t xml:space="preserve">fairer negotiation </w:t>
      </w:r>
      <w:r w:rsidRPr="00D75194" w:rsidR="00706863">
        <w:rPr>
          <w:rFonts w:asciiTheme="minorHAnsi" w:hAnsiTheme="minorHAnsi" w:eastAsiaTheme="minorEastAsia"/>
        </w:rPr>
        <w:t xml:space="preserve">processes” </w:t>
      </w:r>
      <w:r w:rsidRPr="7FAB4807" w:rsidR="00706863">
        <w:rPr>
          <w:rFonts w:asciiTheme="minorHAnsi" w:hAnsiTheme="minorHAnsi" w:eastAsiaTheme="minorEastAsia"/>
        </w:rPr>
        <w:t>are</w:t>
      </w:r>
      <w:r w:rsidRPr="00D75194">
        <w:rPr>
          <w:rFonts w:asciiTheme="minorHAnsi" w:hAnsiTheme="minorHAnsi" w:eastAsiaTheme="minorEastAsia"/>
        </w:rPr>
        <w:t xml:space="preserve"> generally seen to relate to the inclusion (attendance and participation) of marginalised or otherwise excluded voices in climate negotiations. </w:t>
      </w:r>
      <w:r w:rsidRPr="00D75194" w:rsidR="00706863">
        <w:rPr>
          <w:rFonts w:asciiTheme="minorHAnsi" w:hAnsiTheme="minorHAnsi" w:eastAsiaTheme="minorEastAsia"/>
        </w:rPr>
        <w:t xml:space="preserve">Based on </w:t>
      </w:r>
      <w:r w:rsidRPr="00D75194">
        <w:rPr>
          <w:rFonts w:asciiTheme="minorHAnsi" w:hAnsiTheme="minorHAnsi" w:eastAsiaTheme="minorEastAsia"/>
        </w:rPr>
        <w:t xml:space="preserve">this view, </w:t>
      </w:r>
      <w:r w:rsidRPr="00D75194">
        <w:rPr>
          <w:rFonts w:asciiTheme="minorHAnsi" w:hAnsiTheme="minorHAnsi" w:eastAsiaTheme="minorEastAsia"/>
          <w:b/>
          <w:bCs/>
        </w:rPr>
        <w:t>there is strong evidence of CASA making critical contributions to fairer negotiation processes</w:t>
      </w:r>
      <w:r w:rsidRPr="00D75194">
        <w:rPr>
          <w:rFonts w:asciiTheme="minorHAnsi" w:hAnsiTheme="minorHAnsi" w:eastAsiaTheme="minorEastAsia"/>
        </w:rPr>
        <w:t xml:space="preserve">. At the highest level, CASA </w:t>
      </w:r>
      <w:proofErr w:type="gramStart"/>
      <w:r w:rsidRPr="00D75194">
        <w:rPr>
          <w:rFonts w:asciiTheme="minorHAnsi" w:hAnsiTheme="minorHAnsi" w:eastAsiaTheme="minorEastAsia"/>
        </w:rPr>
        <w:t>as a whole is</w:t>
      </w:r>
      <w:proofErr w:type="gramEnd"/>
      <w:r w:rsidRPr="00D75194">
        <w:rPr>
          <w:rFonts w:asciiTheme="minorHAnsi" w:hAnsiTheme="minorHAnsi" w:eastAsiaTheme="minorEastAsia"/>
        </w:rPr>
        <w:t xml:space="preserve"> doing this</w:t>
      </w:r>
      <w:r w:rsidRPr="00D75194" w:rsidR="009C59F7">
        <w:rPr>
          <w:rFonts w:asciiTheme="minorHAnsi" w:hAnsiTheme="minorHAnsi" w:eastAsiaTheme="minorEastAsia"/>
        </w:rPr>
        <w:t>,</w:t>
      </w:r>
      <w:r w:rsidRPr="00D75194">
        <w:rPr>
          <w:rFonts w:asciiTheme="minorHAnsi" w:hAnsiTheme="minorHAnsi" w:eastAsiaTheme="minorEastAsia"/>
        </w:rPr>
        <w:t xml:space="preserve"> and</w:t>
      </w:r>
      <w:r w:rsidRPr="00D75194" w:rsidDel="009C59F7">
        <w:rPr>
          <w:rFonts w:asciiTheme="minorHAnsi" w:hAnsiTheme="minorHAnsi" w:eastAsiaTheme="minorEastAsia"/>
        </w:rPr>
        <w:t xml:space="preserve"> </w:t>
      </w:r>
      <w:r w:rsidRPr="00D75194">
        <w:rPr>
          <w:rFonts w:asciiTheme="minorHAnsi" w:hAnsiTheme="minorHAnsi" w:eastAsiaTheme="minorEastAsia"/>
        </w:rPr>
        <w:t>its predecessor programmes</w:t>
      </w:r>
      <w:r w:rsidRPr="00D75194" w:rsidR="009C59F7">
        <w:rPr>
          <w:rFonts w:asciiTheme="minorHAnsi" w:hAnsiTheme="minorHAnsi" w:eastAsiaTheme="minorEastAsia"/>
        </w:rPr>
        <w:t xml:space="preserve"> also did </w:t>
      </w:r>
      <w:r w:rsidRPr="00D75194" w:rsidR="007B7E29">
        <w:rPr>
          <w:rFonts w:asciiTheme="minorHAnsi" w:hAnsiTheme="minorHAnsi" w:eastAsiaTheme="minorEastAsia"/>
        </w:rPr>
        <w:t>this</w:t>
      </w:r>
      <w:r w:rsidRPr="00D75194" w:rsidR="009C59F7">
        <w:rPr>
          <w:rFonts w:asciiTheme="minorHAnsi" w:hAnsiTheme="minorHAnsi" w:eastAsiaTheme="minorEastAsia"/>
        </w:rPr>
        <w:t>,</w:t>
      </w:r>
      <w:r w:rsidRPr="00D75194">
        <w:rPr>
          <w:rFonts w:asciiTheme="minorHAnsi" w:hAnsiTheme="minorHAnsi" w:eastAsiaTheme="minorEastAsia"/>
        </w:rPr>
        <w:t xml:space="preserve"> by enabling a greater diversity of voices to be heard at the C</w:t>
      </w:r>
      <w:r w:rsidRPr="00D75194" w:rsidR="00A66B13">
        <w:rPr>
          <w:rFonts w:asciiTheme="minorHAnsi" w:hAnsiTheme="minorHAnsi" w:eastAsiaTheme="minorEastAsia"/>
        </w:rPr>
        <w:t>O</w:t>
      </w:r>
      <w:r w:rsidRPr="00D75194">
        <w:rPr>
          <w:rFonts w:asciiTheme="minorHAnsi" w:hAnsiTheme="minorHAnsi" w:eastAsiaTheme="minorEastAsia"/>
        </w:rPr>
        <w:t xml:space="preserve">Ps. </w:t>
      </w:r>
      <w:r w:rsidRPr="00D75194" w:rsidR="00846E2A">
        <w:rPr>
          <w:rFonts w:asciiTheme="minorHAnsi" w:hAnsiTheme="minorHAnsi" w:eastAsiaTheme="minorEastAsia"/>
        </w:rPr>
        <w:t xml:space="preserve">Everything </w:t>
      </w:r>
      <w:r w:rsidRPr="00D75194">
        <w:rPr>
          <w:rFonts w:asciiTheme="minorHAnsi" w:hAnsiTheme="minorHAnsi" w:eastAsiaTheme="minorEastAsia"/>
        </w:rPr>
        <w:t>that CASA does points to this result, with extensive evidence</w:t>
      </w:r>
      <w:r w:rsidRPr="00D75194" w:rsidR="00BF6F7D">
        <w:rPr>
          <w:rFonts w:asciiTheme="minorHAnsi" w:hAnsiTheme="minorHAnsi" w:eastAsiaTheme="minorEastAsia"/>
        </w:rPr>
        <w:t xml:space="preserve"> of this</w:t>
      </w:r>
      <w:r w:rsidRPr="00D75194">
        <w:rPr>
          <w:rFonts w:asciiTheme="minorHAnsi" w:hAnsiTheme="minorHAnsi" w:eastAsiaTheme="minorEastAsia"/>
        </w:rPr>
        <w:t xml:space="preserve"> demonstrated throughout this report. One CASA-supported person </w:t>
      </w:r>
      <w:r w:rsidRPr="00D75194" w:rsidR="00846E2A">
        <w:rPr>
          <w:rFonts w:asciiTheme="minorHAnsi" w:hAnsiTheme="minorHAnsi" w:eastAsiaTheme="minorEastAsia"/>
        </w:rPr>
        <w:t xml:space="preserve">stated </w:t>
      </w:r>
      <w:r w:rsidRPr="00D75194">
        <w:rPr>
          <w:rFonts w:asciiTheme="minorHAnsi" w:hAnsiTheme="minorHAnsi" w:eastAsiaTheme="minorEastAsia"/>
        </w:rPr>
        <w:t>this quite emphatically:</w:t>
      </w:r>
      <w:r w:rsidRPr="00D75194" w:rsidDel="006B601D">
        <w:rPr>
          <w:rFonts w:asciiTheme="minorHAnsi" w:hAnsiTheme="minorHAnsi" w:eastAsiaTheme="minorEastAsia"/>
        </w:rPr>
        <w:t xml:space="preserve"> </w:t>
      </w:r>
    </w:p>
    <w:p w:rsidRPr="00D75194" w:rsidR="0F7BFE5B" w:rsidP="00364F23" w:rsidRDefault="00364F23" w14:paraId="30480017" w14:textId="18994040">
      <w:pPr>
        <w:spacing w:after="160" w:line="276" w:lineRule="auto"/>
        <w:rPr>
          <w:rFonts w:asciiTheme="minorHAnsi" w:hAnsiTheme="minorHAnsi" w:eastAsiaTheme="minorEastAsia"/>
        </w:rPr>
      </w:pPr>
      <w:r w:rsidRPr="00D75194">
        <w:rPr>
          <w:rFonts w:asciiTheme="minorHAnsi" w:hAnsiTheme="minorHAnsi" w:eastAsiaTheme="minorEastAsia"/>
        </w:rPr>
        <w:t>“</w:t>
      </w:r>
      <w:r w:rsidRPr="00D75194" w:rsidR="0F7BFE5B">
        <w:rPr>
          <w:rFonts w:asciiTheme="minorHAnsi" w:hAnsiTheme="minorHAnsi" w:eastAsiaTheme="minorEastAsia"/>
          <w:i/>
        </w:rPr>
        <w:t>I think that it's already in itself a contribution to build</w:t>
      </w:r>
      <w:r w:rsidRPr="00D75194" w:rsidR="00F74D65">
        <w:rPr>
          <w:rFonts w:asciiTheme="minorHAnsi" w:hAnsiTheme="minorHAnsi" w:eastAsiaTheme="minorEastAsia"/>
          <w:i/>
        </w:rPr>
        <w:t>[ing]</w:t>
      </w:r>
      <w:r w:rsidRPr="00D75194" w:rsidR="0F7BFE5B">
        <w:rPr>
          <w:rFonts w:asciiTheme="minorHAnsi" w:hAnsiTheme="minorHAnsi" w:eastAsiaTheme="minorEastAsia"/>
          <w:i/>
        </w:rPr>
        <w:t xml:space="preserve"> a much more inclusive process and one where a diversity of voice</w:t>
      </w:r>
      <w:r w:rsidRPr="00D75194" w:rsidR="00F74D65">
        <w:rPr>
          <w:rFonts w:asciiTheme="minorHAnsi" w:hAnsiTheme="minorHAnsi" w:eastAsiaTheme="minorEastAsia"/>
          <w:i/>
        </w:rPr>
        <w:t>[s]</w:t>
      </w:r>
      <w:r w:rsidRPr="00D75194" w:rsidR="0F7BFE5B">
        <w:rPr>
          <w:rFonts w:asciiTheme="minorHAnsi" w:hAnsiTheme="minorHAnsi" w:eastAsiaTheme="minorEastAsia"/>
          <w:i/>
        </w:rPr>
        <w:t xml:space="preserve"> has been heard and are heard prominently. They contribute to building a more inclusive process.</w:t>
      </w:r>
      <w:r w:rsidRPr="00D75194">
        <w:rPr>
          <w:rFonts w:asciiTheme="minorHAnsi" w:hAnsiTheme="minorHAnsi" w:eastAsiaTheme="minorEastAsia"/>
          <w:i/>
        </w:rPr>
        <w:t>”</w:t>
      </w:r>
    </w:p>
    <w:p w:rsidRPr="00D75194" w:rsidR="0F7BFE5B" w:rsidP="3871CE7F" w:rsidRDefault="0F7BFE5B" w14:paraId="71817DF3" w14:textId="6946D8A7">
      <w:pPr>
        <w:spacing w:after="160" w:line="276" w:lineRule="auto"/>
        <w:rPr>
          <w:rFonts w:asciiTheme="minorHAnsi" w:hAnsiTheme="minorHAnsi" w:eastAsiaTheme="minorEastAsia"/>
        </w:rPr>
      </w:pPr>
      <w:r w:rsidRPr="00D75194">
        <w:rPr>
          <w:rFonts w:asciiTheme="minorHAnsi" w:hAnsiTheme="minorHAnsi" w:eastAsiaTheme="minorEastAsia"/>
        </w:rPr>
        <w:t xml:space="preserve">For many respondents, </w:t>
      </w:r>
      <w:r w:rsidRPr="7FAB4807" w:rsidR="00AE79C9">
        <w:rPr>
          <w:rFonts w:asciiTheme="minorHAnsi" w:hAnsiTheme="minorHAnsi" w:eastAsiaTheme="minorEastAsia"/>
        </w:rPr>
        <w:t>“</w:t>
      </w:r>
      <w:r w:rsidRPr="00D75194">
        <w:rPr>
          <w:rFonts w:asciiTheme="minorHAnsi" w:hAnsiTheme="minorHAnsi" w:eastAsiaTheme="minorEastAsia"/>
        </w:rPr>
        <w:t xml:space="preserve">a fairer </w:t>
      </w:r>
      <w:r w:rsidRPr="00D75194" w:rsidR="00AE79C9">
        <w:rPr>
          <w:rFonts w:asciiTheme="minorHAnsi" w:hAnsiTheme="minorHAnsi" w:eastAsiaTheme="minorEastAsia"/>
        </w:rPr>
        <w:t>process”</w:t>
      </w:r>
      <w:r w:rsidRPr="00D75194" w:rsidR="00F87EF5">
        <w:rPr>
          <w:rFonts w:asciiTheme="minorHAnsi" w:hAnsiTheme="minorHAnsi" w:eastAsiaTheme="minorEastAsia"/>
        </w:rPr>
        <w:t xml:space="preserve"> </w:t>
      </w:r>
      <w:r w:rsidRPr="7FAB4807" w:rsidR="00CA0DF9">
        <w:rPr>
          <w:rFonts w:asciiTheme="minorHAnsi" w:hAnsiTheme="minorHAnsi" w:eastAsiaTheme="minorEastAsia"/>
        </w:rPr>
        <w:t>begins</w:t>
      </w:r>
      <w:r w:rsidRPr="00D75194">
        <w:rPr>
          <w:rFonts w:asciiTheme="minorHAnsi" w:hAnsiTheme="minorHAnsi" w:eastAsiaTheme="minorEastAsia"/>
        </w:rPr>
        <w:t xml:space="preserve"> with less resourced countries just </w:t>
      </w:r>
      <w:r w:rsidRPr="7FAB4807">
        <w:rPr>
          <w:rFonts w:asciiTheme="minorHAnsi" w:hAnsiTheme="minorHAnsi" w:eastAsiaTheme="minorEastAsia"/>
        </w:rPr>
        <w:t>bein</w:t>
      </w:r>
      <w:r w:rsidRPr="7FAB4807" w:rsidR="00D025EF">
        <w:rPr>
          <w:rFonts w:asciiTheme="minorHAnsi" w:hAnsiTheme="minorHAnsi" w:eastAsiaTheme="minorEastAsia"/>
        </w:rPr>
        <w:t>g</w:t>
      </w:r>
      <w:r w:rsidRPr="00D75194">
        <w:rPr>
          <w:rFonts w:asciiTheme="minorHAnsi" w:hAnsiTheme="minorHAnsi" w:eastAsiaTheme="minorEastAsia"/>
        </w:rPr>
        <w:t xml:space="preserve"> able to get to the starting line</w:t>
      </w:r>
      <w:r w:rsidRPr="00D75194" w:rsidR="00BC0E3D">
        <w:rPr>
          <w:rFonts w:asciiTheme="minorHAnsi" w:hAnsiTheme="minorHAnsi" w:eastAsiaTheme="minorEastAsia"/>
        </w:rPr>
        <w:t>—</w:t>
      </w:r>
      <w:r w:rsidRPr="00D75194">
        <w:rPr>
          <w:rFonts w:asciiTheme="minorHAnsi" w:hAnsiTheme="minorHAnsi" w:eastAsiaTheme="minorEastAsia"/>
        </w:rPr>
        <w:t>being able to be at and participate in the negotiations</w:t>
      </w:r>
      <w:r w:rsidRPr="00D75194" w:rsidR="00712A39">
        <w:rPr>
          <w:rFonts w:asciiTheme="minorHAnsi" w:hAnsiTheme="minorHAnsi" w:eastAsiaTheme="minorEastAsia"/>
        </w:rPr>
        <w:t>—</w:t>
      </w:r>
      <w:r w:rsidRPr="00D75194">
        <w:rPr>
          <w:rFonts w:asciiTheme="minorHAnsi" w:hAnsiTheme="minorHAnsi" w:eastAsiaTheme="minorEastAsia"/>
        </w:rPr>
        <w:t xml:space="preserve">given how challenging </w:t>
      </w:r>
      <w:r w:rsidRPr="00D75194" w:rsidR="00712A39">
        <w:rPr>
          <w:rFonts w:asciiTheme="minorHAnsi" w:hAnsiTheme="minorHAnsi" w:eastAsiaTheme="minorEastAsia"/>
        </w:rPr>
        <w:t xml:space="preserve">this </w:t>
      </w:r>
      <w:r w:rsidRPr="00D75194">
        <w:rPr>
          <w:rFonts w:asciiTheme="minorHAnsi" w:hAnsiTheme="minorHAnsi" w:eastAsiaTheme="minorEastAsia"/>
        </w:rPr>
        <w:t xml:space="preserve">is in the first place and how uneven the playing </w:t>
      </w:r>
      <w:r w:rsidRPr="7FAB4807">
        <w:rPr>
          <w:rFonts w:asciiTheme="minorHAnsi" w:hAnsiTheme="minorHAnsi" w:eastAsiaTheme="minorEastAsia"/>
        </w:rPr>
        <w:t>field</w:t>
      </w:r>
      <w:r w:rsidRPr="00D75194">
        <w:rPr>
          <w:rFonts w:asciiTheme="minorHAnsi" w:hAnsiTheme="minorHAnsi" w:eastAsiaTheme="minorEastAsia"/>
        </w:rPr>
        <w:t xml:space="preserve"> is. CASA’s role in enabling this is clear: </w:t>
      </w:r>
    </w:p>
    <w:p w:rsidRPr="00D75194" w:rsidR="0F7BFE5B" w:rsidP="00364F23" w:rsidRDefault="00364F23" w14:paraId="7D5F82BF" w14:textId="4091314B">
      <w:pPr>
        <w:spacing w:after="160" w:line="276" w:lineRule="auto"/>
        <w:rPr>
          <w:rFonts w:asciiTheme="minorHAnsi" w:hAnsiTheme="minorHAnsi" w:eastAsiaTheme="minorEastAsia"/>
          <w:i/>
        </w:rPr>
      </w:pPr>
      <w:r w:rsidRPr="00D75194">
        <w:rPr>
          <w:rFonts w:asciiTheme="minorHAnsi" w:hAnsiTheme="minorHAnsi" w:eastAsiaTheme="minorEastAsia"/>
          <w:i/>
        </w:rPr>
        <w:t>“</w:t>
      </w:r>
      <w:r w:rsidRPr="00D75194" w:rsidR="0F7BFE5B">
        <w:rPr>
          <w:rFonts w:asciiTheme="minorHAnsi" w:hAnsiTheme="minorHAnsi" w:eastAsiaTheme="minorEastAsia"/>
          <w:i/>
        </w:rPr>
        <w:t>The starting point for negotiators from vulnerable countries is not a good one due to logistical and material challenges. CASA plays a role in providing the extra support to level the playing field.</w:t>
      </w:r>
      <w:r w:rsidRPr="00D75194">
        <w:rPr>
          <w:rFonts w:asciiTheme="minorHAnsi" w:hAnsiTheme="minorHAnsi" w:eastAsiaTheme="minorEastAsia"/>
          <w:i/>
        </w:rPr>
        <w:t>”</w:t>
      </w:r>
    </w:p>
    <w:p w:rsidRPr="00D75194" w:rsidR="0F7BFE5B" w:rsidP="00866E69" w:rsidRDefault="0F7BFE5B" w14:paraId="0A7F858E" w14:textId="1A00F92D">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CASA-supported person</w:t>
      </w:r>
    </w:p>
    <w:p w:rsidRPr="00D75194" w:rsidR="0F7BFE5B" w:rsidP="00364F23" w:rsidRDefault="00364F23" w14:paraId="098C7674" w14:textId="7E6FD5CC">
      <w:pPr>
        <w:spacing w:after="160" w:line="276" w:lineRule="auto"/>
        <w:rPr>
          <w:rFonts w:asciiTheme="minorHAnsi" w:hAnsiTheme="minorHAnsi" w:eastAsiaTheme="minorEastAsia"/>
          <w:i/>
        </w:rPr>
      </w:pPr>
      <w:r w:rsidRPr="00D75194">
        <w:rPr>
          <w:rFonts w:asciiTheme="minorHAnsi" w:hAnsiTheme="minorHAnsi" w:eastAsiaTheme="minorEastAsia"/>
          <w:i/>
        </w:rPr>
        <w:t>“</w:t>
      </w:r>
      <w:r w:rsidRPr="00D75194" w:rsidR="0F7BFE5B">
        <w:rPr>
          <w:rFonts w:asciiTheme="minorHAnsi" w:hAnsiTheme="minorHAnsi" w:eastAsiaTheme="minorEastAsia"/>
          <w:i/>
        </w:rPr>
        <w:t xml:space="preserve">I don’t know that [RMI] would be </w:t>
      </w:r>
      <w:r w:rsidRPr="00D75194" w:rsidR="007E37D4">
        <w:rPr>
          <w:rFonts w:asciiTheme="minorHAnsi" w:hAnsiTheme="minorHAnsi" w:eastAsiaTheme="minorEastAsia"/>
          <w:i/>
        </w:rPr>
        <w:t xml:space="preserve">at </w:t>
      </w:r>
      <w:r w:rsidRPr="00D75194" w:rsidR="0F7BFE5B">
        <w:rPr>
          <w:rFonts w:asciiTheme="minorHAnsi" w:hAnsiTheme="minorHAnsi" w:eastAsiaTheme="minorEastAsia"/>
          <w:i/>
        </w:rPr>
        <w:t>the table without CASA support</w:t>
      </w:r>
      <w:r w:rsidRPr="00D75194" w:rsidR="001A083C">
        <w:rPr>
          <w:rFonts w:asciiTheme="minorHAnsi" w:hAnsiTheme="minorHAnsi" w:eastAsiaTheme="minorEastAsia"/>
          <w:i/>
        </w:rPr>
        <w:t>—</w:t>
      </w:r>
      <w:r w:rsidRPr="00D75194" w:rsidR="0F7BFE5B">
        <w:rPr>
          <w:rFonts w:asciiTheme="minorHAnsi" w:hAnsiTheme="minorHAnsi" w:eastAsiaTheme="minorEastAsia"/>
          <w:i/>
        </w:rPr>
        <w:t>they certainly would not be at the table in the same way…. They wouldn’t be at the meetings if CASA wasn’t supporting small island states in the same way.</w:t>
      </w:r>
      <w:r w:rsidRPr="00D75194">
        <w:rPr>
          <w:rFonts w:asciiTheme="minorHAnsi" w:hAnsiTheme="minorHAnsi" w:eastAsiaTheme="minorEastAsia"/>
          <w:i/>
        </w:rPr>
        <w:t>”</w:t>
      </w:r>
    </w:p>
    <w:p w:rsidRPr="00D75194" w:rsidR="0F7BFE5B" w:rsidP="00866E69" w:rsidRDefault="0F7BFE5B" w14:paraId="57D06A65" w14:textId="255FCD41">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CASA-supported person</w:t>
      </w:r>
    </w:p>
    <w:p w:rsidRPr="00D75194" w:rsidR="0F7BFE5B" w:rsidP="00364F23" w:rsidRDefault="00364F23" w14:paraId="68446C1C" w14:textId="041CF0BC">
      <w:pPr>
        <w:spacing w:after="160" w:line="276" w:lineRule="auto"/>
        <w:rPr>
          <w:rFonts w:asciiTheme="minorHAnsi" w:hAnsiTheme="minorHAnsi" w:eastAsiaTheme="minorEastAsia"/>
          <w:i/>
        </w:rPr>
      </w:pPr>
      <w:r w:rsidRPr="00D75194">
        <w:rPr>
          <w:rFonts w:asciiTheme="minorHAnsi" w:hAnsiTheme="minorHAnsi" w:eastAsiaTheme="minorEastAsia"/>
          <w:i/>
        </w:rPr>
        <w:t>“</w:t>
      </w:r>
      <w:r w:rsidRPr="00D75194" w:rsidR="0F7BFE5B">
        <w:rPr>
          <w:rFonts w:asciiTheme="minorHAnsi" w:hAnsiTheme="minorHAnsi" w:eastAsiaTheme="minorEastAsia"/>
          <w:i/>
        </w:rPr>
        <w:t>CASA support enabled four young negotiators to attend COP29 as part of Malawi’s government delegation, while it helped facilitate 15 total spaces for young people. Their presence strengthened government negotiations by providing technical and logistical support to senior negotiators.</w:t>
      </w:r>
      <w:r w:rsidRPr="00D75194">
        <w:rPr>
          <w:rFonts w:asciiTheme="minorHAnsi" w:hAnsiTheme="minorHAnsi" w:eastAsiaTheme="minorEastAsia"/>
          <w:i/>
        </w:rPr>
        <w:t>”</w:t>
      </w:r>
    </w:p>
    <w:p w:rsidRPr="00D75194" w:rsidR="0F7BFE5B" w:rsidP="00866E69" w:rsidRDefault="0F7BFE5B" w14:paraId="202C4C6C" w14:textId="00513F82">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CASA-supported person</w:t>
      </w:r>
    </w:p>
    <w:p w:rsidRPr="00D75194" w:rsidR="0F7BFE5B" w:rsidP="00364F23" w:rsidRDefault="00364F23" w14:paraId="0E0611A8" w14:textId="13C0A5EF">
      <w:pPr>
        <w:spacing w:after="160" w:line="276" w:lineRule="auto"/>
        <w:rPr>
          <w:rFonts w:asciiTheme="minorHAnsi" w:hAnsiTheme="minorHAnsi" w:eastAsiaTheme="minorEastAsia"/>
          <w:i/>
        </w:rPr>
      </w:pPr>
      <w:r w:rsidRPr="00D75194">
        <w:rPr>
          <w:rFonts w:asciiTheme="minorHAnsi" w:hAnsiTheme="minorHAnsi" w:eastAsiaTheme="minorEastAsia"/>
          <w:i/>
        </w:rPr>
        <w:t>“</w:t>
      </w:r>
      <w:r w:rsidRPr="00D75194" w:rsidR="0F7BFE5B">
        <w:rPr>
          <w:rFonts w:asciiTheme="minorHAnsi" w:hAnsiTheme="minorHAnsi" w:eastAsiaTheme="minorEastAsia"/>
          <w:i/>
        </w:rPr>
        <w:t>The Opportunity Fund project has helped make climate negotiations fairer by increasing youth representation and strengthening negotiation capacity in LDCs.</w:t>
      </w:r>
      <w:r w:rsidRPr="00D75194">
        <w:rPr>
          <w:rFonts w:asciiTheme="minorHAnsi" w:hAnsiTheme="minorHAnsi" w:eastAsiaTheme="minorEastAsia"/>
          <w:i/>
        </w:rPr>
        <w:t>”</w:t>
      </w:r>
    </w:p>
    <w:p w:rsidRPr="00D75194" w:rsidR="0F7BFE5B" w:rsidP="00866E69" w:rsidRDefault="0F7BFE5B" w14:paraId="2FE99ED7" w14:textId="19FC5F55">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CASA-supported person</w:t>
      </w:r>
    </w:p>
    <w:p w:rsidRPr="00D75194" w:rsidR="0F7BFE5B" w:rsidP="00905E40" w:rsidRDefault="0006443D" w14:paraId="4BD36318" w14:textId="0C66F751">
      <w:pPr>
        <w:spacing w:after="160" w:line="276" w:lineRule="auto"/>
        <w:rPr>
          <w:rFonts w:asciiTheme="minorHAnsi" w:hAnsiTheme="minorHAnsi" w:eastAsiaTheme="minorEastAsia"/>
        </w:rPr>
      </w:pPr>
      <w:r>
        <w:br/>
      </w:r>
      <w:r w:rsidRPr="00D75194" w:rsidR="0F7BFE5B">
        <w:rPr>
          <w:rFonts w:asciiTheme="minorHAnsi" w:hAnsiTheme="minorHAnsi" w:eastAsiaTheme="minorEastAsia"/>
        </w:rPr>
        <w:t xml:space="preserve">However, while </w:t>
      </w:r>
      <w:r w:rsidRPr="00D75194" w:rsidR="00905E40">
        <w:rPr>
          <w:rFonts w:asciiTheme="minorHAnsi" w:hAnsiTheme="minorHAnsi" w:eastAsiaTheme="minorEastAsia"/>
        </w:rPr>
        <w:t xml:space="preserve">CASA has contributed </w:t>
      </w:r>
      <w:r w:rsidRPr="00D75194" w:rsidR="0F7BFE5B">
        <w:rPr>
          <w:rFonts w:asciiTheme="minorHAnsi" w:hAnsiTheme="minorHAnsi" w:eastAsiaTheme="minorEastAsia"/>
        </w:rPr>
        <w:t>to enabling negotiation</w:t>
      </w:r>
      <w:r w:rsidRPr="00D75194" w:rsidR="000E0FEC">
        <w:rPr>
          <w:rFonts w:asciiTheme="minorHAnsi" w:hAnsiTheme="minorHAnsi" w:eastAsiaTheme="minorEastAsia"/>
        </w:rPr>
        <w:t>s</w:t>
      </w:r>
      <w:r w:rsidRPr="00D75194" w:rsidR="0F7BFE5B">
        <w:rPr>
          <w:rFonts w:asciiTheme="minorHAnsi" w:hAnsiTheme="minorHAnsi" w:eastAsiaTheme="minorEastAsia"/>
        </w:rPr>
        <w:t xml:space="preserve"> and</w:t>
      </w:r>
      <w:r w:rsidRPr="00D75194" w:rsidR="000E0FEC">
        <w:rPr>
          <w:rFonts w:asciiTheme="minorHAnsi" w:hAnsiTheme="minorHAnsi" w:eastAsiaTheme="minorEastAsia"/>
        </w:rPr>
        <w:t xml:space="preserve"> to </w:t>
      </w:r>
      <w:r w:rsidRPr="00D75194" w:rsidR="0F7BFE5B">
        <w:rPr>
          <w:rFonts w:asciiTheme="minorHAnsi" w:hAnsiTheme="minorHAnsi" w:eastAsiaTheme="minorEastAsia"/>
        </w:rPr>
        <w:t xml:space="preserve">negotiation groups </w:t>
      </w:r>
      <w:r w:rsidRPr="7FAB4807" w:rsidR="0F7BFE5B">
        <w:rPr>
          <w:rFonts w:asciiTheme="minorHAnsi" w:hAnsiTheme="minorHAnsi" w:eastAsiaTheme="minorEastAsia"/>
        </w:rPr>
        <w:t>hav</w:t>
      </w:r>
      <w:r w:rsidRPr="7FAB4807" w:rsidR="000E0FEC">
        <w:rPr>
          <w:rFonts w:asciiTheme="minorHAnsi" w:hAnsiTheme="minorHAnsi" w:eastAsiaTheme="minorEastAsia"/>
        </w:rPr>
        <w:t>ing</w:t>
      </w:r>
      <w:r w:rsidRPr="00D75194" w:rsidR="0F7BFE5B">
        <w:rPr>
          <w:rFonts w:asciiTheme="minorHAnsi" w:hAnsiTheme="minorHAnsi" w:eastAsiaTheme="minorEastAsia"/>
        </w:rPr>
        <w:t xml:space="preserve"> greater access to C</w:t>
      </w:r>
      <w:r w:rsidRPr="00D75194" w:rsidR="00A66B13">
        <w:rPr>
          <w:rFonts w:asciiTheme="minorHAnsi" w:hAnsiTheme="minorHAnsi" w:eastAsiaTheme="minorEastAsia"/>
        </w:rPr>
        <w:t>O</w:t>
      </w:r>
      <w:r w:rsidRPr="00D75194" w:rsidR="0F7BFE5B">
        <w:rPr>
          <w:rFonts w:asciiTheme="minorHAnsi" w:hAnsiTheme="minorHAnsi" w:eastAsiaTheme="minorEastAsia"/>
        </w:rPr>
        <w:t>Ps, there are also wider political forces at play that are far beyond what CASA is able to control or influence. As one TP noted when asked whether CASA has contributed to making negotiation processes fairer:</w:t>
      </w:r>
    </w:p>
    <w:p w:rsidRPr="00D75194" w:rsidR="0F7BFE5B" w:rsidP="00364F23" w:rsidRDefault="00364F23" w14:paraId="73081F4E" w14:textId="7FB2E45F">
      <w:pPr>
        <w:spacing w:after="160" w:line="276" w:lineRule="auto"/>
        <w:rPr>
          <w:rFonts w:asciiTheme="minorHAnsi" w:hAnsiTheme="minorHAnsi" w:eastAsiaTheme="minorEastAsia"/>
          <w:i/>
        </w:rPr>
      </w:pPr>
      <w:r w:rsidRPr="00D75194">
        <w:rPr>
          <w:rFonts w:asciiTheme="minorHAnsi" w:hAnsiTheme="minorHAnsi" w:eastAsiaTheme="minorEastAsia"/>
          <w:i/>
          <w:iCs/>
        </w:rPr>
        <w:t>“</w:t>
      </w:r>
      <w:r w:rsidRPr="00D75194" w:rsidR="42325481">
        <w:rPr>
          <w:rFonts w:asciiTheme="minorHAnsi" w:hAnsiTheme="minorHAnsi" w:eastAsiaTheme="minorEastAsia"/>
          <w:i/>
          <w:iCs/>
        </w:rPr>
        <w:t>[Negotiations] are worse. [AOSIS] have become stronger as AOSIS but geopolitics is too deeply vested into the process. When approached to lead negotiations for the science group I thought it would be easier, but it has become a political warfare</w:t>
      </w:r>
      <w:r w:rsidRPr="00D75194" w:rsidR="000E0FEC">
        <w:rPr>
          <w:rFonts w:asciiTheme="minorHAnsi" w:hAnsiTheme="minorHAnsi" w:eastAsiaTheme="minorEastAsia"/>
          <w:i/>
          <w:iCs/>
        </w:rPr>
        <w:t>—</w:t>
      </w:r>
      <w:r w:rsidRPr="00D75194" w:rsidR="42325481">
        <w:rPr>
          <w:rFonts w:asciiTheme="minorHAnsi" w:hAnsiTheme="minorHAnsi" w:eastAsiaTheme="minorEastAsia"/>
          <w:i/>
          <w:iCs/>
        </w:rPr>
        <w:t>broadly, it has lost its way. It seems to be more about who has the biggest voice in the political space… It didn’t use</w:t>
      </w:r>
      <w:r w:rsidRPr="00D75194" w:rsidR="00260363">
        <w:rPr>
          <w:rFonts w:asciiTheme="minorHAnsi" w:hAnsiTheme="minorHAnsi" w:eastAsiaTheme="minorEastAsia"/>
          <w:i/>
          <w:iCs/>
        </w:rPr>
        <w:t>d</w:t>
      </w:r>
      <w:r w:rsidRPr="00D75194" w:rsidR="42325481">
        <w:rPr>
          <w:rFonts w:asciiTheme="minorHAnsi" w:hAnsiTheme="minorHAnsi" w:eastAsiaTheme="minorEastAsia"/>
          <w:i/>
          <w:iCs/>
        </w:rPr>
        <w:t xml:space="preserve"> to be like this, where scientists are questioned, because of the implications it has for others. The global climate crisis seems to be more about politics than everything else.</w:t>
      </w:r>
      <w:r w:rsidRPr="00D75194">
        <w:rPr>
          <w:rFonts w:asciiTheme="minorHAnsi" w:hAnsiTheme="minorHAnsi" w:eastAsiaTheme="minorEastAsia"/>
          <w:i/>
          <w:iCs/>
        </w:rPr>
        <w:t>”</w:t>
      </w:r>
    </w:p>
    <w:p w:rsidRPr="00D75194" w:rsidR="15B4FB8C" w:rsidP="2ABFE1AD" w:rsidRDefault="15B4FB8C" w14:paraId="643CDD6F" w14:textId="3D767024">
      <w:pPr>
        <w:pStyle w:val="ListParagraph"/>
        <w:numPr>
          <w:ilvl w:val="0"/>
          <w:numId w:val="1"/>
        </w:numPr>
        <w:spacing w:after="160" w:line="276" w:lineRule="auto"/>
        <w:jc w:val="right"/>
        <w:rPr>
          <w:rFonts w:asciiTheme="minorHAnsi" w:hAnsiTheme="minorHAnsi" w:eastAsiaTheme="minorEastAsia"/>
        </w:rPr>
      </w:pPr>
      <w:r w:rsidRPr="00D75194">
        <w:rPr>
          <w:rFonts w:asciiTheme="minorHAnsi" w:hAnsiTheme="minorHAnsi" w:eastAsiaTheme="minorEastAsia"/>
        </w:rPr>
        <w:t>TP</w:t>
      </w:r>
    </w:p>
    <w:p w:rsidRPr="00D75194" w:rsidR="0F7BFE5B" w:rsidP="3871CE7F" w:rsidRDefault="0F7BFE5B" w14:paraId="1A13169F" w14:textId="08FACF2C">
      <w:pPr>
        <w:spacing w:after="160" w:line="276" w:lineRule="auto"/>
        <w:rPr>
          <w:rFonts w:asciiTheme="minorHAnsi" w:hAnsiTheme="minorHAnsi" w:eastAsiaTheme="minorEastAsia"/>
          <w:b/>
        </w:rPr>
      </w:pPr>
      <w:r w:rsidRPr="76073E23">
        <w:rPr>
          <w:rFonts w:asciiTheme="minorHAnsi" w:hAnsiTheme="minorHAnsi" w:eastAsiaTheme="minorEastAsia"/>
          <w:b/>
        </w:rPr>
        <w:t xml:space="preserve">Meaningful participation </w:t>
      </w:r>
    </w:p>
    <w:p w:rsidRPr="00D75194" w:rsidR="0F7BFE5B" w:rsidP="3871CE7F" w:rsidRDefault="00260363" w14:paraId="1B928630" w14:textId="37719BD3">
      <w:pPr>
        <w:spacing w:after="160" w:line="276" w:lineRule="auto"/>
        <w:rPr>
          <w:rFonts w:asciiTheme="minorHAnsi" w:hAnsiTheme="minorHAnsi" w:eastAsiaTheme="minorEastAsia"/>
        </w:rPr>
      </w:pPr>
      <w:r w:rsidRPr="7FAB4807">
        <w:rPr>
          <w:rFonts w:asciiTheme="minorHAnsi" w:hAnsiTheme="minorHAnsi" w:eastAsiaTheme="minorEastAsia"/>
        </w:rPr>
        <w:t>“</w:t>
      </w:r>
      <w:r w:rsidRPr="00D75194">
        <w:rPr>
          <w:rFonts w:asciiTheme="minorHAnsi" w:hAnsiTheme="minorHAnsi" w:eastAsiaTheme="minorEastAsia"/>
        </w:rPr>
        <w:t xml:space="preserve">Meaningful </w:t>
      </w:r>
      <w:r w:rsidRPr="7FAB4807">
        <w:rPr>
          <w:rFonts w:asciiTheme="minorHAnsi" w:hAnsiTheme="minorHAnsi" w:eastAsiaTheme="minorEastAsia"/>
        </w:rPr>
        <w:t>participation”</w:t>
      </w:r>
      <w:r w:rsidRPr="00D75194" w:rsidR="0F7BFE5B">
        <w:rPr>
          <w:rFonts w:asciiTheme="minorHAnsi" w:hAnsiTheme="minorHAnsi" w:eastAsiaTheme="minorEastAsia"/>
        </w:rPr>
        <w:t xml:space="preserve"> relates to CASA’s support to participants’ ability to </w:t>
      </w:r>
      <w:r w:rsidRPr="230DCB4A" w:rsidR="7715ABB2">
        <w:rPr>
          <w:rFonts w:asciiTheme="minorHAnsi" w:hAnsiTheme="minorHAnsi" w:eastAsiaTheme="minorEastAsia"/>
        </w:rPr>
        <w:t>understand and apply</w:t>
      </w:r>
      <w:r w:rsidRPr="230DCB4A" w:rsidR="0F7BFE5B">
        <w:rPr>
          <w:rFonts w:asciiTheme="minorHAnsi" w:hAnsiTheme="minorHAnsi" w:eastAsiaTheme="minorEastAsia"/>
        </w:rPr>
        <w:t xml:space="preserve"> </w:t>
      </w:r>
      <w:r w:rsidRPr="00D75194" w:rsidR="0F7BFE5B">
        <w:rPr>
          <w:rFonts w:asciiTheme="minorHAnsi" w:hAnsiTheme="minorHAnsi" w:eastAsiaTheme="minorEastAsia"/>
        </w:rPr>
        <w:t xml:space="preserve">technically sound knowledge, to understand the complex processes around the negotiations, and for both individuals and groups to </w:t>
      </w:r>
      <w:r w:rsidRPr="00D75194" w:rsidR="00F06468">
        <w:rPr>
          <w:rFonts w:asciiTheme="minorHAnsi" w:hAnsiTheme="minorHAnsi" w:eastAsiaTheme="minorEastAsia"/>
        </w:rPr>
        <w:t>wield</w:t>
      </w:r>
      <w:r w:rsidRPr="00D75194" w:rsidR="0F7BFE5B">
        <w:rPr>
          <w:rFonts w:asciiTheme="minorHAnsi" w:hAnsiTheme="minorHAnsi" w:eastAsiaTheme="minorEastAsia"/>
        </w:rPr>
        <w:t xml:space="preserve"> influence over negotiation outcomes. Once the participants show up, how do they use the opportunity</w:t>
      </w:r>
      <w:r w:rsidRPr="00D75194" w:rsidR="00A04479">
        <w:rPr>
          <w:rFonts w:asciiTheme="minorHAnsi" w:hAnsiTheme="minorHAnsi" w:eastAsiaTheme="minorEastAsia"/>
        </w:rPr>
        <w:t xml:space="preserve"> they have</w:t>
      </w:r>
      <w:r w:rsidRPr="00D75194" w:rsidR="0F7BFE5B">
        <w:rPr>
          <w:rFonts w:asciiTheme="minorHAnsi" w:hAnsiTheme="minorHAnsi" w:eastAsiaTheme="minorEastAsia"/>
        </w:rPr>
        <w:t xml:space="preserve"> to participate? </w:t>
      </w:r>
    </w:p>
    <w:p w:rsidRPr="00D75194" w:rsidR="0F7BFE5B" w:rsidP="296B7276" w:rsidRDefault="0F7BFE5B" w14:paraId="4DEDDFB8" w14:textId="26C1185C">
      <w:pPr>
        <w:spacing w:after="160" w:line="276" w:lineRule="auto"/>
        <w:rPr>
          <w:rFonts w:asciiTheme="minorHAnsi" w:hAnsiTheme="minorHAnsi" w:eastAsiaTheme="minorEastAsia"/>
        </w:rPr>
      </w:pPr>
      <w:r w:rsidRPr="00D75194">
        <w:rPr>
          <w:rFonts w:asciiTheme="minorHAnsi" w:hAnsiTheme="minorHAnsi" w:eastAsiaTheme="minorEastAsia"/>
        </w:rPr>
        <w:t xml:space="preserve">The technical support discussed extensively in the early </w:t>
      </w:r>
      <w:r w:rsidRPr="00D75194" w:rsidR="00CC07FA">
        <w:rPr>
          <w:rFonts w:asciiTheme="minorHAnsi" w:hAnsiTheme="minorHAnsi" w:eastAsiaTheme="minorEastAsia"/>
        </w:rPr>
        <w:t>f</w:t>
      </w:r>
      <w:r w:rsidRPr="00D75194">
        <w:rPr>
          <w:rFonts w:asciiTheme="minorHAnsi" w:hAnsiTheme="minorHAnsi" w:eastAsiaTheme="minorEastAsia"/>
        </w:rPr>
        <w:t xml:space="preserve">indings sections and the case studies demonstrate </w:t>
      </w:r>
      <w:r w:rsidRPr="00D75194" w:rsidR="00F312B3">
        <w:rPr>
          <w:rFonts w:asciiTheme="minorHAnsi" w:hAnsiTheme="minorHAnsi" w:eastAsiaTheme="minorEastAsia"/>
        </w:rPr>
        <w:t xml:space="preserve">in much greater detail </w:t>
      </w:r>
      <w:r w:rsidRPr="00D75194">
        <w:rPr>
          <w:rFonts w:asciiTheme="minorHAnsi" w:hAnsiTheme="minorHAnsi" w:eastAsiaTheme="minorEastAsia"/>
        </w:rPr>
        <w:t xml:space="preserve">the evidence </w:t>
      </w:r>
      <w:r w:rsidRPr="7FAB4807" w:rsidR="00F312B3">
        <w:rPr>
          <w:rFonts w:asciiTheme="minorHAnsi" w:hAnsiTheme="minorHAnsi" w:eastAsiaTheme="minorEastAsia"/>
        </w:rPr>
        <w:t>on</w:t>
      </w:r>
      <w:r w:rsidRPr="00D75194">
        <w:rPr>
          <w:rFonts w:asciiTheme="minorHAnsi" w:hAnsiTheme="minorHAnsi" w:eastAsiaTheme="minorEastAsia"/>
        </w:rPr>
        <w:t xml:space="preserve"> how CASA has contributed to building individuals</w:t>
      </w:r>
      <w:r w:rsidRPr="00D75194" w:rsidR="007561AB">
        <w:rPr>
          <w:rFonts w:asciiTheme="minorHAnsi" w:hAnsiTheme="minorHAnsi" w:eastAsiaTheme="minorEastAsia"/>
        </w:rPr>
        <w:t>’ skills</w:t>
      </w:r>
      <w:r w:rsidRPr="00D75194">
        <w:rPr>
          <w:rFonts w:asciiTheme="minorHAnsi" w:hAnsiTheme="minorHAnsi" w:eastAsiaTheme="minorEastAsia"/>
        </w:rPr>
        <w:t xml:space="preserve"> and organisational capabilities that </w:t>
      </w:r>
      <w:r w:rsidRPr="7FAB4807">
        <w:rPr>
          <w:rFonts w:asciiTheme="minorHAnsi" w:hAnsiTheme="minorHAnsi" w:eastAsiaTheme="minorEastAsia"/>
        </w:rPr>
        <w:t>enable</w:t>
      </w:r>
      <w:r w:rsidRPr="00D75194">
        <w:rPr>
          <w:rFonts w:asciiTheme="minorHAnsi" w:hAnsiTheme="minorHAnsi" w:eastAsiaTheme="minorEastAsia"/>
        </w:rPr>
        <w:t xml:space="preserve"> them to engage in more meaningful participation. While other factors are noted to have contributed as well, </w:t>
      </w:r>
      <w:r w:rsidRPr="00D75194">
        <w:rPr>
          <w:rFonts w:asciiTheme="minorHAnsi" w:hAnsiTheme="minorHAnsi" w:eastAsiaTheme="minorEastAsia"/>
          <w:b/>
          <w:bCs/>
        </w:rPr>
        <w:t xml:space="preserve">CASA has unequivocally made positive contributions to more meaningful participation for </w:t>
      </w:r>
      <w:r w:rsidRPr="00D75194" w:rsidR="00175A5F">
        <w:rPr>
          <w:rFonts w:asciiTheme="minorHAnsi" w:hAnsiTheme="minorHAnsi" w:eastAsiaTheme="minorEastAsia"/>
          <w:b/>
          <w:bCs/>
        </w:rPr>
        <w:t xml:space="preserve">the </w:t>
      </w:r>
      <w:r w:rsidRPr="00D75194">
        <w:rPr>
          <w:rFonts w:asciiTheme="minorHAnsi" w:hAnsiTheme="minorHAnsi" w:eastAsiaTheme="minorEastAsia"/>
          <w:b/>
          <w:bCs/>
        </w:rPr>
        <w:t>negotiators that have received its support</w:t>
      </w:r>
      <w:r w:rsidRPr="00D75194">
        <w:rPr>
          <w:rFonts w:asciiTheme="minorHAnsi" w:hAnsiTheme="minorHAnsi" w:eastAsiaTheme="minorEastAsia"/>
        </w:rPr>
        <w:t>. Responses from</w:t>
      </w:r>
      <w:r w:rsidRPr="00D75194" w:rsidDel="003D37E7">
        <w:rPr>
          <w:rFonts w:asciiTheme="minorHAnsi" w:hAnsiTheme="minorHAnsi" w:eastAsiaTheme="minorEastAsia"/>
        </w:rPr>
        <w:t xml:space="preserve"> </w:t>
      </w:r>
      <w:r w:rsidRPr="00D75194" w:rsidR="003D37E7">
        <w:rPr>
          <w:rFonts w:asciiTheme="minorHAnsi" w:hAnsiTheme="minorHAnsi" w:eastAsiaTheme="minorEastAsia"/>
        </w:rPr>
        <w:t xml:space="preserve">the following </w:t>
      </w:r>
      <w:r w:rsidRPr="00D75194">
        <w:rPr>
          <w:rFonts w:asciiTheme="minorHAnsi" w:hAnsiTheme="minorHAnsi" w:eastAsiaTheme="minorEastAsia"/>
        </w:rPr>
        <w:t>CASA-supported individuals</w:t>
      </w:r>
      <w:r w:rsidRPr="00D75194" w:rsidR="00071AE4">
        <w:rPr>
          <w:rFonts w:asciiTheme="minorHAnsi" w:hAnsiTheme="minorHAnsi" w:eastAsiaTheme="minorEastAsia"/>
        </w:rPr>
        <w:t xml:space="preserve"> and TPs</w:t>
      </w:r>
      <w:r w:rsidRPr="00D75194">
        <w:rPr>
          <w:rFonts w:asciiTheme="minorHAnsi" w:hAnsiTheme="minorHAnsi" w:eastAsiaTheme="minorEastAsia"/>
        </w:rPr>
        <w:t xml:space="preserve"> testify to this impact: </w:t>
      </w:r>
    </w:p>
    <w:p w:rsidRPr="00D75194" w:rsidR="0F7BFE5B" w:rsidP="00CC07FA" w:rsidRDefault="00CC07FA" w14:paraId="421234E7" w14:textId="0C4DF910">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52A7E0D6">
        <w:rPr>
          <w:rFonts w:asciiTheme="minorHAnsi" w:hAnsiTheme="minorHAnsi" w:eastAsiaTheme="minorEastAsia"/>
          <w:i/>
          <w:iCs/>
        </w:rPr>
        <w:t>Without [CASA]</w:t>
      </w:r>
      <w:r w:rsidRPr="00D75194" w:rsidR="0F7BFE5B">
        <w:rPr>
          <w:rFonts w:asciiTheme="minorHAnsi" w:hAnsiTheme="minorHAnsi" w:eastAsiaTheme="minorEastAsia"/>
          <w:i/>
          <w:iCs/>
        </w:rPr>
        <w:t xml:space="preserve"> support to prepare people, the chances of being effective during negotiations is quite low, because these meetings are technically very complex and can be overwhelming to people who are not well prepared and who don’t know what to </w:t>
      </w:r>
      <w:r w:rsidRPr="00D75194" w:rsidR="00D12A38">
        <w:rPr>
          <w:rFonts w:asciiTheme="minorHAnsi" w:hAnsiTheme="minorHAnsi" w:eastAsiaTheme="minorEastAsia"/>
          <w:i/>
          <w:iCs/>
        </w:rPr>
        <w:t>expect</w:t>
      </w:r>
      <w:r w:rsidRPr="7FAB4807" w:rsidR="00D12A38">
        <w:rPr>
          <w:rFonts w:asciiTheme="minorHAnsi" w:hAnsiTheme="minorHAnsi" w:eastAsiaTheme="minorEastAsia"/>
          <w:i/>
          <w:iCs/>
        </w:rPr>
        <w:t>. “</w:t>
      </w:r>
    </w:p>
    <w:p w:rsidRPr="00D75194" w:rsidR="00CC07FA" w:rsidP="005535E7" w:rsidRDefault="00CC07FA" w14:paraId="3EFE130D" w14:textId="17DC3CE3">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CASA-supported person</w:t>
      </w:r>
    </w:p>
    <w:p w:rsidRPr="00D75194" w:rsidR="0F7BFE5B" w:rsidP="00CC07FA" w:rsidRDefault="00CC07FA" w14:paraId="46A71FCA" w14:textId="0C0602DC">
      <w:pPr>
        <w:spacing w:after="160" w:line="276" w:lineRule="auto"/>
        <w:rPr>
          <w:rFonts w:asciiTheme="minorHAnsi" w:hAnsiTheme="minorHAnsi" w:eastAsiaTheme="minorEastAsia"/>
          <w:i/>
        </w:rPr>
      </w:pPr>
      <w:r w:rsidRPr="00D75194">
        <w:rPr>
          <w:rFonts w:asciiTheme="minorHAnsi" w:hAnsiTheme="minorHAnsi" w:eastAsiaTheme="minorEastAsia"/>
          <w:i/>
          <w:iCs/>
        </w:rPr>
        <w:t>“</w:t>
      </w:r>
      <w:r w:rsidRPr="00D75194" w:rsidR="0F7BFE5B">
        <w:rPr>
          <w:rFonts w:asciiTheme="minorHAnsi" w:hAnsiTheme="minorHAnsi" w:eastAsiaTheme="minorEastAsia"/>
          <w:i/>
        </w:rPr>
        <w:t xml:space="preserve">The programme engages in active participation and fostering greater dialogue with countries by supporting vulnerable countries in being more prepared and being more engaged in meetings, in being more active and more </w:t>
      </w:r>
      <w:r w:rsidRPr="00D75194" w:rsidR="00D12A38">
        <w:rPr>
          <w:rFonts w:asciiTheme="minorHAnsi" w:hAnsiTheme="minorHAnsi" w:eastAsiaTheme="minorEastAsia"/>
          <w:i/>
        </w:rPr>
        <w:t>visible</w:t>
      </w:r>
      <w:r w:rsidRPr="7FAB4807" w:rsidR="00D12A38">
        <w:rPr>
          <w:rFonts w:asciiTheme="minorHAnsi" w:hAnsiTheme="minorHAnsi" w:eastAsiaTheme="minorEastAsia"/>
          <w:i/>
          <w:iCs/>
        </w:rPr>
        <w:t>. “</w:t>
      </w:r>
    </w:p>
    <w:p w:rsidRPr="00D75194" w:rsidR="00CC07FA" w:rsidP="005535E7" w:rsidRDefault="00CC07FA" w14:paraId="26996CBC" w14:textId="1C9762B5">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CASA-supported person</w:t>
      </w:r>
    </w:p>
    <w:p w:rsidRPr="00D75194" w:rsidR="0F7BFE5B" w:rsidP="00CC07FA" w:rsidRDefault="00CC07FA" w14:paraId="7CCE9FB4" w14:textId="57634194">
      <w:pPr>
        <w:spacing w:after="160" w:line="276" w:lineRule="auto"/>
        <w:rPr>
          <w:rFonts w:asciiTheme="minorHAnsi" w:hAnsiTheme="minorHAnsi" w:eastAsiaTheme="minorEastAsia"/>
          <w:i/>
        </w:rPr>
      </w:pPr>
      <w:r w:rsidRPr="00D75194">
        <w:rPr>
          <w:rFonts w:asciiTheme="minorHAnsi" w:hAnsiTheme="minorHAnsi" w:eastAsiaTheme="minorEastAsia"/>
          <w:i/>
        </w:rPr>
        <w:t>“</w:t>
      </w:r>
      <w:r w:rsidRPr="00D75194" w:rsidR="0F7BFE5B">
        <w:rPr>
          <w:rFonts w:asciiTheme="minorHAnsi" w:hAnsiTheme="minorHAnsi" w:eastAsiaTheme="minorEastAsia"/>
          <w:i/>
        </w:rPr>
        <w:t>CASA not only facilitated attendance but also supported capacity-building efforts, providing young negotiators with essential training in negotiation processes, diplomacy, and country priorities</w:t>
      </w:r>
      <w:r w:rsidRPr="00D75194">
        <w:rPr>
          <w:rFonts w:asciiTheme="minorHAnsi" w:hAnsiTheme="minorHAnsi" w:eastAsiaTheme="minorEastAsia"/>
          <w:i/>
        </w:rPr>
        <w:t>”</w:t>
      </w:r>
    </w:p>
    <w:p w:rsidRPr="00D75194" w:rsidR="00CC07FA" w:rsidP="005535E7" w:rsidRDefault="00B0635C" w14:paraId="65AF85CC" w14:textId="4DB84A3D">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TP</w:t>
      </w:r>
    </w:p>
    <w:p w:rsidRPr="00D75194" w:rsidR="0F7BFE5B" w:rsidP="00CC07FA" w:rsidRDefault="00CC07FA" w14:paraId="2B4CF1D6" w14:textId="312183CF">
      <w:pPr>
        <w:spacing w:after="160" w:line="276" w:lineRule="auto"/>
        <w:rPr>
          <w:rFonts w:asciiTheme="minorHAnsi" w:hAnsiTheme="minorHAnsi" w:eastAsiaTheme="minorEastAsia"/>
          <w:i/>
        </w:rPr>
      </w:pPr>
      <w:r w:rsidRPr="00D75194">
        <w:rPr>
          <w:rFonts w:asciiTheme="minorHAnsi" w:hAnsiTheme="minorHAnsi" w:eastAsiaTheme="minorEastAsia"/>
          <w:i/>
        </w:rPr>
        <w:t>“</w:t>
      </w:r>
      <w:r w:rsidRPr="00D75194" w:rsidR="0F7BFE5B">
        <w:rPr>
          <w:rFonts w:asciiTheme="minorHAnsi" w:hAnsiTheme="minorHAnsi" w:eastAsiaTheme="minorEastAsia"/>
          <w:i/>
        </w:rPr>
        <w:t>CASA organised a one-week intensive training that provided young negotiators with a deep understanding of the negotiation process, diplomacy, and country priorities. This was more comprehensive than previous training efforts, which had been broader but lacked depth.</w:t>
      </w:r>
      <w:r w:rsidRPr="00D75194">
        <w:rPr>
          <w:rFonts w:asciiTheme="minorHAnsi" w:hAnsiTheme="minorHAnsi" w:eastAsiaTheme="minorEastAsia"/>
          <w:i/>
        </w:rPr>
        <w:t>”</w:t>
      </w:r>
    </w:p>
    <w:p w:rsidRPr="00D75194" w:rsidR="00CC07FA" w:rsidP="005535E7" w:rsidRDefault="003E24C6" w14:paraId="06EC1FAD" w14:textId="77C47341">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TP</w:t>
      </w:r>
    </w:p>
    <w:p w:rsidRPr="00D75194" w:rsidR="0F7BFE5B" w:rsidP="00CC07FA" w:rsidRDefault="00CC07FA" w14:paraId="6B1E8276" w14:textId="253815B3">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0F7BFE5B">
        <w:rPr>
          <w:rFonts w:asciiTheme="minorHAnsi" w:hAnsiTheme="minorHAnsi" w:eastAsiaTheme="minorEastAsia"/>
          <w:i/>
          <w:iCs/>
        </w:rPr>
        <w:t>At COP29, one of the countries mentioned that during the AOC's group meetings in the morning, half the room was filled with CYNP-trained negotiators</w:t>
      </w:r>
      <w:r w:rsidR="0081333A">
        <w:rPr>
          <w:rFonts w:asciiTheme="minorHAnsi" w:hAnsiTheme="minorHAnsi" w:eastAsiaTheme="minorEastAsia"/>
          <w:i/>
          <w:iCs/>
        </w:rPr>
        <w:t xml:space="preserve"> [</w:t>
      </w:r>
      <w:r w:rsidRPr="006B6454" w:rsidR="006B6454">
        <w:rPr>
          <w:rFonts w:asciiTheme="minorHAnsi" w:hAnsiTheme="minorHAnsi" w:eastAsiaTheme="minorEastAsia"/>
          <w:i/>
          <w:iCs/>
        </w:rPr>
        <w:t>Climate Youth Negotiator Programme</w:t>
      </w:r>
      <w:r w:rsidR="0081333A">
        <w:rPr>
          <w:rFonts w:asciiTheme="minorHAnsi" w:hAnsiTheme="minorHAnsi" w:eastAsiaTheme="minorEastAsia"/>
          <w:i/>
          <w:iCs/>
        </w:rPr>
        <w:t>]</w:t>
      </w:r>
      <w:r w:rsidRPr="00D75194" w:rsidR="0F7BFE5B">
        <w:rPr>
          <w:rFonts w:asciiTheme="minorHAnsi" w:hAnsiTheme="minorHAnsi" w:eastAsiaTheme="minorEastAsia"/>
          <w:i/>
          <w:iCs/>
        </w:rPr>
        <w:t>. This feedback from heads of delegations highlights the growing trust in CYNP-trained negotiators among parties. It is enabling countries to include more young people in their negotiating teams and better represent themselves. By providing fully trained negotiators who can start immediately, CYNP is particularly beneficial for more climate-vulnerable countries.</w:t>
      </w:r>
      <w:r w:rsidRPr="00D75194">
        <w:rPr>
          <w:rFonts w:asciiTheme="minorHAnsi" w:hAnsiTheme="minorHAnsi" w:eastAsiaTheme="minorEastAsia"/>
          <w:i/>
          <w:iCs/>
        </w:rPr>
        <w:t>”</w:t>
      </w:r>
    </w:p>
    <w:p w:rsidRPr="00D75194" w:rsidR="00CC07FA" w:rsidP="005535E7" w:rsidRDefault="004F1399" w14:paraId="70E12DC1" w14:textId="087372F3">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TP</w:t>
      </w:r>
    </w:p>
    <w:p w:rsidRPr="00D75194" w:rsidR="0F7BFE5B" w:rsidP="00CC07FA" w:rsidRDefault="00CC07FA" w14:paraId="55C56A79" w14:textId="30BE69AC">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0F7BFE5B">
        <w:rPr>
          <w:rFonts w:asciiTheme="minorHAnsi" w:hAnsiTheme="minorHAnsi" w:eastAsiaTheme="minorEastAsia"/>
          <w:i/>
          <w:iCs/>
        </w:rPr>
        <w:t>Young negotiators became better integrated into official national delegations, allowing them to contribute to real-time decision-making rather than being passive observers.</w:t>
      </w:r>
      <w:r w:rsidRPr="00D75194">
        <w:rPr>
          <w:rFonts w:asciiTheme="minorHAnsi" w:hAnsiTheme="minorHAnsi" w:eastAsiaTheme="minorEastAsia"/>
          <w:i/>
          <w:iCs/>
        </w:rPr>
        <w:t>”</w:t>
      </w:r>
    </w:p>
    <w:p w:rsidRPr="00D75194" w:rsidR="00CC07FA" w:rsidP="006A665A" w:rsidRDefault="00FE5617" w14:paraId="4F0C59AB" w14:textId="7BC2C566">
      <w:pPr>
        <w:pStyle w:val="ListParagraph"/>
        <w:numPr>
          <w:ilvl w:val="0"/>
          <w:numId w:val="35"/>
        </w:numPr>
        <w:spacing w:after="160" w:line="276" w:lineRule="auto"/>
        <w:jc w:val="right"/>
        <w:rPr>
          <w:rFonts w:asciiTheme="minorHAnsi" w:hAnsiTheme="minorHAnsi" w:eastAsiaTheme="minorEastAsia"/>
          <w:i/>
          <w:iCs/>
        </w:rPr>
      </w:pPr>
      <w:r w:rsidRPr="00D75194">
        <w:rPr>
          <w:rFonts w:asciiTheme="minorHAnsi" w:hAnsiTheme="minorHAnsi" w:eastAsiaTheme="minorEastAsia"/>
        </w:rPr>
        <w:t>TP</w:t>
      </w:r>
    </w:p>
    <w:p w:rsidRPr="008F4C56" w:rsidR="00FE4BF8" w:rsidP="00FE4BF8" w:rsidRDefault="00A7651B" w14:paraId="61FD6E0A" w14:textId="083EB836">
      <w:pPr>
        <w:spacing w:after="160" w:line="276" w:lineRule="auto"/>
        <w:rPr>
          <w:rFonts w:asciiTheme="minorHAnsi" w:hAnsiTheme="minorHAnsi" w:eastAsiaTheme="minorEastAsia"/>
        </w:rPr>
      </w:pPr>
      <w:r w:rsidRPr="00D75194">
        <w:rPr>
          <w:rFonts w:asciiTheme="minorHAnsi" w:hAnsiTheme="minorHAnsi" w:eastAsiaTheme="minorEastAsia"/>
        </w:rPr>
        <w:t xml:space="preserve">Several </w:t>
      </w:r>
      <w:r w:rsidRPr="00D75194" w:rsidR="0F7BFE5B">
        <w:rPr>
          <w:rFonts w:asciiTheme="minorHAnsi" w:hAnsiTheme="minorHAnsi" w:eastAsiaTheme="minorEastAsia"/>
        </w:rPr>
        <w:t xml:space="preserve">TPs offered views that </w:t>
      </w:r>
      <w:r w:rsidR="00A43C93">
        <w:rPr>
          <w:rFonts w:asciiTheme="minorHAnsi" w:hAnsiTheme="minorHAnsi" w:eastAsiaTheme="minorEastAsia"/>
        </w:rPr>
        <w:t>were</w:t>
      </w:r>
      <w:r w:rsidRPr="00D75194" w:rsidR="0F7BFE5B">
        <w:rPr>
          <w:rFonts w:asciiTheme="minorHAnsi" w:hAnsiTheme="minorHAnsi" w:eastAsiaTheme="minorEastAsia"/>
        </w:rPr>
        <w:t xml:space="preserve"> even more assertive </w:t>
      </w:r>
      <w:r w:rsidRPr="00D75194" w:rsidR="007C12F2">
        <w:rPr>
          <w:rFonts w:asciiTheme="minorHAnsi" w:hAnsiTheme="minorHAnsi" w:eastAsiaTheme="minorEastAsia"/>
        </w:rPr>
        <w:t xml:space="preserve">regarding </w:t>
      </w:r>
      <w:r w:rsidRPr="00D75194" w:rsidR="0F7BFE5B">
        <w:rPr>
          <w:rFonts w:asciiTheme="minorHAnsi" w:hAnsiTheme="minorHAnsi" w:eastAsiaTheme="minorEastAsia"/>
        </w:rPr>
        <w:t xml:space="preserve">the way </w:t>
      </w:r>
      <w:r w:rsidRPr="00D75194" w:rsidR="007C12F2">
        <w:rPr>
          <w:rFonts w:asciiTheme="minorHAnsi" w:hAnsiTheme="minorHAnsi" w:eastAsiaTheme="minorEastAsia"/>
        </w:rPr>
        <w:t xml:space="preserve">CASA </w:t>
      </w:r>
      <w:r w:rsidRPr="00D75194" w:rsidR="0F7BFE5B">
        <w:rPr>
          <w:rFonts w:asciiTheme="minorHAnsi" w:hAnsiTheme="minorHAnsi" w:eastAsiaTheme="minorEastAsia"/>
        </w:rPr>
        <w:t xml:space="preserve">supported negotiators and groups </w:t>
      </w:r>
      <w:r w:rsidRPr="00D75194" w:rsidR="007C12F2">
        <w:rPr>
          <w:rFonts w:asciiTheme="minorHAnsi" w:hAnsiTheme="minorHAnsi" w:eastAsiaTheme="minorEastAsia"/>
        </w:rPr>
        <w:t xml:space="preserve">to </w:t>
      </w:r>
      <w:r w:rsidRPr="00D75194" w:rsidR="0F7BFE5B">
        <w:rPr>
          <w:rFonts w:asciiTheme="minorHAnsi" w:hAnsiTheme="minorHAnsi" w:eastAsiaTheme="minorEastAsia"/>
        </w:rPr>
        <w:t xml:space="preserve">show up to negotiations </w:t>
      </w:r>
      <w:r w:rsidRPr="00D75194" w:rsidR="0054131F">
        <w:rPr>
          <w:rFonts w:asciiTheme="minorHAnsi" w:hAnsiTheme="minorHAnsi" w:eastAsiaTheme="minorEastAsia"/>
        </w:rPr>
        <w:t xml:space="preserve">and </w:t>
      </w:r>
      <w:r w:rsidRPr="00D75194" w:rsidR="0F7BFE5B">
        <w:rPr>
          <w:rFonts w:asciiTheme="minorHAnsi" w:hAnsiTheme="minorHAnsi" w:eastAsiaTheme="minorEastAsia"/>
        </w:rPr>
        <w:t xml:space="preserve">present their views and </w:t>
      </w:r>
      <w:r w:rsidRPr="00D75194" w:rsidR="00B712A1">
        <w:rPr>
          <w:rFonts w:asciiTheme="minorHAnsi" w:hAnsiTheme="minorHAnsi" w:eastAsiaTheme="minorEastAsia"/>
        </w:rPr>
        <w:t>opinions, setting</w:t>
      </w:r>
      <w:r w:rsidRPr="00D75194" w:rsidR="0F7BFE5B">
        <w:rPr>
          <w:rFonts w:asciiTheme="minorHAnsi" w:hAnsiTheme="minorHAnsi" w:eastAsiaTheme="minorEastAsia"/>
        </w:rPr>
        <w:t xml:space="preserve"> them </w:t>
      </w:r>
      <w:r w:rsidRPr="3F67ADE5" w:rsidR="007C12F2">
        <w:rPr>
          <w:rFonts w:asciiTheme="minorHAnsi" w:hAnsiTheme="minorHAnsi" w:eastAsiaTheme="minorEastAsia"/>
        </w:rPr>
        <w:t>“</w:t>
      </w:r>
      <w:r w:rsidRPr="00D75194" w:rsidR="0F7BFE5B">
        <w:rPr>
          <w:rFonts w:asciiTheme="minorHAnsi" w:hAnsiTheme="minorHAnsi" w:eastAsiaTheme="minorEastAsia"/>
        </w:rPr>
        <w:t xml:space="preserve">on the </w:t>
      </w:r>
      <w:r w:rsidRPr="5C62F8C9" w:rsidR="00181469">
        <w:rPr>
          <w:rFonts w:asciiTheme="minorHAnsi" w:hAnsiTheme="minorHAnsi" w:eastAsiaTheme="minorEastAsia"/>
        </w:rPr>
        <w:t>front foot</w:t>
      </w:r>
      <w:r w:rsidRPr="00D75194" w:rsidR="007C12F2">
        <w:rPr>
          <w:rFonts w:asciiTheme="minorHAnsi" w:hAnsiTheme="minorHAnsi" w:eastAsiaTheme="minorEastAsia"/>
        </w:rPr>
        <w:t xml:space="preserve">” </w:t>
      </w:r>
      <w:r w:rsidRPr="00D75194" w:rsidR="0F7BFE5B">
        <w:rPr>
          <w:rFonts w:asciiTheme="minorHAnsi" w:hAnsiTheme="minorHAnsi" w:eastAsiaTheme="minorEastAsia"/>
        </w:rPr>
        <w:t xml:space="preserve">for truly meaningful participation. </w:t>
      </w:r>
      <w:r w:rsidR="00FE4BF8">
        <w:rPr>
          <w:rFonts w:asciiTheme="minorHAnsi" w:hAnsiTheme="minorHAnsi" w:eastAsiaTheme="minorEastAsia"/>
        </w:rPr>
        <w:t xml:space="preserve"> </w:t>
      </w:r>
    </w:p>
    <w:p w:rsidRPr="00D75194" w:rsidR="0F7BFE5B" w:rsidP="3871CE7F" w:rsidRDefault="00FE4BF8" w14:paraId="281457F4" w14:textId="2FBEB346">
      <w:pPr>
        <w:spacing w:after="160" w:line="276" w:lineRule="auto"/>
        <w:rPr>
          <w:rFonts w:asciiTheme="minorHAnsi" w:hAnsiTheme="minorHAnsi" w:eastAsiaTheme="minorEastAsia"/>
        </w:rPr>
      </w:pPr>
      <w:r>
        <w:rPr>
          <w:rFonts w:asciiTheme="minorHAnsi" w:hAnsiTheme="minorHAnsi" w:eastAsiaTheme="minorEastAsia"/>
        </w:rPr>
        <w:t xml:space="preserve"> </w:t>
      </w:r>
    </w:p>
    <w:p w:rsidRPr="00D75194" w:rsidR="0F7BFE5B" w:rsidP="00CC07FA" w:rsidRDefault="00CC07FA" w14:paraId="18BC9BDE" w14:textId="1DA98DE5">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0F7BFE5B">
        <w:rPr>
          <w:rFonts w:asciiTheme="minorHAnsi" w:hAnsiTheme="minorHAnsi" w:eastAsiaTheme="minorEastAsia"/>
          <w:i/>
          <w:iCs/>
        </w:rPr>
        <w:t>If you're the one submitting proposals, you're shaping the narrative in the room. You're shaping the discussion, and everyone has to be in a reactive position and that puts you in a very strong position and I could see the LDC Group be that in a lot of [negotiating] rooms</w:t>
      </w:r>
      <w:r w:rsidRPr="00D75194" w:rsidR="00BE7829">
        <w:rPr>
          <w:rFonts w:asciiTheme="minorHAnsi" w:hAnsiTheme="minorHAnsi" w:eastAsiaTheme="minorEastAsia"/>
          <w:i/>
          <w:iCs/>
        </w:rPr>
        <w:t>—</w:t>
      </w:r>
      <w:r w:rsidRPr="00D75194" w:rsidR="0F7BFE5B">
        <w:rPr>
          <w:rFonts w:asciiTheme="minorHAnsi" w:hAnsiTheme="minorHAnsi" w:eastAsiaTheme="minorEastAsia"/>
          <w:i/>
          <w:iCs/>
        </w:rPr>
        <w:t xml:space="preserve">being the ones proposing ideas and forcing people to engage with their ideas, rather than the other way around. And I think in a way that's </w:t>
      </w:r>
      <w:proofErr w:type="gramStart"/>
      <w:r w:rsidRPr="00D75194" w:rsidR="0F7BFE5B">
        <w:rPr>
          <w:rFonts w:asciiTheme="minorHAnsi" w:hAnsiTheme="minorHAnsi" w:eastAsiaTheme="minorEastAsia"/>
          <w:i/>
          <w:iCs/>
        </w:rPr>
        <w:t>definitely making</w:t>
      </w:r>
      <w:proofErr w:type="gramEnd"/>
      <w:r w:rsidRPr="00D75194" w:rsidR="0F7BFE5B">
        <w:rPr>
          <w:rFonts w:asciiTheme="minorHAnsi" w:hAnsiTheme="minorHAnsi" w:eastAsiaTheme="minorEastAsia"/>
          <w:i/>
          <w:iCs/>
        </w:rPr>
        <w:t xml:space="preserve"> the process fairer in a sense that the views of those vulnerable communities and countries are being considered and are shaping the agenda.</w:t>
      </w:r>
      <w:r w:rsidRPr="00D75194">
        <w:rPr>
          <w:rFonts w:asciiTheme="minorHAnsi" w:hAnsiTheme="minorHAnsi" w:eastAsiaTheme="minorEastAsia"/>
          <w:i/>
          <w:iCs/>
        </w:rPr>
        <w:t>”</w:t>
      </w:r>
    </w:p>
    <w:p w:rsidRPr="00D75194" w:rsidR="00CC07FA" w:rsidP="005535E7" w:rsidRDefault="0075219A" w14:paraId="70319C92" w14:textId="078C034C">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CASA-supported person</w:t>
      </w:r>
    </w:p>
    <w:p w:rsidRPr="00D75194" w:rsidR="0F7BFE5B" w:rsidP="00CC07FA" w:rsidRDefault="00CC07FA" w14:paraId="63468EFA" w14:textId="74256673">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0F7BFE5B">
        <w:rPr>
          <w:rFonts w:asciiTheme="minorHAnsi" w:hAnsiTheme="minorHAnsi" w:eastAsiaTheme="minorEastAsia"/>
          <w:i/>
          <w:iCs/>
        </w:rPr>
        <w:t xml:space="preserve">Without CASA support they can’t participate at these negotiations. A lot of developing countries face a limited number of people they can engage, and the negotiations process become </w:t>
      </w:r>
      <w:proofErr w:type="gramStart"/>
      <w:r w:rsidRPr="00D75194" w:rsidR="0F7BFE5B">
        <w:rPr>
          <w:rFonts w:asciiTheme="minorHAnsi" w:hAnsiTheme="minorHAnsi" w:eastAsiaTheme="minorEastAsia"/>
          <w:i/>
          <w:iCs/>
        </w:rPr>
        <w:t>more and more</w:t>
      </w:r>
      <w:proofErr w:type="gramEnd"/>
      <w:r w:rsidRPr="00D75194" w:rsidR="0F7BFE5B">
        <w:rPr>
          <w:rFonts w:asciiTheme="minorHAnsi" w:hAnsiTheme="minorHAnsi" w:eastAsiaTheme="minorEastAsia"/>
          <w:i/>
          <w:iCs/>
        </w:rPr>
        <w:t xml:space="preserve"> complicated across all these themes and technical aspects, and you need someone who can speak on each aspect. </w:t>
      </w:r>
      <w:r w:rsidRPr="00D75194" w:rsidR="00D12A38">
        <w:rPr>
          <w:rFonts w:asciiTheme="minorHAnsi" w:hAnsiTheme="minorHAnsi" w:eastAsiaTheme="minorEastAsia"/>
          <w:i/>
          <w:iCs/>
        </w:rPr>
        <w:t>So,</w:t>
      </w:r>
      <w:r w:rsidRPr="00D75194" w:rsidR="0F7BFE5B">
        <w:rPr>
          <w:rFonts w:asciiTheme="minorHAnsi" w:hAnsiTheme="minorHAnsi" w:eastAsiaTheme="minorEastAsia"/>
          <w:i/>
          <w:iCs/>
        </w:rPr>
        <w:t xml:space="preserve"> it’s difficult for developing countries to have the level of delegates and advisors to engage in a meaningful way.</w:t>
      </w:r>
      <w:r w:rsidRPr="00D75194">
        <w:rPr>
          <w:rFonts w:asciiTheme="minorHAnsi" w:hAnsiTheme="minorHAnsi" w:eastAsiaTheme="minorEastAsia"/>
          <w:i/>
          <w:iCs/>
        </w:rPr>
        <w:t>”</w:t>
      </w:r>
    </w:p>
    <w:p w:rsidRPr="00D75194" w:rsidR="00CC07FA" w:rsidP="005535E7" w:rsidRDefault="00295948" w14:paraId="5FAB2394" w14:textId="482D9639">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TP</w:t>
      </w:r>
    </w:p>
    <w:p w:rsidRPr="00D75194" w:rsidR="3871CE7F" w:rsidP="00CC07FA" w:rsidRDefault="00CC07FA" w14:paraId="762D704B" w14:textId="050E1F06">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0F7BFE5B">
        <w:rPr>
          <w:rFonts w:asciiTheme="minorHAnsi" w:hAnsiTheme="minorHAnsi" w:eastAsiaTheme="minorEastAsia"/>
          <w:i/>
          <w:iCs/>
        </w:rPr>
        <w:t xml:space="preserve">Yes, but there is a long way to go from a fairness perspective. Because although every country in theory has the same voice in negotiations, within the </w:t>
      </w:r>
      <w:r w:rsidRPr="3F67ADE5" w:rsidR="00E354E5">
        <w:rPr>
          <w:rFonts w:asciiTheme="minorHAnsi" w:hAnsiTheme="minorHAnsi" w:eastAsiaTheme="minorEastAsia"/>
          <w:i/>
          <w:iCs/>
        </w:rPr>
        <w:t>g</w:t>
      </w:r>
      <w:r w:rsidRPr="3F67ADE5" w:rsidR="0F7BFE5B">
        <w:rPr>
          <w:rFonts w:asciiTheme="minorHAnsi" w:hAnsiTheme="minorHAnsi" w:eastAsiaTheme="minorEastAsia"/>
          <w:i/>
          <w:iCs/>
        </w:rPr>
        <w:t>roups</w:t>
      </w:r>
      <w:r w:rsidRPr="00D75194" w:rsidR="0F7BFE5B">
        <w:rPr>
          <w:rFonts w:asciiTheme="minorHAnsi" w:hAnsiTheme="minorHAnsi" w:eastAsiaTheme="minorEastAsia"/>
          <w:i/>
          <w:iCs/>
        </w:rPr>
        <w:t xml:space="preserve">, some countries have more capacity and funding and voice. This is the first time </w:t>
      </w:r>
      <w:r w:rsidRPr="00D75194" w:rsidR="00690A66">
        <w:rPr>
          <w:rFonts w:asciiTheme="minorHAnsi" w:hAnsiTheme="minorHAnsi" w:eastAsiaTheme="minorEastAsia"/>
          <w:i/>
          <w:iCs/>
        </w:rPr>
        <w:t xml:space="preserve">Practical Action </w:t>
      </w:r>
      <w:r w:rsidRPr="00D75194" w:rsidR="0F7BFE5B">
        <w:rPr>
          <w:rFonts w:asciiTheme="minorHAnsi" w:hAnsiTheme="minorHAnsi" w:eastAsiaTheme="minorEastAsia"/>
          <w:i/>
          <w:iCs/>
        </w:rPr>
        <w:t xml:space="preserve">saw Nepal go to all the </w:t>
      </w:r>
      <w:r w:rsidRPr="2136CAF7" w:rsidR="20A315FB">
        <w:rPr>
          <w:rFonts w:asciiTheme="minorHAnsi" w:hAnsiTheme="minorHAnsi" w:eastAsiaTheme="minorEastAsia"/>
          <w:i/>
          <w:iCs/>
        </w:rPr>
        <w:t>meetings</w:t>
      </w:r>
      <w:r w:rsidRPr="2136CAF7" w:rsidR="0F7BFE5B">
        <w:rPr>
          <w:rFonts w:asciiTheme="minorHAnsi" w:hAnsiTheme="minorHAnsi" w:eastAsiaTheme="minorEastAsia"/>
          <w:i/>
          <w:iCs/>
        </w:rPr>
        <w:t xml:space="preserve"> </w:t>
      </w:r>
      <w:r w:rsidRPr="00D75194" w:rsidR="009F6DDC">
        <w:rPr>
          <w:rFonts w:asciiTheme="minorHAnsi" w:hAnsiTheme="minorHAnsi" w:eastAsiaTheme="minorEastAsia"/>
          <w:i/>
          <w:iCs/>
        </w:rPr>
        <w:t xml:space="preserve">it </w:t>
      </w:r>
      <w:r w:rsidRPr="00D75194" w:rsidR="0F7BFE5B">
        <w:rPr>
          <w:rFonts w:asciiTheme="minorHAnsi" w:hAnsiTheme="minorHAnsi" w:eastAsiaTheme="minorEastAsia"/>
          <w:i/>
          <w:iCs/>
        </w:rPr>
        <w:t>expected them t</w:t>
      </w:r>
      <w:r w:rsidRPr="00D75194" w:rsidDel="009F6DDC" w:rsidR="0F7BFE5B">
        <w:rPr>
          <w:rFonts w:asciiTheme="minorHAnsi" w:hAnsiTheme="minorHAnsi" w:eastAsiaTheme="minorEastAsia"/>
          <w:i/>
          <w:iCs/>
        </w:rPr>
        <w:t>o</w:t>
      </w:r>
      <w:r w:rsidRPr="00D75194" w:rsidR="0F7BFE5B">
        <w:rPr>
          <w:rFonts w:asciiTheme="minorHAnsi" w:hAnsiTheme="minorHAnsi" w:eastAsiaTheme="minorEastAsia"/>
          <w:i/>
          <w:iCs/>
        </w:rPr>
        <w:t xml:space="preserve">, where previously other countries would be in the important meetings that Nepal should have been. Nepal has become much more engaged in the debates they need to be </w:t>
      </w:r>
      <w:proofErr w:type="gramStart"/>
      <w:r w:rsidRPr="00D75194" w:rsidR="0F7BFE5B">
        <w:rPr>
          <w:rFonts w:asciiTheme="minorHAnsi" w:hAnsiTheme="minorHAnsi" w:eastAsiaTheme="minorEastAsia"/>
          <w:i/>
          <w:iCs/>
        </w:rPr>
        <w:t>in</w:t>
      </w:r>
      <w:r w:rsidRPr="00BB6715" w:rsidR="0F7BFE5B">
        <w:rPr>
          <w:rFonts w:asciiTheme="minorHAnsi" w:hAnsiTheme="minorHAnsi" w:eastAsiaTheme="minorEastAsia"/>
          <w:i/>
          <w:iCs/>
        </w:rPr>
        <w:t>..</w:t>
      </w:r>
      <w:proofErr w:type="gramEnd"/>
      <w:r w:rsidRPr="00BB6715">
        <w:rPr>
          <w:rFonts w:asciiTheme="minorHAnsi" w:hAnsiTheme="minorHAnsi" w:eastAsiaTheme="minorEastAsia"/>
          <w:i/>
          <w:iCs/>
        </w:rPr>
        <w:t>”</w:t>
      </w:r>
    </w:p>
    <w:p w:rsidRPr="00E54A67" w:rsidR="232246BC" w:rsidP="00E54A67" w:rsidRDefault="009F4C15" w14:paraId="31E8C147" w14:textId="76C5CB00">
      <w:pPr>
        <w:pStyle w:val="ListParagraph"/>
        <w:numPr>
          <w:ilvl w:val="0"/>
          <w:numId w:val="35"/>
        </w:numPr>
        <w:spacing w:line="276" w:lineRule="auto"/>
        <w:jc w:val="right"/>
        <w:rPr>
          <w:rFonts w:asciiTheme="minorHAnsi" w:hAnsiTheme="minorHAnsi" w:eastAsiaTheme="minorEastAsia"/>
        </w:rPr>
      </w:pPr>
      <w:r w:rsidRPr="00D75194">
        <w:rPr>
          <w:rFonts w:asciiTheme="minorHAnsi" w:hAnsiTheme="minorHAnsi" w:eastAsiaTheme="minorEastAsia"/>
        </w:rPr>
        <w:t>TP</w:t>
      </w:r>
    </w:p>
    <w:p w:rsidRPr="00D75194" w:rsidR="00DB5BDD" w:rsidP="00DD6E3E" w:rsidRDefault="004223DE" w14:paraId="44DB63AA" w14:textId="4355F659">
      <w:pPr>
        <w:pStyle w:val="Heading3"/>
        <w:numPr>
          <w:ilvl w:val="0"/>
          <w:numId w:val="0"/>
        </w:numPr>
      </w:pPr>
      <w:bookmarkStart w:name="_Toc204259838" w:id="97"/>
      <w:r w:rsidRPr="00D75194">
        <w:t xml:space="preserve">EQ </w:t>
      </w:r>
      <w:r w:rsidRPr="00D75194" w:rsidR="00DB5BDD">
        <w:t>5.3: To what extent are national actors able to implement international commitments made at a domestic level?</w:t>
      </w:r>
      <w:bookmarkEnd w:id="97"/>
      <w:r w:rsidRPr="00D75194" w:rsidR="00DB5BDD">
        <w:t> </w:t>
      </w:r>
    </w:p>
    <w:p w:rsidRPr="00D75194" w:rsidR="00DB5BDD" w:rsidP="00DB5BDD" w:rsidRDefault="00184CC7" w14:paraId="0D1B885F" w14:textId="13652023">
      <w:pPr>
        <w:rPr>
          <w:rFonts w:asciiTheme="minorHAnsi" w:hAnsiTheme="minorHAnsi" w:cstheme="minorHAnsi"/>
        </w:rPr>
      </w:pPr>
      <w:r>
        <w:br/>
      </w:r>
      <w:r w:rsidRPr="00D75194" w:rsidR="00DB5BDD">
        <w:rPr>
          <w:rFonts w:asciiTheme="minorHAnsi" w:hAnsiTheme="minorHAnsi" w:cstheme="minorHAnsi"/>
          <w:b/>
        </w:rPr>
        <w:t xml:space="preserve">There is </w:t>
      </w:r>
      <w:r w:rsidRPr="00D75194" w:rsidR="00E874F0">
        <w:rPr>
          <w:rFonts w:asciiTheme="minorHAnsi" w:hAnsiTheme="minorHAnsi" w:cstheme="minorHAnsi"/>
          <w:b/>
        </w:rPr>
        <w:t>‘</w:t>
      </w:r>
      <w:r w:rsidRPr="3F67ADE5" w:rsidR="00DB5BDD">
        <w:rPr>
          <w:rFonts w:asciiTheme="minorHAnsi" w:hAnsiTheme="minorHAnsi"/>
          <w:b/>
        </w:rPr>
        <w:t>some evidence</w:t>
      </w:r>
      <w:r w:rsidRPr="00D75194" w:rsidR="00E874F0">
        <w:rPr>
          <w:rFonts w:asciiTheme="minorHAnsi" w:hAnsiTheme="minorHAnsi" w:cstheme="minorHAnsi"/>
          <w:b/>
        </w:rPr>
        <w:t>’</w:t>
      </w:r>
      <w:r w:rsidRPr="00D75194" w:rsidR="00DB5BDD">
        <w:rPr>
          <w:rFonts w:asciiTheme="minorHAnsi" w:hAnsiTheme="minorHAnsi" w:cstheme="minorHAnsi"/>
          <w:b/>
        </w:rPr>
        <w:t xml:space="preserve"> of CASA making </w:t>
      </w:r>
      <w:r w:rsidRPr="00D75194" w:rsidR="00E874F0">
        <w:rPr>
          <w:rFonts w:asciiTheme="minorHAnsi" w:hAnsiTheme="minorHAnsi" w:cstheme="minorHAnsi"/>
          <w:b/>
        </w:rPr>
        <w:t>‘</w:t>
      </w:r>
      <w:r w:rsidRPr="3F67ADE5" w:rsidR="00DB5BDD">
        <w:rPr>
          <w:rFonts w:asciiTheme="minorHAnsi" w:hAnsiTheme="minorHAnsi"/>
          <w:b/>
        </w:rPr>
        <w:t>some contribution</w:t>
      </w:r>
      <w:r w:rsidRPr="00D75194" w:rsidR="00E874F0">
        <w:rPr>
          <w:rFonts w:asciiTheme="minorHAnsi" w:hAnsiTheme="minorHAnsi" w:cstheme="minorHAnsi"/>
          <w:b/>
        </w:rPr>
        <w:t>’</w:t>
      </w:r>
      <w:r w:rsidRPr="00D75194" w:rsidR="00DB5BDD">
        <w:rPr>
          <w:rFonts w:asciiTheme="minorHAnsi" w:hAnsiTheme="minorHAnsi" w:cstheme="minorHAnsi"/>
          <w:b/>
        </w:rPr>
        <w:t xml:space="preserve"> to enabling national actors to implement international commitments at the domestic level.</w:t>
      </w:r>
      <w:r w:rsidRPr="00D75194" w:rsidR="00DB5BDD">
        <w:rPr>
          <w:rFonts w:asciiTheme="minorHAnsi" w:hAnsiTheme="minorHAnsi" w:cstheme="minorHAnsi"/>
        </w:rPr>
        <w:t xml:space="preserve"> </w:t>
      </w:r>
      <w:r w:rsidRPr="00D75194" w:rsidR="002F4276">
        <w:rPr>
          <w:rFonts w:asciiTheme="minorHAnsi" w:hAnsiTheme="minorHAnsi" w:cstheme="minorHAnsi"/>
        </w:rPr>
        <w:t>As</w:t>
      </w:r>
      <w:r w:rsidRPr="00D75194" w:rsidR="00DB5BDD">
        <w:rPr>
          <w:rFonts w:asciiTheme="minorHAnsi" w:hAnsiTheme="minorHAnsi" w:cstheme="minorHAnsi"/>
        </w:rPr>
        <w:t xml:space="preserve"> this is a relatively recent area of focus for CASA, the accumulated evidence of its impact is still limited. There are indications, however, that CASA may be on course to make important contributions in the years ahead if its trajectory of support </w:t>
      </w:r>
      <w:r w:rsidRPr="00D75194" w:rsidR="004A1FFE">
        <w:rPr>
          <w:rFonts w:asciiTheme="minorHAnsi" w:hAnsiTheme="minorHAnsi" w:cstheme="minorHAnsi"/>
        </w:rPr>
        <w:t xml:space="preserve">remains </w:t>
      </w:r>
      <w:r w:rsidRPr="00D75194" w:rsidR="00DB5BDD">
        <w:rPr>
          <w:rFonts w:asciiTheme="minorHAnsi" w:hAnsiTheme="minorHAnsi" w:cstheme="minorHAnsi"/>
        </w:rPr>
        <w:t>consistent. There are specific activities that can be identified</w:t>
      </w:r>
      <w:r w:rsidRPr="00D75194" w:rsidR="004A1FFE">
        <w:rPr>
          <w:rFonts w:asciiTheme="minorHAnsi" w:hAnsiTheme="minorHAnsi" w:cstheme="minorHAnsi"/>
        </w:rPr>
        <w:t>,</w:t>
      </w:r>
      <w:r w:rsidRPr="00D75194" w:rsidR="00DB5BDD">
        <w:rPr>
          <w:rFonts w:asciiTheme="minorHAnsi" w:hAnsiTheme="minorHAnsi" w:cstheme="minorHAnsi"/>
        </w:rPr>
        <w:t xml:space="preserve"> </w:t>
      </w:r>
      <w:r w:rsidRPr="00D75194" w:rsidR="004A1FFE">
        <w:rPr>
          <w:rFonts w:asciiTheme="minorHAnsi" w:hAnsiTheme="minorHAnsi" w:cstheme="minorHAnsi"/>
        </w:rPr>
        <w:t xml:space="preserve">relating to </w:t>
      </w:r>
      <w:r w:rsidRPr="00D75194" w:rsidR="00DB5BDD">
        <w:rPr>
          <w:rFonts w:asciiTheme="minorHAnsi" w:hAnsiTheme="minorHAnsi" w:cstheme="minorHAnsi"/>
        </w:rPr>
        <w:t>LRI and the OF</w:t>
      </w:r>
      <w:r w:rsidRPr="00D75194" w:rsidR="004A1FFE">
        <w:rPr>
          <w:rFonts w:asciiTheme="minorHAnsi" w:hAnsiTheme="minorHAnsi" w:cstheme="minorHAnsi"/>
        </w:rPr>
        <w:t>,</w:t>
      </w:r>
      <w:r w:rsidRPr="00D75194" w:rsidR="00DB5BDD">
        <w:rPr>
          <w:rFonts w:asciiTheme="minorHAnsi" w:hAnsiTheme="minorHAnsi" w:cstheme="minorHAnsi"/>
        </w:rPr>
        <w:t xml:space="preserve"> that demonstrate CASA’s contribution to impact-level </w:t>
      </w:r>
      <w:r w:rsidRPr="00D75194" w:rsidR="00DB5BDD">
        <w:rPr>
          <w:rFonts w:asciiTheme="minorHAnsi" w:hAnsiTheme="minorHAnsi" w:cstheme="minorHAnsi"/>
        </w:rPr>
        <w:t>change through directly strengthening national actors’ ability to implement international commitments made at a domestic level.​</w:t>
      </w:r>
    </w:p>
    <w:p w:rsidRPr="00D75194" w:rsidR="00DB5BDD" w:rsidP="00DB5BDD" w:rsidRDefault="00DB5BDD" w14:paraId="744B5403" w14:textId="58700161">
      <w:pPr>
        <w:rPr>
          <w:rFonts w:asciiTheme="minorHAnsi" w:hAnsiTheme="minorHAnsi" w:cstheme="minorHAnsi"/>
        </w:rPr>
      </w:pPr>
      <w:r w:rsidRPr="00D75194">
        <w:rPr>
          <w:rFonts w:asciiTheme="minorHAnsi" w:hAnsiTheme="minorHAnsi" w:cstheme="minorHAnsi"/>
        </w:rPr>
        <w:t>LRI provided technical support to LDC</w:t>
      </w:r>
      <w:r w:rsidRPr="00D75194" w:rsidR="00DF08EF">
        <w:rPr>
          <w:rFonts w:asciiTheme="minorHAnsi" w:hAnsiTheme="minorHAnsi" w:cstheme="minorHAnsi"/>
        </w:rPr>
        <w:t>s</w:t>
      </w:r>
      <w:r w:rsidRPr="00D75194">
        <w:rPr>
          <w:rFonts w:asciiTheme="minorHAnsi" w:hAnsiTheme="minorHAnsi" w:cstheme="minorHAnsi"/>
        </w:rPr>
        <w:t xml:space="preserve"> and low-income countries on the legal obstacles for phasing out fossil fuels at the national level, in line with global targets. They assisted with the development of framework climate change laws in two countries in Africa and one in </w:t>
      </w:r>
      <w:r w:rsidRPr="00D75194" w:rsidR="00D12A38">
        <w:rPr>
          <w:rFonts w:asciiTheme="minorHAnsi" w:hAnsiTheme="minorHAnsi" w:cstheme="minorHAnsi"/>
        </w:rPr>
        <w:t>Asia and</w:t>
      </w:r>
      <w:r w:rsidRPr="00D75194">
        <w:rPr>
          <w:rFonts w:asciiTheme="minorHAnsi" w:hAnsiTheme="minorHAnsi" w:cstheme="minorHAnsi"/>
        </w:rPr>
        <w:t xml:space="preserve"> solicited perspectives from service users to develop materials/training on carbon markets. </w:t>
      </w:r>
    </w:p>
    <w:p w:rsidRPr="00D75194" w:rsidR="00DB5BDD" w:rsidP="19ADF92B" w:rsidRDefault="00DB5BDD" w14:paraId="08E2FD71" w14:textId="15B93767">
      <w:pPr>
        <w:spacing w:after="160" w:line="278" w:lineRule="auto"/>
        <w:rPr>
          <w:rFonts w:asciiTheme="minorHAnsi" w:hAnsiTheme="minorHAnsi"/>
        </w:rPr>
      </w:pPr>
      <w:r w:rsidRPr="00D75194">
        <w:rPr>
          <w:rFonts w:asciiTheme="minorHAnsi" w:hAnsiTheme="minorHAnsi"/>
        </w:rPr>
        <w:t xml:space="preserve">CASA’s funding through the </w:t>
      </w:r>
      <w:r w:rsidRPr="00D75194" w:rsidR="00F6006C">
        <w:rPr>
          <w:rFonts w:asciiTheme="minorHAnsi" w:hAnsiTheme="minorHAnsi"/>
        </w:rPr>
        <w:t>OF</w:t>
      </w:r>
      <w:r w:rsidRPr="00D75194">
        <w:rPr>
          <w:rFonts w:asciiTheme="minorHAnsi" w:hAnsiTheme="minorHAnsi"/>
        </w:rPr>
        <w:t xml:space="preserve"> enabled a group of TPs with strong existing relationships with the Government of Nepal to continue providing enabling and strengthening support to the government. The grantees spearheaded a consultative engagement process to inform the </w:t>
      </w:r>
      <w:r w:rsidRPr="3F67ADE5" w:rsidR="00836709">
        <w:rPr>
          <w:rFonts w:asciiTheme="minorHAnsi" w:hAnsiTheme="minorHAnsi"/>
        </w:rPr>
        <w:t>LAPAs</w:t>
      </w:r>
      <w:r w:rsidRPr="00D75194">
        <w:rPr>
          <w:rFonts w:asciiTheme="minorHAnsi" w:hAnsiTheme="minorHAnsi"/>
        </w:rPr>
        <w:t xml:space="preserve">, pushing forward the implementation of Nepal’s climate ambitions, as well as enabling the Nepali delegation to be present at </w:t>
      </w:r>
      <w:r w:rsidRPr="00D75194" w:rsidR="00E8345C">
        <w:rPr>
          <w:rFonts w:asciiTheme="minorHAnsi" w:hAnsiTheme="minorHAnsi"/>
        </w:rPr>
        <w:t xml:space="preserve">the </w:t>
      </w:r>
      <w:r w:rsidRPr="00D75194">
        <w:rPr>
          <w:rFonts w:asciiTheme="minorHAnsi" w:hAnsiTheme="minorHAnsi"/>
        </w:rPr>
        <w:t xml:space="preserve">UNFCCC through </w:t>
      </w:r>
      <w:r w:rsidRPr="3F67ADE5">
        <w:rPr>
          <w:rFonts w:asciiTheme="minorHAnsi" w:hAnsiTheme="minorHAnsi"/>
        </w:rPr>
        <w:t>NDC</w:t>
      </w:r>
      <w:r w:rsidRPr="00D75194">
        <w:rPr>
          <w:rFonts w:asciiTheme="minorHAnsi" w:hAnsiTheme="minorHAnsi"/>
        </w:rPr>
        <w:t xml:space="preserve"> 3.0 development consultations.</w:t>
      </w:r>
      <w:r w:rsidRPr="00D75194" w:rsidR="006B601D">
        <w:rPr>
          <w:rFonts w:asciiTheme="minorHAnsi" w:hAnsiTheme="minorHAnsi"/>
        </w:rPr>
        <w:t xml:space="preserve"> </w:t>
      </w:r>
    </w:p>
    <w:p w:rsidRPr="00D75194" w:rsidR="00DB5BDD" w:rsidP="00133547" w:rsidRDefault="00C72944" w14:paraId="2B20E0AB" w14:textId="1F6E988C">
      <w:pPr>
        <w:rPr>
          <w:rFonts w:asciiTheme="minorHAnsi" w:hAnsiTheme="minorHAnsi"/>
        </w:rPr>
      </w:pPr>
      <w:r w:rsidRPr="00D75194">
        <w:t>Thus</w:t>
      </w:r>
      <w:r w:rsidRPr="00D75194" w:rsidR="00DB5BDD">
        <w:t xml:space="preserve">, while there are clear examples of </w:t>
      </w:r>
      <w:r w:rsidRPr="00D75194" w:rsidR="002B2A68">
        <w:t xml:space="preserve">the </w:t>
      </w:r>
      <w:r w:rsidRPr="00D75194" w:rsidR="00DB5BDD">
        <w:t>germinating effects of CASA’s support to the implementation of international commitments at a domestic level, these are not widespread and</w:t>
      </w:r>
      <w:r w:rsidRPr="00D75194" w:rsidR="00F87705">
        <w:t xml:space="preserve"> are</w:t>
      </w:r>
      <w:r w:rsidRPr="00D75194" w:rsidR="00DB5BDD">
        <w:t xml:space="preserve"> general</w:t>
      </w:r>
      <w:r w:rsidRPr="00D75194" w:rsidR="00F87705">
        <w:t>ly</w:t>
      </w:r>
      <w:r w:rsidRPr="00D75194" w:rsidR="00DB5BDD">
        <w:t xml:space="preserve"> still nascent. </w:t>
      </w:r>
      <w:r w:rsidRPr="00D75194">
        <w:t>However,</w:t>
      </w:r>
      <w:r w:rsidRPr="00D75194" w:rsidR="00DB5BDD">
        <w:t xml:space="preserve"> CASA has shown itself adept at aligning with the right partners that are already well-placed to maximise the added funding for catalytic and amplified effect. </w:t>
      </w:r>
      <w:r w:rsidRPr="00D75194" w:rsidR="38229BF9">
        <w:t xml:space="preserve">Future investments in this area for CASA should include ensuring </w:t>
      </w:r>
      <w:r w:rsidRPr="00D75194" w:rsidR="13627965">
        <w:rPr>
          <w:rFonts w:asciiTheme="minorHAnsi" w:hAnsiTheme="minorHAnsi"/>
        </w:rPr>
        <w:t>a</w:t>
      </w:r>
      <w:r w:rsidRPr="00D75194" w:rsidR="00DB5BDD">
        <w:rPr>
          <w:rFonts w:asciiTheme="minorHAnsi" w:hAnsiTheme="minorHAnsi"/>
        </w:rPr>
        <w:t xml:space="preserve"> stronger base of reporting by partners</w:t>
      </w:r>
      <w:r w:rsidRPr="00D75194" w:rsidR="6755823A">
        <w:rPr>
          <w:rFonts w:asciiTheme="minorHAnsi" w:hAnsiTheme="minorHAnsi"/>
        </w:rPr>
        <w:t>,</w:t>
      </w:r>
      <w:r w:rsidRPr="00D75194" w:rsidR="00DB5BDD">
        <w:rPr>
          <w:rFonts w:asciiTheme="minorHAnsi" w:hAnsiTheme="minorHAnsi"/>
        </w:rPr>
        <w:t xml:space="preserve"> and evaluative evidence</w:t>
      </w:r>
      <w:r w:rsidRPr="00D75194" w:rsidR="58B266EB">
        <w:rPr>
          <w:rFonts w:asciiTheme="minorHAnsi" w:hAnsiTheme="minorHAnsi"/>
        </w:rPr>
        <w:t>,</w:t>
      </w:r>
      <w:r w:rsidRPr="00D75194" w:rsidR="00DB5BDD">
        <w:rPr>
          <w:rFonts w:asciiTheme="minorHAnsi" w:hAnsiTheme="minorHAnsi"/>
        </w:rPr>
        <w:t xml:space="preserve"> to ensure progress in this area is understood and its impacts captured. </w:t>
      </w:r>
    </w:p>
    <w:p w:rsidRPr="00D75194" w:rsidR="00DB5BDD" w:rsidP="00184CC7" w:rsidRDefault="000B7B77" w14:paraId="05DF1CC7" w14:textId="18794DEF">
      <w:pPr>
        <w:pStyle w:val="Heading3"/>
        <w:numPr>
          <w:ilvl w:val="0"/>
          <w:numId w:val="0"/>
        </w:numPr>
      </w:pPr>
      <w:bookmarkStart w:name="_Toc204259839" w:id="98"/>
      <w:r w:rsidRPr="00D75194">
        <w:rPr>
          <w:rStyle w:val="normaltextrun"/>
          <w:rFonts w:eastAsia="Segoe UI" w:asciiTheme="minorHAnsi" w:hAnsiTheme="minorHAnsi"/>
          <w:color w:val="000000"/>
        </w:rPr>
        <w:t xml:space="preserve">EQ </w:t>
      </w:r>
      <w:r w:rsidRPr="00D75194" w:rsidR="00DB5BDD">
        <w:rPr>
          <w:rStyle w:val="normaltextrun"/>
          <w:rFonts w:eastAsia="Segoe UI" w:asciiTheme="minorHAnsi" w:hAnsiTheme="minorHAnsi"/>
          <w:color w:val="000000"/>
        </w:rPr>
        <w:t xml:space="preserve">5.4: What </w:t>
      </w:r>
      <w:r w:rsidRPr="3F67ADE5" w:rsidR="00DB5BDD">
        <w:rPr>
          <w:rStyle w:val="normaltextrun"/>
          <w:rFonts w:eastAsia="Segoe UI" w:asciiTheme="minorHAnsi" w:hAnsiTheme="minorHAnsi"/>
          <w:color w:val="000000"/>
        </w:rPr>
        <w:t>unintended impact</w:t>
      </w:r>
      <w:r w:rsidRPr="00D75194" w:rsidR="00DB5BDD">
        <w:rPr>
          <w:rStyle w:val="normaltextrun"/>
          <w:rFonts w:eastAsia="Segoe UI" w:asciiTheme="minorHAnsi" w:hAnsiTheme="minorHAnsi"/>
          <w:color w:val="000000"/>
        </w:rPr>
        <w:t>—both positive and negative—has the CASA II programme contributed to?</w:t>
      </w:r>
      <w:bookmarkEnd w:id="98"/>
      <w:r w:rsidRPr="00D75194" w:rsidR="00DB5BDD">
        <w:rPr>
          <w:rStyle w:val="normaltextrun"/>
          <w:rFonts w:eastAsia="Segoe UI" w:asciiTheme="minorHAnsi" w:hAnsiTheme="minorHAnsi"/>
          <w:color w:val="000000"/>
        </w:rPr>
        <w:t> </w:t>
      </w:r>
    </w:p>
    <w:p w:rsidRPr="00D75194" w:rsidR="7CF6082A" w:rsidP="0262444F" w:rsidRDefault="00184CC7" w14:paraId="03E845BE" w14:textId="51F999FD">
      <w:pPr>
        <w:rPr>
          <w:rFonts w:asciiTheme="minorHAnsi" w:hAnsiTheme="minorHAnsi"/>
        </w:rPr>
      </w:pPr>
      <w:r>
        <w:br/>
      </w:r>
      <w:r w:rsidRPr="00D75194" w:rsidR="7CF6082A">
        <w:rPr>
          <w:rFonts w:asciiTheme="minorHAnsi" w:hAnsiTheme="minorHAnsi"/>
          <w:b/>
          <w:bCs/>
        </w:rPr>
        <w:t xml:space="preserve">Expansion of networks </w:t>
      </w:r>
      <w:r w:rsidRPr="3F67ADE5" w:rsidR="7CF6082A">
        <w:rPr>
          <w:rFonts w:asciiTheme="minorHAnsi" w:hAnsiTheme="minorHAnsi"/>
          <w:b/>
          <w:bCs/>
        </w:rPr>
        <w:t>among</w:t>
      </w:r>
      <w:r w:rsidRPr="00D75194" w:rsidR="003A6FC4">
        <w:rPr>
          <w:rFonts w:asciiTheme="minorHAnsi" w:hAnsiTheme="minorHAnsi"/>
          <w:b/>
          <w:bCs/>
        </w:rPr>
        <w:t xml:space="preserve"> </w:t>
      </w:r>
      <w:r w:rsidRPr="00D75194" w:rsidR="7CF6082A">
        <w:rPr>
          <w:rFonts w:asciiTheme="minorHAnsi" w:hAnsiTheme="minorHAnsi"/>
          <w:b/>
          <w:bCs/>
        </w:rPr>
        <w:t>negotiators</w:t>
      </w:r>
      <w:r w:rsidRPr="00D75194" w:rsidR="00D32822">
        <w:rPr>
          <w:rFonts w:asciiTheme="minorHAnsi" w:hAnsiTheme="minorHAnsi"/>
          <w:b/>
          <w:bCs/>
        </w:rPr>
        <w:t>, which</w:t>
      </w:r>
      <w:r w:rsidRPr="00D75194" w:rsidDel="00D32822" w:rsidR="7CF6082A">
        <w:rPr>
          <w:rFonts w:asciiTheme="minorHAnsi" w:hAnsiTheme="minorHAnsi"/>
          <w:b/>
          <w:bCs/>
        </w:rPr>
        <w:t xml:space="preserve"> </w:t>
      </w:r>
      <w:r w:rsidRPr="00D75194" w:rsidR="7CF6082A">
        <w:rPr>
          <w:rFonts w:asciiTheme="minorHAnsi" w:hAnsiTheme="minorHAnsi"/>
          <w:b/>
          <w:bCs/>
        </w:rPr>
        <w:t>has enhanced collaboration and effectiveness.</w:t>
      </w:r>
      <w:r w:rsidRPr="00D75194" w:rsidR="7CF6082A">
        <w:rPr>
          <w:rFonts w:asciiTheme="minorHAnsi" w:hAnsiTheme="minorHAnsi"/>
        </w:rPr>
        <w:t xml:space="preserve"> Respondents noted cases where CASA-supported activities </w:t>
      </w:r>
      <w:r w:rsidRPr="00D75194" w:rsidR="00D32822">
        <w:rPr>
          <w:rFonts w:asciiTheme="minorHAnsi" w:hAnsiTheme="minorHAnsi"/>
        </w:rPr>
        <w:t xml:space="preserve">had </w:t>
      </w:r>
      <w:r w:rsidRPr="00D75194" w:rsidR="7CF6082A">
        <w:rPr>
          <w:rFonts w:asciiTheme="minorHAnsi" w:hAnsiTheme="minorHAnsi"/>
        </w:rPr>
        <w:t xml:space="preserve">enabled them to build networks and connections with international experts in the field in ways that had not been anticipated. </w:t>
      </w:r>
      <w:r w:rsidRPr="00D75194" w:rsidR="00D32822">
        <w:rPr>
          <w:rFonts w:asciiTheme="minorHAnsi" w:hAnsiTheme="minorHAnsi"/>
        </w:rPr>
        <w:t xml:space="preserve">An </w:t>
      </w:r>
      <w:r w:rsidRPr="00D75194" w:rsidR="7CF6082A">
        <w:rPr>
          <w:rFonts w:asciiTheme="minorHAnsi" w:hAnsiTheme="minorHAnsi"/>
        </w:rPr>
        <w:t>example was provided</w:t>
      </w:r>
      <w:r w:rsidRPr="00D75194" w:rsidDel="00D32822" w:rsidR="7CF6082A">
        <w:rPr>
          <w:rFonts w:asciiTheme="minorHAnsi" w:hAnsiTheme="minorHAnsi"/>
        </w:rPr>
        <w:t xml:space="preserve"> </w:t>
      </w:r>
      <w:r w:rsidRPr="00D75194" w:rsidR="00D32822">
        <w:rPr>
          <w:rFonts w:asciiTheme="minorHAnsi" w:hAnsiTheme="minorHAnsi"/>
        </w:rPr>
        <w:t xml:space="preserve">relating to </w:t>
      </w:r>
      <w:r w:rsidRPr="00D75194" w:rsidR="7CF6082A">
        <w:rPr>
          <w:rFonts w:asciiTheme="minorHAnsi" w:hAnsiTheme="minorHAnsi"/>
        </w:rPr>
        <w:t xml:space="preserve">opportunities to liaise with the Africa for Life Foundation, and connecting with </w:t>
      </w:r>
      <w:r w:rsidRPr="00D75194" w:rsidR="4AC6C5B7">
        <w:rPr>
          <w:rFonts w:asciiTheme="minorHAnsi" w:hAnsiTheme="minorHAnsi"/>
        </w:rPr>
        <w:t xml:space="preserve">the </w:t>
      </w:r>
      <w:r w:rsidRPr="00D75194" w:rsidR="58F3E625">
        <w:rPr>
          <w:rFonts w:asciiTheme="minorHAnsi" w:hAnsiTheme="minorHAnsi"/>
        </w:rPr>
        <w:t>African Wildlife Foundations</w:t>
      </w:r>
      <w:r w:rsidRPr="00D75194" w:rsidR="4EDB2E19">
        <w:rPr>
          <w:rFonts w:asciiTheme="minorHAnsi" w:hAnsiTheme="minorHAnsi"/>
        </w:rPr>
        <w:t xml:space="preserve"> and</w:t>
      </w:r>
      <w:r w:rsidRPr="00D75194" w:rsidR="58F3E625">
        <w:rPr>
          <w:rFonts w:asciiTheme="minorHAnsi" w:hAnsiTheme="minorHAnsi"/>
        </w:rPr>
        <w:t xml:space="preserve"> the </w:t>
      </w:r>
      <w:r w:rsidRPr="00D75194" w:rsidR="7CF6082A">
        <w:rPr>
          <w:rFonts w:asciiTheme="minorHAnsi" w:hAnsiTheme="minorHAnsi"/>
        </w:rPr>
        <w:t xml:space="preserve">African Negotiators Group, all of which offered new opportunities across an unexpectedly wide network of international negotiators within Africa. As one CASA-supported negotiator commented: </w:t>
      </w:r>
      <w:r w:rsidRPr="3F67ADE5" w:rsidR="009F0E98">
        <w:rPr>
          <w:rFonts w:asciiTheme="minorHAnsi" w:hAnsiTheme="minorHAnsi"/>
        </w:rPr>
        <w:t>“</w:t>
      </w:r>
      <w:r w:rsidRPr="00D75194" w:rsidR="7CF6082A">
        <w:rPr>
          <w:rFonts w:asciiTheme="minorHAnsi" w:hAnsiTheme="minorHAnsi"/>
          <w:i/>
          <w:iCs/>
        </w:rPr>
        <w:t>The supply of different skills through these networks has been really useful and may not have happened without the programme.</w:t>
      </w:r>
      <w:r w:rsidRPr="00D75194" w:rsidR="009F0E98">
        <w:rPr>
          <w:rFonts w:asciiTheme="minorHAnsi" w:hAnsiTheme="minorHAnsi"/>
          <w:i/>
          <w:iCs/>
        </w:rPr>
        <w:t>”</w:t>
      </w:r>
      <w:r w:rsidRPr="00D75194" w:rsidR="7CF6082A">
        <w:rPr>
          <w:rFonts w:asciiTheme="minorHAnsi" w:hAnsiTheme="minorHAnsi"/>
          <w:i/>
          <w:iCs/>
        </w:rPr>
        <w:t xml:space="preserve"> </w:t>
      </w:r>
    </w:p>
    <w:p w:rsidRPr="00D75194" w:rsidR="7CF6082A" w:rsidP="008E2151" w:rsidRDefault="7CF6082A" w14:paraId="0C0DF479" w14:textId="33C8C522">
      <w:pPr>
        <w:rPr>
          <w:rFonts w:asciiTheme="minorHAnsi" w:hAnsiTheme="minorHAnsi"/>
        </w:rPr>
      </w:pPr>
      <w:r w:rsidRPr="00D75194">
        <w:rPr>
          <w:rFonts w:asciiTheme="minorHAnsi" w:hAnsiTheme="minorHAnsi"/>
          <w:b/>
        </w:rPr>
        <w:t>Peripheral impacts of upskilling young negotiators.</w:t>
      </w:r>
      <w:r w:rsidRPr="00D75194">
        <w:rPr>
          <w:rFonts w:asciiTheme="minorHAnsi" w:hAnsiTheme="minorHAnsi"/>
        </w:rPr>
        <w:t xml:space="preserve"> </w:t>
      </w:r>
      <w:r w:rsidRPr="3F67ADE5" w:rsidR="00065557">
        <w:rPr>
          <w:rFonts w:asciiTheme="minorHAnsi" w:hAnsiTheme="minorHAnsi"/>
        </w:rPr>
        <w:t>Prioritising</w:t>
      </w:r>
      <w:r w:rsidRPr="00D75194">
        <w:rPr>
          <w:rFonts w:asciiTheme="minorHAnsi" w:hAnsiTheme="minorHAnsi"/>
        </w:rPr>
        <w:t xml:space="preserve"> training</w:t>
      </w:r>
      <w:r w:rsidRPr="00D75194" w:rsidR="00445DFD">
        <w:rPr>
          <w:rFonts w:asciiTheme="minorHAnsi" w:hAnsiTheme="minorHAnsi"/>
        </w:rPr>
        <w:t xml:space="preserve"> of</w:t>
      </w:r>
      <w:r w:rsidRPr="00D75194">
        <w:rPr>
          <w:rFonts w:asciiTheme="minorHAnsi" w:hAnsiTheme="minorHAnsi"/>
        </w:rPr>
        <w:t xml:space="preserve"> youth is often viewed through the lens of inclusion</w:t>
      </w:r>
      <w:r w:rsidRPr="00D75194" w:rsidR="00065557">
        <w:rPr>
          <w:rFonts w:asciiTheme="minorHAnsi" w:hAnsiTheme="minorHAnsi"/>
        </w:rPr>
        <w:t xml:space="preserve">, </w:t>
      </w:r>
      <w:r w:rsidRPr="00D75194">
        <w:rPr>
          <w:rFonts w:asciiTheme="minorHAnsi" w:hAnsiTheme="minorHAnsi"/>
        </w:rPr>
        <w:t xml:space="preserve">but evidence from respondents </w:t>
      </w:r>
      <w:r w:rsidRPr="00D75194" w:rsidR="00402CA2">
        <w:rPr>
          <w:rFonts w:asciiTheme="minorHAnsi" w:hAnsiTheme="minorHAnsi"/>
        </w:rPr>
        <w:t xml:space="preserve">points to </w:t>
      </w:r>
      <w:r w:rsidRPr="00D75194">
        <w:rPr>
          <w:rFonts w:asciiTheme="minorHAnsi" w:hAnsiTheme="minorHAnsi"/>
        </w:rPr>
        <w:t>instances where youth were able to expand the effects of the</w:t>
      </w:r>
      <w:r w:rsidRPr="00D75194" w:rsidR="00445DFD">
        <w:rPr>
          <w:rFonts w:asciiTheme="minorHAnsi" w:hAnsiTheme="minorHAnsi"/>
        </w:rPr>
        <w:t>ir increased</w:t>
      </w:r>
      <w:r w:rsidRPr="00D75194">
        <w:rPr>
          <w:rFonts w:asciiTheme="minorHAnsi" w:hAnsiTheme="minorHAnsi"/>
        </w:rPr>
        <w:t xml:space="preserve"> capacity beyond just technical proficiency. As one CASA-supported respondent commented: </w:t>
      </w:r>
    </w:p>
    <w:p w:rsidRPr="00D75194" w:rsidR="7CF6082A" w:rsidP="008E2151" w:rsidRDefault="009F4C15" w14:paraId="4FFAC4FD" w14:textId="02E1ECA5">
      <w:pPr>
        <w:rPr>
          <w:rFonts w:asciiTheme="minorHAnsi" w:hAnsiTheme="minorHAnsi" w:cstheme="minorHAnsi"/>
        </w:rPr>
      </w:pPr>
      <w:r w:rsidRPr="00D75194">
        <w:rPr>
          <w:rFonts w:eastAsia="Aptos" w:asciiTheme="minorHAnsi" w:hAnsiTheme="minorHAnsi" w:cstheme="minorHAnsi"/>
          <w:i/>
        </w:rPr>
        <w:t>“</w:t>
      </w:r>
      <w:r w:rsidRPr="00D75194" w:rsidR="7CF6082A">
        <w:rPr>
          <w:rFonts w:eastAsia="Aptos" w:asciiTheme="minorHAnsi" w:hAnsiTheme="minorHAnsi" w:cstheme="minorHAnsi"/>
          <w:i/>
        </w:rPr>
        <w:t xml:space="preserve">A pleasant surprise at </w:t>
      </w:r>
      <w:r w:rsidRPr="3F67ADE5" w:rsidR="7CF6082A">
        <w:rPr>
          <w:rFonts w:eastAsia="Aptos" w:asciiTheme="minorHAnsi" w:hAnsiTheme="minorHAnsi"/>
          <w:i/>
          <w:iCs/>
        </w:rPr>
        <w:t>COP29</w:t>
      </w:r>
      <w:r w:rsidRPr="00D75194" w:rsidR="7CF6082A">
        <w:rPr>
          <w:rFonts w:eastAsia="Aptos" w:asciiTheme="minorHAnsi" w:hAnsiTheme="minorHAnsi" w:cstheme="minorHAnsi"/>
          <w:i/>
        </w:rPr>
        <w:t xml:space="preserve"> was learning that some negotiators had been upskilling and sharing their knowledge with other young people on their delegations. This cross-learning has extended the impact of YNA's training, building leadership and skills within the countries.</w:t>
      </w:r>
      <w:r w:rsidRPr="00D75194">
        <w:rPr>
          <w:rFonts w:eastAsia="Aptos" w:asciiTheme="minorHAnsi" w:hAnsiTheme="minorHAnsi" w:cstheme="minorHAnsi"/>
          <w:i/>
        </w:rPr>
        <w:t>”</w:t>
      </w:r>
    </w:p>
    <w:p w:rsidRPr="00D75194" w:rsidR="7CF6082A" w:rsidP="008E2151" w:rsidRDefault="7CF6082A" w14:paraId="0CA93144" w14:textId="52AC2473">
      <w:pPr>
        <w:rPr>
          <w:rFonts w:asciiTheme="minorHAnsi" w:hAnsiTheme="minorHAnsi" w:cstheme="minorHAnsi"/>
        </w:rPr>
      </w:pPr>
      <w:r w:rsidRPr="00D75194">
        <w:rPr>
          <w:rFonts w:eastAsia="Aptos" w:asciiTheme="minorHAnsi" w:hAnsiTheme="minorHAnsi" w:cstheme="minorHAnsi"/>
        </w:rPr>
        <w:t xml:space="preserve">Further unanticipated aspects were noted around efforts by young negotiators to build strong relationships and networks, </w:t>
      </w:r>
      <w:r w:rsidRPr="00D75194" w:rsidR="00322510">
        <w:rPr>
          <w:rFonts w:eastAsia="Aptos" w:asciiTheme="minorHAnsi" w:hAnsiTheme="minorHAnsi" w:cstheme="minorHAnsi"/>
        </w:rPr>
        <w:t xml:space="preserve">with </w:t>
      </w:r>
      <w:r w:rsidRPr="00D75194">
        <w:rPr>
          <w:rFonts w:eastAsia="Aptos" w:asciiTheme="minorHAnsi" w:hAnsiTheme="minorHAnsi" w:cstheme="minorHAnsi"/>
        </w:rPr>
        <w:t>specific examples including efforts to form an informal group of young negotiators inspired by the Cartagena Dialogue, and another instance of the YNA itself</w:t>
      </w:r>
      <w:r w:rsidRPr="00D75194" w:rsidR="00391E99">
        <w:rPr>
          <w:rFonts w:eastAsia="Aptos" w:asciiTheme="minorHAnsi" w:hAnsiTheme="minorHAnsi" w:cstheme="minorHAnsi"/>
        </w:rPr>
        <w:t xml:space="preserve"> being</w:t>
      </w:r>
      <w:r w:rsidRPr="00D75194">
        <w:rPr>
          <w:rFonts w:eastAsia="Aptos" w:asciiTheme="minorHAnsi" w:hAnsiTheme="minorHAnsi" w:cstheme="minorHAnsi"/>
        </w:rPr>
        <w:t xml:space="preserve"> in conversation about a possible youth coalition within the HAC. </w:t>
      </w:r>
    </w:p>
    <w:p w:rsidRPr="00D75194" w:rsidR="7CF6082A" w:rsidP="008E2151" w:rsidRDefault="7CF6082A" w14:paraId="512B1F5A" w14:textId="7257BE3D">
      <w:pPr>
        <w:rPr>
          <w:rFonts w:asciiTheme="minorHAnsi" w:hAnsiTheme="minorHAnsi" w:cstheme="minorHAnsi"/>
        </w:rPr>
      </w:pPr>
      <w:r w:rsidRPr="00D75194">
        <w:rPr>
          <w:rFonts w:eastAsia="Aptos" w:asciiTheme="minorHAnsi" w:hAnsiTheme="minorHAnsi" w:cstheme="minorHAnsi"/>
        </w:rPr>
        <w:t xml:space="preserve">One further dimension of this broadened impact </w:t>
      </w:r>
      <w:r w:rsidRPr="3F67ADE5">
        <w:rPr>
          <w:rFonts w:eastAsia="Aptos" w:asciiTheme="minorHAnsi" w:hAnsiTheme="minorHAnsi"/>
        </w:rPr>
        <w:t>among</w:t>
      </w:r>
      <w:r w:rsidRPr="00D75194">
        <w:rPr>
          <w:rFonts w:eastAsia="Aptos" w:asciiTheme="minorHAnsi" w:hAnsiTheme="minorHAnsi" w:cstheme="minorHAnsi"/>
        </w:rPr>
        <w:t xml:space="preserve"> youth negotiators is that the YNA’s focus has shifted from </w:t>
      </w:r>
      <w:r w:rsidRPr="00D75194" w:rsidR="00D35D1A">
        <w:rPr>
          <w:rFonts w:eastAsia="Aptos" w:asciiTheme="minorHAnsi" w:hAnsiTheme="minorHAnsi" w:cstheme="minorHAnsi"/>
        </w:rPr>
        <w:t xml:space="preserve">the issue of </w:t>
      </w:r>
      <w:r w:rsidRPr="00D75194">
        <w:rPr>
          <w:rFonts w:eastAsia="Aptos" w:asciiTheme="minorHAnsi" w:hAnsiTheme="minorHAnsi" w:cstheme="minorHAnsi"/>
        </w:rPr>
        <w:t>youth</w:t>
      </w:r>
      <w:r w:rsidRPr="00D75194" w:rsidR="00D35D1A">
        <w:rPr>
          <w:rFonts w:eastAsia="Aptos" w:asciiTheme="minorHAnsi" w:hAnsiTheme="minorHAnsi" w:cstheme="minorHAnsi"/>
        </w:rPr>
        <w:t xml:space="preserve"> alone</w:t>
      </w:r>
      <w:r w:rsidRPr="00D75194">
        <w:rPr>
          <w:rFonts w:eastAsia="Aptos" w:asciiTheme="minorHAnsi" w:hAnsiTheme="minorHAnsi" w:cstheme="minorHAnsi"/>
        </w:rPr>
        <w:t xml:space="preserve"> to</w:t>
      </w:r>
      <w:r w:rsidRPr="00D75194" w:rsidR="00655414">
        <w:rPr>
          <w:rFonts w:eastAsia="Aptos" w:asciiTheme="minorHAnsi" w:hAnsiTheme="minorHAnsi" w:cstheme="minorHAnsi"/>
        </w:rPr>
        <w:t xml:space="preserve"> also</w:t>
      </w:r>
      <w:r w:rsidRPr="00D75194">
        <w:rPr>
          <w:rFonts w:eastAsia="Aptos" w:asciiTheme="minorHAnsi" w:hAnsiTheme="minorHAnsi" w:cstheme="minorHAnsi"/>
        </w:rPr>
        <w:t xml:space="preserve"> intentionally ensuring </w:t>
      </w:r>
      <w:r w:rsidRPr="00D75194" w:rsidR="00D35D1A">
        <w:rPr>
          <w:rFonts w:eastAsia="Aptos" w:asciiTheme="minorHAnsi" w:hAnsiTheme="minorHAnsi" w:cstheme="minorHAnsi"/>
        </w:rPr>
        <w:t xml:space="preserve">that </w:t>
      </w:r>
      <w:r w:rsidRPr="3F67ADE5">
        <w:rPr>
          <w:rFonts w:eastAsia="Aptos" w:asciiTheme="minorHAnsi" w:hAnsiTheme="minorHAnsi"/>
        </w:rPr>
        <w:t>at least 50% of</w:t>
      </w:r>
      <w:r w:rsidRPr="00D75194">
        <w:rPr>
          <w:rFonts w:eastAsia="Aptos" w:asciiTheme="minorHAnsi" w:hAnsiTheme="minorHAnsi" w:cstheme="minorHAnsi"/>
        </w:rPr>
        <w:t xml:space="preserve"> </w:t>
      </w:r>
      <w:r w:rsidRPr="00D75194" w:rsidR="00D35D1A">
        <w:rPr>
          <w:rFonts w:eastAsia="Aptos" w:asciiTheme="minorHAnsi" w:hAnsiTheme="minorHAnsi" w:cstheme="minorHAnsi"/>
        </w:rPr>
        <w:t xml:space="preserve">the </w:t>
      </w:r>
      <w:r w:rsidRPr="00D75194">
        <w:rPr>
          <w:rFonts w:eastAsia="Aptos" w:asciiTheme="minorHAnsi" w:hAnsiTheme="minorHAnsi" w:cstheme="minorHAnsi"/>
        </w:rPr>
        <w:t xml:space="preserve">youth negotiators </w:t>
      </w:r>
      <w:r w:rsidRPr="00D75194" w:rsidR="00D35D1A">
        <w:rPr>
          <w:rFonts w:eastAsia="Aptos" w:asciiTheme="minorHAnsi" w:hAnsiTheme="minorHAnsi" w:cstheme="minorHAnsi"/>
        </w:rPr>
        <w:t xml:space="preserve">countries </w:t>
      </w:r>
      <w:r w:rsidRPr="00D75194" w:rsidR="00D35D1A">
        <w:rPr>
          <w:rFonts w:eastAsia="Aptos" w:asciiTheme="minorHAnsi" w:hAnsiTheme="minorHAnsi" w:cstheme="minorHAnsi"/>
        </w:rPr>
        <w:t xml:space="preserve">nominate </w:t>
      </w:r>
      <w:r w:rsidRPr="00D75194">
        <w:rPr>
          <w:rFonts w:eastAsia="Aptos" w:asciiTheme="minorHAnsi" w:hAnsiTheme="minorHAnsi" w:cstheme="minorHAnsi"/>
        </w:rPr>
        <w:t>are women. This marks an organisational shift within the YNA</w:t>
      </w:r>
      <w:r w:rsidRPr="00D75194" w:rsidR="00F2438D">
        <w:rPr>
          <w:rFonts w:eastAsia="Aptos" w:asciiTheme="minorHAnsi" w:hAnsiTheme="minorHAnsi" w:cstheme="minorHAnsi"/>
        </w:rPr>
        <w:t>,</w:t>
      </w:r>
      <w:r w:rsidRPr="00D75194" w:rsidDel="00F2438D">
        <w:rPr>
          <w:rFonts w:eastAsia="Aptos" w:asciiTheme="minorHAnsi" w:hAnsiTheme="minorHAnsi" w:cstheme="minorHAnsi"/>
        </w:rPr>
        <w:t xml:space="preserve"> </w:t>
      </w:r>
      <w:r w:rsidRPr="00D75194">
        <w:rPr>
          <w:rFonts w:eastAsia="Aptos" w:asciiTheme="minorHAnsi" w:hAnsiTheme="minorHAnsi" w:cstheme="minorHAnsi"/>
        </w:rPr>
        <w:t>broaden</w:t>
      </w:r>
      <w:r w:rsidRPr="00D75194" w:rsidR="00F2438D">
        <w:rPr>
          <w:rFonts w:eastAsia="Aptos" w:asciiTheme="minorHAnsi" w:hAnsiTheme="minorHAnsi" w:cstheme="minorHAnsi"/>
        </w:rPr>
        <w:t>ing</w:t>
      </w:r>
      <w:r w:rsidRPr="00D75194">
        <w:rPr>
          <w:rFonts w:eastAsia="Aptos" w:asciiTheme="minorHAnsi" w:hAnsiTheme="minorHAnsi" w:cstheme="minorHAnsi"/>
        </w:rPr>
        <w:t xml:space="preserve"> its own inclusion beyond just youth generally. </w:t>
      </w:r>
    </w:p>
    <w:p w:rsidRPr="00D75194" w:rsidR="7CF6082A" w:rsidP="008E2151" w:rsidRDefault="00036E21" w14:paraId="7369A54A" w14:textId="00B9A3C1">
      <w:pPr>
        <w:rPr>
          <w:rFonts w:asciiTheme="minorHAnsi" w:hAnsiTheme="minorHAnsi" w:cstheme="minorHAnsi"/>
        </w:rPr>
      </w:pPr>
      <w:r w:rsidRPr="3F67ADE5">
        <w:rPr>
          <w:rFonts w:eastAsia="Aptos" w:asciiTheme="minorHAnsi" w:hAnsiTheme="minorHAnsi"/>
        </w:rPr>
        <w:t>It</w:t>
      </w:r>
      <w:r w:rsidRPr="00D75194">
        <w:rPr>
          <w:rFonts w:eastAsia="Aptos" w:asciiTheme="minorHAnsi" w:hAnsiTheme="minorHAnsi" w:cstheme="minorHAnsi"/>
        </w:rPr>
        <w:t xml:space="preserve"> was also</w:t>
      </w:r>
      <w:r w:rsidRPr="00D75194" w:rsidR="7CF6082A">
        <w:rPr>
          <w:rFonts w:eastAsia="Aptos" w:asciiTheme="minorHAnsi" w:hAnsiTheme="minorHAnsi" w:cstheme="minorHAnsi"/>
        </w:rPr>
        <w:t xml:space="preserve"> noted </w:t>
      </w:r>
      <w:r w:rsidRPr="00D75194">
        <w:rPr>
          <w:rFonts w:eastAsia="Aptos" w:asciiTheme="minorHAnsi" w:hAnsiTheme="minorHAnsi" w:cstheme="minorHAnsi"/>
        </w:rPr>
        <w:t xml:space="preserve">that </w:t>
      </w:r>
      <w:r w:rsidRPr="00D75194" w:rsidR="7CF6082A">
        <w:rPr>
          <w:rFonts w:eastAsia="Aptos" w:asciiTheme="minorHAnsi" w:hAnsiTheme="minorHAnsi" w:cstheme="minorHAnsi"/>
        </w:rPr>
        <w:t xml:space="preserve">recognition at domestic levels </w:t>
      </w:r>
      <w:r w:rsidRPr="3F67ADE5" w:rsidR="007B5EA3">
        <w:rPr>
          <w:rFonts w:eastAsia="Aptos" w:asciiTheme="minorHAnsi" w:hAnsiTheme="minorHAnsi"/>
        </w:rPr>
        <w:t>of</w:t>
      </w:r>
      <w:r w:rsidRPr="00D75194" w:rsidR="7CF6082A">
        <w:rPr>
          <w:rFonts w:eastAsia="Aptos" w:asciiTheme="minorHAnsi" w:hAnsiTheme="minorHAnsi" w:cstheme="minorHAnsi"/>
        </w:rPr>
        <w:t xml:space="preserve"> improved youth skills resulted in greater attention and support. An example was given of the Malawi </w:t>
      </w:r>
      <w:r w:rsidRPr="00D75194" w:rsidR="00E9569F">
        <w:rPr>
          <w:rFonts w:eastAsia="Aptos" w:asciiTheme="minorHAnsi" w:hAnsiTheme="minorHAnsi" w:cstheme="minorHAnsi"/>
        </w:rPr>
        <w:t xml:space="preserve">Government </w:t>
      </w:r>
      <w:r w:rsidRPr="3F67ADE5" w:rsidR="7CF6082A">
        <w:rPr>
          <w:rFonts w:eastAsia="Aptos" w:asciiTheme="minorHAnsi" w:hAnsiTheme="minorHAnsi"/>
        </w:rPr>
        <w:t>increas</w:t>
      </w:r>
      <w:r w:rsidRPr="3F67ADE5" w:rsidR="00E9569F">
        <w:rPr>
          <w:rFonts w:eastAsia="Aptos" w:asciiTheme="minorHAnsi" w:hAnsiTheme="minorHAnsi"/>
        </w:rPr>
        <w:t>ing</w:t>
      </w:r>
      <w:r w:rsidRPr="00D75194" w:rsidR="7CF6082A">
        <w:rPr>
          <w:rFonts w:eastAsia="Aptos" w:asciiTheme="minorHAnsi" w:hAnsiTheme="minorHAnsi" w:cstheme="minorHAnsi"/>
        </w:rPr>
        <w:t xml:space="preserve"> its financial and organisational support to youth negotiators when those negotiators were able to demonstrate improved skills and capacity </w:t>
      </w:r>
      <w:proofErr w:type="gramStart"/>
      <w:r w:rsidRPr="00D75194" w:rsidR="7CF6082A">
        <w:rPr>
          <w:rFonts w:eastAsia="Aptos" w:asciiTheme="minorHAnsi" w:hAnsiTheme="minorHAnsi" w:cstheme="minorHAnsi"/>
        </w:rPr>
        <w:t>as a result of</w:t>
      </w:r>
      <w:proofErr w:type="gramEnd"/>
      <w:r w:rsidRPr="00D75194" w:rsidR="7CF6082A">
        <w:rPr>
          <w:rFonts w:eastAsia="Aptos" w:asciiTheme="minorHAnsi" w:hAnsiTheme="minorHAnsi" w:cstheme="minorHAnsi"/>
        </w:rPr>
        <w:t xml:space="preserve"> CASA-funded support.</w:t>
      </w:r>
    </w:p>
    <w:p w:rsidRPr="00D75194" w:rsidR="7CF6082A" w:rsidP="008E2151" w:rsidRDefault="7CF6082A" w14:paraId="5C6AF219" w14:textId="1830AAA6">
      <w:pPr>
        <w:rPr>
          <w:rFonts w:asciiTheme="minorHAnsi" w:hAnsiTheme="minorHAnsi" w:cstheme="minorHAnsi"/>
        </w:rPr>
      </w:pPr>
      <w:r w:rsidRPr="00D75194">
        <w:rPr>
          <w:rFonts w:eastAsia="Aptos" w:asciiTheme="minorHAnsi" w:hAnsiTheme="minorHAnsi" w:cstheme="minorHAnsi"/>
          <w:b/>
        </w:rPr>
        <w:t xml:space="preserve">Leveraged finances. </w:t>
      </w:r>
      <w:r w:rsidRPr="00D75194">
        <w:rPr>
          <w:rFonts w:eastAsia="Aptos" w:asciiTheme="minorHAnsi" w:hAnsiTheme="minorHAnsi" w:cstheme="minorHAnsi"/>
        </w:rPr>
        <w:t>At times the support that CASA has provided has enabled individuals or organisations to access additional funding</w:t>
      </w:r>
      <w:r w:rsidRPr="00D75194" w:rsidR="00EF7C3B">
        <w:rPr>
          <w:rFonts w:eastAsia="Aptos" w:asciiTheme="minorHAnsi" w:hAnsiTheme="minorHAnsi" w:cstheme="minorHAnsi"/>
        </w:rPr>
        <w:t xml:space="preserve"> allowing them</w:t>
      </w:r>
      <w:r w:rsidRPr="00D75194">
        <w:rPr>
          <w:rFonts w:eastAsia="Aptos" w:asciiTheme="minorHAnsi" w:hAnsiTheme="minorHAnsi" w:cstheme="minorHAnsi"/>
        </w:rPr>
        <w:t xml:space="preserve"> to pursue further work in specific climate-related areas. One example was given of an individual that </w:t>
      </w:r>
      <w:r w:rsidRPr="00D75194" w:rsidR="0078242D">
        <w:rPr>
          <w:rFonts w:eastAsia="Aptos" w:asciiTheme="minorHAnsi" w:hAnsiTheme="minorHAnsi" w:cstheme="minorHAnsi"/>
        </w:rPr>
        <w:t xml:space="preserve">had </w:t>
      </w:r>
      <w:r w:rsidRPr="00D75194">
        <w:rPr>
          <w:rFonts w:eastAsia="Aptos" w:asciiTheme="minorHAnsi" w:hAnsiTheme="minorHAnsi" w:cstheme="minorHAnsi"/>
        </w:rPr>
        <w:t xml:space="preserve">risen in prominence through CASA funding </w:t>
      </w:r>
      <w:r w:rsidRPr="00D75194" w:rsidR="0078242D">
        <w:rPr>
          <w:rFonts w:eastAsia="Aptos" w:asciiTheme="minorHAnsi" w:hAnsiTheme="minorHAnsi" w:cstheme="minorHAnsi"/>
        </w:rPr>
        <w:t xml:space="preserve">who </w:t>
      </w:r>
      <w:r w:rsidRPr="00D75194">
        <w:rPr>
          <w:rFonts w:eastAsia="Aptos" w:asciiTheme="minorHAnsi" w:hAnsiTheme="minorHAnsi" w:cstheme="minorHAnsi"/>
        </w:rPr>
        <w:t>was able to access additional grants from other donors under the auspices of CASA-funded activities</w:t>
      </w:r>
      <w:r w:rsidRPr="00D75194" w:rsidR="00CD4C9C">
        <w:rPr>
          <w:rFonts w:eastAsia="Aptos" w:asciiTheme="minorHAnsi" w:hAnsiTheme="minorHAnsi" w:cstheme="minorHAnsi"/>
        </w:rPr>
        <w:t>, which</w:t>
      </w:r>
      <w:r w:rsidRPr="00D75194" w:rsidDel="00CD4C9C">
        <w:rPr>
          <w:rFonts w:eastAsia="Aptos" w:asciiTheme="minorHAnsi" w:hAnsiTheme="minorHAnsi" w:cstheme="minorHAnsi"/>
        </w:rPr>
        <w:t xml:space="preserve"> </w:t>
      </w:r>
      <w:r w:rsidRPr="00D75194" w:rsidR="0056157B">
        <w:rPr>
          <w:rFonts w:eastAsia="Aptos" w:asciiTheme="minorHAnsi" w:hAnsiTheme="minorHAnsi" w:cstheme="minorHAnsi"/>
        </w:rPr>
        <w:t xml:space="preserve">has </w:t>
      </w:r>
      <w:r w:rsidRPr="00D75194">
        <w:rPr>
          <w:rFonts w:eastAsia="Aptos" w:asciiTheme="minorHAnsi" w:hAnsiTheme="minorHAnsi" w:cstheme="minorHAnsi"/>
        </w:rPr>
        <w:t xml:space="preserve">enabled further research on specific thematic areas, such as adaptation finance and </w:t>
      </w:r>
      <w:r w:rsidRPr="3F67ADE5" w:rsidR="00982FAD">
        <w:rPr>
          <w:rFonts w:eastAsia="Aptos" w:asciiTheme="minorHAnsi" w:hAnsiTheme="minorHAnsi"/>
        </w:rPr>
        <w:t>L</w:t>
      </w:r>
      <w:r w:rsidRPr="3F67ADE5">
        <w:rPr>
          <w:rFonts w:eastAsia="Aptos" w:asciiTheme="minorHAnsi" w:hAnsiTheme="minorHAnsi"/>
        </w:rPr>
        <w:t>oss</w:t>
      </w:r>
      <w:r w:rsidRPr="00D75194">
        <w:rPr>
          <w:rFonts w:eastAsia="Aptos" w:asciiTheme="minorHAnsi" w:hAnsiTheme="minorHAnsi" w:cstheme="minorHAnsi"/>
        </w:rPr>
        <w:t xml:space="preserve"> and </w:t>
      </w:r>
      <w:r w:rsidRPr="3F67ADE5" w:rsidR="00982FAD">
        <w:rPr>
          <w:rFonts w:eastAsia="Aptos" w:asciiTheme="minorHAnsi" w:hAnsiTheme="minorHAnsi"/>
        </w:rPr>
        <w:t>D</w:t>
      </w:r>
      <w:r w:rsidRPr="3F67ADE5">
        <w:rPr>
          <w:rFonts w:eastAsia="Aptos" w:asciiTheme="minorHAnsi" w:hAnsiTheme="minorHAnsi"/>
        </w:rPr>
        <w:t>amage</w:t>
      </w:r>
      <w:r w:rsidRPr="00D75194">
        <w:rPr>
          <w:rFonts w:eastAsia="Aptos" w:asciiTheme="minorHAnsi" w:hAnsiTheme="minorHAnsi" w:cstheme="minorHAnsi"/>
        </w:rPr>
        <w:t xml:space="preserve"> finance. </w:t>
      </w:r>
    </w:p>
    <w:p w:rsidRPr="00D75194" w:rsidR="005C27F2" w:rsidP="00083A6A" w:rsidRDefault="7CF6082A" w14:paraId="27964F0D" w14:textId="4D605A48">
      <w:pPr>
        <w:rPr>
          <w:rFonts w:eastAsia="Aptos" w:asciiTheme="minorHAnsi" w:hAnsiTheme="minorHAnsi" w:cstheme="minorHAnsi"/>
        </w:rPr>
      </w:pPr>
      <w:r w:rsidRPr="00D75194">
        <w:rPr>
          <w:rFonts w:eastAsia="Aptos" w:asciiTheme="minorHAnsi" w:hAnsiTheme="minorHAnsi" w:cstheme="minorHAnsi"/>
          <w:b/>
        </w:rPr>
        <w:t>Individual influences.</w:t>
      </w:r>
      <w:r w:rsidRPr="00D75194">
        <w:rPr>
          <w:rFonts w:eastAsia="Aptos" w:asciiTheme="minorHAnsi" w:hAnsiTheme="minorHAnsi" w:cstheme="minorHAnsi"/>
        </w:rPr>
        <w:t xml:space="preserve"> There are a relatively large number of examples of individuals that have been supported by CASA-funded activities who have progressed through the climate negotiation architecture to become significant influencers of climate negotiations. These individual trajectories </w:t>
      </w:r>
      <w:r w:rsidRPr="62A2DE63">
        <w:rPr>
          <w:rFonts w:eastAsia="Aptos" w:asciiTheme="minorHAnsi" w:hAnsiTheme="minorHAnsi"/>
        </w:rPr>
        <w:t>c</w:t>
      </w:r>
      <w:r w:rsidRPr="62A2DE63" w:rsidR="321451A6">
        <w:rPr>
          <w:rFonts w:eastAsia="Aptos" w:asciiTheme="minorHAnsi" w:hAnsiTheme="minorHAnsi"/>
        </w:rPr>
        <w:t xml:space="preserve">ould not have been anticipated prior to the </w:t>
      </w:r>
      <w:r w:rsidRPr="742AABCC" w:rsidR="321451A6">
        <w:rPr>
          <w:rFonts w:eastAsia="Aptos" w:asciiTheme="minorHAnsi" w:hAnsiTheme="minorHAnsi"/>
        </w:rPr>
        <w:t>programme</w:t>
      </w:r>
      <w:r w:rsidRPr="00D75194">
        <w:rPr>
          <w:rFonts w:eastAsia="Aptos" w:asciiTheme="minorHAnsi" w:hAnsiTheme="minorHAnsi" w:cstheme="minorHAnsi"/>
        </w:rPr>
        <w:t>, and some of their outcomes have far exceeded expectations.</w:t>
      </w:r>
    </w:p>
    <w:p w:rsidRPr="00D75194" w:rsidR="00083A6A" w:rsidP="00184CC7" w:rsidRDefault="0024788B" w14:paraId="1C9CD67D" w14:textId="0BBC4793">
      <w:pPr>
        <w:pStyle w:val="Heading3"/>
        <w:numPr>
          <w:ilvl w:val="0"/>
          <w:numId w:val="0"/>
        </w:numPr>
      </w:pPr>
      <w:bookmarkStart w:name="_Toc204259840" w:id="99"/>
      <w:r w:rsidRPr="00D75194">
        <w:t>EQ</w:t>
      </w:r>
      <w:r w:rsidRPr="00D75194" w:rsidR="00A00A8E">
        <w:t xml:space="preserve"> 5.5: To what extent will CASA II</w:t>
      </w:r>
      <w:r w:rsidRPr="00D75194" w:rsidR="00E17EB9">
        <w:t>-</w:t>
      </w:r>
      <w:r w:rsidR="00A00A8E">
        <w:t>support</w:t>
      </w:r>
      <w:r w:rsidR="00E17EB9">
        <w:t>ed</w:t>
      </w:r>
      <w:r w:rsidRPr="00D75194" w:rsidR="00A00A8E">
        <w:t xml:space="preserve"> activities contribute to transformational change (KPI 15)?</w:t>
      </w:r>
      <w:bookmarkEnd w:id="99"/>
      <w:r w:rsidRPr="00D75194" w:rsidR="00A00A8E">
        <w:t> </w:t>
      </w:r>
    </w:p>
    <w:p w:rsidRPr="00D75194" w:rsidR="00550399" w:rsidP="00550399" w:rsidRDefault="00184CC7" w14:paraId="70FD7848" w14:textId="2BAC83DA">
      <w:r w:rsidRPr="00D75194">
        <w:br/>
      </w:r>
      <w:r w:rsidRPr="00D75194" w:rsidR="00550399">
        <w:t>This evaluation’s assessment for KPI 15 focused on validating the findings from the KPI 15 report produced in February 2025 by the LEP team. By validating the findings, the evaluation team can better determine and confirm the level of confidence in CASA’s contribution to transformational change</w:t>
      </w:r>
      <w:r w:rsidRPr="00D75194" w:rsidR="006421A7">
        <w:t>.</w:t>
      </w:r>
      <w:r w:rsidRPr="00D75194" w:rsidR="001C4894">
        <w:rPr>
          <w:rStyle w:val="FootnoteReference"/>
        </w:rPr>
        <w:footnoteReference w:id="25"/>
      </w:r>
      <w:r w:rsidRPr="00D75194" w:rsidR="00550399">
        <w:t xml:space="preserve"> To do this, the evaluation selected a range of CASA’s </w:t>
      </w:r>
      <w:r w:rsidRPr="00D75194" w:rsidR="005A516E">
        <w:t>o</w:t>
      </w:r>
      <w:r w:rsidRPr="00D75194" w:rsidR="00550399">
        <w:t xml:space="preserve">utcome </w:t>
      </w:r>
      <w:r w:rsidRPr="00D75194" w:rsidR="005A516E">
        <w:t>m</w:t>
      </w:r>
      <w:r w:rsidRPr="00D75194" w:rsidR="00550399">
        <w:t xml:space="preserve">ap/KPI 15 metrics and corroborated the pieces of evidence used to provide the scoring in the KPI 15 report with evidence from the evaluation. Not every KPI 15 metric was validated in this way; the evaluation sought a balance across the </w:t>
      </w:r>
      <w:r w:rsidRPr="00D75194" w:rsidR="002E6670">
        <w:t xml:space="preserve">three </w:t>
      </w:r>
      <w:r w:rsidRPr="00D75194" w:rsidR="00550399">
        <w:t>different KPI 15 ToC levels</w:t>
      </w:r>
      <w:r w:rsidRPr="00D75194" w:rsidR="002E6670">
        <w:t xml:space="preserve"> (drivers, mechanism</w:t>
      </w:r>
      <w:r w:rsidRPr="00D75194" w:rsidR="00A72FF0">
        <w:t>s,</w:t>
      </w:r>
      <w:r w:rsidRPr="00D75194" w:rsidR="002E6670">
        <w:t xml:space="preserve"> and enablers)</w:t>
      </w:r>
      <w:r w:rsidRPr="00D75194" w:rsidR="00550399">
        <w:t xml:space="preserve"> and aimed to include metrics that pertained to ‘all’ TPs.</w:t>
      </w:r>
    </w:p>
    <w:p w:rsidRPr="00D75194" w:rsidR="00D14E48" w:rsidP="4CDD0DE9" w:rsidRDefault="006421A7" w14:paraId="35D9FB7A" w14:textId="281D5D63">
      <w:pPr>
        <w:rPr>
          <w:b/>
          <w:bCs/>
          <w:sz w:val="22"/>
          <w:szCs w:val="22"/>
        </w:rPr>
      </w:pPr>
      <w:r w:rsidRPr="00D75194">
        <w:t xml:space="preserve">Our analysis found that </w:t>
      </w:r>
      <w:r w:rsidRPr="00D75194">
        <w:rPr>
          <w:b/>
          <w:bCs/>
        </w:rPr>
        <w:t>t</w:t>
      </w:r>
      <w:r w:rsidRPr="00D75194" w:rsidR="00550399">
        <w:rPr>
          <w:b/>
          <w:bCs/>
        </w:rPr>
        <w:t>he programme’s activities are likely to contribute to transformation</w:t>
      </w:r>
      <w:r w:rsidRPr="00D75194" w:rsidR="00EA379F">
        <w:rPr>
          <w:b/>
          <w:bCs/>
        </w:rPr>
        <w:t>al</w:t>
      </w:r>
      <w:r w:rsidRPr="00D75194" w:rsidR="00550399">
        <w:rPr>
          <w:b/>
          <w:bCs/>
        </w:rPr>
        <w:t xml:space="preserve"> change</w:t>
      </w:r>
      <w:r w:rsidRPr="00D75194" w:rsidR="00550399">
        <w:t xml:space="preserve">, particularly </w:t>
      </w:r>
      <w:r w:rsidRPr="00D75194" w:rsidR="00EA379F">
        <w:t xml:space="preserve">by </w:t>
      </w:r>
      <w:r w:rsidRPr="00D75194" w:rsidR="00550399">
        <w:t>increasing capacity and capability</w:t>
      </w:r>
      <w:r w:rsidRPr="00D75194" w:rsidR="00EA379F">
        <w:t>,</w:t>
      </w:r>
      <w:r w:rsidRPr="00D75194" w:rsidR="00550399">
        <w:t xml:space="preserve"> and </w:t>
      </w:r>
      <w:r w:rsidR="00EA379F">
        <w:t>due</w:t>
      </w:r>
      <w:r w:rsidRPr="00D75194" w:rsidR="00EA379F">
        <w:t xml:space="preserve"> to</w:t>
      </w:r>
      <w:r w:rsidRPr="00D75194" w:rsidR="007B1DB2">
        <w:t xml:space="preserve"> their</w:t>
      </w:r>
      <w:r w:rsidRPr="00D75194" w:rsidR="00550399">
        <w:t xml:space="preserve"> effectiveness,</w:t>
      </w:r>
      <w:r w:rsidRPr="00D75194" w:rsidR="00EA379F">
        <w:t xml:space="preserve"> </w:t>
      </w:r>
      <w:r w:rsidRPr="00D75194" w:rsidR="00B96947">
        <w:t>with effectiveness</w:t>
      </w:r>
      <w:r w:rsidRPr="00D75194" w:rsidR="00EA379F">
        <w:t xml:space="preserve"> act</w:t>
      </w:r>
      <w:r w:rsidRPr="00D75194" w:rsidR="002B4381">
        <w:t>i</w:t>
      </w:r>
      <w:r w:rsidRPr="00D75194" w:rsidR="00B96947">
        <w:t>ng</w:t>
      </w:r>
      <w:r w:rsidRPr="00D75194" w:rsidR="00550399">
        <w:t xml:space="preserve"> as a mechanism</w:t>
      </w:r>
      <w:r w:rsidRPr="00D75194" w:rsidR="00550399">
        <w:rPr>
          <w:b/>
          <w:bCs/>
        </w:rPr>
        <w:t xml:space="preserve"> </w:t>
      </w:r>
      <w:r w:rsidRPr="00D75194" w:rsidR="00550399">
        <w:t xml:space="preserve">of replicability and an enabler of </w:t>
      </w:r>
      <w:r w:rsidRPr="00D75194" w:rsidR="0051642F">
        <w:t xml:space="preserve">certain aspects of </w:t>
      </w:r>
      <w:r w:rsidRPr="00D75194" w:rsidR="00550399">
        <w:t>sustainability.</w:t>
      </w:r>
      <w:r w:rsidRPr="00D75194" w:rsidR="00550399">
        <w:rPr>
          <w:b/>
          <w:bCs/>
        </w:rPr>
        <w:t xml:space="preserve"> </w:t>
      </w:r>
    </w:p>
    <w:p w:rsidRPr="00D75194" w:rsidR="00D14E48" w:rsidP="00A041FD" w:rsidRDefault="00550399" w14:paraId="71F03DD6" w14:textId="4528B428">
      <w:pPr>
        <w:rPr>
          <w:b/>
          <w:bCs/>
          <w:sz w:val="22"/>
          <w:szCs w:val="22"/>
        </w:rPr>
      </w:pPr>
      <w:r w:rsidRPr="00D75194">
        <w:rPr>
          <w:b/>
        </w:rPr>
        <w:t>The evaluation found supporting evidence to validate CASA’s ICF KPI 15 reporting across multiple criteria, which provides further confidence in the recent ICF KPI 15 scoring of 4</w:t>
      </w:r>
      <w:r w:rsidRPr="00D75194" w:rsidR="002B4381">
        <w:rPr>
          <w:b/>
        </w:rPr>
        <w:t>—</w:t>
      </w:r>
      <w:r w:rsidRPr="00D75194">
        <w:rPr>
          <w:b/>
        </w:rPr>
        <w:t xml:space="preserve">partial evidence </w:t>
      </w:r>
      <w:r w:rsidRPr="47D96C6A">
        <w:rPr>
          <w:b/>
          <w:bCs/>
        </w:rPr>
        <w:t>suggest</w:t>
      </w:r>
      <w:r w:rsidRPr="47D96C6A" w:rsidR="00B344D3">
        <w:rPr>
          <w:b/>
          <w:bCs/>
        </w:rPr>
        <w:t>ing</w:t>
      </w:r>
      <w:r w:rsidRPr="00D75194" w:rsidR="00B344D3">
        <w:rPr>
          <w:b/>
        </w:rPr>
        <w:t xml:space="preserve"> that</w:t>
      </w:r>
      <w:r w:rsidRPr="00D75194">
        <w:rPr>
          <w:b/>
        </w:rPr>
        <w:t xml:space="preserve"> transformational change is likely</w:t>
      </w:r>
      <w:r w:rsidRPr="00D75194">
        <w:t>. CASA has created pockets and areas of transformation</w:t>
      </w:r>
      <w:r w:rsidRPr="00D75194" w:rsidR="58E8AE65">
        <w:t xml:space="preserve"> </w:t>
      </w:r>
      <w:r w:rsidRPr="00D75194" w:rsidR="6D49CB63">
        <w:t>(</w:t>
      </w:r>
      <w:r w:rsidRPr="00D75194">
        <w:t>‘tipping points’</w:t>
      </w:r>
      <w:r w:rsidRPr="00D75194" w:rsidR="286ECFD7">
        <w:t>)</w:t>
      </w:r>
      <w:r w:rsidRPr="00D75194">
        <w:t xml:space="preserve"> that have created significant, sustainable change, notably</w:t>
      </w:r>
      <w:r w:rsidRPr="00D75194" w:rsidR="00393B06">
        <w:t xml:space="preserve"> through the </w:t>
      </w:r>
      <w:r w:rsidRPr="00D75194" w:rsidR="00CB5F24">
        <w:t>OF</w:t>
      </w:r>
      <w:r w:rsidRPr="00D75194" w:rsidR="0069746B">
        <w:t xml:space="preserve"> and innovative models found in the LDC</w:t>
      </w:r>
      <w:r w:rsidR="00C72428">
        <w:t>–</w:t>
      </w:r>
      <w:r w:rsidRPr="00D75194" w:rsidR="0069746B">
        <w:t xml:space="preserve">CLI collaboration and the </w:t>
      </w:r>
      <w:r w:rsidR="00187882">
        <w:t>NGP</w:t>
      </w:r>
      <w:r w:rsidR="0069746B">
        <w:t>.</w:t>
      </w:r>
      <w:r w:rsidRPr="00D75194">
        <w:rPr>
          <w:rFonts w:ascii="Arial" w:hAnsi="Arial" w:cs="Arial"/>
        </w:rPr>
        <w:t xml:space="preserve"> </w:t>
      </w:r>
      <w:r w:rsidRPr="00D75194" w:rsidR="00274077">
        <w:t>These tipping points have changed the institutional or organisational landscape within the UNFCCC.</w:t>
      </w:r>
      <w:r w:rsidRPr="00D75194" w:rsidR="00DF6747">
        <w:rPr>
          <w:rFonts w:ascii="Arial" w:hAnsi="Arial" w:cs="Arial"/>
        </w:rPr>
        <w:t xml:space="preserve"> </w:t>
      </w:r>
    </w:p>
    <w:p w:rsidRPr="00D75194" w:rsidR="00B71EEF" w:rsidP="00083A6A" w:rsidRDefault="00083A6A" w14:paraId="4B446335" w14:textId="73629946">
      <w:pPr>
        <w:pStyle w:val="Heading2"/>
      </w:pPr>
      <w:bookmarkStart w:name="_Toc214452917" w:id="100"/>
      <w:r w:rsidRPr="00D75194">
        <w:t>S</w:t>
      </w:r>
      <w:r w:rsidRPr="00D75194" w:rsidR="00B71EEF">
        <w:t>ustainability</w:t>
      </w:r>
      <w:bookmarkEnd w:id="100"/>
    </w:p>
    <w:p w:rsidRPr="00D75194" w:rsidR="00545BE5" w:rsidP="00616EAA" w:rsidRDefault="00545BE5" w14:paraId="1722C3EF" w14:textId="77777777">
      <w:pPr>
        <w:pStyle w:val="NoSpacing"/>
      </w:pPr>
    </w:p>
    <w:tbl>
      <w:tblPr>
        <w:tblStyle w:val="TableGrid"/>
        <w:tblW w:w="0" w:type="auto"/>
        <w:tblLook w:val="04A0" w:firstRow="1" w:lastRow="0" w:firstColumn="1" w:lastColumn="0" w:noHBand="0" w:noVBand="1"/>
      </w:tblPr>
      <w:tblGrid>
        <w:gridCol w:w="9854"/>
      </w:tblGrid>
      <w:tr w:rsidRPr="00D75194" w:rsidR="00FA2C1A" w:rsidTr="00FA2C1A" w14:paraId="1101EF6F" w14:textId="77777777">
        <w:trPr>
          <w:trHeight w:val="930"/>
        </w:trPr>
        <w:tc>
          <w:tcPr>
            <w:tcW w:w="9854" w:type="dxa"/>
            <w:shd w:val="clear" w:color="auto" w:fill="C4D5D3" w:themeFill="accent1"/>
            <w:vAlign w:val="center"/>
          </w:tcPr>
          <w:p w:rsidRPr="00D75194" w:rsidR="00FA2C1A" w:rsidP="00FA2C1A" w:rsidRDefault="00FA2C1A" w14:paraId="265B20B1" w14:textId="7D89B251">
            <w:pPr>
              <w:jc w:val="center"/>
              <w:rPr>
                <w:b/>
                <w:bCs/>
              </w:rPr>
            </w:pPr>
            <w:r w:rsidRPr="285461A2">
              <w:rPr>
                <w:b/>
              </w:rPr>
              <w:t>EQ</w:t>
            </w:r>
            <w:r w:rsidRPr="285461A2" w:rsidR="000F0875">
              <w:rPr>
                <w:b/>
              </w:rPr>
              <w:t xml:space="preserve"> </w:t>
            </w:r>
            <w:r w:rsidRPr="00D75194" w:rsidR="000F0875">
              <w:rPr>
                <w:rStyle w:val="normaltextrun"/>
                <w:rFonts w:eastAsia="Segoe UI" w:cs="Segoe UI"/>
                <w:b/>
                <w:bCs/>
                <w:color w:val="000000"/>
              </w:rPr>
              <w:t>6: Are the results of the UK’s long-term support to climate negotiators and negotiating groups likely to be sustained beyond CASA II’s completion?</w:t>
            </w:r>
          </w:p>
        </w:tc>
      </w:tr>
    </w:tbl>
    <w:p w:rsidRPr="00D75194" w:rsidR="00616EAA" w:rsidP="00616EAA" w:rsidRDefault="00616EAA" w14:paraId="1E1A206C" w14:textId="77777777">
      <w:pPr>
        <w:pStyle w:val="NoSpacing"/>
      </w:pPr>
    </w:p>
    <w:p w:rsidRPr="00D75194" w:rsidR="000D59A0" w:rsidP="000D59A0" w:rsidRDefault="007D65DC" w14:paraId="6EAE4CDC" w14:textId="750FBE12">
      <w:pPr>
        <w:rPr>
          <w:b/>
          <w:bCs/>
        </w:rPr>
      </w:pPr>
      <w:r w:rsidRPr="00D75194">
        <w:rPr>
          <w:b/>
          <w:bCs/>
        </w:rPr>
        <w:t>Summary:</w:t>
      </w:r>
    </w:p>
    <w:p w:rsidRPr="00D75194" w:rsidR="003B5966" w:rsidP="003B5966" w:rsidRDefault="003B5966" w14:paraId="529103FB" w14:textId="1AD7003C">
      <w:r w:rsidRPr="00D75194">
        <w:rPr>
          <w:b/>
          <w:bCs/>
        </w:rPr>
        <w:t>Evidence of CASA’s contribution to sustainability is mixed.</w:t>
      </w:r>
      <w:r w:rsidRPr="00D75194">
        <w:t xml:space="preserve"> In the absence of a clear strategy for sustainability within CASA, </w:t>
      </w:r>
      <w:r w:rsidR="798763A4">
        <w:t>respondents’</w:t>
      </w:r>
      <w:r w:rsidRPr="00D75194">
        <w:t xml:space="preserve"> views on </w:t>
      </w:r>
      <w:r w:rsidR="798763A4">
        <w:t xml:space="preserve">the programme’s </w:t>
      </w:r>
      <w:r w:rsidRPr="00D75194">
        <w:t xml:space="preserve">sustainability </w:t>
      </w:r>
      <w:r w:rsidR="798763A4">
        <w:t xml:space="preserve">largely focus on </w:t>
      </w:r>
      <w:r w:rsidR="00CA4DD6">
        <w:t>the</w:t>
      </w:r>
      <w:r w:rsidR="798763A4">
        <w:t xml:space="preserve"> following areas. First, </w:t>
      </w:r>
      <w:r>
        <w:t>the</w:t>
      </w:r>
      <w:r w:rsidDel="006C00FB">
        <w:t xml:space="preserve"> </w:t>
      </w:r>
      <w:r w:rsidRPr="00D75194" w:rsidR="006C00FB">
        <w:rPr>
          <w:b/>
          <w:bCs/>
        </w:rPr>
        <w:t xml:space="preserve">organisational </w:t>
      </w:r>
      <w:r w:rsidRPr="00D75194">
        <w:rPr>
          <w:b/>
          <w:bCs/>
        </w:rPr>
        <w:t>development</w:t>
      </w:r>
      <w:r w:rsidRPr="00D75194">
        <w:t xml:space="preserve"> that CASA has supported, primarily around strengthening negotiating groups, for which there is strong evidence of CASA’s contribution; </w:t>
      </w:r>
      <w:r w:rsidR="5AB11C99">
        <w:t>secondly,</w:t>
      </w:r>
      <w:r>
        <w:t xml:space="preserve"> </w:t>
      </w:r>
      <w:r w:rsidRPr="00D75194">
        <w:rPr>
          <w:b/>
          <w:bCs/>
        </w:rPr>
        <w:t>domestic institutions</w:t>
      </w:r>
      <w:r w:rsidRPr="00D75194">
        <w:t xml:space="preserve"> that are able to retain capabilities and implement national priorities on climate change, for which there is limited evidence of CASA’s </w:t>
      </w:r>
      <w:r>
        <w:t>contribution</w:t>
      </w:r>
      <w:r w:rsidRPr="00D75194">
        <w:t xml:space="preserve">; and </w:t>
      </w:r>
      <w:r w:rsidRPr="00D75194">
        <w:rPr>
          <w:b/>
          <w:bCs/>
        </w:rPr>
        <w:t>generating funding</w:t>
      </w:r>
      <w:r w:rsidR="006D5B76">
        <w:t xml:space="preserve"> (</w:t>
      </w:r>
      <w:r w:rsidRPr="00D75194" w:rsidDel="006D5B76">
        <w:t>s</w:t>
      </w:r>
      <w:r w:rsidRPr="00D75194">
        <w:t>een as a</w:t>
      </w:r>
      <w:r w:rsidRPr="00D75194" w:rsidR="006D5B76">
        <w:t>n ongoing</w:t>
      </w:r>
      <w:r w:rsidRPr="00D75194" w:rsidDel="006D5B76">
        <w:t xml:space="preserve"> </w:t>
      </w:r>
      <w:r w:rsidRPr="00D75194">
        <w:t xml:space="preserve">need </w:t>
      </w:r>
      <w:r w:rsidRPr="00D75194" w:rsidR="006D5B76">
        <w:t xml:space="preserve">if actors are </w:t>
      </w:r>
      <w:r w:rsidRPr="00D75194">
        <w:t>to participate and engage in negotiations</w:t>
      </w:r>
      <w:r w:rsidRPr="00D75194" w:rsidR="006D5B76">
        <w:t>)</w:t>
      </w:r>
      <w:r w:rsidRPr="00D75194">
        <w:t>,</w:t>
      </w:r>
      <w:r w:rsidRPr="00D75194" w:rsidDel="008F010C">
        <w:t xml:space="preserve"> </w:t>
      </w:r>
      <w:r w:rsidRPr="00D75194" w:rsidR="008F010C">
        <w:t xml:space="preserve">to </w:t>
      </w:r>
      <w:r w:rsidRPr="00D75194">
        <w:t xml:space="preserve">which CASA has provided only marginal contributions (apart from its own direct support, which is not a sustainability feature). </w:t>
      </w:r>
    </w:p>
    <w:p w:rsidRPr="00D75194" w:rsidR="003B5966" w:rsidP="003B5966" w:rsidRDefault="003B5966" w14:paraId="205285A2" w14:textId="78395B63">
      <w:r w:rsidRPr="00D75194">
        <w:t xml:space="preserve">The impacts of CASA on building </w:t>
      </w:r>
      <w:r w:rsidRPr="00D75194">
        <w:rPr>
          <w:b/>
          <w:bCs/>
        </w:rPr>
        <w:t>individual capacity</w:t>
      </w:r>
      <w:r w:rsidRPr="00D75194">
        <w:t xml:space="preserve"> </w:t>
      </w:r>
      <w:r w:rsidRPr="00D75194" w:rsidR="00F41749">
        <w:t>are</w:t>
      </w:r>
      <w:r w:rsidRPr="00D75194">
        <w:t xml:space="preserve"> clear</w:t>
      </w:r>
      <w:r w:rsidRPr="00D75194" w:rsidR="00640D17">
        <w:t>:</w:t>
      </w:r>
      <w:r w:rsidRPr="00D75194" w:rsidDel="00640D17">
        <w:t xml:space="preserve"> </w:t>
      </w:r>
      <w:r w:rsidRPr="00D75194">
        <w:t xml:space="preserve">many individuals have grown in their ability to effectively engage in international climate negotiations. However, the durability of improved individual capacities will depend significantly on the organisational capabilities that surround them. </w:t>
      </w:r>
      <w:r w:rsidRPr="00D75194" w:rsidR="00640D17">
        <w:t xml:space="preserve">Furthermore, </w:t>
      </w:r>
      <w:r w:rsidRPr="00D75194">
        <w:t xml:space="preserve">the struggles with turnover in the public sector are well known and challenge the retention of new capacity. </w:t>
      </w:r>
    </w:p>
    <w:p w:rsidRPr="00D75194" w:rsidR="003B5966" w:rsidP="003B5966" w:rsidRDefault="003B5966" w14:paraId="18DD5C57" w14:textId="77777777">
      <w:r w:rsidRPr="00D75194">
        <w:t xml:space="preserve">The </w:t>
      </w:r>
      <w:r w:rsidRPr="00D75194">
        <w:rPr>
          <w:b/>
          <w:bCs/>
        </w:rPr>
        <w:t>organisational growth and development</w:t>
      </w:r>
      <w:r w:rsidRPr="00D75194">
        <w:t xml:space="preserve"> that CASA has contributed to presents a greater level of likely durability than individual capacities, with examples of CASA’s contributions again prevalent throughout this analysis.</w:t>
      </w:r>
    </w:p>
    <w:p w:rsidRPr="00D75194" w:rsidR="003B5966" w:rsidP="003B5966" w:rsidRDefault="003B5966" w14:paraId="7F2C29D4" w14:textId="77E8AA4E">
      <w:r w:rsidRPr="00D75194">
        <w:t xml:space="preserve">The </w:t>
      </w:r>
      <w:r w:rsidRPr="00D75194">
        <w:rPr>
          <w:b/>
          <w:bCs/>
        </w:rPr>
        <w:t>institutional changes</w:t>
      </w:r>
      <w:r w:rsidRPr="00D75194">
        <w:t xml:space="preserve"> that CASA has contributed to are likely </w:t>
      </w:r>
      <w:r w:rsidRPr="00D75194" w:rsidR="00E05FFE">
        <w:t xml:space="preserve">to be </w:t>
      </w:r>
      <w:r w:rsidRPr="00D75194">
        <w:t>the most durable</w:t>
      </w:r>
      <w:r w:rsidRPr="00D75194" w:rsidR="00E05FFE">
        <w:t>, while also being</w:t>
      </w:r>
      <w:r w:rsidRPr="00D75194" w:rsidDel="00E05FFE">
        <w:t xml:space="preserve"> </w:t>
      </w:r>
      <w:r w:rsidRPr="00D75194">
        <w:t>the most challenging to achieve</w:t>
      </w:r>
      <w:r w:rsidRPr="00D75194" w:rsidR="00610546">
        <w:t>. Examples include</w:t>
      </w:r>
      <w:r w:rsidRPr="00D75194" w:rsidDel="00610546">
        <w:t xml:space="preserve"> </w:t>
      </w:r>
      <w:r w:rsidRPr="00D75194">
        <w:t>the commitment to double adaptation finance agreed at COP26, or the influence in the 1.5-degree commitment within the Paris Agreement</w:t>
      </w:r>
      <w:r>
        <w:t>.</w:t>
      </w:r>
      <w:r w:rsidRPr="00D75194">
        <w:t xml:space="preserve"> This is because the institutional processes themselves are not easily changed, making the very challenge of achieving a result the thing that safeguards its durability. </w:t>
      </w:r>
    </w:p>
    <w:p w:rsidRPr="00D75194" w:rsidR="003B5966" w:rsidP="003B5966" w:rsidRDefault="003B5966" w14:paraId="5C4D9B02" w14:textId="2AC73936">
      <w:r w:rsidRPr="00D75194">
        <w:t>In sum, we believe the highly relational delivery model that CASA utilises</w:t>
      </w:r>
      <w:r w:rsidRPr="00D75194" w:rsidR="00C71C00">
        <w:t>—</w:t>
      </w:r>
      <w:r w:rsidRPr="00D75194">
        <w:t>leveraging TP capabilities to the point of embedding them in processes, negotiations, and real-time technical advice</w:t>
      </w:r>
      <w:r w:rsidRPr="00D75194" w:rsidR="00C71C00">
        <w:t>—</w:t>
      </w:r>
      <w:r w:rsidRPr="00D75194">
        <w:t xml:space="preserve">has enabled CASA to achieve considerable and disproportional impact from its inputs. However, </w:t>
      </w:r>
      <w:r w:rsidR="004418AB">
        <w:t>in</w:t>
      </w:r>
      <w:r w:rsidRPr="00D75194" w:rsidR="004418AB">
        <w:t xml:space="preserve"> applying this approach</w:t>
      </w:r>
      <w:r w:rsidRPr="00D75194">
        <w:t>, the organisational development of certain groups</w:t>
      </w:r>
      <w:r w:rsidRPr="00D75194" w:rsidR="005B0AFD">
        <w:t>,</w:t>
      </w:r>
      <w:r w:rsidRPr="00D75194">
        <w:t xml:space="preserve"> and even delegations</w:t>
      </w:r>
      <w:r w:rsidRPr="00D75194" w:rsidR="005B0AFD">
        <w:t>,</w:t>
      </w:r>
      <w:r w:rsidRPr="00D75194">
        <w:t xml:space="preserve"> </w:t>
      </w:r>
      <w:r w:rsidRPr="00D75194" w:rsidR="00FD229D">
        <w:t xml:space="preserve">has </w:t>
      </w:r>
      <w:r w:rsidRPr="00D75194">
        <w:t xml:space="preserve">not generally been the key </w:t>
      </w:r>
      <w:r>
        <w:t>force</w:t>
      </w:r>
      <w:r w:rsidRPr="00D75194">
        <w:t xml:space="preserve"> driving that change, and the reliance on CASA</w:t>
      </w:r>
      <w:r w:rsidRPr="00D75194" w:rsidR="00B05067">
        <w:t>’s</w:t>
      </w:r>
      <w:r w:rsidRPr="00D75194">
        <w:t xml:space="preserve"> support has proven fundamental</w:t>
      </w:r>
      <w:r w:rsidRPr="00D75194" w:rsidR="00425A0D">
        <w:t>—</w:t>
      </w:r>
      <w:r w:rsidRPr="00D75194">
        <w:t xml:space="preserve">and at times existential. As such, </w:t>
      </w:r>
      <w:r w:rsidRPr="00D75194">
        <w:rPr>
          <w:b/>
          <w:bCs/>
        </w:rPr>
        <w:t>CASA’s impact is notable but has come at the cost of its sustainability</w:t>
      </w:r>
      <w:r w:rsidRPr="00D75194">
        <w:t xml:space="preserve">. </w:t>
      </w:r>
    </w:p>
    <w:p w:rsidRPr="00D75194" w:rsidR="007D65DC" w:rsidP="007D65DC" w:rsidRDefault="007D65DC" w14:paraId="0C9B3FE9" w14:textId="48DE4088">
      <w:pPr>
        <w:spacing w:after="0"/>
        <w:rPr>
          <w:b/>
          <w:bCs/>
          <w:i/>
          <w:iCs/>
        </w:rPr>
      </w:pPr>
      <w:r w:rsidRPr="00D75194">
        <w:rPr>
          <w:b/>
          <w:bCs/>
          <w:i/>
          <w:iCs/>
        </w:rPr>
        <w:t xml:space="preserve">Strength of </w:t>
      </w:r>
      <w:r w:rsidRPr="00D75194" w:rsidR="00881529">
        <w:rPr>
          <w:b/>
          <w:bCs/>
          <w:i/>
          <w:iCs/>
        </w:rPr>
        <w:t xml:space="preserve">evidence </w:t>
      </w:r>
    </w:p>
    <w:p w:rsidRPr="00D75194" w:rsidR="007D65DC" w:rsidP="007D65DC" w:rsidRDefault="007D65DC" w14:paraId="3AEF7E0D" w14:textId="77777777">
      <w:pPr>
        <w:spacing w:after="0"/>
        <w:rPr>
          <w:i/>
          <w:iCs/>
        </w:rPr>
      </w:pPr>
    </w:p>
    <w:p w:rsidRPr="00D75194" w:rsidR="003B5966" w:rsidP="00B36B93" w:rsidRDefault="00C54DA3" w14:paraId="50ABBE9E" w14:textId="70896B4A">
      <w:pPr>
        <w:rPr>
          <w:i/>
          <w:iCs/>
        </w:rPr>
      </w:pPr>
      <w:r w:rsidRPr="00D75194">
        <w:t xml:space="preserve">The purpose of this </w:t>
      </w:r>
      <w:r w:rsidRPr="00D75194" w:rsidR="00881529">
        <w:t xml:space="preserve">evaluation question </w:t>
      </w:r>
      <w:r w:rsidRPr="00D75194">
        <w:t xml:space="preserve">is to assess the sustainability of CASA II’s results. Evidence of its sustainability is </w:t>
      </w:r>
      <w:r w:rsidRPr="00D75194" w:rsidR="00F41749">
        <w:t>mixed,</w:t>
      </w:r>
      <w:r w:rsidRPr="00D75194">
        <w:t xml:space="preserve"> and</w:t>
      </w:r>
      <w:r w:rsidRPr="00D75194" w:rsidR="00F15E3A">
        <w:t xml:space="preserve"> this evid</w:t>
      </w:r>
      <w:r w:rsidRPr="00D75194" w:rsidR="007F4E2C">
        <w:t>e</w:t>
      </w:r>
      <w:r w:rsidRPr="00D75194" w:rsidR="00F15E3A">
        <w:t>nce</w:t>
      </w:r>
      <w:r w:rsidRPr="00D75194">
        <w:t xml:space="preserve"> presents a limited basis from which to draw </w:t>
      </w:r>
      <w:r w:rsidRPr="00D75194" w:rsidR="00B36B93">
        <w:t xml:space="preserve">clear indications of CASA’s contributions. </w:t>
      </w:r>
    </w:p>
    <w:p w:rsidRPr="00D75194" w:rsidR="007D65DC" w:rsidP="007D65DC" w:rsidRDefault="007D65DC" w14:paraId="10C3793D" w14:textId="1AD49CF4">
      <w:pPr>
        <w:pStyle w:val="Caption"/>
        <w:keepNext/>
      </w:pPr>
      <w:bookmarkStart w:name="_Toc214452999" w:id="101"/>
      <w:r w:rsidRPr="00D75194">
        <w:t xml:space="preserve">Table </w:t>
      </w:r>
      <w:r w:rsidRPr="00D75194">
        <w:fldChar w:fldCharType="begin"/>
      </w:r>
      <w:r w:rsidRPr="00D75194">
        <w:instrText xml:space="preserve"> SEQ Table \* ARABIC </w:instrText>
      </w:r>
      <w:r w:rsidRPr="00D75194">
        <w:fldChar w:fldCharType="separate"/>
      </w:r>
      <w:r w:rsidRPr="00D75194" w:rsidR="004D7A82">
        <w:t>10</w:t>
      </w:r>
      <w:r w:rsidRPr="00D75194">
        <w:fldChar w:fldCharType="end"/>
      </w:r>
      <w:r w:rsidRPr="00D75194">
        <w:t>: Strength of evidence</w:t>
      </w:r>
      <w:r w:rsidRPr="00D75194" w:rsidR="007F4E2C">
        <w:t>—</w:t>
      </w:r>
      <w:r w:rsidRPr="00D75194">
        <w:t>sustainability</w:t>
      </w:r>
      <w:bookmarkEnd w:id="101"/>
      <w:r w:rsidRPr="00D75194">
        <w:t xml:space="preserve"> </w:t>
      </w:r>
    </w:p>
    <w:tbl>
      <w:tblPr>
        <w:tblStyle w:val="TableGrid"/>
        <w:tblW w:w="0" w:type="auto"/>
        <w:tblLook w:val="04A0" w:firstRow="1" w:lastRow="0" w:firstColumn="1" w:lastColumn="0" w:noHBand="0" w:noVBand="1"/>
      </w:tblPr>
      <w:tblGrid>
        <w:gridCol w:w="1165"/>
        <w:gridCol w:w="1530"/>
        <w:gridCol w:w="2430"/>
        <w:gridCol w:w="4225"/>
      </w:tblGrid>
      <w:tr w:rsidRPr="00D75194" w:rsidR="007D65DC" w:rsidTr="6C58874C" w14:paraId="18EDCDAF" w14:textId="77777777">
        <w:trPr>
          <w:trHeight w:val="440"/>
        </w:trPr>
        <w:tc>
          <w:tcPr>
            <w:tcW w:w="1165" w:type="dxa"/>
            <w:shd w:val="clear" w:color="auto" w:fill="D9D9D9" w:themeFill="background1" w:themeFillShade="D9"/>
            <w:vAlign w:val="center"/>
          </w:tcPr>
          <w:p w:rsidRPr="00D75194" w:rsidR="007D65DC" w:rsidRDefault="007D65DC" w14:paraId="360EDBB3" w14:textId="77777777">
            <w:pPr>
              <w:rPr>
                <w:b/>
                <w:bCs/>
                <w:sz w:val="18"/>
                <w:szCs w:val="18"/>
              </w:rPr>
            </w:pPr>
            <w:r w:rsidRPr="00D75194">
              <w:rPr>
                <w:b/>
                <w:bCs/>
                <w:sz w:val="18"/>
                <w:szCs w:val="18"/>
              </w:rPr>
              <w:t>Rating</w:t>
            </w:r>
          </w:p>
        </w:tc>
        <w:tc>
          <w:tcPr>
            <w:tcW w:w="1530" w:type="dxa"/>
            <w:shd w:val="clear" w:color="auto" w:fill="D9D9D9" w:themeFill="background1" w:themeFillShade="D9"/>
            <w:vAlign w:val="center"/>
          </w:tcPr>
          <w:p w:rsidRPr="00D75194" w:rsidR="007D65DC" w:rsidRDefault="007D65DC" w14:paraId="730F20E4" w14:textId="77777777">
            <w:pPr>
              <w:rPr>
                <w:b/>
                <w:bCs/>
                <w:sz w:val="18"/>
                <w:szCs w:val="18"/>
              </w:rPr>
            </w:pPr>
            <w:r w:rsidRPr="00D75194">
              <w:rPr>
                <w:b/>
                <w:bCs/>
                <w:sz w:val="18"/>
                <w:szCs w:val="18"/>
              </w:rPr>
              <w:t>Statement</w:t>
            </w:r>
          </w:p>
        </w:tc>
        <w:tc>
          <w:tcPr>
            <w:tcW w:w="2430" w:type="dxa"/>
            <w:shd w:val="clear" w:color="auto" w:fill="D9D9D9" w:themeFill="background1" w:themeFillShade="D9"/>
            <w:vAlign w:val="center"/>
          </w:tcPr>
          <w:p w:rsidRPr="00D75194" w:rsidR="007D65DC" w:rsidRDefault="007D65DC" w14:paraId="266DB3E1" w14:textId="77777777">
            <w:pPr>
              <w:rPr>
                <w:b/>
                <w:bCs/>
                <w:sz w:val="18"/>
                <w:szCs w:val="18"/>
              </w:rPr>
            </w:pPr>
            <w:r w:rsidRPr="00D75194">
              <w:rPr>
                <w:b/>
                <w:bCs/>
                <w:sz w:val="18"/>
                <w:szCs w:val="18"/>
              </w:rPr>
              <w:t xml:space="preserve">Definition </w:t>
            </w:r>
          </w:p>
        </w:tc>
        <w:tc>
          <w:tcPr>
            <w:tcW w:w="4225" w:type="dxa"/>
            <w:shd w:val="clear" w:color="auto" w:fill="D9D9D9" w:themeFill="background1" w:themeFillShade="D9"/>
            <w:vAlign w:val="center"/>
          </w:tcPr>
          <w:p w:rsidRPr="00D75194" w:rsidR="007D65DC" w:rsidRDefault="007D65DC" w14:paraId="599A8BB0" w14:textId="77777777">
            <w:pPr>
              <w:rPr>
                <w:b/>
                <w:bCs/>
                <w:sz w:val="18"/>
                <w:szCs w:val="18"/>
              </w:rPr>
            </w:pPr>
            <w:r w:rsidRPr="00D75194">
              <w:rPr>
                <w:b/>
                <w:bCs/>
                <w:sz w:val="18"/>
                <w:szCs w:val="18"/>
              </w:rPr>
              <w:t xml:space="preserve">Description </w:t>
            </w:r>
          </w:p>
        </w:tc>
      </w:tr>
      <w:tr w:rsidRPr="00D75194" w:rsidR="006C6DAA" w:rsidTr="6C58874C" w14:paraId="0AD71423" w14:textId="77777777">
        <w:tc>
          <w:tcPr>
            <w:tcW w:w="1165" w:type="dxa"/>
            <w:shd w:val="clear" w:color="auto" w:fill="C00000"/>
            <w:vAlign w:val="center"/>
          </w:tcPr>
          <w:p w:rsidRPr="00D75194" w:rsidR="006C6DAA" w:rsidP="006C6DAA" w:rsidRDefault="006C6DAA" w14:paraId="75F877E1" w14:textId="48644F52">
            <w:pPr>
              <w:rPr>
                <w:b/>
                <w:bCs/>
                <w:sz w:val="18"/>
                <w:szCs w:val="18"/>
              </w:rPr>
            </w:pPr>
            <w:r w:rsidRPr="00D75194">
              <w:rPr>
                <w:b/>
                <w:bCs/>
                <w:sz w:val="18"/>
                <w:szCs w:val="18"/>
              </w:rPr>
              <w:t>Limited evidence</w:t>
            </w:r>
          </w:p>
        </w:tc>
        <w:tc>
          <w:tcPr>
            <w:tcW w:w="1530" w:type="dxa"/>
            <w:vAlign w:val="center"/>
          </w:tcPr>
          <w:p w:rsidRPr="00D75194" w:rsidR="006C6DAA" w:rsidP="006C6DAA" w:rsidRDefault="006C6DAA" w14:paraId="581BF39D" w14:textId="5FA54214">
            <w:pPr>
              <w:rPr>
                <w:sz w:val="18"/>
                <w:szCs w:val="18"/>
              </w:rPr>
            </w:pPr>
            <w:r w:rsidRPr="00D75194">
              <w:rPr>
                <w:sz w:val="18"/>
                <w:szCs w:val="18"/>
                <w:lang w:eastAsia="en-GB"/>
              </w:rPr>
              <w:t>Insufficient evidence to make a judgement</w:t>
            </w:r>
          </w:p>
        </w:tc>
        <w:tc>
          <w:tcPr>
            <w:tcW w:w="2430" w:type="dxa"/>
            <w:vAlign w:val="center"/>
          </w:tcPr>
          <w:p w:rsidRPr="00D75194" w:rsidR="006C6DAA" w:rsidP="006C6DAA" w:rsidRDefault="006C6DAA" w14:paraId="435DB80F" w14:textId="55BB52C1">
            <w:pPr>
              <w:rPr>
                <w:sz w:val="18"/>
                <w:szCs w:val="18"/>
              </w:rPr>
            </w:pPr>
            <w:r w:rsidRPr="00D75194">
              <w:rPr>
                <w:sz w:val="18"/>
                <w:szCs w:val="18"/>
              </w:rPr>
              <w:t>Evidence is singular and</w:t>
            </w:r>
            <w:r w:rsidRPr="00D75194" w:rsidR="00192EF4">
              <w:rPr>
                <w:sz w:val="18"/>
                <w:szCs w:val="18"/>
              </w:rPr>
              <w:t>,</w:t>
            </w:r>
            <w:r w:rsidRPr="00D75194">
              <w:rPr>
                <w:sz w:val="18"/>
                <w:szCs w:val="18"/>
              </w:rPr>
              <w:t xml:space="preserve"> while</w:t>
            </w:r>
            <w:r w:rsidRPr="00D75194" w:rsidR="00192EF4">
              <w:rPr>
                <w:sz w:val="18"/>
                <w:szCs w:val="18"/>
              </w:rPr>
              <w:t xml:space="preserve"> it</w:t>
            </w:r>
            <w:r w:rsidRPr="00D75194">
              <w:rPr>
                <w:sz w:val="18"/>
                <w:szCs w:val="18"/>
              </w:rPr>
              <w:t xml:space="preserve"> may suggest a claim, </w:t>
            </w:r>
            <w:r w:rsidRPr="00D75194" w:rsidR="00192EF4">
              <w:rPr>
                <w:sz w:val="18"/>
                <w:szCs w:val="18"/>
              </w:rPr>
              <w:t xml:space="preserve">it </w:t>
            </w:r>
            <w:r w:rsidRPr="00D75194">
              <w:rPr>
                <w:sz w:val="18"/>
                <w:szCs w:val="18"/>
              </w:rPr>
              <w:t xml:space="preserve">is insufficient to support a valid judgement </w:t>
            </w:r>
          </w:p>
        </w:tc>
        <w:tc>
          <w:tcPr>
            <w:tcW w:w="4225" w:type="dxa"/>
            <w:vAlign w:val="center"/>
          </w:tcPr>
          <w:p w:rsidRPr="00D75194" w:rsidR="006C6DAA" w:rsidP="006C6DAA" w:rsidRDefault="004736C6" w14:paraId="7D6AF21C" w14:textId="7C86B39F">
            <w:pPr>
              <w:rPr>
                <w:sz w:val="18"/>
                <w:szCs w:val="18"/>
              </w:rPr>
            </w:pPr>
            <w:r w:rsidRPr="00D75194">
              <w:rPr>
                <w:sz w:val="18"/>
                <w:szCs w:val="18"/>
              </w:rPr>
              <w:t>Evidence is mixed, depending on the area of focus. Results along the first ToC pathway</w:t>
            </w:r>
            <w:r w:rsidRPr="00D75194" w:rsidR="00A27E82">
              <w:rPr>
                <w:sz w:val="18"/>
                <w:szCs w:val="18"/>
              </w:rPr>
              <w:t>—</w:t>
            </w:r>
            <w:r w:rsidRPr="00D75194">
              <w:rPr>
                <w:sz w:val="18"/>
                <w:szCs w:val="18"/>
              </w:rPr>
              <w:t>capacity and capability building</w:t>
            </w:r>
            <w:r w:rsidRPr="00D75194" w:rsidR="00A27E82">
              <w:rPr>
                <w:sz w:val="18"/>
                <w:szCs w:val="18"/>
              </w:rPr>
              <w:t>—</w:t>
            </w:r>
            <w:r w:rsidRPr="285461A2" w:rsidR="11076DD2">
              <w:rPr>
                <w:sz w:val="18"/>
                <w:szCs w:val="18"/>
              </w:rPr>
              <w:t>are</w:t>
            </w:r>
            <w:r w:rsidRPr="00D75194">
              <w:rPr>
                <w:sz w:val="18"/>
                <w:szCs w:val="18"/>
              </w:rPr>
              <w:t xml:space="preserve"> limited at the individual level but stronger for organisational capabilities. </w:t>
            </w:r>
            <w:r w:rsidRPr="00D75194" w:rsidR="00AA68A1">
              <w:rPr>
                <w:sz w:val="18"/>
                <w:szCs w:val="18"/>
              </w:rPr>
              <w:t xml:space="preserve">There is </w:t>
            </w:r>
            <w:r w:rsidRPr="00D75194" w:rsidR="00DC5374">
              <w:rPr>
                <w:sz w:val="18"/>
                <w:szCs w:val="18"/>
              </w:rPr>
              <w:t>some evidence</w:t>
            </w:r>
            <w:r w:rsidRPr="00D75194" w:rsidR="00AA68A1">
              <w:rPr>
                <w:sz w:val="18"/>
                <w:szCs w:val="18"/>
              </w:rPr>
              <w:t xml:space="preserve"> for</w:t>
            </w:r>
            <w:r w:rsidRPr="00D75194" w:rsidR="00AA68A1">
              <w:t xml:space="preserve"> i</w:t>
            </w:r>
            <w:r w:rsidRPr="00D75194" w:rsidR="00AA68A1">
              <w:rPr>
                <w:sz w:val="18"/>
                <w:szCs w:val="18"/>
              </w:rPr>
              <w:t>nstitutional change</w:t>
            </w:r>
            <w:r w:rsidRPr="00D75194" w:rsidR="00DC5374">
              <w:rPr>
                <w:sz w:val="18"/>
                <w:szCs w:val="18"/>
              </w:rPr>
              <w:t xml:space="preserve">, but </w:t>
            </w:r>
            <w:r w:rsidRPr="00D75194" w:rsidR="0041722E">
              <w:rPr>
                <w:sz w:val="18"/>
                <w:szCs w:val="18"/>
              </w:rPr>
              <w:t xml:space="preserve">such change is vulnerable </w:t>
            </w:r>
            <w:r w:rsidRPr="00D75194" w:rsidR="00DC5374">
              <w:rPr>
                <w:sz w:val="18"/>
                <w:szCs w:val="18"/>
              </w:rPr>
              <w:t xml:space="preserve">to wider political </w:t>
            </w:r>
            <w:r w:rsidRPr="00D75194" w:rsidR="00C27782">
              <w:rPr>
                <w:sz w:val="18"/>
                <w:szCs w:val="18"/>
              </w:rPr>
              <w:t xml:space="preserve">priorities and changes. </w:t>
            </w:r>
          </w:p>
        </w:tc>
      </w:tr>
    </w:tbl>
    <w:p w:rsidRPr="00D75194" w:rsidR="000D59A0" w:rsidP="00184CC7" w:rsidRDefault="00184CC7" w14:paraId="2FC784C4" w14:textId="24324F4E">
      <w:pPr>
        <w:pStyle w:val="Heading3"/>
        <w:numPr>
          <w:ilvl w:val="0"/>
          <w:numId w:val="0"/>
        </w:numPr>
        <w:ind w:left="851" w:hanging="851"/>
      </w:pPr>
      <w:bookmarkStart w:name="_Toc204259842" w:id="102"/>
      <w:r w:rsidRPr="00D75194">
        <w:t xml:space="preserve">EQ </w:t>
      </w:r>
      <w:r w:rsidRPr="00D75194" w:rsidR="000D59A0">
        <w:t>6.1: What should sustainability entail for CASA-supported people and negotiation groups?</w:t>
      </w:r>
      <w:bookmarkEnd w:id="102"/>
      <w:r w:rsidRPr="00D75194" w:rsidR="006B601D">
        <w:t xml:space="preserve"> </w:t>
      </w:r>
    </w:p>
    <w:p w:rsidRPr="00D75194" w:rsidR="1960F064" w:rsidP="65355703" w:rsidRDefault="00184CC7" w14:paraId="13FF4994" w14:textId="2A3FABB5">
      <w:pPr>
        <w:spacing w:after="160" w:line="276" w:lineRule="auto"/>
      </w:pPr>
      <w:r w:rsidRPr="00D75194">
        <w:br/>
      </w:r>
      <w:r w:rsidRPr="00D75194" w:rsidR="5FD67890">
        <w:t xml:space="preserve">CASA has not programmatically presented a view </w:t>
      </w:r>
      <w:r w:rsidR="5FD67890">
        <w:t>or</w:t>
      </w:r>
      <w:r w:rsidRPr="00D75194" w:rsidR="5FD67890">
        <w:t xml:space="preserve"> strategy </w:t>
      </w:r>
      <w:r w:rsidRPr="00D75194" w:rsidR="003D1107">
        <w:t xml:space="preserve">on </w:t>
      </w:r>
      <w:r w:rsidRPr="00D75194" w:rsidR="5FD67890">
        <w:t>its sustainability. As a result, th</w:t>
      </w:r>
      <w:r w:rsidRPr="00D75194" w:rsidR="00DE14E5">
        <w:t>e</w:t>
      </w:r>
      <w:r w:rsidRPr="00D75194" w:rsidR="5FD67890">
        <w:t xml:space="preserve"> question of what sustainability should entail for CASA-supported people and negotiating groups was asked during the </w:t>
      </w:r>
      <w:r w:rsidR="00494461">
        <w:t>final</w:t>
      </w:r>
      <w:r w:rsidRPr="00D75194" w:rsidR="00494461">
        <w:t xml:space="preserve"> evaluation</w:t>
      </w:r>
      <w:r w:rsidRPr="00D75194" w:rsidR="5FD67890">
        <w:t xml:space="preserve">’s data collection. One respondent within the programme structure stated that sustainability is about the ability to respond to the evolving needs around climate negotiations: </w:t>
      </w:r>
    </w:p>
    <w:p w:rsidRPr="00D75194" w:rsidR="1960F064" w:rsidP="009F4C15" w:rsidRDefault="009F4C15" w14:paraId="13E22F50" w14:textId="2D8B16A5">
      <w:pPr>
        <w:spacing w:after="160" w:line="276" w:lineRule="auto"/>
        <w:rPr>
          <w:i/>
          <w:iCs/>
        </w:rPr>
      </w:pPr>
      <w:r w:rsidRPr="00D75194">
        <w:rPr>
          <w:i/>
          <w:iCs/>
        </w:rPr>
        <w:t>“</w:t>
      </w:r>
      <w:r w:rsidRPr="00D75194" w:rsidR="5FD67890">
        <w:rPr>
          <w:i/>
          <w:iCs/>
        </w:rPr>
        <w:t>Sustainability is how [climate actors] can continue accompanying the expanding climate regime, with the needed intelligence, agility</w:t>
      </w:r>
      <w:r w:rsidRPr="00D75194" w:rsidR="00E6658D">
        <w:rPr>
          <w:i/>
          <w:iCs/>
        </w:rPr>
        <w:t>,</w:t>
      </w:r>
      <w:r w:rsidRPr="00D75194" w:rsidR="5FD67890">
        <w:rPr>
          <w:i/>
          <w:iCs/>
        </w:rPr>
        <w:t xml:space="preserve"> and dexterity to expand and change. It is about dynamic sustainability.</w:t>
      </w:r>
      <w:r w:rsidRPr="00D75194">
        <w:rPr>
          <w:i/>
          <w:iCs/>
        </w:rPr>
        <w:t>”</w:t>
      </w:r>
    </w:p>
    <w:p w:rsidRPr="00D75194" w:rsidR="1960F064" w:rsidP="4A9CC10A" w:rsidRDefault="5FD67890" w14:paraId="22465A2A" w14:textId="772E4ECD">
      <w:pPr>
        <w:spacing w:after="160" w:line="276" w:lineRule="auto"/>
      </w:pPr>
      <w:r w:rsidRPr="00D75194">
        <w:t xml:space="preserve">This presents a broad view on </w:t>
      </w:r>
      <w:r w:rsidR="00E6658D">
        <w:t>the</w:t>
      </w:r>
      <w:r w:rsidRPr="00D75194">
        <w:t xml:space="preserve"> capability to adapt to change. However, how that capability is fostered remains a key question for sustainability in CASA. Other views tended to revolve around three core themes.</w:t>
      </w:r>
      <w:r w:rsidRPr="00D75194" w:rsidDel="006B601D">
        <w:t xml:space="preserve"> </w:t>
      </w:r>
    </w:p>
    <w:p w:rsidRPr="00D75194" w:rsidR="1960F064" w:rsidP="4A9CC10A" w:rsidRDefault="5FD67890" w14:paraId="0598D7BE" w14:textId="5C7E5C7E">
      <w:pPr>
        <w:spacing w:after="160" w:line="276" w:lineRule="auto"/>
        <w:rPr>
          <w:b/>
        </w:rPr>
      </w:pPr>
      <w:r w:rsidRPr="47D96C6A">
        <w:rPr>
          <w:b/>
        </w:rPr>
        <w:t>Organisational development</w:t>
      </w:r>
    </w:p>
    <w:p w:rsidRPr="00D75194" w:rsidR="1960F064" w:rsidP="65355703" w:rsidRDefault="5FD67890" w14:paraId="66F42070" w14:textId="65409528">
      <w:pPr>
        <w:spacing w:after="160" w:line="276" w:lineRule="auto"/>
      </w:pPr>
      <w:r w:rsidRPr="00D75194">
        <w:t>Previous sections have discussed ways in which negotiating groups supported by CASA have grown and developed through</w:t>
      </w:r>
      <w:r w:rsidRPr="00D75194" w:rsidR="00B52674">
        <w:t xml:space="preserve"> establishing</w:t>
      </w:r>
      <w:r w:rsidRPr="00D75194">
        <w:t xml:space="preserve"> stronger systems, structures, and practices that enable them to be less prone to individual-level changes. Examples include</w:t>
      </w:r>
      <w:r w:rsidRPr="00D75194" w:rsidDel="00C94809">
        <w:t xml:space="preserve"> </w:t>
      </w:r>
      <w:r w:rsidRPr="00D75194" w:rsidR="00C94809">
        <w:t xml:space="preserve">organisational </w:t>
      </w:r>
      <w:r w:rsidRPr="00D75194">
        <w:t xml:space="preserve">charters, secretariats, policies for managing personnel changes, transitions in chairships, etc. </w:t>
      </w:r>
    </w:p>
    <w:p w:rsidRPr="00D75194" w:rsidR="1960F064" w:rsidP="65355703" w:rsidRDefault="5FD67890" w14:paraId="7BFAE3D0" w14:textId="4D6AC384">
      <w:pPr>
        <w:spacing w:after="160" w:line="276" w:lineRule="auto"/>
      </w:pPr>
      <w:r w:rsidRPr="00D75194">
        <w:t xml:space="preserve">As this CASA-supported person notes, </w:t>
      </w:r>
      <w:r w:rsidRPr="00D75194" w:rsidR="000E7838">
        <w:t xml:space="preserve">organisational </w:t>
      </w:r>
      <w:r w:rsidRPr="00D75194">
        <w:t xml:space="preserve">strengthening would help reduce reliance on CASA funding that flows through TPs, </w:t>
      </w:r>
      <w:r w:rsidRPr="00D75194" w:rsidR="000E7838">
        <w:t xml:space="preserve">on </w:t>
      </w:r>
      <w:r w:rsidRPr="00D75194">
        <w:t xml:space="preserve">which the negotiating groups are currently heavily reliant: </w:t>
      </w:r>
    </w:p>
    <w:p w:rsidRPr="00D75194" w:rsidR="1960F064" w:rsidP="009F4C15" w:rsidRDefault="009F4C15" w14:paraId="724B8A3C" w14:textId="31F34343">
      <w:pPr>
        <w:spacing w:after="160" w:line="276" w:lineRule="auto"/>
        <w:rPr>
          <w:i/>
          <w:iCs/>
        </w:rPr>
      </w:pPr>
      <w:r w:rsidRPr="00D75194">
        <w:rPr>
          <w:i/>
          <w:iCs/>
        </w:rPr>
        <w:t>“</w:t>
      </w:r>
      <w:r w:rsidRPr="00D75194" w:rsidR="5FD67890">
        <w:rPr>
          <w:i/>
          <w:iCs/>
        </w:rPr>
        <w:t>The goal is for negotiating blocs to become more independent, with their own advisors from member countries, rather than relying on external organisations like [specific TPs] for technical input. Ideally, they would put in place a dedicated secretariat or core team that supports them on a rolling basis</w:t>
      </w:r>
      <w:r w:rsidRPr="285461A2" w:rsidR="5FD67890">
        <w:rPr>
          <w:i/>
          <w:iCs/>
        </w:rPr>
        <w:t>—</w:t>
      </w:r>
      <w:r w:rsidRPr="00D75194" w:rsidR="5FD67890">
        <w:rPr>
          <w:i/>
          <w:iCs/>
        </w:rPr>
        <w:t>remaining in place even as leadership changes.</w:t>
      </w:r>
      <w:r w:rsidRPr="00D75194">
        <w:rPr>
          <w:i/>
          <w:iCs/>
        </w:rPr>
        <w:t>”</w:t>
      </w:r>
    </w:p>
    <w:p w:rsidRPr="00D75194" w:rsidR="1960F064" w:rsidP="65355703" w:rsidRDefault="5FD67890" w14:paraId="4C503DA6" w14:textId="5534DDF0">
      <w:pPr>
        <w:spacing w:after="160" w:line="276" w:lineRule="auto"/>
      </w:pPr>
      <w:r w:rsidRPr="00D75194">
        <w:t xml:space="preserve">Other respondents noted how strong </w:t>
      </w:r>
      <w:r w:rsidRPr="00D75194" w:rsidR="00F847A2">
        <w:t xml:space="preserve">organisational </w:t>
      </w:r>
      <w:r w:rsidRPr="00D75194">
        <w:t>systems also help ensure ‘institutional memory’ that mitigates lost capacity when personnel changes. One such example is greater investment in knowledge systems, such as formal repositories, onboarding frameworks, archiving systems, etc</w:t>
      </w:r>
      <w:r w:rsidRPr="00D75194" w:rsidR="0024759E">
        <w:t>., which</w:t>
      </w:r>
      <w:r w:rsidRPr="00D75194">
        <w:t xml:space="preserve"> reduce the frequent reliance on individuals or TPs for institutional memory. </w:t>
      </w:r>
    </w:p>
    <w:p w:rsidRPr="00D75194" w:rsidR="1960F064" w:rsidP="65355703" w:rsidRDefault="5FD67890" w14:paraId="52670BC6" w14:textId="59BB6E6D">
      <w:pPr>
        <w:spacing w:after="160" w:line="276" w:lineRule="auto"/>
      </w:pPr>
      <w:r w:rsidRPr="00D75194">
        <w:t xml:space="preserve">LRI was mentioned often for its investment in this area through </w:t>
      </w:r>
      <w:r w:rsidRPr="00D75194" w:rsidR="0024759E">
        <w:t xml:space="preserve">its </w:t>
      </w:r>
      <w:r w:rsidRPr="00D75194">
        <w:t>website</w:t>
      </w:r>
      <w:r w:rsidRPr="00D75194" w:rsidR="0024759E">
        <w:t>, which</w:t>
      </w:r>
      <w:r w:rsidRPr="00D75194" w:rsidDel="0024759E">
        <w:t xml:space="preserve"> </w:t>
      </w:r>
      <w:r w:rsidRPr="00D75194">
        <w:t xml:space="preserve">contains both knowledge products that </w:t>
      </w:r>
      <w:r w:rsidRPr="00D75194" w:rsidR="00F35393">
        <w:t xml:space="preserve">it </w:t>
      </w:r>
      <w:r w:rsidRPr="00D75194" w:rsidR="00F41749">
        <w:t>produces,</w:t>
      </w:r>
      <w:r w:rsidRPr="00D75194">
        <w:t xml:space="preserve"> and </w:t>
      </w:r>
      <w:r w:rsidRPr="00D75194" w:rsidR="00F35393">
        <w:t xml:space="preserve">which </w:t>
      </w:r>
      <w:r w:rsidRPr="00D75194">
        <w:t>are publicly available, and other similar resources. However, the extent to which these would remain available post-CASA funding is unclear.</w:t>
      </w:r>
    </w:p>
    <w:p w:rsidRPr="00D75194" w:rsidR="1960F064" w:rsidP="65355703" w:rsidRDefault="5FD67890" w14:paraId="4F8485AC" w14:textId="4E3195BD">
      <w:pPr>
        <w:spacing w:after="160" w:line="276" w:lineRule="auto"/>
      </w:pPr>
      <w:r w:rsidRPr="00D75194">
        <w:t>The</w:t>
      </w:r>
      <w:r w:rsidRPr="00D75194" w:rsidR="00876FC3">
        <w:t>re were</w:t>
      </w:r>
      <w:r w:rsidRPr="00D75194">
        <w:t xml:space="preserve"> frequent </w:t>
      </w:r>
      <w:r w:rsidR="000A45FF">
        <w:t>reference</w:t>
      </w:r>
      <w:r w:rsidR="00876FC3">
        <w:t>s</w:t>
      </w:r>
      <w:r w:rsidRPr="00D75194" w:rsidR="000A45FF">
        <w:t xml:space="preserve"> to</w:t>
      </w:r>
      <w:r w:rsidRPr="00D75194">
        <w:t xml:space="preserve"> WhatsApp </w:t>
      </w:r>
      <w:r w:rsidRPr="00D75194" w:rsidR="00876FC3">
        <w:t xml:space="preserve">being </w:t>
      </w:r>
      <w:r w:rsidRPr="00D75194">
        <w:t>a useful tool for achieving real-time results during negotiations</w:t>
      </w:r>
      <w:r w:rsidRPr="00D75194" w:rsidR="00876FC3">
        <w:t>,</w:t>
      </w:r>
      <w:r w:rsidRPr="00D75194">
        <w:t xml:space="preserve"> but </w:t>
      </w:r>
      <w:r w:rsidRPr="00D75194" w:rsidR="00902BA8">
        <w:t xml:space="preserve">since there is </w:t>
      </w:r>
      <w:r w:rsidR="00902BA8">
        <w:t>no</w:t>
      </w:r>
      <w:r w:rsidRPr="00D75194">
        <w:t xml:space="preserve"> way to formally extract the content from those discussions, much of that content is lost</w:t>
      </w:r>
      <w:r w:rsidRPr="00D75194" w:rsidR="00D66859">
        <w:t>—</w:t>
      </w:r>
      <w:r w:rsidRPr="00D75194" w:rsidR="00D622FD">
        <w:t>a</w:t>
      </w:r>
      <w:r w:rsidRPr="00D75194">
        <w:t xml:space="preserve"> demonstration of high-impact results but at the cost </w:t>
      </w:r>
      <w:r w:rsidRPr="00D75194" w:rsidR="00D66859">
        <w:t xml:space="preserve">(currently) </w:t>
      </w:r>
      <w:r w:rsidRPr="00D75194">
        <w:t xml:space="preserve">of sustainable knowledge. </w:t>
      </w:r>
    </w:p>
    <w:p w:rsidRPr="00D75194" w:rsidR="1960F064" w:rsidP="03C8D536" w:rsidRDefault="5FD67890" w14:paraId="604AD3C2" w14:textId="44EAF582">
      <w:pPr>
        <w:spacing w:after="160" w:line="276" w:lineRule="auto"/>
        <w:rPr>
          <w:b/>
          <w:bCs/>
          <w:i/>
          <w:iCs/>
        </w:rPr>
      </w:pPr>
      <w:r w:rsidRPr="00D75194">
        <w:rPr>
          <w:b/>
          <w:bCs/>
          <w:i/>
          <w:iCs/>
        </w:rPr>
        <w:t xml:space="preserve">Domestic institutions </w:t>
      </w:r>
    </w:p>
    <w:p w:rsidRPr="00D75194" w:rsidR="1960F064" w:rsidP="65355703" w:rsidRDefault="5FD67890" w14:paraId="704C0DA7" w14:textId="663DDADB">
      <w:pPr>
        <w:spacing w:after="160" w:line="276" w:lineRule="auto"/>
      </w:pPr>
      <w:r w:rsidRPr="00D75194">
        <w:t xml:space="preserve">National ownership emerged as an important aspect of how CASA’s impacts should be sustained, particularly in contexts where TPs </w:t>
      </w:r>
      <w:r>
        <w:t>play</w:t>
      </w:r>
      <w:r w:rsidRPr="00D75194">
        <w:t xml:space="preserve"> fundamental roles </w:t>
      </w:r>
      <w:r w:rsidRPr="00D75194" w:rsidR="005369F5">
        <w:t xml:space="preserve">in relation </w:t>
      </w:r>
      <w:r w:rsidRPr="00D75194">
        <w:t xml:space="preserve">to negotiators or negotiating groups. </w:t>
      </w:r>
      <w:r w:rsidRPr="00D75194" w:rsidR="005369F5">
        <w:t xml:space="preserve">A </w:t>
      </w:r>
      <w:r w:rsidRPr="00D75194">
        <w:t xml:space="preserve">focus on domestic institutions </w:t>
      </w:r>
      <w:r w:rsidRPr="00D75194" w:rsidR="00A171F8">
        <w:t xml:space="preserve">is </w:t>
      </w:r>
      <w:r w:rsidRPr="00D75194">
        <w:t xml:space="preserve">seen to be lacking </w:t>
      </w:r>
      <w:r w:rsidRPr="00D75194" w:rsidR="005369F5">
        <w:t xml:space="preserve">in </w:t>
      </w:r>
      <w:r w:rsidRPr="00D75194">
        <w:t xml:space="preserve">CASA’s approach. Even </w:t>
      </w:r>
      <w:r w:rsidRPr="00D75194" w:rsidR="005369F5">
        <w:t xml:space="preserve">though </w:t>
      </w:r>
      <w:r w:rsidRPr="00D75194">
        <w:t xml:space="preserve">domestic implementation </w:t>
      </w:r>
      <w:r w:rsidR="005369F5">
        <w:t>has</w:t>
      </w:r>
      <w:r w:rsidRPr="00D75194" w:rsidR="005369F5">
        <w:t xml:space="preserve"> recently become a</w:t>
      </w:r>
      <w:r w:rsidRPr="00D75194">
        <w:t xml:space="preserve"> priority, this has not been undertaken in a way that is seen to systematically strengthen domestic institutions.</w:t>
      </w:r>
    </w:p>
    <w:p w:rsidRPr="00D75194" w:rsidR="1960F064" w:rsidP="65355703" w:rsidRDefault="00A171F8" w14:paraId="204E5352" w14:textId="390FBEA6">
      <w:pPr>
        <w:spacing w:after="160" w:line="276" w:lineRule="auto"/>
      </w:pPr>
      <w:r w:rsidRPr="00D75194">
        <w:t xml:space="preserve">One </w:t>
      </w:r>
      <w:r w:rsidRPr="00D75194" w:rsidR="5FD67890">
        <w:t xml:space="preserve">respondent (a CASA-supported person), when asked what was needed for greater sustainability within CASA, stated: </w:t>
      </w:r>
    </w:p>
    <w:p w:rsidRPr="00D75194" w:rsidR="1960F064" w:rsidP="009F4C15" w:rsidRDefault="009F4C15" w14:paraId="17CD1E49" w14:textId="42968944">
      <w:pPr>
        <w:tabs>
          <w:tab w:val="left" w:pos="5308"/>
        </w:tabs>
        <w:spacing w:after="160" w:line="276" w:lineRule="auto"/>
        <w:rPr>
          <w:i/>
          <w:iCs/>
        </w:rPr>
      </w:pPr>
      <w:r w:rsidRPr="00D75194">
        <w:rPr>
          <w:i/>
          <w:iCs/>
        </w:rPr>
        <w:t>“</w:t>
      </w:r>
      <w:r w:rsidRPr="00D75194" w:rsidR="5FD67890">
        <w:rPr>
          <w:i/>
          <w:iCs/>
        </w:rPr>
        <w:t>This is the kind of long-term structure many hope for: one that strengthens internal capacity and provides continuity. CASA could potentially consider how to support a transition toward this model</w:t>
      </w:r>
      <w:r w:rsidRPr="285461A2" w:rsidR="5FD67890">
        <w:rPr>
          <w:i/>
          <w:iCs/>
        </w:rPr>
        <w:t>—</w:t>
      </w:r>
      <w:r w:rsidRPr="00D75194" w:rsidR="5FD67890">
        <w:rPr>
          <w:i/>
          <w:iCs/>
        </w:rPr>
        <w:t>moving from reliance on external support to building in-country leadership and establishing a more consolidated, permanent institution… Ultimately, it’s about creating a system that’s more sustainable and country-owned.</w:t>
      </w:r>
      <w:r w:rsidRPr="00D75194">
        <w:rPr>
          <w:i/>
          <w:iCs/>
        </w:rPr>
        <w:t>”</w:t>
      </w:r>
    </w:p>
    <w:p w:rsidRPr="00D75194" w:rsidR="1960F064" w:rsidP="65355703" w:rsidRDefault="5FD67890" w14:paraId="32A8BC43" w14:textId="0568592C">
      <w:pPr>
        <w:spacing w:after="160" w:line="276" w:lineRule="auto"/>
      </w:pPr>
      <w:r w:rsidRPr="00D75194">
        <w:t>Still another noted the following</w:t>
      </w:r>
      <w:r w:rsidRPr="00D75194" w:rsidR="00893524">
        <w:t>,</w:t>
      </w:r>
      <w:r w:rsidRPr="00D75194">
        <w:t xml:space="preserve"> </w:t>
      </w:r>
      <w:proofErr w:type="gramStart"/>
      <w:r w:rsidRPr="00D75194">
        <w:t xml:space="preserve">in </w:t>
      </w:r>
      <w:r w:rsidRPr="00D75194" w:rsidR="00893524">
        <w:t>regard to</w:t>
      </w:r>
      <w:proofErr w:type="gramEnd"/>
      <w:r w:rsidRPr="00D75194" w:rsidR="00893524">
        <w:t xml:space="preserve"> </w:t>
      </w:r>
      <w:r w:rsidRPr="00D75194">
        <w:t xml:space="preserve">supporting strong, local ownership: </w:t>
      </w:r>
    </w:p>
    <w:p w:rsidRPr="00D75194" w:rsidR="1960F064" w:rsidP="009F4C15" w:rsidRDefault="009F4C15" w14:paraId="263A82E7" w14:textId="48547C77">
      <w:pPr>
        <w:tabs>
          <w:tab w:val="left" w:pos="5308"/>
        </w:tabs>
        <w:spacing w:after="160" w:line="276" w:lineRule="auto"/>
        <w:rPr>
          <w:i/>
          <w:iCs/>
        </w:rPr>
      </w:pPr>
      <w:r w:rsidRPr="00D75194">
        <w:rPr>
          <w:i/>
          <w:iCs/>
        </w:rPr>
        <w:t>“</w:t>
      </w:r>
      <w:r w:rsidRPr="00D75194" w:rsidR="5FD67890">
        <w:rPr>
          <w:i/>
          <w:iCs/>
        </w:rPr>
        <w:t xml:space="preserve">If you want to get sustainable results on climate, it's really about countries pushing their own views and pushing their perspectives in ways that are meaningful and especially credible. So that means countries working more holistically within their own civil society space… to make sure that the priorities of their own people in their countries are </w:t>
      </w:r>
      <w:proofErr w:type="gramStart"/>
      <w:r w:rsidRPr="00D75194" w:rsidR="5FD67890">
        <w:rPr>
          <w:i/>
          <w:iCs/>
        </w:rPr>
        <w:t>taken into account</w:t>
      </w:r>
      <w:proofErr w:type="gramEnd"/>
      <w:r w:rsidRPr="00D75194" w:rsidR="5FD67890">
        <w:rPr>
          <w:i/>
          <w:iCs/>
        </w:rPr>
        <w:t xml:space="preserve"> and are taken to the global space and are heard.</w:t>
      </w:r>
      <w:r w:rsidRPr="00D75194">
        <w:rPr>
          <w:i/>
          <w:iCs/>
        </w:rPr>
        <w:t>”</w:t>
      </w:r>
    </w:p>
    <w:p w:rsidRPr="00D75194" w:rsidR="1960F064" w:rsidP="03C8D536" w:rsidRDefault="5FD67890" w14:paraId="5BFBF08D" w14:textId="24052EF1">
      <w:pPr>
        <w:spacing w:after="160" w:line="276" w:lineRule="auto"/>
      </w:pPr>
      <w:r w:rsidRPr="00D75194">
        <w:t>Another avenue</w:t>
      </w:r>
      <w:r w:rsidRPr="00D75194" w:rsidR="0083270E">
        <w:t xml:space="preserve"> </w:t>
      </w:r>
      <w:r w:rsidRPr="00D75194">
        <w:t>for strengthening domestic capabilities and ownership</w:t>
      </w:r>
      <w:r w:rsidRPr="00D75194" w:rsidR="00497E9F">
        <w:t xml:space="preserve"> that</w:t>
      </w:r>
      <w:r w:rsidRPr="00D75194">
        <w:t xml:space="preserve"> was noted </w:t>
      </w:r>
      <w:r w:rsidRPr="00D75194" w:rsidR="0083270E">
        <w:t xml:space="preserve">was </w:t>
      </w:r>
      <w:r w:rsidRPr="00D75194">
        <w:t>the role of National Focal Points</w:t>
      </w:r>
      <w:r>
        <w:t>.</w:t>
      </w:r>
      <w:r w:rsidRPr="00D75194">
        <w:t xml:space="preserve"> Within the discussion of the LDC Group, </w:t>
      </w:r>
      <w:r w:rsidRPr="00D75194" w:rsidR="001D1EED">
        <w:t xml:space="preserve">National Focal Points </w:t>
      </w:r>
      <w:r w:rsidRPr="00D75194">
        <w:t xml:space="preserve">were seen as under-resourced and under-engaged but </w:t>
      </w:r>
      <w:r w:rsidRPr="00D75194" w:rsidR="00C739BB">
        <w:t xml:space="preserve">as offering </w:t>
      </w:r>
      <w:r w:rsidRPr="00D75194">
        <w:t xml:space="preserve">a means of </w:t>
      </w:r>
      <w:r w:rsidRPr="00D75194" w:rsidR="008D74DC">
        <w:t xml:space="preserve">increasing </w:t>
      </w:r>
      <w:r w:rsidRPr="00D75194">
        <w:t xml:space="preserve">negotiating capacity and strengthening institutional gains at country levels. </w:t>
      </w:r>
    </w:p>
    <w:p w:rsidRPr="00D75194" w:rsidR="1960F064" w:rsidP="03C8D536" w:rsidRDefault="5FD67890" w14:paraId="78975CD7" w14:textId="1CABE9AB">
      <w:pPr>
        <w:spacing w:after="160" w:line="276" w:lineRule="auto"/>
        <w:rPr>
          <w:b/>
          <w:bCs/>
          <w:i/>
          <w:iCs/>
        </w:rPr>
      </w:pPr>
      <w:r w:rsidRPr="00D75194">
        <w:rPr>
          <w:b/>
          <w:bCs/>
          <w:i/>
          <w:iCs/>
        </w:rPr>
        <w:t xml:space="preserve">Funding </w:t>
      </w:r>
    </w:p>
    <w:p w:rsidRPr="00D75194" w:rsidR="005A433C" w:rsidP="008E2151" w:rsidRDefault="5FD67890" w14:paraId="7E1C6D22" w14:textId="2A760615">
      <w:pPr>
        <w:spacing w:after="160" w:line="276" w:lineRule="auto"/>
      </w:pPr>
      <w:r w:rsidRPr="00D75194">
        <w:t xml:space="preserve">Finally, funding was seen as a need that </w:t>
      </w:r>
      <w:r w:rsidRPr="00D75194" w:rsidR="00070E6D">
        <w:t xml:space="preserve">is </w:t>
      </w:r>
      <w:r w:rsidRPr="00D75194">
        <w:t xml:space="preserve">not likely </w:t>
      </w:r>
      <w:r w:rsidRPr="00D75194" w:rsidR="00070E6D">
        <w:t xml:space="preserve">to </w:t>
      </w:r>
      <w:r w:rsidRPr="00D75194">
        <w:t>cease for the countries and negotiating groups that CASA supports. No matter the</w:t>
      </w:r>
      <w:r w:rsidRPr="00D75194" w:rsidDel="007079E2">
        <w:t xml:space="preserve"> </w:t>
      </w:r>
      <w:r w:rsidRPr="00D75194" w:rsidR="007079E2">
        <w:t xml:space="preserve">organisational </w:t>
      </w:r>
      <w:r w:rsidRPr="00D75194">
        <w:t xml:space="preserve">development or institutional gains seen, climate negotiators and advisors still require financial support to attend meetings and negotiations throughout the annual process. As one TP </w:t>
      </w:r>
      <w:r w:rsidR="007079E2">
        <w:t>noted</w:t>
      </w:r>
      <w:r w:rsidRPr="00D75194">
        <w:t>, this is a simple and enduring need: “</w:t>
      </w:r>
      <w:r w:rsidRPr="00D75194">
        <w:rPr>
          <w:i/>
          <w:iCs/>
        </w:rPr>
        <w:t>If there is no money, delegates and advisors/technical experts can’t go</w:t>
      </w:r>
      <w:r w:rsidRPr="00D75194">
        <w:t>.”</w:t>
      </w:r>
      <w:r w:rsidRPr="00D75194" w:rsidDel="006B601D">
        <w:t xml:space="preserve"> </w:t>
      </w:r>
      <w:r w:rsidRPr="00D75194">
        <w:t>With this residing need so clearly in mind, greater effort should be directed towards building capacities to access funding outside of CASA.</w:t>
      </w:r>
    </w:p>
    <w:p w:rsidRPr="00D75194" w:rsidR="000D59A0" w:rsidP="00184CC7" w:rsidRDefault="00184CC7" w14:paraId="3AA94696" w14:textId="1C6CDC69">
      <w:pPr>
        <w:pStyle w:val="Heading3"/>
        <w:numPr>
          <w:ilvl w:val="0"/>
          <w:numId w:val="0"/>
        </w:numPr>
        <w:ind w:left="851" w:hanging="851"/>
      </w:pPr>
      <w:bookmarkStart w:name="_Toc204259843" w:id="103"/>
      <w:r w:rsidRPr="00D75194">
        <w:t xml:space="preserve">EQ </w:t>
      </w:r>
      <w:r w:rsidRPr="00D75194" w:rsidR="000D59A0">
        <w:t>6.2: To what extent are CASA-supported results likely to be sustained, and how?</w:t>
      </w:r>
      <w:bookmarkEnd w:id="103"/>
      <w:r w:rsidRPr="00D75194" w:rsidR="000D59A0">
        <w:t> </w:t>
      </w:r>
    </w:p>
    <w:p w:rsidRPr="00D75194" w:rsidR="000D59A0" w:rsidP="000D59A0" w:rsidRDefault="00184CC7" w14:paraId="0B05B18D" w14:textId="253A952D">
      <w:r w:rsidRPr="00D75194">
        <w:br/>
      </w:r>
      <w:r w:rsidRPr="00D75194" w:rsidR="000D59A0">
        <w:t>Given the constantly evolving nature of international climate negotiations</w:t>
      </w:r>
      <w:r w:rsidRPr="00D75194" w:rsidR="004E35E6">
        <w:t>—</w:t>
      </w:r>
      <w:r w:rsidRPr="00D75194" w:rsidR="000D59A0">
        <w:t>and even domestic implementation priorities</w:t>
      </w:r>
      <w:r w:rsidRPr="00D75194" w:rsidR="004E35E6">
        <w:t>—</w:t>
      </w:r>
      <w:r w:rsidRPr="00D75194" w:rsidR="000D59A0">
        <w:t xml:space="preserve">the role of CASA’s impacts at the institutional level are </w:t>
      </w:r>
      <w:proofErr w:type="gramStart"/>
      <w:r w:rsidRPr="00D75194" w:rsidR="000D59A0">
        <w:t>all the more</w:t>
      </w:r>
      <w:proofErr w:type="gramEnd"/>
      <w:r w:rsidRPr="00D75194" w:rsidR="000D59A0">
        <w:t xml:space="preserve"> important as a means of ensuring that its </w:t>
      </w:r>
      <w:r w:rsidR="367C2A1F">
        <w:t>achievements</w:t>
      </w:r>
      <w:r w:rsidRPr="00D75194" w:rsidR="000D59A0">
        <w:t xml:space="preserve"> endure as long as possible. However, as the effects of climate change become more pronounced and natural resources continue to diminish, global priorities will continue to evolve</w:t>
      </w:r>
      <w:r w:rsidRPr="00D75194" w:rsidR="00A27DC2">
        <w:t>,</w:t>
      </w:r>
      <w:r w:rsidRPr="00D75194" w:rsidR="000D59A0">
        <w:t xml:space="preserve"> and with them the institutions that frame the human response to climate change. </w:t>
      </w:r>
    </w:p>
    <w:p w:rsidRPr="00D75194" w:rsidR="000D59A0" w:rsidP="000D59A0" w:rsidRDefault="000D59A0" w14:paraId="74792584" w14:textId="1AED912B">
      <w:r w:rsidRPr="00D75194">
        <w:t>Our analysis of sustainability mirrors the theory behind impact</w:t>
      </w:r>
      <w:r w:rsidRPr="00D75194" w:rsidR="00E848D7">
        <w:t>:</w:t>
      </w:r>
      <w:r w:rsidRPr="00D75194" w:rsidDel="00E848D7">
        <w:t xml:space="preserve"> </w:t>
      </w:r>
      <w:r w:rsidRPr="00D75194">
        <w:t xml:space="preserve">that CASA’s impacts can be considered along the </w:t>
      </w:r>
      <w:r w:rsidRPr="00D75194" w:rsidR="009649B4">
        <w:t xml:space="preserve">three </w:t>
      </w:r>
      <w:r w:rsidRPr="00D75194">
        <w:t xml:space="preserve">planes of individual capacity, organisational capability, </w:t>
      </w:r>
      <w:r w:rsidRPr="00D75194" w:rsidR="43BF919B">
        <w:t xml:space="preserve">and </w:t>
      </w:r>
      <w:r w:rsidRPr="00D75194">
        <w:t xml:space="preserve">institutional change. </w:t>
      </w:r>
    </w:p>
    <w:p w:rsidRPr="00D75194" w:rsidR="000D59A0" w:rsidP="000D59A0" w:rsidRDefault="000D59A0" w14:paraId="526541EA" w14:textId="77777777">
      <w:pPr>
        <w:rPr>
          <w:b/>
          <w:bCs/>
          <w:i/>
          <w:iCs/>
        </w:rPr>
      </w:pPr>
      <w:r w:rsidRPr="00D75194">
        <w:rPr>
          <w:b/>
          <w:bCs/>
          <w:i/>
          <w:iCs/>
        </w:rPr>
        <w:t>Individual capacity</w:t>
      </w:r>
    </w:p>
    <w:p w:rsidRPr="00D75194" w:rsidR="000D59A0" w:rsidP="000D59A0" w:rsidRDefault="00AE422C" w14:paraId="119E9650" w14:textId="74FA5C96">
      <w:r w:rsidRPr="00D75194">
        <w:t xml:space="preserve">CASA’s </w:t>
      </w:r>
      <w:r w:rsidR="000D59A0">
        <w:t>impact</w:t>
      </w:r>
      <w:r w:rsidRPr="00D75194" w:rsidDel="00AE422C" w:rsidR="000D59A0">
        <w:t xml:space="preserve"> </w:t>
      </w:r>
      <w:r w:rsidRPr="00D75194" w:rsidR="000D59A0">
        <w:t>on building individual capacity is clear</w:t>
      </w:r>
      <w:r w:rsidRPr="00D75194">
        <w:t>:</w:t>
      </w:r>
      <w:r w:rsidRPr="00D75194" w:rsidDel="00AE422C" w:rsidR="000D59A0">
        <w:t xml:space="preserve"> </w:t>
      </w:r>
      <w:r w:rsidRPr="00D75194" w:rsidR="000D59A0">
        <w:t xml:space="preserve">many individuals have grown in their ability to effectively engage in international climate negotiations. However, the durability of improved individual capacities will depend </w:t>
      </w:r>
      <w:r w:rsidRPr="00D75194" w:rsidR="3E4A4FEA">
        <w:t>significantly</w:t>
      </w:r>
      <w:r w:rsidRPr="00D75194" w:rsidR="000D59A0">
        <w:t xml:space="preserve"> on the organisational capabilities that surround them. </w:t>
      </w:r>
    </w:p>
    <w:p w:rsidRPr="00D75194" w:rsidR="4D5E35AC" w:rsidP="1EDB8A0B" w:rsidRDefault="4D5E35AC" w14:paraId="5EB38B05" w14:textId="51FEF823">
      <w:r w:rsidRPr="00D75194">
        <w:t xml:space="preserve">Moreover, individuals from the public sector in many of the lower- </w:t>
      </w:r>
      <w:r w:rsidRPr="00D75194" w:rsidR="00AA22DD">
        <w:t xml:space="preserve">and </w:t>
      </w:r>
      <w:r w:rsidRPr="00D75194">
        <w:t xml:space="preserve">middle-income countries represented by the big negotiation groups or associations that receive CASA support often engage in negotiations </w:t>
      </w:r>
      <w:r w:rsidRPr="00D75194" w:rsidR="00C4709A">
        <w:t xml:space="preserve">part-time, </w:t>
      </w:r>
      <w:r w:rsidRPr="00D75194">
        <w:t xml:space="preserve">alongside a myriad of other commitments within their governments. These positions shift and the public sector is known for </w:t>
      </w:r>
      <w:r w:rsidRPr="00D75194" w:rsidR="00981D4D">
        <w:t xml:space="preserve">its </w:t>
      </w:r>
      <w:r w:rsidRPr="00D75194">
        <w:t xml:space="preserve">high turnover. </w:t>
      </w:r>
    </w:p>
    <w:p w:rsidRPr="00D75194" w:rsidR="4D5E35AC" w:rsidP="1EDB8A0B" w:rsidRDefault="4D5E35AC" w14:paraId="2DA3CD82" w14:textId="41435557">
      <w:r w:rsidRPr="00D75194">
        <w:t>For example, one respondent noted how Nepali negotiators</w:t>
      </w:r>
      <w:r w:rsidRPr="00D75194" w:rsidR="00D07021">
        <w:t>’</w:t>
      </w:r>
      <w:r w:rsidRPr="00D75194">
        <w:t xml:space="preserve"> </w:t>
      </w:r>
      <w:r>
        <w:t>recei</w:t>
      </w:r>
      <w:r w:rsidR="00D07021">
        <w:t>pt</w:t>
      </w:r>
      <w:r w:rsidRPr="00D75194" w:rsidR="00D07021">
        <w:t xml:space="preserve"> of</w:t>
      </w:r>
      <w:r w:rsidRPr="00D75194">
        <w:t xml:space="preserve"> support and training from civil society advisory services is inherently unsustainable, because if that cadre of trainers leave, the new government personnel will need the same support and </w:t>
      </w:r>
      <w:r w:rsidRPr="00D75194" w:rsidR="002C04BE">
        <w:t>training,</w:t>
      </w:r>
      <w:r w:rsidRPr="00D75194">
        <w:t xml:space="preserve"> but the government itself will not be able to provide it. </w:t>
      </w:r>
    </w:p>
    <w:p w:rsidRPr="00D75194" w:rsidR="4D5E35AC" w:rsidP="1EDB8A0B" w:rsidRDefault="4D5E35AC" w14:paraId="3F7395DD" w14:textId="021A7619">
      <w:r w:rsidRPr="00D75194">
        <w:t xml:space="preserve">Another respondent stated that he undertook training for two years under the </w:t>
      </w:r>
      <w:r w:rsidRPr="00D75194" w:rsidR="00E04A0E">
        <w:t xml:space="preserve">United Nation </w:t>
      </w:r>
      <w:r w:rsidR="00F53E28">
        <w:t>E</w:t>
      </w:r>
      <w:r>
        <w:t xml:space="preserve">conomic </w:t>
      </w:r>
      <w:r w:rsidR="00F53E28">
        <w:t>C</w:t>
      </w:r>
      <w:r>
        <w:t>ommission</w:t>
      </w:r>
      <w:r w:rsidRPr="00D75194">
        <w:t xml:space="preserve"> for Africa</w:t>
      </w:r>
      <w:r w:rsidRPr="00D75194" w:rsidR="00F53E28">
        <w:t>,</w:t>
      </w:r>
      <w:r w:rsidRPr="00D75194">
        <w:t xml:space="preserve"> which sought to improve and build climate law expertise </w:t>
      </w:r>
      <w:r w:rsidR="00B67448">
        <w:t>among</w:t>
      </w:r>
      <w:r w:rsidRPr="00D75194">
        <w:t xml:space="preserve"> young Africans. After his training, his ministry signed an agreement to confirm that he would be included in his country’s delegation</w:t>
      </w:r>
      <w:r w:rsidR="001C0B1E">
        <w:t>, b</w:t>
      </w:r>
      <w:r>
        <w:t>ut</w:t>
      </w:r>
      <w:r w:rsidRPr="00D75194">
        <w:t xml:space="preserve"> he was then transferred to a completely different department and was doing something completely different within a year. </w:t>
      </w:r>
    </w:p>
    <w:p w:rsidRPr="00D75194" w:rsidR="4D5E35AC" w:rsidP="1EDB8A0B" w:rsidRDefault="4D5E35AC" w14:paraId="5CE75956" w14:textId="56E77F6B">
      <w:r w:rsidRPr="00D75194">
        <w:t>Unless there are clear domestic commitments to the climate change agenda that provide systemic support to fostering and retaining individual capacities in the long</w:t>
      </w:r>
      <w:r w:rsidRPr="00D75194" w:rsidR="00256253">
        <w:t xml:space="preserve"> </w:t>
      </w:r>
      <w:r w:rsidRPr="00D75194">
        <w:t xml:space="preserve">term, those skills are likely to </w:t>
      </w:r>
      <w:r>
        <w:t>be</w:t>
      </w:r>
      <w:r w:rsidRPr="00D75194">
        <w:t xml:space="preserve"> lost over time. </w:t>
      </w:r>
    </w:p>
    <w:p w:rsidRPr="00D75194" w:rsidR="79D6ED32" w:rsidP="1EDB8A0B" w:rsidRDefault="4D5E35AC" w14:paraId="0C351B76" w14:textId="599895E3">
      <w:r w:rsidRPr="00D75194">
        <w:t xml:space="preserve">In other cases, some individuals have managed to navigate a personal ascension through different climate structures in a way that has enabled them to not only retain but </w:t>
      </w:r>
      <w:r w:rsidRPr="00D75194" w:rsidR="00EC0B07">
        <w:t xml:space="preserve">also to </w:t>
      </w:r>
      <w:r w:rsidRPr="00D75194">
        <w:t>increase their skills. Many of their stories are noted throughout this report and</w:t>
      </w:r>
      <w:r w:rsidRPr="00D75194" w:rsidR="00420049">
        <w:t xml:space="preserve"> in</w:t>
      </w:r>
      <w:r w:rsidRPr="00D75194">
        <w:t xml:space="preserve"> the case studies. </w:t>
      </w:r>
      <w:r w:rsidRPr="00D75194" w:rsidR="00420049">
        <w:t xml:space="preserve">However, </w:t>
      </w:r>
      <w:r w:rsidR="00420049">
        <w:t>t</w:t>
      </w:r>
      <w:r>
        <w:t>hese</w:t>
      </w:r>
      <w:r w:rsidRPr="00D75194">
        <w:t xml:space="preserve"> individuals are exceptions</w:t>
      </w:r>
      <w:r w:rsidRPr="00D75194" w:rsidR="00420049">
        <w:t>,</w:t>
      </w:r>
      <w:r w:rsidRPr="00D75194">
        <w:t xml:space="preserve"> rather than exemplars of sustainable individual capacity building.</w:t>
      </w:r>
    </w:p>
    <w:p w:rsidRPr="00D75194" w:rsidR="000D59A0" w:rsidP="000D59A0" w:rsidRDefault="000D59A0" w14:paraId="0A4BE427" w14:textId="3072F96F">
      <w:pPr>
        <w:rPr>
          <w:b/>
          <w:bCs/>
          <w:i/>
          <w:iCs/>
        </w:rPr>
      </w:pPr>
      <w:r w:rsidRPr="00D75194">
        <w:rPr>
          <w:b/>
          <w:bCs/>
          <w:i/>
          <w:iCs/>
        </w:rPr>
        <w:t xml:space="preserve">Organisational capability </w:t>
      </w:r>
    </w:p>
    <w:p w:rsidRPr="00D75194" w:rsidR="252A96D5" w:rsidP="56CEB7BB" w:rsidRDefault="000D59A0" w14:paraId="172818CD" w14:textId="351F35B9">
      <w:pPr>
        <w:spacing w:after="160" w:line="276" w:lineRule="auto"/>
        <w:rPr>
          <w:rFonts w:asciiTheme="minorHAnsi" w:hAnsiTheme="minorHAnsi" w:eastAsiaTheme="minorEastAsia"/>
        </w:rPr>
      </w:pPr>
      <w:r w:rsidRPr="00D75194">
        <w:t xml:space="preserve">The organisational growth and development that CASA has contributed to </w:t>
      </w:r>
      <w:r w:rsidR="003553FA">
        <w:t>is</w:t>
      </w:r>
      <w:r w:rsidRPr="00D75194" w:rsidR="003553FA">
        <w:t xml:space="preserve"> more</w:t>
      </w:r>
      <w:r w:rsidRPr="00D75194">
        <w:t xml:space="preserve"> likely </w:t>
      </w:r>
      <w:r w:rsidRPr="00D75194" w:rsidR="003553FA">
        <w:t xml:space="preserve">to be durable </w:t>
      </w:r>
      <w:r w:rsidRPr="00D75194">
        <w:t>than</w:t>
      </w:r>
      <w:r w:rsidRPr="00D75194" w:rsidR="003553FA">
        <w:t xml:space="preserve"> its impact on</w:t>
      </w:r>
      <w:r w:rsidRPr="00D75194">
        <w:t xml:space="preserve"> individual capacities</w:t>
      </w:r>
      <w:r w:rsidRPr="00D75194" w:rsidR="00EA1266">
        <w:t>, with examples of CASA’s contributions</w:t>
      </w:r>
      <w:r w:rsidRPr="00D75194" w:rsidR="00101DDB">
        <w:t xml:space="preserve"> to organisational capability </w:t>
      </w:r>
      <w:r w:rsidRPr="00D75194" w:rsidR="00EA1266">
        <w:t>again prevalent throughout this analysis</w:t>
      </w:r>
      <w:r w:rsidRPr="00D75194">
        <w:t xml:space="preserve">. </w:t>
      </w:r>
      <w:r w:rsidRPr="00D75194" w:rsidR="00A00DE6">
        <w:t>However,</w:t>
      </w:r>
      <w:r w:rsidRPr="00D75194">
        <w:t xml:space="preserve"> this </w:t>
      </w:r>
      <w:r w:rsidRPr="00D75194" w:rsidR="00650F86">
        <w:t xml:space="preserve">achievement </w:t>
      </w:r>
      <w:r w:rsidRPr="00D75194">
        <w:t xml:space="preserve">is still not well fortified against circumstantial changes. </w:t>
      </w:r>
      <w:r w:rsidRPr="00D75194" w:rsidR="252A96D5">
        <w:rPr>
          <w:rFonts w:asciiTheme="minorHAnsi" w:hAnsiTheme="minorHAnsi" w:eastAsiaTheme="minorEastAsia"/>
        </w:rPr>
        <w:t xml:space="preserve">Examples of this are shown </w:t>
      </w:r>
      <w:r w:rsidRPr="285461A2" w:rsidR="695D1E38">
        <w:rPr>
          <w:rFonts w:asciiTheme="minorHAnsi" w:hAnsiTheme="minorHAnsi" w:eastAsiaTheme="minorEastAsia"/>
        </w:rPr>
        <w:t>in the Effectiveness and Impact sections</w:t>
      </w:r>
      <w:r w:rsidRPr="285461A2" w:rsidR="00650F86">
        <w:rPr>
          <w:rFonts w:asciiTheme="minorHAnsi" w:hAnsiTheme="minorHAnsi" w:eastAsiaTheme="minorEastAsia"/>
        </w:rPr>
        <w:t>,</w:t>
      </w:r>
      <w:r w:rsidRPr="00D75194" w:rsidDel="0010693E" w:rsidR="252A96D5">
        <w:rPr>
          <w:rFonts w:asciiTheme="minorHAnsi" w:hAnsiTheme="minorHAnsi" w:eastAsiaTheme="minorEastAsia"/>
        </w:rPr>
        <w:t xml:space="preserve"> </w:t>
      </w:r>
      <w:r w:rsidRPr="00D75194" w:rsidR="0010693E">
        <w:rPr>
          <w:rFonts w:asciiTheme="minorHAnsi" w:hAnsiTheme="minorHAnsi" w:eastAsiaTheme="minorEastAsia"/>
        </w:rPr>
        <w:t xml:space="preserve">with </w:t>
      </w:r>
      <w:r w:rsidRPr="00D75194" w:rsidR="252A96D5">
        <w:rPr>
          <w:rFonts w:asciiTheme="minorHAnsi" w:hAnsiTheme="minorHAnsi" w:eastAsiaTheme="minorEastAsia"/>
        </w:rPr>
        <w:t xml:space="preserve">organisational structures </w:t>
      </w:r>
      <w:r w:rsidRPr="00D75194" w:rsidR="0010693E">
        <w:rPr>
          <w:rFonts w:asciiTheme="minorHAnsi" w:hAnsiTheme="minorHAnsi" w:eastAsiaTheme="minorEastAsia"/>
        </w:rPr>
        <w:t xml:space="preserve">able to </w:t>
      </w:r>
      <w:r w:rsidRPr="00D75194" w:rsidR="252A96D5">
        <w:rPr>
          <w:rFonts w:asciiTheme="minorHAnsi" w:hAnsiTheme="minorHAnsi" w:eastAsiaTheme="minorEastAsia"/>
        </w:rPr>
        <w:t xml:space="preserve">help mitigate staff turnover, for example, and </w:t>
      </w:r>
      <w:r w:rsidRPr="00D75194" w:rsidR="0010693E">
        <w:rPr>
          <w:rFonts w:asciiTheme="minorHAnsi" w:hAnsiTheme="minorHAnsi" w:eastAsiaTheme="minorEastAsia"/>
        </w:rPr>
        <w:t xml:space="preserve">to </w:t>
      </w:r>
      <w:r w:rsidRPr="00D75194" w:rsidR="252A96D5">
        <w:rPr>
          <w:rFonts w:asciiTheme="minorHAnsi" w:hAnsiTheme="minorHAnsi" w:eastAsiaTheme="minorEastAsia"/>
        </w:rPr>
        <w:t>retain ‘institutional memory’</w:t>
      </w:r>
      <w:r w:rsidRPr="285461A2" w:rsidR="252A96D5">
        <w:rPr>
          <w:rFonts w:asciiTheme="minorHAnsi" w:hAnsiTheme="minorHAnsi" w:eastAsiaTheme="minorEastAsia"/>
        </w:rPr>
        <w:t>.</w:t>
      </w:r>
      <w:r w:rsidRPr="00D75194" w:rsidR="252A96D5">
        <w:rPr>
          <w:rFonts w:asciiTheme="minorHAnsi" w:hAnsiTheme="minorHAnsi" w:eastAsiaTheme="minorEastAsia"/>
        </w:rPr>
        <w:t xml:space="preserve"> As one CASA-supported person noted on the volatility of individual-focused capacity building: </w:t>
      </w:r>
    </w:p>
    <w:p w:rsidRPr="00D75194" w:rsidR="252A96D5" w:rsidP="00280269" w:rsidRDefault="00280269" w14:paraId="3D78F29E" w14:textId="2749364F">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252A96D5">
        <w:rPr>
          <w:rFonts w:asciiTheme="minorHAnsi" w:hAnsiTheme="minorHAnsi" w:eastAsiaTheme="minorEastAsia"/>
          <w:i/>
          <w:iCs/>
        </w:rPr>
        <w:t>Colleagues come and go, there are new team members and new people coming in who need to be levelled up to reach the same base level that others were at before they left. They need to understand how to deal with the negotiations. The</w:t>
      </w:r>
      <w:r w:rsidRPr="00D75194" w:rsidR="2FD82C4E">
        <w:rPr>
          <w:rFonts w:asciiTheme="minorHAnsi" w:hAnsiTheme="minorHAnsi" w:eastAsiaTheme="minorEastAsia"/>
          <w:i/>
          <w:iCs/>
        </w:rPr>
        <w:t>y</w:t>
      </w:r>
      <w:r w:rsidRPr="00D75194" w:rsidR="252A96D5">
        <w:rPr>
          <w:rFonts w:asciiTheme="minorHAnsi" w:hAnsiTheme="minorHAnsi" w:eastAsiaTheme="minorEastAsia"/>
          <w:i/>
          <w:iCs/>
        </w:rPr>
        <w:t xml:space="preserve"> need extra support and knowledge sharing on thematic areas that are still new to them.</w:t>
      </w:r>
      <w:r w:rsidRPr="00D75194">
        <w:rPr>
          <w:rFonts w:asciiTheme="minorHAnsi" w:hAnsiTheme="minorHAnsi" w:eastAsiaTheme="minorEastAsia"/>
          <w:i/>
          <w:iCs/>
        </w:rPr>
        <w:t>”</w:t>
      </w:r>
    </w:p>
    <w:p w:rsidRPr="00D75194" w:rsidR="252A96D5" w:rsidP="19EDA0B5" w:rsidRDefault="252A96D5" w14:paraId="67AAA7AB" w14:textId="79E904AF">
      <w:pPr>
        <w:spacing w:after="160" w:line="276" w:lineRule="auto"/>
        <w:rPr>
          <w:rFonts w:asciiTheme="minorHAnsi" w:hAnsiTheme="minorHAnsi" w:eastAsiaTheme="minorEastAsia"/>
        </w:rPr>
      </w:pPr>
      <w:r w:rsidRPr="00D75194">
        <w:rPr>
          <w:rFonts w:asciiTheme="minorHAnsi" w:hAnsiTheme="minorHAnsi" w:eastAsiaTheme="minorEastAsia"/>
        </w:rPr>
        <w:t xml:space="preserve">Some of the specific organisational developments noted above reflect two levels of capability: </w:t>
      </w:r>
      <w:r w:rsidRPr="285461A2">
        <w:rPr>
          <w:rFonts w:asciiTheme="minorHAnsi" w:hAnsiTheme="minorHAnsi" w:eastAsiaTheme="minorEastAsia"/>
        </w:rPr>
        <w:t>systemic</w:t>
      </w:r>
      <w:r w:rsidRPr="00D75194">
        <w:rPr>
          <w:rFonts w:asciiTheme="minorHAnsi" w:hAnsiTheme="minorHAnsi" w:eastAsiaTheme="minorEastAsia"/>
        </w:rPr>
        <w:t xml:space="preserve"> and </w:t>
      </w:r>
      <w:r w:rsidRPr="285461A2">
        <w:rPr>
          <w:rFonts w:asciiTheme="minorHAnsi" w:hAnsiTheme="minorHAnsi" w:eastAsiaTheme="minorEastAsia"/>
        </w:rPr>
        <w:t>bespoke</w:t>
      </w:r>
      <w:r w:rsidRPr="00D75194">
        <w:rPr>
          <w:rFonts w:asciiTheme="minorHAnsi" w:hAnsiTheme="minorHAnsi" w:eastAsiaTheme="minorEastAsia"/>
        </w:rPr>
        <w:t xml:space="preserve">. </w:t>
      </w:r>
      <w:r w:rsidRPr="285461A2" w:rsidR="00A833DA">
        <w:rPr>
          <w:rFonts w:asciiTheme="minorHAnsi" w:hAnsiTheme="minorHAnsi" w:eastAsiaTheme="minorEastAsia"/>
        </w:rPr>
        <w:t>S</w:t>
      </w:r>
      <w:r w:rsidRPr="285461A2">
        <w:rPr>
          <w:rFonts w:asciiTheme="minorHAnsi" w:hAnsiTheme="minorHAnsi" w:eastAsiaTheme="minorEastAsia"/>
        </w:rPr>
        <w:t>ystemic</w:t>
      </w:r>
      <w:r w:rsidRPr="00D75194">
        <w:rPr>
          <w:rFonts w:asciiTheme="minorHAnsi" w:hAnsiTheme="minorHAnsi" w:eastAsiaTheme="minorEastAsia"/>
        </w:rPr>
        <w:t xml:space="preserve"> changes are where new organisational policies or procedures have been established that depersonalises the way the organisation operates (e.g. the LDC Charter). These are positive developments from an organisational perspective as they are more likely to endure changes in personnel, as well as </w:t>
      </w:r>
      <w:r w:rsidRPr="00D75194" w:rsidR="00A833DA">
        <w:rPr>
          <w:rFonts w:asciiTheme="minorHAnsi" w:hAnsiTheme="minorHAnsi" w:eastAsiaTheme="minorEastAsia"/>
        </w:rPr>
        <w:t xml:space="preserve">to </w:t>
      </w:r>
      <w:r w:rsidRPr="00D75194">
        <w:rPr>
          <w:rFonts w:asciiTheme="minorHAnsi" w:hAnsiTheme="minorHAnsi" w:eastAsiaTheme="minorEastAsia"/>
        </w:rPr>
        <w:t xml:space="preserve">provide means of navigating changes that arise within and around the organisation. </w:t>
      </w:r>
    </w:p>
    <w:p w:rsidRPr="00D75194" w:rsidR="252A96D5" w:rsidP="19EDA0B5" w:rsidRDefault="063EE4B8" w14:paraId="0C392CE5" w14:textId="2CCC46EB">
      <w:pPr>
        <w:spacing w:after="160" w:line="276" w:lineRule="auto"/>
        <w:rPr>
          <w:rFonts w:asciiTheme="minorHAnsi" w:hAnsiTheme="minorHAnsi" w:eastAsiaTheme="minorEastAsia"/>
        </w:rPr>
      </w:pPr>
      <w:proofErr w:type="gramStart"/>
      <w:r w:rsidRPr="285461A2">
        <w:rPr>
          <w:rFonts w:asciiTheme="minorHAnsi" w:hAnsiTheme="minorHAnsi" w:eastAsiaTheme="minorEastAsia"/>
        </w:rPr>
        <w:t>In light of</w:t>
      </w:r>
      <w:proofErr w:type="gramEnd"/>
      <w:r w:rsidRPr="285461A2">
        <w:rPr>
          <w:rFonts w:asciiTheme="minorHAnsi" w:hAnsiTheme="minorHAnsi" w:eastAsiaTheme="minorEastAsia"/>
        </w:rPr>
        <w:t xml:space="preserve"> the greater durability of systemic changes, there is a </w:t>
      </w:r>
      <w:r w:rsidRPr="285461A2" w:rsidR="252A96D5">
        <w:rPr>
          <w:rFonts w:asciiTheme="minorHAnsi" w:hAnsiTheme="minorHAnsi" w:eastAsiaTheme="minorEastAsia"/>
        </w:rPr>
        <w:t xml:space="preserve">need to invest more in </w:t>
      </w:r>
      <w:r w:rsidRPr="00D75194" w:rsidR="252A96D5">
        <w:rPr>
          <w:rFonts w:asciiTheme="minorHAnsi" w:hAnsiTheme="minorHAnsi" w:eastAsiaTheme="minorEastAsia"/>
        </w:rPr>
        <w:t>domestic institutions</w:t>
      </w:r>
      <w:r w:rsidRPr="00D75194" w:rsidR="00E86EFE">
        <w:rPr>
          <w:rFonts w:asciiTheme="minorHAnsi" w:hAnsiTheme="minorHAnsi" w:eastAsiaTheme="minorEastAsia"/>
        </w:rPr>
        <w:t>, which</w:t>
      </w:r>
      <w:r w:rsidRPr="00D75194" w:rsidDel="00E86EFE" w:rsidR="252A96D5">
        <w:rPr>
          <w:rFonts w:asciiTheme="minorHAnsi" w:hAnsiTheme="minorHAnsi" w:eastAsiaTheme="minorEastAsia"/>
        </w:rPr>
        <w:t xml:space="preserve"> </w:t>
      </w:r>
      <w:r w:rsidRPr="00D75194" w:rsidR="252A96D5">
        <w:rPr>
          <w:rFonts w:asciiTheme="minorHAnsi" w:hAnsiTheme="minorHAnsi" w:eastAsiaTheme="minorEastAsia"/>
        </w:rPr>
        <w:t>can better retain capacities</w:t>
      </w:r>
      <w:r w:rsidRPr="00D75194" w:rsidR="0008298F">
        <w:rPr>
          <w:rFonts w:asciiTheme="minorHAnsi" w:hAnsiTheme="minorHAnsi" w:eastAsiaTheme="minorEastAsia"/>
        </w:rPr>
        <w:t>, as compared to</w:t>
      </w:r>
      <w:r w:rsidRPr="00D75194" w:rsidDel="0008298F" w:rsidR="252A96D5">
        <w:rPr>
          <w:rFonts w:asciiTheme="minorHAnsi" w:hAnsiTheme="minorHAnsi" w:eastAsiaTheme="minorEastAsia"/>
        </w:rPr>
        <w:t xml:space="preserve"> </w:t>
      </w:r>
      <w:r w:rsidRPr="00D75194" w:rsidR="252A96D5">
        <w:rPr>
          <w:rFonts w:asciiTheme="minorHAnsi" w:hAnsiTheme="minorHAnsi" w:eastAsiaTheme="minorEastAsia"/>
        </w:rPr>
        <w:t xml:space="preserve">individuals. One example of how CASA might do this more systemically was provided by a CASA-supported respondent: </w:t>
      </w:r>
    </w:p>
    <w:p w:rsidRPr="00D75194" w:rsidR="252A96D5" w:rsidP="00280269" w:rsidRDefault="00280269" w14:paraId="44F56BA7" w14:textId="062C2B5B">
      <w:pPr>
        <w:spacing w:after="160" w:line="276" w:lineRule="auto"/>
        <w:rPr>
          <w:rFonts w:asciiTheme="minorHAnsi" w:hAnsiTheme="minorHAnsi" w:eastAsiaTheme="minorEastAsia"/>
          <w:i/>
          <w:iCs/>
        </w:rPr>
      </w:pPr>
      <w:r w:rsidRPr="00D75194">
        <w:rPr>
          <w:rFonts w:asciiTheme="minorHAnsi" w:hAnsiTheme="minorHAnsi" w:eastAsiaTheme="minorEastAsia"/>
          <w:i/>
          <w:iCs/>
        </w:rPr>
        <w:t>“</w:t>
      </w:r>
      <w:r w:rsidRPr="00D75194" w:rsidR="252A96D5">
        <w:rPr>
          <w:rFonts w:asciiTheme="minorHAnsi" w:hAnsiTheme="minorHAnsi" w:eastAsiaTheme="minorEastAsia"/>
          <w:i/>
          <w:iCs/>
        </w:rPr>
        <w:t>Perhaps CASA could have a standard MoU</w:t>
      </w:r>
      <w:r w:rsidRPr="00D75194" w:rsidR="001B2570">
        <w:rPr>
          <w:rFonts w:asciiTheme="minorHAnsi" w:hAnsiTheme="minorHAnsi" w:eastAsiaTheme="minorEastAsia"/>
          <w:i/>
          <w:iCs/>
        </w:rPr>
        <w:t xml:space="preserve"> [memorandum of understanding]</w:t>
      </w:r>
      <w:r w:rsidRPr="00D75194" w:rsidR="252A96D5">
        <w:rPr>
          <w:rFonts w:asciiTheme="minorHAnsi" w:hAnsiTheme="minorHAnsi" w:eastAsiaTheme="minorEastAsia"/>
          <w:i/>
          <w:iCs/>
        </w:rPr>
        <w:t xml:space="preserve"> with governments, to ensure that the capacitated staff are trained on condition that for </w:t>
      </w:r>
      <w:proofErr w:type="gramStart"/>
      <w:r w:rsidRPr="00D75194" w:rsidR="252A96D5">
        <w:rPr>
          <w:rFonts w:asciiTheme="minorHAnsi" w:hAnsiTheme="minorHAnsi" w:eastAsiaTheme="minorEastAsia"/>
          <w:i/>
          <w:iCs/>
        </w:rPr>
        <w:t>a number of</w:t>
      </w:r>
      <w:proofErr w:type="gramEnd"/>
      <w:r w:rsidRPr="00D75194" w:rsidR="252A96D5">
        <w:rPr>
          <w:rFonts w:asciiTheme="minorHAnsi" w:hAnsiTheme="minorHAnsi" w:eastAsiaTheme="minorEastAsia"/>
          <w:i/>
          <w:iCs/>
        </w:rPr>
        <w:t xml:space="preserve"> years, they won’t be moved to other departments, or to say that their expertise will be utilised for </w:t>
      </w:r>
      <w:proofErr w:type="gramStart"/>
      <w:r w:rsidRPr="00D75194" w:rsidR="252A96D5">
        <w:rPr>
          <w:rFonts w:asciiTheme="minorHAnsi" w:hAnsiTheme="minorHAnsi" w:eastAsiaTheme="minorEastAsia"/>
          <w:i/>
          <w:iCs/>
        </w:rPr>
        <w:t>a number of</w:t>
      </w:r>
      <w:proofErr w:type="gramEnd"/>
      <w:r w:rsidRPr="00D75194" w:rsidR="252A96D5">
        <w:rPr>
          <w:rFonts w:asciiTheme="minorHAnsi" w:hAnsiTheme="minorHAnsi" w:eastAsiaTheme="minorEastAsia"/>
          <w:i/>
          <w:iCs/>
        </w:rPr>
        <w:t xml:space="preserve"> years. We have seen NGOs do this, so perhaps it could be adopted by the CASA programme.</w:t>
      </w:r>
      <w:r w:rsidRPr="00D75194">
        <w:rPr>
          <w:rFonts w:asciiTheme="minorHAnsi" w:hAnsiTheme="minorHAnsi" w:eastAsiaTheme="minorEastAsia"/>
          <w:i/>
          <w:iCs/>
        </w:rPr>
        <w:t>”</w:t>
      </w:r>
    </w:p>
    <w:p w:rsidRPr="00D75194" w:rsidR="6CCF34CC" w:rsidP="3009168A" w:rsidRDefault="00543F58" w14:paraId="6B483E30" w14:textId="01C7320E">
      <w:r w:rsidRPr="00D75194">
        <w:t>By contrast to systemic chan</w:t>
      </w:r>
      <w:r w:rsidRPr="00D75194" w:rsidR="0001400A">
        <w:t>g</w:t>
      </w:r>
      <w:r w:rsidRPr="00D75194">
        <w:t xml:space="preserve">es, the </w:t>
      </w:r>
      <w:r>
        <w:t>b</w:t>
      </w:r>
      <w:r w:rsidR="252A96D5">
        <w:t>espoke</w:t>
      </w:r>
      <w:r w:rsidRPr="00D75194" w:rsidR="252A96D5">
        <w:t xml:space="preserve"> changes</w:t>
      </w:r>
      <w:r w:rsidRPr="00D75194" w:rsidR="00CC4D02">
        <w:t xml:space="preserve"> achieved under CASA</w:t>
      </w:r>
      <w:r w:rsidRPr="00D75194" w:rsidR="252A96D5">
        <w:t xml:space="preserve"> have tended to </w:t>
      </w:r>
      <w:r w:rsidRPr="00D75194" w:rsidR="00CC4D02">
        <w:t xml:space="preserve">involve </w:t>
      </w:r>
      <w:r w:rsidRPr="00D75194" w:rsidR="252A96D5">
        <w:t>greater prominence of TPs within the operational structures of organisation</w:t>
      </w:r>
      <w:r w:rsidRPr="00D75194" w:rsidR="00CC4D02">
        <w:t>s</w:t>
      </w:r>
      <w:r w:rsidRPr="00D75194" w:rsidR="252A96D5">
        <w:t xml:space="preserve">, enabling the TP to </w:t>
      </w:r>
      <w:r w:rsidR="252A96D5">
        <w:t>oftentimes</w:t>
      </w:r>
      <w:r w:rsidRPr="00D75194" w:rsidR="252A96D5">
        <w:t xml:space="preserve"> wield its stock of </w:t>
      </w:r>
      <w:r w:rsidR="252A96D5">
        <w:t>assets</w:t>
      </w:r>
      <w:r w:rsidRPr="00D75194" w:rsidR="252A96D5">
        <w:t xml:space="preserve"> and achieve significant results through the organisational mechanisms </w:t>
      </w:r>
      <w:r w:rsidRPr="00D75194" w:rsidR="005F794B">
        <w:t xml:space="preserve">within which </w:t>
      </w:r>
      <w:r w:rsidRPr="00D75194" w:rsidR="252A96D5">
        <w:t xml:space="preserve">it serves (e.g. </w:t>
      </w:r>
      <w:r w:rsidR="00494461">
        <w:t>Independent</w:t>
      </w:r>
      <w:r w:rsidRPr="00D75194" w:rsidR="00494461">
        <w:t xml:space="preserve"> Diplomat</w:t>
      </w:r>
      <w:r w:rsidRPr="00D75194" w:rsidR="252A96D5">
        <w:t xml:space="preserve"> within RMI and the HAC). </w:t>
      </w:r>
      <w:r w:rsidRPr="00D75194" w:rsidR="0001400A">
        <w:t>However,</w:t>
      </w:r>
      <w:r w:rsidRPr="00D75194" w:rsidDel="0001400A" w:rsidR="252A96D5">
        <w:t xml:space="preserve"> </w:t>
      </w:r>
      <w:r w:rsidRPr="00D75194" w:rsidR="252A96D5">
        <w:t xml:space="preserve">when funding is removed and the TP </w:t>
      </w:r>
      <w:r w:rsidRPr="00D75194" w:rsidR="00DF3AE0">
        <w:t xml:space="preserve">is </w:t>
      </w:r>
      <w:r w:rsidRPr="00D75194" w:rsidR="252A96D5">
        <w:t xml:space="preserve">no longer able to provide the same level of support to the </w:t>
      </w:r>
      <w:r w:rsidR="252A96D5">
        <w:t>organisation</w:t>
      </w:r>
      <w:r w:rsidRPr="00D75194" w:rsidR="252A96D5">
        <w:t>, those capabilities are likely to be lost.</w:t>
      </w:r>
    </w:p>
    <w:p w:rsidRPr="00D75194" w:rsidR="000D59A0" w:rsidP="000D59A0" w:rsidRDefault="000D59A0" w14:paraId="4463AC1C" w14:textId="77777777">
      <w:pPr>
        <w:rPr>
          <w:b/>
          <w:bCs/>
          <w:i/>
          <w:iCs/>
        </w:rPr>
      </w:pPr>
      <w:r w:rsidRPr="00D75194">
        <w:rPr>
          <w:b/>
          <w:bCs/>
          <w:i/>
          <w:iCs/>
        </w:rPr>
        <w:t xml:space="preserve">Institutional change </w:t>
      </w:r>
    </w:p>
    <w:p w:rsidRPr="00D75194" w:rsidR="000D59A0" w:rsidP="000D59A0" w:rsidRDefault="000D59A0" w14:paraId="029F459A" w14:textId="122E0BF3">
      <w:r w:rsidRPr="00D75194">
        <w:t xml:space="preserve">The institutional changes that CASA has contributed to are likely </w:t>
      </w:r>
      <w:r w:rsidRPr="00D75194" w:rsidR="00BC03A8">
        <w:t xml:space="preserve">to be </w:t>
      </w:r>
      <w:r w:rsidRPr="00D75194">
        <w:t>the most durable</w:t>
      </w:r>
      <w:r w:rsidRPr="00D75194" w:rsidR="00BC03A8">
        <w:t>, while also being</w:t>
      </w:r>
      <w:r w:rsidRPr="00D75194" w:rsidDel="00BC03A8">
        <w:t xml:space="preserve"> </w:t>
      </w:r>
      <w:r w:rsidRPr="00D75194">
        <w:t>the most challenging to achieve</w:t>
      </w:r>
      <w:r w:rsidRPr="00D75194" w:rsidR="00BC03A8">
        <w:t>. Examples include</w:t>
      </w:r>
      <w:r w:rsidRPr="00D75194" w:rsidDel="00BC03A8">
        <w:t xml:space="preserve"> </w:t>
      </w:r>
      <w:r w:rsidRPr="00D75194">
        <w:t>the commitment to double adaptation finance agreed at COP26, or the influence</w:t>
      </w:r>
      <w:r w:rsidRPr="00D75194" w:rsidDel="00644C33">
        <w:t xml:space="preserve"> </w:t>
      </w:r>
      <w:r w:rsidRPr="00D75194" w:rsidR="00644C33">
        <w:t>on</w:t>
      </w:r>
      <w:r w:rsidRPr="00D75194">
        <w:t xml:space="preserve"> the 1.5-degree commitment within the Paris Agreement</w:t>
      </w:r>
      <w:r>
        <w:t>.</w:t>
      </w:r>
      <w:r w:rsidRPr="00D75194">
        <w:t xml:space="preserve"> This is because the institutional processes themselves are not easily changed, making the very challenge of achieving a result the thing that safeguards its durability. </w:t>
      </w:r>
    </w:p>
    <w:p w:rsidRPr="00D75194" w:rsidR="000D59A0" w:rsidP="000D59A0" w:rsidRDefault="000D59A0" w14:paraId="35D519B2" w14:textId="2B7998A8">
      <w:r w:rsidRPr="00D75194">
        <w:t xml:space="preserve">However, even though we can point to certain negotiating groups or alliances as ‘agents of change’, climate change institutions are still </w:t>
      </w:r>
      <w:r w:rsidR="12344FAF">
        <w:t xml:space="preserve">more </w:t>
      </w:r>
      <w:r w:rsidRPr="00D75194" w:rsidR="7FAAC3E7">
        <w:t xml:space="preserve">susceptible </w:t>
      </w:r>
      <w:r w:rsidRPr="00D75194">
        <w:t xml:space="preserve">to wider political influences </w:t>
      </w:r>
      <w:r w:rsidR="01B0576C">
        <w:t>than they are</w:t>
      </w:r>
      <w:r w:rsidRPr="00D75194">
        <w:t xml:space="preserve"> to </w:t>
      </w:r>
      <w:r w:rsidR="01B0576C">
        <w:t>the influence of</w:t>
      </w:r>
      <w:r w:rsidRPr="00D75194">
        <w:t xml:space="preserve"> more localised organisations. So, even though this is probably the area </w:t>
      </w:r>
      <w:r w:rsidRPr="00D75194" w:rsidR="00EA1653">
        <w:t>in which</w:t>
      </w:r>
      <w:r w:rsidRPr="00D75194" w:rsidR="00C17F8E">
        <w:t xml:space="preserve"> </w:t>
      </w:r>
      <w:r w:rsidRPr="00D75194">
        <w:t>CASA’s impacts</w:t>
      </w:r>
      <w:r w:rsidRPr="00D75194" w:rsidR="00C17F8E">
        <w:t xml:space="preserve"> are most durable</w:t>
      </w:r>
      <w:r w:rsidRPr="00D75194">
        <w:t xml:space="preserve">, </w:t>
      </w:r>
      <w:r w:rsidRPr="00D75194" w:rsidR="00266674">
        <w:t xml:space="preserve">institutional change </w:t>
      </w:r>
      <w:r w:rsidRPr="00D75194">
        <w:t xml:space="preserve">is not permanent. </w:t>
      </w:r>
      <w:r w:rsidRPr="00D75194" w:rsidR="7FAAC3E7">
        <w:t>Nevertheless, even</w:t>
      </w:r>
      <w:r w:rsidRPr="00D75194" w:rsidDel="00EC4670" w:rsidR="7FAAC3E7">
        <w:t xml:space="preserve"> </w:t>
      </w:r>
      <w:r w:rsidRPr="00D75194" w:rsidR="00EC4670">
        <w:t xml:space="preserve">though </w:t>
      </w:r>
      <w:r w:rsidRPr="00D75194" w:rsidR="7FAAC3E7">
        <w:t>institutional achievements under CASA might be subsequently changed, these impacts are likely to still wield a degree of influence even within the new institutional frameworks that emerge.</w:t>
      </w:r>
    </w:p>
    <w:p w:rsidRPr="00D75194" w:rsidR="12325C46" w:rsidRDefault="000D59A0" w14:paraId="1A331244" w14:textId="080EE794">
      <w:r w:rsidRPr="00D75194">
        <w:t>In sum, we believe</w:t>
      </w:r>
      <w:r w:rsidRPr="00D75194" w:rsidR="001069BD">
        <w:t xml:space="preserve"> that</w:t>
      </w:r>
      <w:r w:rsidRPr="00D75194">
        <w:t xml:space="preserve"> the highly relational delivery model that CASA </w:t>
      </w:r>
      <w:r w:rsidR="00BA4023">
        <w:t>applies—</w:t>
      </w:r>
      <w:r w:rsidRPr="00D75194">
        <w:t>leveraging TP capabilities to the point of embedding them in processes, negotiations, and real-time technical advice</w:t>
      </w:r>
      <w:r w:rsidRPr="00D75194" w:rsidR="004605E9">
        <w:t>—</w:t>
      </w:r>
      <w:r w:rsidRPr="00D75194">
        <w:t xml:space="preserve">has enabled CASA to achieve considerable and disproportional impact from its inputs. However, by </w:t>
      </w:r>
      <w:r w:rsidR="00D61DCE">
        <w:t>applying</w:t>
      </w:r>
      <w:r w:rsidRPr="00D75194" w:rsidR="00D61DCE">
        <w:t xml:space="preserve"> this approach</w:t>
      </w:r>
      <w:r w:rsidRPr="00D75194">
        <w:t>, the organisational development of certain groups</w:t>
      </w:r>
      <w:r w:rsidRPr="00D75194" w:rsidR="000A61FA">
        <w:t xml:space="preserve">, </w:t>
      </w:r>
      <w:r w:rsidRPr="00D75194">
        <w:t>and even delegations</w:t>
      </w:r>
      <w:r w:rsidRPr="00D75194" w:rsidR="000A61FA">
        <w:t xml:space="preserve">, </w:t>
      </w:r>
      <w:r w:rsidR="00122293">
        <w:t>has</w:t>
      </w:r>
      <w:r w:rsidRPr="00D75194">
        <w:t xml:space="preserve"> not </w:t>
      </w:r>
      <w:r w:rsidRPr="00D75194" w:rsidR="1D493633">
        <w:t xml:space="preserve">generally </w:t>
      </w:r>
      <w:r w:rsidRPr="00D75194">
        <w:t xml:space="preserve">been the key </w:t>
      </w:r>
      <w:r>
        <w:t>force</w:t>
      </w:r>
      <w:r w:rsidRPr="00D75194">
        <w:t xml:space="preserve"> driving that change, and the reliance on CASA</w:t>
      </w:r>
      <w:r w:rsidRPr="00D75194" w:rsidR="00B05067">
        <w:t>’s</w:t>
      </w:r>
      <w:r w:rsidRPr="00D75194">
        <w:t xml:space="preserve"> support has proven fundamental</w:t>
      </w:r>
      <w:r w:rsidRPr="00D75194" w:rsidR="004C7009">
        <w:t>—</w:t>
      </w:r>
      <w:r w:rsidRPr="00D75194">
        <w:t xml:space="preserve">and at times existential. As such, CASA’s impact is notable but has come at the cost of its durability. </w:t>
      </w:r>
    </w:p>
    <w:p w:rsidRPr="00D75194" w:rsidR="00B71EEF" w:rsidP="00B71EEF" w:rsidRDefault="004456D7" w14:paraId="4EAE53D5" w14:textId="235703B7">
      <w:pPr>
        <w:pStyle w:val="Heading1"/>
      </w:pPr>
      <w:bookmarkStart w:name="_Toc214452918" w:id="104"/>
      <w:r w:rsidRPr="00D75194">
        <w:t>GESI</w:t>
      </w:r>
      <w:bookmarkEnd w:id="104"/>
      <w:r w:rsidRPr="00D75194">
        <w:t xml:space="preserve"> </w:t>
      </w:r>
    </w:p>
    <w:p w:rsidRPr="00D75194" w:rsidR="00825266" w:rsidP="001148CB" w:rsidRDefault="00825266" w14:paraId="5BF71D13" w14:textId="0102C83A">
      <w:r w:rsidRPr="00D75194">
        <w:t xml:space="preserve">GESI has been a crosscutting theme </w:t>
      </w:r>
      <w:r w:rsidRPr="00D75194" w:rsidR="2DAF32E2">
        <w:t xml:space="preserve">of </w:t>
      </w:r>
      <w:r w:rsidRPr="00D75194">
        <w:t>the evaluation questions addressed in this report. CASA II</w:t>
      </w:r>
      <w:r w:rsidRPr="00D75194" w:rsidDel="00947091">
        <w:t xml:space="preserve"> </w:t>
      </w:r>
      <w:r w:rsidRPr="00D75194">
        <w:t xml:space="preserve">notably intensified </w:t>
      </w:r>
      <w:r w:rsidRPr="00D75194" w:rsidR="00947091">
        <w:t xml:space="preserve">the programme’s </w:t>
      </w:r>
      <w:r w:rsidRPr="00D75194">
        <w:t xml:space="preserve">efforts to incorporate and engage women, youth, and groups from the Global South in climate negotiation arenas. This commitment is evidenced by both quantitative and qualitative data derived from key documents and KIIs conducted during the </w:t>
      </w:r>
      <w:r w:rsidR="00494461">
        <w:t>final</w:t>
      </w:r>
      <w:r w:rsidRPr="00D75194" w:rsidR="00494461">
        <w:t xml:space="preserve"> evaluation</w:t>
      </w:r>
      <w:r w:rsidRPr="00D75194">
        <w:t>.</w:t>
      </w:r>
    </w:p>
    <w:p w:rsidRPr="00D75194" w:rsidR="00825266" w:rsidP="001148CB" w:rsidRDefault="00825266" w14:paraId="6F69EBE6" w14:textId="5F98A603">
      <w:r w:rsidRPr="00D75194">
        <w:t xml:space="preserve">The programme has achieved a significant increase in the </w:t>
      </w:r>
      <w:r w:rsidRPr="00D75194" w:rsidR="6FE56330">
        <w:t xml:space="preserve">proportion </w:t>
      </w:r>
      <w:r w:rsidRPr="00D75194">
        <w:t>of females trained under CASA, rising from 41% in 2024 to 52% in 2025, thereby surpassing the target set for 2025.</w:t>
      </w:r>
      <w:r w:rsidRPr="00D75194" w:rsidR="000F28D5">
        <w:t xml:space="preserve"> </w:t>
      </w:r>
      <w:r w:rsidRPr="00D75194">
        <w:t xml:space="preserve">Additionally, in Phase </w:t>
      </w:r>
      <w:r w:rsidR="00B327B6">
        <w:t>II</w:t>
      </w:r>
      <w:r w:rsidRPr="00D75194">
        <w:t xml:space="preserve">, </w:t>
      </w:r>
      <w:r w:rsidRPr="00D75194" w:rsidR="00FD2AC1">
        <w:t>50% of</w:t>
      </w:r>
      <w:r w:rsidRPr="00D75194">
        <w:t xml:space="preserve"> CASA's </w:t>
      </w:r>
      <w:r w:rsidRPr="00D75194">
        <w:t xml:space="preserve">TPs </w:t>
      </w:r>
      <w:r w:rsidRPr="00D75194" w:rsidR="00471DF9">
        <w:t xml:space="preserve">from </w:t>
      </w:r>
      <w:r w:rsidR="00471DF9">
        <w:t>W</w:t>
      </w:r>
      <w:r w:rsidR="00E46047">
        <w:t xml:space="preserve">orkplan </w:t>
      </w:r>
      <w:r w:rsidR="00471DF9">
        <w:t>2 and</w:t>
      </w:r>
      <w:r w:rsidRPr="00D75194" w:rsidDel="00E46047">
        <w:t xml:space="preserve"> </w:t>
      </w:r>
      <w:r w:rsidRPr="00D75194" w:rsidR="00E46047">
        <w:t xml:space="preserve">Workplan 3 </w:t>
      </w:r>
      <w:proofErr w:type="gramStart"/>
      <w:r w:rsidRPr="00D75194">
        <w:t xml:space="preserve">were </w:t>
      </w:r>
      <w:r w:rsidRPr="00D75194" w:rsidR="007A5C75">
        <w:t xml:space="preserve">located </w:t>
      </w:r>
      <w:r w:rsidRPr="00D75194">
        <w:t>in</w:t>
      </w:r>
      <w:proofErr w:type="gramEnd"/>
      <w:r w:rsidRPr="00D75194">
        <w:t xml:space="preserve"> the Global South, with two </w:t>
      </w:r>
      <w:r w:rsidRPr="00D75194" w:rsidR="00CB5F24">
        <w:t>OF</w:t>
      </w:r>
      <w:r w:rsidRPr="00D75194" w:rsidR="00BB77D0">
        <w:t xml:space="preserve"> init</w:t>
      </w:r>
      <w:r w:rsidRPr="00D75194" w:rsidR="00514F12">
        <w:t>iatives</w:t>
      </w:r>
      <w:r w:rsidRPr="00D75194">
        <w:t xml:space="preserve"> established in the region in 2024. </w:t>
      </w:r>
    </w:p>
    <w:p w:rsidRPr="001148CB" w:rsidR="00825266" w:rsidP="001148CB" w:rsidRDefault="005025FC" w14:paraId="06F7569B" w14:textId="06386E9E">
      <w:pPr>
        <w:rPr>
          <w:b/>
          <w:bCs/>
        </w:rPr>
      </w:pPr>
      <w:r w:rsidRPr="001148CB">
        <w:rPr>
          <w:b/>
          <w:bCs/>
        </w:rPr>
        <w:t>OF</w:t>
      </w:r>
      <w:r w:rsidRPr="001148CB" w:rsidR="00825266">
        <w:rPr>
          <w:b/>
          <w:bCs/>
        </w:rPr>
        <w:t xml:space="preserve"> inclusion</w:t>
      </w:r>
    </w:p>
    <w:p w:rsidRPr="00D75194" w:rsidR="00825266" w:rsidP="001148CB" w:rsidRDefault="00825266" w14:paraId="0A55A157" w14:textId="7A2A10E9">
      <w:r w:rsidRPr="00D75194">
        <w:t xml:space="preserve">During CASA </w:t>
      </w:r>
      <w:r w:rsidRPr="00D75194" w:rsidR="0616A713">
        <w:t>II</w:t>
      </w:r>
      <w:r w:rsidRPr="00D75194">
        <w:t xml:space="preserve">, </w:t>
      </w:r>
      <w:r w:rsidRPr="00D75194" w:rsidR="00CB5F24">
        <w:t>OF</w:t>
      </w:r>
      <w:r w:rsidRPr="00D75194" w:rsidR="00961E72">
        <w:t xml:space="preserve"> </w:t>
      </w:r>
      <w:r w:rsidRPr="00D75194" w:rsidR="00996B42">
        <w:t>initiatives</w:t>
      </w:r>
      <w:r w:rsidRPr="00D75194">
        <w:t xml:space="preserve"> have </w:t>
      </w:r>
      <w:r w:rsidRPr="00D75194" w:rsidR="00A32421">
        <w:t>made</w:t>
      </w:r>
      <w:r w:rsidRPr="00D75194">
        <w:t xml:space="preserve"> a significant </w:t>
      </w:r>
      <w:r w:rsidRPr="00D75194" w:rsidR="00A32421">
        <w:t xml:space="preserve">contribution </w:t>
      </w:r>
      <w:r w:rsidRPr="00D75194" w:rsidR="00996B42">
        <w:t>to</w:t>
      </w:r>
      <w:r w:rsidRPr="00D75194" w:rsidR="00224D75">
        <w:t xml:space="preserve"> achieving </w:t>
      </w:r>
      <w:r w:rsidRPr="00D75194">
        <w:t>GESI</w:t>
      </w:r>
      <w:r w:rsidRPr="00D75194" w:rsidR="00996B42">
        <w:t xml:space="preserve"> objectives</w:t>
      </w:r>
      <w:r w:rsidRPr="00D75194">
        <w:t xml:space="preserve">. </w:t>
      </w:r>
      <w:r w:rsidRPr="00D75194" w:rsidR="00165A52">
        <w:t>N</w:t>
      </w:r>
      <w:r w:rsidRPr="00D75194" w:rsidR="0095508D">
        <w:t>ine</w:t>
      </w:r>
      <w:r w:rsidRPr="00D75194">
        <w:t xml:space="preserve"> new </w:t>
      </w:r>
      <w:r w:rsidRPr="00D75194" w:rsidR="005E4FFE">
        <w:t xml:space="preserve">OF initiatives </w:t>
      </w:r>
      <w:r w:rsidRPr="00D75194">
        <w:t>commenced activities</w:t>
      </w:r>
      <w:r w:rsidRPr="00D75194" w:rsidR="00165A52">
        <w:t xml:space="preserve"> under the second round of the OF</w:t>
      </w:r>
      <w:r w:rsidRPr="00D75194">
        <w:t>. Among these, one partner is youth-led, and five are</w:t>
      </w:r>
      <w:r w:rsidRPr="00D75194" w:rsidR="00165A52">
        <w:t xml:space="preserve"> based</w:t>
      </w:r>
      <w:r w:rsidRPr="00D75194">
        <w:t xml:space="preserve"> in the Global South. All partners are working directly with negotiators from climate-vulnerable groups, specifically from LDCs or AOSIS.</w:t>
      </w:r>
      <w:r w:rsidRPr="00D75194" w:rsidDel="006B601D">
        <w:t xml:space="preserve"> </w:t>
      </w:r>
      <w:r w:rsidRPr="00D75194" w:rsidR="005A33DA">
        <w:t xml:space="preserve">Moreover, </w:t>
      </w:r>
      <w:r w:rsidRPr="00D75194" w:rsidR="0024010A">
        <w:t xml:space="preserve">each of the new partners being onboarded </w:t>
      </w:r>
      <w:r w:rsidRPr="00D75194" w:rsidR="00A50F1B">
        <w:t xml:space="preserve">has </w:t>
      </w:r>
      <w:r w:rsidRPr="00D75194" w:rsidR="003824FF">
        <w:t xml:space="preserve">highlighted that their </w:t>
      </w:r>
      <w:r w:rsidRPr="00D75194" w:rsidR="00AB3076">
        <w:t>training programmes will be inclusive of women and youth</w:t>
      </w:r>
      <w:r w:rsidRPr="00D75194" w:rsidR="00E86642">
        <w:t>.</w:t>
      </w:r>
      <w:r w:rsidRPr="00D75194" w:rsidR="00960EEF">
        <w:t xml:space="preserve"> </w:t>
      </w:r>
      <w:r w:rsidRPr="00D75194" w:rsidR="00765754">
        <w:t>By including GESI considerations</w:t>
      </w:r>
      <w:r w:rsidRPr="00D75194" w:rsidR="00A50F1B">
        <w:t>—</w:t>
      </w:r>
      <w:r w:rsidRPr="00D75194" w:rsidR="00765754">
        <w:t>such as benefits for youth, Indigenous peoples, and women</w:t>
      </w:r>
      <w:r w:rsidRPr="00D75194" w:rsidR="00A50F1B">
        <w:t>—</w:t>
      </w:r>
      <w:r w:rsidRPr="00D75194" w:rsidR="00765754">
        <w:t>as part of DAI’s selection criteria for OF bids, the resulting initiatives demonstrated a strong commitment to GESI throughout their activities</w:t>
      </w:r>
      <w:r w:rsidRPr="00D75194" w:rsidR="004F378D">
        <w:t xml:space="preserve">. </w:t>
      </w:r>
    </w:p>
    <w:p w:rsidRPr="00D75194" w:rsidR="00825266" w:rsidP="001148CB" w:rsidRDefault="00CB5F24" w14:paraId="39EEE509" w14:textId="3883C259">
      <w:r w:rsidRPr="00D75194">
        <w:t>OF</w:t>
      </w:r>
      <w:r w:rsidRPr="00D75194" w:rsidR="002013C5">
        <w:t xml:space="preserve"> initiatives</w:t>
      </w:r>
      <w:r w:rsidRPr="00D75194" w:rsidR="00825266">
        <w:t>, such as CLI, ECARDS, and YNA, were cited</w:t>
      </w:r>
      <w:r w:rsidRPr="00D75194" w:rsidDel="00825266" w:rsidR="00825266">
        <w:t xml:space="preserve"> </w:t>
      </w:r>
      <w:r w:rsidRPr="00D75194" w:rsidR="00825266">
        <w:t>as instrumental in helping negotiators overcome barriers</w:t>
      </w:r>
      <w:r w:rsidR="001329C0">
        <w:t xml:space="preserve"> to access</w:t>
      </w:r>
      <w:r w:rsidR="00E25CDC">
        <w:t xml:space="preserve"> to UNFCCC negotiations</w:t>
      </w:r>
      <w:r w:rsidRPr="00D75194" w:rsidR="00825266">
        <w:t>.</w:t>
      </w:r>
      <w:r w:rsidRPr="00D75194" w:rsidR="009F221C">
        <w:t xml:space="preserve"> </w:t>
      </w:r>
      <w:r w:rsidRPr="00D75194" w:rsidR="000D5F4A">
        <w:t xml:space="preserve">CASA enabled </w:t>
      </w:r>
      <w:r w:rsidRPr="00D75194" w:rsidR="00E42B88">
        <w:t xml:space="preserve">YNA </w:t>
      </w:r>
      <w:r w:rsidRPr="00D75194" w:rsidR="0074570D">
        <w:t>to provide support for women by covering the costs of training, network building</w:t>
      </w:r>
      <w:r w:rsidRPr="00D75194" w:rsidR="00E92805">
        <w:t>, and physical presence.</w:t>
      </w:r>
      <w:r w:rsidRPr="00D75194" w:rsidR="004E35CE">
        <w:t xml:space="preserve"> </w:t>
      </w:r>
      <w:r w:rsidR="002F1895">
        <w:t>This enabled</w:t>
      </w:r>
      <w:r w:rsidRPr="00D75194" w:rsidR="004E35CE">
        <w:t xml:space="preserve"> 20 </w:t>
      </w:r>
      <w:r w:rsidRPr="00D75194" w:rsidR="002D59B5">
        <w:t>negotiators</w:t>
      </w:r>
      <w:r w:rsidRPr="00D75194" w:rsidR="004E35CE">
        <w:t xml:space="preserve"> </w:t>
      </w:r>
      <w:r w:rsidR="00476CF7">
        <w:t>supported by</w:t>
      </w:r>
      <w:r w:rsidRPr="00D75194" w:rsidR="004E35CE">
        <w:t xml:space="preserve"> YNA to attend COP29</w:t>
      </w:r>
      <w:r w:rsidRPr="00D75194" w:rsidR="00C10A44">
        <w:t>. Their climate programme</w:t>
      </w:r>
      <w:r w:rsidRPr="00D75194" w:rsidR="002452A6">
        <w:t xml:space="preserve"> </w:t>
      </w:r>
      <w:r w:rsidRPr="00D75194" w:rsidR="00583B88">
        <w:t>cohort</w:t>
      </w:r>
      <w:r w:rsidRPr="00D75194" w:rsidR="002452A6">
        <w:t xml:space="preserve"> included </w:t>
      </w:r>
      <w:r w:rsidRPr="00D75194" w:rsidR="00F96B83">
        <w:t xml:space="preserve">nearly 75% women </w:t>
      </w:r>
      <w:r w:rsidRPr="00D75194" w:rsidR="00BF751C">
        <w:t>negotiators</w:t>
      </w:r>
      <w:r w:rsidRPr="00D75194" w:rsidR="00BA7847">
        <w:t>,</w:t>
      </w:r>
      <w:r w:rsidRPr="00D75194" w:rsidR="00BF751C">
        <w:t xml:space="preserve"> </w:t>
      </w:r>
      <w:r w:rsidRPr="00D75194" w:rsidR="00583B88">
        <w:t>in recognition of the training needed for women.</w:t>
      </w:r>
      <w:r w:rsidRPr="00D75194" w:rsidR="002D59B5">
        <w:t xml:space="preserve"> </w:t>
      </w:r>
      <w:r w:rsidRPr="00D75194" w:rsidR="00944217">
        <w:t xml:space="preserve">This </w:t>
      </w:r>
      <w:r w:rsidRPr="00D75194" w:rsidR="00BA7847">
        <w:t xml:space="preserve">was </w:t>
      </w:r>
      <w:r w:rsidRPr="00D75194" w:rsidR="00274619">
        <w:t>further aided by</w:t>
      </w:r>
      <w:r w:rsidRPr="00D75194" w:rsidDel="00BA7847" w:rsidR="00786191">
        <w:t xml:space="preserve"> </w:t>
      </w:r>
      <w:r w:rsidRPr="00D75194" w:rsidR="00786191">
        <w:t xml:space="preserve">increasing </w:t>
      </w:r>
      <w:r w:rsidRPr="00D75194" w:rsidR="00BA7847">
        <w:t xml:space="preserve">the overall </w:t>
      </w:r>
      <w:r w:rsidRPr="00D75194" w:rsidR="00786191">
        <w:t>representation</w:t>
      </w:r>
      <w:r w:rsidRPr="00D75194" w:rsidR="004E3184">
        <w:t xml:space="preserve"> of women across </w:t>
      </w:r>
      <w:r w:rsidRPr="00D75194" w:rsidR="001072E7">
        <w:t>climate negotiations</w:t>
      </w:r>
      <w:r w:rsidRPr="00D75194" w:rsidR="004E3184">
        <w:t xml:space="preserve"> </w:t>
      </w:r>
      <w:r w:rsidRPr="00D75194" w:rsidR="007012FE">
        <w:t>and groups, including the first chair of the LDC Group</w:t>
      </w:r>
      <w:r w:rsidRPr="00D75194" w:rsidR="00983A48">
        <w:t>,</w:t>
      </w:r>
      <w:r w:rsidRPr="00D75194" w:rsidR="007012FE">
        <w:t xml:space="preserve"> who was mentioned in </w:t>
      </w:r>
      <w:r w:rsidRPr="00D75194" w:rsidR="00804E94">
        <w:t>multiple interviews as a driving force in the</w:t>
      </w:r>
      <w:r w:rsidRPr="00D75194" w:rsidR="00462203">
        <w:t xml:space="preserve"> inclusion of women in negotiations.</w:t>
      </w:r>
      <w:r w:rsidRPr="00D75194" w:rsidR="002D59B5">
        <w:t xml:space="preserve"> </w:t>
      </w:r>
      <w:r w:rsidRPr="00D75194" w:rsidR="009F221C">
        <w:t>Outside of negotiations, for</w:t>
      </w:r>
      <w:r w:rsidRPr="00D75194" w:rsidR="005F7DC5">
        <w:t xml:space="preserve"> example, ECARDS</w:t>
      </w:r>
      <w:r w:rsidRPr="00D75194" w:rsidR="00E17695">
        <w:t xml:space="preserve"> prepared </w:t>
      </w:r>
      <w:r w:rsidRPr="00D75194" w:rsidR="00B52CEB">
        <w:t>compiled draft</w:t>
      </w:r>
      <w:r w:rsidRPr="00D75194" w:rsidR="00A44393">
        <w:t>s of gender-responsive LAPA</w:t>
      </w:r>
      <w:r w:rsidRPr="00D75194" w:rsidR="00872C5F">
        <w:t xml:space="preserve"> in Nepali and </w:t>
      </w:r>
      <w:r w:rsidRPr="00D75194" w:rsidR="00543518">
        <w:t xml:space="preserve">was </w:t>
      </w:r>
      <w:r w:rsidRPr="00D75194" w:rsidR="00872C5F">
        <w:t>able to share them with respective municipalities</w:t>
      </w:r>
    </w:p>
    <w:p w:rsidRPr="001148CB" w:rsidR="00825266" w:rsidP="001148CB" w:rsidRDefault="00825266" w14:paraId="1CD54EC2" w14:textId="77777777">
      <w:pPr>
        <w:rPr>
          <w:b/>
          <w:bCs/>
        </w:rPr>
      </w:pPr>
      <w:r w:rsidRPr="001148CB">
        <w:rPr>
          <w:b/>
          <w:bCs/>
        </w:rPr>
        <w:t>Youth participation</w:t>
      </w:r>
    </w:p>
    <w:p w:rsidR="001148CB" w:rsidP="001148CB" w:rsidRDefault="00832E84" w14:paraId="46B511BC" w14:textId="4300F406">
      <w:r w:rsidRPr="00D75194">
        <w:t>Recogni</w:t>
      </w:r>
      <w:r w:rsidRPr="00D75194" w:rsidR="00C85910">
        <w:t>s</w:t>
      </w:r>
      <w:r w:rsidRPr="00D75194">
        <w:t xml:space="preserve">ing the growing significance of young negotiators in negotiations, CASA is making an intentional effort to ensure their inclusion. </w:t>
      </w:r>
      <w:r w:rsidRPr="00D75194" w:rsidR="00BE3682">
        <w:t>TPs and OF TPs are providing essential support</w:t>
      </w:r>
      <w:r w:rsidR="00CD4A05">
        <w:t>;</w:t>
      </w:r>
      <w:r w:rsidRPr="00D75194" w:rsidR="00BE3682">
        <w:t xml:space="preserve"> </w:t>
      </w:r>
      <w:r w:rsidRPr="00D75194" w:rsidR="00CD4A05">
        <w:t xml:space="preserve">mentorship programmes, such as the IIED fellowship, </w:t>
      </w:r>
      <w:r w:rsidR="00CD4A05">
        <w:t>NGP</w:t>
      </w:r>
      <w:r w:rsidRPr="00D75194" w:rsidR="00CD4A05">
        <w:t>, and wider mentorship by OF initiatives (such as YNA and CYNP), and networking,</w:t>
      </w:r>
      <w:r w:rsidRPr="00D75194" w:rsidDel="0058654C" w:rsidR="00CD4A05">
        <w:t xml:space="preserve"> </w:t>
      </w:r>
      <w:r w:rsidRPr="00D75194" w:rsidR="00CD4A05">
        <w:t>enabled young negotiators to simultaneously increase their capacity to navigate the wider negotiator space as well as to build their connections with those who are well established in climate negotiatio</w:t>
      </w:r>
      <w:r w:rsidR="001148CB">
        <w:t xml:space="preserve">ns. </w:t>
      </w:r>
    </w:p>
    <w:p w:rsidRPr="00D75194" w:rsidR="00825266" w:rsidP="001148CB" w:rsidRDefault="00825266" w14:paraId="56428978" w14:textId="78CE73A3">
      <w:r w:rsidRPr="00D75194">
        <w:t xml:space="preserve">During KIIs, examples were provided of youth becoming more empowered to participate in domestic policy within their respective countries. </w:t>
      </w:r>
      <w:r w:rsidRPr="00D75194" w:rsidR="00351B91">
        <w:t xml:space="preserve">For example, </w:t>
      </w:r>
      <w:r w:rsidRPr="00D75194" w:rsidR="00D861F0">
        <w:t xml:space="preserve">a youth negotiator </w:t>
      </w:r>
      <w:r w:rsidRPr="00D75194" w:rsidR="008F5115">
        <w:t>mentored by an OF TP</w:t>
      </w:r>
      <w:r w:rsidRPr="00D75194" w:rsidR="00A10B51">
        <w:t xml:space="preserve"> drafted a domestic agenda</w:t>
      </w:r>
      <w:r w:rsidRPr="00D75194">
        <w:t xml:space="preserve"> on youth inclusion in climate </w:t>
      </w:r>
      <w:r w:rsidRPr="00D75194" w:rsidR="005C6600">
        <w:t xml:space="preserve">change </w:t>
      </w:r>
      <w:r w:rsidRPr="00D75194">
        <w:t>strateg</w:t>
      </w:r>
      <w:r w:rsidRPr="00D75194" w:rsidR="005C6600">
        <w:t>y that was presented to their government</w:t>
      </w:r>
      <w:r w:rsidRPr="00D75194" w:rsidR="00FA1CBB">
        <w:t>.</w:t>
      </w:r>
      <w:r w:rsidRPr="00D75194" w:rsidR="003101DE">
        <w:t xml:space="preserve"> </w:t>
      </w:r>
      <w:r w:rsidRPr="00D75194" w:rsidR="00FB5805">
        <w:t>This support has also been</w:t>
      </w:r>
      <w:r w:rsidRPr="00D75194" w:rsidR="00131C24">
        <w:t xml:space="preserve"> provided </w:t>
      </w:r>
      <w:r w:rsidRPr="00D75194" w:rsidR="00FB5805">
        <w:t>outside</w:t>
      </w:r>
      <w:r w:rsidRPr="00D75194" w:rsidR="00D65D66">
        <w:t xml:space="preserve"> of</w:t>
      </w:r>
      <w:r w:rsidRPr="00D75194" w:rsidR="00FB5805">
        <w:t xml:space="preserve"> formal </w:t>
      </w:r>
      <w:r w:rsidRPr="00D75194" w:rsidR="00131C24">
        <w:t xml:space="preserve">mentorship </w:t>
      </w:r>
      <w:r w:rsidRPr="00D75194" w:rsidR="00FB5805">
        <w:t>prog</w:t>
      </w:r>
      <w:r w:rsidRPr="00D75194" w:rsidR="00D60EDF">
        <w:t>r</w:t>
      </w:r>
      <w:r w:rsidRPr="00D75194" w:rsidR="00FB5805">
        <w:t>ammes</w:t>
      </w:r>
      <w:r w:rsidRPr="00D75194" w:rsidR="00D65D66">
        <w:t xml:space="preserve">: </w:t>
      </w:r>
      <w:r w:rsidRPr="00D75194" w:rsidR="00FB5805">
        <w:t>for example, O</w:t>
      </w:r>
      <w:r w:rsidRPr="00D75194" w:rsidR="00131C24">
        <w:t xml:space="preserve">DI provided mentorship to </w:t>
      </w:r>
      <w:r w:rsidRPr="00D75194" w:rsidR="00FB5805">
        <w:t>two young AOSIS staff in 2024.</w:t>
      </w:r>
      <w:r w:rsidRPr="00D75194" w:rsidR="00131C24">
        <w:t xml:space="preserve"> </w:t>
      </w:r>
      <w:r w:rsidRPr="00D75194" w:rsidR="003101DE">
        <w:t>This has led to youth taking on leadership roles in the negotiation spaces across different groups</w:t>
      </w:r>
      <w:r w:rsidRPr="00D75194" w:rsidR="00D75129">
        <w:t>,</w:t>
      </w:r>
      <w:r w:rsidRPr="00D75194" w:rsidR="003101DE">
        <w:t xml:space="preserve"> such as the LDC </w:t>
      </w:r>
      <w:r w:rsidR="00D75129">
        <w:t>G</w:t>
      </w:r>
      <w:r w:rsidR="003101DE">
        <w:t>roup</w:t>
      </w:r>
      <w:r w:rsidRPr="00D75194" w:rsidR="003101DE">
        <w:t xml:space="preserve"> and the Loss and Damage Fund.</w:t>
      </w:r>
      <w:r w:rsidRPr="00D75194">
        <w:t xml:space="preserve"> </w:t>
      </w:r>
      <w:r w:rsidRPr="00D75194" w:rsidR="00EE3B4A">
        <w:t>By enabling youth to take</w:t>
      </w:r>
      <w:r w:rsidRPr="00D75194" w:rsidR="00650EC0">
        <w:t xml:space="preserve"> on</w:t>
      </w:r>
      <w:r w:rsidRPr="00D75194" w:rsidR="00EE3B4A">
        <w:t xml:space="preserve"> leadership roles in negotiations, CASA </w:t>
      </w:r>
      <w:r w:rsidRPr="00D75194" w:rsidR="00C927A0">
        <w:t xml:space="preserve">is enabling </w:t>
      </w:r>
      <w:r w:rsidRPr="00D75194" w:rsidR="00E04977">
        <w:t>a new generation to meaningfully contribute</w:t>
      </w:r>
      <w:r w:rsidRPr="00D75194" w:rsidR="00D10CC6">
        <w:t xml:space="preserve"> to</w:t>
      </w:r>
      <w:r w:rsidRPr="00D75194" w:rsidR="00E04977">
        <w:t xml:space="preserve"> and participate in these conversations.</w:t>
      </w:r>
      <w:r w:rsidRPr="00D75194" w:rsidDel="006B601D" w:rsidR="00E04977">
        <w:t xml:space="preserve"> </w:t>
      </w:r>
    </w:p>
    <w:p w:rsidRPr="00D75194" w:rsidR="00825266" w:rsidP="001148CB" w:rsidRDefault="0026626F" w14:paraId="35A75D06" w14:textId="3A1BA2FB">
      <w:r w:rsidRPr="00D75194">
        <w:t>While CASA II has enabled</w:t>
      </w:r>
      <w:r w:rsidRPr="00D75194" w:rsidR="00825266">
        <w:t xml:space="preserve"> </w:t>
      </w:r>
      <w:r w:rsidRPr="00D75194" w:rsidR="007A075F">
        <w:t>an increase in</w:t>
      </w:r>
      <w:r w:rsidRPr="00D75194" w:rsidR="00825266">
        <w:t xml:space="preserve"> youth participation </w:t>
      </w:r>
      <w:r w:rsidRPr="00D75194" w:rsidR="007A075F">
        <w:t>through t</w:t>
      </w:r>
      <w:r w:rsidRPr="00D75194" w:rsidR="009E35AA">
        <w:t xml:space="preserve">he widening scope of OF </w:t>
      </w:r>
      <w:r w:rsidRPr="00D75194" w:rsidR="003B405B">
        <w:t xml:space="preserve">initiatives that provide mentorship, </w:t>
      </w:r>
      <w:r w:rsidRPr="00D75194" w:rsidR="007732DA">
        <w:t>funding, and physical resources</w:t>
      </w:r>
      <w:r w:rsidRPr="00D75194" w:rsidR="00825266">
        <w:t xml:space="preserve">, this does not </w:t>
      </w:r>
      <w:r w:rsidRPr="00D75194" w:rsidR="00E90FD2">
        <w:t>always equate to</w:t>
      </w:r>
      <w:r w:rsidRPr="00D75194" w:rsidR="00825266">
        <w:t xml:space="preserve"> meaningful participation. Interviewees noted that even with accreditation, </w:t>
      </w:r>
      <w:r w:rsidRPr="00D75194" w:rsidR="00335C68">
        <w:t>impactful participation</w:t>
      </w:r>
      <w:r w:rsidRPr="00D75194" w:rsidR="007150FD">
        <w:t>—</w:t>
      </w:r>
      <w:r w:rsidRPr="00D75194" w:rsidR="00335C68">
        <w:t xml:space="preserve">in which negotiators </w:t>
      </w:r>
      <w:proofErr w:type="gramStart"/>
      <w:r w:rsidRPr="00D75194" w:rsidR="00335C68">
        <w:t>are able to</w:t>
      </w:r>
      <w:proofErr w:type="gramEnd"/>
      <w:r w:rsidRPr="00D75194" w:rsidR="00335C68">
        <w:t xml:space="preserve"> </w:t>
      </w:r>
      <w:r w:rsidRPr="00D75194" w:rsidR="00E64F70">
        <w:t>prov</w:t>
      </w:r>
      <w:r w:rsidRPr="00D75194" w:rsidR="004E496B">
        <w:t xml:space="preserve">ide </w:t>
      </w:r>
      <w:r w:rsidRPr="00D75194" w:rsidR="008B0E8F">
        <w:t>their delegations</w:t>
      </w:r>
      <w:r w:rsidRPr="00D75194" w:rsidR="007150FD">
        <w:t>’</w:t>
      </w:r>
      <w:r w:rsidRPr="00D75194" w:rsidR="008B0E8F">
        <w:t xml:space="preserve"> views</w:t>
      </w:r>
      <w:r w:rsidRPr="00D75194" w:rsidR="007150FD">
        <w:t>—</w:t>
      </w:r>
      <w:r w:rsidRPr="00D75194" w:rsidR="00D50BA6">
        <w:t xml:space="preserve">may be impeded by a lack of </w:t>
      </w:r>
      <w:r w:rsidRPr="00D75194" w:rsidR="008F3889">
        <w:t>physical resources</w:t>
      </w:r>
      <w:r w:rsidRPr="00D75194" w:rsidR="00C12A2A">
        <w:t>,</w:t>
      </w:r>
      <w:r w:rsidRPr="00D75194" w:rsidR="008F3889">
        <w:t xml:space="preserve"> </w:t>
      </w:r>
      <w:r w:rsidRPr="00D75194" w:rsidR="00D46C7C">
        <w:t>including</w:t>
      </w:r>
      <w:r w:rsidRPr="00D75194" w:rsidR="00825266">
        <w:t xml:space="preserve"> briefing documents or additional support from experts. There is also a reliance on external donors for these resources, such as through the CASA II programme. One </w:t>
      </w:r>
      <w:r w:rsidRPr="00D75194" w:rsidR="00CB5F24">
        <w:t>OF</w:t>
      </w:r>
      <w:r w:rsidRPr="00D75194" w:rsidR="00825266">
        <w:t xml:space="preserve">-funded negotiator observed that the pool of available funding </w:t>
      </w:r>
      <w:r w:rsidRPr="00D75194" w:rsidR="004A5AA8">
        <w:t>globally</w:t>
      </w:r>
      <w:r w:rsidRPr="00D75194" w:rsidR="00825266">
        <w:t xml:space="preserve"> is diminishing, indicating that CASA II funding is essential for their </w:t>
      </w:r>
      <w:r w:rsidRPr="00D75194" w:rsidR="00F41307">
        <w:t>physical</w:t>
      </w:r>
      <w:r w:rsidRPr="00D75194" w:rsidR="00825266">
        <w:t xml:space="preserve"> participation</w:t>
      </w:r>
      <w:r w:rsidRPr="00D75194" w:rsidR="00901B55">
        <w:t xml:space="preserve"> in these crucial events</w:t>
      </w:r>
      <w:r w:rsidRPr="00D75194" w:rsidR="007348BE">
        <w:t xml:space="preserve"> and their ability to participate</w:t>
      </w:r>
      <w:r w:rsidR="00E5752B">
        <w:t>, w</w:t>
      </w:r>
      <w:r w:rsidR="004724AC">
        <w:t>hile</w:t>
      </w:r>
      <w:r w:rsidRPr="00D75194" w:rsidR="004724AC">
        <w:t xml:space="preserve"> another acknowledged</w:t>
      </w:r>
      <w:r w:rsidRPr="00D75194" w:rsidR="001966D9">
        <w:t xml:space="preserve"> that their physical presence at C</w:t>
      </w:r>
      <w:r w:rsidRPr="00D75194" w:rsidR="00A66B13">
        <w:t>O</w:t>
      </w:r>
      <w:r w:rsidRPr="00D75194" w:rsidR="001966D9">
        <w:t xml:space="preserve">P allowed them to </w:t>
      </w:r>
      <w:r w:rsidRPr="00D75194" w:rsidR="009E56D5">
        <w:t xml:space="preserve">connect </w:t>
      </w:r>
      <w:r w:rsidRPr="00D75194" w:rsidR="00896D67">
        <w:t xml:space="preserve">with </w:t>
      </w:r>
      <w:r w:rsidRPr="00D75194" w:rsidR="009E56D5">
        <w:t xml:space="preserve">and learn from other youth </w:t>
      </w:r>
      <w:r w:rsidRPr="00D75194" w:rsidR="00EC0FE9">
        <w:t>from different contexts</w:t>
      </w:r>
      <w:r w:rsidRPr="00D75194" w:rsidR="00104BCB">
        <w:t>.</w:t>
      </w:r>
    </w:p>
    <w:p w:rsidRPr="001148CB" w:rsidR="00825266" w:rsidP="001148CB" w:rsidRDefault="00825266" w14:paraId="70A875C2" w14:textId="6574860B">
      <w:pPr>
        <w:rPr>
          <w:b/>
          <w:bCs/>
        </w:rPr>
      </w:pPr>
      <w:r w:rsidRPr="001148CB">
        <w:rPr>
          <w:b/>
          <w:bCs/>
        </w:rPr>
        <w:t xml:space="preserve">GESI </w:t>
      </w:r>
      <w:r w:rsidRPr="001148CB" w:rsidR="00522264">
        <w:rPr>
          <w:b/>
          <w:bCs/>
        </w:rPr>
        <w:t>l</w:t>
      </w:r>
      <w:r w:rsidRPr="001148CB">
        <w:rPr>
          <w:b/>
          <w:bCs/>
        </w:rPr>
        <w:t>imitations</w:t>
      </w:r>
    </w:p>
    <w:p w:rsidRPr="001148CB" w:rsidR="00825266" w:rsidP="001148CB" w:rsidRDefault="00825266" w14:paraId="565B84F9" w14:textId="67158874">
      <w:r w:rsidRPr="00D75194">
        <w:t>The increased participation of women, youth, and individuals from the Global South is undoubtedly crucial to advancing the goals of CASA II. To further understand the barriers to participation for these groups, this evaluation explored both internal and external factors that limit this goal.</w:t>
      </w:r>
      <w:r w:rsidRPr="00D75194" w:rsidR="001330B0">
        <w:t xml:space="preserve"> Thi</w:t>
      </w:r>
      <w:r w:rsidRPr="00D75194" w:rsidR="009563A4">
        <w:t>s</w:t>
      </w:r>
      <w:r w:rsidRPr="00D75194" w:rsidDel="00522264" w:rsidR="009563A4">
        <w:t xml:space="preserve"> </w:t>
      </w:r>
      <w:r w:rsidRPr="00D75194" w:rsidR="00522264">
        <w:t xml:space="preserve">has been </w:t>
      </w:r>
      <w:r w:rsidRPr="00D75194" w:rsidR="009563A4">
        <w:t>detailed</w:t>
      </w:r>
      <w:r w:rsidRPr="00D75194" w:rsidR="00840A77">
        <w:t xml:space="preserve"> throughout the </w:t>
      </w:r>
      <w:r w:rsidRPr="00D75194" w:rsidR="003760E0">
        <w:t>report</w:t>
      </w:r>
      <w:r w:rsidRPr="00D75194" w:rsidR="00522264">
        <w:t>,</w:t>
      </w:r>
      <w:r w:rsidRPr="00D75194" w:rsidR="003760E0">
        <w:t xml:space="preserve"> including</w:t>
      </w:r>
      <w:r w:rsidRPr="00D75194" w:rsidR="00B96617">
        <w:t xml:space="preserve"> in the </w:t>
      </w:r>
      <w:r w:rsidRPr="00D75194" w:rsidR="00522264">
        <w:t xml:space="preserve">section on </w:t>
      </w:r>
      <w:r w:rsidR="00522264">
        <w:t>e</w:t>
      </w:r>
      <w:r w:rsidR="00B96617">
        <w:t>ffectiveness</w:t>
      </w:r>
      <w:r w:rsidR="00522264">
        <w:t>,</w:t>
      </w:r>
      <w:r w:rsidRPr="00D75194" w:rsidR="00B96617">
        <w:t xml:space="preserve"> under the </w:t>
      </w:r>
      <w:r w:rsidRPr="00D75194" w:rsidR="00522264">
        <w:t xml:space="preserve">discussion of </w:t>
      </w:r>
      <w:r w:rsidRPr="00D75194" w:rsidR="00B96617">
        <w:t>internal and extern</w:t>
      </w:r>
      <w:r w:rsidRPr="00D75194" w:rsidR="00931598">
        <w:t>al factors</w:t>
      </w:r>
      <w:r w:rsidRPr="00D75194" w:rsidR="00F4149A">
        <w:t>.</w:t>
      </w:r>
      <w:r w:rsidRPr="00D75194" w:rsidR="009301E0">
        <w:t xml:space="preserve"> Highlighted below are key considerations in the GESI context:</w:t>
      </w:r>
    </w:p>
    <w:p w:rsidRPr="00D75194" w:rsidR="00D3385B" w:rsidP="00866E69" w:rsidRDefault="00825266" w14:paraId="0F91BC39" w14:textId="6A8B394D">
      <w:pPr>
        <w:numPr>
          <w:ilvl w:val="0"/>
          <w:numId w:val="30"/>
        </w:numPr>
        <w:spacing w:after="0" w:line="259" w:lineRule="auto"/>
        <w:rPr>
          <w:b/>
          <w:bCs/>
        </w:rPr>
      </w:pPr>
      <w:r w:rsidRPr="00D75194">
        <w:rPr>
          <w:b/>
          <w:bCs/>
        </w:rPr>
        <w:t xml:space="preserve">Cultural and </w:t>
      </w:r>
      <w:r w:rsidRPr="738ADA2F" w:rsidR="00A64907">
        <w:rPr>
          <w:b/>
          <w:bCs/>
        </w:rPr>
        <w:t>p</w:t>
      </w:r>
      <w:r w:rsidRPr="738ADA2F">
        <w:rPr>
          <w:b/>
          <w:bCs/>
        </w:rPr>
        <w:t xml:space="preserve">olitical </w:t>
      </w:r>
      <w:r w:rsidRPr="738ADA2F" w:rsidR="00A64907">
        <w:rPr>
          <w:b/>
          <w:bCs/>
        </w:rPr>
        <w:t>c</w:t>
      </w:r>
      <w:r w:rsidRPr="738ADA2F">
        <w:rPr>
          <w:b/>
          <w:bCs/>
        </w:rPr>
        <w:t>ontexts</w:t>
      </w:r>
      <w:r w:rsidRPr="00D75194" w:rsidR="00086A18">
        <w:rPr>
          <w:b/>
          <w:bCs/>
        </w:rPr>
        <w:t xml:space="preserve"> are still a barrier</w:t>
      </w:r>
      <w:r w:rsidRPr="00D75194">
        <w:rPr>
          <w:b/>
          <w:bCs/>
        </w:rPr>
        <w:t>:</w:t>
      </w:r>
      <w:r w:rsidRPr="00D75194">
        <w:t xml:space="preserve"> In some countries, marginalised individuals are unable to directly participate in the negotiation process due to factors such as c</w:t>
      </w:r>
      <w:r w:rsidRPr="00D75194" w:rsidR="008419CD">
        <w:t>lass</w:t>
      </w:r>
      <w:r w:rsidRPr="00D75194">
        <w:t xml:space="preserve">, gender, or age. </w:t>
      </w:r>
      <w:r w:rsidRPr="00D75194" w:rsidR="00D3385B">
        <w:t xml:space="preserve">Furthermore, even when quotas are introduced, some countries still do not encourage meaningful participation </w:t>
      </w:r>
      <w:r w:rsidR="003F4789">
        <w:t>by</w:t>
      </w:r>
      <w:r w:rsidRPr="00D75194" w:rsidR="00D3385B">
        <w:t xml:space="preserve"> youth or women.</w:t>
      </w:r>
      <w:r w:rsidRPr="00D75194" w:rsidR="00193A13">
        <w:t xml:space="preserve"> This was noted during </w:t>
      </w:r>
      <w:r w:rsidR="00193A13">
        <w:t>KIIs</w:t>
      </w:r>
      <w:r w:rsidRPr="00D75194" w:rsidR="006D27D0">
        <w:t>,</w:t>
      </w:r>
      <w:r w:rsidRPr="00D75194" w:rsidR="00193A13">
        <w:t xml:space="preserve"> with specific examples </w:t>
      </w:r>
      <w:r w:rsidRPr="00D75194" w:rsidR="006D27D0">
        <w:t xml:space="preserve">given </w:t>
      </w:r>
      <w:r w:rsidR="006D27D0">
        <w:t>of</w:t>
      </w:r>
      <w:r w:rsidRPr="00D75194" w:rsidR="00193A13">
        <w:t xml:space="preserve"> a gendered hierarchy in delegations due to country cultures</w:t>
      </w:r>
      <w:r w:rsidRPr="00D75194" w:rsidR="00933A1B">
        <w:t>,</w:t>
      </w:r>
      <w:r w:rsidRPr="00D75194" w:rsidR="002C76F6">
        <w:t xml:space="preserve"> in addition to a tendency for some countries to still promote men over women</w:t>
      </w:r>
      <w:r w:rsidRPr="00D75194" w:rsidR="00193A13">
        <w:t xml:space="preserve">. </w:t>
      </w:r>
      <w:r w:rsidRPr="00D75194" w:rsidR="00CC7FF3">
        <w:t>A</w:t>
      </w:r>
      <w:r w:rsidRPr="00D75194" w:rsidR="00A00746">
        <w:t xml:space="preserve"> </w:t>
      </w:r>
      <w:r w:rsidRPr="00D75194" w:rsidR="00193A13">
        <w:t xml:space="preserve">strategy employed by </w:t>
      </w:r>
      <w:r w:rsidRPr="00D75194" w:rsidR="00D60EDF">
        <w:t xml:space="preserve">one </w:t>
      </w:r>
      <w:r w:rsidRPr="00D75194" w:rsidR="00193A13">
        <w:t>OF</w:t>
      </w:r>
      <w:r w:rsidRPr="00D75194" w:rsidR="00D60EDF">
        <w:t xml:space="preserve"> </w:t>
      </w:r>
      <w:r w:rsidRPr="00D75194" w:rsidR="00193A13">
        <w:t xml:space="preserve">TP to include the voices of these marginalised groups involved conducting public </w:t>
      </w:r>
      <w:r w:rsidRPr="00D75194" w:rsidR="00BC6C30">
        <w:t>workshops</w:t>
      </w:r>
      <w:r w:rsidRPr="00D75194" w:rsidR="00EC5589">
        <w:t xml:space="preserve"> in the presence of </w:t>
      </w:r>
      <w:r w:rsidRPr="00D75194" w:rsidR="00515E48">
        <w:t>various stakeholders</w:t>
      </w:r>
      <w:r w:rsidRPr="00D75194" w:rsidR="00BC6C30">
        <w:t xml:space="preserve"> </w:t>
      </w:r>
      <w:r w:rsidRPr="00D75194" w:rsidR="00193A13">
        <w:t>and presenting their findings to the government.</w:t>
      </w:r>
    </w:p>
    <w:p w:rsidRPr="00D75194" w:rsidR="00825266" w:rsidP="00866E69" w:rsidRDefault="00825266" w14:paraId="290B9FE2" w14:textId="06AED432">
      <w:pPr>
        <w:numPr>
          <w:ilvl w:val="0"/>
          <w:numId w:val="30"/>
        </w:numPr>
        <w:spacing w:after="0" w:line="259" w:lineRule="auto"/>
        <w:rPr>
          <w:b/>
          <w:bCs/>
        </w:rPr>
      </w:pPr>
      <w:r w:rsidRPr="00D75194">
        <w:rPr>
          <w:b/>
          <w:bCs/>
        </w:rPr>
        <w:t xml:space="preserve">Funding and </w:t>
      </w:r>
      <w:r w:rsidRPr="738ADA2F" w:rsidR="00EA3A1C">
        <w:rPr>
          <w:b/>
          <w:bCs/>
        </w:rPr>
        <w:t>t</w:t>
      </w:r>
      <w:r w:rsidRPr="738ADA2F">
        <w:rPr>
          <w:b/>
          <w:bCs/>
        </w:rPr>
        <w:t xml:space="preserve">ravel </w:t>
      </w:r>
      <w:r w:rsidRPr="738ADA2F" w:rsidR="00EA3A1C">
        <w:rPr>
          <w:b/>
          <w:bCs/>
        </w:rPr>
        <w:t>s</w:t>
      </w:r>
      <w:r w:rsidRPr="738ADA2F">
        <w:rPr>
          <w:b/>
          <w:bCs/>
        </w:rPr>
        <w:t>upport</w:t>
      </w:r>
      <w:r w:rsidRPr="00D75194" w:rsidR="00DC47B5">
        <w:rPr>
          <w:b/>
          <w:bCs/>
        </w:rPr>
        <w:t xml:space="preserve"> impacted </w:t>
      </w:r>
      <w:r w:rsidRPr="00D75194" w:rsidR="00E872F2">
        <w:rPr>
          <w:b/>
          <w:bCs/>
        </w:rPr>
        <w:t>the ability of some negotiators to</w:t>
      </w:r>
      <w:r w:rsidRPr="00D75194" w:rsidR="000F0E4E">
        <w:rPr>
          <w:b/>
          <w:bCs/>
        </w:rPr>
        <w:t xml:space="preserve"> meaningfully participate in negotiations</w:t>
      </w:r>
      <w:r w:rsidRPr="00D75194">
        <w:rPr>
          <w:b/>
          <w:bCs/>
        </w:rPr>
        <w:t xml:space="preserve">: </w:t>
      </w:r>
      <w:r w:rsidRPr="00D75194">
        <w:t xml:space="preserve">Travel and </w:t>
      </w:r>
      <w:r w:rsidR="00EA3A1C">
        <w:t>d</w:t>
      </w:r>
      <w:r>
        <w:t xml:space="preserve">aily </w:t>
      </w:r>
      <w:r w:rsidR="00EA3A1C">
        <w:t>s</w:t>
      </w:r>
      <w:r>
        <w:t xml:space="preserve">ubsistence </w:t>
      </w:r>
      <w:r w:rsidR="00EA3A1C">
        <w:t>a</w:t>
      </w:r>
      <w:r>
        <w:t>llowance</w:t>
      </w:r>
      <w:r w:rsidR="00EA3A1C">
        <w:t>s</w:t>
      </w:r>
      <w:r w:rsidRPr="00D75194" w:rsidR="00EA3A1C">
        <w:t xml:space="preserve"> </w:t>
      </w:r>
      <w:r w:rsidRPr="00D75194">
        <w:t>for national negotiators were often not covered under CASA, necessitating reliance on the Green Climate Fund</w:t>
      </w:r>
      <w:r>
        <w:t>,</w:t>
      </w:r>
      <w:r w:rsidRPr="00D75194">
        <w:t xml:space="preserve"> national budgets, or individual fundraising efforts. For instance, a delay in CASA funding at COP29 resulted in several LDC delegates </w:t>
      </w:r>
      <w:r w:rsidR="00387DBA">
        <w:t>supported by an</w:t>
      </w:r>
      <w:r w:rsidRPr="00D75194" w:rsidR="00220E3E">
        <w:t xml:space="preserve"> OF </w:t>
      </w:r>
      <w:r w:rsidR="00387DBA">
        <w:t xml:space="preserve">grantee </w:t>
      </w:r>
      <w:r w:rsidRPr="00D75194">
        <w:t>arriving late to the event, after negotiations had already commenced.</w:t>
      </w:r>
      <w:r w:rsidRPr="00D75194" w:rsidR="007F0686">
        <w:t xml:space="preserve"> </w:t>
      </w:r>
      <w:r w:rsidR="00CF151E">
        <w:t>This i</w:t>
      </w:r>
      <w:r w:rsidR="007F0686">
        <w:t>mpact</w:t>
      </w:r>
      <w:r w:rsidR="00CF151E">
        <w:t>ed</w:t>
      </w:r>
      <w:r w:rsidRPr="00D75194" w:rsidR="007F0686">
        <w:t xml:space="preserve"> their ability to effectively negotiate, </w:t>
      </w:r>
      <w:r w:rsidRPr="00D75194" w:rsidR="00AD7C63">
        <w:t xml:space="preserve">and meant </w:t>
      </w:r>
      <w:r w:rsidRPr="00D75194" w:rsidR="00557FE7">
        <w:t>a significant amount of catch</w:t>
      </w:r>
      <w:r w:rsidRPr="00D75194" w:rsidR="00AD7C63">
        <w:t>-</w:t>
      </w:r>
      <w:r w:rsidRPr="00D75194" w:rsidR="00557FE7">
        <w:t>up</w:t>
      </w:r>
      <w:r w:rsidRPr="00D75194" w:rsidR="00420115">
        <w:t xml:space="preserve"> </w:t>
      </w:r>
      <w:r w:rsidRPr="00D75194" w:rsidR="00AD7C63">
        <w:t xml:space="preserve">was required, </w:t>
      </w:r>
      <w:r w:rsidRPr="00D75194" w:rsidR="00420115">
        <w:t xml:space="preserve">as reported in </w:t>
      </w:r>
      <w:r w:rsidR="00420115">
        <w:t>KIIs</w:t>
      </w:r>
      <w:r w:rsidRPr="00D75194" w:rsidR="00420115">
        <w:t>.</w:t>
      </w:r>
    </w:p>
    <w:p w:rsidRPr="00D75194" w:rsidR="00825266" w:rsidP="00866E69" w:rsidRDefault="00406585" w14:paraId="57359F7C" w14:textId="1AAA8521">
      <w:pPr>
        <w:numPr>
          <w:ilvl w:val="0"/>
          <w:numId w:val="30"/>
        </w:numPr>
        <w:spacing w:after="0" w:line="259" w:lineRule="auto"/>
        <w:rPr>
          <w:b/>
          <w:bCs/>
        </w:rPr>
      </w:pPr>
      <w:r w:rsidRPr="00D75194">
        <w:rPr>
          <w:b/>
          <w:bCs/>
        </w:rPr>
        <w:t xml:space="preserve">Overcoming </w:t>
      </w:r>
      <w:r w:rsidRPr="46F1BA03" w:rsidR="00100CF7">
        <w:rPr>
          <w:b/>
          <w:bCs/>
        </w:rPr>
        <w:t>language</w:t>
      </w:r>
      <w:r w:rsidRPr="00D75194" w:rsidR="00100CF7">
        <w:rPr>
          <w:b/>
          <w:bCs/>
        </w:rPr>
        <w:t xml:space="preserve"> barriers</w:t>
      </w:r>
      <w:r w:rsidRPr="00D75194" w:rsidR="00F014FE">
        <w:rPr>
          <w:b/>
          <w:bCs/>
        </w:rPr>
        <w:t xml:space="preserve"> </w:t>
      </w:r>
      <w:r w:rsidRPr="46F1BA03">
        <w:rPr>
          <w:b/>
          <w:bCs/>
        </w:rPr>
        <w:t>is</w:t>
      </w:r>
      <w:r w:rsidRPr="00D75194" w:rsidR="00086A18">
        <w:rPr>
          <w:b/>
          <w:bCs/>
        </w:rPr>
        <w:t xml:space="preserve"> </w:t>
      </w:r>
      <w:r w:rsidRPr="00D75194" w:rsidR="00EE0DFF">
        <w:rPr>
          <w:b/>
          <w:bCs/>
        </w:rPr>
        <w:t>being supported but</w:t>
      </w:r>
      <w:r w:rsidRPr="00D75194" w:rsidR="00086A18">
        <w:rPr>
          <w:b/>
          <w:bCs/>
        </w:rPr>
        <w:t xml:space="preserve"> </w:t>
      </w:r>
      <w:r w:rsidRPr="00D75194">
        <w:rPr>
          <w:b/>
          <w:bCs/>
        </w:rPr>
        <w:t xml:space="preserve">these barriers are </w:t>
      </w:r>
      <w:r w:rsidRPr="00D75194" w:rsidR="00086A18">
        <w:rPr>
          <w:b/>
          <w:bCs/>
        </w:rPr>
        <w:t>still prominent</w:t>
      </w:r>
      <w:r w:rsidRPr="00D75194" w:rsidR="00825266">
        <w:rPr>
          <w:b/>
          <w:bCs/>
        </w:rPr>
        <w:t xml:space="preserve">: </w:t>
      </w:r>
      <w:r w:rsidRPr="00D75194" w:rsidR="00825266">
        <w:t>Francophone negotiators noted the limited availability of French-language materials or support.</w:t>
      </w:r>
      <w:r w:rsidRPr="00D75194" w:rsidR="006C10E3">
        <w:t xml:space="preserve"> Some </w:t>
      </w:r>
      <w:r w:rsidR="006C10E3">
        <w:t>TPs</w:t>
      </w:r>
      <w:r w:rsidRPr="00D75194" w:rsidR="006C10E3">
        <w:t xml:space="preserve"> were able to offer solutions</w:t>
      </w:r>
      <w:r w:rsidRPr="00D75194" w:rsidR="00876D61">
        <w:t>,</w:t>
      </w:r>
      <w:r w:rsidRPr="00D75194" w:rsidR="006C10E3">
        <w:t xml:space="preserve"> such as one-to-one support</w:t>
      </w:r>
      <w:r w:rsidRPr="00D75194" w:rsidR="00CC79F7">
        <w:t xml:space="preserve">: </w:t>
      </w:r>
      <w:r w:rsidRPr="00D75194" w:rsidR="006C10E3">
        <w:t xml:space="preserve">for example, </w:t>
      </w:r>
      <w:r w:rsidR="003F1B22">
        <w:t xml:space="preserve">ICCCAD and CIES </w:t>
      </w:r>
      <w:r w:rsidR="000A103E">
        <w:t>offer</w:t>
      </w:r>
      <w:r w:rsidR="003F1B22">
        <w:t xml:space="preserve"> negotiations advice</w:t>
      </w:r>
      <w:r w:rsidR="000A103E">
        <w:t xml:space="preserve"> to supported individuals</w:t>
      </w:r>
      <w:r w:rsidR="003F1B22">
        <w:t xml:space="preserve"> in </w:t>
      </w:r>
      <w:r w:rsidR="005148EA">
        <w:t xml:space="preserve">native languages, and </w:t>
      </w:r>
      <w:r w:rsidRPr="00D75194" w:rsidR="006C10E3">
        <w:t>LRI provided translations of documents needed for negotiations.</w:t>
      </w:r>
      <w:r w:rsidRPr="00D75194" w:rsidR="00C13B1C">
        <w:t xml:space="preserve"> One example given by an interviewee of </w:t>
      </w:r>
      <w:r w:rsidRPr="00D75194" w:rsidR="00AB1614">
        <w:t xml:space="preserve">support </w:t>
      </w:r>
      <w:r w:rsidRPr="00D75194" w:rsidR="009932E1">
        <w:t xml:space="preserve">outside of CASA was </w:t>
      </w:r>
      <w:r w:rsidRPr="00D75194" w:rsidR="004751FE">
        <w:t xml:space="preserve">the </w:t>
      </w:r>
      <w:r w:rsidRPr="00D75194" w:rsidR="00E20419">
        <w:t xml:space="preserve">Institut fédéral pour le Développement durable </w:t>
      </w:r>
      <w:r w:rsidRPr="00D75194" w:rsidR="009033F1">
        <w:t>(</w:t>
      </w:r>
      <w:r w:rsidRPr="00D75194" w:rsidR="009932E1">
        <w:t>FDD</w:t>
      </w:r>
      <w:r w:rsidR="009033F1">
        <w:t>)</w:t>
      </w:r>
      <w:r w:rsidRPr="00D75194" w:rsidDel="001B5D18" w:rsidR="008D6BAE">
        <w:t xml:space="preserve"> </w:t>
      </w:r>
      <w:r w:rsidRPr="00D75194" w:rsidR="001B5D18">
        <w:t xml:space="preserve">providing </w:t>
      </w:r>
      <w:r w:rsidRPr="00D75194" w:rsidR="008D6BAE">
        <w:t>support for French</w:t>
      </w:r>
      <w:r w:rsidRPr="00D75194" w:rsidR="00683225">
        <w:t>-</w:t>
      </w:r>
      <w:r w:rsidRPr="00D75194" w:rsidR="008D6BAE">
        <w:t>speaking women to attend</w:t>
      </w:r>
      <w:r w:rsidRPr="00D75194" w:rsidR="00FF5105">
        <w:t xml:space="preserve"> COP</w:t>
      </w:r>
      <w:r w:rsidRPr="00D75194" w:rsidR="00936993">
        <w:t>,</w:t>
      </w:r>
      <w:r w:rsidRPr="00D75194" w:rsidR="00A60AD0">
        <w:t xml:space="preserve"> exclusively supporting </w:t>
      </w:r>
      <w:r w:rsidRPr="00D75194" w:rsidR="00CC25A8">
        <w:t>women from French</w:t>
      </w:r>
      <w:r w:rsidRPr="00D75194" w:rsidR="00A91E32">
        <w:t>-</w:t>
      </w:r>
      <w:r w:rsidRPr="00D75194" w:rsidR="00CC25A8">
        <w:t>speaking African countries</w:t>
      </w:r>
      <w:r w:rsidRPr="00D75194" w:rsidR="00110250">
        <w:t xml:space="preserve"> with trainings online</w:t>
      </w:r>
      <w:r w:rsidRPr="00D75194" w:rsidR="00D12F4E">
        <w:t xml:space="preserve"> to help them navigate negotiations.</w:t>
      </w:r>
      <w:r w:rsidRPr="00D75194" w:rsidR="00A6580E">
        <w:t xml:space="preserve"> </w:t>
      </w:r>
    </w:p>
    <w:p w:rsidRPr="00D75194" w:rsidR="00825266" w:rsidP="00A66917" w:rsidRDefault="00825266" w14:paraId="51229ADC" w14:textId="411F2FDF">
      <w:pPr>
        <w:numPr>
          <w:ilvl w:val="0"/>
          <w:numId w:val="30"/>
        </w:numPr>
        <w:spacing w:after="0" w:line="259" w:lineRule="auto"/>
        <w:rPr>
          <w:rFonts w:asciiTheme="minorHAnsi" w:hAnsiTheme="minorHAnsi"/>
          <w:sz w:val="22"/>
          <w:szCs w:val="22"/>
        </w:rPr>
      </w:pPr>
      <w:r w:rsidRPr="00D75194">
        <w:rPr>
          <w:b/>
          <w:bCs/>
        </w:rPr>
        <w:t xml:space="preserve">Data </w:t>
      </w:r>
      <w:r w:rsidRPr="46F1BA03" w:rsidR="004B491C">
        <w:rPr>
          <w:b/>
          <w:bCs/>
        </w:rPr>
        <w:t>disaggregation</w:t>
      </w:r>
      <w:r w:rsidRPr="46F1BA03">
        <w:rPr>
          <w:b/>
          <w:bCs/>
        </w:rPr>
        <w:t xml:space="preserve">: </w:t>
      </w:r>
      <w:r w:rsidR="004B491C">
        <w:t>L</w:t>
      </w:r>
      <w:r>
        <w:t>imited</w:t>
      </w:r>
      <w:r w:rsidRPr="00D75194">
        <w:t xml:space="preserve"> disaggregated data </w:t>
      </w:r>
      <w:r w:rsidRPr="00D75194" w:rsidR="004B491C">
        <w:t xml:space="preserve">were </w:t>
      </w:r>
      <w:r w:rsidRPr="00D75194">
        <w:t xml:space="preserve">shared </w:t>
      </w:r>
      <w:r w:rsidRPr="00D75194" w:rsidR="00760952">
        <w:t xml:space="preserve">on </w:t>
      </w:r>
      <w:r w:rsidRPr="00D75194">
        <w:t xml:space="preserve">GESI. Despite several indicators using headcount data and a commitment to present various </w:t>
      </w:r>
      <w:r w:rsidRPr="00D75194" w:rsidR="009818F4">
        <w:t>disaggregation</w:t>
      </w:r>
      <w:r w:rsidRPr="00D75194">
        <w:t xml:space="preserve">, data reported at an aggregate level were not provided in these detailed forms. </w:t>
      </w:r>
    </w:p>
    <w:p w:rsidRPr="00D75194" w:rsidR="009610F2" w:rsidP="00524422" w:rsidRDefault="009610F2" w14:paraId="688ECB47" w14:textId="208003A9">
      <w:pPr>
        <w:pStyle w:val="Heading1"/>
      </w:pPr>
      <w:bookmarkStart w:name="_Toc214452919" w:id="105"/>
      <w:r w:rsidRPr="00D75194">
        <w:t>Conclusion</w:t>
      </w:r>
      <w:bookmarkEnd w:id="105"/>
    </w:p>
    <w:p w:rsidRPr="00D75194" w:rsidR="000876CA" w:rsidP="000876CA" w:rsidRDefault="000876CA" w14:paraId="24371FD1" w14:textId="6E4860BF">
      <w:r w:rsidRPr="00D75194">
        <w:t xml:space="preserve">CASA II and its predecessor programmes (beginning in 2010) have achieved considerable results and </w:t>
      </w:r>
      <w:r w:rsidRPr="00D75194" w:rsidR="00A96A7E">
        <w:t xml:space="preserve">have </w:t>
      </w:r>
      <w:r>
        <w:t>ma</w:t>
      </w:r>
      <w:r w:rsidR="00A96A7E">
        <w:t>d</w:t>
      </w:r>
      <w:r>
        <w:t>e</w:t>
      </w:r>
      <w:r w:rsidRPr="00D75194">
        <w:t xml:space="preserve"> significant contributions to </w:t>
      </w:r>
      <w:r w:rsidRPr="00D75194">
        <w:rPr>
          <w:b/>
        </w:rPr>
        <w:t xml:space="preserve">fairer negotiation processes that include meaningful participation from groups of </w:t>
      </w:r>
      <w:r w:rsidRPr="00D75194" w:rsidR="00E54A67">
        <w:rPr>
          <w:b/>
        </w:rPr>
        <w:t>high ambition</w:t>
      </w:r>
      <w:r w:rsidRPr="00D75194">
        <w:rPr>
          <w:b/>
        </w:rPr>
        <w:t xml:space="preserve"> developing countries and negotiated outcomes that reflect the positions of these groups.</w:t>
      </w:r>
      <w:r w:rsidRPr="00D75194">
        <w:t xml:space="preserve"> Extensive evidence has been collected over </w:t>
      </w:r>
      <w:r w:rsidR="00E54A67">
        <w:t>the interim</w:t>
      </w:r>
      <w:r w:rsidRPr="00D75194" w:rsidR="00ED43E6">
        <w:t xml:space="preserve"> evaluation </w:t>
      </w:r>
      <w:r w:rsidRPr="00D75194">
        <w:t xml:space="preserve">and </w:t>
      </w:r>
      <w:r w:rsidRPr="00D75194" w:rsidR="00ED43E6">
        <w:t xml:space="preserve">the </w:t>
      </w:r>
      <w:r w:rsidR="00ED43E6">
        <w:t>f</w:t>
      </w:r>
      <w:r>
        <w:t xml:space="preserve">inal </w:t>
      </w:r>
      <w:r w:rsidR="00ED43E6">
        <w:t>e</w:t>
      </w:r>
      <w:r>
        <w:t>valuation</w:t>
      </w:r>
      <w:r w:rsidRPr="00D75194">
        <w:t xml:space="preserve">, with findings from the analysis presented across six evaluation questions and six in-depth case studies. </w:t>
      </w:r>
    </w:p>
    <w:p w:rsidRPr="00D75194" w:rsidR="00087EFC" w:rsidP="000876CA" w:rsidRDefault="000876CA" w14:paraId="47C86925" w14:textId="63C7F38B">
      <w:r w:rsidRPr="00D75194">
        <w:t xml:space="preserve">There is strong evidence that CASA II remains highly relevant to both negotiators and the core negotiating groups </w:t>
      </w:r>
      <w:r w:rsidRPr="00D75194" w:rsidR="00142874">
        <w:t xml:space="preserve">the programme </w:t>
      </w:r>
      <w:r w:rsidRPr="00D75194">
        <w:t xml:space="preserve">aims to support. The programme’s delivery model effectively meets the needs of these negotiating groups and adapts to dynamic UNFCCC contexts. The TPs’ established trust with negotiators and </w:t>
      </w:r>
      <w:r w:rsidRPr="00D75194">
        <w:t>negotiating groups, reputation, and consistent engagement with the UNFCCC agenda continue to be key assets that enable the CASA TPs to respond to shifting priorities across groups and countries. Furthermore, the OF has expanded the pool of TPs</w:t>
      </w:r>
      <w:r w:rsidRPr="00D75194" w:rsidR="00543E83">
        <w:t>’</w:t>
      </w:r>
      <w:r w:rsidRPr="00D75194">
        <w:t xml:space="preserve"> and CASA’s ‘stock of assets</w:t>
      </w:r>
      <w:r w:rsidRPr="00D75194" w:rsidR="00543E83">
        <w:t>’</w:t>
      </w:r>
      <w:r w:rsidRPr="00D75194">
        <w:t xml:space="preserve">, enhancing the programme’s agility and reach. Specific OF initiatives have </w:t>
      </w:r>
      <w:proofErr w:type="gramStart"/>
      <w:r w:rsidRPr="00D75194">
        <w:t>opened</w:t>
      </w:r>
      <w:r w:rsidRPr="00D75194" w:rsidR="00543E83">
        <w:t xml:space="preserve"> up</w:t>
      </w:r>
      <w:proofErr w:type="gramEnd"/>
      <w:r w:rsidRPr="00D75194">
        <w:t xml:space="preserve"> new avenues for non-state actors, youth, and marginalised communities to build their capacity and engage more effectively in the UNFCCC process, strengthening CASA’s commitment to fairer negotiation </w:t>
      </w:r>
      <w:r w:rsidR="000F620F">
        <w:t>processes</w:t>
      </w:r>
      <w:r w:rsidRPr="00D75194">
        <w:t>.</w:t>
      </w:r>
    </w:p>
    <w:p w:rsidRPr="00D75194" w:rsidR="000876CA" w:rsidP="000876CA" w:rsidRDefault="000876CA" w14:paraId="57445F91" w14:textId="272FB99C">
      <w:r w:rsidRPr="00D75194">
        <w:t xml:space="preserve">CASA II has demonstrated strong coherence over time by maintaining a consistent, demand-led delivery model through TPs, with added flexibility and responsiveness provided by the OF. The OF not only builds on prior UK </w:t>
      </w:r>
      <w:r w:rsidRPr="00D75194" w:rsidR="002C04BE">
        <w:t>support but</w:t>
      </w:r>
      <w:r w:rsidRPr="00D75194">
        <w:t xml:space="preserve"> also enables CASA to fund organisations with established track records and to deepen existing work already undertaken by grantees. Long-term relationships, continuity of personnel, and the evolution of former recipients into TPs have fostered deeper ownership and trust among supported stakeholders. While structured collaboration among TPs has varied, organic collaboration often occurs through negotiation processes. Some ambiguity in </w:t>
      </w:r>
      <w:r w:rsidRPr="00D75194" w:rsidR="00F008EA">
        <w:t xml:space="preserve">the </w:t>
      </w:r>
      <w:r w:rsidRPr="00D75194">
        <w:t xml:space="preserve">roles of TPs supporting the LDC Group has been noted, but the programme’s demand-led approach helps mitigate duplication of effort. Overall, CASA II reflects a coherent evolution from its predecessor programmes in both strategy and implementation. </w:t>
      </w:r>
    </w:p>
    <w:p w:rsidRPr="00D75194" w:rsidR="000876CA" w:rsidP="000876CA" w:rsidRDefault="000876CA" w14:paraId="779F7E73" w14:textId="7AA00ABE">
      <w:r w:rsidRPr="00D75194">
        <w:t>CASA II</w:t>
      </w:r>
      <w:r w:rsidRPr="00D75194" w:rsidR="0020671C">
        <w:t xml:space="preserve"> has</w:t>
      </w:r>
      <w:r w:rsidRPr="00D75194">
        <w:t xml:space="preserve"> delivered strong </w:t>
      </w:r>
      <w:r w:rsidR="00B079A3">
        <w:t>VFM</w:t>
      </w:r>
      <w:r w:rsidRPr="00D75194">
        <w:t xml:space="preserve">, with 86% of indicators meeting or exceeding expectations under a bespoke VFM rubric—marking clear progress since the </w:t>
      </w:r>
      <w:r w:rsidR="00494461">
        <w:t>interim</w:t>
      </w:r>
      <w:r w:rsidRPr="00D75194" w:rsidR="00494461">
        <w:t xml:space="preserve"> evaluation</w:t>
      </w:r>
      <w:r w:rsidRPr="00D75194">
        <w:t>. The programme</w:t>
      </w:r>
      <w:r w:rsidRPr="00D75194" w:rsidR="0094395B">
        <w:t xml:space="preserve"> has</w:t>
      </w:r>
      <w:r w:rsidRPr="00D75194">
        <w:t xml:space="preserve"> performed solidly across all 5Es, </w:t>
      </w:r>
      <w:r w:rsidRPr="00D75194" w:rsidR="0094395B">
        <w:t xml:space="preserve">with </w:t>
      </w:r>
      <w:r w:rsidRPr="00D75194">
        <w:t>particular</w:t>
      </w:r>
      <w:r w:rsidRPr="00D75194" w:rsidR="0094395B">
        <w:t xml:space="preserve">ly good </w:t>
      </w:r>
      <w:r w:rsidR="0094395B">
        <w:t>performance</w:t>
      </w:r>
      <w:r w:rsidRPr="00D75194">
        <w:t xml:space="preserve"> on economy, efficiency, and equity. Costs</w:t>
      </w:r>
      <w:r w:rsidRPr="00D75194" w:rsidDel="00795ABE">
        <w:t xml:space="preserve"> </w:t>
      </w:r>
      <w:r w:rsidRPr="00D75194" w:rsidR="00795ABE">
        <w:t xml:space="preserve">have been </w:t>
      </w:r>
      <w:r w:rsidRPr="00D75194">
        <w:t>well-managed, with low management fees and strategic use of high-value expertise. Most outputs were delivered as planned, and CASA’s largest investment—the LDC Group—</w:t>
      </w:r>
      <w:r w:rsidRPr="00D75194" w:rsidR="00E37C07">
        <w:t xml:space="preserve">has </w:t>
      </w:r>
      <w:r w:rsidRPr="00D75194">
        <w:t>achieved stand</w:t>
      </w:r>
      <w:r w:rsidRPr="00D75194" w:rsidR="00714604">
        <w:t>-</w:t>
      </w:r>
      <w:r w:rsidRPr="00D75194">
        <w:t>out results. Equity</w:t>
      </w:r>
      <w:r w:rsidRPr="00D75194" w:rsidDel="00380216">
        <w:t xml:space="preserve"> </w:t>
      </w:r>
      <w:r w:rsidRPr="00D75194" w:rsidR="00380216">
        <w:t xml:space="preserve">emerges </w:t>
      </w:r>
      <w:r w:rsidRPr="00D75194">
        <w:t xml:space="preserve">as a particular strength, with women making up over half of supported negotiators, though barriers to participation and influence persist. Overall, CASA II stands as a credible example of </w:t>
      </w:r>
      <w:r w:rsidR="00B079A3">
        <w:t>VFM</w:t>
      </w:r>
      <w:r w:rsidRPr="00D75194">
        <w:t xml:space="preserve"> in practice.</w:t>
      </w:r>
    </w:p>
    <w:p w:rsidRPr="00D75194" w:rsidR="000876CA" w:rsidP="000876CA" w:rsidRDefault="000876CA" w14:paraId="2115C196" w14:textId="58F573DC">
      <w:r w:rsidRPr="00D75194">
        <w:t>CASA II has made a series of critical and important contributions to strengthening negotiator capacity, negotiating group capability, and the successful delivery of domestic climate</w:t>
      </w:r>
      <w:r w:rsidRPr="00D75194" w:rsidR="004548EF">
        <w:t>-</w:t>
      </w:r>
      <w:r w:rsidRPr="00D75194">
        <w:t>related policies. The CASA II programme and its predecessor programmes have been a critical enabler of organisational capabilities, and then</w:t>
      </w:r>
      <w:r w:rsidRPr="00D75194" w:rsidR="009276CE">
        <w:t xml:space="preserve"> of</w:t>
      </w:r>
      <w:r w:rsidRPr="00D75194">
        <w:t xml:space="preserve"> institutional and normative gains. Stand-out examples include the strengthening of </w:t>
      </w:r>
      <w:r w:rsidRPr="00D75194" w:rsidR="004E4CD3">
        <w:t xml:space="preserve">the </w:t>
      </w:r>
      <w:r w:rsidRPr="00D75194">
        <w:t>LDC Group</w:t>
      </w:r>
      <w:r w:rsidRPr="00D75194" w:rsidR="004E4CD3">
        <w:t>’s</w:t>
      </w:r>
      <w:r w:rsidRPr="00D75194">
        <w:t xml:space="preserve"> and </w:t>
      </w:r>
      <w:r w:rsidRPr="00D75194" w:rsidR="00C43579">
        <w:t xml:space="preserve">the </w:t>
      </w:r>
      <w:r w:rsidRPr="00D75194">
        <w:t>HAC</w:t>
      </w:r>
      <w:r w:rsidRPr="00D75194" w:rsidR="004E4CD3">
        <w:t>’s</w:t>
      </w:r>
      <w:r w:rsidRPr="00D75194">
        <w:t xml:space="preserve"> organisational capability. Emerging structures</w:t>
      </w:r>
      <w:r w:rsidRPr="00D75194" w:rsidR="008D7B08">
        <w:t>,</w:t>
      </w:r>
      <w:r w:rsidRPr="00D75194">
        <w:t xml:space="preserve"> such as the LDC Secretariat</w:t>
      </w:r>
      <w:r w:rsidRPr="00D75194" w:rsidR="008D7B08">
        <w:t>,</w:t>
      </w:r>
      <w:r w:rsidRPr="00D75194">
        <w:t xml:space="preserve"> reflect sustainable institutional gains. Domestic implementation</w:t>
      </w:r>
      <w:r w:rsidRPr="00D75194" w:rsidDel="008D7B08">
        <w:t xml:space="preserve"> </w:t>
      </w:r>
      <w:r w:rsidRPr="00D75194" w:rsidR="008D7B08">
        <w:t xml:space="preserve">has been </w:t>
      </w:r>
      <w:r w:rsidRPr="00D75194">
        <w:t xml:space="preserve">catalysed through legal and policy support, such as LRI’s expanded model, which </w:t>
      </w:r>
      <w:r>
        <w:t>provide</w:t>
      </w:r>
      <w:r w:rsidR="00D92F87">
        <w:t>s</w:t>
      </w:r>
      <w:r w:rsidRPr="00D75194">
        <w:t xml:space="preserve"> high</w:t>
      </w:r>
      <w:r w:rsidRPr="00D75194" w:rsidR="00D92F87">
        <w:t>-</w:t>
      </w:r>
      <w:r w:rsidRPr="00D75194">
        <w:t xml:space="preserve">quality, pro bono legal assistance, directly strengthening legal frameworks and </w:t>
      </w:r>
      <w:r w:rsidRPr="00D75194" w:rsidR="004B20FC">
        <w:t xml:space="preserve">the </w:t>
      </w:r>
      <w:r w:rsidRPr="00D75194">
        <w:t xml:space="preserve">capacities of negotiating delegations. </w:t>
      </w:r>
    </w:p>
    <w:p w:rsidRPr="00D75194" w:rsidR="00087EFC" w:rsidP="000876CA" w:rsidRDefault="000876CA" w14:paraId="5AB06112" w14:textId="336C1264">
      <w:r w:rsidRPr="00D75194">
        <w:t>TPs</w:t>
      </w:r>
      <w:r w:rsidRPr="00D75194" w:rsidDel="00800F8F">
        <w:t xml:space="preserve"> </w:t>
      </w:r>
      <w:r w:rsidRPr="00D75194" w:rsidR="00800F8F">
        <w:t xml:space="preserve">have been </w:t>
      </w:r>
      <w:r w:rsidRPr="00D75194">
        <w:t>critical enablers of CASA II</w:t>
      </w:r>
      <w:r w:rsidRPr="00D75194" w:rsidR="00800F8F">
        <w:t>’s</w:t>
      </w:r>
      <w:r w:rsidRPr="00D75194">
        <w:t xml:space="preserve"> effectiveness. Through longstanding, trust-based relationships, TPs</w:t>
      </w:r>
      <w:r w:rsidR="00762774">
        <w:t xml:space="preserve"> </w:t>
      </w:r>
      <w:r w:rsidRPr="00D75194" w:rsidR="00546101">
        <w:t xml:space="preserve">have </w:t>
      </w:r>
      <w:r w:rsidRPr="00D75194">
        <w:t xml:space="preserve">delivered tailored support that </w:t>
      </w:r>
      <w:r w:rsidRPr="00D75194" w:rsidR="00203685">
        <w:t xml:space="preserve">has </w:t>
      </w:r>
      <w:r w:rsidRPr="00D75194">
        <w:t xml:space="preserve">enhanced negotiation preparation, alliance building, and legal capacity. However, </w:t>
      </w:r>
      <w:r w:rsidRPr="00D75194" w:rsidR="008F6468">
        <w:t>w</w:t>
      </w:r>
      <w:r w:rsidRPr="00D75194">
        <w:t xml:space="preserve">hile the relational delivery model led to outsized impact relative to investment, concerns about power asymmetries and uneven access to support remain. Evidence from several interviews suggests that effectiveness is constrained when TPs support negotiator priorities but at the same time displace their agency. Support through the OF </w:t>
      </w:r>
      <w:r w:rsidRPr="00D75194" w:rsidR="00920977">
        <w:t xml:space="preserve">has </w:t>
      </w:r>
      <w:r w:rsidRPr="00D75194">
        <w:t xml:space="preserve">enabled innovation and inclusion. </w:t>
      </w:r>
    </w:p>
    <w:p w:rsidRPr="00D75194" w:rsidR="000876CA" w:rsidP="000876CA" w:rsidRDefault="000876CA" w14:paraId="0BC48757" w14:textId="49859DED">
      <w:r w:rsidRPr="00D75194">
        <w:t xml:space="preserve">CASA II has made critical and important contributions to achieving fairer negotiation processes that </w:t>
      </w:r>
      <w:r>
        <w:t>include</w:t>
      </w:r>
      <w:r w:rsidRPr="00D75194">
        <w:t xml:space="preserve"> meaningful participation from groups of high</w:t>
      </w:r>
      <w:r w:rsidRPr="00D75194" w:rsidR="000C510A">
        <w:t>-</w:t>
      </w:r>
      <w:r w:rsidRPr="00D75194">
        <w:t xml:space="preserve">ambition developing countries and negotiated outcomes that reflect the positions of these groups. Global South negotiators have significantly increased </w:t>
      </w:r>
      <w:r w:rsidRPr="00D75194" w:rsidR="00FC1AA4">
        <w:t xml:space="preserve">their </w:t>
      </w:r>
      <w:r w:rsidRPr="00D75194">
        <w:t xml:space="preserve">capacity and capability to engage in international climate negotiations. Critical contributions are evident in the individual negotiator capacity building and increased organisational capabilities </w:t>
      </w:r>
      <w:r w:rsidRPr="00D75194" w:rsidR="003604DD">
        <w:t xml:space="preserve">in which </w:t>
      </w:r>
      <w:r w:rsidRPr="00D75194">
        <w:t xml:space="preserve">CASA has invested. Important contributions are </w:t>
      </w:r>
      <w:r w:rsidRPr="00D75194" w:rsidR="00416D9C">
        <w:t xml:space="preserve">evident </w:t>
      </w:r>
      <w:r w:rsidRPr="00D75194">
        <w:t xml:space="preserve">in the organisational capabilities that CASA has supported </w:t>
      </w:r>
      <w:r w:rsidRPr="00D75194" w:rsidR="00CF555D">
        <w:t>with</w:t>
      </w:r>
      <w:r w:rsidRPr="00D75194">
        <w:t xml:space="preserve">in the negotiating groups, </w:t>
      </w:r>
      <w:r w:rsidRPr="00D75194">
        <w:t xml:space="preserve">such as the LDC Group developing into a more formalised organisation, </w:t>
      </w:r>
      <w:r w:rsidRPr="00D75194" w:rsidR="00F843FB">
        <w:t xml:space="preserve">through </w:t>
      </w:r>
      <w:r w:rsidRPr="00D75194">
        <w:t xml:space="preserve">developing and growing </w:t>
      </w:r>
      <w:r w:rsidRPr="00D75194" w:rsidR="00F843FB">
        <w:t xml:space="preserve">its </w:t>
      </w:r>
      <w:r w:rsidRPr="00D75194">
        <w:t xml:space="preserve">systems and processes </w:t>
      </w:r>
      <w:r w:rsidRPr="00D75194" w:rsidR="00F843FB">
        <w:t xml:space="preserve">so that it is a more </w:t>
      </w:r>
      <w:r w:rsidRPr="00D75194">
        <w:t xml:space="preserve">resilient and influential </w:t>
      </w:r>
      <w:r>
        <w:t>agent</w:t>
      </w:r>
      <w:r w:rsidRPr="00D75194">
        <w:t xml:space="preserve"> in the climate negotiations landscape.</w:t>
      </w:r>
    </w:p>
    <w:p w:rsidRPr="00D75194" w:rsidR="000876CA" w:rsidP="000876CA" w:rsidRDefault="000876CA" w14:paraId="0D88DE43" w14:textId="79A6D865">
      <w:r w:rsidRPr="00D75194">
        <w:t xml:space="preserve">There is some evidence that CASA has made important contributions to </w:t>
      </w:r>
      <w:r>
        <w:t>enabl</w:t>
      </w:r>
      <w:r w:rsidR="002302D6">
        <w:t>ing</w:t>
      </w:r>
      <w:r w:rsidRPr="00D75194">
        <w:t xml:space="preserve"> negotiating groups to access, engage in, and influence climate negotiations, with examples including </w:t>
      </w:r>
      <w:r w:rsidR="00494461">
        <w:t>Independent</w:t>
      </w:r>
      <w:r w:rsidRPr="00D75194" w:rsidR="00494461">
        <w:t xml:space="preserve"> Diplomat</w:t>
      </w:r>
      <w:r w:rsidRPr="00D75194">
        <w:t xml:space="preserve"> playing a vital role in supporting RMI and its role as the </w:t>
      </w:r>
      <w:r w:rsidRPr="00D75194" w:rsidR="00384433">
        <w:t xml:space="preserve">chair </w:t>
      </w:r>
      <w:r w:rsidRPr="00D75194">
        <w:t xml:space="preserve">of the HAC, which has in turn influenced </w:t>
      </w:r>
      <w:r w:rsidR="1391ECDE">
        <w:t xml:space="preserve">the achievement of </w:t>
      </w:r>
      <w:r w:rsidRPr="00D75194">
        <w:t xml:space="preserve">more ambitious outcomes by the HAC. Normative gains are evidenced by CASA’s contributions to </w:t>
      </w:r>
      <w:r w:rsidR="00B54E6A">
        <w:t>“</w:t>
      </w:r>
      <w:r w:rsidRPr="00D75194">
        <w:t xml:space="preserve">a fairer negotiation </w:t>
      </w:r>
      <w:r w:rsidRPr="00D75194" w:rsidR="00B54E6A">
        <w:t xml:space="preserve">process” </w:t>
      </w:r>
      <w:r w:rsidRPr="00D75194">
        <w:t xml:space="preserve">and </w:t>
      </w:r>
      <w:r w:rsidR="00B54E6A">
        <w:t>“</w:t>
      </w:r>
      <w:r w:rsidRPr="00D75194">
        <w:t xml:space="preserve">meaningful </w:t>
      </w:r>
      <w:r w:rsidRPr="00D75194" w:rsidR="00B54E6A">
        <w:t xml:space="preserve">participation” </w:t>
      </w:r>
      <w:r w:rsidRPr="00D75194">
        <w:t xml:space="preserve">around climate negotiations. Evidence demonstrates CASA’s contributions to fairer negotiation </w:t>
      </w:r>
      <w:r>
        <w:t>processes</w:t>
      </w:r>
      <w:r w:rsidRPr="00D75194">
        <w:t xml:space="preserve"> in its enabling the inclusion (attendance and participation) of marginalised or otherwise excluded voices in climate negotiations, while contributions to meaningful </w:t>
      </w:r>
      <w:r>
        <w:t>participation</w:t>
      </w:r>
      <w:r w:rsidRPr="00D75194">
        <w:t xml:space="preserve"> is </w:t>
      </w:r>
      <w:r w:rsidRPr="00D75194" w:rsidR="00564964">
        <w:t xml:space="preserve">evident </w:t>
      </w:r>
      <w:r w:rsidRPr="00D75194">
        <w:t xml:space="preserve">in CASA’s support to participants’ ability to engage with </w:t>
      </w:r>
      <w:r>
        <w:t>technical</w:t>
      </w:r>
      <w:r w:rsidR="195B2FFE">
        <w:t xml:space="preserve"> information</w:t>
      </w:r>
      <w:r w:rsidRPr="00D75194">
        <w:t>, to understand the complex processes around the negotiations, and for both individuals and groups to wield influence over negotiation outcomes.</w:t>
      </w:r>
    </w:p>
    <w:p w:rsidRPr="00D75194" w:rsidR="000876CA" w:rsidP="000876CA" w:rsidRDefault="000876CA" w14:paraId="56C37905" w14:textId="77777777">
      <w:r w:rsidRPr="00D75194">
        <w:t xml:space="preserve">The evaluation also found supporting evidence to validate CASA’s ICF KPI 15 reporting across multiple criteria, which provides further confidence in the recent ICF KPI 15 scoring of 4, which suggests transformational change is likely. </w:t>
      </w:r>
    </w:p>
    <w:p w:rsidRPr="00D75194" w:rsidR="000876CA" w:rsidP="000876CA" w:rsidRDefault="000876CA" w14:paraId="2BB54808" w14:textId="3CC11C07">
      <w:r w:rsidRPr="00D75194">
        <w:t xml:space="preserve">Evidence of CASA’s contribution to sustainability is mixed. In the absence of a clear strategy for sustainability within CASA, </w:t>
      </w:r>
      <w:r w:rsidR="7DD470A8">
        <w:t>respondents’</w:t>
      </w:r>
      <w:r w:rsidRPr="00D75194">
        <w:t xml:space="preserve"> views on </w:t>
      </w:r>
      <w:r w:rsidR="7DD470A8">
        <w:t xml:space="preserve">the programme’s </w:t>
      </w:r>
      <w:r w:rsidRPr="00D75194">
        <w:t xml:space="preserve">sustainability </w:t>
      </w:r>
      <w:r w:rsidR="7DD470A8">
        <w:t xml:space="preserve">largely focus on the following areas. Firstly, </w:t>
      </w:r>
      <w:r>
        <w:t>the</w:t>
      </w:r>
      <w:r w:rsidRPr="00D75194" w:rsidDel="001A23A0">
        <w:t xml:space="preserve"> </w:t>
      </w:r>
      <w:r w:rsidRPr="00D75194" w:rsidR="001A23A0">
        <w:t xml:space="preserve">organisational </w:t>
      </w:r>
      <w:r w:rsidRPr="00D75194">
        <w:t xml:space="preserve">development that CASA has supported, primarily around strengthening negotiating groups, for which there is strong evidence of CASA’s contribution; domestic institutions that are able to retain capabilities and implement national priorities on climate change, for which there is limited evidence of CASA’s </w:t>
      </w:r>
      <w:r>
        <w:t>contribution</w:t>
      </w:r>
      <w:r w:rsidRPr="00D75194">
        <w:t>; and generating funding</w:t>
      </w:r>
      <w:r w:rsidRPr="00D75194" w:rsidR="00631CBD">
        <w:t xml:space="preserve"> (</w:t>
      </w:r>
      <w:r w:rsidRPr="00D75194">
        <w:t>seen as a residing need</w:t>
      </w:r>
      <w:r w:rsidRPr="00D75194" w:rsidR="00631CBD">
        <w:t xml:space="preserve"> if actors are</w:t>
      </w:r>
      <w:r w:rsidRPr="00D75194">
        <w:t xml:space="preserve"> to participate and engage in negotiations</w:t>
      </w:r>
      <w:r w:rsidRPr="00D75194" w:rsidR="00631CBD">
        <w:t>)</w:t>
      </w:r>
      <w:r w:rsidRPr="00D75194">
        <w:t xml:space="preserve">, </w:t>
      </w:r>
      <w:r w:rsidRPr="00D75194" w:rsidR="00631CBD">
        <w:t xml:space="preserve">to </w:t>
      </w:r>
      <w:r w:rsidRPr="00D75194">
        <w:t xml:space="preserve">which CASA has provided only </w:t>
      </w:r>
      <w:r w:rsidRPr="00D75194" w:rsidR="00631CBD">
        <w:t xml:space="preserve">a </w:t>
      </w:r>
      <w:r w:rsidRPr="00D75194">
        <w:t xml:space="preserve">marginal contribution (apart from its own direct support, which is not a sustainability feature). </w:t>
      </w:r>
    </w:p>
    <w:p w:rsidRPr="00D75194" w:rsidR="00761ABE" w:rsidP="000876CA" w:rsidRDefault="000876CA" w14:paraId="09036D93" w14:textId="015FE004">
      <w:r w:rsidRPr="00D75194">
        <w:t xml:space="preserve">In sum, the evidence suggests that the highly relational delivery model that CASA </w:t>
      </w:r>
      <w:r w:rsidR="00DC654E">
        <w:t>applies—</w:t>
      </w:r>
      <w:r w:rsidRPr="00D75194">
        <w:t>leveraging TP capabilities to the point of embedding them in processes, negotiations, and real-time technical advice</w:t>
      </w:r>
      <w:r w:rsidRPr="00D75194" w:rsidR="00A60F51">
        <w:t>—</w:t>
      </w:r>
      <w:r w:rsidRPr="00D75194">
        <w:t xml:space="preserve">has enabled CASA to achieve considerable and disproportional impact from its inputs. However, by </w:t>
      </w:r>
      <w:r w:rsidR="00CB7F9D">
        <w:t>applying</w:t>
      </w:r>
      <w:r w:rsidRPr="00D75194" w:rsidR="00CB7F9D">
        <w:t xml:space="preserve"> this approach</w:t>
      </w:r>
      <w:r w:rsidRPr="00D75194">
        <w:t>, the organisational development of certain groups</w:t>
      </w:r>
      <w:r w:rsidRPr="00D75194" w:rsidR="00746D77">
        <w:t>,</w:t>
      </w:r>
      <w:r w:rsidRPr="00D75194">
        <w:t xml:space="preserve"> and even delegations</w:t>
      </w:r>
      <w:r w:rsidRPr="00D75194" w:rsidR="00746D77">
        <w:t>,</w:t>
      </w:r>
      <w:r w:rsidRPr="00D75194">
        <w:t xml:space="preserve"> </w:t>
      </w:r>
      <w:r w:rsidRPr="00D75194" w:rsidR="00746D77">
        <w:t xml:space="preserve">has </w:t>
      </w:r>
      <w:r w:rsidRPr="00D75194">
        <w:t xml:space="preserve">not generally been the key </w:t>
      </w:r>
      <w:r>
        <w:t>force</w:t>
      </w:r>
      <w:r w:rsidRPr="00D75194">
        <w:t xml:space="preserve"> driving that change, and the reliance on CASA</w:t>
      </w:r>
      <w:r w:rsidRPr="00D75194" w:rsidR="00B05067">
        <w:t>’s</w:t>
      </w:r>
      <w:r w:rsidRPr="00D75194">
        <w:t xml:space="preserve"> support has proven fundamental</w:t>
      </w:r>
      <w:r w:rsidRPr="00D75194" w:rsidR="0006090B">
        <w:t>—</w:t>
      </w:r>
      <w:r w:rsidRPr="00D75194">
        <w:t xml:space="preserve">and at times existential. As such, CASA’s impact is notable but has come at the cost of its sustainability. </w:t>
      </w:r>
    </w:p>
    <w:p w:rsidRPr="00D75194" w:rsidR="00BB2DBA" w:rsidP="00BB2DBA" w:rsidRDefault="00BB2DBA" w14:paraId="4D14FCA8" w14:textId="25D0D98C">
      <w:r w:rsidRPr="00D75194">
        <w:t>CASA II</w:t>
      </w:r>
      <w:r w:rsidRPr="00D75194" w:rsidDel="00825266">
        <w:t xml:space="preserve"> </w:t>
      </w:r>
      <w:r w:rsidRPr="00D75194">
        <w:t>has notably intensified its efforts to incorporate and engage women, youth, and groups from the Global South in climate negotiation arenas, achieving a significant increase in the proportion of females trained under CASA, and OF initiatives have made a significant contribution to GESI objectives. Recognising the growing significance of young negotiators in negotiations, CASA is making an intentional effort to ensure their inclusion. TPs and OF TPs are providing essential support, such as mentorship and networking</w:t>
      </w:r>
      <w:r w:rsidRPr="00D75194" w:rsidR="006353B4">
        <w:t xml:space="preserve"> that is</w:t>
      </w:r>
      <w:r w:rsidRPr="00D75194">
        <w:t xml:space="preserve"> enabling young negotiators to simultaneously increase their capacity to navigate the wider negotiator space as well as</w:t>
      </w:r>
      <w:r w:rsidRPr="00D75194" w:rsidR="00C75E5C">
        <w:t xml:space="preserve"> to</w:t>
      </w:r>
      <w:r w:rsidRPr="00D75194">
        <w:t xml:space="preserve"> build their connections with those who are well established in climate negotiations. However, barriers </w:t>
      </w:r>
      <w:proofErr w:type="gramStart"/>
      <w:r w:rsidRPr="00D75194">
        <w:t>still remain</w:t>
      </w:r>
      <w:proofErr w:type="gramEnd"/>
      <w:r w:rsidRPr="00D75194">
        <w:t xml:space="preserve"> to greater inclusion in climate negotiations, including cultural and political contexts, </w:t>
      </w:r>
      <w:r w:rsidRPr="00D75194" w:rsidR="00C75E5C">
        <w:t xml:space="preserve">the </w:t>
      </w:r>
      <w:r w:rsidRPr="00D75194" w:rsidR="00DD58F0">
        <w:t>absence of</w:t>
      </w:r>
      <w:r w:rsidRPr="00D75194" w:rsidR="00C75E5C">
        <w:t xml:space="preserve"> </w:t>
      </w:r>
      <w:r w:rsidRPr="00D75194">
        <w:t>funding and travel support, and language barriers.</w:t>
      </w:r>
      <w:r w:rsidRPr="00D75194" w:rsidDel="006B601D">
        <w:t xml:space="preserve"> </w:t>
      </w:r>
    </w:p>
    <w:p w:rsidRPr="00D75194" w:rsidR="004456D7" w:rsidP="00B71EEF" w:rsidRDefault="54506366" w14:paraId="53A92034" w14:textId="095453C0">
      <w:pPr>
        <w:pStyle w:val="Heading1"/>
      </w:pPr>
      <w:bookmarkStart w:name="_Toc214452920" w:id="106"/>
      <w:r w:rsidRPr="00D75194">
        <w:t xml:space="preserve">Lessons </w:t>
      </w:r>
      <w:r w:rsidRPr="00D75194" w:rsidR="00D47DDD">
        <w:t xml:space="preserve">and </w:t>
      </w:r>
      <w:r w:rsidR="00D47DDD">
        <w:t>r</w:t>
      </w:r>
      <w:r w:rsidR="004456D7">
        <w:t>ecommendations</w:t>
      </w:r>
      <w:bookmarkEnd w:id="106"/>
    </w:p>
    <w:bookmarkEnd w:id="0"/>
    <w:p w:rsidRPr="00D75194" w:rsidR="685551F8" w:rsidP="47BA0144" w:rsidRDefault="49DB2CBC" w14:paraId="01123FDF" w14:textId="6F704293">
      <w:pPr>
        <w:spacing w:after="160" w:line="276" w:lineRule="auto"/>
        <w:rPr>
          <w:rFonts w:asciiTheme="minorHAnsi" w:hAnsiTheme="minorHAnsi" w:eastAsiaTheme="minorEastAsia"/>
        </w:rPr>
      </w:pPr>
      <w:r w:rsidRPr="00D75194">
        <w:rPr>
          <w:rFonts w:asciiTheme="minorHAnsi" w:hAnsiTheme="minorHAnsi" w:eastAsiaTheme="minorEastAsia"/>
        </w:rPr>
        <w:t>The following recommendations are based on the evidence and analysis from this evaluation. They build on the findings and conclusions, in addition to DESNZ’</w:t>
      </w:r>
      <w:r w:rsidRPr="00D75194" w:rsidR="003371C7">
        <w:rPr>
          <w:rFonts w:asciiTheme="minorHAnsi" w:hAnsiTheme="minorHAnsi" w:eastAsiaTheme="minorEastAsia"/>
        </w:rPr>
        <w:t>s</w:t>
      </w:r>
      <w:r w:rsidRPr="00D75194">
        <w:rPr>
          <w:rFonts w:asciiTheme="minorHAnsi" w:hAnsiTheme="minorHAnsi" w:eastAsiaTheme="minorEastAsia"/>
        </w:rPr>
        <w:t xml:space="preserve"> own questions which emerged during the evaluation process. The LEP notes that there may be other factors or considerations</w:t>
      </w:r>
      <w:r w:rsidRPr="00D75194" w:rsidR="003371C7">
        <w:rPr>
          <w:rFonts w:asciiTheme="minorHAnsi" w:hAnsiTheme="minorHAnsi" w:eastAsiaTheme="minorEastAsia"/>
        </w:rPr>
        <w:t xml:space="preserve"> that</w:t>
      </w:r>
      <w:r w:rsidRPr="00D75194">
        <w:rPr>
          <w:rFonts w:asciiTheme="minorHAnsi" w:hAnsiTheme="minorHAnsi" w:eastAsiaTheme="minorEastAsia"/>
        </w:rPr>
        <w:t xml:space="preserve"> the team </w:t>
      </w:r>
      <w:r w:rsidRPr="5DBB1966" w:rsidR="003371C7">
        <w:rPr>
          <w:rFonts w:asciiTheme="minorHAnsi" w:hAnsiTheme="minorHAnsi" w:eastAsiaTheme="minorEastAsia"/>
        </w:rPr>
        <w:t>is</w:t>
      </w:r>
      <w:r w:rsidRPr="00D75194">
        <w:rPr>
          <w:rFonts w:asciiTheme="minorHAnsi" w:hAnsiTheme="minorHAnsi" w:eastAsiaTheme="minorEastAsia"/>
        </w:rPr>
        <w:t xml:space="preserve"> unaware of </w:t>
      </w:r>
      <w:r w:rsidRPr="00D75194" w:rsidR="003371C7">
        <w:rPr>
          <w:rFonts w:asciiTheme="minorHAnsi" w:hAnsiTheme="minorHAnsi" w:eastAsiaTheme="minorEastAsia"/>
        </w:rPr>
        <w:t xml:space="preserve">and </w:t>
      </w:r>
      <w:r w:rsidRPr="00D75194">
        <w:rPr>
          <w:rFonts w:asciiTheme="minorHAnsi" w:hAnsiTheme="minorHAnsi" w:eastAsiaTheme="minorEastAsia"/>
        </w:rPr>
        <w:t xml:space="preserve">that DESNZ and the delivery partner </w:t>
      </w:r>
      <w:r w:rsidRPr="5DBB1966" w:rsidR="00C56449">
        <w:rPr>
          <w:rFonts w:asciiTheme="minorHAnsi" w:hAnsiTheme="minorHAnsi" w:eastAsiaTheme="minorEastAsia"/>
        </w:rPr>
        <w:t>should</w:t>
      </w:r>
      <w:r w:rsidRPr="00D75194">
        <w:rPr>
          <w:rFonts w:asciiTheme="minorHAnsi" w:hAnsiTheme="minorHAnsi" w:eastAsiaTheme="minorEastAsia"/>
        </w:rPr>
        <w:t xml:space="preserve"> take on board. </w:t>
      </w:r>
    </w:p>
    <w:p w:rsidRPr="00D75194" w:rsidR="685551F8" w:rsidP="1D286057" w:rsidRDefault="49DB2CBC" w14:paraId="28571779" w14:textId="6CD57B94">
      <w:pPr>
        <w:spacing w:after="160" w:line="276" w:lineRule="auto"/>
        <w:rPr>
          <w:rFonts w:asciiTheme="minorHAnsi" w:hAnsiTheme="minorHAnsi" w:eastAsiaTheme="minorEastAsia"/>
        </w:rPr>
      </w:pPr>
      <w:r w:rsidRPr="00D75194">
        <w:rPr>
          <w:rFonts w:asciiTheme="minorHAnsi" w:hAnsiTheme="minorHAnsi" w:eastAsiaTheme="minorEastAsia"/>
        </w:rPr>
        <w:t>The recommendations are grouped under five key strategic lessons. Each recommendation is directed at DESNZ</w:t>
      </w:r>
      <w:r w:rsidRPr="00D75194" w:rsidR="006E09AB">
        <w:rPr>
          <w:rFonts w:asciiTheme="minorHAnsi" w:hAnsiTheme="minorHAnsi" w:eastAsiaTheme="minorEastAsia"/>
        </w:rPr>
        <w:t>,</w:t>
      </w:r>
      <w:r w:rsidRPr="00D75194">
        <w:rPr>
          <w:rFonts w:asciiTheme="minorHAnsi" w:hAnsiTheme="minorHAnsi" w:eastAsiaTheme="minorEastAsia"/>
        </w:rPr>
        <w:t xml:space="preserve"> in its role as funder and programme owner. Each includes an assessment of its priority level and </w:t>
      </w:r>
      <w:r w:rsidRPr="00D75194" w:rsidR="006E09AB">
        <w:rPr>
          <w:rFonts w:asciiTheme="minorHAnsi" w:hAnsiTheme="minorHAnsi" w:eastAsiaTheme="minorEastAsia"/>
        </w:rPr>
        <w:t xml:space="preserve">the </w:t>
      </w:r>
      <w:r w:rsidRPr="00D75194">
        <w:rPr>
          <w:rFonts w:asciiTheme="minorHAnsi" w:hAnsiTheme="minorHAnsi" w:eastAsiaTheme="minorEastAsia"/>
        </w:rPr>
        <w:t xml:space="preserve">potential for impact. A status rating has also been included, based on whether the recommendation is currently being actioned, </w:t>
      </w:r>
      <w:r w:rsidRPr="00D75194" w:rsidR="00373BDB">
        <w:rPr>
          <w:rFonts w:asciiTheme="minorHAnsi" w:hAnsiTheme="minorHAnsi" w:eastAsiaTheme="minorEastAsia"/>
        </w:rPr>
        <w:t xml:space="preserve">is </w:t>
      </w:r>
      <w:r w:rsidRPr="00D75194">
        <w:rPr>
          <w:rFonts w:asciiTheme="minorHAnsi" w:hAnsiTheme="minorHAnsi" w:eastAsiaTheme="minorEastAsia"/>
        </w:rPr>
        <w:t>partially addressed, or</w:t>
      </w:r>
      <w:r w:rsidRPr="00D75194" w:rsidR="00373BDB">
        <w:rPr>
          <w:rFonts w:asciiTheme="minorHAnsi" w:hAnsiTheme="minorHAnsi" w:eastAsiaTheme="minorEastAsia"/>
        </w:rPr>
        <w:t xml:space="preserve"> is</w:t>
      </w:r>
      <w:r w:rsidRPr="00D75194">
        <w:rPr>
          <w:rFonts w:asciiTheme="minorHAnsi" w:hAnsiTheme="minorHAnsi" w:eastAsiaTheme="minorEastAsia"/>
        </w:rPr>
        <w:t xml:space="preserve"> not yet in hand. See</w:t>
      </w:r>
      <w:r w:rsidRPr="00D75194" w:rsidR="007F0B73">
        <w:rPr>
          <w:rFonts w:asciiTheme="minorHAnsi" w:hAnsiTheme="minorHAnsi" w:eastAsiaTheme="minorEastAsia"/>
        </w:rPr>
        <w:t xml:space="preserve"> the</w:t>
      </w:r>
      <w:r w:rsidRPr="00D75194">
        <w:rPr>
          <w:rFonts w:asciiTheme="minorHAnsi" w:hAnsiTheme="minorHAnsi" w:eastAsiaTheme="minorEastAsia"/>
        </w:rPr>
        <w:t xml:space="preserve"> tabulation of ratings </w:t>
      </w:r>
      <w:r w:rsidRPr="00D75194" w:rsidR="00B376DB">
        <w:rPr>
          <w:rFonts w:asciiTheme="minorHAnsi" w:hAnsiTheme="minorHAnsi" w:eastAsiaTheme="minorEastAsia"/>
        </w:rPr>
        <w:t xml:space="preserve">in </w:t>
      </w:r>
      <w:r w:rsidRPr="00D75194" w:rsidR="003E596A">
        <w:rPr>
          <w:rFonts w:asciiTheme="minorHAnsi" w:hAnsiTheme="minorHAnsi" w:eastAsiaTheme="minorEastAsia"/>
        </w:rPr>
        <w:t>Table 11</w:t>
      </w:r>
      <w:r w:rsidRPr="00D75194" w:rsidR="00B376DB">
        <w:rPr>
          <w:rFonts w:asciiTheme="minorHAnsi" w:hAnsiTheme="minorHAnsi" w:eastAsiaTheme="minorEastAsia"/>
        </w:rPr>
        <w:t xml:space="preserve"> below</w:t>
      </w:r>
      <w:r w:rsidRPr="00D75194">
        <w:rPr>
          <w:rFonts w:asciiTheme="minorHAnsi" w:hAnsiTheme="minorHAnsi" w:eastAsiaTheme="minorEastAsia"/>
        </w:rPr>
        <w:t xml:space="preserve">. </w:t>
      </w:r>
    </w:p>
    <w:p w:rsidRPr="00D75194" w:rsidR="00F127DB" w:rsidP="00F127DB" w:rsidRDefault="00F127DB" w14:paraId="0EB188F7" w14:textId="5890F3F3">
      <w:pPr>
        <w:pStyle w:val="Caption"/>
        <w:keepNext/>
      </w:pPr>
      <w:bookmarkStart w:name="_Toc214453000" w:id="107"/>
      <w:r w:rsidRPr="00D75194">
        <w:t xml:space="preserve">Table </w:t>
      </w:r>
      <w:r w:rsidRPr="00D75194">
        <w:fldChar w:fldCharType="begin"/>
      </w:r>
      <w:r w:rsidRPr="00D75194">
        <w:instrText xml:space="preserve"> SEQ Table \* ARABIC </w:instrText>
      </w:r>
      <w:r w:rsidRPr="00D75194">
        <w:fldChar w:fldCharType="separate"/>
      </w:r>
      <w:r w:rsidRPr="00D75194" w:rsidR="004D7A82">
        <w:t>11</w:t>
      </w:r>
      <w:r w:rsidRPr="00D75194">
        <w:fldChar w:fldCharType="end"/>
      </w:r>
      <w:r w:rsidRPr="00D75194" w:rsidR="004D7A82">
        <w:t>:</w:t>
      </w:r>
      <w:r w:rsidRPr="00D75194">
        <w:t xml:space="preserve"> </w:t>
      </w:r>
      <w:r w:rsidRPr="00D75194" w:rsidR="00132D5D">
        <w:t>R</w:t>
      </w:r>
      <w:r w:rsidRPr="00D75194" w:rsidR="003552B9">
        <w:t>ecommendation rating</w:t>
      </w:r>
      <w:r w:rsidRPr="00D75194" w:rsidR="00E36F28">
        <w:t xml:space="preserve"> rubric</w:t>
      </w:r>
      <w:bookmarkEnd w:id="107"/>
    </w:p>
    <w:tbl>
      <w:tblPr>
        <w:tblStyle w:val="TableGrid"/>
        <w:tblW w:w="9967" w:type="dxa"/>
        <w:tblLayout w:type="fixed"/>
        <w:tblLook w:val="04A0" w:firstRow="1" w:lastRow="0" w:firstColumn="1" w:lastColumn="0" w:noHBand="0" w:noVBand="1"/>
      </w:tblPr>
      <w:tblGrid>
        <w:gridCol w:w="1568"/>
        <w:gridCol w:w="1874"/>
        <w:gridCol w:w="6525"/>
      </w:tblGrid>
      <w:tr w:rsidRPr="00D75194" w:rsidR="034899DF" w:rsidTr="376EAB44" w14:paraId="12E0F8E2" w14:textId="77777777">
        <w:trPr>
          <w:trHeight w:val="300"/>
        </w:trPr>
        <w:tc>
          <w:tcPr>
            <w:tcW w:w="1568"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D75194" w:rsidR="034899DF" w:rsidP="47BA0144" w:rsidRDefault="034899DF" w14:paraId="6C0F0C47" w14:textId="778E94A9">
            <w:pPr>
              <w:spacing w:after="0"/>
              <w:rPr>
                <w:rFonts w:asciiTheme="minorHAnsi" w:hAnsiTheme="minorHAnsi" w:eastAsiaTheme="minorEastAsia"/>
                <w:b/>
                <w:bCs/>
                <w:color w:val="000000"/>
              </w:rPr>
            </w:pPr>
            <w:r w:rsidRPr="00D75194">
              <w:rPr>
                <w:rFonts w:asciiTheme="minorHAnsi" w:hAnsiTheme="minorHAnsi" w:eastAsiaTheme="minorEastAsia"/>
                <w:b/>
                <w:bCs/>
                <w:color w:val="000000"/>
              </w:rPr>
              <w:t>Category</w:t>
            </w:r>
          </w:p>
        </w:tc>
        <w:tc>
          <w:tcPr>
            <w:tcW w:w="1874"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D75194" w:rsidR="034899DF" w:rsidP="47BA0144" w:rsidRDefault="034899DF" w14:paraId="5754ABF6" w14:textId="1C4AED2F">
            <w:pPr>
              <w:spacing w:after="0"/>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c>
          <w:tcPr>
            <w:tcW w:w="652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D75194" w:rsidR="034899DF" w:rsidP="47BA0144" w:rsidRDefault="034899DF" w14:paraId="764743D5" w14:textId="7B26BB84">
            <w:pPr>
              <w:spacing w:after="0"/>
              <w:rPr>
                <w:rFonts w:asciiTheme="minorHAnsi" w:hAnsiTheme="minorHAnsi" w:eastAsiaTheme="minorEastAsia"/>
                <w:b/>
                <w:bCs/>
                <w:color w:val="000000"/>
              </w:rPr>
            </w:pPr>
            <w:r w:rsidRPr="00D75194">
              <w:rPr>
                <w:rFonts w:asciiTheme="minorHAnsi" w:hAnsiTheme="minorHAnsi" w:eastAsiaTheme="minorEastAsia"/>
                <w:b/>
                <w:bCs/>
                <w:color w:val="000000"/>
              </w:rPr>
              <w:t>Definition</w:t>
            </w:r>
          </w:p>
        </w:tc>
      </w:tr>
      <w:tr w:rsidRPr="00D75194" w:rsidR="034899DF" w:rsidTr="007C5608" w14:paraId="7DD8BB71" w14:textId="77777777">
        <w:trPr>
          <w:trHeight w:val="300"/>
        </w:trPr>
        <w:tc>
          <w:tcPr>
            <w:tcW w:w="1568"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75610F9D" w14:textId="66B23922">
            <w:pPr>
              <w:spacing w:after="0"/>
              <w:rPr>
                <w:rFonts w:asciiTheme="minorHAnsi" w:hAnsiTheme="minorHAnsi" w:eastAsiaTheme="minorEastAsia"/>
              </w:rPr>
            </w:pPr>
            <w:r w:rsidRPr="00D75194">
              <w:rPr>
                <w:rFonts w:asciiTheme="minorHAnsi" w:hAnsiTheme="minorHAnsi" w:eastAsiaTheme="minorEastAsia"/>
              </w:rPr>
              <w:t>Priority</w:t>
            </w:r>
          </w:p>
        </w:tc>
        <w:tc>
          <w:tcPr>
            <w:tcW w:w="1874"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vAlign w:val="center"/>
          </w:tcPr>
          <w:p w:rsidRPr="00D75194" w:rsidR="034899DF" w:rsidP="47BA0144" w:rsidRDefault="034899DF" w14:paraId="0EE2BA7C" w14:textId="43794F4E">
            <w:pPr>
              <w:spacing w:after="0"/>
              <w:rPr>
                <w:rFonts w:asciiTheme="minorHAnsi" w:hAnsiTheme="minorHAnsi" w:eastAsiaTheme="minorEastAsia"/>
              </w:rPr>
            </w:pPr>
            <w:r w:rsidRPr="00D75194">
              <w:rPr>
                <w:rFonts w:asciiTheme="minorHAnsi" w:hAnsiTheme="minorHAnsi" w:eastAsiaTheme="minorEastAsia"/>
              </w:rPr>
              <w:t>High</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3CAE2478" w14:textId="23F7D9B3">
            <w:pPr>
              <w:spacing w:after="0"/>
              <w:rPr>
                <w:rFonts w:asciiTheme="minorHAnsi" w:hAnsiTheme="minorHAnsi" w:eastAsiaTheme="minorEastAsia"/>
              </w:rPr>
            </w:pPr>
            <w:r w:rsidRPr="00D75194">
              <w:rPr>
                <w:rFonts w:asciiTheme="minorHAnsi" w:hAnsiTheme="minorHAnsi" w:eastAsiaTheme="minorEastAsia"/>
              </w:rPr>
              <w:t xml:space="preserve">Urgent and critical. Immediate attention is required to avoid significant risks or </w:t>
            </w:r>
            <w:r w:rsidRPr="00D75194" w:rsidR="00321053">
              <w:rPr>
                <w:rFonts w:asciiTheme="minorHAnsi" w:hAnsiTheme="minorHAnsi" w:eastAsiaTheme="minorEastAsia"/>
              </w:rPr>
              <w:t xml:space="preserve">to </w:t>
            </w:r>
            <w:r w:rsidRPr="00D75194">
              <w:rPr>
                <w:rFonts w:asciiTheme="minorHAnsi" w:hAnsiTheme="minorHAnsi" w:eastAsiaTheme="minorEastAsia"/>
              </w:rPr>
              <w:t>unlock key programme benefits.</w:t>
            </w:r>
          </w:p>
        </w:tc>
      </w:tr>
      <w:tr w:rsidRPr="00D75194" w:rsidR="007C5608" w:rsidTr="007C5608" w14:paraId="4D3FE344" w14:textId="77777777">
        <w:trPr>
          <w:trHeight w:val="300"/>
        </w:trPr>
        <w:tc>
          <w:tcPr>
            <w:tcW w:w="1568" w:type="dxa"/>
            <w:vMerge/>
            <w:vAlign w:val="center"/>
          </w:tcPr>
          <w:p w:rsidRPr="00D75194" w:rsidR="00B911B9" w:rsidRDefault="00B911B9" w14:paraId="416099D0" w14:textId="77777777"/>
        </w:tc>
        <w:tc>
          <w:tcPr>
            <w:tcW w:w="1874" w:type="dxa"/>
            <w:tcBorders>
              <w:top w:val="single" w:color="auto" w:sz="8" w:space="0"/>
              <w:left w:val="nil"/>
              <w:bottom w:val="single" w:color="auto" w:sz="8" w:space="0"/>
              <w:right w:val="single" w:color="auto" w:sz="8" w:space="0"/>
            </w:tcBorders>
            <w:shd w:val="clear" w:color="auto" w:fill="FFC000"/>
            <w:tcMar>
              <w:left w:w="108" w:type="dxa"/>
              <w:right w:w="108" w:type="dxa"/>
            </w:tcMar>
            <w:vAlign w:val="center"/>
          </w:tcPr>
          <w:p w:rsidRPr="00D75194" w:rsidR="034899DF" w:rsidP="47BA0144" w:rsidRDefault="034899DF" w14:paraId="539E1F76" w14:textId="0134CF6B">
            <w:pPr>
              <w:spacing w:after="0"/>
              <w:rPr>
                <w:rFonts w:asciiTheme="minorHAnsi" w:hAnsiTheme="minorHAnsi" w:eastAsiaTheme="minorEastAsia"/>
              </w:rPr>
            </w:pPr>
            <w:r w:rsidRPr="00D75194">
              <w:rPr>
                <w:rFonts w:asciiTheme="minorHAnsi" w:hAnsiTheme="minorHAnsi" w:eastAsiaTheme="minorEastAsia"/>
              </w:rPr>
              <w:t>Medium</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594CE8FB" w14:textId="462D743B">
            <w:pPr>
              <w:spacing w:after="0"/>
              <w:rPr>
                <w:rFonts w:asciiTheme="minorHAnsi" w:hAnsiTheme="minorHAnsi" w:eastAsiaTheme="minorEastAsia"/>
              </w:rPr>
            </w:pPr>
            <w:r w:rsidRPr="00D75194">
              <w:rPr>
                <w:rFonts w:asciiTheme="minorHAnsi" w:hAnsiTheme="minorHAnsi" w:eastAsiaTheme="minorEastAsia"/>
              </w:rPr>
              <w:t>Important but not time-sensitive. Should be addressed in the short to medium term to strengthen programme delivery.</w:t>
            </w:r>
          </w:p>
        </w:tc>
      </w:tr>
      <w:tr w:rsidRPr="00D75194" w:rsidR="007C5608" w:rsidTr="007C5608" w14:paraId="514BB9C3" w14:textId="77777777">
        <w:trPr>
          <w:trHeight w:val="300"/>
        </w:trPr>
        <w:tc>
          <w:tcPr>
            <w:tcW w:w="1568" w:type="dxa"/>
            <w:vMerge/>
            <w:vAlign w:val="center"/>
          </w:tcPr>
          <w:p w:rsidRPr="00D75194" w:rsidR="00B911B9" w:rsidRDefault="00B911B9" w14:paraId="0711E223" w14:textId="77777777"/>
        </w:tc>
        <w:tc>
          <w:tcPr>
            <w:tcW w:w="1874" w:type="dxa"/>
            <w:tcBorders>
              <w:top w:val="single" w:color="auto" w:sz="8" w:space="0"/>
              <w:left w:val="nil"/>
              <w:bottom w:val="single" w:color="auto" w:sz="8" w:space="0"/>
              <w:right w:val="single" w:color="auto" w:sz="8" w:space="0"/>
            </w:tcBorders>
            <w:shd w:val="clear" w:color="auto" w:fill="92D050"/>
            <w:tcMar>
              <w:left w:w="108" w:type="dxa"/>
              <w:right w:w="108" w:type="dxa"/>
            </w:tcMar>
            <w:vAlign w:val="center"/>
          </w:tcPr>
          <w:p w:rsidRPr="00D75194" w:rsidR="034899DF" w:rsidP="47BA0144" w:rsidRDefault="034899DF" w14:paraId="5F3CB166" w14:textId="33EB2ABE">
            <w:pPr>
              <w:spacing w:after="0"/>
              <w:rPr>
                <w:rFonts w:asciiTheme="minorHAnsi" w:hAnsiTheme="minorHAnsi" w:eastAsiaTheme="minorEastAsia"/>
              </w:rPr>
            </w:pPr>
            <w:r w:rsidRPr="00D75194">
              <w:rPr>
                <w:rFonts w:asciiTheme="minorHAnsi" w:hAnsiTheme="minorHAnsi" w:eastAsiaTheme="minorEastAsia"/>
              </w:rPr>
              <w:t>Low</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35258264" w14:textId="1C81809B">
            <w:pPr>
              <w:spacing w:after="0"/>
              <w:rPr>
                <w:rFonts w:asciiTheme="minorHAnsi" w:hAnsiTheme="minorHAnsi" w:eastAsiaTheme="minorEastAsia"/>
              </w:rPr>
            </w:pPr>
            <w:r w:rsidRPr="00D75194">
              <w:rPr>
                <w:rFonts w:asciiTheme="minorHAnsi" w:hAnsiTheme="minorHAnsi" w:eastAsiaTheme="minorEastAsia"/>
              </w:rPr>
              <w:t xml:space="preserve">Useful but not urgent. Can be scheduled for future consideration without </w:t>
            </w:r>
            <w:r w:rsidRPr="00D75194" w:rsidR="00323829">
              <w:rPr>
                <w:rFonts w:asciiTheme="minorHAnsi" w:hAnsiTheme="minorHAnsi" w:eastAsiaTheme="minorEastAsia"/>
              </w:rPr>
              <w:t xml:space="preserve">a </w:t>
            </w:r>
            <w:r w:rsidRPr="00D75194">
              <w:rPr>
                <w:rFonts w:asciiTheme="minorHAnsi" w:hAnsiTheme="minorHAnsi" w:eastAsiaTheme="minorEastAsia"/>
              </w:rPr>
              <w:t>major impact on current performance.</w:t>
            </w:r>
          </w:p>
        </w:tc>
      </w:tr>
      <w:tr w:rsidRPr="00D75194" w:rsidR="007C5608" w:rsidTr="007C5608" w14:paraId="11D6471C" w14:textId="77777777">
        <w:trPr>
          <w:trHeight w:val="300"/>
        </w:trPr>
        <w:tc>
          <w:tcPr>
            <w:tcW w:w="1568" w:type="dxa"/>
            <w:vMerge w:val="restart"/>
            <w:tcBorders>
              <w:top w:val="nil"/>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7C156D65" w14:textId="4842F870">
            <w:pPr>
              <w:spacing w:after="0"/>
              <w:rPr>
                <w:rFonts w:asciiTheme="minorHAnsi" w:hAnsiTheme="minorHAnsi" w:eastAsiaTheme="minorEastAsia"/>
              </w:rPr>
            </w:pPr>
            <w:r w:rsidRPr="00D75194">
              <w:rPr>
                <w:rFonts w:asciiTheme="minorHAnsi" w:hAnsiTheme="minorHAnsi" w:eastAsiaTheme="minorEastAsia"/>
              </w:rPr>
              <w:t>Status</w:t>
            </w:r>
          </w:p>
          <w:p w:rsidRPr="00D75194" w:rsidR="034899DF" w:rsidP="47BA0144" w:rsidRDefault="034899DF" w14:paraId="2D40F349" w14:textId="720F4AD2">
            <w:pPr>
              <w:spacing w:after="0"/>
              <w:rPr>
                <w:rFonts w:asciiTheme="minorHAnsi" w:hAnsiTheme="minorHAnsi" w:eastAsiaTheme="minorEastAsia"/>
              </w:rPr>
            </w:pPr>
            <w:r w:rsidRPr="00D75194">
              <w:rPr>
                <w:rFonts w:asciiTheme="minorHAnsi" w:hAnsiTheme="minorHAnsi" w:eastAsiaTheme="minorEastAsia"/>
              </w:rPr>
              <w:t xml:space="preserve"> </w:t>
            </w:r>
          </w:p>
        </w:tc>
        <w:tc>
          <w:tcPr>
            <w:tcW w:w="1874"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vAlign w:val="center"/>
          </w:tcPr>
          <w:p w:rsidRPr="00D75194" w:rsidR="034899DF" w:rsidP="47BA0144" w:rsidRDefault="034899DF" w14:paraId="12D5BB86" w14:textId="4066BB41">
            <w:pPr>
              <w:spacing w:after="0"/>
              <w:rPr>
                <w:rFonts w:asciiTheme="minorHAnsi" w:hAnsiTheme="minorHAnsi" w:eastAsiaTheme="minorEastAsia"/>
              </w:rPr>
            </w:pPr>
            <w:r w:rsidRPr="00D75194">
              <w:rPr>
                <w:rFonts w:asciiTheme="minorHAnsi" w:hAnsiTheme="minorHAnsi" w:eastAsiaTheme="minorEastAsia"/>
              </w:rPr>
              <w:t xml:space="preserve">New </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5FC922B1" w14:textId="1311BD9D">
            <w:pPr>
              <w:spacing w:after="0"/>
              <w:rPr>
                <w:rFonts w:asciiTheme="minorHAnsi" w:hAnsiTheme="minorHAnsi" w:eastAsiaTheme="minorEastAsia"/>
              </w:rPr>
            </w:pPr>
            <w:r w:rsidRPr="00D75194">
              <w:rPr>
                <w:rFonts w:asciiTheme="minorHAnsi" w:hAnsiTheme="minorHAnsi" w:eastAsiaTheme="minorEastAsia"/>
              </w:rPr>
              <w:t>The recommendation has not yet been actively reviewed or acted upon.</w:t>
            </w:r>
          </w:p>
        </w:tc>
      </w:tr>
      <w:tr w:rsidRPr="00D75194" w:rsidR="007C5608" w:rsidTr="007C5608" w14:paraId="3ACC38F5" w14:textId="77777777">
        <w:trPr>
          <w:trHeight w:val="300"/>
        </w:trPr>
        <w:tc>
          <w:tcPr>
            <w:tcW w:w="1568" w:type="dxa"/>
            <w:vMerge/>
            <w:vAlign w:val="center"/>
          </w:tcPr>
          <w:p w:rsidRPr="00D75194" w:rsidR="00B911B9" w:rsidRDefault="00B911B9" w14:paraId="34B2CC45" w14:textId="77777777"/>
        </w:tc>
        <w:tc>
          <w:tcPr>
            <w:tcW w:w="1874" w:type="dxa"/>
            <w:tcBorders>
              <w:top w:val="single" w:color="auto" w:sz="8" w:space="0"/>
              <w:left w:val="nil"/>
              <w:bottom w:val="single" w:color="auto" w:sz="8" w:space="0"/>
              <w:right w:val="single" w:color="auto" w:sz="8" w:space="0"/>
            </w:tcBorders>
            <w:shd w:val="clear" w:color="auto" w:fill="FFC000"/>
            <w:tcMar>
              <w:left w:w="108" w:type="dxa"/>
              <w:right w:w="108" w:type="dxa"/>
            </w:tcMar>
            <w:vAlign w:val="center"/>
          </w:tcPr>
          <w:p w:rsidRPr="00D75194" w:rsidR="034899DF" w:rsidP="47BA0144" w:rsidRDefault="034899DF" w14:paraId="3713EF4C" w14:textId="0E1CF5F1">
            <w:pPr>
              <w:spacing w:after="0"/>
              <w:rPr>
                <w:rFonts w:asciiTheme="minorHAnsi" w:hAnsiTheme="minorHAnsi" w:eastAsiaTheme="minorEastAsia"/>
              </w:rPr>
            </w:pPr>
            <w:r w:rsidRPr="00D75194">
              <w:rPr>
                <w:rFonts w:asciiTheme="minorHAnsi" w:hAnsiTheme="minorHAnsi" w:eastAsiaTheme="minorEastAsia"/>
              </w:rPr>
              <w:t>In process</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0B02DD6B" w14:textId="13AFE8E5">
            <w:pPr>
              <w:spacing w:after="0"/>
              <w:rPr>
                <w:rFonts w:asciiTheme="minorHAnsi" w:hAnsiTheme="minorHAnsi" w:eastAsiaTheme="minorEastAsia"/>
              </w:rPr>
            </w:pPr>
            <w:r w:rsidRPr="00D75194">
              <w:rPr>
                <w:rFonts w:asciiTheme="minorHAnsi" w:hAnsiTheme="minorHAnsi" w:eastAsiaTheme="minorEastAsia"/>
              </w:rPr>
              <w:t xml:space="preserve">Some elements are being explored or </w:t>
            </w:r>
            <w:r w:rsidRPr="00D75194" w:rsidR="00F94FBA">
              <w:rPr>
                <w:rFonts w:asciiTheme="minorHAnsi" w:hAnsiTheme="minorHAnsi" w:eastAsiaTheme="minorEastAsia"/>
              </w:rPr>
              <w:t xml:space="preserve">are </w:t>
            </w:r>
            <w:r w:rsidRPr="00D75194">
              <w:rPr>
                <w:rFonts w:asciiTheme="minorHAnsi" w:hAnsiTheme="minorHAnsi" w:eastAsiaTheme="minorEastAsia"/>
              </w:rPr>
              <w:t xml:space="preserve">partially </w:t>
            </w:r>
            <w:r w:rsidRPr="00D75194" w:rsidR="15A9BE19">
              <w:rPr>
                <w:rFonts w:asciiTheme="minorHAnsi" w:hAnsiTheme="minorHAnsi" w:eastAsiaTheme="minorEastAsia"/>
              </w:rPr>
              <w:t>being</w:t>
            </w:r>
            <w:r w:rsidRPr="00D75194" w:rsidR="1D65369A">
              <w:rPr>
                <w:rFonts w:asciiTheme="minorHAnsi" w:hAnsiTheme="minorHAnsi" w:eastAsiaTheme="minorEastAsia"/>
              </w:rPr>
              <w:t xml:space="preserve"> </w:t>
            </w:r>
            <w:r w:rsidRPr="00D75194">
              <w:rPr>
                <w:rFonts w:asciiTheme="minorHAnsi" w:hAnsiTheme="minorHAnsi" w:eastAsiaTheme="minorEastAsia"/>
              </w:rPr>
              <w:t>implemented</w:t>
            </w:r>
            <w:r w:rsidRPr="00D75194" w:rsidR="392816EE">
              <w:rPr>
                <w:rFonts w:asciiTheme="minorHAnsi" w:hAnsiTheme="minorHAnsi" w:eastAsiaTheme="minorEastAsia"/>
              </w:rPr>
              <w:t xml:space="preserve"> at the time of writing</w:t>
            </w:r>
            <w:r w:rsidRPr="00D75194">
              <w:rPr>
                <w:rFonts w:asciiTheme="minorHAnsi" w:hAnsiTheme="minorHAnsi" w:eastAsiaTheme="minorEastAsia"/>
              </w:rPr>
              <w:t>.</w:t>
            </w:r>
          </w:p>
        </w:tc>
      </w:tr>
      <w:tr w:rsidRPr="00D75194" w:rsidR="007C5608" w:rsidTr="007C5608" w14:paraId="747D83BE" w14:textId="77777777">
        <w:trPr>
          <w:trHeight w:val="300"/>
        </w:trPr>
        <w:tc>
          <w:tcPr>
            <w:tcW w:w="1568" w:type="dxa"/>
            <w:vMerge/>
            <w:vAlign w:val="center"/>
          </w:tcPr>
          <w:p w:rsidRPr="00D75194" w:rsidR="00B911B9" w:rsidRDefault="00B911B9" w14:paraId="07DFFC5C" w14:textId="77777777"/>
        </w:tc>
        <w:tc>
          <w:tcPr>
            <w:tcW w:w="1874" w:type="dxa"/>
            <w:tcBorders>
              <w:top w:val="single" w:color="auto" w:sz="8" w:space="0"/>
              <w:left w:val="nil"/>
              <w:bottom w:val="single" w:color="auto" w:sz="8" w:space="0"/>
              <w:right w:val="single" w:color="auto" w:sz="8" w:space="0"/>
            </w:tcBorders>
            <w:shd w:val="clear" w:color="auto" w:fill="92D050"/>
            <w:tcMar>
              <w:left w:w="108" w:type="dxa"/>
              <w:right w:w="108" w:type="dxa"/>
            </w:tcMar>
            <w:vAlign w:val="center"/>
          </w:tcPr>
          <w:p w:rsidRPr="00D75194" w:rsidR="034899DF" w:rsidP="47BA0144" w:rsidRDefault="034899DF" w14:paraId="7A3CD647" w14:textId="6A680A4C">
            <w:pPr>
              <w:spacing w:after="0"/>
              <w:rPr>
                <w:rFonts w:asciiTheme="minorHAnsi" w:hAnsiTheme="minorHAnsi" w:eastAsiaTheme="minorEastAsia"/>
              </w:rPr>
            </w:pPr>
            <w:r w:rsidRPr="00D75194">
              <w:rPr>
                <w:rFonts w:asciiTheme="minorHAnsi" w:hAnsiTheme="minorHAnsi" w:eastAsiaTheme="minorEastAsia"/>
              </w:rPr>
              <w:t>Implementation</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7F4C3F7F" w14:textId="649520AF">
            <w:pPr>
              <w:spacing w:after="0"/>
              <w:rPr>
                <w:rFonts w:asciiTheme="minorHAnsi" w:hAnsiTheme="minorHAnsi" w:eastAsiaTheme="minorEastAsia"/>
              </w:rPr>
            </w:pPr>
            <w:r w:rsidRPr="00D75194">
              <w:rPr>
                <w:rFonts w:asciiTheme="minorHAnsi" w:hAnsiTheme="minorHAnsi" w:eastAsiaTheme="minorEastAsia"/>
              </w:rPr>
              <w:t>Implementation is underway but adjustments or additional time</w:t>
            </w:r>
            <w:r w:rsidRPr="00D75194" w:rsidR="00722B3A">
              <w:rPr>
                <w:rFonts w:asciiTheme="minorHAnsi" w:hAnsiTheme="minorHAnsi" w:eastAsiaTheme="minorEastAsia"/>
              </w:rPr>
              <w:t xml:space="preserve"> are required</w:t>
            </w:r>
            <w:r w:rsidRPr="00D75194">
              <w:rPr>
                <w:rFonts w:asciiTheme="minorHAnsi" w:hAnsiTheme="minorHAnsi" w:eastAsiaTheme="minorEastAsia"/>
              </w:rPr>
              <w:t xml:space="preserve"> to achieve the intended results.</w:t>
            </w:r>
          </w:p>
        </w:tc>
      </w:tr>
      <w:tr w:rsidRPr="00D75194" w:rsidR="007C5608" w:rsidTr="007C5608" w14:paraId="5F69A023" w14:textId="77777777">
        <w:trPr>
          <w:trHeight w:val="300"/>
        </w:trPr>
        <w:tc>
          <w:tcPr>
            <w:tcW w:w="1568" w:type="dxa"/>
            <w:vMerge w:val="restart"/>
            <w:tcBorders>
              <w:top w:val="nil"/>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6C8382E2" w14:textId="106DE96C">
            <w:pPr>
              <w:spacing w:after="0"/>
              <w:rPr>
                <w:rFonts w:asciiTheme="minorHAnsi" w:hAnsiTheme="minorHAnsi" w:eastAsiaTheme="minorEastAsia"/>
              </w:rPr>
            </w:pPr>
            <w:r w:rsidRPr="00D75194">
              <w:rPr>
                <w:rFonts w:asciiTheme="minorHAnsi" w:hAnsiTheme="minorHAnsi" w:eastAsiaTheme="minorEastAsia"/>
              </w:rPr>
              <w:t xml:space="preserve">Potential for </w:t>
            </w:r>
            <w:r w:rsidRPr="5DBB1966" w:rsidR="00321053">
              <w:rPr>
                <w:rFonts w:asciiTheme="minorHAnsi" w:hAnsiTheme="minorHAnsi" w:eastAsiaTheme="minorEastAsia"/>
              </w:rPr>
              <w:t>i</w:t>
            </w:r>
            <w:r w:rsidRPr="5DBB1966">
              <w:rPr>
                <w:rFonts w:asciiTheme="minorHAnsi" w:hAnsiTheme="minorHAnsi" w:eastAsiaTheme="minorEastAsia"/>
              </w:rPr>
              <w:t>mpact</w:t>
            </w:r>
          </w:p>
        </w:tc>
        <w:tc>
          <w:tcPr>
            <w:tcW w:w="1874"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vAlign w:val="center"/>
          </w:tcPr>
          <w:p w:rsidRPr="00D75194" w:rsidR="034899DF" w:rsidP="47BA0144" w:rsidRDefault="034899DF" w14:paraId="08857D3A" w14:textId="02F3598A">
            <w:pPr>
              <w:spacing w:after="0"/>
              <w:rPr>
                <w:rFonts w:asciiTheme="minorHAnsi" w:hAnsiTheme="minorHAnsi" w:eastAsiaTheme="minorEastAsia"/>
              </w:rPr>
            </w:pPr>
            <w:r w:rsidRPr="00D75194">
              <w:rPr>
                <w:rFonts w:asciiTheme="minorHAnsi" w:hAnsiTheme="minorHAnsi" w:eastAsiaTheme="minorEastAsia"/>
              </w:rPr>
              <w:t>High</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331DFAF1" w14:textId="788F5022">
            <w:pPr>
              <w:spacing w:after="0"/>
              <w:rPr>
                <w:rFonts w:asciiTheme="minorHAnsi" w:hAnsiTheme="minorHAnsi" w:eastAsiaTheme="minorEastAsia"/>
              </w:rPr>
            </w:pPr>
            <w:r w:rsidRPr="00D75194">
              <w:rPr>
                <w:rFonts w:asciiTheme="minorHAnsi" w:hAnsiTheme="minorHAnsi" w:eastAsiaTheme="minorEastAsia"/>
              </w:rPr>
              <w:t>Likely to generate significant, positive change in programme outcomes, effectiveness, or sustainability.</w:t>
            </w:r>
          </w:p>
        </w:tc>
      </w:tr>
      <w:tr w:rsidRPr="00D75194" w:rsidR="007C5608" w:rsidTr="007C5608" w14:paraId="41F9B7D6" w14:textId="77777777">
        <w:trPr>
          <w:trHeight w:val="300"/>
        </w:trPr>
        <w:tc>
          <w:tcPr>
            <w:tcW w:w="1568" w:type="dxa"/>
            <w:vMerge/>
            <w:vAlign w:val="center"/>
          </w:tcPr>
          <w:p w:rsidRPr="00D75194" w:rsidR="00B911B9" w:rsidRDefault="00B911B9" w14:paraId="10D4CE4B" w14:textId="77777777"/>
        </w:tc>
        <w:tc>
          <w:tcPr>
            <w:tcW w:w="1874" w:type="dxa"/>
            <w:tcBorders>
              <w:top w:val="single" w:color="auto" w:sz="8" w:space="0"/>
              <w:left w:val="nil"/>
              <w:bottom w:val="single" w:color="auto" w:sz="8" w:space="0"/>
              <w:right w:val="single" w:color="auto" w:sz="8" w:space="0"/>
            </w:tcBorders>
            <w:shd w:val="clear" w:color="auto" w:fill="FFC000"/>
            <w:tcMar>
              <w:left w:w="108" w:type="dxa"/>
              <w:right w:w="108" w:type="dxa"/>
            </w:tcMar>
            <w:vAlign w:val="center"/>
          </w:tcPr>
          <w:p w:rsidRPr="00D75194" w:rsidR="034899DF" w:rsidP="47BA0144" w:rsidRDefault="034899DF" w14:paraId="1BA10661" w14:textId="210805D9">
            <w:pPr>
              <w:spacing w:after="0"/>
              <w:rPr>
                <w:rFonts w:asciiTheme="minorHAnsi" w:hAnsiTheme="minorHAnsi" w:eastAsiaTheme="minorEastAsia"/>
              </w:rPr>
            </w:pPr>
            <w:r w:rsidRPr="00D75194">
              <w:rPr>
                <w:rFonts w:asciiTheme="minorHAnsi" w:hAnsiTheme="minorHAnsi" w:eastAsiaTheme="minorEastAsia"/>
              </w:rPr>
              <w:t>Medium</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4A6FCE09" w14:textId="24949690">
            <w:pPr>
              <w:spacing w:after="0"/>
              <w:rPr>
                <w:rFonts w:asciiTheme="minorHAnsi" w:hAnsiTheme="minorHAnsi" w:eastAsiaTheme="minorEastAsia"/>
              </w:rPr>
            </w:pPr>
            <w:r w:rsidRPr="00D75194">
              <w:rPr>
                <w:rFonts w:asciiTheme="minorHAnsi" w:hAnsiTheme="minorHAnsi" w:eastAsiaTheme="minorEastAsia"/>
              </w:rPr>
              <w:t>Expected to result in a moderate improvement in programme quality or performance.</w:t>
            </w:r>
          </w:p>
        </w:tc>
      </w:tr>
      <w:tr w:rsidRPr="00D75194" w:rsidR="007C5608" w:rsidTr="007C5608" w14:paraId="0B5D582C" w14:textId="77777777">
        <w:trPr>
          <w:trHeight w:val="300"/>
        </w:trPr>
        <w:tc>
          <w:tcPr>
            <w:tcW w:w="1568" w:type="dxa"/>
            <w:vMerge/>
            <w:vAlign w:val="center"/>
          </w:tcPr>
          <w:p w:rsidRPr="00D75194" w:rsidR="00B911B9" w:rsidRDefault="00B911B9" w14:paraId="031C5661" w14:textId="77777777"/>
        </w:tc>
        <w:tc>
          <w:tcPr>
            <w:tcW w:w="1874" w:type="dxa"/>
            <w:tcBorders>
              <w:top w:val="single" w:color="auto" w:sz="8" w:space="0"/>
              <w:left w:val="nil"/>
              <w:bottom w:val="single" w:color="auto" w:sz="8" w:space="0"/>
              <w:right w:val="single" w:color="auto" w:sz="8" w:space="0"/>
            </w:tcBorders>
            <w:shd w:val="clear" w:color="auto" w:fill="92D050"/>
            <w:tcMar>
              <w:left w:w="108" w:type="dxa"/>
              <w:right w:w="108" w:type="dxa"/>
            </w:tcMar>
            <w:vAlign w:val="center"/>
          </w:tcPr>
          <w:p w:rsidRPr="00D75194" w:rsidR="034899DF" w:rsidP="47BA0144" w:rsidRDefault="034899DF" w14:paraId="5AB2672F" w14:textId="4EABC304">
            <w:pPr>
              <w:spacing w:after="0"/>
              <w:rPr>
                <w:rFonts w:asciiTheme="minorHAnsi" w:hAnsiTheme="minorHAnsi" w:eastAsiaTheme="minorEastAsia"/>
              </w:rPr>
            </w:pPr>
            <w:r w:rsidRPr="00D75194">
              <w:rPr>
                <w:rFonts w:asciiTheme="minorHAnsi" w:hAnsiTheme="minorHAnsi" w:eastAsiaTheme="minorEastAsia"/>
              </w:rPr>
              <w:t>Low</w:t>
            </w:r>
          </w:p>
        </w:tc>
        <w:tc>
          <w:tcPr>
            <w:tcW w:w="652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1B585711" w14:textId="525B301A">
            <w:pPr>
              <w:spacing w:after="0"/>
              <w:rPr>
                <w:rFonts w:asciiTheme="minorHAnsi" w:hAnsiTheme="minorHAnsi" w:eastAsiaTheme="minorEastAsia"/>
              </w:rPr>
            </w:pPr>
            <w:r w:rsidRPr="00D75194">
              <w:rPr>
                <w:rFonts w:asciiTheme="minorHAnsi" w:hAnsiTheme="minorHAnsi" w:eastAsiaTheme="minorEastAsia"/>
              </w:rPr>
              <w:t>Anticipated to have a limited or marginal effect on the programme.</w:t>
            </w:r>
          </w:p>
        </w:tc>
      </w:tr>
    </w:tbl>
    <w:p w:rsidRPr="00D75194" w:rsidR="685551F8" w:rsidP="47BA0144" w:rsidRDefault="49DB2CBC" w14:paraId="52F6D3EF" w14:textId="34144A49">
      <w:pPr>
        <w:spacing w:after="160" w:line="276" w:lineRule="auto"/>
        <w:rPr>
          <w:rFonts w:asciiTheme="minorHAnsi" w:hAnsiTheme="minorHAnsi" w:eastAsiaTheme="minorEastAsia"/>
        </w:rPr>
      </w:pPr>
      <w:r w:rsidRPr="00D75194">
        <w:rPr>
          <w:rFonts w:asciiTheme="minorHAnsi" w:hAnsiTheme="minorHAnsi" w:eastAsiaTheme="minorEastAsia"/>
        </w:rPr>
        <w:t xml:space="preserve"> </w:t>
      </w:r>
    </w:p>
    <w:p w:rsidRPr="00D75194" w:rsidR="685551F8" w:rsidP="00752569" w:rsidRDefault="49DB2CBC" w14:paraId="70F214BA" w14:textId="4EDBF4E0">
      <w:pPr>
        <w:pStyle w:val="Heading2"/>
      </w:pPr>
      <w:bookmarkStart w:name="_Toc204780066" w:id="108"/>
      <w:bookmarkStart w:name="_Toc204796569" w:id="109"/>
      <w:bookmarkStart w:name="_Toc214452921" w:id="110"/>
      <w:r w:rsidRPr="00D75194">
        <w:t>Lesson 1: Sustainability must be designed, not assumed</w:t>
      </w:r>
      <w:bookmarkEnd w:id="108"/>
      <w:bookmarkEnd w:id="109"/>
      <w:bookmarkEnd w:id="110"/>
    </w:p>
    <w:p w:rsidRPr="00D75194" w:rsidR="685551F8" w:rsidP="47BA0144" w:rsidRDefault="49DB2CBC" w14:paraId="7D618889" w14:textId="275E6BD7">
      <w:pPr>
        <w:spacing w:before="180" w:after="180"/>
        <w:rPr>
          <w:rFonts w:asciiTheme="minorHAnsi" w:hAnsiTheme="minorHAnsi" w:eastAsiaTheme="minorEastAsia"/>
          <w:iCs/>
        </w:rPr>
      </w:pPr>
      <w:r w:rsidRPr="00D75194">
        <w:rPr>
          <w:rFonts w:asciiTheme="minorHAnsi" w:hAnsiTheme="minorHAnsi" w:eastAsiaTheme="minorEastAsia"/>
          <w:iCs/>
        </w:rPr>
        <w:t xml:space="preserve">CASA’s delivery model </w:t>
      </w:r>
      <w:r w:rsidRPr="00D75194" w:rsidR="00722B3A">
        <w:rPr>
          <w:rFonts w:asciiTheme="minorHAnsi" w:hAnsiTheme="minorHAnsi" w:eastAsiaTheme="minorEastAsia"/>
          <w:iCs/>
        </w:rPr>
        <w:t xml:space="preserve">delivers </w:t>
      </w:r>
      <w:r w:rsidRPr="00D75194">
        <w:rPr>
          <w:rFonts w:asciiTheme="minorHAnsi" w:hAnsiTheme="minorHAnsi" w:eastAsiaTheme="minorEastAsia"/>
          <w:iCs/>
        </w:rPr>
        <w:t>impact through TPs</w:t>
      </w:r>
      <w:r w:rsidRPr="00D75194" w:rsidR="00E93335">
        <w:rPr>
          <w:rFonts w:asciiTheme="minorHAnsi" w:hAnsiTheme="minorHAnsi" w:eastAsiaTheme="minorEastAsia"/>
          <w:iCs/>
        </w:rPr>
        <w:t>,</w:t>
      </w:r>
      <w:r w:rsidRPr="00D75194">
        <w:rPr>
          <w:rFonts w:asciiTheme="minorHAnsi" w:hAnsiTheme="minorHAnsi" w:eastAsiaTheme="minorEastAsia"/>
          <w:iCs/>
        </w:rPr>
        <w:t xml:space="preserve"> rather than through direct support to negotiating groups. Sustainable results require embedded systems, retained knowledge, and forward planning.</w:t>
      </w:r>
    </w:p>
    <w:p w:rsidRPr="00D75194" w:rsidR="685551F8" w:rsidP="47BA0144" w:rsidRDefault="49DB2CBC" w14:paraId="4C3E5E61" w14:textId="73040AA6">
      <w:pPr>
        <w:spacing w:before="180" w:after="180"/>
        <w:rPr>
          <w:rFonts w:asciiTheme="minorHAnsi" w:hAnsiTheme="minorHAnsi" w:eastAsiaTheme="minorEastAsia"/>
          <w:b/>
          <w:bCs/>
        </w:rPr>
      </w:pPr>
      <w:r w:rsidRPr="00D75194">
        <w:rPr>
          <w:rFonts w:asciiTheme="minorHAnsi" w:hAnsiTheme="minorHAnsi" w:eastAsiaTheme="minorEastAsia"/>
          <w:b/>
          <w:bCs/>
        </w:rPr>
        <w:t>Recommendation 1.1: Support negotiating group governance structures, strategy processes, and coordinator continuity.</w:t>
      </w:r>
    </w:p>
    <w:p w:rsidRPr="00D75194" w:rsidR="685551F8" w:rsidP="47BA0144" w:rsidRDefault="49DB2CBC" w14:paraId="0DBF2010" w14:textId="3BBD5E5C">
      <w:pPr>
        <w:spacing w:before="180" w:after="180"/>
        <w:rPr>
          <w:rFonts w:asciiTheme="minorHAnsi" w:hAnsiTheme="minorHAnsi" w:eastAsiaTheme="minorEastAsia"/>
        </w:rPr>
      </w:pPr>
      <w:r w:rsidRPr="00D75194">
        <w:rPr>
          <w:rFonts w:asciiTheme="minorHAnsi" w:hAnsiTheme="minorHAnsi" w:eastAsiaTheme="minorEastAsia"/>
        </w:rPr>
        <w:t xml:space="preserve">DESNZ should provide support that allows negotiating groups to strengthen internal governance, support continuity in coordinator roles, and embed planning and documentation processes. Funding could support activities such as multi-year strategic planning, onboarding of new group members, peer-led governance reviews, and retention strategies for experienced coordinators. While this is already being implemented with the LDC Group, DESNZ should also explore similar approaches for AOSIS and </w:t>
      </w:r>
      <w:r w:rsidRPr="00D75194" w:rsidR="00B30500">
        <w:rPr>
          <w:rFonts w:asciiTheme="minorHAnsi" w:hAnsiTheme="minorHAnsi" w:eastAsiaTheme="minorEastAsia"/>
        </w:rPr>
        <w:t xml:space="preserve">the </w:t>
      </w:r>
      <w:r w:rsidRPr="00D75194">
        <w:rPr>
          <w:rFonts w:asciiTheme="minorHAnsi" w:hAnsiTheme="minorHAnsi" w:eastAsiaTheme="minorEastAsia"/>
        </w:rPr>
        <w:t>HAC, paying close attention to what happens with the Secretariat funded by UNIDO</w:t>
      </w:r>
      <w:r w:rsidRPr="5DBB1966" w:rsidR="00F705D5">
        <w:rPr>
          <w:rFonts w:asciiTheme="minorHAnsi" w:hAnsiTheme="minorHAnsi" w:eastAsiaTheme="minorEastAsia"/>
        </w:rPr>
        <w:t>–</w:t>
      </w:r>
      <w:r w:rsidRPr="00D75194">
        <w:rPr>
          <w:rFonts w:asciiTheme="minorHAnsi" w:hAnsiTheme="minorHAnsi" w:eastAsiaTheme="minorEastAsia"/>
        </w:rPr>
        <w:t>GEF</w:t>
      </w:r>
      <w:r w:rsidRPr="00D75194" w:rsidR="001B4751">
        <w:rPr>
          <w:rFonts w:asciiTheme="minorHAnsi" w:hAnsiTheme="minorHAnsi" w:eastAsiaTheme="minorEastAsia"/>
        </w:rPr>
        <w:t>—</w:t>
      </w:r>
      <w:r w:rsidRPr="00D75194">
        <w:rPr>
          <w:rFonts w:asciiTheme="minorHAnsi" w:hAnsiTheme="minorHAnsi" w:eastAsiaTheme="minorEastAsia"/>
        </w:rPr>
        <w:t>and potentially seeking to establish direct relations with UNIDO as the implementor.</w:t>
      </w:r>
    </w:p>
    <w:tbl>
      <w:tblPr>
        <w:tblStyle w:val="TableGrid"/>
        <w:tblW w:w="0" w:type="auto"/>
        <w:tblLayout w:type="fixed"/>
        <w:tblLook w:val="0020" w:firstRow="1" w:lastRow="0" w:firstColumn="0" w:lastColumn="0" w:noHBand="0" w:noVBand="0"/>
      </w:tblPr>
      <w:tblGrid>
        <w:gridCol w:w="2133"/>
        <w:gridCol w:w="1945"/>
      </w:tblGrid>
      <w:tr w:rsidRPr="00D75194" w:rsidR="034899DF" w:rsidTr="47BA0144" w14:paraId="162044F4" w14:textId="77777777">
        <w:trPr>
          <w:trHeight w:val="300"/>
        </w:trPr>
        <w:tc>
          <w:tcPr>
            <w:tcW w:w="2133"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0D3E20F4" w14:textId="676D4855">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8B39C3">
              <w:rPr>
                <w:rFonts w:asciiTheme="minorHAnsi" w:hAnsiTheme="minorHAnsi" w:eastAsiaTheme="minorEastAsia"/>
                <w:b/>
                <w:bCs/>
                <w:color w:val="000000"/>
              </w:rPr>
              <w:t>category</w:t>
            </w:r>
          </w:p>
        </w:tc>
        <w:tc>
          <w:tcPr>
            <w:tcW w:w="194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108FC90F" w14:textId="328EBAA8">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7C5608" w14:paraId="38B2543D" w14:textId="77777777">
        <w:trPr>
          <w:trHeight w:val="300"/>
        </w:trPr>
        <w:tc>
          <w:tcPr>
            <w:tcW w:w="21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742B7983" w14:textId="283D8341">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1945"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2877F09C" w14:textId="55D2F7C0">
            <w:pPr>
              <w:spacing w:before="36" w:after="36"/>
              <w:rPr>
                <w:rFonts w:asciiTheme="minorHAnsi" w:hAnsiTheme="minorHAnsi" w:eastAsiaTheme="minorEastAsia"/>
              </w:rPr>
            </w:pPr>
            <w:r w:rsidRPr="00D75194">
              <w:rPr>
                <w:rFonts w:asciiTheme="minorHAnsi" w:hAnsiTheme="minorHAnsi" w:eastAsiaTheme="minorEastAsia"/>
              </w:rPr>
              <w:t>High</w:t>
            </w:r>
          </w:p>
        </w:tc>
      </w:tr>
      <w:tr w:rsidRPr="00D75194" w:rsidR="034899DF" w:rsidTr="007C5608" w14:paraId="4EFDB4C1" w14:textId="77777777">
        <w:trPr>
          <w:trHeight w:val="300"/>
        </w:trPr>
        <w:tc>
          <w:tcPr>
            <w:tcW w:w="21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4FC061D7" w14:textId="460F990F">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1945"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7360CF1B" w14:textId="51445C16">
            <w:pPr>
              <w:spacing w:before="36" w:after="36"/>
              <w:rPr>
                <w:rFonts w:asciiTheme="minorHAnsi" w:hAnsiTheme="minorHAnsi" w:eastAsiaTheme="minorEastAsia"/>
              </w:rPr>
            </w:pPr>
            <w:r w:rsidRPr="00D75194">
              <w:rPr>
                <w:rFonts w:asciiTheme="minorHAnsi" w:hAnsiTheme="minorHAnsi" w:eastAsiaTheme="minorEastAsia"/>
              </w:rPr>
              <w:t>New</w:t>
            </w:r>
          </w:p>
        </w:tc>
      </w:tr>
      <w:tr w:rsidRPr="00D75194" w:rsidR="034899DF" w:rsidTr="007C5608" w14:paraId="2342F4AA" w14:textId="77777777">
        <w:trPr>
          <w:trHeight w:val="300"/>
        </w:trPr>
        <w:tc>
          <w:tcPr>
            <w:tcW w:w="21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4C64A112" w14:textId="6DDF1D85">
            <w:pPr>
              <w:spacing w:before="36" w:after="36"/>
              <w:rPr>
                <w:rFonts w:asciiTheme="minorHAnsi" w:hAnsiTheme="minorHAnsi" w:eastAsiaTheme="minorEastAsia"/>
                <w:b/>
                <w:bCs/>
              </w:rPr>
            </w:pPr>
            <w:r w:rsidRPr="00D75194">
              <w:rPr>
                <w:rFonts w:asciiTheme="minorHAnsi" w:hAnsiTheme="minorHAnsi" w:eastAsiaTheme="minorEastAsia"/>
                <w:b/>
                <w:bCs/>
              </w:rPr>
              <w:t>Potential Impact</w:t>
            </w:r>
          </w:p>
        </w:tc>
        <w:tc>
          <w:tcPr>
            <w:tcW w:w="1945"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50571B07" w14:textId="191C5CEA">
            <w:pPr>
              <w:spacing w:before="36" w:after="36"/>
              <w:rPr>
                <w:rFonts w:asciiTheme="minorHAnsi" w:hAnsiTheme="minorHAnsi" w:eastAsiaTheme="minorEastAsia"/>
              </w:rPr>
            </w:pPr>
            <w:r w:rsidRPr="00D75194">
              <w:rPr>
                <w:rFonts w:asciiTheme="minorHAnsi" w:hAnsiTheme="minorHAnsi" w:eastAsiaTheme="minorEastAsia"/>
              </w:rPr>
              <w:t>High</w:t>
            </w:r>
          </w:p>
        </w:tc>
      </w:tr>
    </w:tbl>
    <w:p w:rsidRPr="00D75194" w:rsidR="685551F8" w:rsidP="47BA0144" w:rsidRDefault="49DB2CBC" w14:paraId="4C5746F1" w14:textId="7E21777A">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1.2: Shift TP roles from </w:t>
      </w:r>
      <w:r w:rsidRPr="00D75194" w:rsidR="6DA4C518">
        <w:rPr>
          <w:rFonts w:asciiTheme="minorHAnsi" w:hAnsiTheme="minorHAnsi" w:eastAsiaTheme="minorEastAsia"/>
          <w:b/>
          <w:bCs/>
        </w:rPr>
        <w:t xml:space="preserve">a </w:t>
      </w:r>
      <w:r w:rsidRPr="00D75194">
        <w:rPr>
          <w:rFonts w:asciiTheme="minorHAnsi" w:hAnsiTheme="minorHAnsi" w:eastAsiaTheme="minorEastAsia"/>
          <w:b/>
          <w:bCs/>
        </w:rPr>
        <w:t xml:space="preserve">delivery </w:t>
      </w:r>
      <w:r w:rsidRPr="00D75194" w:rsidR="36A655B6">
        <w:rPr>
          <w:rFonts w:asciiTheme="minorHAnsi" w:hAnsiTheme="minorHAnsi" w:eastAsiaTheme="minorEastAsia"/>
          <w:b/>
          <w:bCs/>
        </w:rPr>
        <w:t>focus</w:t>
      </w:r>
      <w:r w:rsidRPr="00D75194">
        <w:rPr>
          <w:rFonts w:asciiTheme="minorHAnsi" w:hAnsiTheme="minorHAnsi" w:eastAsiaTheme="minorEastAsia"/>
          <w:b/>
          <w:bCs/>
        </w:rPr>
        <w:t xml:space="preserve"> to </w:t>
      </w:r>
      <w:r w:rsidRPr="00D75194" w:rsidR="65C679AE">
        <w:rPr>
          <w:rFonts w:asciiTheme="minorHAnsi" w:hAnsiTheme="minorHAnsi" w:eastAsiaTheme="minorEastAsia"/>
          <w:b/>
          <w:bCs/>
        </w:rPr>
        <w:t>greater empowerment of negotiating groups</w:t>
      </w:r>
      <w:r w:rsidRPr="00D75194">
        <w:rPr>
          <w:rFonts w:asciiTheme="minorHAnsi" w:hAnsiTheme="minorHAnsi" w:eastAsiaTheme="minorEastAsia"/>
          <w:b/>
          <w:bCs/>
        </w:rPr>
        <w:t>, embedding structured transition plans into all workstreams.</w:t>
      </w:r>
    </w:p>
    <w:p w:rsidRPr="00D75194" w:rsidR="685551F8" w:rsidP="47BA0144" w:rsidRDefault="49DB2CBC" w14:paraId="3ED28450" w14:textId="4117A0E4">
      <w:pPr>
        <w:spacing w:before="180" w:after="180"/>
        <w:rPr>
          <w:rFonts w:asciiTheme="minorHAnsi" w:hAnsiTheme="minorHAnsi" w:eastAsiaTheme="minorEastAsia"/>
        </w:rPr>
      </w:pPr>
      <w:r w:rsidRPr="00D75194">
        <w:rPr>
          <w:rFonts w:asciiTheme="minorHAnsi" w:hAnsiTheme="minorHAnsi" w:eastAsiaTheme="minorEastAsia"/>
        </w:rPr>
        <w:t xml:space="preserve">DESNZ should revise TP contracts and </w:t>
      </w:r>
      <w:r w:rsidRPr="00D75194" w:rsidR="008B39C3">
        <w:rPr>
          <w:rFonts w:asciiTheme="minorHAnsi" w:hAnsiTheme="minorHAnsi" w:eastAsiaTheme="minorEastAsia"/>
        </w:rPr>
        <w:t xml:space="preserve">terms of reference </w:t>
      </w:r>
      <w:r w:rsidRPr="00D75194">
        <w:rPr>
          <w:rFonts w:asciiTheme="minorHAnsi" w:hAnsiTheme="minorHAnsi" w:eastAsiaTheme="minorEastAsia"/>
        </w:rPr>
        <w:t xml:space="preserve">to require </w:t>
      </w:r>
      <w:r w:rsidRPr="00D75194" w:rsidR="47B6EF22">
        <w:rPr>
          <w:rFonts w:asciiTheme="minorHAnsi" w:hAnsiTheme="minorHAnsi" w:eastAsiaTheme="minorEastAsia"/>
        </w:rPr>
        <w:t>sustainability measures, such as</w:t>
      </w:r>
      <w:r w:rsidRPr="00D75194" w:rsidR="4E9D5B1C">
        <w:rPr>
          <w:rFonts w:asciiTheme="minorHAnsi" w:hAnsiTheme="minorHAnsi" w:eastAsiaTheme="minorEastAsia"/>
        </w:rPr>
        <w:t xml:space="preserve"> </w:t>
      </w:r>
      <w:r w:rsidRPr="00D75194">
        <w:rPr>
          <w:rFonts w:asciiTheme="minorHAnsi" w:hAnsiTheme="minorHAnsi" w:eastAsiaTheme="minorEastAsia"/>
        </w:rPr>
        <w:t xml:space="preserve">structured handover </w:t>
      </w:r>
      <w:r w:rsidRPr="00D75194" w:rsidR="1017A401">
        <w:rPr>
          <w:rFonts w:asciiTheme="minorHAnsi" w:hAnsiTheme="minorHAnsi" w:eastAsiaTheme="minorEastAsia"/>
        </w:rPr>
        <w:t xml:space="preserve">to supported groups, individuals, or governments, </w:t>
      </w:r>
      <w:r w:rsidRPr="00D75194">
        <w:rPr>
          <w:rFonts w:asciiTheme="minorHAnsi" w:hAnsiTheme="minorHAnsi" w:eastAsiaTheme="minorEastAsia"/>
        </w:rPr>
        <w:t xml:space="preserve">and embedded transition planning. Consider adding reporting requirements or learning reflections </w:t>
      </w:r>
      <w:r w:rsidRPr="00D75194" w:rsidR="5D6210EA">
        <w:rPr>
          <w:rFonts w:asciiTheme="minorHAnsi" w:hAnsiTheme="minorHAnsi" w:eastAsiaTheme="minorEastAsia"/>
        </w:rPr>
        <w:t>that reflect on these transition and sustainability provis</w:t>
      </w:r>
      <w:r w:rsidRPr="00D75194">
        <w:rPr>
          <w:rFonts w:asciiTheme="minorHAnsi" w:hAnsiTheme="minorHAnsi" w:eastAsiaTheme="minorEastAsia"/>
        </w:rPr>
        <w:t>ions</w:t>
      </w:r>
      <w:r w:rsidRPr="00D75194" w:rsidR="004E3019">
        <w:rPr>
          <w:rFonts w:asciiTheme="minorHAnsi" w:hAnsiTheme="minorHAnsi" w:eastAsiaTheme="minorEastAsia"/>
        </w:rPr>
        <w:t>,</w:t>
      </w:r>
      <w:r w:rsidRPr="00D75194" w:rsidDel="006B601D">
        <w:rPr>
          <w:rFonts w:asciiTheme="minorHAnsi" w:hAnsiTheme="minorHAnsi" w:eastAsiaTheme="minorEastAsia"/>
        </w:rPr>
        <w:t xml:space="preserve"> </w:t>
      </w:r>
      <w:r w:rsidRPr="00D75194">
        <w:rPr>
          <w:rFonts w:asciiTheme="minorHAnsi" w:hAnsiTheme="minorHAnsi" w:eastAsiaTheme="minorEastAsia"/>
        </w:rPr>
        <w:t xml:space="preserve">reflecting negotiating group-specific needs and the capacities of individual negotiators in these groups. </w:t>
      </w:r>
    </w:p>
    <w:tbl>
      <w:tblPr>
        <w:tblStyle w:val="TableGrid"/>
        <w:tblW w:w="0" w:type="auto"/>
        <w:tblLayout w:type="fixed"/>
        <w:tblLook w:val="0020" w:firstRow="1" w:lastRow="0" w:firstColumn="0" w:lastColumn="0" w:noHBand="0" w:noVBand="0"/>
      </w:tblPr>
      <w:tblGrid>
        <w:gridCol w:w="2133"/>
        <w:gridCol w:w="1945"/>
      </w:tblGrid>
      <w:tr w:rsidRPr="00D75194" w:rsidR="034899DF" w:rsidTr="47BA0144" w14:paraId="7C91CBB9" w14:textId="77777777">
        <w:trPr>
          <w:trHeight w:val="300"/>
        </w:trPr>
        <w:tc>
          <w:tcPr>
            <w:tcW w:w="2133"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725E081A" w14:textId="35FD73E7">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4E3019">
              <w:rPr>
                <w:rFonts w:asciiTheme="minorHAnsi" w:hAnsiTheme="minorHAnsi" w:eastAsiaTheme="minorEastAsia"/>
                <w:b/>
                <w:bCs/>
                <w:color w:val="000000"/>
              </w:rPr>
              <w:t>category</w:t>
            </w:r>
          </w:p>
        </w:tc>
        <w:tc>
          <w:tcPr>
            <w:tcW w:w="194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678FDB95" w14:textId="1298D720">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5054B109" w14:textId="77777777">
        <w:trPr>
          <w:trHeight w:val="300"/>
        </w:trPr>
        <w:tc>
          <w:tcPr>
            <w:tcW w:w="21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76E9C7DE" w14:textId="7B226A09">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1945"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2E6BE915" w14:textId="638823A9">
            <w:pPr>
              <w:spacing w:before="36" w:after="36"/>
              <w:rPr>
                <w:rFonts w:asciiTheme="minorHAnsi" w:hAnsiTheme="minorHAnsi" w:eastAsiaTheme="minorEastAsia"/>
              </w:rPr>
            </w:pPr>
            <w:r w:rsidRPr="00D75194">
              <w:rPr>
                <w:rFonts w:asciiTheme="minorHAnsi" w:hAnsiTheme="minorHAnsi" w:eastAsiaTheme="minorEastAsia"/>
              </w:rPr>
              <w:t>High</w:t>
            </w:r>
          </w:p>
        </w:tc>
      </w:tr>
      <w:tr w:rsidRPr="00D75194" w:rsidR="034899DF" w:rsidTr="00A66917" w14:paraId="65766A39" w14:textId="77777777">
        <w:trPr>
          <w:trHeight w:val="300"/>
        </w:trPr>
        <w:tc>
          <w:tcPr>
            <w:tcW w:w="21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25264D3C" w14:textId="7C55F5AB">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1945"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3F2661B9" w14:textId="0264077A">
            <w:pPr>
              <w:spacing w:before="36" w:after="36"/>
              <w:rPr>
                <w:rFonts w:asciiTheme="minorHAnsi" w:hAnsiTheme="minorHAnsi" w:eastAsiaTheme="minorEastAsia"/>
              </w:rPr>
            </w:pPr>
            <w:r w:rsidRPr="00D75194">
              <w:rPr>
                <w:rFonts w:asciiTheme="minorHAnsi" w:hAnsiTheme="minorHAnsi" w:eastAsiaTheme="minorEastAsia"/>
              </w:rPr>
              <w:t>New</w:t>
            </w:r>
          </w:p>
        </w:tc>
      </w:tr>
      <w:tr w:rsidRPr="00D75194" w:rsidR="034899DF" w:rsidTr="00A66917" w14:paraId="75A11E97" w14:textId="77777777">
        <w:trPr>
          <w:trHeight w:val="300"/>
        </w:trPr>
        <w:tc>
          <w:tcPr>
            <w:tcW w:w="21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7ABF81E5" w14:textId="76A8F6D7">
            <w:pPr>
              <w:spacing w:before="36" w:after="36"/>
              <w:rPr>
                <w:rFonts w:asciiTheme="minorHAnsi" w:hAnsiTheme="minorHAnsi" w:eastAsiaTheme="minorEastAsia"/>
                <w:b/>
                <w:bCs/>
              </w:rPr>
            </w:pPr>
            <w:r w:rsidRPr="00D75194">
              <w:rPr>
                <w:rFonts w:asciiTheme="minorHAnsi" w:hAnsiTheme="minorHAnsi" w:eastAsiaTheme="minorEastAsia"/>
                <w:b/>
                <w:bCs/>
              </w:rPr>
              <w:t>Potential Impact</w:t>
            </w:r>
          </w:p>
        </w:tc>
        <w:tc>
          <w:tcPr>
            <w:tcW w:w="1945"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3CEE1236" w14:textId="00FD05C3">
            <w:pPr>
              <w:spacing w:before="36" w:after="36"/>
              <w:rPr>
                <w:rFonts w:asciiTheme="minorHAnsi" w:hAnsiTheme="minorHAnsi" w:eastAsiaTheme="minorEastAsia"/>
              </w:rPr>
            </w:pPr>
            <w:r w:rsidRPr="00D75194">
              <w:rPr>
                <w:rFonts w:asciiTheme="minorHAnsi" w:hAnsiTheme="minorHAnsi" w:eastAsiaTheme="minorEastAsia"/>
              </w:rPr>
              <w:t>High</w:t>
            </w:r>
          </w:p>
        </w:tc>
      </w:tr>
    </w:tbl>
    <w:p w:rsidRPr="00D75194" w:rsidR="685551F8" w:rsidP="47BA0144" w:rsidRDefault="49DB2CBC" w14:paraId="0E062AA2" w14:textId="124AAD49">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1.3: Codify and clarify </w:t>
      </w:r>
      <w:r w:rsidRPr="00D75194" w:rsidR="004E3019">
        <w:rPr>
          <w:rFonts w:asciiTheme="minorHAnsi" w:hAnsiTheme="minorHAnsi" w:eastAsiaTheme="minorEastAsia"/>
          <w:b/>
          <w:bCs/>
        </w:rPr>
        <w:t xml:space="preserve">the </w:t>
      </w:r>
      <w:r w:rsidRPr="00D75194">
        <w:rPr>
          <w:rFonts w:asciiTheme="minorHAnsi" w:hAnsiTheme="minorHAnsi" w:eastAsiaTheme="minorEastAsia"/>
          <w:b/>
          <w:bCs/>
        </w:rPr>
        <w:t xml:space="preserve">roles </w:t>
      </w:r>
      <w:r w:rsidRPr="5DBB1966" w:rsidR="004E3019">
        <w:rPr>
          <w:rFonts w:asciiTheme="minorHAnsi" w:hAnsiTheme="minorHAnsi" w:eastAsiaTheme="minorEastAsia"/>
          <w:b/>
          <w:bCs/>
        </w:rPr>
        <w:t>of</w:t>
      </w:r>
      <w:r w:rsidRPr="00D75194">
        <w:rPr>
          <w:rFonts w:asciiTheme="minorHAnsi" w:hAnsiTheme="minorHAnsi" w:eastAsiaTheme="minorEastAsia"/>
          <w:b/>
          <w:bCs/>
        </w:rPr>
        <w:t xml:space="preserve"> group secretariats, ensuring alignment with </w:t>
      </w:r>
      <w:r w:rsidRPr="00D75194" w:rsidR="00C76A34">
        <w:rPr>
          <w:rFonts w:asciiTheme="minorHAnsi" w:hAnsiTheme="minorHAnsi" w:eastAsiaTheme="minorEastAsia"/>
          <w:b/>
          <w:bCs/>
        </w:rPr>
        <w:t xml:space="preserve">chairs </w:t>
      </w:r>
      <w:r w:rsidRPr="00D75194">
        <w:rPr>
          <w:rFonts w:asciiTheme="minorHAnsi" w:hAnsiTheme="minorHAnsi" w:eastAsiaTheme="minorEastAsia"/>
          <w:b/>
          <w:bCs/>
        </w:rPr>
        <w:t>and stakeholders.</w:t>
      </w:r>
    </w:p>
    <w:p w:rsidRPr="00D75194" w:rsidR="685551F8" w:rsidP="47BA0144" w:rsidRDefault="49DB2CBC" w14:paraId="3507D36D" w14:textId="50566640">
      <w:pPr>
        <w:spacing w:before="180" w:after="180"/>
        <w:rPr>
          <w:rFonts w:asciiTheme="minorHAnsi" w:hAnsiTheme="minorHAnsi" w:eastAsiaTheme="minorEastAsia"/>
        </w:rPr>
      </w:pPr>
      <w:r w:rsidRPr="00D75194">
        <w:rPr>
          <w:rFonts w:asciiTheme="minorHAnsi" w:hAnsiTheme="minorHAnsi" w:eastAsiaTheme="minorEastAsia"/>
        </w:rPr>
        <w:t xml:space="preserve">DESNZ could position itself as a supporter of structured consultations between </w:t>
      </w:r>
      <w:r w:rsidRPr="00D75194" w:rsidR="001F333B">
        <w:rPr>
          <w:rFonts w:asciiTheme="minorHAnsi" w:hAnsiTheme="minorHAnsi" w:eastAsiaTheme="minorEastAsia"/>
        </w:rPr>
        <w:t>group,</w:t>
      </w:r>
      <w:r w:rsidRPr="00D75194">
        <w:rPr>
          <w:rFonts w:asciiTheme="minorHAnsi" w:hAnsiTheme="minorHAnsi" w:eastAsiaTheme="minorEastAsia"/>
        </w:rPr>
        <w:t xml:space="preserve"> </w:t>
      </w:r>
      <w:r w:rsidRPr="5DBB1966" w:rsidR="00CF973E">
        <w:rPr>
          <w:rFonts w:asciiTheme="minorHAnsi" w:hAnsiTheme="minorHAnsi" w:eastAsiaTheme="minorEastAsia"/>
        </w:rPr>
        <w:t>chairs</w:t>
      </w:r>
      <w:r w:rsidRPr="5DBB1966">
        <w:rPr>
          <w:rFonts w:asciiTheme="minorHAnsi" w:hAnsiTheme="minorHAnsi" w:eastAsiaTheme="minorEastAsia"/>
        </w:rPr>
        <w:t xml:space="preserve"> </w:t>
      </w:r>
      <w:r w:rsidRPr="00D75194">
        <w:rPr>
          <w:rFonts w:asciiTheme="minorHAnsi" w:hAnsiTheme="minorHAnsi" w:eastAsiaTheme="minorEastAsia"/>
        </w:rPr>
        <w:t xml:space="preserve">coordinators, TPs, and donors to define </w:t>
      </w:r>
      <w:r w:rsidRPr="00D75194" w:rsidR="006076AA">
        <w:rPr>
          <w:rFonts w:asciiTheme="minorHAnsi" w:hAnsiTheme="minorHAnsi" w:eastAsiaTheme="minorEastAsia"/>
        </w:rPr>
        <w:t xml:space="preserve">secretariat </w:t>
      </w:r>
      <w:r w:rsidRPr="00D75194">
        <w:rPr>
          <w:rFonts w:asciiTheme="minorHAnsi" w:hAnsiTheme="minorHAnsi" w:eastAsiaTheme="minorEastAsia"/>
        </w:rPr>
        <w:t xml:space="preserve">remits, as negotiating groups potentially move towards this model, following the LDC Group. This should result in jointly agreed terms of reference that clarify authority and coordination responsibilities. Short-term administrative and facilitation support should be provided to institutionalise roles. Learning should draw on </w:t>
      </w:r>
      <w:r w:rsidRPr="00D75194" w:rsidR="006076AA">
        <w:rPr>
          <w:rFonts w:asciiTheme="minorHAnsi" w:hAnsiTheme="minorHAnsi" w:eastAsiaTheme="minorEastAsia"/>
        </w:rPr>
        <w:t xml:space="preserve">the </w:t>
      </w:r>
      <w:r w:rsidRPr="00D75194">
        <w:rPr>
          <w:rFonts w:asciiTheme="minorHAnsi" w:hAnsiTheme="minorHAnsi" w:eastAsiaTheme="minorEastAsia"/>
        </w:rPr>
        <w:t>experience</w:t>
      </w:r>
      <w:r w:rsidRPr="00D75194" w:rsidR="006076AA">
        <w:rPr>
          <w:rFonts w:asciiTheme="minorHAnsi" w:hAnsiTheme="minorHAnsi" w:eastAsiaTheme="minorEastAsia"/>
        </w:rPr>
        <w:t>s of</w:t>
      </w:r>
      <w:r w:rsidRPr="00D75194" w:rsidDel="006076AA">
        <w:rPr>
          <w:rFonts w:asciiTheme="minorHAnsi" w:hAnsiTheme="minorHAnsi" w:eastAsiaTheme="minorEastAsia"/>
        </w:rPr>
        <w:t xml:space="preserve"> </w:t>
      </w:r>
      <w:r w:rsidRPr="00D75194">
        <w:rPr>
          <w:rFonts w:asciiTheme="minorHAnsi" w:hAnsiTheme="minorHAnsi" w:eastAsiaTheme="minorEastAsia"/>
        </w:rPr>
        <w:t>the LDC Group and emerging structures supported by other funders.</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20DF2682"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6A7B0214" w14:textId="5F00D0AF">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E75F63">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49243D49" w14:textId="2B54930A">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46F4281A"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2E1A251" w14:textId="27C92E3B">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4DA4B320" w14:textId="330F166D">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A66917" w14:paraId="3481ECA5"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14466AE8" w14:textId="3E3FFC2F">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7DA0A2A7" w14:textId="4C81B842">
            <w:pPr>
              <w:spacing w:before="36" w:after="36"/>
              <w:rPr>
                <w:rFonts w:asciiTheme="minorHAnsi" w:hAnsiTheme="minorHAnsi" w:eastAsiaTheme="minorEastAsia"/>
              </w:rPr>
            </w:pPr>
            <w:r w:rsidRPr="00D75194">
              <w:rPr>
                <w:rFonts w:asciiTheme="minorHAnsi" w:hAnsiTheme="minorHAnsi" w:eastAsiaTheme="minorEastAsia"/>
              </w:rPr>
              <w:t xml:space="preserve">In process </w:t>
            </w:r>
          </w:p>
        </w:tc>
      </w:tr>
      <w:tr w:rsidRPr="00D75194" w:rsidR="034899DF" w:rsidTr="00A66917" w14:paraId="78DF1715"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137D900" w14:textId="137C9649">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227195">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734AB642" w14:textId="2DC3E31A">
            <w:pPr>
              <w:spacing w:before="36" w:after="36"/>
              <w:rPr>
                <w:rFonts w:asciiTheme="minorHAnsi" w:hAnsiTheme="minorHAnsi" w:eastAsiaTheme="minorEastAsia"/>
              </w:rPr>
            </w:pPr>
            <w:r w:rsidRPr="00D75194">
              <w:rPr>
                <w:rFonts w:asciiTheme="minorHAnsi" w:hAnsiTheme="minorHAnsi" w:eastAsiaTheme="minorEastAsia"/>
              </w:rPr>
              <w:t>Medium</w:t>
            </w:r>
          </w:p>
        </w:tc>
      </w:tr>
    </w:tbl>
    <w:p w:rsidRPr="00D75194" w:rsidR="685551F8" w:rsidP="47BA0144" w:rsidRDefault="49DB2CBC" w14:paraId="227D9F82" w14:textId="4DA3B054">
      <w:pPr>
        <w:spacing w:after="160" w:line="276" w:lineRule="auto"/>
        <w:rPr>
          <w:rFonts w:asciiTheme="minorHAnsi" w:hAnsiTheme="minorHAnsi" w:eastAsiaTheme="minorEastAsia"/>
        </w:rPr>
      </w:pPr>
      <w:r w:rsidRPr="00D75194">
        <w:rPr>
          <w:rFonts w:asciiTheme="minorHAnsi" w:hAnsiTheme="minorHAnsi" w:eastAsiaTheme="minorEastAsia"/>
        </w:rPr>
        <w:t xml:space="preserve"> </w:t>
      </w:r>
    </w:p>
    <w:p w:rsidRPr="00D75194" w:rsidR="685551F8" w:rsidP="00432655" w:rsidRDefault="49DB2CBC" w14:paraId="6079213C" w14:textId="3981546C">
      <w:pPr>
        <w:pStyle w:val="Heading2"/>
      </w:pPr>
      <w:bookmarkStart w:name="_Toc204780067" w:id="111"/>
      <w:bookmarkStart w:name="_Toc204796570" w:id="112"/>
      <w:bookmarkStart w:name="_Toc214452922" w:id="113"/>
      <w:r w:rsidRPr="00D75194">
        <w:t>Lesson 2: Ownership, legitimacy, and capability are critical to</w:t>
      </w:r>
      <w:r w:rsidRPr="00D75194" w:rsidR="00227195">
        <w:t xml:space="preserve"> ensure that outcomes are</w:t>
      </w:r>
      <w:r w:rsidRPr="00D75194">
        <w:t xml:space="preserve"> durable</w:t>
      </w:r>
      <w:bookmarkEnd w:id="111"/>
      <w:bookmarkEnd w:id="112"/>
      <w:bookmarkEnd w:id="113"/>
    </w:p>
    <w:p w:rsidRPr="00D75194" w:rsidR="685551F8" w:rsidP="47BA0144" w:rsidRDefault="73018000" w14:paraId="71E9BD77" w14:textId="5B2731F9">
      <w:pPr>
        <w:spacing w:before="180" w:after="180"/>
        <w:rPr>
          <w:rFonts w:asciiTheme="minorHAnsi" w:hAnsiTheme="minorHAnsi" w:eastAsiaTheme="minorEastAsia"/>
        </w:rPr>
      </w:pPr>
      <w:r w:rsidRPr="00D75194">
        <w:rPr>
          <w:rFonts w:asciiTheme="minorHAnsi" w:hAnsiTheme="minorHAnsi" w:eastAsiaTheme="minorEastAsia"/>
        </w:rPr>
        <w:t xml:space="preserve">Ensuring </w:t>
      </w:r>
      <w:r w:rsidRPr="00D75194" w:rsidR="35FE23C1">
        <w:rPr>
          <w:rFonts w:asciiTheme="minorHAnsi" w:hAnsiTheme="minorHAnsi" w:eastAsiaTheme="minorEastAsia"/>
        </w:rPr>
        <w:t xml:space="preserve">negotiating groups </w:t>
      </w:r>
      <w:proofErr w:type="gramStart"/>
      <w:r w:rsidRPr="00D75194" w:rsidR="034DE7D2">
        <w:rPr>
          <w:rFonts w:asciiTheme="minorHAnsi" w:hAnsiTheme="minorHAnsi" w:eastAsiaTheme="minorEastAsia"/>
        </w:rPr>
        <w:t xml:space="preserve">are </w:t>
      </w:r>
      <w:r w:rsidRPr="00D75194" w:rsidR="35FE23C1">
        <w:rPr>
          <w:rFonts w:asciiTheme="minorHAnsi" w:hAnsiTheme="minorHAnsi" w:eastAsiaTheme="minorEastAsia"/>
        </w:rPr>
        <w:t>able to</w:t>
      </w:r>
      <w:proofErr w:type="gramEnd"/>
      <w:r w:rsidRPr="00D75194" w:rsidR="35FE23C1">
        <w:rPr>
          <w:rFonts w:asciiTheme="minorHAnsi" w:hAnsiTheme="minorHAnsi" w:eastAsiaTheme="minorEastAsia"/>
        </w:rPr>
        <w:t xml:space="preserve"> articulate their needs</w:t>
      </w:r>
      <w:r w:rsidRPr="00D75194" w:rsidR="00884E82">
        <w:rPr>
          <w:rFonts w:asciiTheme="minorHAnsi" w:hAnsiTheme="minorHAnsi" w:eastAsiaTheme="minorEastAsia"/>
        </w:rPr>
        <w:t xml:space="preserve"> and</w:t>
      </w:r>
      <w:r w:rsidRPr="00D75194" w:rsidR="35FE23C1">
        <w:rPr>
          <w:rFonts w:asciiTheme="minorHAnsi" w:hAnsiTheme="minorHAnsi" w:eastAsiaTheme="minorEastAsia"/>
        </w:rPr>
        <w:t xml:space="preserve"> set strategic direction, and</w:t>
      </w:r>
      <w:r w:rsidRPr="00D75194" w:rsidR="00355E6A">
        <w:rPr>
          <w:rFonts w:asciiTheme="minorHAnsi" w:hAnsiTheme="minorHAnsi" w:eastAsiaTheme="minorEastAsia"/>
        </w:rPr>
        <w:t xml:space="preserve"> are</w:t>
      </w:r>
      <w:r w:rsidRPr="00D75194" w:rsidDel="00355E6A" w:rsidR="35FE23C1">
        <w:rPr>
          <w:rFonts w:asciiTheme="minorHAnsi" w:hAnsiTheme="minorHAnsi" w:eastAsiaTheme="minorEastAsia"/>
        </w:rPr>
        <w:t xml:space="preserve"> </w:t>
      </w:r>
      <w:r w:rsidRPr="00D75194" w:rsidR="35FE23C1">
        <w:rPr>
          <w:rFonts w:asciiTheme="minorHAnsi" w:hAnsiTheme="minorHAnsi" w:eastAsiaTheme="minorEastAsia"/>
        </w:rPr>
        <w:t>led by high-capacity leaders</w:t>
      </w:r>
      <w:r w:rsidRPr="00D75194" w:rsidR="00355E6A">
        <w:rPr>
          <w:rFonts w:asciiTheme="minorHAnsi" w:hAnsiTheme="minorHAnsi" w:eastAsiaTheme="minorEastAsia"/>
        </w:rPr>
        <w:t>,</w:t>
      </w:r>
      <w:r w:rsidRPr="00D75194" w:rsidR="44A9B2FD">
        <w:rPr>
          <w:rFonts w:asciiTheme="minorHAnsi" w:hAnsiTheme="minorHAnsi" w:eastAsiaTheme="minorEastAsia"/>
        </w:rPr>
        <w:t xml:space="preserve"> increases CASA’s impact and helps build more sustainable results for CASA and its supported groups and people</w:t>
      </w:r>
      <w:r w:rsidRPr="5DBB1966" w:rsidR="00483776">
        <w:rPr>
          <w:rFonts w:asciiTheme="minorHAnsi" w:hAnsiTheme="minorHAnsi" w:eastAsiaTheme="minorEastAsia"/>
        </w:rPr>
        <w:t>.</w:t>
      </w:r>
      <w:r w:rsidRPr="00D75194" w:rsidR="35FE23C1">
        <w:rPr>
          <w:rFonts w:asciiTheme="minorHAnsi" w:hAnsiTheme="minorHAnsi" w:eastAsiaTheme="minorEastAsia"/>
        </w:rPr>
        <w:t xml:space="preserve"> CASA’s impact</w:t>
      </w:r>
      <w:r w:rsidRPr="00D75194" w:rsidR="00483776">
        <w:rPr>
          <w:rFonts w:asciiTheme="minorHAnsi" w:hAnsiTheme="minorHAnsi" w:eastAsiaTheme="minorEastAsia"/>
        </w:rPr>
        <w:t>—</w:t>
      </w:r>
      <w:r w:rsidRPr="00D75194" w:rsidR="35FE23C1">
        <w:rPr>
          <w:rFonts w:asciiTheme="minorHAnsi" w:hAnsiTheme="minorHAnsi" w:eastAsiaTheme="minorEastAsia"/>
        </w:rPr>
        <w:t>and that of the groups</w:t>
      </w:r>
      <w:r w:rsidRPr="00D75194" w:rsidR="00483776">
        <w:rPr>
          <w:rFonts w:asciiTheme="minorHAnsi" w:hAnsiTheme="minorHAnsi" w:eastAsiaTheme="minorEastAsia"/>
        </w:rPr>
        <w:t>—</w:t>
      </w:r>
      <w:r w:rsidRPr="00D75194" w:rsidDel="00483776" w:rsidR="49DB2CBC">
        <w:rPr>
          <w:rFonts w:asciiTheme="minorHAnsi" w:hAnsiTheme="minorHAnsi" w:eastAsiaTheme="minorEastAsia"/>
        </w:rPr>
        <w:t>was strongest</w:t>
      </w:r>
      <w:r w:rsidRPr="00D75194" w:rsidR="49DB2CBC">
        <w:rPr>
          <w:rFonts w:asciiTheme="minorHAnsi" w:hAnsiTheme="minorHAnsi" w:eastAsiaTheme="minorEastAsia"/>
        </w:rPr>
        <w:t xml:space="preserve"> when negotiating groups themselves were able to articulate needs</w:t>
      </w:r>
      <w:r w:rsidRPr="00D75194" w:rsidR="00C5234A">
        <w:rPr>
          <w:rFonts w:asciiTheme="minorHAnsi" w:hAnsiTheme="minorHAnsi" w:eastAsiaTheme="minorEastAsia"/>
        </w:rPr>
        <w:t xml:space="preserve"> and</w:t>
      </w:r>
      <w:r w:rsidRPr="00D75194" w:rsidR="49DB2CBC">
        <w:rPr>
          <w:rFonts w:asciiTheme="minorHAnsi" w:hAnsiTheme="minorHAnsi" w:eastAsiaTheme="minorEastAsia"/>
        </w:rPr>
        <w:t xml:space="preserve"> set strategic </w:t>
      </w:r>
      <w:r w:rsidRPr="00D75194" w:rsidR="002C04BE">
        <w:rPr>
          <w:rFonts w:asciiTheme="minorHAnsi" w:hAnsiTheme="minorHAnsi" w:eastAsiaTheme="minorEastAsia"/>
        </w:rPr>
        <w:t>direction and</w:t>
      </w:r>
      <w:r w:rsidRPr="00D75194" w:rsidR="49DB2CBC">
        <w:rPr>
          <w:rFonts w:asciiTheme="minorHAnsi" w:hAnsiTheme="minorHAnsi" w:eastAsiaTheme="minorEastAsia"/>
        </w:rPr>
        <w:t xml:space="preserve"> were led by highly capable leaders with a degree of political and financial support from national governments. </w:t>
      </w:r>
    </w:p>
    <w:p w:rsidRPr="00D75194" w:rsidR="685551F8" w:rsidP="47BA0144" w:rsidRDefault="49DB2CBC" w14:paraId="2712EBED" w14:textId="4035B6FA">
      <w:pPr>
        <w:spacing w:before="180" w:after="180"/>
        <w:rPr>
          <w:rFonts w:asciiTheme="minorHAnsi" w:hAnsiTheme="minorHAnsi" w:eastAsiaTheme="minorEastAsia"/>
          <w:b/>
          <w:bCs/>
        </w:rPr>
      </w:pPr>
      <w:r w:rsidRPr="00D75194">
        <w:rPr>
          <w:rFonts w:asciiTheme="minorHAnsi" w:hAnsiTheme="minorHAnsi" w:eastAsiaTheme="minorEastAsia"/>
          <w:b/>
          <w:bCs/>
        </w:rPr>
        <w:t>Recommendation 2.1: Continue</w:t>
      </w:r>
      <w:r w:rsidRPr="00D75194" w:rsidR="00637195">
        <w:rPr>
          <w:rFonts w:asciiTheme="minorHAnsi" w:hAnsiTheme="minorHAnsi" w:eastAsiaTheme="minorEastAsia"/>
          <w:b/>
          <w:bCs/>
        </w:rPr>
        <w:t>,</w:t>
      </w:r>
      <w:r w:rsidRPr="00D75194">
        <w:rPr>
          <w:rFonts w:asciiTheme="minorHAnsi" w:hAnsiTheme="minorHAnsi" w:eastAsiaTheme="minorEastAsia"/>
          <w:b/>
          <w:bCs/>
        </w:rPr>
        <w:t xml:space="preserve"> and expand</w:t>
      </w:r>
      <w:r w:rsidRPr="00D75194" w:rsidR="00637195">
        <w:rPr>
          <w:rFonts w:asciiTheme="minorHAnsi" w:hAnsiTheme="minorHAnsi" w:eastAsiaTheme="minorEastAsia"/>
          <w:b/>
          <w:bCs/>
        </w:rPr>
        <w:t>,</w:t>
      </w:r>
      <w:r w:rsidRPr="00D75194">
        <w:rPr>
          <w:rFonts w:asciiTheme="minorHAnsi" w:hAnsiTheme="minorHAnsi" w:eastAsiaTheme="minorEastAsia"/>
          <w:b/>
          <w:bCs/>
        </w:rPr>
        <w:t xml:space="preserve"> group-nominated fellow selection and embed </w:t>
      </w:r>
      <w:r w:rsidRPr="00D75194" w:rsidR="4F5A8ADD">
        <w:rPr>
          <w:rFonts w:asciiTheme="minorHAnsi" w:hAnsiTheme="minorHAnsi" w:eastAsiaTheme="minorEastAsia"/>
          <w:b/>
          <w:bCs/>
        </w:rPr>
        <w:t xml:space="preserve">similar group-led nomination processes </w:t>
      </w:r>
      <w:r w:rsidRPr="00D75194">
        <w:rPr>
          <w:rFonts w:asciiTheme="minorHAnsi" w:hAnsiTheme="minorHAnsi" w:eastAsiaTheme="minorEastAsia"/>
          <w:b/>
          <w:bCs/>
        </w:rPr>
        <w:t>in</w:t>
      </w:r>
      <w:r w:rsidRPr="00D75194" w:rsidR="447740D1">
        <w:rPr>
          <w:rFonts w:asciiTheme="minorHAnsi" w:hAnsiTheme="minorHAnsi" w:eastAsiaTheme="minorEastAsia"/>
          <w:b/>
          <w:bCs/>
        </w:rPr>
        <w:t>to</w:t>
      </w:r>
      <w:r w:rsidRPr="00D75194">
        <w:rPr>
          <w:rFonts w:asciiTheme="minorHAnsi" w:hAnsiTheme="minorHAnsi" w:eastAsiaTheme="minorEastAsia"/>
          <w:b/>
          <w:bCs/>
        </w:rPr>
        <w:t xml:space="preserve"> other programme mechanisms.</w:t>
      </w:r>
    </w:p>
    <w:p w:rsidRPr="00D75194" w:rsidR="685551F8" w:rsidP="47BA0144" w:rsidRDefault="49DB2CBC" w14:paraId="1CABF0D1" w14:textId="5940FC06">
      <w:pPr>
        <w:spacing w:before="180" w:after="180"/>
        <w:rPr>
          <w:rFonts w:asciiTheme="minorHAnsi" w:hAnsiTheme="minorHAnsi" w:eastAsiaTheme="minorEastAsia"/>
        </w:rPr>
      </w:pPr>
      <w:r w:rsidRPr="00D75194">
        <w:rPr>
          <w:rFonts w:asciiTheme="minorHAnsi" w:hAnsiTheme="minorHAnsi" w:eastAsiaTheme="minorEastAsia"/>
        </w:rPr>
        <w:t xml:space="preserve">DESNZ should institutionalise group-led nomination processes (which are, in effect, </w:t>
      </w:r>
      <w:r w:rsidRPr="5DBB1966" w:rsidR="0022162D">
        <w:rPr>
          <w:rFonts w:asciiTheme="minorHAnsi" w:hAnsiTheme="minorHAnsi" w:eastAsiaTheme="minorEastAsia"/>
        </w:rPr>
        <w:t>N</w:t>
      </w:r>
      <w:r w:rsidRPr="5DBB1966">
        <w:rPr>
          <w:rFonts w:asciiTheme="minorHAnsi" w:hAnsiTheme="minorHAnsi" w:eastAsiaTheme="minorEastAsia"/>
        </w:rPr>
        <w:t xml:space="preserve">ational </w:t>
      </w:r>
      <w:r w:rsidRPr="5DBB1966" w:rsidR="0022162D">
        <w:rPr>
          <w:rFonts w:asciiTheme="minorHAnsi" w:hAnsiTheme="minorHAnsi" w:eastAsiaTheme="minorEastAsia"/>
        </w:rPr>
        <w:t>F</w:t>
      </w:r>
      <w:r w:rsidRPr="5DBB1966">
        <w:rPr>
          <w:rFonts w:asciiTheme="minorHAnsi" w:hAnsiTheme="minorHAnsi" w:eastAsiaTheme="minorEastAsia"/>
        </w:rPr>
        <w:t xml:space="preserve">ocal </w:t>
      </w:r>
      <w:r w:rsidRPr="5DBB1966" w:rsidR="0022162D">
        <w:rPr>
          <w:rFonts w:asciiTheme="minorHAnsi" w:hAnsiTheme="minorHAnsi" w:eastAsiaTheme="minorEastAsia"/>
        </w:rPr>
        <w:t>P</w:t>
      </w:r>
      <w:r w:rsidRPr="5DBB1966">
        <w:rPr>
          <w:rFonts w:asciiTheme="minorHAnsi" w:hAnsiTheme="minorHAnsi" w:eastAsiaTheme="minorEastAsia"/>
        </w:rPr>
        <w:t>oint</w:t>
      </w:r>
      <w:r w:rsidRPr="00D75194">
        <w:rPr>
          <w:rFonts w:asciiTheme="minorHAnsi" w:hAnsiTheme="minorHAnsi" w:eastAsiaTheme="minorEastAsia"/>
        </w:rPr>
        <w:t xml:space="preserve">-led nominations) for fellowships and placements, as seen with the NGP. Provide clear </w:t>
      </w:r>
      <w:r w:rsidRPr="00D75194" w:rsidR="5F7464DE">
        <w:rPr>
          <w:rFonts w:asciiTheme="minorHAnsi" w:hAnsiTheme="minorHAnsi" w:eastAsiaTheme="minorEastAsia"/>
        </w:rPr>
        <w:t xml:space="preserve">approaches for </w:t>
      </w:r>
      <w:r w:rsidRPr="5DBB1966" w:rsidR="005E5FE3">
        <w:rPr>
          <w:rFonts w:asciiTheme="minorHAnsi" w:hAnsiTheme="minorHAnsi" w:eastAsiaTheme="minorEastAsia"/>
        </w:rPr>
        <w:t>doing</w:t>
      </w:r>
      <w:r w:rsidRPr="00D75194" w:rsidR="005E5FE3">
        <w:rPr>
          <w:rFonts w:asciiTheme="minorHAnsi" w:hAnsiTheme="minorHAnsi" w:eastAsiaTheme="minorEastAsia"/>
        </w:rPr>
        <w:t xml:space="preserve"> </w:t>
      </w:r>
      <w:r w:rsidRPr="00D75194" w:rsidR="005870DC">
        <w:rPr>
          <w:rFonts w:asciiTheme="minorHAnsi" w:hAnsiTheme="minorHAnsi" w:eastAsiaTheme="minorEastAsia"/>
        </w:rPr>
        <w:t>this and</w:t>
      </w:r>
      <w:r w:rsidRPr="00D75194">
        <w:rPr>
          <w:rFonts w:asciiTheme="minorHAnsi" w:hAnsiTheme="minorHAnsi" w:eastAsiaTheme="minorEastAsia"/>
        </w:rPr>
        <w:t xml:space="preserve"> allow space for strategic nominations only in exceptional circumstances. </w:t>
      </w:r>
    </w:p>
    <w:tbl>
      <w:tblPr>
        <w:tblStyle w:val="TableGrid"/>
        <w:tblW w:w="0" w:type="auto"/>
        <w:tblLayout w:type="fixed"/>
        <w:tblLook w:val="0020" w:firstRow="1" w:lastRow="0" w:firstColumn="0" w:lastColumn="0" w:noHBand="0" w:noVBand="0"/>
      </w:tblPr>
      <w:tblGrid>
        <w:gridCol w:w="2125"/>
        <w:gridCol w:w="1954"/>
      </w:tblGrid>
      <w:tr w:rsidRPr="00D75194" w:rsidR="034899DF" w:rsidTr="47BA0144" w14:paraId="777ABE8D" w14:textId="77777777">
        <w:trPr>
          <w:trHeight w:val="300"/>
        </w:trPr>
        <w:tc>
          <w:tcPr>
            <w:tcW w:w="212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3A6200EC" w14:textId="41A98EB1">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E47752">
              <w:rPr>
                <w:rFonts w:asciiTheme="minorHAnsi" w:hAnsiTheme="minorHAnsi" w:eastAsiaTheme="minorEastAsia"/>
                <w:b/>
                <w:bCs/>
                <w:color w:val="000000"/>
              </w:rPr>
              <w:t>category</w:t>
            </w:r>
          </w:p>
        </w:tc>
        <w:tc>
          <w:tcPr>
            <w:tcW w:w="1954"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71833FFB" w14:textId="612C3969">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2388FA02" w14:textId="77777777">
        <w:trPr>
          <w:trHeight w:val="300"/>
        </w:trPr>
        <w:tc>
          <w:tcPr>
            <w:tcW w:w="212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685BF355" w14:textId="5985E62C">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1954"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290E5AF9" w14:textId="7E76B1C3">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A66917" w14:paraId="48E20D38" w14:textId="77777777">
        <w:trPr>
          <w:trHeight w:val="300"/>
        </w:trPr>
        <w:tc>
          <w:tcPr>
            <w:tcW w:w="212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414BE5B9" w14:textId="07C949DE">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1954"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09B78672" w14:textId="05DF8F44">
            <w:pPr>
              <w:spacing w:before="36" w:after="36"/>
              <w:rPr>
                <w:rFonts w:asciiTheme="minorHAnsi" w:hAnsiTheme="minorHAnsi" w:eastAsiaTheme="minorEastAsia"/>
              </w:rPr>
            </w:pPr>
            <w:r w:rsidRPr="00D75194">
              <w:rPr>
                <w:rFonts w:asciiTheme="minorHAnsi" w:hAnsiTheme="minorHAnsi" w:eastAsiaTheme="minorEastAsia"/>
              </w:rPr>
              <w:t>In process</w:t>
            </w:r>
          </w:p>
        </w:tc>
      </w:tr>
      <w:tr w:rsidRPr="00D75194" w:rsidR="034899DF" w:rsidTr="00A66917" w14:paraId="58543566" w14:textId="77777777">
        <w:trPr>
          <w:trHeight w:val="300"/>
        </w:trPr>
        <w:tc>
          <w:tcPr>
            <w:tcW w:w="212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70EE9FB9" w14:textId="3D10BBBC">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C92444">
              <w:rPr>
                <w:rFonts w:asciiTheme="minorHAnsi" w:hAnsiTheme="minorHAnsi" w:eastAsiaTheme="minorEastAsia"/>
                <w:b/>
                <w:bCs/>
              </w:rPr>
              <w:t>i</w:t>
            </w:r>
            <w:r w:rsidRPr="5DBB1966">
              <w:rPr>
                <w:rFonts w:asciiTheme="minorHAnsi" w:hAnsiTheme="minorHAnsi" w:eastAsiaTheme="minorEastAsia"/>
                <w:b/>
                <w:bCs/>
              </w:rPr>
              <w:t>mpact</w:t>
            </w:r>
          </w:p>
        </w:tc>
        <w:tc>
          <w:tcPr>
            <w:tcW w:w="1954"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5BD1BCE4" w14:textId="4A8258A9">
            <w:pPr>
              <w:spacing w:before="36" w:after="36"/>
              <w:rPr>
                <w:rFonts w:asciiTheme="minorHAnsi" w:hAnsiTheme="minorHAnsi" w:eastAsiaTheme="minorEastAsia"/>
              </w:rPr>
            </w:pPr>
            <w:r w:rsidRPr="00D75194">
              <w:rPr>
                <w:rFonts w:asciiTheme="minorHAnsi" w:hAnsiTheme="minorHAnsi" w:eastAsiaTheme="minorEastAsia"/>
              </w:rPr>
              <w:t>Medium</w:t>
            </w:r>
          </w:p>
        </w:tc>
      </w:tr>
    </w:tbl>
    <w:p w:rsidRPr="00D75194" w:rsidR="685551F8" w:rsidP="47BA0144" w:rsidRDefault="49DB2CBC" w14:paraId="701F28A3" w14:textId="59946E1B">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2.2: </w:t>
      </w:r>
      <w:r w:rsidRPr="00D75194" w:rsidR="5684198C">
        <w:rPr>
          <w:rFonts w:asciiTheme="minorHAnsi" w:hAnsiTheme="minorHAnsi" w:eastAsiaTheme="minorEastAsia"/>
          <w:b/>
          <w:bCs/>
        </w:rPr>
        <w:t xml:space="preserve">Prioritise support to negotiating group governance, </w:t>
      </w:r>
      <w:r w:rsidRPr="00D75194">
        <w:rPr>
          <w:rFonts w:asciiTheme="minorHAnsi" w:hAnsiTheme="minorHAnsi" w:eastAsiaTheme="minorEastAsia"/>
          <w:b/>
          <w:bCs/>
        </w:rPr>
        <w:t>including internal strategy-setting, documentation, and coordination.</w:t>
      </w:r>
    </w:p>
    <w:p w:rsidRPr="00D75194" w:rsidR="2B776EF7" w:rsidP="025AE033" w:rsidRDefault="2B776EF7" w14:paraId="6559F73D" w14:textId="59D04AF3">
      <w:pPr>
        <w:spacing w:before="180" w:after="180"/>
        <w:rPr>
          <w:rFonts w:asciiTheme="minorHAnsi" w:hAnsiTheme="minorHAnsi" w:eastAsiaTheme="minorEastAsia"/>
        </w:rPr>
      </w:pPr>
      <w:r w:rsidRPr="00D75194">
        <w:rPr>
          <w:rFonts w:eastAsia="Segoe UI" w:cs="Segoe UI"/>
        </w:rPr>
        <w:t>In the context of potential UK aid cuts, DESNZ should prioritise strengthening the organisational capabilities and governance structures of negotiating groups. This includes targeted support for internal strategy development, documentation, and coordination. These areas have proven effective to date, and sustained investment will be critical to maintaining negotiating groups’ influence and cohesion in international forums.</w:t>
      </w:r>
    </w:p>
    <w:tbl>
      <w:tblPr>
        <w:tblStyle w:val="TableGrid"/>
        <w:tblW w:w="0" w:type="auto"/>
        <w:tblLayout w:type="fixed"/>
        <w:tblLook w:val="0020" w:firstRow="1" w:lastRow="0" w:firstColumn="0" w:lastColumn="0" w:noHBand="0" w:noVBand="0"/>
      </w:tblPr>
      <w:tblGrid>
        <w:gridCol w:w="2033"/>
        <w:gridCol w:w="2045"/>
      </w:tblGrid>
      <w:tr w:rsidRPr="00D75194" w:rsidR="034899DF" w:rsidTr="47BA0144" w14:paraId="12B19A39" w14:textId="77777777">
        <w:trPr>
          <w:trHeight w:val="300"/>
        </w:trPr>
        <w:tc>
          <w:tcPr>
            <w:tcW w:w="2033"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1EA97483" w14:textId="4C9C1E16">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454E2B">
              <w:rPr>
                <w:rFonts w:asciiTheme="minorHAnsi" w:hAnsiTheme="minorHAnsi" w:eastAsiaTheme="minorEastAsia"/>
                <w:b/>
                <w:bCs/>
                <w:color w:val="000000"/>
              </w:rPr>
              <w:t>category</w:t>
            </w:r>
          </w:p>
        </w:tc>
        <w:tc>
          <w:tcPr>
            <w:tcW w:w="204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2A74D8FE" w14:textId="7EA82B18">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58262D6E" w14:textId="77777777">
        <w:trPr>
          <w:trHeight w:val="300"/>
        </w:trPr>
        <w:tc>
          <w:tcPr>
            <w:tcW w:w="20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09D052E2" w14:textId="4E242A08">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045"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19766C87" w14:textId="5DE37991">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A66917" w14:paraId="300AD0F5" w14:textId="77777777">
        <w:trPr>
          <w:trHeight w:val="300"/>
        </w:trPr>
        <w:tc>
          <w:tcPr>
            <w:tcW w:w="20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6DAB21AF" w14:textId="3E58BAEA">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045" w:type="dxa"/>
            <w:tcBorders>
              <w:top w:val="single" w:color="auto" w:sz="8" w:space="0"/>
              <w:left w:val="single" w:color="auto" w:sz="8" w:space="0"/>
              <w:bottom w:val="single" w:color="auto" w:sz="8" w:space="0"/>
              <w:right w:val="single" w:color="auto" w:sz="8" w:space="0"/>
            </w:tcBorders>
            <w:shd w:val="clear" w:color="auto" w:fill="92D050"/>
            <w:tcMar>
              <w:left w:w="108" w:type="dxa"/>
              <w:right w:w="108" w:type="dxa"/>
            </w:tcMar>
          </w:tcPr>
          <w:p w:rsidRPr="00D75194" w:rsidR="034899DF" w:rsidP="47BA0144" w:rsidRDefault="034899DF" w14:paraId="17CBB037" w14:textId="6C0FB67C">
            <w:pPr>
              <w:spacing w:before="36" w:after="36"/>
              <w:rPr>
                <w:rFonts w:asciiTheme="minorHAnsi" w:hAnsiTheme="minorHAnsi" w:eastAsiaTheme="minorEastAsia"/>
              </w:rPr>
            </w:pPr>
            <w:r w:rsidRPr="00D75194">
              <w:rPr>
                <w:rFonts w:asciiTheme="minorHAnsi" w:hAnsiTheme="minorHAnsi" w:eastAsiaTheme="minorEastAsia"/>
              </w:rPr>
              <w:t>Implementation</w:t>
            </w:r>
          </w:p>
        </w:tc>
      </w:tr>
      <w:tr w:rsidRPr="00D75194" w:rsidR="034899DF" w:rsidTr="00A66917" w14:paraId="52B10C75" w14:textId="77777777">
        <w:trPr>
          <w:trHeight w:val="300"/>
        </w:trPr>
        <w:tc>
          <w:tcPr>
            <w:tcW w:w="2033"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1AEFFE7D" w14:textId="0022B287">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C92444">
              <w:rPr>
                <w:rFonts w:asciiTheme="minorHAnsi" w:hAnsiTheme="minorHAnsi" w:eastAsiaTheme="minorEastAsia"/>
                <w:b/>
                <w:bCs/>
              </w:rPr>
              <w:t>i</w:t>
            </w:r>
            <w:r w:rsidRPr="5DBB1966">
              <w:rPr>
                <w:rFonts w:asciiTheme="minorHAnsi" w:hAnsiTheme="minorHAnsi" w:eastAsiaTheme="minorEastAsia"/>
                <w:b/>
                <w:bCs/>
              </w:rPr>
              <w:t>mpact</w:t>
            </w:r>
          </w:p>
        </w:tc>
        <w:tc>
          <w:tcPr>
            <w:tcW w:w="2045"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3F470609" w14:textId="6F94F1D7">
            <w:pPr>
              <w:spacing w:before="36" w:after="36"/>
              <w:rPr>
                <w:rFonts w:asciiTheme="minorHAnsi" w:hAnsiTheme="minorHAnsi" w:eastAsiaTheme="minorEastAsia"/>
              </w:rPr>
            </w:pPr>
            <w:r w:rsidRPr="00D75194">
              <w:rPr>
                <w:rFonts w:asciiTheme="minorHAnsi" w:hAnsiTheme="minorHAnsi" w:eastAsiaTheme="minorEastAsia"/>
              </w:rPr>
              <w:t>Medium</w:t>
            </w:r>
          </w:p>
        </w:tc>
      </w:tr>
    </w:tbl>
    <w:p w:rsidRPr="00D75194" w:rsidR="685551F8" w:rsidP="47BA0144" w:rsidRDefault="49DB2CBC" w14:paraId="55C5DF31" w14:textId="2465988A">
      <w:pPr>
        <w:spacing w:before="180" w:after="180"/>
        <w:rPr>
          <w:rFonts w:asciiTheme="minorHAnsi" w:hAnsiTheme="minorHAnsi" w:eastAsiaTheme="minorEastAsia"/>
          <w:b/>
          <w:bCs/>
        </w:rPr>
      </w:pPr>
      <w:r w:rsidRPr="00D75194">
        <w:rPr>
          <w:rFonts w:asciiTheme="minorHAnsi" w:hAnsiTheme="minorHAnsi" w:eastAsiaTheme="minorEastAsia"/>
          <w:b/>
          <w:bCs/>
        </w:rPr>
        <w:t>Recommendation 2.3: Negotiate group-led approaches with accountability mechanisms (e.g. joint planning processes with TPs).</w:t>
      </w:r>
    </w:p>
    <w:p w:rsidRPr="00D75194" w:rsidR="685551F8" w:rsidP="47BA0144" w:rsidRDefault="49DB2CBC" w14:paraId="4B935495" w14:textId="2007FB4E">
      <w:pPr>
        <w:spacing w:before="180" w:after="180"/>
        <w:rPr>
          <w:rFonts w:asciiTheme="minorHAnsi" w:hAnsiTheme="minorHAnsi" w:eastAsiaTheme="minorEastAsia"/>
        </w:rPr>
      </w:pPr>
      <w:r w:rsidRPr="00D75194">
        <w:rPr>
          <w:rFonts w:asciiTheme="minorHAnsi" w:hAnsiTheme="minorHAnsi" w:eastAsiaTheme="minorEastAsia"/>
        </w:rPr>
        <w:t xml:space="preserve">DESNZ should mandate annual joint planning processes between negotiating groups and </w:t>
      </w:r>
      <w:r w:rsidRPr="00D75194" w:rsidR="002C04BE">
        <w:rPr>
          <w:rFonts w:asciiTheme="minorHAnsi" w:hAnsiTheme="minorHAnsi" w:eastAsiaTheme="minorEastAsia"/>
        </w:rPr>
        <w:t>TPs and</w:t>
      </w:r>
      <w:r w:rsidRPr="00D75194">
        <w:rPr>
          <w:rFonts w:asciiTheme="minorHAnsi" w:hAnsiTheme="minorHAnsi" w:eastAsiaTheme="minorEastAsia"/>
        </w:rPr>
        <w:t xml:space="preserve"> require shared workplans as part of programme design.</w:t>
      </w:r>
      <w:r w:rsidRPr="00D75194" w:rsidR="0E9C33A9">
        <w:rPr>
          <w:rFonts w:asciiTheme="minorHAnsi" w:hAnsiTheme="minorHAnsi" w:eastAsiaTheme="minorEastAsia"/>
        </w:rPr>
        <w:t xml:space="preserve"> The most effective model, from DESNZ’</w:t>
      </w:r>
      <w:r w:rsidRPr="00D75194" w:rsidR="00F85C4F">
        <w:rPr>
          <w:rFonts w:asciiTheme="minorHAnsi" w:hAnsiTheme="minorHAnsi" w:eastAsiaTheme="minorEastAsia"/>
        </w:rPr>
        <w:t>s</w:t>
      </w:r>
      <w:r w:rsidRPr="00D75194" w:rsidR="0E9C33A9">
        <w:rPr>
          <w:rFonts w:asciiTheme="minorHAnsi" w:hAnsiTheme="minorHAnsi" w:eastAsiaTheme="minorEastAsia"/>
        </w:rPr>
        <w:t xml:space="preserve"> perspective, would be for this to be led </w:t>
      </w:r>
      <w:r w:rsidRPr="00D75194" w:rsidR="6AB0CAC5">
        <w:rPr>
          <w:rFonts w:asciiTheme="minorHAnsi" w:hAnsiTheme="minorHAnsi" w:eastAsiaTheme="minorEastAsia"/>
        </w:rPr>
        <w:t xml:space="preserve">and overseen </w:t>
      </w:r>
      <w:r w:rsidRPr="00D75194" w:rsidR="0E9C33A9">
        <w:rPr>
          <w:rFonts w:asciiTheme="minorHAnsi" w:hAnsiTheme="minorHAnsi" w:eastAsiaTheme="minorEastAsia"/>
        </w:rPr>
        <w:t xml:space="preserve">by DAI. However, </w:t>
      </w:r>
      <w:r w:rsidRPr="00D75194" w:rsidR="0E0907B4">
        <w:rPr>
          <w:rFonts w:asciiTheme="minorHAnsi" w:hAnsiTheme="minorHAnsi" w:eastAsiaTheme="minorEastAsia"/>
        </w:rPr>
        <w:t>this would</w:t>
      </w:r>
      <w:r w:rsidRPr="00D75194" w:rsidDel="00F85C4F" w:rsidR="0E0907B4">
        <w:rPr>
          <w:rFonts w:asciiTheme="minorHAnsi" w:hAnsiTheme="minorHAnsi" w:eastAsiaTheme="minorEastAsia"/>
        </w:rPr>
        <w:t xml:space="preserve"> </w:t>
      </w:r>
      <w:r w:rsidRPr="00D75194" w:rsidR="0E0907B4">
        <w:rPr>
          <w:rFonts w:asciiTheme="minorHAnsi" w:hAnsiTheme="minorHAnsi" w:eastAsiaTheme="minorEastAsia"/>
        </w:rPr>
        <w:t>both</w:t>
      </w:r>
      <w:r w:rsidRPr="00D75194" w:rsidR="00F85C4F">
        <w:t xml:space="preserve"> </w:t>
      </w:r>
      <w:r w:rsidRPr="00D75194" w:rsidR="00F85C4F">
        <w:rPr>
          <w:rFonts w:asciiTheme="minorHAnsi" w:hAnsiTheme="minorHAnsi" w:eastAsiaTheme="minorEastAsia"/>
        </w:rPr>
        <w:t>add</w:t>
      </w:r>
      <w:r w:rsidRPr="00D75194" w:rsidR="0E0907B4">
        <w:rPr>
          <w:rFonts w:asciiTheme="minorHAnsi" w:hAnsiTheme="minorHAnsi" w:eastAsiaTheme="minorEastAsia"/>
        </w:rPr>
        <w:t xml:space="preserve"> an additional layer of management expenditure to the </w:t>
      </w:r>
      <w:r w:rsidRPr="00D75194" w:rsidR="002C04BE">
        <w:rPr>
          <w:rFonts w:asciiTheme="minorHAnsi" w:hAnsiTheme="minorHAnsi" w:eastAsiaTheme="minorEastAsia"/>
        </w:rPr>
        <w:t>budget and</w:t>
      </w:r>
      <w:r w:rsidRPr="00D75194" w:rsidR="0E0907B4">
        <w:rPr>
          <w:rFonts w:asciiTheme="minorHAnsi" w:hAnsiTheme="minorHAnsi" w:eastAsiaTheme="minorEastAsia"/>
        </w:rPr>
        <w:t xml:space="preserve"> likely create more work for TPs. As things stand, th</w:t>
      </w:r>
      <w:r w:rsidRPr="00D75194" w:rsidR="5A5AC442">
        <w:rPr>
          <w:rFonts w:asciiTheme="minorHAnsi" w:hAnsiTheme="minorHAnsi" w:eastAsiaTheme="minorEastAsia"/>
        </w:rPr>
        <w:t>e recommendation would be for DAI to take an active interest in reviewing</w:t>
      </w:r>
      <w:r w:rsidRPr="00D75194" w:rsidR="000A268D">
        <w:rPr>
          <w:rFonts w:asciiTheme="minorHAnsi" w:hAnsiTheme="minorHAnsi" w:eastAsiaTheme="minorEastAsia"/>
        </w:rPr>
        <w:t>—</w:t>
      </w:r>
      <w:r w:rsidRPr="00D75194" w:rsidR="5A5AC442">
        <w:rPr>
          <w:rFonts w:asciiTheme="minorHAnsi" w:hAnsiTheme="minorHAnsi" w:eastAsiaTheme="minorEastAsia"/>
        </w:rPr>
        <w:t>and offering support</w:t>
      </w:r>
      <w:r w:rsidRPr="00D75194" w:rsidR="000A268D">
        <w:rPr>
          <w:rFonts w:asciiTheme="minorHAnsi" w:hAnsiTheme="minorHAnsi" w:eastAsiaTheme="minorEastAsia"/>
        </w:rPr>
        <w:t xml:space="preserve"> to—</w:t>
      </w:r>
      <w:r w:rsidRPr="00D75194" w:rsidDel="000A268D" w:rsidR="5A5AC442">
        <w:rPr>
          <w:rFonts w:asciiTheme="minorHAnsi" w:hAnsiTheme="minorHAnsi" w:eastAsiaTheme="minorEastAsia"/>
        </w:rPr>
        <w:t xml:space="preserve"> </w:t>
      </w:r>
      <w:r w:rsidRPr="00D75194" w:rsidR="5A5AC442">
        <w:rPr>
          <w:rFonts w:asciiTheme="minorHAnsi" w:hAnsiTheme="minorHAnsi" w:eastAsiaTheme="minorEastAsia"/>
        </w:rPr>
        <w:t xml:space="preserve">joint </w:t>
      </w:r>
      <w:r w:rsidRPr="00D75194" w:rsidR="50F6A510">
        <w:rPr>
          <w:rFonts w:asciiTheme="minorHAnsi" w:hAnsiTheme="minorHAnsi" w:eastAsiaTheme="minorEastAsia"/>
        </w:rPr>
        <w:t>development</w:t>
      </w:r>
      <w:r w:rsidRPr="00D75194" w:rsidR="5A5AC442">
        <w:rPr>
          <w:rFonts w:asciiTheme="minorHAnsi" w:hAnsiTheme="minorHAnsi" w:eastAsiaTheme="minorEastAsia"/>
        </w:rPr>
        <w:t xml:space="preserve"> and </w:t>
      </w:r>
      <w:r w:rsidRPr="00D75194" w:rsidR="34FC03A5">
        <w:rPr>
          <w:rFonts w:asciiTheme="minorHAnsi" w:hAnsiTheme="minorHAnsi" w:eastAsiaTheme="minorEastAsia"/>
        </w:rPr>
        <w:t>monitoring</w:t>
      </w:r>
      <w:r w:rsidRPr="00D75194" w:rsidR="63A4559A">
        <w:rPr>
          <w:rFonts w:asciiTheme="minorHAnsi" w:hAnsiTheme="minorHAnsi" w:eastAsiaTheme="minorEastAsia"/>
        </w:rPr>
        <w:t xml:space="preserve"> of workplans</w:t>
      </w:r>
      <w:r w:rsidRPr="00D75194" w:rsidR="00220BCC">
        <w:rPr>
          <w:rFonts w:asciiTheme="minorHAnsi" w:hAnsiTheme="minorHAnsi" w:eastAsiaTheme="minorEastAsia"/>
        </w:rPr>
        <w:t>,</w:t>
      </w:r>
      <w:r w:rsidRPr="00D75194" w:rsidR="195BC3DB">
        <w:rPr>
          <w:rFonts w:asciiTheme="minorHAnsi" w:hAnsiTheme="minorHAnsi" w:eastAsiaTheme="minorEastAsia"/>
        </w:rPr>
        <w:t xml:space="preserve"> rather than own</w:t>
      </w:r>
      <w:r w:rsidRPr="00D75194" w:rsidR="00220BCC">
        <w:rPr>
          <w:rFonts w:asciiTheme="minorHAnsi" w:hAnsiTheme="minorHAnsi" w:eastAsiaTheme="minorEastAsia"/>
        </w:rPr>
        <w:t>ing</w:t>
      </w:r>
      <w:r w:rsidRPr="00D75194" w:rsidR="195BC3DB">
        <w:rPr>
          <w:rFonts w:asciiTheme="minorHAnsi" w:hAnsiTheme="minorHAnsi" w:eastAsiaTheme="minorEastAsia"/>
        </w:rPr>
        <w:t xml:space="preserve"> the process. </w:t>
      </w:r>
    </w:p>
    <w:tbl>
      <w:tblPr>
        <w:tblStyle w:val="TableGrid"/>
        <w:tblW w:w="0" w:type="auto"/>
        <w:tblLayout w:type="fixed"/>
        <w:tblLook w:val="0020" w:firstRow="1" w:lastRow="0" w:firstColumn="0" w:lastColumn="0" w:noHBand="0" w:noVBand="0"/>
      </w:tblPr>
      <w:tblGrid>
        <w:gridCol w:w="2125"/>
        <w:gridCol w:w="1954"/>
      </w:tblGrid>
      <w:tr w:rsidRPr="00D75194" w:rsidR="034899DF" w:rsidTr="47BA0144" w14:paraId="7E4617DC" w14:textId="77777777">
        <w:trPr>
          <w:trHeight w:val="300"/>
        </w:trPr>
        <w:tc>
          <w:tcPr>
            <w:tcW w:w="212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0B0DC038" w14:textId="337D86CE">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C92444">
              <w:rPr>
                <w:rFonts w:asciiTheme="minorHAnsi" w:hAnsiTheme="minorHAnsi" w:eastAsiaTheme="minorEastAsia"/>
                <w:b/>
                <w:bCs/>
                <w:color w:val="000000"/>
              </w:rPr>
              <w:t>category</w:t>
            </w:r>
          </w:p>
        </w:tc>
        <w:tc>
          <w:tcPr>
            <w:tcW w:w="1954"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56032DA6" w14:textId="7486D7C9">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6B5FCAAE" w14:textId="77777777">
        <w:trPr>
          <w:trHeight w:val="300"/>
        </w:trPr>
        <w:tc>
          <w:tcPr>
            <w:tcW w:w="212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07159705" w14:textId="58D60263">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1954"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249F3C5A" w14:textId="5D33EC8A">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A66917" w14:paraId="2291116F" w14:textId="77777777">
        <w:trPr>
          <w:trHeight w:val="300"/>
        </w:trPr>
        <w:tc>
          <w:tcPr>
            <w:tcW w:w="212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6C34BD82" w14:textId="036B5488">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1954"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38E0E8BD" w14:textId="27DD6E1D">
            <w:pPr>
              <w:spacing w:before="36" w:after="36"/>
              <w:rPr>
                <w:rFonts w:asciiTheme="minorHAnsi" w:hAnsiTheme="minorHAnsi" w:eastAsiaTheme="minorEastAsia"/>
              </w:rPr>
            </w:pPr>
            <w:r w:rsidRPr="00D75194">
              <w:rPr>
                <w:rFonts w:asciiTheme="minorHAnsi" w:hAnsiTheme="minorHAnsi" w:eastAsiaTheme="minorEastAsia"/>
              </w:rPr>
              <w:t xml:space="preserve">New </w:t>
            </w:r>
          </w:p>
        </w:tc>
      </w:tr>
      <w:tr w:rsidRPr="00D75194" w:rsidR="034899DF" w:rsidTr="00A66917" w14:paraId="4234D418" w14:textId="77777777">
        <w:trPr>
          <w:trHeight w:val="300"/>
        </w:trPr>
        <w:tc>
          <w:tcPr>
            <w:tcW w:w="212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2FBE9862" w14:textId="75741875">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C92444">
              <w:rPr>
                <w:rFonts w:asciiTheme="minorHAnsi" w:hAnsiTheme="minorHAnsi" w:eastAsiaTheme="minorEastAsia"/>
                <w:b/>
                <w:bCs/>
              </w:rPr>
              <w:t>i</w:t>
            </w:r>
            <w:r w:rsidRPr="5DBB1966">
              <w:rPr>
                <w:rFonts w:asciiTheme="minorHAnsi" w:hAnsiTheme="minorHAnsi" w:eastAsiaTheme="minorEastAsia"/>
                <w:b/>
                <w:bCs/>
              </w:rPr>
              <w:t>mpact</w:t>
            </w:r>
          </w:p>
        </w:tc>
        <w:tc>
          <w:tcPr>
            <w:tcW w:w="1954"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3BC7F98C" w14:textId="03FF5BD6">
            <w:pPr>
              <w:spacing w:before="36" w:after="36"/>
              <w:rPr>
                <w:rFonts w:asciiTheme="minorHAnsi" w:hAnsiTheme="minorHAnsi" w:eastAsiaTheme="minorEastAsia"/>
              </w:rPr>
            </w:pPr>
            <w:r w:rsidRPr="00D75194">
              <w:rPr>
                <w:rFonts w:asciiTheme="minorHAnsi" w:hAnsiTheme="minorHAnsi" w:eastAsiaTheme="minorEastAsia"/>
              </w:rPr>
              <w:t>Medium</w:t>
            </w:r>
          </w:p>
        </w:tc>
      </w:tr>
    </w:tbl>
    <w:p w:rsidRPr="00D75194" w:rsidR="685551F8" w:rsidP="47BA0144" w:rsidRDefault="49DB2CBC" w14:paraId="0AAE7759" w14:textId="63B9A394">
      <w:pPr>
        <w:spacing w:after="160" w:line="276" w:lineRule="auto"/>
        <w:rPr>
          <w:rFonts w:asciiTheme="minorHAnsi" w:hAnsiTheme="minorHAnsi" w:eastAsiaTheme="minorEastAsia"/>
        </w:rPr>
      </w:pPr>
      <w:r w:rsidRPr="00D75194">
        <w:rPr>
          <w:rFonts w:asciiTheme="minorHAnsi" w:hAnsiTheme="minorHAnsi" w:eastAsiaTheme="minorEastAsia"/>
        </w:rPr>
        <w:t xml:space="preserve"> </w:t>
      </w:r>
    </w:p>
    <w:p w:rsidRPr="00D75194" w:rsidR="685551F8" w:rsidP="00752569" w:rsidRDefault="49DB2CBC" w14:paraId="5FC8601A" w14:textId="3CD60BC6">
      <w:pPr>
        <w:pStyle w:val="Heading2"/>
      </w:pPr>
      <w:bookmarkStart w:name="_Toc204780068" w:id="114"/>
      <w:bookmarkStart w:name="_Toc214452923" w:id="115"/>
      <w:bookmarkStart w:name="_Toc204796571" w:id="116"/>
      <w:r w:rsidRPr="00D75194">
        <w:t>Lesson 3: Equity and access require structural solutions</w:t>
      </w:r>
      <w:bookmarkEnd w:id="114"/>
      <w:bookmarkEnd w:id="115"/>
      <w:r w:rsidRPr="00D75194">
        <w:t xml:space="preserve"> </w:t>
      </w:r>
      <w:bookmarkEnd w:id="116"/>
    </w:p>
    <w:p w:rsidRPr="00D75194" w:rsidR="685551F8" w:rsidP="47BA0144" w:rsidRDefault="49DB2CBC" w14:paraId="64B16E9B" w14:textId="71FEA3DC">
      <w:pPr>
        <w:spacing w:before="180" w:after="180"/>
        <w:rPr>
          <w:rFonts w:asciiTheme="minorHAnsi" w:hAnsiTheme="minorHAnsi" w:eastAsiaTheme="minorEastAsia"/>
          <w:iCs/>
        </w:rPr>
      </w:pPr>
      <w:r w:rsidRPr="00D75194">
        <w:rPr>
          <w:rFonts w:asciiTheme="minorHAnsi" w:hAnsiTheme="minorHAnsi" w:eastAsiaTheme="minorEastAsia"/>
          <w:iCs/>
        </w:rPr>
        <w:t>Inclusion</w:t>
      </w:r>
      <w:r w:rsidRPr="00D75194" w:rsidR="00302967">
        <w:rPr>
          <w:rFonts w:asciiTheme="minorHAnsi" w:hAnsiTheme="minorHAnsi" w:eastAsiaTheme="minorEastAsia"/>
          <w:iCs/>
        </w:rPr>
        <w:t xml:space="preserve"> is</w:t>
      </w:r>
      <w:r w:rsidRPr="00D75194">
        <w:rPr>
          <w:rFonts w:asciiTheme="minorHAnsi" w:hAnsiTheme="minorHAnsi" w:eastAsiaTheme="minorEastAsia"/>
          <w:iCs/>
        </w:rPr>
        <w:t xml:space="preserve"> improved through access-focused initiatives, but enduring barriers remain in financing, language, delegation structure, and leadership pipelines.</w:t>
      </w:r>
    </w:p>
    <w:p w:rsidRPr="00D75194" w:rsidR="685551F8" w:rsidP="47BA0144" w:rsidRDefault="49DB2CBC" w14:paraId="2134F95F" w14:textId="42B6EBF4">
      <w:pPr>
        <w:spacing w:before="180" w:after="180"/>
        <w:rPr>
          <w:rFonts w:asciiTheme="minorHAnsi" w:hAnsiTheme="minorHAnsi" w:eastAsiaTheme="minorEastAsia"/>
          <w:b/>
          <w:bCs/>
        </w:rPr>
      </w:pPr>
      <w:r w:rsidRPr="00D75194">
        <w:rPr>
          <w:rFonts w:asciiTheme="minorHAnsi" w:hAnsiTheme="minorHAnsi" w:eastAsiaTheme="minorEastAsia"/>
          <w:b/>
          <w:bCs/>
        </w:rPr>
        <w:t>Recommendation 3.1: Support negotiators to access external funding, with TPs and DAI resourced to provide light-touch guidance and signposting.</w:t>
      </w:r>
    </w:p>
    <w:p w:rsidRPr="00D75194" w:rsidR="685551F8" w:rsidP="47BA0144" w:rsidRDefault="49DB2CBC" w14:paraId="17EDB5F4" w14:textId="16D363CE">
      <w:pPr>
        <w:spacing w:before="180" w:after="180"/>
        <w:rPr>
          <w:rFonts w:asciiTheme="minorHAnsi" w:hAnsiTheme="minorHAnsi" w:eastAsiaTheme="minorEastAsia"/>
        </w:rPr>
      </w:pPr>
      <w:r w:rsidRPr="00D75194">
        <w:rPr>
          <w:rFonts w:asciiTheme="minorHAnsi" w:hAnsiTheme="minorHAnsi" w:eastAsiaTheme="minorEastAsia"/>
        </w:rPr>
        <w:t>DESNZ should fund a basic knowledge product and info</w:t>
      </w:r>
      <w:r w:rsidRPr="00D75194" w:rsidR="008E42C2">
        <w:rPr>
          <w:rFonts w:asciiTheme="minorHAnsi" w:hAnsiTheme="minorHAnsi" w:eastAsiaTheme="minorEastAsia"/>
        </w:rPr>
        <w:t>rmation</w:t>
      </w:r>
      <w:r w:rsidRPr="00D75194">
        <w:rPr>
          <w:rFonts w:asciiTheme="minorHAnsi" w:hAnsiTheme="minorHAnsi" w:eastAsiaTheme="minorEastAsia"/>
        </w:rPr>
        <w:t xml:space="preserve"> session series per group on key international participation funds</w:t>
      </w:r>
      <w:r w:rsidRPr="00D75194" w:rsidR="003C2871">
        <w:rPr>
          <w:rFonts w:asciiTheme="minorHAnsi" w:hAnsiTheme="minorHAnsi" w:eastAsiaTheme="minorEastAsia"/>
        </w:rPr>
        <w:t>,</w:t>
      </w:r>
      <w:r w:rsidRPr="00D75194" w:rsidR="341005D4">
        <w:rPr>
          <w:rFonts w:asciiTheme="minorHAnsi" w:hAnsiTheme="minorHAnsi" w:eastAsiaTheme="minorEastAsia"/>
        </w:rPr>
        <w:t xml:space="preserve"> such as the UNFCCC Trust Fund for Participation and</w:t>
      </w:r>
      <w:r w:rsidRPr="00D75194" w:rsidR="00AF4761">
        <w:rPr>
          <w:rFonts w:asciiTheme="minorHAnsi" w:hAnsiTheme="minorHAnsi" w:eastAsiaTheme="minorEastAsia"/>
        </w:rPr>
        <w:t xml:space="preserve"> the</w:t>
      </w:r>
      <w:r w:rsidRPr="00D75194" w:rsidR="341005D4">
        <w:rPr>
          <w:rFonts w:asciiTheme="minorHAnsi" w:hAnsiTheme="minorHAnsi" w:eastAsiaTheme="minorEastAsia"/>
        </w:rPr>
        <w:t xml:space="preserve"> Green Climate Fund Readiness Programme</w:t>
      </w:r>
      <w:r w:rsidRPr="00D75194">
        <w:rPr>
          <w:rFonts w:asciiTheme="minorHAnsi" w:hAnsiTheme="minorHAnsi" w:eastAsiaTheme="minorEastAsia"/>
        </w:rPr>
        <w:t>. This would require minimal resourcing and could be coordinated by DAI and TPs.</w:t>
      </w:r>
    </w:p>
    <w:tbl>
      <w:tblPr>
        <w:tblStyle w:val="TableGrid"/>
        <w:tblW w:w="0" w:type="auto"/>
        <w:tblLayout w:type="fixed"/>
        <w:tblLook w:val="0020" w:firstRow="1" w:lastRow="0" w:firstColumn="0" w:lastColumn="0" w:noHBand="0" w:noVBand="0"/>
      </w:tblPr>
      <w:tblGrid>
        <w:gridCol w:w="2130"/>
        <w:gridCol w:w="1949"/>
      </w:tblGrid>
      <w:tr w:rsidRPr="00D75194" w:rsidR="034899DF" w:rsidTr="47BA0144" w14:paraId="43AD4BC8" w14:textId="77777777">
        <w:trPr>
          <w:trHeight w:val="300"/>
        </w:trPr>
        <w:tc>
          <w:tcPr>
            <w:tcW w:w="213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D75194" w:rsidR="034899DF" w:rsidP="47BA0144" w:rsidRDefault="034899DF" w14:paraId="4995FE49" w14:textId="1152364E">
            <w:pPr>
              <w:spacing w:before="180" w:after="0"/>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D31F13">
              <w:rPr>
                <w:rFonts w:asciiTheme="minorHAnsi" w:hAnsiTheme="minorHAnsi" w:eastAsiaTheme="minorEastAsia"/>
                <w:b/>
                <w:bCs/>
                <w:color w:val="000000"/>
              </w:rPr>
              <w:t>category</w:t>
            </w:r>
          </w:p>
        </w:tc>
        <w:tc>
          <w:tcPr>
            <w:tcW w:w="1949"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D75194" w:rsidR="034899DF" w:rsidP="47BA0144" w:rsidRDefault="034899DF" w14:paraId="29A003B1" w14:textId="3E5A2E4A">
            <w:pPr>
              <w:spacing w:before="180" w:after="0"/>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7E6718D7" w14:textId="77777777">
        <w:trPr>
          <w:trHeight w:val="300"/>
        </w:trPr>
        <w:tc>
          <w:tcPr>
            <w:tcW w:w="213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3B1E4D19" w14:textId="216F8CDF">
            <w:pPr>
              <w:spacing w:before="180" w:after="0"/>
              <w:rPr>
                <w:rFonts w:asciiTheme="minorHAnsi" w:hAnsiTheme="minorHAnsi" w:eastAsiaTheme="minorEastAsia"/>
                <w:b/>
                <w:bCs/>
              </w:rPr>
            </w:pPr>
            <w:r w:rsidRPr="00D75194">
              <w:rPr>
                <w:rFonts w:asciiTheme="minorHAnsi" w:hAnsiTheme="minorHAnsi" w:eastAsiaTheme="minorEastAsia"/>
                <w:b/>
                <w:bCs/>
              </w:rPr>
              <w:t>Priority</w:t>
            </w:r>
          </w:p>
        </w:tc>
        <w:tc>
          <w:tcPr>
            <w:tcW w:w="1949"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vAlign w:val="center"/>
          </w:tcPr>
          <w:p w:rsidRPr="00D75194" w:rsidR="034899DF" w:rsidP="47BA0144" w:rsidRDefault="034899DF" w14:paraId="378B9E11" w14:textId="5EDEDE5C">
            <w:pPr>
              <w:spacing w:before="180" w:after="0"/>
              <w:rPr>
                <w:rFonts w:asciiTheme="minorHAnsi" w:hAnsiTheme="minorHAnsi" w:eastAsiaTheme="minorEastAsia"/>
              </w:rPr>
            </w:pPr>
            <w:r w:rsidRPr="00D75194">
              <w:rPr>
                <w:rFonts w:asciiTheme="minorHAnsi" w:hAnsiTheme="minorHAnsi" w:eastAsiaTheme="minorEastAsia"/>
              </w:rPr>
              <w:t>High</w:t>
            </w:r>
          </w:p>
        </w:tc>
      </w:tr>
      <w:tr w:rsidRPr="00D75194" w:rsidR="034899DF" w:rsidTr="00A66917" w14:paraId="1525CD52" w14:textId="77777777">
        <w:trPr>
          <w:trHeight w:val="300"/>
        </w:trPr>
        <w:tc>
          <w:tcPr>
            <w:tcW w:w="213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24D13772" w14:textId="71D54248">
            <w:pPr>
              <w:spacing w:before="180" w:after="0"/>
              <w:rPr>
                <w:rFonts w:asciiTheme="minorHAnsi" w:hAnsiTheme="minorHAnsi" w:eastAsiaTheme="minorEastAsia"/>
                <w:b/>
                <w:bCs/>
              </w:rPr>
            </w:pPr>
            <w:r w:rsidRPr="00D75194">
              <w:rPr>
                <w:rFonts w:asciiTheme="minorHAnsi" w:hAnsiTheme="minorHAnsi" w:eastAsiaTheme="minorEastAsia"/>
                <w:b/>
                <w:bCs/>
              </w:rPr>
              <w:t>Status</w:t>
            </w:r>
          </w:p>
        </w:tc>
        <w:tc>
          <w:tcPr>
            <w:tcW w:w="1949"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vAlign w:val="center"/>
          </w:tcPr>
          <w:p w:rsidRPr="00D75194" w:rsidR="034899DF" w:rsidP="47BA0144" w:rsidRDefault="034899DF" w14:paraId="46CE2673" w14:textId="72E8A21E">
            <w:pPr>
              <w:spacing w:before="180" w:after="0"/>
              <w:rPr>
                <w:rFonts w:asciiTheme="minorHAnsi" w:hAnsiTheme="minorHAnsi" w:eastAsiaTheme="minorEastAsia"/>
              </w:rPr>
            </w:pPr>
            <w:r w:rsidRPr="00D75194">
              <w:rPr>
                <w:rFonts w:asciiTheme="minorHAnsi" w:hAnsiTheme="minorHAnsi" w:eastAsiaTheme="minorEastAsia"/>
              </w:rPr>
              <w:t>New</w:t>
            </w:r>
          </w:p>
        </w:tc>
      </w:tr>
      <w:tr w:rsidRPr="00D75194" w:rsidR="034899DF" w:rsidTr="00A66917" w14:paraId="0A9975C4" w14:textId="77777777">
        <w:trPr>
          <w:trHeight w:val="300"/>
        </w:trPr>
        <w:tc>
          <w:tcPr>
            <w:tcW w:w="213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75194" w:rsidR="034899DF" w:rsidP="47BA0144" w:rsidRDefault="034899DF" w14:paraId="016CAFBC" w14:textId="1F2B4E35">
            <w:pPr>
              <w:spacing w:before="180" w:after="0"/>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D31F13">
              <w:rPr>
                <w:rFonts w:asciiTheme="minorHAnsi" w:hAnsiTheme="minorHAnsi" w:eastAsiaTheme="minorEastAsia"/>
                <w:b/>
                <w:bCs/>
              </w:rPr>
              <w:t>i</w:t>
            </w:r>
            <w:r w:rsidRPr="5DBB1966">
              <w:rPr>
                <w:rFonts w:asciiTheme="minorHAnsi" w:hAnsiTheme="minorHAnsi" w:eastAsiaTheme="minorEastAsia"/>
                <w:b/>
                <w:bCs/>
              </w:rPr>
              <w:t>mpact</w:t>
            </w:r>
          </w:p>
        </w:tc>
        <w:tc>
          <w:tcPr>
            <w:tcW w:w="1949"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vAlign w:val="center"/>
          </w:tcPr>
          <w:p w:rsidRPr="00D75194" w:rsidR="034899DF" w:rsidP="47BA0144" w:rsidRDefault="034899DF" w14:paraId="439A8048" w14:textId="6A6DF061">
            <w:pPr>
              <w:spacing w:before="180" w:after="0"/>
              <w:rPr>
                <w:rFonts w:asciiTheme="minorHAnsi" w:hAnsiTheme="minorHAnsi" w:eastAsiaTheme="minorEastAsia"/>
              </w:rPr>
            </w:pPr>
            <w:r w:rsidRPr="00D75194">
              <w:rPr>
                <w:rFonts w:asciiTheme="minorHAnsi" w:hAnsiTheme="minorHAnsi" w:eastAsiaTheme="minorEastAsia"/>
              </w:rPr>
              <w:t>High</w:t>
            </w:r>
          </w:p>
        </w:tc>
      </w:tr>
    </w:tbl>
    <w:p w:rsidRPr="00D75194" w:rsidR="685551F8" w:rsidP="47BA0144" w:rsidRDefault="49DB2CBC" w14:paraId="715F9804" w14:textId="71897200">
      <w:pPr>
        <w:spacing w:before="240"/>
        <w:rPr>
          <w:rFonts w:asciiTheme="minorHAnsi" w:hAnsiTheme="minorHAnsi" w:eastAsiaTheme="minorEastAsia"/>
        </w:rPr>
      </w:pPr>
      <w:r w:rsidRPr="00D75194">
        <w:rPr>
          <w:rFonts w:asciiTheme="minorHAnsi" w:hAnsiTheme="minorHAnsi" w:eastAsiaTheme="minorEastAsia"/>
          <w:b/>
          <w:bCs/>
        </w:rPr>
        <w:t xml:space="preserve">Recommendation 3.2: Ensure the </w:t>
      </w:r>
      <w:r w:rsidRPr="5DBB1966" w:rsidR="005025FC">
        <w:rPr>
          <w:rFonts w:asciiTheme="minorHAnsi" w:hAnsiTheme="minorHAnsi" w:eastAsiaTheme="minorEastAsia"/>
          <w:b/>
          <w:bCs/>
        </w:rPr>
        <w:t>OF</w:t>
      </w:r>
      <w:r w:rsidRPr="00D75194">
        <w:rPr>
          <w:rFonts w:asciiTheme="minorHAnsi" w:hAnsiTheme="minorHAnsi" w:eastAsiaTheme="minorEastAsia"/>
          <w:b/>
          <w:bCs/>
        </w:rPr>
        <w:t xml:space="preserve"> remains a core feature of the programme, providing flexible, GESI-oriented support that negotiating groups can shape.</w:t>
      </w:r>
      <w:r w:rsidRPr="00D75194">
        <w:rPr>
          <w:rFonts w:asciiTheme="minorHAnsi" w:hAnsiTheme="minorHAnsi" w:eastAsiaTheme="minorEastAsia"/>
        </w:rPr>
        <w:t xml:space="preserve"> </w:t>
      </w:r>
    </w:p>
    <w:p w:rsidRPr="00D75194" w:rsidR="685551F8" w:rsidP="47BA0144" w:rsidRDefault="49DB2CBC" w14:paraId="61F2DEF9" w14:textId="742A1C80">
      <w:pPr>
        <w:spacing w:before="240"/>
        <w:rPr>
          <w:rFonts w:asciiTheme="minorHAnsi" w:hAnsiTheme="minorHAnsi" w:eastAsiaTheme="minorEastAsia"/>
        </w:rPr>
      </w:pPr>
      <w:r w:rsidRPr="00D75194">
        <w:rPr>
          <w:rFonts w:asciiTheme="minorHAnsi" w:hAnsiTheme="minorHAnsi" w:eastAsiaTheme="minorEastAsia"/>
        </w:rPr>
        <w:t xml:space="preserve">DESNZ should transition the OF from a competitive grant mechanism to a flexible instrument </w:t>
      </w:r>
      <w:r w:rsidRPr="00D75194" w:rsidR="002C3717">
        <w:rPr>
          <w:rFonts w:asciiTheme="minorHAnsi" w:hAnsiTheme="minorHAnsi" w:eastAsiaTheme="minorEastAsia"/>
        </w:rPr>
        <w:t xml:space="preserve">that is </w:t>
      </w:r>
      <w:r w:rsidRPr="00D75194">
        <w:rPr>
          <w:rFonts w:asciiTheme="minorHAnsi" w:hAnsiTheme="minorHAnsi" w:eastAsiaTheme="minorEastAsia"/>
        </w:rPr>
        <w:t>aligned with negotiating group priorities. It should retain its current Global South-led, inclusive approach and be streamlined to reduce administrative burden. Rather than expanding funding, the focus should be on adapting the existing fund to enable group-led planning, with co-designed reporting formats and collaborative development of calls and funding decisions. The</w:t>
      </w:r>
      <w:r w:rsidRPr="00D75194" w:rsidDel="00A97E85">
        <w:rPr>
          <w:rFonts w:asciiTheme="minorHAnsi" w:hAnsiTheme="minorHAnsi" w:eastAsiaTheme="minorEastAsia"/>
        </w:rPr>
        <w:t xml:space="preserve"> </w:t>
      </w:r>
      <w:r w:rsidRPr="00D75194" w:rsidR="00A97E85">
        <w:rPr>
          <w:rFonts w:asciiTheme="minorHAnsi" w:hAnsiTheme="minorHAnsi" w:eastAsiaTheme="minorEastAsia"/>
        </w:rPr>
        <w:t xml:space="preserve">fund </w:t>
      </w:r>
      <w:r w:rsidRPr="00D75194">
        <w:rPr>
          <w:rFonts w:asciiTheme="minorHAnsi" w:hAnsiTheme="minorHAnsi" w:eastAsiaTheme="minorEastAsia"/>
        </w:rPr>
        <w:t>could be owned by negotiating groups and deployed as they see fit, potentially requiring coordination across group members to access and manage its use within an agreed accountability and governance framework.</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74F9DDE9"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438BA0FC" w14:textId="7D438B31">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CF5CD0">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2BB214CE" w14:textId="61368EF0">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349894DF"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22218657" w14:textId="6175AECA">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51C814E9" w14:textId="551CCC5A">
            <w:pPr>
              <w:spacing w:before="36" w:after="36"/>
              <w:rPr>
                <w:rFonts w:asciiTheme="minorHAnsi" w:hAnsiTheme="minorHAnsi" w:eastAsiaTheme="minorEastAsia"/>
              </w:rPr>
            </w:pPr>
            <w:r w:rsidRPr="00D75194">
              <w:rPr>
                <w:rFonts w:asciiTheme="minorHAnsi" w:hAnsiTheme="minorHAnsi" w:eastAsiaTheme="minorEastAsia"/>
              </w:rPr>
              <w:t>High</w:t>
            </w:r>
          </w:p>
        </w:tc>
      </w:tr>
      <w:tr w:rsidRPr="00D75194" w:rsidR="034899DF" w:rsidTr="00A66917" w14:paraId="22FEC4C5"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998786E" w14:textId="3E557961">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92D050"/>
            <w:tcMar>
              <w:left w:w="108" w:type="dxa"/>
              <w:right w:w="108" w:type="dxa"/>
            </w:tcMar>
          </w:tcPr>
          <w:p w:rsidRPr="00D75194" w:rsidR="034899DF" w:rsidP="47BA0144" w:rsidRDefault="034899DF" w14:paraId="0F6DE1D6" w14:textId="49D5D3FC">
            <w:pPr>
              <w:spacing w:before="36" w:after="36"/>
              <w:rPr>
                <w:rFonts w:asciiTheme="minorHAnsi" w:hAnsiTheme="minorHAnsi" w:eastAsiaTheme="minorEastAsia"/>
              </w:rPr>
            </w:pPr>
            <w:r w:rsidRPr="00D75194">
              <w:rPr>
                <w:rFonts w:asciiTheme="minorHAnsi" w:hAnsiTheme="minorHAnsi" w:eastAsiaTheme="minorEastAsia"/>
              </w:rPr>
              <w:t xml:space="preserve">Implementation </w:t>
            </w:r>
          </w:p>
        </w:tc>
      </w:tr>
      <w:tr w:rsidRPr="00D75194" w:rsidR="034899DF" w:rsidTr="00A66917" w14:paraId="61AF6DEF"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388AA0FD" w14:textId="5B7AE9F7">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CF5CD0">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6BBCB2A6" w14:textId="1E9F5BBB">
            <w:pPr>
              <w:spacing w:before="36" w:after="36"/>
              <w:rPr>
                <w:rFonts w:asciiTheme="minorHAnsi" w:hAnsiTheme="minorHAnsi" w:eastAsiaTheme="minorEastAsia"/>
              </w:rPr>
            </w:pPr>
            <w:r w:rsidRPr="00D75194">
              <w:rPr>
                <w:rFonts w:asciiTheme="minorHAnsi" w:hAnsiTheme="minorHAnsi" w:eastAsiaTheme="minorEastAsia"/>
              </w:rPr>
              <w:t>High</w:t>
            </w:r>
          </w:p>
        </w:tc>
      </w:tr>
    </w:tbl>
    <w:p w:rsidRPr="00D75194" w:rsidR="685551F8" w:rsidP="47BA0144" w:rsidRDefault="49DB2CBC" w14:paraId="679E087F" w14:textId="1B16296D">
      <w:pPr>
        <w:spacing w:before="180" w:after="180"/>
        <w:rPr>
          <w:rFonts w:asciiTheme="minorHAnsi" w:hAnsiTheme="minorHAnsi" w:eastAsiaTheme="minorEastAsia"/>
          <w:b/>
          <w:bCs/>
        </w:rPr>
      </w:pPr>
      <w:r w:rsidRPr="00D75194">
        <w:rPr>
          <w:rFonts w:asciiTheme="minorHAnsi" w:hAnsiTheme="minorHAnsi" w:eastAsiaTheme="minorEastAsia"/>
          <w:b/>
          <w:bCs/>
        </w:rPr>
        <w:t>Recommendation 3.3: Invest in mentorship and alumni engagement, particularly for underrepresented negotiators, and compensate mentors from the Global South.</w:t>
      </w:r>
    </w:p>
    <w:p w:rsidRPr="00D75194" w:rsidR="685551F8" w:rsidP="47BA0144" w:rsidRDefault="49DB2CBC" w14:paraId="7FE02331" w14:textId="11BBD54E">
      <w:pPr>
        <w:spacing w:before="180" w:after="180"/>
        <w:rPr>
          <w:rFonts w:asciiTheme="minorHAnsi" w:hAnsiTheme="minorHAnsi" w:eastAsiaTheme="minorEastAsia"/>
        </w:rPr>
      </w:pPr>
      <w:r w:rsidRPr="00D75194">
        <w:rPr>
          <w:rFonts w:asciiTheme="minorHAnsi" w:hAnsiTheme="minorHAnsi" w:eastAsiaTheme="minorEastAsia"/>
        </w:rPr>
        <w:t>DESNZ should create a small budget line to formalise mentorship roles, support mentor stipends, and enable quarterly peer groups for alumni, with</w:t>
      </w:r>
      <w:r w:rsidRPr="00D75194" w:rsidR="00AB7F97">
        <w:rPr>
          <w:rFonts w:asciiTheme="minorHAnsi" w:hAnsiTheme="minorHAnsi" w:eastAsiaTheme="minorEastAsia"/>
        </w:rPr>
        <w:t xml:space="preserve"> an</w:t>
      </w:r>
      <w:r w:rsidRPr="00D75194">
        <w:rPr>
          <w:rFonts w:asciiTheme="minorHAnsi" w:hAnsiTheme="minorHAnsi" w:eastAsiaTheme="minorEastAsia"/>
        </w:rPr>
        <w:t xml:space="preserve"> emphasis on diversity and regional balance.</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318AD396"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19E6D1EA" w14:textId="6416EF7C">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1C3515">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0B04913E" w14:textId="685F5268">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53FEEA81"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02A15A2B" w14:textId="28003346">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26A5A189" w14:textId="0D739888">
            <w:pPr>
              <w:spacing w:before="36" w:after="36"/>
              <w:rPr>
                <w:rFonts w:asciiTheme="minorHAnsi" w:hAnsiTheme="minorHAnsi" w:eastAsiaTheme="minorEastAsia"/>
              </w:rPr>
            </w:pPr>
            <w:r w:rsidRPr="00D75194">
              <w:rPr>
                <w:rFonts w:asciiTheme="minorHAnsi" w:hAnsiTheme="minorHAnsi" w:eastAsiaTheme="minorEastAsia"/>
              </w:rPr>
              <w:t>High</w:t>
            </w:r>
          </w:p>
        </w:tc>
      </w:tr>
      <w:tr w:rsidRPr="00D75194" w:rsidR="034899DF" w:rsidTr="00A66917" w14:paraId="27999B8C"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3909E101" w14:textId="362B14C4">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40A3F2BF" w14:textId="4819B3D7">
            <w:pPr>
              <w:spacing w:before="36" w:after="36"/>
              <w:rPr>
                <w:rFonts w:asciiTheme="minorHAnsi" w:hAnsiTheme="minorHAnsi" w:eastAsiaTheme="minorEastAsia"/>
              </w:rPr>
            </w:pPr>
            <w:r w:rsidRPr="00D75194">
              <w:rPr>
                <w:rFonts w:asciiTheme="minorHAnsi" w:hAnsiTheme="minorHAnsi" w:eastAsiaTheme="minorEastAsia"/>
              </w:rPr>
              <w:t>In process</w:t>
            </w:r>
          </w:p>
        </w:tc>
      </w:tr>
      <w:tr w:rsidRPr="00D75194" w:rsidR="034899DF" w:rsidTr="00A66917" w14:paraId="600AA329"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6536192" w14:textId="153AA9E8">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1C3515">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50EA525A" w14:textId="31E07957">
            <w:pPr>
              <w:spacing w:before="36" w:after="36"/>
              <w:rPr>
                <w:rFonts w:asciiTheme="minorHAnsi" w:hAnsiTheme="minorHAnsi" w:eastAsiaTheme="minorEastAsia"/>
              </w:rPr>
            </w:pPr>
            <w:r w:rsidRPr="00D75194">
              <w:rPr>
                <w:rFonts w:asciiTheme="minorHAnsi" w:hAnsiTheme="minorHAnsi" w:eastAsiaTheme="minorEastAsia"/>
              </w:rPr>
              <w:t>High</w:t>
            </w:r>
          </w:p>
        </w:tc>
      </w:tr>
    </w:tbl>
    <w:p w:rsidRPr="00D75194" w:rsidR="685551F8" w:rsidP="47BA0144" w:rsidRDefault="49DB2CBC" w14:paraId="7BA5AD1F" w14:textId="3990B7BD">
      <w:pPr>
        <w:spacing w:after="160" w:line="276" w:lineRule="auto"/>
        <w:rPr>
          <w:rFonts w:asciiTheme="minorHAnsi" w:hAnsiTheme="minorHAnsi" w:eastAsiaTheme="minorEastAsia"/>
        </w:rPr>
      </w:pPr>
      <w:r w:rsidRPr="00D75194">
        <w:rPr>
          <w:rFonts w:asciiTheme="minorHAnsi" w:hAnsiTheme="minorHAnsi" w:eastAsiaTheme="minorEastAsia"/>
        </w:rPr>
        <w:t xml:space="preserve"> </w:t>
      </w:r>
    </w:p>
    <w:p w:rsidRPr="00D75194" w:rsidR="685551F8" w:rsidP="00752569" w:rsidRDefault="49DB2CBC" w14:paraId="0B750622" w14:textId="251909C8">
      <w:pPr>
        <w:pStyle w:val="Heading2"/>
      </w:pPr>
      <w:bookmarkStart w:name="_Toc204780069" w:id="117"/>
      <w:bookmarkStart w:name="_Toc204796572" w:id="118"/>
      <w:bookmarkStart w:name="_Toc214452924" w:id="119"/>
      <w:r w:rsidRPr="00D75194">
        <w:t>Lesson 4: Flexible, trusted support is CASA’s signature strength</w:t>
      </w:r>
      <w:bookmarkEnd w:id="117"/>
      <w:bookmarkEnd w:id="118"/>
      <w:bookmarkEnd w:id="119"/>
    </w:p>
    <w:p w:rsidRPr="00D75194" w:rsidR="685551F8" w:rsidP="47BA0144" w:rsidRDefault="49DB2CBC" w14:paraId="0FC416DD" w14:textId="6E3E462D">
      <w:pPr>
        <w:spacing w:before="180" w:after="180"/>
        <w:rPr>
          <w:rFonts w:asciiTheme="minorHAnsi" w:hAnsiTheme="minorHAnsi" w:eastAsiaTheme="minorEastAsia"/>
          <w:iCs/>
        </w:rPr>
      </w:pPr>
      <w:r w:rsidRPr="00D75194">
        <w:rPr>
          <w:rFonts w:asciiTheme="minorHAnsi" w:hAnsiTheme="minorHAnsi" w:eastAsiaTheme="minorEastAsia"/>
          <w:iCs/>
        </w:rPr>
        <w:t>Real-time, demand-led support</w:t>
      </w:r>
      <w:r w:rsidRPr="5DBB1966">
        <w:rPr>
          <w:rFonts w:asciiTheme="minorHAnsi" w:hAnsiTheme="minorHAnsi" w:eastAsiaTheme="minorEastAsia"/>
        </w:rPr>
        <w:t>—</w:t>
      </w:r>
      <w:r w:rsidRPr="00D75194">
        <w:rPr>
          <w:rFonts w:asciiTheme="minorHAnsi" w:hAnsiTheme="minorHAnsi" w:eastAsiaTheme="minorEastAsia"/>
          <w:iCs/>
        </w:rPr>
        <w:t>especially during negotiations</w:t>
      </w:r>
      <w:r w:rsidRPr="5DBB1966">
        <w:rPr>
          <w:rFonts w:asciiTheme="minorHAnsi" w:hAnsiTheme="minorHAnsi" w:eastAsiaTheme="minorEastAsia"/>
        </w:rPr>
        <w:t>—</w:t>
      </w:r>
      <w:r w:rsidRPr="00D75194" w:rsidR="00023ED4">
        <w:rPr>
          <w:rFonts w:asciiTheme="minorHAnsi" w:hAnsiTheme="minorHAnsi" w:eastAsiaTheme="minorEastAsia"/>
          <w:iCs/>
        </w:rPr>
        <w:t xml:space="preserve">has </w:t>
      </w:r>
      <w:r w:rsidRPr="00D75194">
        <w:rPr>
          <w:rFonts w:asciiTheme="minorHAnsi" w:hAnsiTheme="minorHAnsi" w:eastAsiaTheme="minorEastAsia"/>
          <w:iCs/>
        </w:rPr>
        <w:t>delivered exceptional value</w:t>
      </w:r>
      <w:r w:rsidRPr="00D75194" w:rsidR="000F5F80">
        <w:rPr>
          <w:rFonts w:asciiTheme="minorHAnsi" w:hAnsiTheme="minorHAnsi" w:eastAsiaTheme="minorEastAsia"/>
          <w:iCs/>
        </w:rPr>
        <w:t xml:space="preserve"> for CASA II</w:t>
      </w:r>
      <w:r w:rsidRPr="00D75194">
        <w:rPr>
          <w:rFonts w:asciiTheme="minorHAnsi" w:hAnsiTheme="minorHAnsi" w:eastAsiaTheme="minorEastAsia"/>
          <w:iCs/>
        </w:rPr>
        <w:t xml:space="preserve">. </w:t>
      </w:r>
      <w:r w:rsidRPr="00D75194" w:rsidR="00AF5F16">
        <w:rPr>
          <w:rFonts w:asciiTheme="minorHAnsi" w:hAnsiTheme="minorHAnsi" w:eastAsiaTheme="minorEastAsia"/>
          <w:iCs/>
        </w:rPr>
        <w:t>Future initiatives un</w:t>
      </w:r>
      <w:r w:rsidRPr="00D75194" w:rsidR="00C747CD">
        <w:rPr>
          <w:rFonts w:asciiTheme="minorHAnsi" w:hAnsiTheme="minorHAnsi" w:eastAsiaTheme="minorEastAsia"/>
          <w:iCs/>
        </w:rPr>
        <w:t xml:space="preserve">der CASA or comparable programmes should </w:t>
      </w:r>
      <w:r w:rsidRPr="00D75194" w:rsidR="00E82C57">
        <w:rPr>
          <w:rFonts w:asciiTheme="minorHAnsi" w:hAnsiTheme="minorHAnsi" w:eastAsiaTheme="minorEastAsia"/>
          <w:iCs/>
        </w:rPr>
        <w:t>prioritise,</w:t>
      </w:r>
      <w:r w:rsidRPr="00D75194">
        <w:rPr>
          <w:rFonts w:asciiTheme="minorHAnsi" w:hAnsiTheme="minorHAnsi" w:eastAsiaTheme="minorEastAsia"/>
          <w:iCs/>
        </w:rPr>
        <w:t xml:space="preserve"> protect</w:t>
      </w:r>
      <w:r w:rsidRPr="00D75194" w:rsidR="00CD6D9A">
        <w:rPr>
          <w:rFonts w:asciiTheme="minorHAnsi" w:hAnsiTheme="minorHAnsi" w:eastAsiaTheme="minorEastAsia"/>
          <w:iCs/>
        </w:rPr>
        <w:t>,</w:t>
      </w:r>
      <w:r w:rsidRPr="00D75194">
        <w:rPr>
          <w:rFonts w:asciiTheme="minorHAnsi" w:hAnsiTheme="minorHAnsi" w:eastAsiaTheme="minorEastAsia"/>
          <w:iCs/>
        </w:rPr>
        <w:t xml:space="preserve"> and strengthen</w:t>
      </w:r>
      <w:r w:rsidRPr="00D75194" w:rsidR="00E82C57">
        <w:rPr>
          <w:rFonts w:asciiTheme="minorHAnsi" w:hAnsiTheme="minorHAnsi" w:eastAsiaTheme="minorEastAsia"/>
          <w:iCs/>
        </w:rPr>
        <w:t xml:space="preserve"> this flexibility </w:t>
      </w:r>
      <w:r w:rsidRPr="00D75194" w:rsidR="000F5F80">
        <w:rPr>
          <w:rFonts w:asciiTheme="minorHAnsi" w:hAnsiTheme="minorHAnsi" w:eastAsiaTheme="minorEastAsia"/>
          <w:iCs/>
        </w:rPr>
        <w:t>to ensure efficient and effective</w:t>
      </w:r>
      <w:r w:rsidRPr="00D75194" w:rsidR="00DA1325">
        <w:t xml:space="preserve"> </w:t>
      </w:r>
      <w:r w:rsidRPr="00D75194" w:rsidR="00DA1325">
        <w:rPr>
          <w:rFonts w:asciiTheme="minorHAnsi" w:hAnsiTheme="minorHAnsi" w:eastAsiaTheme="minorEastAsia"/>
          <w:iCs/>
        </w:rPr>
        <w:t>delivery</w:t>
      </w:r>
      <w:r w:rsidRPr="00D75194" w:rsidR="00A60151">
        <w:rPr>
          <w:rFonts w:asciiTheme="minorHAnsi" w:hAnsiTheme="minorHAnsi" w:eastAsiaTheme="minorEastAsia"/>
          <w:iCs/>
        </w:rPr>
        <w:t xml:space="preserve"> </w:t>
      </w:r>
      <w:r w:rsidRPr="00D75194" w:rsidR="00DA1325">
        <w:rPr>
          <w:rFonts w:asciiTheme="minorHAnsi" w:hAnsiTheme="minorHAnsi" w:eastAsiaTheme="minorEastAsia"/>
          <w:iCs/>
        </w:rPr>
        <w:t xml:space="preserve">of </w:t>
      </w:r>
      <w:r w:rsidRPr="5DBB1966" w:rsidR="00690A66">
        <w:rPr>
          <w:rFonts w:asciiTheme="minorHAnsi" w:hAnsiTheme="minorHAnsi" w:eastAsiaTheme="minorEastAsia"/>
        </w:rPr>
        <w:t>technical assistance</w:t>
      </w:r>
      <w:r w:rsidRPr="00D75194" w:rsidR="000F5F80">
        <w:rPr>
          <w:rFonts w:asciiTheme="minorHAnsi" w:hAnsiTheme="minorHAnsi" w:eastAsiaTheme="minorEastAsia"/>
          <w:iCs/>
        </w:rPr>
        <w:t>.</w:t>
      </w:r>
    </w:p>
    <w:p w:rsidRPr="00D75194" w:rsidR="685551F8" w:rsidP="47BA0144" w:rsidRDefault="49DB2CBC" w14:paraId="23ABADEA" w14:textId="6B3FDBC2">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4.1: Protect </w:t>
      </w:r>
      <w:r w:rsidRPr="00D75194" w:rsidR="00974DE4">
        <w:rPr>
          <w:rFonts w:asciiTheme="minorHAnsi" w:hAnsiTheme="minorHAnsi" w:eastAsiaTheme="minorEastAsia"/>
          <w:b/>
          <w:bCs/>
        </w:rPr>
        <w:t xml:space="preserve">the </w:t>
      </w:r>
      <w:r w:rsidRPr="00D75194">
        <w:rPr>
          <w:rFonts w:asciiTheme="minorHAnsi" w:hAnsiTheme="minorHAnsi" w:eastAsiaTheme="minorEastAsia"/>
          <w:b/>
          <w:bCs/>
        </w:rPr>
        <w:t>budget and operational space for in-COP support (e.g. legal drafting, strategic advice via informal channels).</w:t>
      </w:r>
    </w:p>
    <w:p w:rsidRPr="00D75194" w:rsidR="685551F8" w:rsidP="47BA0144" w:rsidRDefault="49DB2CBC" w14:paraId="4649C372" w14:textId="214B4402">
      <w:pPr>
        <w:spacing w:before="180" w:after="180"/>
        <w:rPr>
          <w:rFonts w:asciiTheme="minorHAnsi" w:hAnsiTheme="minorHAnsi" w:eastAsiaTheme="minorEastAsia"/>
        </w:rPr>
      </w:pPr>
      <w:r w:rsidRPr="00D75194">
        <w:rPr>
          <w:rFonts w:asciiTheme="minorHAnsi" w:hAnsiTheme="minorHAnsi" w:eastAsiaTheme="minorEastAsia"/>
        </w:rPr>
        <w:t xml:space="preserve">DESNZ should ensure TP budgets include a flexible COP-support line at their core. This should enable responsive, real-time inputs to </w:t>
      </w:r>
      <w:r w:rsidRPr="00D75194" w:rsidR="002A5AB2">
        <w:rPr>
          <w:rFonts w:asciiTheme="minorHAnsi" w:hAnsiTheme="minorHAnsi" w:eastAsiaTheme="minorEastAsia"/>
        </w:rPr>
        <w:t xml:space="preserve">chairs </w:t>
      </w:r>
      <w:r w:rsidRPr="00D75194">
        <w:rPr>
          <w:rFonts w:asciiTheme="minorHAnsi" w:hAnsiTheme="minorHAnsi" w:eastAsiaTheme="minorEastAsia"/>
        </w:rPr>
        <w:t xml:space="preserve">and leads through embedded advisors and informal tools. While operational expenses to cover travel and accommodation are limited, DESNZ could support improved information sharing between funders to ensure basic operational costs are being covered by projects funding TPs. </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6C08F79B"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61AAD5BE" w14:textId="13DBE8C9">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80596B">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43BDB5DB" w14:textId="7BD86382">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54EB1F41"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3516E63C" w14:textId="6DE6336B">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7792AD2B" w14:textId="211D71A3">
            <w:pPr>
              <w:spacing w:before="36" w:after="36"/>
              <w:rPr>
                <w:rFonts w:asciiTheme="minorHAnsi" w:hAnsiTheme="minorHAnsi" w:eastAsiaTheme="minorEastAsia"/>
              </w:rPr>
            </w:pPr>
            <w:r w:rsidRPr="00D75194">
              <w:rPr>
                <w:rFonts w:asciiTheme="minorHAnsi" w:hAnsiTheme="minorHAnsi" w:eastAsiaTheme="minorEastAsia"/>
              </w:rPr>
              <w:t>High</w:t>
            </w:r>
          </w:p>
        </w:tc>
      </w:tr>
      <w:tr w:rsidRPr="00D75194" w:rsidR="034899DF" w:rsidTr="00A66917" w14:paraId="4C6384E9"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0118B688" w14:textId="5EC5CF75">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92D050"/>
            <w:tcMar>
              <w:left w:w="108" w:type="dxa"/>
              <w:right w:w="108" w:type="dxa"/>
            </w:tcMar>
          </w:tcPr>
          <w:p w:rsidRPr="00D75194" w:rsidR="034899DF" w:rsidP="47BA0144" w:rsidRDefault="034899DF" w14:paraId="57910440" w14:textId="7BF1B44E">
            <w:pPr>
              <w:spacing w:before="36" w:after="36"/>
              <w:rPr>
                <w:rFonts w:asciiTheme="minorHAnsi" w:hAnsiTheme="minorHAnsi" w:eastAsiaTheme="minorEastAsia"/>
              </w:rPr>
            </w:pPr>
            <w:r w:rsidRPr="00D75194">
              <w:rPr>
                <w:rFonts w:asciiTheme="minorHAnsi" w:hAnsiTheme="minorHAnsi" w:eastAsiaTheme="minorEastAsia"/>
              </w:rPr>
              <w:t>Implementation</w:t>
            </w:r>
          </w:p>
        </w:tc>
      </w:tr>
      <w:tr w:rsidRPr="00D75194" w:rsidR="034899DF" w:rsidTr="00A66917" w14:paraId="1D6CEE0C"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76AEC67E" w14:textId="110BF6D7">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80596B">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69E1238C" w14:textId="4A62D5A3">
            <w:pPr>
              <w:spacing w:before="36" w:after="36"/>
              <w:rPr>
                <w:rFonts w:asciiTheme="minorHAnsi" w:hAnsiTheme="minorHAnsi" w:eastAsiaTheme="minorEastAsia"/>
              </w:rPr>
            </w:pPr>
            <w:r w:rsidRPr="00D75194">
              <w:rPr>
                <w:rFonts w:asciiTheme="minorHAnsi" w:hAnsiTheme="minorHAnsi" w:eastAsiaTheme="minorEastAsia"/>
              </w:rPr>
              <w:t>High</w:t>
            </w:r>
          </w:p>
        </w:tc>
      </w:tr>
    </w:tbl>
    <w:p w:rsidRPr="00D75194" w:rsidR="685551F8" w:rsidP="47BA0144" w:rsidRDefault="49DB2CBC" w14:paraId="546F9C50" w14:textId="3AC19C3E">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4.2: Retain </w:t>
      </w:r>
      <w:r w:rsidRPr="5DBB1966">
        <w:rPr>
          <w:rFonts w:asciiTheme="minorHAnsi" w:hAnsiTheme="minorHAnsi" w:eastAsiaTheme="minorEastAsia"/>
          <w:b/>
          <w:bCs/>
        </w:rPr>
        <w:t>TPs</w:t>
      </w:r>
      <w:r w:rsidRPr="5DBB1966" w:rsidR="00CF74C0">
        <w:rPr>
          <w:rFonts w:asciiTheme="minorHAnsi" w:hAnsiTheme="minorHAnsi" w:eastAsiaTheme="minorEastAsia"/>
          <w:b/>
          <w:bCs/>
        </w:rPr>
        <w:t>’</w:t>
      </w:r>
      <w:r w:rsidRPr="00D75194">
        <w:rPr>
          <w:rFonts w:asciiTheme="minorHAnsi" w:hAnsiTheme="minorHAnsi" w:eastAsiaTheme="minorEastAsia"/>
          <w:b/>
          <w:bCs/>
        </w:rPr>
        <w:t xml:space="preserve"> mechanisms for demand-led deployment, rather than rigid workplans.</w:t>
      </w:r>
    </w:p>
    <w:p w:rsidRPr="00D75194" w:rsidR="685551F8" w:rsidP="47BA0144" w:rsidRDefault="49DB2CBC" w14:paraId="1F363AD7" w14:textId="52ECCB41">
      <w:pPr>
        <w:spacing w:before="180" w:after="180"/>
        <w:rPr>
          <w:rFonts w:asciiTheme="minorHAnsi" w:hAnsiTheme="minorHAnsi" w:eastAsiaTheme="minorEastAsia"/>
        </w:rPr>
      </w:pPr>
      <w:r w:rsidRPr="00D75194">
        <w:rPr>
          <w:rFonts w:asciiTheme="minorHAnsi" w:hAnsiTheme="minorHAnsi" w:eastAsiaTheme="minorEastAsia"/>
        </w:rPr>
        <w:t xml:space="preserve">DESNZ should prioritise the </w:t>
      </w:r>
      <w:r w:rsidRPr="5DBB1966" w:rsidR="00596C92">
        <w:rPr>
          <w:rFonts w:asciiTheme="minorHAnsi" w:hAnsiTheme="minorHAnsi" w:eastAsiaTheme="minorEastAsia"/>
        </w:rPr>
        <w:t>‘</w:t>
      </w:r>
      <w:r w:rsidRPr="00D75194">
        <w:rPr>
          <w:rFonts w:asciiTheme="minorHAnsi" w:hAnsiTheme="minorHAnsi" w:eastAsiaTheme="minorEastAsia"/>
        </w:rPr>
        <w:t>on-</w:t>
      </w:r>
      <w:r w:rsidRPr="5DBB1966">
        <w:rPr>
          <w:rFonts w:asciiTheme="minorHAnsi" w:hAnsiTheme="minorHAnsi" w:eastAsiaTheme="minorEastAsia"/>
        </w:rPr>
        <w:t>call</w:t>
      </w:r>
      <w:r w:rsidRPr="5DBB1966" w:rsidR="00596C92">
        <w:rPr>
          <w:rFonts w:asciiTheme="minorHAnsi" w:hAnsiTheme="minorHAnsi" w:eastAsiaTheme="minorEastAsia"/>
        </w:rPr>
        <w:t>’</w:t>
      </w:r>
      <w:r w:rsidRPr="00D75194" w:rsidR="00596C92">
        <w:rPr>
          <w:rFonts w:asciiTheme="minorHAnsi" w:hAnsiTheme="minorHAnsi" w:eastAsiaTheme="minorEastAsia"/>
        </w:rPr>
        <w:t xml:space="preserve"> </w:t>
      </w:r>
      <w:r w:rsidRPr="00D75194">
        <w:rPr>
          <w:rFonts w:asciiTheme="minorHAnsi" w:hAnsiTheme="minorHAnsi" w:eastAsiaTheme="minorEastAsia"/>
        </w:rPr>
        <w:t xml:space="preserve">delivery clauses within contract agreements and require light-touch tracking of demand-led requests (as </w:t>
      </w:r>
      <w:r w:rsidR="004E2C7A">
        <w:rPr>
          <w:rFonts w:asciiTheme="minorHAnsi" w:hAnsiTheme="minorHAnsi" w:eastAsiaTheme="minorEastAsia"/>
        </w:rPr>
        <w:t>is the case with</w:t>
      </w:r>
      <w:r w:rsidRPr="00D75194">
        <w:rPr>
          <w:rFonts w:asciiTheme="minorHAnsi" w:hAnsiTheme="minorHAnsi" w:eastAsiaTheme="minorEastAsia"/>
        </w:rPr>
        <w:t xml:space="preserve"> LRI).</w:t>
      </w:r>
    </w:p>
    <w:tbl>
      <w:tblPr>
        <w:tblStyle w:val="TableGrid"/>
        <w:tblW w:w="0" w:type="auto"/>
        <w:tblLayout w:type="fixed"/>
        <w:tblLook w:val="0020" w:firstRow="1" w:lastRow="0" w:firstColumn="0" w:lastColumn="0" w:noHBand="0" w:noVBand="0"/>
      </w:tblPr>
      <w:tblGrid>
        <w:gridCol w:w="2126"/>
        <w:gridCol w:w="1970"/>
      </w:tblGrid>
      <w:tr w:rsidRPr="00D75194" w:rsidR="034899DF" w:rsidTr="47BA0144" w14:paraId="514DCFB4" w14:textId="77777777">
        <w:trPr>
          <w:trHeight w:val="300"/>
        </w:trPr>
        <w:tc>
          <w:tcPr>
            <w:tcW w:w="2126"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0D908F6E" w14:textId="0F5FEC1D">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2D4772">
              <w:rPr>
                <w:rFonts w:asciiTheme="minorHAnsi" w:hAnsiTheme="minorHAnsi" w:eastAsiaTheme="minorEastAsia"/>
                <w:b/>
                <w:bCs/>
                <w:color w:val="000000"/>
              </w:rPr>
              <w:t>category</w:t>
            </w:r>
          </w:p>
        </w:tc>
        <w:tc>
          <w:tcPr>
            <w:tcW w:w="197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24A29CEE" w14:textId="29802BCC">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69B61CE3" w14:textId="77777777">
        <w:trPr>
          <w:trHeight w:val="300"/>
        </w:trPr>
        <w:tc>
          <w:tcPr>
            <w:tcW w:w="2126"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7CEC51FB" w14:textId="20F94C7F">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197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27C66F9D" w14:textId="4AA266AD">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A66917" w14:paraId="1046AE52" w14:textId="77777777">
        <w:trPr>
          <w:trHeight w:val="300"/>
        </w:trPr>
        <w:tc>
          <w:tcPr>
            <w:tcW w:w="2126"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A0D2117" w14:textId="2C1BEB0A">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197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2A6D03BC" w14:textId="3CB7C83D">
            <w:pPr>
              <w:spacing w:before="36" w:after="36"/>
              <w:rPr>
                <w:rFonts w:asciiTheme="minorHAnsi" w:hAnsiTheme="minorHAnsi" w:eastAsiaTheme="minorEastAsia"/>
              </w:rPr>
            </w:pPr>
            <w:r w:rsidRPr="00D75194">
              <w:rPr>
                <w:rFonts w:asciiTheme="minorHAnsi" w:hAnsiTheme="minorHAnsi" w:eastAsiaTheme="minorEastAsia"/>
              </w:rPr>
              <w:t>In process</w:t>
            </w:r>
          </w:p>
        </w:tc>
      </w:tr>
      <w:tr w:rsidRPr="00D75194" w:rsidR="034899DF" w:rsidTr="00A66917" w14:paraId="77184A1D" w14:textId="77777777">
        <w:trPr>
          <w:trHeight w:val="300"/>
        </w:trPr>
        <w:tc>
          <w:tcPr>
            <w:tcW w:w="2126"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2E6B10B9" w14:textId="13C751A4">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2D4772">
              <w:rPr>
                <w:rFonts w:asciiTheme="minorHAnsi" w:hAnsiTheme="minorHAnsi" w:eastAsiaTheme="minorEastAsia"/>
                <w:b/>
                <w:bCs/>
              </w:rPr>
              <w:t>i</w:t>
            </w:r>
            <w:r w:rsidRPr="5DBB1966">
              <w:rPr>
                <w:rFonts w:asciiTheme="minorHAnsi" w:hAnsiTheme="minorHAnsi" w:eastAsiaTheme="minorEastAsia"/>
                <w:b/>
                <w:bCs/>
              </w:rPr>
              <w:t>mpact</w:t>
            </w:r>
          </w:p>
        </w:tc>
        <w:tc>
          <w:tcPr>
            <w:tcW w:w="197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7185C713" w14:textId="168E7C29">
            <w:pPr>
              <w:spacing w:before="36" w:after="36"/>
              <w:rPr>
                <w:rFonts w:asciiTheme="minorHAnsi" w:hAnsiTheme="minorHAnsi" w:eastAsiaTheme="minorEastAsia"/>
              </w:rPr>
            </w:pPr>
            <w:r w:rsidRPr="00D75194">
              <w:rPr>
                <w:rFonts w:asciiTheme="minorHAnsi" w:hAnsiTheme="minorHAnsi" w:eastAsiaTheme="minorEastAsia"/>
              </w:rPr>
              <w:t>High</w:t>
            </w:r>
          </w:p>
        </w:tc>
      </w:tr>
    </w:tbl>
    <w:p w:rsidRPr="00D75194" w:rsidR="685551F8" w:rsidP="47BA0144" w:rsidRDefault="49DB2CBC" w14:paraId="04161AB0" w14:textId="2457A8A9">
      <w:pPr>
        <w:spacing w:after="160" w:line="276" w:lineRule="auto"/>
        <w:rPr>
          <w:rFonts w:asciiTheme="minorHAnsi" w:hAnsiTheme="minorHAnsi" w:eastAsiaTheme="minorEastAsia"/>
        </w:rPr>
      </w:pPr>
      <w:r w:rsidRPr="00D75194">
        <w:rPr>
          <w:rFonts w:asciiTheme="minorHAnsi" w:hAnsiTheme="minorHAnsi" w:eastAsiaTheme="minorEastAsia"/>
        </w:rPr>
        <w:t xml:space="preserve"> </w:t>
      </w:r>
    </w:p>
    <w:p w:rsidRPr="00D75194" w:rsidR="685551F8" w:rsidP="00752569" w:rsidRDefault="49DB2CBC" w14:paraId="7C5055BD" w14:textId="217DA477">
      <w:pPr>
        <w:pStyle w:val="Heading2"/>
      </w:pPr>
      <w:bookmarkStart w:name="_Toc204780070" w:id="120"/>
      <w:bookmarkStart w:name="_Toc204796573" w:id="121"/>
      <w:bookmarkStart w:name="_Toc214452925" w:id="122"/>
      <w:r w:rsidRPr="00D75194">
        <w:t>Lesson 5: Knowledge-sharing, coordination, and learning need stronger systems</w:t>
      </w:r>
      <w:bookmarkEnd w:id="120"/>
      <w:bookmarkEnd w:id="121"/>
      <w:bookmarkEnd w:id="122"/>
    </w:p>
    <w:p w:rsidRPr="00D75194" w:rsidR="685551F8" w:rsidP="47BA0144" w:rsidRDefault="00D26A52" w14:paraId="1FDA5E07" w14:textId="7D422FFD">
      <w:pPr>
        <w:spacing w:before="180" w:after="180"/>
        <w:rPr>
          <w:rFonts w:asciiTheme="minorHAnsi" w:hAnsiTheme="minorHAnsi" w:eastAsiaTheme="minorEastAsia"/>
          <w:iCs/>
        </w:rPr>
      </w:pPr>
      <w:r w:rsidRPr="00D75194">
        <w:rPr>
          <w:rFonts w:asciiTheme="minorHAnsi" w:hAnsiTheme="minorHAnsi" w:eastAsiaTheme="minorEastAsia"/>
          <w:iCs/>
        </w:rPr>
        <w:t>TPs</w:t>
      </w:r>
      <w:r w:rsidRPr="00D75194" w:rsidR="49DB2CBC">
        <w:rPr>
          <w:rFonts w:asciiTheme="minorHAnsi" w:hAnsiTheme="minorHAnsi" w:eastAsiaTheme="minorEastAsia"/>
          <w:iCs/>
        </w:rPr>
        <w:t xml:space="preserve"> operate with autonomy, but clearer coordination and shared learning mechanisms would improve effectiveness and reduce duplication.</w:t>
      </w:r>
    </w:p>
    <w:p w:rsidRPr="00D75194" w:rsidR="685551F8" w:rsidP="47BA0144" w:rsidRDefault="49DB2CBC" w14:paraId="49E7EF0E" w14:textId="6F37E73B">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5.1: Require greater transparency from </w:t>
      </w:r>
      <w:r w:rsidRPr="00D75194" w:rsidR="001441DA">
        <w:rPr>
          <w:rFonts w:asciiTheme="minorHAnsi" w:hAnsiTheme="minorHAnsi" w:eastAsiaTheme="minorEastAsia"/>
          <w:b/>
          <w:bCs/>
        </w:rPr>
        <w:t>TPs</w:t>
      </w:r>
      <w:r w:rsidRPr="00D75194">
        <w:rPr>
          <w:rFonts w:asciiTheme="minorHAnsi" w:hAnsiTheme="minorHAnsi" w:eastAsiaTheme="minorEastAsia"/>
          <w:b/>
          <w:bCs/>
        </w:rPr>
        <w:t xml:space="preserve"> about other funding relationships with negotiating groups.</w:t>
      </w:r>
    </w:p>
    <w:p w:rsidRPr="00D75194" w:rsidR="685551F8" w:rsidP="47BA0144" w:rsidRDefault="49DB2CBC" w14:paraId="3AB00A26" w14:textId="6CF5811F">
      <w:pPr>
        <w:spacing w:before="180" w:after="180"/>
        <w:rPr>
          <w:rFonts w:asciiTheme="minorHAnsi" w:hAnsiTheme="minorHAnsi" w:eastAsiaTheme="minorEastAsia"/>
        </w:rPr>
      </w:pPr>
      <w:r w:rsidRPr="00D75194">
        <w:rPr>
          <w:rFonts w:asciiTheme="minorHAnsi" w:hAnsiTheme="minorHAnsi" w:eastAsiaTheme="minorEastAsia"/>
        </w:rPr>
        <w:t>To support coherence and avoid duplicating efforts, DESNZ should require all TPs to declare other major funding relationships with the groups they support, and to share basic summaries of any parallel workstreams. This would help DESNZ and other stakeholders see the full support landscape.</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75368FDE"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53D00CA9" w14:textId="5ED00A3F">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6332CF">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1E16414F" w14:textId="0160F310">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0C3F5A2C"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B5B7641" w14:textId="383E3DF2">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68B0D96C" w14:textId="3FA9F182">
            <w:pPr>
              <w:spacing w:before="36" w:after="36"/>
              <w:rPr>
                <w:rFonts w:asciiTheme="minorHAnsi" w:hAnsiTheme="minorHAnsi" w:eastAsiaTheme="minorEastAsia"/>
              </w:rPr>
            </w:pPr>
            <w:r w:rsidRPr="00D75194">
              <w:rPr>
                <w:rFonts w:asciiTheme="minorHAnsi" w:hAnsiTheme="minorHAnsi" w:eastAsiaTheme="minorEastAsia"/>
              </w:rPr>
              <w:t xml:space="preserve">Medium </w:t>
            </w:r>
          </w:p>
        </w:tc>
      </w:tr>
      <w:tr w:rsidRPr="00D75194" w:rsidR="034899DF" w:rsidTr="00A66917" w14:paraId="10B853D4"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1464260A" w14:textId="4E21C891">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26F13E35" w14:textId="5C00AD43">
            <w:pPr>
              <w:spacing w:before="36" w:after="36"/>
              <w:rPr>
                <w:rFonts w:asciiTheme="minorHAnsi" w:hAnsiTheme="minorHAnsi" w:eastAsiaTheme="minorEastAsia"/>
              </w:rPr>
            </w:pPr>
            <w:r w:rsidRPr="00D75194">
              <w:rPr>
                <w:rFonts w:asciiTheme="minorHAnsi" w:hAnsiTheme="minorHAnsi" w:eastAsiaTheme="minorEastAsia"/>
              </w:rPr>
              <w:t>New</w:t>
            </w:r>
          </w:p>
        </w:tc>
      </w:tr>
      <w:tr w:rsidRPr="00D75194" w:rsidR="034899DF" w:rsidTr="00A66917" w14:paraId="434CC0C0"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43B2228C" w14:textId="68FAA9B7">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6332CF">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42722D37" w14:textId="1D5CF831">
            <w:pPr>
              <w:spacing w:before="36" w:after="36"/>
              <w:rPr>
                <w:rFonts w:asciiTheme="minorHAnsi" w:hAnsiTheme="minorHAnsi" w:eastAsiaTheme="minorEastAsia"/>
              </w:rPr>
            </w:pPr>
            <w:r w:rsidRPr="00D75194">
              <w:rPr>
                <w:rFonts w:asciiTheme="minorHAnsi" w:hAnsiTheme="minorHAnsi" w:eastAsiaTheme="minorEastAsia"/>
              </w:rPr>
              <w:t xml:space="preserve">Medium </w:t>
            </w:r>
          </w:p>
        </w:tc>
      </w:tr>
    </w:tbl>
    <w:p w:rsidRPr="00D75194" w:rsidR="685551F8" w:rsidP="47BA0144" w:rsidRDefault="49DB2CBC" w14:paraId="4F377B05" w14:textId="550BB733">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5.2: Establish joint planning and regular coordination mechanisms among TPs supporting the same group. </w:t>
      </w:r>
    </w:p>
    <w:p w:rsidRPr="00D75194" w:rsidR="685551F8" w:rsidP="47BA0144" w:rsidRDefault="49DB2CBC" w14:paraId="4CCFDD97" w14:textId="1C524B0A">
      <w:pPr>
        <w:spacing w:before="180" w:after="180"/>
        <w:rPr>
          <w:rFonts w:asciiTheme="minorHAnsi" w:hAnsiTheme="minorHAnsi" w:eastAsiaTheme="minorEastAsia"/>
        </w:rPr>
      </w:pPr>
      <w:r w:rsidRPr="00D75194">
        <w:rPr>
          <w:rFonts w:asciiTheme="minorHAnsi" w:hAnsiTheme="minorHAnsi" w:eastAsiaTheme="minorEastAsia"/>
        </w:rPr>
        <w:t xml:space="preserve">DESNZ should require structured coordination (e.g. quarterly calls, annual retreats) and shared deliverables where multiple TPs support the same group. </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5CF977C9"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5506FAD7" w14:textId="455DB8CE">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D81EFA">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0E03CC8D" w14:textId="5567569F">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7C5608" w14:paraId="470E6B0F"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34931395" w14:textId="0691A02A">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121DBEED" w14:textId="58B6211F">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7C5608" w14:paraId="52076F94"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00C73FE" w14:textId="06AC704E">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92D050"/>
            <w:tcMar>
              <w:left w:w="108" w:type="dxa"/>
              <w:right w:w="108" w:type="dxa"/>
            </w:tcMar>
          </w:tcPr>
          <w:p w:rsidRPr="00D75194" w:rsidR="034899DF" w:rsidP="47BA0144" w:rsidRDefault="034899DF" w14:paraId="579C47AF" w14:textId="4EAEB90B">
            <w:pPr>
              <w:spacing w:before="36" w:after="36"/>
              <w:rPr>
                <w:rFonts w:asciiTheme="minorHAnsi" w:hAnsiTheme="minorHAnsi" w:eastAsiaTheme="minorEastAsia"/>
              </w:rPr>
            </w:pPr>
            <w:r w:rsidRPr="00D75194">
              <w:rPr>
                <w:rFonts w:asciiTheme="minorHAnsi" w:hAnsiTheme="minorHAnsi" w:eastAsiaTheme="minorEastAsia"/>
              </w:rPr>
              <w:t>Implement</w:t>
            </w:r>
            <w:r w:rsidRPr="00D75194" w:rsidR="00FB1616">
              <w:rPr>
                <w:rFonts w:asciiTheme="minorHAnsi" w:hAnsiTheme="minorHAnsi" w:eastAsiaTheme="minorEastAsia"/>
              </w:rPr>
              <w:t>ation</w:t>
            </w:r>
          </w:p>
        </w:tc>
      </w:tr>
      <w:tr w:rsidRPr="00D75194" w:rsidR="034899DF" w:rsidTr="007C5608" w14:paraId="66E9A9E7"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21B82086" w14:textId="6B12DB53">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AA2573">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4439EA00" w14:textId="22F6FFBB">
            <w:pPr>
              <w:spacing w:before="36" w:after="36"/>
              <w:rPr>
                <w:rFonts w:asciiTheme="minorHAnsi" w:hAnsiTheme="minorHAnsi" w:eastAsiaTheme="minorEastAsia"/>
              </w:rPr>
            </w:pPr>
            <w:r w:rsidRPr="00D75194">
              <w:rPr>
                <w:rFonts w:asciiTheme="minorHAnsi" w:hAnsiTheme="minorHAnsi" w:eastAsiaTheme="minorEastAsia"/>
              </w:rPr>
              <w:t>Medium</w:t>
            </w:r>
          </w:p>
        </w:tc>
      </w:tr>
    </w:tbl>
    <w:p w:rsidRPr="00D75194" w:rsidR="685551F8" w:rsidP="47BA0144" w:rsidRDefault="49DB2CBC" w14:paraId="3D3D46A8" w14:textId="22FCD7C9">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5.3: Improve documentation and internal knowledge-sharing, including on what works across negotiating groups and </w:t>
      </w:r>
      <w:r w:rsidRPr="00D75194" w:rsidR="00466C83">
        <w:rPr>
          <w:rFonts w:asciiTheme="minorHAnsi" w:hAnsiTheme="minorHAnsi" w:eastAsiaTheme="minorEastAsia"/>
          <w:b/>
          <w:bCs/>
        </w:rPr>
        <w:t xml:space="preserve">on </w:t>
      </w:r>
      <w:r w:rsidRPr="00D75194">
        <w:rPr>
          <w:rFonts w:asciiTheme="minorHAnsi" w:hAnsiTheme="minorHAnsi" w:eastAsiaTheme="minorEastAsia"/>
          <w:b/>
          <w:bCs/>
        </w:rPr>
        <w:t xml:space="preserve">how influence is achieved. </w:t>
      </w:r>
    </w:p>
    <w:p w:rsidRPr="00D75194" w:rsidR="685551F8" w:rsidP="47BA0144" w:rsidRDefault="49DB2CBC" w14:paraId="385FFA76" w14:textId="6E7FCE7A">
      <w:pPr>
        <w:spacing w:before="180" w:after="180"/>
        <w:rPr>
          <w:rFonts w:asciiTheme="minorHAnsi" w:hAnsiTheme="minorHAnsi" w:eastAsiaTheme="minorEastAsia"/>
        </w:rPr>
      </w:pPr>
      <w:r w:rsidRPr="00D75194">
        <w:rPr>
          <w:rFonts w:asciiTheme="minorHAnsi" w:hAnsiTheme="minorHAnsi" w:eastAsiaTheme="minorEastAsia"/>
        </w:rPr>
        <w:t>DESNZ should require a basic knowledge-sharing platform and regular cross-group learning events. Fund light curation and dissemination roles if necessary.</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1FA8CC6F"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1A461149" w14:textId="64AE672F">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3C6003">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2E5CACB7" w14:textId="1677868B">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54FD014A"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022FA430" w14:textId="2552570D">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66F03480" w14:textId="763C0808">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A66917" w14:paraId="7E3CB76A"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65E91986" w14:textId="25FC6407">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Pr="00D75194" w:rsidR="034899DF" w:rsidP="47BA0144" w:rsidRDefault="034899DF" w14:paraId="0F776429" w14:textId="06A40A52">
            <w:pPr>
              <w:spacing w:before="36" w:after="36"/>
              <w:rPr>
                <w:rFonts w:asciiTheme="minorHAnsi" w:hAnsiTheme="minorHAnsi" w:eastAsiaTheme="minorEastAsia"/>
              </w:rPr>
            </w:pPr>
            <w:r w:rsidRPr="00D75194">
              <w:rPr>
                <w:rFonts w:asciiTheme="minorHAnsi" w:hAnsiTheme="minorHAnsi" w:eastAsiaTheme="minorEastAsia"/>
              </w:rPr>
              <w:t>New</w:t>
            </w:r>
          </w:p>
        </w:tc>
      </w:tr>
      <w:tr w:rsidRPr="00D75194" w:rsidR="034899DF" w:rsidTr="00A66917" w14:paraId="29588607"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1AE10836" w14:textId="2A003F6D">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3C6003">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72DAEC21" w14:textId="676A3616">
            <w:pPr>
              <w:spacing w:before="36" w:after="36"/>
              <w:rPr>
                <w:rFonts w:asciiTheme="minorHAnsi" w:hAnsiTheme="minorHAnsi" w:eastAsiaTheme="minorEastAsia"/>
              </w:rPr>
            </w:pPr>
            <w:r w:rsidRPr="00D75194">
              <w:rPr>
                <w:rFonts w:asciiTheme="minorHAnsi" w:hAnsiTheme="minorHAnsi" w:eastAsiaTheme="minorEastAsia"/>
              </w:rPr>
              <w:t>Medium</w:t>
            </w:r>
          </w:p>
        </w:tc>
      </w:tr>
    </w:tbl>
    <w:p w:rsidRPr="00D75194" w:rsidR="685551F8" w:rsidP="47BA0144" w:rsidRDefault="49DB2CBC" w14:paraId="0F893367" w14:textId="6929C02B">
      <w:pPr>
        <w:spacing w:before="180" w:after="180"/>
        <w:rPr>
          <w:rFonts w:asciiTheme="minorHAnsi" w:hAnsiTheme="minorHAnsi" w:eastAsiaTheme="minorEastAsia"/>
          <w:b/>
          <w:bCs/>
        </w:rPr>
      </w:pPr>
      <w:r w:rsidRPr="00D75194">
        <w:rPr>
          <w:rFonts w:asciiTheme="minorHAnsi" w:hAnsiTheme="minorHAnsi" w:eastAsiaTheme="minorEastAsia"/>
          <w:b/>
          <w:bCs/>
        </w:rPr>
        <w:t xml:space="preserve">Recommendation 5.4: Integrate outcome-focused MEL and learning tools (e.g. outcome harvesting, contribution analysis, </w:t>
      </w:r>
      <w:r w:rsidRPr="00D75194" w:rsidR="00425D7E">
        <w:rPr>
          <w:rFonts w:asciiTheme="minorHAnsi" w:hAnsiTheme="minorHAnsi" w:eastAsiaTheme="minorEastAsia"/>
          <w:b/>
          <w:bCs/>
        </w:rPr>
        <w:t xml:space="preserve">level of effort </w:t>
      </w:r>
      <w:r w:rsidRPr="00D75194">
        <w:rPr>
          <w:rFonts w:asciiTheme="minorHAnsi" w:hAnsiTheme="minorHAnsi" w:eastAsiaTheme="minorEastAsia"/>
          <w:b/>
          <w:bCs/>
        </w:rPr>
        <w:t xml:space="preserve">tracking) into coordination systems. </w:t>
      </w:r>
    </w:p>
    <w:p w:rsidRPr="00D75194" w:rsidR="685551F8" w:rsidP="47BA0144" w:rsidRDefault="49DB2CBC" w14:paraId="36E1BC43" w14:textId="38482712">
      <w:pPr>
        <w:spacing w:before="180" w:after="180"/>
        <w:rPr>
          <w:rFonts w:asciiTheme="minorHAnsi" w:hAnsiTheme="minorHAnsi" w:eastAsiaTheme="minorEastAsia"/>
        </w:rPr>
      </w:pPr>
      <w:r w:rsidRPr="00D75194">
        <w:rPr>
          <w:rFonts w:asciiTheme="minorHAnsi" w:hAnsiTheme="minorHAnsi" w:eastAsiaTheme="minorEastAsia"/>
        </w:rPr>
        <w:t>DESNZ should require outcome reflection as part of quarterly TP meetings. Track and incentivise quality of learning contributions alongside formal indicators.</w:t>
      </w:r>
    </w:p>
    <w:tbl>
      <w:tblPr>
        <w:tblStyle w:val="TableGrid"/>
        <w:tblW w:w="0" w:type="auto"/>
        <w:tblLayout w:type="fixed"/>
        <w:tblLook w:val="0020" w:firstRow="1" w:lastRow="0" w:firstColumn="0" w:lastColumn="0" w:noHBand="0" w:noVBand="0"/>
      </w:tblPr>
      <w:tblGrid>
        <w:gridCol w:w="2365"/>
        <w:gridCol w:w="2190"/>
      </w:tblGrid>
      <w:tr w:rsidRPr="00D75194" w:rsidR="034899DF" w:rsidTr="47BA0144" w14:paraId="18E6101F" w14:textId="77777777">
        <w:trPr>
          <w:trHeight w:val="300"/>
        </w:trPr>
        <w:tc>
          <w:tcPr>
            <w:tcW w:w="236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7E112BFE" w14:textId="7AA051BE">
            <w:pPr>
              <w:spacing w:before="36" w:after="36"/>
              <w:rPr>
                <w:rFonts w:asciiTheme="minorHAnsi" w:hAnsiTheme="minorHAnsi" w:eastAsiaTheme="minorEastAsia"/>
                <w:b/>
                <w:bCs/>
                <w:color w:val="000000"/>
              </w:rPr>
            </w:pPr>
            <w:r w:rsidRPr="5DBB1966">
              <w:rPr>
                <w:rFonts w:asciiTheme="minorHAnsi" w:hAnsiTheme="minorHAnsi" w:eastAsiaTheme="minorEastAsia"/>
                <w:b/>
                <w:bCs/>
                <w:color w:val="000000"/>
              </w:rPr>
              <w:t xml:space="preserve">Rating </w:t>
            </w:r>
            <w:r w:rsidRPr="5DBB1966" w:rsidR="003449BF">
              <w:rPr>
                <w:rFonts w:asciiTheme="minorHAnsi" w:hAnsiTheme="minorHAnsi" w:eastAsiaTheme="minorEastAsia"/>
                <w:b/>
                <w:bCs/>
                <w:color w:val="000000"/>
              </w:rPr>
              <w:t>category</w:t>
            </w:r>
          </w:p>
        </w:tc>
        <w:tc>
          <w:tcPr>
            <w:tcW w:w="219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bottom"/>
          </w:tcPr>
          <w:p w:rsidRPr="00D75194" w:rsidR="034899DF" w:rsidP="47BA0144" w:rsidRDefault="034899DF" w14:paraId="29ACB8C8" w14:textId="0B88C502">
            <w:pPr>
              <w:spacing w:before="36" w:after="36"/>
              <w:rPr>
                <w:rFonts w:asciiTheme="minorHAnsi" w:hAnsiTheme="minorHAnsi" w:eastAsiaTheme="minorEastAsia"/>
                <w:b/>
                <w:bCs/>
                <w:color w:val="000000"/>
              </w:rPr>
            </w:pPr>
            <w:r w:rsidRPr="00D75194">
              <w:rPr>
                <w:rFonts w:asciiTheme="minorHAnsi" w:hAnsiTheme="minorHAnsi" w:eastAsiaTheme="minorEastAsia"/>
                <w:b/>
                <w:bCs/>
                <w:color w:val="000000"/>
              </w:rPr>
              <w:t>Rating</w:t>
            </w:r>
          </w:p>
        </w:tc>
      </w:tr>
      <w:tr w:rsidRPr="00D75194" w:rsidR="034899DF" w:rsidTr="00A66917" w14:paraId="246CC20A"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25DBFEC2" w14:textId="16D7E45F">
            <w:pPr>
              <w:spacing w:before="36" w:after="36"/>
              <w:rPr>
                <w:rFonts w:asciiTheme="minorHAnsi" w:hAnsiTheme="minorHAnsi" w:eastAsiaTheme="minorEastAsia"/>
                <w:b/>
                <w:bCs/>
              </w:rPr>
            </w:pPr>
            <w:r w:rsidRPr="00D75194">
              <w:rPr>
                <w:rFonts w:asciiTheme="minorHAnsi" w:hAnsiTheme="minorHAnsi" w:eastAsiaTheme="minorEastAsia"/>
                <w:b/>
                <w:bCs/>
              </w:rPr>
              <w:t>Priority</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67D85F07" w14:textId="0EE018AB">
            <w:pPr>
              <w:spacing w:before="36" w:after="36"/>
              <w:rPr>
                <w:rFonts w:asciiTheme="minorHAnsi" w:hAnsiTheme="minorHAnsi" w:eastAsiaTheme="minorEastAsia"/>
              </w:rPr>
            </w:pPr>
            <w:r w:rsidRPr="00D75194">
              <w:rPr>
                <w:rFonts w:asciiTheme="minorHAnsi" w:hAnsiTheme="minorHAnsi" w:eastAsiaTheme="minorEastAsia"/>
              </w:rPr>
              <w:t>Medium</w:t>
            </w:r>
          </w:p>
        </w:tc>
      </w:tr>
      <w:tr w:rsidRPr="00D75194" w:rsidR="034899DF" w:rsidTr="00A66917" w14:paraId="1BA9284F"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5EBF510C" w14:textId="07B511A3">
            <w:pPr>
              <w:spacing w:before="36" w:after="36"/>
              <w:rPr>
                <w:rFonts w:asciiTheme="minorHAnsi" w:hAnsiTheme="minorHAnsi" w:eastAsiaTheme="minorEastAsia"/>
                <w:b/>
                <w:bCs/>
              </w:rPr>
            </w:pPr>
            <w:r w:rsidRPr="00D75194">
              <w:rPr>
                <w:rFonts w:asciiTheme="minorHAnsi" w:hAnsiTheme="minorHAnsi" w:eastAsiaTheme="minorEastAsia"/>
                <w:b/>
                <w:bCs/>
              </w:rPr>
              <w:t>Status</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35128F1D" w14:textId="2CB0DD5A">
            <w:pPr>
              <w:spacing w:before="36" w:after="36"/>
              <w:rPr>
                <w:rFonts w:asciiTheme="minorHAnsi" w:hAnsiTheme="minorHAnsi" w:eastAsiaTheme="minorEastAsia"/>
              </w:rPr>
            </w:pPr>
            <w:r w:rsidRPr="00D75194">
              <w:rPr>
                <w:rFonts w:asciiTheme="minorHAnsi" w:hAnsiTheme="minorHAnsi" w:eastAsiaTheme="minorEastAsia"/>
              </w:rPr>
              <w:t>In process</w:t>
            </w:r>
          </w:p>
        </w:tc>
      </w:tr>
      <w:tr w:rsidRPr="00D75194" w:rsidR="034899DF" w:rsidTr="00A66917" w14:paraId="301A7920" w14:textId="77777777">
        <w:trPr>
          <w:trHeight w:val="300"/>
        </w:trPr>
        <w:tc>
          <w:tcPr>
            <w:tcW w:w="2365" w:type="dxa"/>
            <w:tcBorders>
              <w:top w:val="single" w:color="auto" w:sz="8" w:space="0"/>
              <w:left w:val="single" w:color="auto" w:sz="8" w:space="0"/>
              <w:bottom w:val="single" w:color="auto" w:sz="8" w:space="0"/>
              <w:right w:val="single" w:color="auto" w:sz="8" w:space="0"/>
            </w:tcBorders>
            <w:tcMar>
              <w:left w:w="108" w:type="dxa"/>
              <w:right w:w="108" w:type="dxa"/>
            </w:tcMar>
          </w:tcPr>
          <w:p w:rsidRPr="00D75194" w:rsidR="034899DF" w:rsidP="47BA0144" w:rsidRDefault="034899DF" w14:paraId="7966B059" w14:textId="3E65024F">
            <w:pPr>
              <w:spacing w:before="36" w:after="36"/>
              <w:rPr>
                <w:rFonts w:asciiTheme="minorHAnsi" w:hAnsiTheme="minorHAnsi" w:eastAsiaTheme="minorEastAsia"/>
                <w:b/>
                <w:bCs/>
              </w:rPr>
            </w:pPr>
            <w:r w:rsidRPr="00D75194">
              <w:rPr>
                <w:rFonts w:asciiTheme="minorHAnsi" w:hAnsiTheme="minorHAnsi" w:eastAsiaTheme="minorEastAsia"/>
                <w:b/>
                <w:bCs/>
              </w:rPr>
              <w:t xml:space="preserve">Potential </w:t>
            </w:r>
            <w:r w:rsidRPr="5DBB1966" w:rsidR="003449BF">
              <w:rPr>
                <w:rFonts w:asciiTheme="minorHAnsi" w:hAnsiTheme="minorHAnsi" w:eastAsiaTheme="minorEastAsia"/>
                <w:b/>
                <w:bCs/>
              </w:rPr>
              <w:t>i</w:t>
            </w:r>
            <w:r w:rsidRPr="5DBB1966">
              <w:rPr>
                <w:rFonts w:asciiTheme="minorHAnsi" w:hAnsiTheme="minorHAnsi" w:eastAsiaTheme="minorEastAsia"/>
                <w:b/>
                <w:bCs/>
              </w:rPr>
              <w:t>mpact</w:t>
            </w:r>
          </w:p>
        </w:tc>
        <w:tc>
          <w:tcPr>
            <w:tcW w:w="2190" w:type="dxa"/>
            <w:tcBorders>
              <w:top w:val="single" w:color="auto" w:sz="8" w:space="0"/>
              <w:left w:val="single" w:color="auto" w:sz="8" w:space="0"/>
              <w:bottom w:val="single" w:color="auto" w:sz="8" w:space="0"/>
              <w:right w:val="single" w:color="auto" w:sz="8" w:space="0"/>
            </w:tcBorders>
            <w:shd w:val="clear" w:color="auto" w:fill="FFC000"/>
            <w:tcMar>
              <w:left w:w="108" w:type="dxa"/>
              <w:right w:w="108" w:type="dxa"/>
            </w:tcMar>
          </w:tcPr>
          <w:p w:rsidRPr="00D75194" w:rsidR="034899DF" w:rsidP="47BA0144" w:rsidRDefault="034899DF" w14:paraId="21EF6B50" w14:textId="3591432A">
            <w:pPr>
              <w:spacing w:before="36" w:after="36"/>
              <w:rPr>
                <w:rFonts w:asciiTheme="minorHAnsi" w:hAnsiTheme="minorHAnsi" w:eastAsiaTheme="minorEastAsia"/>
              </w:rPr>
            </w:pPr>
            <w:r w:rsidRPr="00D75194">
              <w:rPr>
                <w:rFonts w:asciiTheme="minorHAnsi" w:hAnsiTheme="minorHAnsi" w:eastAsiaTheme="minorEastAsia"/>
              </w:rPr>
              <w:t>Medium</w:t>
            </w:r>
          </w:p>
        </w:tc>
      </w:tr>
    </w:tbl>
    <w:p w:rsidRPr="00D75194" w:rsidR="005661BA" w:rsidRDefault="005661BA" w14:paraId="25F974CB" w14:textId="4E88974F">
      <w:pPr>
        <w:spacing w:after="0"/>
        <w:jc w:val="left"/>
        <w:rPr>
          <w:rFonts w:asciiTheme="minorHAnsi" w:hAnsiTheme="minorHAnsi" w:eastAsiaTheme="minorEastAsia"/>
        </w:rPr>
      </w:pPr>
    </w:p>
    <w:p w:rsidRPr="00D75194" w:rsidR="005661BA" w:rsidRDefault="005661BA" w14:paraId="6921858B" w14:textId="77777777">
      <w:pPr>
        <w:spacing w:after="0"/>
        <w:jc w:val="left"/>
        <w:rPr>
          <w:rFonts w:asciiTheme="minorHAnsi" w:hAnsiTheme="minorHAnsi" w:eastAsiaTheme="minorEastAsia"/>
        </w:rPr>
      </w:pPr>
      <w:r w:rsidRPr="00D75194">
        <w:rPr>
          <w:rFonts w:asciiTheme="minorHAnsi" w:hAnsiTheme="minorHAnsi" w:eastAsiaTheme="minorEastAsia"/>
        </w:rPr>
        <w:br w:type="page"/>
      </w:r>
    </w:p>
    <w:p w:rsidRPr="00D75194" w:rsidR="3B673F75" w:rsidP="00B25887" w:rsidRDefault="001E2ADB" w14:paraId="1D5977BA" w14:textId="1025708F">
      <w:pPr>
        <w:pStyle w:val="Heading1"/>
        <w:numPr>
          <w:ilvl w:val="0"/>
          <w:numId w:val="0"/>
        </w:numPr>
        <w:ind w:left="851" w:hanging="851"/>
      </w:pPr>
      <w:bookmarkStart w:name="_Toc214452926" w:id="123"/>
      <w:r w:rsidRPr="00D75194">
        <w:t>References</w:t>
      </w:r>
      <w:bookmarkEnd w:id="123"/>
      <w:r w:rsidRPr="00D75194">
        <w:t xml:space="preserve"> </w:t>
      </w:r>
    </w:p>
    <w:p w:rsidRPr="00D75194" w:rsidR="008F1D12" w:rsidP="008F1D12" w:rsidRDefault="008F1D12" w14:paraId="3F6A71CA" w14:textId="23E925DA">
      <w:pPr>
        <w:rPr>
          <w:rFonts w:asciiTheme="minorHAnsi" w:hAnsiTheme="minorHAnsi"/>
        </w:rPr>
      </w:pPr>
      <w:r w:rsidRPr="5DBB1966">
        <w:rPr>
          <w:rFonts w:asciiTheme="minorHAnsi" w:hAnsiTheme="minorHAnsi"/>
        </w:rPr>
        <w:t xml:space="preserve">Acemoglu, D. and Robinson, J. (2012) </w:t>
      </w:r>
      <w:r w:rsidRPr="5DBB1966">
        <w:rPr>
          <w:rFonts w:asciiTheme="minorHAnsi" w:hAnsiTheme="minorHAnsi"/>
          <w:i/>
        </w:rPr>
        <w:t>Why Nations Fail: The Origins of Power, Prosperity, and Poverty</w:t>
      </w:r>
      <w:r w:rsidRPr="5DBB1966" w:rsidR="005D09CA">
        <w:rPr>
          <w:rFonts w:asciiTheme="minorHAnsi" w:hAnsiTheme="minorHAnsi"/>
        </w:rPr>
        <w:t>,</w:t>
      </w:r>
      <w:r w:rsidRPr="5DBB1966">
        <w:rPr>
          <w:rFonts w:asciiTheme="minorHAnsi" w:hAnsiTheme="minorHAnsi"/>
        </w:rPr>
        <w:t xml:space="preserve"> Crown Publishing</w:t>
      </w:r>
      <w:r w:rsidRPr="5DBB1966" w:rsidR="005D09CA">
        <w:rPr>
          <w:rFonts w:asciiTheme="minorHAnsi" w:hAnsiTheme="minorHAnsi"/>
        </w:rPr>
        <w:t>, New York</w:t>
      </w:r>
      <w:r w:rsidRPr="5DBB1966">
        <w:rPr>
          <w:rFonts w:asciiTheme="minorHAnsi" w:hAnsiTheme="minorHAnsi"/>
        </w:rPr>
        <w:t xml:space="preserve">. </w:t>
      </w:r>
    </w:p>
    <w:p w:rsidRPr="00D75194" w:rsidR="008F1D12" w:rsidP="008F1D12" w:rsidRDefault="008F1D12" w14:paraId="719C2075" w14:textId="2A3B5836">
      <w:pPr>
        <w:rPr>
          <w:rFonts w:eastAsia="Calibri" w:asciiTheme="minorHAnsi" w:hAnsiTheme="minorHAnsi"/>
        </w:rPr>
      </w:pPr>
      <w:r w:rsidRPr="5DBB1966">
        <w:rPr>
          <w:rFonts w:eastAsia="Calibri" w:asciiTheme="minorHAnsi" w:hAnsiTheme="minorHAnsi"/>
        </w:rPr>
        <w:t xml:space="preserve">Akmeemana, S., Booth, D., Brown, D., Cammack, D., Foresti, M. et al. (2014) </w:t>
      </w:r>
      <w:r w:rsidRPr="5DBB1966" w:rsidR="005D09CA">
        <w:rPr>
          <w:rFonts w:eastAsia="Calibri" w:asciiTheme="minorHAnsi" w:hAnsiTheme="minorHAnsi"/>
        </w:rPr>
        <w:t>‘</w:t>
      </w:r>
      <w:r w:rsidRPr="5DBB1966">
        <w:rPr>
          <w:rFonts w:eastAsia="Calibri" w:asciiTheme="minorHAnsi" w:hAnsiTheme="minorHAnsi"/>
        </w:rPr>
        <w:t xml:space="preserve">The case for thinking and working politically: the implications of </w:t>
      </w:r>
      <w:r w:rsidRPr="5DBB1966" w:rsidR="000C1AC6">
        <w:rPr>
          <w:rFonts w:eastAsia="Calibri" w:asciiTheme="minorHAnsi" w:hAnsiTheme="minorHAnsi"/>
        </w:rPr>
        <w:t>“</w:t>
      </w:r>
      <w:r w:rsidRPr="5DBB1966">
        <w:rPr>
          <w:rFonts w:eastAsia="Calibri" w:asciiTheme="minorHAnsi" w:hAnsiTheme="minorHAnsi"/>
        </w:rPr>
        <w:t>doing development differently</w:t>
      </w:r>
      <w:r w:rsidRPr="5DBB1966" w:rsidR="000C1AC6">
        <w:rPr>
          <w:rFonts w:eastAsia="Calibri" w:asciiTheme="minorHAnsi" w:hAnsiTheme="minorHAnsi"/>
        </w:rPr>
        <w:t>”</w:t>
      </w:r>
      <w:r w:rsidRPr="5DBB1966">
        <w:rPr>
          <w:rFonts w:eastAsia="Calibri" w:asciiTheme="minorHAnsi" w:hAnsiTheme="minorHAnsi"/>
        </w:rPr>
        <w:t>’</w:t>
      </w:r>
      <w:r w:rsidRPr="5DBB1966" w:rsidR="005D09CA">
        <w:rPr>
          <w:rFonts w:eastAsia="Calibri" w:asciiTheme="minorHAnsi" w:hAnsiTheme="minorHAnsi"/>
        </w:rPr>
        <w:t>,</w:t>
      </w:r>
      <w:r w:rsidRPr="5DBB1966">
        <w:rPr>
          <w:rFonts w:eastAsia="Calibri" w:asciiTheme="minorHAnsi" w:hAnsiTheme="minorHAnsi"/>
        </w:rPr>
        <w:t xml:space="preserve"> Doing Development Differently: the DDD Manifesto Community. </w:t>
      </w:r>
    </w:p>
    <w:p w:rsidRPr="00D75194" w:rsidR="008F1D12" w:rsidP="001B22C4" w:rsidRDefault="008F1D12" w14:paraId="0D960CB0" w14:textId="216AAD1E">
      <w:pPr>
        <w:rPr>
          <w:rFonts w:eastAsia="Calibri" w:asciiTheme="minorHAnsi" w:hAnsiTheme="minorHAnsi" w:cstheme="minorHAnsi"/>
        </w:rPr>
      </w:pPr>
      <w:r w:rsidRPr="00D75194">
        <w:rPr>
          <w:rFonts w:eastAsia="Calibri" w:asciiTheme="minorHAnsi" w:hAnsiTheme="minorHAnsi" w:cstheme="minorHAnsi"/>
        </w:rPr>
        <w:t>Booth, D. (2014</w:t>
      </w:r>
      <w:r w:rsidRPr="00D75194" w:rsidR="00FD124B">
        <w:rPr>
          <w:rFonts w:eastAsia="Calibri" w:asciiTheme="minorHAnsi" w:hAnsiTheme="minorHAnsi" w:cstheme="minorHAnsi"/>
        </w:rPr>
        <w:t>) ‘</w:t>
      </w:r>
      <w:r w:rsidRPr="00D75194">
        <w:rPr>
          <w:rFonts w:eastAsia="Calibri" w:asciiTheme="minorHAnsi" w:hAnsiTheme="minorHAnsi" w:cstheme="minorHAnsi"/>
        </w:rPr>
        <w:t xml:space="preserve">Aiding Institutional Reform in Developing Countries: </w:t>
      </w:r>
      <w:r w:rsidRPr="00D75194" w:rsidR="00FD124B">
        <w:rPr>
          <w:rFonts w:eastAsia="Calibri" w:asciiTheme="minorHAnsi" w:hAnsiTheme="minorHAnsi" w:cstheme="minorHAnsi"/>
        </w:rPr>
        <w:t>L</w:t>
      </w:r>
      <w:r w:rsidRPr="00D75194">
        <w:rPr>
          <w:rFonts w:eastAsia="Calibri" w:asciiTheme="minorHAnsi" w:hAnsiTheme="minorHAnsi" w:cstheme="minorHAnsi"/>
        </w:rPr>
        <w:t>essons from the Philippines on what works, what doesn’t and why</w:t>
      </w:r>
      <w:r w:rsidRPr="00D75194" w:rsidR="00FD124B">
        <w:rPr>
          <w:rFonts w:eastAsia="Calibri" w:asciiTheme="minorHAnsi" w:hAnsiTheme="minorHAnsi" w:cstheme="minorHAnsi"/>
        </w:rPr>
        <w:t xml:space="preserve">’, </w:t>
      </w:r>
      <w:r w:rsidRPr="00D75194">
        <w:rPr>
          <w:rFonts w:eastAsia="Calibri" w:asciiTheme="minorHAnsi" w:hAnsiTheme="minorHAnsi" w:cstheme="minorHAnsi"/>
          <w:i/>
        </w:rPr>
        <w:t>Working Politically in Practice Series, Case Study No 1</w:t>
      </w:r>
      <w:r w:rsidRPr="00D75194" w:rsidR="001B22C4">
        <w:rPr>
          <w:rFonts w:eastAsia="Calibri" w:asciiTheme="minorHAnsi" w:hAnsiTheme="minorHAnsi" w:cstheme="minorHAnsi"/>
        </w:rPr>
        <w:t>, ODI, London.</w:t>
      </w:r>
    </w:p>
    <w:p w:rsidRPr="00D75194" w:rsidR="008F1D12" w:rsidP="008F1D12" w:rsidRDefault="008F1D12" w14:paraId="507169DE" w14:textId="6CBB4A81">
      <w:pPr>
        <w:rPr>
          <w:rFonts w:asciiTheme="minorHAnsi" w:hAnsiTheme="minorHAnsi" w:cstheme="minorHAnsi"/>
        </w:rPr>
      </w:pPr>
      <w:r w:rsidRPr="00D75194">
        <w:rPr>
          <w:rFonts w:asciiTheme="minorHAnsi" w:hAnsiTheme="minorHAnsi" w:cstheme="minorHAnsi"/>
        </w:rPr>
        <w:t xml:space="preserve">Harari, Y.N. (2015) </w:t>
      </w:r>
      <w:r w:rsidRPr="00D75194">
        <w:rPr>
          <w:rFonts w:asciiTheme="minorHAnsi" w:hAnsiTheme="minorHAnsi" w:cstheme="minorHAnsi"/>
          <w:i/>
        </w:rPr>
        <w:t>Sapiens: A Brief History of Humankind</w:t>
      </w:r>
      <w:r w:rsidRPr="00D75194" w:rsidR="00D748AF">
        <w:rPr>
          <w:rFonts w:asciiTheme="minorHAnsi" w:hAnsiTheme="minorHAnsi" w:cstheme="minorHAnsi"/>
        </w:rPr>
        <w:t xml:space="preserve">, </w:t>
      </w:r>
      <w:r w:rsidRPr="00D75194">
        <w:rPr>
          <w:rFonts w:asciiTheme="minorHAnsi" w:hAnsiTheme="minorHAnsi" w:cstheme="minorHAnsi"/>
        </w:rPr>
        <w:t>Harper Collins</w:t>
      </w:r>
      <w:r w:rsidRPr="00D75194" w:rsidR="00D748AF">
        <w:rPr>
          <w:rFonts w:asciiTheme="minorHAnsi" w:hAnsiTheme="minorHAnsi" w:cstheme="minorHAnsi"/>
        </w:rPr>
        <w:t>, New York</w:t>
      </w:r>
      <w:r w:rsidRPr="00D75194">
        <w:rPr>
          <w:rFonts w:asciiTheme="minorHAnsi" w:hAnsiTheme="minorHAnsi" w:cstheme="minorHAnsi"/>
        </w:rPr>
        <w:t xml:space="preserve">. </w:t>
      </w:r>
    </w:p>
    <w:p w:rsidRPr="00D75194" w:rsidR="008F1D12" w:rsidP="008F1D12" w:rsidRDefault="008F1D12" w14:paraId="29F750C0" w14:textId="4B5A355A">
      <w:pPr>
        <w:rPr>
          <w:rFonts w:eastAsia="Calibri" w:asciiTheme="minorHAnsi" w:hAnsiTheme="minorHAnsi" w:cstheme="minorHAnsi"/>
        </w:rPr>
      </w:pPr>
      <w:r w:rsidRPr="00D75194">
        <w:rPr>
          <w:rFonts w:eastAsia="Calibri" w:asciiTheme="minorHAnsi" w:hAnsiTheme="minorHAnsi" w:cstheme="minorHAnsi"/>
        </w:rPr>
        <w:t>Meisel, N. and Ould Aoudia, J. (2008).</w:t>
      </w:r>
      <w:r w:rsidRPr="00D75194" w:rsidR="00B74CF6">
        <w:rPr>
          <w:rFonts w:eastAsia="Calibri" w:asciiTheme="minorHAnsi" w:hAnsiTheme="minorHAnsi" w:cstheme="minorHAnsi"/>
        </w:rPr>
        <w:t xml:space="preserve"> ‘I</w:t>
      </w:r>
      <w:r w:rsidRPr="00D75194">
        <w:rPr>
          <w:rFonts w:eastAsia="Calibri" w:asciiTheme="minorHAnsi" w:hAnsiTheme="minorHAnsi" w:cstheme="minorHAnsi"/>
        </w:rPr>
        <w:t xml:space="preserve">s </w:t>
      </w:r>
      <w:r w:rsidRPr="00D75194" w:rsidR="00B74CF6">
        <w:rPr>
          <w:rFonts w:eastAsia="Calibri" w:asciiTheme="minorHAnsi" w:hAnsiTheme="minorHAnsi" w:cstheme="minorHAnsi"/>
        </w:rPr>
        <w:t>“good governance” a good development strategy</w:t>
      </w:r>
      <w:r w:rsidRPr="00D75194">
        <w:rPr>
          <w:rFonts w:eastAsia="Calibri" w:asciiTheme="minorHAnsi" w:hAnsiTheme="minorHAnsi" w:cstheme="minorHAnsi"/>
        </w:rPr>
        <w:t>?</w:t>
      </w:r>
      <w:r w:rsidRPr="00D75194" w:rsidR="00B74CF6">
        <w:rPr>
          <w:rFonts w:eastAsia="Calibri" w:asciiTheme="minorHAnsi" w:hAnsiTheme="minorHAnsi" w:cstheme="minorHAnsi"/>
        </w:rPr>
        <w:t>’,</w:t>
      </w:r>
      <w:r w:rsidRPr="00D75194">
        <w:rPr>
          <w:rFonts w:eastAsia="Calibri" w:asciiTheme="minorHAnsi" w:hAnsiTheme="minorHAnsi" w:cstheme="minorHAnsi"/>
        </w:rPr>
        <w:t xml:space="preserve"> </w:t>
      </w:r>
      <w:r w:rsidRPr="00D75194">
        <w:rPr>
          <w:rFonts w:eastAsia="Calibri" w:asciiTheme="minorHAnsi" w:hAnsiTheme="minorHAnsi" w:cstheme="minorHAnsi"/>
          <w:i/>
        </w:rPr>
        <w:t>AFD Working Paper 58</w:t>
      </w:r>
      <w:r w:rsidRPr="00D75194" w:rsidR="00453B0B">
        <w:rPr>
          <w:rFonts w:eastAsia="Calibri" w:asciiTheme="minorHAnsi" w:hAnsiTheme="minorHAnsi" w:cstheme="minorHAnsi"/>
        </w:rPr>
        <w:t xml:space="preserve">, </w:t>
      </w:r>
      <w:r w:rsidRPr="00D75194">
        <w:rPr>
          <w:rFonts w:eastAsia="Calibri" w:asciiTheme="minorHAnsi" w:hAnsiTheme="minorHAnsi" w:cstheme="minorHAnsi"/>
        </w:rPr>
        <w:t>Agence Francaise de Développement</w:t>
      </w:r>
      <w:r w:rsidRPr="00D75194" w:rsidR="00453B0B">
        <w:rPr>
          <w:rFonts w:eastAsia="Calibri" w:asciiTheme="minorHAnsi" w:hAnsiTheme="minorHAnsi" w:cstheme="minorHAnsi"/>
        </w:rPr>
        <w:t xml:space="preserve">, Paris. </w:t>
      </w:r>
    </w:p>
    <w:p w:rsidRPr="00D75194" w:rsidR="008F1D12" w:rsidP="008F1D12" w:rsidRDefault="008F1D12" w14:paraId="0FE1AD32" w14:textId="18B74BCF">
      <w:pPr>
        <w:rPr>
          <w:rFonts w:eastAsia="Calibri" w:asciiTheme="minorHAnsi" w:hAnsiTheme="minorHAnsi" w:cstheme="minorHAnsi"/>
        </w:rPr>
      </w:pPr>
      <w:r w:rsidRPr="00D75194">
        <w:rPr>
          <w:rFonts w:eastAsia="Calibri" w:asciiTheme="minorHAnsi" w:hAnsiTheme="minorHAnsi" w:cstheme="minorHAnsi"/>
        </w:rPr>
        <w:t xml:space="preserve">North, D. (1990) </w:t>
      </w:r>
      <w:r w:rsidRPr="00D75194">
        <w:rPr>
          <w:rFonts w:eastAsia="Calibri" w:asciiTheme="minorHAnsi" w:hAnsiTheme="minorHAnsi" w:cstheme="minorHAnsi"/>
          <w:i/>
        </w:rPr>
        <w:t>Institutions, Institutional Change and Economic Performance</w:t>
      </w:r>
      <w:r w:rsidRPr="00D75194" w:rsidR="00453B0B">
        <w:rPr>
          <w:rFonts w:eastAsia="Calibri" w:asciiTheme="minorHAnsi" w:hAnsiTheme="minorHAnsi" w:cstheme="minorHAnsi"/>
        </w:rPr>
        <w:t xml:space="preserve">, </w:t>
      </w:r>
      <w:r w:rsidRPr="00D75194">
        <w:rPr>
          <w:rFonts w:eastAsia="Calibri" w:asciiTheme="minorHAnsi" w:hAnsiTheme="minorHAnsi" w:cstheme="minorHAnsi"/>
        </w:rPr>
        <w:t>Cambridge University Press</w:t>
      </w:r>
      <w:r w:rsidRPr="00D75194" w:rsidR="00453B0B">
        <w:rPr>
          <w:rFonts w:eastAsia="Calibri" w:asciiTheme="minorHAnsi" w:hAnsiTheme="minorHAnsi" w:cstheme="minorHAnsi"/>
        </w:rPr>
        <w:t>,</w:t>
      </w:r>
      <w:r w:rsidRPr="00D75194" w:rsidR="00453B0B">
        <w:t xml:space="preserve"> </w:t>
      </w:r>
      <w:r w:rsidRPr="00D75194" w:rsidR="00453B0B">
        <w:rPr>
          <w:rFonts w:eastAsia="Calibri" w:asciiTheme="minorHAnsi" w:hAnsiTheme="minorHAnsi" w:cstheme="minorHAnsi"/>
        </w:rPr>
        <w:t>New York, NY</w:t>
      </w:r>
      <w:r w:rsidRPr="00D75194">
        <w:rPr>
          <w:rFonts w:eastAsia="Calibri" w:asciiTheme="minorHAnsi" w:hAnsiTheme="minorHAnsi" w:cstheme="minorHAnsi"/>
        </w:rPr>
        <w:t xml:space="preserve">. </w:t>
      </w:r>
    </w:p>
    <w:p w:rsidRPr="00D75194" w:rsidR="008F1D12" w:rsidP="008F1D12" w:rsidRDefault="008F1D12" w14:paraId="5FBE09AA" w14:textId="636A8498">
      <w:pPr>
        <w:rPr>
          <w:rFonts w:asciiTheme="minorHAnsi" w:hAnsiTheme="minorHAnsi" w:cstheme="minorHAnsi"/>
        </w:rPr>
      </w:pPr>
      <w:r w:rsidRPr="00D75194">
        <w:rPr>
          <w:rFonts w:asciiTheme="minorHAnsi" w:hAnsiTheme="minorHAnsi" w:cstheme="minorHAnsi"/>
        </w:rPr>
        <w:t xml:space="preserve">North, D., Wallis, J.J., and Weingast, B.R. (2009) </w:t>
      </w:r>
      <w:r w:rsidRPr="00D75194">
        <w:rPr>
          <w:rFonts w:asciiTheme="minorHAnsi" w:hAnsiTheme="minorHAnsi" w:cstheme="minorHAnsi"/>
          <w:i/>
        </w:rPr>
        <w:t xml:space="preserve">Violence and Social Orders: A Conceptual </w:t>
      </w:r>
      <w:r w:rsidRPr="00D75194" w:rsidR="00E830BC">
        <w:rPr>
          <w:rFonts w:asciiTheme="minorHAnsi" w:hAnsiTheme="minorHAnsi" w:cstheme="minorHAnsi"/>
          <w:i/>
        </w:rPr>
        <w:t xml:space="preserve">Framework </w:t>
      </w:r>
      <w:r w:rsidRPr="00D75194">
        <w:rPr>
          <w:rFonts w:asciiTheme="minorHAnsi" w:hAnsiTheme="minorHAnsi" w:cstheme="minorHAnsi"/>
          <w:i/>
        </w:rPr>
        <w:t>for Interpreting Human History</w:t>
      </w:r>
      <w:r w:rsidRPr="00D75194" w:rsidR="00E830BC">
        <w:rPr>
          <w:rFonts w:asciiTheme="minorHAnsi" w:hAnsiTheme="minorHAnsi" w:cstheme="minorHAnsi"/>
        </w:rPr>
        <w:t xml:space="preserve">, </w:t>
      </w:r>
      <w:r w:rsidRPr="00D75194">
        <w:rPr>
          <w:rFonts w:asciiTheme="minorHAnsi" w:hAnsiTheme="minorHAnsi" w:cstheme="minorHAnsi"/>
        </w:rPr>
        <w:t>Cambridge University Press</w:t>
      </w:r>
      <w:r w:rsidRPr="00D75194" w:rsidR="00E830BC">
        <w:rPr>
          <w:rFonts w:asciiTheme="minorHAnsi" w:hAnsiTheme="minorHAnsi" w:cstheme="minorHAnsi"/>
        </w:rPr>
        <w:t>,</w:t>
      </w:r>
      <w:r w:rsidRPr="00D75194" w:rsidR="00E830BC">
        <w:t xml:space="preserve"> </w:t>
      </w:r>
      <w:r w:rsidRPr="00D75194" w:rsidR="00E830BC">
        <w:rPr>
          <w:rFonts w:asciiTheme="minorHAnsi" w:hAnsiTheme="minorHAnsi" w:cstheme="minorHAnsi"/>
        </w:rPr>
        <w:t>New York</w:t>
      </w:r>
      <w:r w:rsidRPr="00D75194">
        <w:rPr>
          <w:rFonts w:asciiTheme="minorHAnsi" w:hAnsiTheme="minorHAnsi" w:cstheme="minorHAnsi"/>
        </w:rPr>
        <w:t xml:space="preserve">. </w:t>
      </w:r>
    </w:p>
    <w:p w:rsidRPr="00D75194" w:rsidR="008F1D12" w:rsidP="008F1D12" w:rsidRDefault="008F1D12" w14:paraId="1885A8EF" w14:textId="4A1A7560">
      <w:pPr>
        <w:rPr>
          <w:rFonts w:asciiTheme="minorHAnsi" w:hAnsiTheme="minorHAnsi" w:cstheme="minorHAnsi"/>
        </w:rPr>
      </w:pPr>
      <w:r w:rsidRPr="00D75194">
        <w:rPr>
          <w:rFonts w:asciiTheme="minorHAnsi" w:hAnsiTheme="minorHAnsi" w:cstheme="minorHAnsi"/>
        </w:rPr>
        <w:t>World Bank (2017</w:t>
      </w:r>
      <w:r w:rsidRPr="00D75194" w:rsidR="00294C06">
        <w:rPr>
          <w:rFonts w:asciiTheme="minorHAnsi" w:hAnsiTheme="minorHAnsi" w:cstheme="minorHAnsi"/>
        </w:rPr>
        <w:t>) ‘</w:t>
      </w:r>
      <w:r w:rsidRPr="00060D5C">
        <w:rPr>
          <w:rFonts w:asciiTheme="minorHAnsi" w:hAnsiTheme="minorHAnsi" w:cstheme="minorHAnsi"/>
          <w:iCs/>
        </w:rPr>
        <w:t xml:space="preserve">World Development Report 2017: Governance and the </w:t>
      </w:r>
      <w:r w:rsidRPr="00D75194" w:rsidR="00294C06">
        <w:rPr>
          <w:rFonts w:asciiTheme="minorHAnsi" w:hAnsiTheme="minorHAnsi" w:cstheme="minorHAnsi"/>
          <w:iCs/>
        </w:rPr>
        <w:t>l</w:t>
      </w:r>
      <w:r w:rsidRPr="00060D5C" w:rsidR="00294C06">
        <w:rPr>
          <w:rFonts w:asciiTheme="minorHAnsi" w:hAnsiTheme="minorHAnsi" w:cstheme="minorHAnsi"/>
          <w:iCs/>
        </w:rPr>
        <w:t>aw</w:t>
      </w:r>
      <w:r w:rsidRPr="00D75194" w:rsidR="00294C06">
        <w:rPr>
          <w:rFonts w:asciiTheme="minorHAnsi" w:hAnsiTheme="minorHAnsi" w:cstheme="minorHAnsi"/>
        </w:rPr>
        <w:t xml:space="preserve">’, </w:t>
      </w:r>
      <w:r w:rsidRPr="00D75194">
        <w:rPr>
          <w:rFonts w:asciiTheme="minorHAnsi" w:hAnsiTheme="minorHAnsi" w:cstheme="minorHAnsi"/>
        </w:rPr>
        <w:t xml:space="preserve">Washington, DC. </w:t>
      </w:r>
    </w:p>
    <w:p w:rsidRPr="00D75194" w:rsidR="001E2ADB" w:rsidP="3B673F75" w:rsidRDefault="001E2ADB" w14:paraId="01C8C92A" w14:textId="77777777">
      <w:pPr>
        <w:spacing w:after="0"/>
        <w:rPr>
          <w:rFonts w:asciiTheme="minorHAnsi" w:hAnsiTheme="minorHAnsi" w:cstheme="minorHAnsi"/>
        </w:rPr>
      </w:pPr>
    </w:p>
    <w:p w:rsidRPr="00D75194" w:rsidR="001E2ADB" w:rsidP="3B673F75" w:rsidRDefault="001E2ADB" w14:paraId="5D1BB17A" w14:textId="77777777">
      <w:pPr>
        <w:spacing w:after="0"/>
        <w:rPr>
          <w:rFonts w:asciiTheme="minorHAnsi" w:hAnsiTheme="minorHAnsi" w:cstheme="minorHAnsi"/>
        </w:rPr>
      </w:pPr>
    </w:p>
    <w:p w:rsidRPr="00D75194" w:rsidR="003963A5" w:rsidP="3B673F75" w:rsidRDefault="003963A5" w14:paraId="6FC06F49" w14:textId="77777777">
      <w:pPr>
        <w:spacing w:after="0"/>
      </w:pPr>
    </w:p>
    <w:p w:rsidRPr="00D75194" w:rsidR="003963A5" w:rsidRDefault="003963A5" w14:paraId="2087ED56" w14:textId="19A8C79F">
      <w:pPr>
        <w:spacing w:after="0"/>
        <w:jc w:val="left"/>
      </w:pPr>
      <w:r w:rsidRPr="00D75194">
        <w:br w:type="page"/>
      </w:r>
    </w:p>
    <w:p w:rsidRPr="00D75194" w:rsidR="003963A5" w:rsidP="003963A5" w:rsidRDefault="003963A5" w14:paraId="7AFEEE42" w14:textId="5052A5F3">
      <w:pPr>
        <w:pStyle w:val="Heading1"/>
        <w:numPr>
          <w:ilvl w:val="0"/>
          <w:numId w:val="0"/>
        </w:numPr>
        <w:ind w:left="851" w:hanging="851"/>
      </w:pPr>
      <w:bookmarkStart w:name="_Toc214452927" w:id="124"/>
      <w:r w:rsidRPr="00D75194">
        <w:t xml:space="preserve">Annex I: Case </w:t>
      </w:r>
      <w:r w:rsidRPr="00D75194" w:rsidR="006C79FE">
        <w:t>s</w:t>
      </w:r>
      <w:r w:rsidRPr="00D75194">
        <w:t>tudies</w:t>
      </w:r>
      <w:bookmarkEnd w:id="124"/>
      <w:r w:rsidRPr="00D75194">
        <w:t xml:space="preserve"> </w:t>
      </w:r>
    </w:p>
    <w:p w:rsidRPr="00D75194" w:rsidR="003963A5" w:rsidP="3B673F75" w:rsidRDefault="003963A5" w14:paraId="082A5D23" w14:textId="77777777">
      <w:pPr>
        <w:spacing w:after="0"/>
      </w:pPr>
    </w:p>
    <w:p w:rsidRPr="00D75194" w:rsidR="003963A5" w:rsidP="3B673F75" w:rsidRDefault="003963A5" w14:paraId="2F906008" w14:textId="7DF8E3A7">
      <w:pPr>
        <w:spacing w:after="0"/>
      </w:pPr>
      <w:r w:rsidRPr="00D75194">
        <w:t>Attached separately</w:t>
      </w:r>
      <w:r w:rsidRPr="00D75194" w:rsidR="006C79FE">
        <w:t>.</w:t>
      </w:r>
      <w:r w:rsidRPr="00D75194">
        <w:t xml:space="preserve"> </w:t>
      </w:r>
    </w:p>
    <w:p w:rsidRPr="00D75194" w:rsidR="3B673F75" w:rsidP="3B673F75" w:rsidRDefault="3B673F75" w14:paraId="5FC05A81" w14:textId="7A63CB92">
      <w:pPr>
        <w:rPr>
          <w:b/>
          <w:bCs/>
        </w:rPr>
      </w:pPr>
    </w:p>
    <w:p w:rsidRPr="00D75194" w:rsidR="00FE55DC" w:rsidRDefault="00FE55DC" w14:paraId="2D650B14" w14:textId="3CCD5576">
      <w:pPr>
        <w:spacing w:after="0"/>
        <w:rPr>
          <w:b/>
          <w:bCs/>
          <w:u w:val="single"/>
        </w:rPr>
      </w:pPr>
      <w:r w:rsidRPr="00D75194">
        <w:rPr>
          <w:b/>
          <w:bCs/>
          <w:u w:val="single"/>
        </w:rPr>
        <w:br w:type="page"/>
      </w:r>
    </w:p>
    <w:p w:rsidRPr="00D75194" w:rsidR="00A10781" w:rsidP="00D75F4C" w:rsidRDefault="00FE55DC" w14:paraId="7A15099D" w14:textId="3FBC262E">
      <w:pPr>
        <w:pStyle w:val="Heading1"/>
        <w:numPr>
          <w:ilvl w:val="0"/>
          <w:numId w:val="0"/>
        </w:numPr>
        <w:ind w:left="851" w:hanging="851"/>
      </w:pPr>
      <w:bookmarkStart w:name="_Toc214452928" w:id="125"/>
      <w:r w:rsidRPr="00D75194">
        <w:t>Annex</w:t>
      </w:r>
      <w:r w:rsidRPr="00D75194" w:rsidR="003963A5">
        <w:t xml:space="preserve"> II</w:t>
      </w:r>
      <w:r w:rsidRPr="00D75194" w:rsidR="0011015A">
        <w:t xml:space="preserve">: </w:t>
      </w:r>
      <w:r w:rsidRPr="00D75194" w:rsidR="00AE2841">
        <w:t>Methodology</w:t>
      </w:r>
      <w:bookmarkEnd w:id="125"/>
    </w:p>
    <w:p w:rsidRPr="00D75194" w:rsidR="00E50C9D" w:rsidP="004D7A82" w:rsidRDefault="004D7A82" w14:paraId="0600F140" w14:textId="7578526B">
      <w:pPr>
        <w:pStyle w:val="Caption"/>
      </w:pPr>
      <w:bookmarkStart w:name="_Toc180599814" w:id="126"/>
      <w:bookmarkStart w:name="_Toc214453001" w:id="127"/>
      <w:r w:rsidRPr="00D75194">
        <w:t xml:space="preserve">Table </w:t>
      </w:r>
      <w:r w:rsidRPr="00D75194">
        <w:fldChar w:fldCharType="begin"/>
      </w:r>
      <w:r w:rsidRPr="00D75194">
        <w:instrText xml:space="preserve"> SEQ Table \* ARABIC </w:instrText>
      </w:r>
      <w:r w:rsidRPr="00D75194">
        <w:fldChar w:fldCharType="separate"/>
      </w:r>
      <w:r w:rsidRPr="00D75194">
        <w:t>12</w:t>
      </w:r>
      <w:r w:rsidRPr="00D75194">
        <w:fldChar w:fldCharType="end"/>
      </w:r>
      <w:r w:rsidRPr="00D75194" w:rsidR="00E50C9D">
        <w:t>:</w:t>
      </w:r>
      <w:r w:rsidRPr="00D75194" w:rsidR="003F4875">
        <w:t xml:space="preserve"> </w:t>
      </w:r>
      <w:r w:rsidRPr="00D75194" w:rsidR="00494461">
        <w:t>final evaluation</w:t>
      </w:r>
      <w:r w:rsidRPr="00D75194" w:rsidR="00E50C9D">
        <w:t xml:space="preserve"> sample framework and interviews completed</w:t>
      </w:r>
      <w:bookmarkEnd w:id="126"/>
      <w:bookmarkEnd w:id="127"/>
      <w:r w:rsidRPr="00D75194" w:rsidR="00E50C9D">
        <w:t xml:space="preserve"> </w:t>
      </w:r>
    </w:p>
    <w:tbl>
      <w:tblPr>
        <w:tblStyle w:val="TableGrid"/>
        <w:tblW w:w="5105" w:type="pct"/>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ook w:val="01E0" w:firstRow="1" w:lastRow="1" w:firstColumn="1" w:lastColumn="1" w:noHBand="0" w:noVBand="0"/>
      </w:tblPr>
      <w:tblGrid>
        <w:gridCol w:w="2577"/>
        <w:gridCol w:w="3524"/>
        <w:gridCol w:w="1996"/>
        <w:gridCol w:w="1964"/>
      </w:tblGrid>
      <w:tr w:rsidRPr="00D75194" w:rsidR="00055B73" w:rsidTr="00A81D67" w14:paraId="10A79CB0" w14:textId="77777777">
        <w:trPr>
          <w:trHeight w:val="362"/>
          <w:tblHeader/>
        </w:trPr>
        <w:tc>
          <w:tcPr>
            <w:tcW w:w="1280" w:type="pct"/>
            <w:shd w:val="clear" w:color="auto" w:fill="2B5A56" w:themeFill="accent5"/>
            <w:vAlign w:val="center"/>
          </w:tcPr>
          <w:p w:rsidRPr="00D75194" w:rsidR="00055B73" w:rsidRDefault="00055B73" w14:paraId="6D33DA92" w14:textId="419369B9">
            <w:pPr>
              <w:spacing w:before="60" w:after="60"/>
              <w:rPr>
                <w:rFonts w:eastAsia="Segoe UI" w:cs="Times New Roman"/>
                <w:b/>
                <w:bCs/>
                <w:color w:val="FFFFFF"/>
              </w:rPr>
            </w:pPr>
            <w:r w:rsidRPr="00D75194">
              <w:rPr>
                <w:rFonts w:eastAsia="Segoe UI" w:cs="Times New Roman"/>
                <w:b/>
                <w:bCs/>
                <w:color w:val="FFFFFF"/>
              </w:rPr>
              <w:t>Stakeholder</w:t>
            </w:r>
            <w:r w:rsidRPr="00D75194">
              <w:rPr>
                <w:rFonts w:eastAsia="Segoe UI" w:cs="Times New Roman"/>
                <w:b/>
                <w:bCs/>
                <w:color w:val="FFFFFF"/>
                <w:spacing w:val="-13"/>
              </w:rPr>
              <w:t xml:space="preserve"> </w:t>
            </w:r>
            <w:r w:rsidRPr="00D75194" w:rsidR="00E82EFF">
              <w:rPr>
                <w:rFonts w:eastAsia="Segoe UI" w:cs="Times New Roman"/>
                <w:b/>
                <w:bCs/>
                <w:color w:val="FFFFFF"/>
                <w:spacing w:val="-4"/>
              </w:rPr>
              <w:t>t</w:t>
            </w:r>
            <w:r w:rsidRPr="00D75194">
              <w:rPr>
                <w:rFonts w:eastAsia="Segoe UI" w:cs="Times New Roman"/>
                <w:b/>
                <w:bCs/>
                <w:color w:val="FFFFFF"/>
                <w:spacing w:val="-4"/>
              </w:rPr>
              <w:t>ype</w:t>
            </w:r>
          </w:p>
        </w:tc>
        <w:tc>
          <w:tcPr>
            <w:tcW w:w="1751" w:type="pct"/>
            <w:shd w:val="clear" w:color="auto" w:fill="2B5A56" w:themeFill="accent5"/>
            <w:vAlign w:val="center"/>
          </w:tcPr>
          <w:p w:rsidRPr="00D75194" w:rsidR="00055B73" w:rsidRDefault="00055B73" w14:paraId="79550753" w14:textId="4F4BABD5">
            <w:pPr>
              <w:spacing w:before="60" w:after="60"/>
              <w:rPr>
                <w:rFonts w:eastAsia="Segoe UI" w:cs="Times New Roman"/>
                <w:b/>
                <w:bCs/>
                <w:color w:val="FFFFFF"/>
              </w:rPr>
            </w:pPr>
            <w:r w:rsidRPr="00D75194">
              <w:rPr>
                <w:rFonts w:eastAsia="Segoe UI" w:cs="Times New Roman"/>
                <w:b/>
                <w:bCs/>
                <w:color w:val="FFFFFF"/>
              </w:rPr>
              <w:t>Interview</w:t>
            </w:r>
            <w:r w:rsidRPr="00D75194">
              <w:rPr>
                <w:rFonts w:eastAsia="Segoe UI" w:cs="Times New Roman"/>
                <w:b/>
                <w:bCs/>
                <w:color w:val="FFFFFF"/>
                <w:spacing w:val="-6"/>
              </w:rPr>
              <w:t xml:space="preserve"> </w:t>
            </w:r>
            <w:r w:rsidRPr="00D75194" w:rsidR="00E82EFF">
              <w:rPr>
                <w:rFonts w:eastAsia="Segoe UI" w:cs="Times New Roman"/>
                <w:b/>
                <w:bCs/>
                <w:color w:val="FFFFFF"/>
                <w:spacing w:val="-2"/>
              </w:rPr>
              <w:t>p</w:t>
            </w:r>
            <w:r w:rsidRPr="00D75194">
              <w:rPr>
                <w:rFonts w:eastAsia="Segoe UI" w:cs="Times New Roman"/>
                <w:b/>
                <w:bCs/>
                <w:color w:val="FFFFFF"/>
                <w:spacing w:val="-2"/>
              </w:rPr>
              <w:t>urpose</w:t>
            </w:r>
          </w:p>
        </w:tc>
        <w:tc>
          <w:tcPr>
            <w:tcW w:w="992" w:type="pct"/>
            <w:shd w:val="clear" w:color="auto" w:fill="2B5A56" w:themeFill="accent5"/>
            <w:vAlign w:val="center"/>
          </w:tcPr>
          <w:p w:rsidRPr="00D75194" w:rsidR="00055B73" w:rsidRDefault="00E82EFF" w14:paraId="7C5BAA02" w14:textId="55477E1E">
            <w:pPr>
              <w:spacing w:before="60" w:after="60"/>
              <w:jc w:val="center"/>
              <w:rPr>
                <w:rFonts w:eastAsia="Segoe UI" w:cs="Times New Roman"/>
                <w:b/>
                <w:bCs/>
                <w:color w:val="FFFFFF"/>
              </w:rPr>
            </w:pPr>
            <w:r w:rsidRPr="00D75194">
              <w:rPr>
                <w:rFonts w:eastAsia="Segoe UI" w:cs="Times New Roman"/>
                <w:b/>
                <w:bCs/>
                <w:color w:val="FFFFFF"/>
                <w:spacing w:val="-2"/>
              </w:rPr>
              <w:t>F</w:t>
            </w:r>
            <w:r w:rsidRPr="00D75194" w:rsidR="00494461">
              <w:rPr>
                <w:rFonts w:eastAsia="Segoe UI" w:cs="Times New Roman"/>
                <w:b/>
                <w:bCs/>
                <w:color w:val="FFFFFF"/>
                <w:spacing w:val="-2"/>
              </w:rPr>
              <w:t>inal evaluation</w:t>
            </w:r>
            <w:r w:rsidRPr="00D75194" w:rsidR="00055B73">
              <w:rPr>
                <w:rFonts w:eastAsia="Segoe UI" w:cs="Times New Roman"/>
                <w:b/>
                <w:color w:val="FFFFFF"/>
                <w:spacing w:val="-2"/>
              </w:rPr>
              <w:t xml:space="preserve"> </w:t>
            </w:r>
            <w:r w:rsidRPr="00D75194" w:rsidR="00B51BB8">
              <w:rPr>
                <w:rFonts w:eastAsia="Segoe UI" w:cs="Times New Roman"/>
                <w:b/>
                <w:color w:val="FFFFFF"/>
                <w:spacing w:val="-2"/>
              </w:rPr>
              <w:t>KII</w:t>
            </w:r>
            <w:r w:rsidRPr="00D75194" w:rsidR="00FD48DB">
              <w:rPr>
                <w:rFonts w:eastAsia="Segoe UI" w:cs="Times New Roman"/>
                <w:b/>
                <w:color w:val="FFFFFF"/>
                <w:spacing w:val="-2"/>
              </w:rPr>
              <w:t>s</w:t>
            </w:r>
            <w:r w:rsidRPr="00D75194" w:rsidR="00B51BB8">
              <w:rPr>
                <w:rFonts w:eastAsia="Segoe UI" w:cs="Times New Roman"/>
                <w:b/>
                <w:color w:val="FFFFFF"/>
                <w:spacing w:val="-2"/>
              </w:rPr>
              <w:t xml:space="preserve"> </w:t>
            </w:r>
            <w:r w:rsidRPr="00D75194">
              <w:rPr>
                <w:rFonts w:eastAsia="Segoe UI" w:cs="Times New Roman"/>
                <w:b/>
                <w:bCs/>
                <w:color w:val="FFFFFF"/>
                <w:spacing w:val="-2"/>
              </w:rPr>
              <w:t xml:space="preserve">target </w:t>
            </w:r>
          </w:p>
        </w:tc>
        <w:tc>
          <w:tcPr>
            <w:tcW w:w="976" w:type="pct"/>
            <w:shd w:val="clear" w:color="auto" w:fill="2B5A56" w:themeFill="accent5"/>
            <w:vAlign w:val="center"/>
          </w:tcPr>
          <w:p w:rsidRPr="00D75194" w:rsidR="00055B73" w:rsidRDefault="00FD48DB" w14:paraId="63961B71" w14:textId="32BE22C9">
            <w:pPr>
              <w:spacing w:before="60" w:after="60"/>
              <w:jc w:val="center"/>
              <w:rPr>
                <w:rFonts w:eastAsia="Segoe UI" w:cs="Times New Roman"/>
                <w:b/>
                <w:bCs/>
                <w:color w:val="FFFFFF"/>
              </w:rPr>
            </w:pPr>
            <w:r w:rsidRPr="00D75194">
              <w:rPr>
                <w:rFonts w:eastAsia="Segoe UI" w:cs="Times New Roman"/>
                <w:b/>
                <w:bCs/>
                <w:color w:val="FFFFFF"/>
              </w:rPr>
              <w:t>F</w:t>
            </w:r>
            <w:r w:rsidRPr="00D75194" w:rsidR="00494461">
              <w:rPr>
                <w:rFonts w:eastAsia="Segoe UI" w:cs="Times New Roman"/>
                <w:b/>
                <w:bCs/>
                <w:color w:val="FFFFFF"/>
              </w:rPr>
              <w:t>inal evaluation</w:t>
            </w:r>
            <w:r w:rsidRPr="00D75194" w:rsidR="00055B73">
              <w:rPr>
                <w:rFonts w:eastAsia="Segoe UI" w:cs="Times New Roman"/>
                <w:b/>
                <w:bCs/>
                <w:color w:val="FFFFFF"/>
              </w:rPr>
              <w:t xml:space="preserve"> </w:t>
            </w:r>
            <w:r w:rsidRPr="00D75194" w:rsidR="008B6F8C">
              <w:rPr>
                <w:rFonts w:eastAsia="Segoe UI" w:cs="Times New Roman"/>
                <w:b/>
                <w:bCs/>
                <w:color w:val="FFFFFF"/>
              </w:rPr>
              <w:t xml:space="preserve">KIIs </w:t>
            </w:r>
            <w:r w:rsidRPr="00D75194" w:rsidR="00055B73">
              <w:rPr>
                <w:rFonts w:eastAsia="Segoe UI" w:cs="Times New Roman"/>
                <w:b/>
                <w:bCs/>
                <w:color w:val="FFFFFF"/>
              </w:rPr>
              <w:t>completed</w:t>
            </w:r>
          </w:p>
        </w:tc>
      </w:tr>
      <w:tr w:rsidRPr="00D75194" w:rsidR="00055B73" w:rsidTr="008B6F8C" w14:paraId="37BB26EE" w14:textId="77777777">
        <w:trPr>
          <w:trHeight w:val="870"/>
        </w:trPr>
        <w:tc>
          <w:tcPr>
            <w:tcW w:w="1280" w:type="pct"/>
            <w:vAlign w:val="center"/>
          </w:tcPr>
          <w:p w:rsidRPr="00D75194" w:rsidR="00055B73" w:rsidRDefault="00055B73" w14:paraId="07FCB4E2" w14:textId="77777777">
            <w:pPr>
              <w:spacing w:before="60" w:after="60"/>
              <w:rPr>
                <w:rFonts w:eastAsia="Segoe UI" w:cs="Times New Roman"/>
                <w:sz w:val="18"/>
                <w:szCs w:val="18"/>
              </w:rPr>
            </w:pPr>
            <w:r w:rsidRPr="00D75194">
              <w:rPr>
                <w:rFonts w:eastAsia="Segoe UI" w:cs="Times New Roman"/>
                <w:sz w:val="18"/>
                <w:szCs w:val="18"/>
              </w:rPr>
              <w:t>Historic</w:t>
            </w:r>
            <w:r w:rsidRPr="00D75194">
              <w:rPr>
                <w:rFonts w:eastAsia="Segoe UI" w:cs="Times New Roman"/>
                <w:spacing w:val="-12"/>
                <w:sz w:val="18"/>
                <w:szCs w:val="18"/>
              </w:rPr>
              <w:t xml:space="preserve"> </w:t>
            </w:r>
            <w:r w:rsidRPr="00D75194">
              <w:rPr>
                <w:rFonts w:eastAsia="Segoe UI" w:cs="Times New Roman"/>
                <w:sz w:val="18"/>
                <w:szCs w:val="18"/>
              </w:rPr>
              <w:t>beneficiaries</w:t>
            </w:r>
            <w:r w:rsidRPr="00D75194">
              <w:rPr>
                <w:rFonts w:eastAsia="Segoe UI" w:cs="Times New Roman"/>
                <w:spacing w:val="-16"/>
                <w:sz w:val="18"/>
                <w:szCs w:val="18"/>
              </w:rPr>
              <w:t xml:space="preserve"> </w:t>
            </w:r>
            <w:r w:rsidRPr="00D75194">
              <w:rPr>
                <w:rFonts w:eastAsia="Segoe UI" w:cs="Times New Roman"/>
                <w:sz w:val="18"/>
                <w:szCs w:val="18"/>
              </w:rPr>
              <w:t>of UK</w:t>
            </w:r>
            <w:r w:rsidRPr="00D75194">
              <w:rPr>
                <w:rFonts w:eastAsia="Segoe UI" w:cs="Times New Roman"/>
                <w:spacing w:val="-13"/>
                <w:sz w:val="18"/>
                <w:szCs w:val="18"/>
              </w:rPr>
              <w:t xml:space="preserve"> </w:t>
            </w:r>
            <w:r w:rsidRPr="00D75194">
              <w:rPr>
                <w:rFonts w:eastAsia="Segoe UI" w:cs="Times New Roman"/>
                <w:sz w:val="18"/>
                <w:szCs w:val="18"/>
              </w:rPr>
              <w:t>support</w:t>
            </w:r>
            <w:r w:rsidRPr="00D75194">
              <w:rPr>
                <w:rFonts w:eastAsia="Segoe UI" w:cs="Times New Roman"/>
                <w:spacing w:val="-13"/>
                <w:sz w:val="18"/>
                <w:szCs w:val="18"/>
              </w:rPr>
              <w:t xml:space="preserve"> </w:t>
            </w:r>
            <w:r w:rsidRPr="00D75194">
              <w:rPr>
                <w:rFonts w:eastAsia="Segoe UI" w:cs="Times New Roman"/>
                <w:sz w:val="18"/>
                <w:szCs w:val="18"/>
              </w:rPr>
              <w:t>(i.e.</w:t>
            </w:r>
            <w:r w:rsidRPr="00D75194">
              <w:rPr>
                <w:rFonts w:eastAsia="Segoe UI" w:cs="Times New Roman"/>
                <w:spacing w:val="-13"/>
                <w:sz w:val="18"/>
                <w:szCs w:val="18"/>
              </w:rPr>
              <w:t xml:space="preserve"> </w:t>
            </w:r>
            <w:r w:rsidRPr="00D75194">
              <w:rPr>
                <w:rFonts w:eastAsia="Segoe UI" w:cs="Times New Roman"/>
                <w:sz w:val="18"/>
                <w:szCs w:val="18"/>
              </w:rPr>
              <w:t xml:space="preserve">climate </w:t>
            </w:r>
            <w:r w:rsidRPr="00D75194">
              <w:rPr>
                <w:rFonts w:eastAsia="Segoe UI" w:cs="Times New Roman"/>
                <w:spacing w:val="-2"/>
                <w:sz w:val="18"/>
                <w:szCs w:val="18"/>
              </w:rPr>
              <w:t>negotiators)</w:t>
            </w:r>
          </w:p>
        </w:tc>
        <w:tc>
          <w:tcPr>
            <w:tcW w:w="1751" w:type="pct"/>
            <w:vAlign w:val="center"/>
          </w:tcPr>
          <w:p w:rsidRPr="00D75194" w:rsidR="00055B73" w:rsidRDefault="00055B73" w14:paraId="04B3E59F" w14:textId="43494359">
            <w:pPr>
              <w:spacing w:before="60" w:after="60"/>
              <w:rPr>
                <w:rFonts w:eastAsia="Segoe UI" w:cs="Times New Roman"/>
                <w:sz w:val="18"/>
                <w:szCs w:val="18"/>
              </w:rPr>
            </w:pPr>
            <w:r w:rsidRPr="00D75194">
              <w:rPr>
                <w:rFonts w:eastAsia="Segoe UI" w:cs="Times New Roman"/>
                <w:sz w:val="18"/>
                <w:szCs w:val="18"/>
              </w:rPr>
              <w:t>Generate</w:t>
            </w:r>
            <w:r w:rsidRPr="00D75194">
              <w:rPr>
                <w:rFonts w:eastAsia="Segoe UI" w:cs="Times New Roman"/>
                <w:spacing w:val="-4"/>
                <w:sz w:val="18"/>
                <w:szCs w:val="18"/>
              </w:rPr>
              <w:t xml:space="preserve"> </w:t>
            </w:r>
            <w:r w:rsidRPr="00D75194">
              <w:rPr>
                <w:rFonts w:eastAsia="Segoe UI" w:cs="Times New Roman"/>
                <w:sz w:val="18"/>
                <w:szCs w:val="18"/>
              </w:rPr>
              <w:t>results</w:t>
            </w:r>
            <w:r w:rsidRPr="00D75194">
              <w:rPr>
                <w:rFonts w:eastAsia="Segoe UI" w:cs="Times New Roman"/>
                <w:spacing w:val="-9"/>
                <w:sz w:val="18"/>
                <w:szCs w:val="18"/>
              </w:rPr>
              <w:t xml:space="preserve"> </w:t>
            </w:r>
            <w:r w:rsidRPr="00D75194">
              <w:rPr>
                <w:rFonts w:eastAsia="Segoe UI" w:cs="Times New Roman"/>
                <w:sz w:val="18"/>
                <w:szCs w:val="18"/>
              </w:rPr>
              <w:t>evidence</w:t>
            </w:r>
            <w:r w:rsidRPr="00D75194">
              <w:rPr>
                <w:rFonts w:eastAsia="Segoe UI" w:cs="Times New Roman"/>
                <w:spacing w:val="-7"/>
                <w:sz w:val="18"/>
                <w:szCs w:val="18"/>
              </w:rPr>
              <w:t xml:space="preserve"> </w:t>
            </w:r>
            <w:r w:rsidRPr="00D75194">
              <w:rPr>
                <w:rFonts w:eastAsia="Segoe UI" w:cs="Times New Roman"/>
                <w:sz w:val="18"/>
                <w:szCs w:val="18"/>
              </w:rPr>
              <w:t>for</w:t>
            </w:r>
            <w:r w:rsidRPr="00D75194">
              <w:rPr>
                <w:rFonts w:eastAsia="Segoe UI" w:cs="Times New Roman"/>
                <w:spacing w:val="-11"/>
                <w:sz w:val="18"/>
                <w:szCs w:val="18"/>
              </w:rPr>
              <w:t xml:space="preserve"> </w:t>
            </w:r>
            <w:r w:rsidRPr="00D75194">
              <w:rPr>
                <w:rFonts w:eastAsia="Segoe UI" w:cs="Times New Roman"/>
                <w:sz w:val="18"/>
                <w:szCs w:val="18"/>
              </w:rPr>
              <w:t>historic</w:t>
            </w:r>
            <w:r w:rsidRPr="00D75194">
              <w:rPr>
                <w:rFonts w:eastAsia="Segoe UI" w:cs="Times New Roman"/>
                <w:spacing w:val="-9"/>
                <w:sz w:val="18"/>
                <w:szCs w:val="18"/>
              </w:rPr>
              <w:t xml:space="preserve"> </w:t>
            </w:r>
            <w:r w:rsidRPr="00D75194">
              <w:rPr>
                <w:rFonts w:eastAsia="Segoe UI" w:cs="Times New Roman"/>
                <w:sz w:val="18"/>
                <w:szCs w:val="18"/>
              </w:rPr>
              <w:t>programmes</w:t>
            </w:r>
            <w:r w:rsidRPr="00D75194">
              <w:rPr>
                <w:rFonts w:eastAsia="Segoe UI" w:cs="Times New Roman"/>
                <w:spacing w:val="-12"/>
                <w:sz w:val="18"/>
                <w:szCs w:val="18"/>
              </w:rPr>
              <w:t xml:space="preserve"> </w:t>
            </w:r>
            <w:r w:rsidRPr="00D75194">
              <w:rPr>
                <w:rFonts w:eastAsia="Segoe UI" w:cs="Times New Roman"/>
                <w:sz w:val="18"/>
                <w:szCs w:val="18"/>
              </w:rPr>
              <w:t>and</w:t>
            </w:r>
            <w:r w:rsidRPr="00D75194">
              <w:rPr>
                <w:rFonts w:eastAsia="Segoe UI" w:cs="Times New Roman"/>
                <w:spacing w:val="-7"/>
                <w:sz w:val="18"/>
                <w:szCs w:val="18"/>
              </w:rPr>
              <w:t xml:space="preserve"> </w:t>
            </w:r>
            <w:r w:rsidRPr="00D75194">
              <w:rPr>
                <w:rFonts w:eastAsia="Segoe UI" w:cs="Times New Roman"/>
                <w:sz w:val="18"/>
                <w:szCs w:val="18"/>
              </w:rPr>
              <w:t>compare</w:t>
            </w:r>
            <w:r w:rsidRPr="00D75194">
              <w:rPr>
                <w:rFonts w:eastAsia="Segoe UI" w:cs="Times New Roman"/>
                <w:spacing w:val="-7"/>
                <w:sz w:val="18"/>
                <w:szCs w:val="18"/>
              </w:rPr>
              <w:t xml:space="preserve"> </w:t>
            </w:r>
            <w:r w:rsidRPr="00D75194">
              <w:rPr>
                <w:rFonts w:eastAsia="Segoe UI" w:cs="Times New Roman"/>
                <w:sz w:val="18"/>
                <w:szCs w:val="18"/>
              </w:rPr>
              <w:t>with</w:t>
            </w:r>
            <w:r w:rsidRPr="00D75194">
              <w:rPr>
                <w:rFonts w:eastAsia="Segoe UI" w:cs="Times New Roman"/>
                <w:spacing w:val="-7"/>
                <w:sz w:val="18"/>
                <w:szCs w:val="18"/>
              </w:rPr>
              <w:t xml:space="preserve"> </w:t>
            </w:r>
            <w:r w:rsidRPr="00D75194">
              <w:rPr>
                <w:rFonts w:eastAsia="Segoe UI" w:cs="Times New Roman"/>
                <w:sz w:val="18"/>
                <w:szCs w:val="18"/>
              </w:rPr>
              <w:t>experience</w:t>
            </w:r>
            <w:r w:rsidRPr="00D75194">
              <w:rPr>
                <w:rFonts w:eastAsia="Segoe UI" w:cs="Times New Roman"/>
                <w:spacing w:val="-7"/>
                <w:sz w:val="18"/>
                <w:szCs w:val="18"/>
              </w:rPr>
              <w:t xml:space="preserve"> </w:t>
            </w:r>
            <w:r w:rsidRPr="00D75194">
              <w:rPr>
                <w:rFonts w:eastAsia="Segoe UI" w:cs="Times New Roman"/>
                <w:sz w:val="18"/>
                <w:szCs w:val="18"/>
              </w:rPr>
              <w:t>of current CASA beneficiaries</w:t>
            </w:r>
          </w:p>
        </w:tc>
        <w:tc>
          <w:tcPr>
            <w:tcW w:w="992" w:type="pct"/>
            <w:vAlign w:val="center"/>
          </w:tcPr>
          <w:p w:rsidRPr="00D75194" w:rsidR="00055B73" w:rsidRDefault="00055B73" w14:paraId="4044875E" w14:textId="2F7955EF">
            <w:pPr>
              <w:spacing w:before="60" w:after="60"/>
              <w:jc w:val="center"/>
              <w:rPr>
                <w:rFonts w:eastAsia="Segoe UI" w:cs="Times New Roman"/>
                <w:sz w:val="18"/>
                <w:szCs w:val="18"/>
              </w:rPr>
            </w:pPr>
            <w:r w:rsidRPr="00D75194">
              <w:rPr>
                <w:rFonts w:eastAsia="Segoe UI" w:cs="Times New Roman"/>
                <w:sz w:val="18"/>
                <w:szCs w:val="18"/>
              </w:rPr>
              <w:t>10</w:t>
            </w:r>
          </w:p>
        </w:tc>
        <w:tc>
          <w:tcPr>
            <w:tcW w:w="976" w:type="pct"/>
            <w:vAlign w:val="center"/>
          </w:tcPr>
          <w:p w:rsidRPr="00D75194" w:rsidR="00055B73" w:rsidP="00497C5D" w:rsidRDefault="00055B73" w14:paraId="2009EC4E" w14:textId="4C7B364A">
            <w:pPr>
              <w:spacing w:before="60" w:after="60"/>
              <w:jc w:val="center"/>
              <w:rPr>
                <w:rFonts w:eastAsia="Segoe UI" w:cs="Times New Roman"/>
                <w:spacing w:val="-5"/>
                <w:sz w:val="18"/>
                <w:szCs w:val="18"/>
              </w:rPr>
            </w:pPr>
            <w:r w:rsidRPr="00D75194">
              <w:rPr>
                <w:rFonts w:eastAsia="Segoe UI" w:cs="Times New Roman"/>
                <w:spacing w:val="-5"/>
                <w:sz w:val="18"/>
                <w:szCs w:val="18"/>
              </w:rPr>
              <w:t>0</w:t>
            </w:r>
          </w:p>
        </w:tc>
      </w:tr>
      <w:tr w:rsidRPr="00D75194" w:rsidR="00055B73" w:rsidTr="008B6F8C" w14:paraId="08FBDC20" w14:textId="77777777">
        <w:trPr>
          <w:trHeight w:val="846"/>
        </w:trPr>
        <w:tc>
          <w:tcPr>
            <w:tcW w:w="1280" w:type="pct"/>
            <w:shd w:val="clear" w:color="auto" w:fill="EBF1F0" w:themeFill="background2"/>
            <w:vAlign w:val="center"/>
          </w:tcPr>
          <w:p w:rsidRPr="00D75194" w:rsidR="00055B73" w:rsidRDefault="00055B73" w14:paraId="21D153F3" w14:textId="5FF6E013">
            <w:pPr>
              <w:spacing w:before="60" w:after="60"/>
              <w:rPr>
                <w:rFonts w:eastAsia="Segoe UI" w:cs="Times New Roman"/>
                <w:sz w:val="18"/>
                <w:szCs w:val="18"/>
              </w:rPr>
            </w:pPr>
            <w:r w:rsidRPr="00D75194">
              <w:rPr>
                <w:rFonts w:eastAsia="Segoe UI" w:cs="Times New Roman"/>
                <w:sz w:val="18"/>
                <w:szCs w:val="18"/>
              </w:rPr>
              <w:t>CASA</w:t>
            </w:r>
            <w:r w:rsidRPr="00D75194">
              <w:rPr>
                <w:rFonts w:eastAsia="Segoe UI" w:cs="Times New Roman"/>
                <w:spacing w:val="-15"/>
                <w:sz w:val="18"/>
                <w:szCs w:val="18"/>
              </w:rPr>
              <w:t xml:space="preserve"> </w:t>
            </w:r>
            <w:r w:rsidRPr="00D75194" w:rsidR="00DB40BA">
              <w:rPr>
                <w:rFonts w:eastAsia="Segoe UI" w:cs="Times New Roman"/>
                <w:sz w:val="18"/>
                <w:szCs w:val="18"/>
              </w:rPr>
              <w:t>P</w:t>
            </w:r>
            <w:r w:rsidRPr="00D75194">
              <w:rPr>
                <w:rFonts w:eastAsia="Segoe UI" w:cs="Times New Roman"/>
                <w:sz w:val="18"/>
                <w:szCs w:val="18"/>
              </w:rPr>
              <w:t>hase</w:t>
            </w:r>
            <w:r w:rsidRPr="00D75194">
              <w:rPr>
                <w:rFonts w:eastAsia="Segoe UI" w:cs="Times New Roman"/>
                <w:spacing w:val="-11"/>
                <w:sz w:val="18"/>
                <w:szCs w:val="18"/>
              </w:rPr>
              <w:t xml:space="preserve"> </w:t>
            </w:r>
            <w:r w:rsidRPr="00D75194" w:rsidR="00DB40BA">
              <w:rPr>
                <w:rFonts w:eastAsia="Segoe UI" w:cs="Times New Roman"/>
                <w:spacing w:val="-11"/>
                <w:sz w:val="18"/>
                <w:szCs w:val="18"/>
              </w:rPr>
              <w:t xml:space="preserve">II </w:t>
            </w:r>
            <w:r w:rsidRPr="00D75194">
              <w:rPr>
                <w:rFonts w:eastAsia="Segoe UI" w:cs="Times New Roman"/>
                <w:sz w:val="18"/>
                <w:szCs w:val="18"/>
              </w:rPr>
              <w:t xml:space="preserve">delivery </w:t>
            </w:r>
            <w:r w:rsidRPr="00D75194">
              <w:rPr>
                <w:rFonts w:eastAsia="Segoe UI" w:cs="Times New Roman"/>
                <w:spacing w:val="-2"/>
                <w:sz w:val="18"/>
                <w:szCs w:val="18"/>
              </w:rPr>
              <w:t>partners (DAI, TPs, and additional sub-contractors)</w:t>
            </w:r>
          </w:p>
        </w:tc>
        <w:tc>
          <w:tcPr>
            <w:tcW w:w="1751" w:type="pct"/>
            <w:shd w:val="clear" w:color="auto" w:fill="EBF1F0" w:themeFill="background2"/>
            <w:vAlign w:val="center"/>
          </w:tcPr>
          <w:p w:rsidRPr="00D75194" w:rsidR="00055B73" w:rsidRDefault="00055B73" w14:paraId="768E62CC" w14:textId="1CFF12AB">
            <w:pPr>
              <w:spacing w:before="60" w:after="60"/>
              <w:rPr>
                <w:rFonts w:eastAsia="Segoe UI" w:cs="Times New Roman"/>
                <w:sz w:val="18"/>
                <w:szCs w:val="18"/>
              </w:rPr>
            </w:pPr>
            <w:r w:rsidRPr="00D75194">
              <w:rPr>
                <w:rFonts w:eastAsia="Segoe UI" w:cs="Times New Roman"/>
                <w:sz w:val="18"/>
                <w:szCs w:val="18"/>
              </w:rPr>
              <w:t>Provide</w:t>
            </w:r>
            <w:r w:rsidRPr="00D75194">
              <w:rPr>
                <w:rFonts w:eastAsia="Segoe UI" w:cs="Times New Roman"/>
                <w:spacing w:val="-9"/>
                <w:sz w:val="18"/>
                <w:szCs w:val="18"/>
              </w:rPr>
              <w:t xml:space="preserve"> </w:t>
            </w:r>
            <w:r w:rsidRPr="00D75194">
              <w:rPr>
                <w:rFonts w:eastAsia="Segoe UI" w:cs="Times New Roman"/>
                <w:sz w:val="18"/>
                <w:szCs w:val="18"/>
              </w:rPr>
              <w:t>overview</w:t>
            </w:r>
            <w:r w:rsidRPr="00D75194">
              <w:rPr>
                <w:rFonts w:eastAsia="Segoe UI" w:cs="Times New Roman"/>
                <w:spacing w:val="-15"/>
                <w:sz w:val="18"/>
                <w:szCs w:val="18"/>
              </w:rPr>
              <w:t xml:space="preserve"> </w:t>
            </w:r>
            <w:r w:rsidRPr="00D75194">
              <w:rPr>
                <w:rFonts w:eastAsia="Segoe UI" w:cs="Times New Roman"/>
                <w:sz w:val="18"/>
                <w:szCs w:val="18"/>
              </w:rPr>
              <w:t>of</w:t>
            </w:r>
            <w:r w:rsidRPr="00D75194">
              <w:rPr>
                <w:rFonts w:eastAsia="Segoe UI" w:cs="Times New Roman"/>
                <w:spacing w:val="-9"/>
                <w:sz w:val="18"/>
                <w:szCs w:val="18"/>
              </w:rPr>
              <w:t xml:space="preserve"> </w:t>
            </w:r>
            <w:r w:rsidRPr="00D75194">
              <w:rPr>
                <w:rFonts w:eastAsia="Segoe UI" w:cs="Times New Roman"/>
                <w:sz w:val="18"/>
                <w:szCs w:val="18"/>
              </w:rPr>
              <w:t>current</w:t>
            </w:r>
            <w:r w:rsidRPr="00D75194">
              <w:rPr>
                <w:rFonts w:eastAsia="Segoe UI" w:cs="Times New Roman"/>
                <w:spacing w:val="-9"/>
                <w:sz w:val="18"/>
                <w:szCs w:val="18"/>
              </w:rPr>
              <w:t xml:space="preserve"> </w:t>
            </w:r>
            <w:r w:rsidRPr="00D75194">
              <w:rPr>
                <w:rFonts w:eastAsia="Segoe UI" w:cs="Times New Roman"/>
                <w:sz w:val="18"/>
                <w:szCs w:val="18"/>
              </w:rPr>
              <w:t>implementation phase,</w:t>
            </w:r>
            <w:r w:rsidRPr="00D75194">
              <w:rPr>
                <w:rFonts w:eastAsia="Segoe UI" w:cs="Times New Roman"/>
                <w:spacing w:val="-9"/>
                <w:sz w:val="18"/>
                <w:szCs w:val="18"/>
              </w:rPr>
              <w:t xml:space="preserve"> </w:t>
            </w:r>
            <w:r w:rsidRPr="00D75194">
              <w:rPr>
                <w:rFonts w:eastAsia="Segoe UI" w:cs="Times New Roman"/>
                <w:sz w:val="18"/>
                <w:szCs w:val="18"/>
              </w:rPr>
              <w:t>including</w:t>
            </w:r>
            <w:r w:rsidRPr="00D75194">
              <w:rPr>
                <w:rFonts w:eastAsia="Segoe UI" w:cs="Times New Roman"/>
                <w:spacing w:val="-5"/>
                <w:sz w:val="18"/>
                <w:szCs w:val="18"/>
              </w:rPr>
              <w:t xml:space="preserve"> </w:t>
            </w:r>
            <w:r w:rsidRPr="00D75194">
              <w:rPr>
                <w:rFonts w:eastAsia="Segoe UI" w:cs="Times New Roman"/>
                <w:sz w:val="18"/>
                <w:szCs w:val="18"/>
              </w:rPr>
              <w:t>results</w:t>
            </w:r>
            <w:r w:rsidRPr="00D75194">
              <w:rPr>
                <w:rFonts w:eastAsia="Segoe UI" w:cs="Times New Roman"/>
                <w:spacing w:val="-10"/>
                <w:sz w:val="18"/>
                <w:szCs w:val="18"/>
              </w:rPr>
              <w:t xml:space="preserve"> </w:t>
            </w:r>
            <w:r w:rsidRPr="00D75194">
              <w:rPr>
                <w:rFonts w:eastAsia="Segoe UI" w:cs="Times New Roman"/>
                <w:sz w:val="18"/>
                <w:szCs w:val="18"/>
              </w:rPr>
              <w:t>achievement,</w:t>
            </w:r>
            <w:r w:rsidRPr="00D75194">
              <w:rPr>
                <w:rFonts w:eastAsia="Segoe UI" w:cs="Times New Roman"/>
                <w:spacing w:val="-5"/>
                <w:sz w:val="18"/>
                <w:szCs w:val="18"/>
              </w:rPr>
              <w:t xml:space="preserve"> </w:t>
            </w:r>
            <w:r w:rsidRPr="00D75194">
              <w:rPr>
                <w:rFonts w:eastAsia="Segoe UI" w:cs="Times New Roman"/>
                <w:sz w:val="18"/>
                <w:szCs w:val="18"/>
              </w:rPr>
              <w:t>challenges, and programme adaptations</w:t>
            </w:r>
          </w:p>
        </w:tc>
        <w:tc>
          <w:tcPr>
            <w:tcW w:w="992" w:type="pct"/>
            <w:shd w:val="clear" w:color="auto" w:fill="EBF1F0" w:themeFill="background2"/>
            <w:vAlign w:val="center"/>
          </w:tcPr>
          <w:p w:rsidRPr="00D75194" w:rsidR="00055B73" w:rsidRDefault="00055B73" w14:paraId="4195E3A4" w14:textId="2A932380">
            <w:pPr>
              <w:spacing w:before="60" w:after="60"/>
              <w:jc w:val="center"/>
              <w:rPr>
                <w:rFonts w:eastAsia="Segoe UI" w:cs="Times New Roman"/>
                <w:sz w:val="18"/>
                <w:szCs w:val="18"/>
              </w:rPr>
            </w:pPr>
            <w:r w:rsidRPr="00D75194">
              <w:rPr>
                <w:rFonts w:eastAsia="Segoe UI" w:cs="Times New Roman"/>
                <w:sz w:val="18"/>
                <w:szCs w:val="18"/>
              </w:rPr>
              <w:t>15</w:t>
            </w:r>
          </w:p>
        </w:tc>
        <w:tc>
          <w:tcPr>
            <w:tcW w:w="976" w:type="pct"/>
            <w:shd w:val="clear" w:color="auto" w:fill="EBF1F0" w:themeFill="background2"/>
            <w:vAlign w:val="center"/>
          </w:tcPr>
          <w:p w:rsidRPr="00D75194" w:rsidR="00055B73" w:rsidP="00497C5D" w:rsidRDefault="00055B73" w14:paraId="2E4ADC8D" w14:textId="4D1D1012">
            <w:pPr>
              <w:spacing w:before="60" w:after="60"/>
              <w:jc w:val="center"/>
              <w:rPr>
                <w:rFonts w:eastAsia="Segoe UI" w:cs="Times New Roman"/>
                <w:sz w:val="18"/>
                <w:szCs w:val="18"/>
              </w:rPr>
            </w:pPr>
            <w:r w:rsidRPr="00D75194">
              <w:rPr>
                <w:rFonts w:eastAsia="Segoe UI" w:cs="Times New Roman"/>
                <w:sz w:val="18"/>
                <w:szCs w:val="18"/>
              </w:rPr>
              <w:t>2</w:t>
            </w:r>
            <w:r w:rsidRPr="00D75194" w:rsidR="00BA134A">
              <w:rPr>
                <w:rFonts w:eastAsia="Segoe UI" w:cs="Times New Roman"/>
                <w:sz w:val="18"/>
                <w:szCs w:val="18"/>
              </w:rPr>
              <w:t>7</w:t>
            </w:r>
          </w:p>
        </w:tc>
      </w:tr>
      <w:tr w:rsidRPr="00D75194" w:rsidR="00055B73" w:rsidTr="008B6F8C" w14:paraId="51A40242" w14:textId="77777777">
        <w:trPr>
          <w:trHeight w:val="865"/>
        </w:trPr>
        <w:tc>
          <w:tcPr>
            <w:tcW w:w="1280" w:type="pct"/>
            <w:vAlign w:val="center"/>
          </w:tcPr>
          <w:p w:rsidRPr="00D75194" w:rsidR="00055B73" w:rsidRDefault="00055B73" w14:paraId="4138755E" w14:textId="3A0C59D3">
            <w:pPr>
              <w:spacing w:before="60" w:after="60"/>
              <w:rPr>
                <w:rFonts w:eastAsia="Segoe UI" w:cs="Times New Roman"/>
                <w:sz w:val="18"/>
                <w:szCs w:val="18"/>
              </w:rPr>
            </w:pPr>
            <w:r w:rsidRPr="00D75194">
              <w:rPr>
                <w:rFonts w:eastAsia="Segoe UI" w:cs="Times New Roman"/>
                <w:sz w:val="18"/>
                <w:szCs w:val="18"/>
              </w:rPr>
              <w:t>CASA</w:t>
            </w:r>
            <w:r w:rsidRPr="00D75194">
              <w:rPr>
                <w:rFonts w:eastAsia="Segoe UI" w:cs="Times New Roman"/>
                <w:spacing w:val="-15"/>
                <w:sz w:val="18"/>
                <w:szCs w:val="18"/>
              </w:rPr>
              <w:t xml:space="preserve"> </w:t>
            </w:r>
            <w:r w:rsidRPr="00D75194" w:rsidR="00E06889">
              <w:rPr>
                <w:rFonts w:eastAsia="Segoe UI" w:cs="Times New Roman"/>
                <w:sz w:val="18"/>
                <w:szCs w:val="18"/>
              </w:rPr>
              <w:t>P</w:t>
            </w:r>
            <w:r w:rsidRPr="00D75194">
              <w:rPr>
                <w:rFonts w:eastAsia="Segoe UI" w:cs="Times New Roman"/>
                <w:sz w:val="18"/>
                <w:szCs w:val="18"/>
              </w:rPr>
              <w:t>hase</w:t>
            </w:r>
            <w:r w:rsidRPr="00D75194">
              <w:rPr>
                <w:rFonts w:eastAsia="Segoe UI" w:cs="Times New Roman"/>
                <w:spacing w:val="-11"/>
                <w:sz w:val="18"/>
                <w:szCs w:val="18"/>
              </w:rPr>
              <w:t xml:space="preserve"> </w:t>
            </w:r>
            <w:r w:rsidRPr="00D75194" w:rsidR="00E06889">
              <w:rPr>
                <w:rFonts w:eastAsia="Segoe UI" w:cs="Times New Roman"/>
                <w:spacing w:val="-11"/>
                <w:sz w:val="18"/>
                <w:szCs w:val="18"/>
              </w:rPr>
              <w:t xml:space="preserve">II </w:t>
            </w:r>
            <w:r w:rsidRPr="00D75194">
              <w:rPr>
                <w:rFonts w:eastAsia="Segoe UI" w:cs="Times New Roman"/>
                <w:sz w:val="18"/>
                <w:szCs w:val="18"/>
              </w:rPr>
              <w:t>beneficiaries (i.e.</w:t>
            </w:r>
            <w:r w:rsidRPr="00D75194">
              <w:rPr>
                <w:rFonts w:eastAsia="Segoe UI" w:cs="Times New Roman"/>
                <w:spacing w:val="-1"/>
                <w:sz w:val="18"/>
                <w:szCs w:val="18"/>
              </w:rPr>
              <w:t xml:space="preserve"> </w:t>
            </w:r>
            <w:r w:rsidRPr="00D75194">
              <w:rPr>
                <w:rFonts w:eastAsia="Segoe UI" w:cs="Times New Roman"/>
                <w:sz w:val="18"/>
                <w:szCs w:val="18"/>
              </w:rPr>
              <w:t>LDC</w:t>
            </w:r>
            <w:r w:rsidR="00060D5C">
              <w:rPr>
                <w:rFonts w:eastAsia="Segoe UI" w:cs="Times New Roman"/>
                <w:sz w:val="18"/>
                <w:szCs w:val="18"/>
              </w:rPr>
              <w:t xml:space="preserve"> </w:t>
            </w:r>
            <w:r w:rsidR="12482B04">
              <w:rPr>
                <w:rFonts w:eastAsia="Segoe UI" w:cs="Times New Roman"/>
                <w:sz w:val="18"/>
                <w:szCs w:val="18"/>
              </w:rPr>
              <w:t>G</w:t>
            </w:r>
            <w:r w:rsidR="00060D5C">
              <w:rPr>
                <w:rFonts w:eastAsia="Segoe UI" w:cs="Times New Roman"/>
                <w:sz w:val="18"/>
                <w:szCs w:val="18"/>
              </w:rPr>
              <w:t>roup</w:t>
            </w:r>
            <w:r w:rsidRPr="00D75194">
              <w:rPr>
                <w:rFonts w:eastAsia="Segoe UI" w:cs="Times New Roman"/>
                <w:sz w:val="18"/>
                <w:szCs w:val="18"/>
              </w:rPr>
              <w:t>,</w:t>
            </w:r>
            <w:r w:rsidRPr="00D75194">
              <w:rPr>
                <w:rFonts w:eastAsia="Segoe UI" w:cs="Times New Roman"/>
                <w:spacing w:val="-2"/>
                <w:sz w:val="18"/>
                <w:szCs w:val="18"/>
              </w:rPr>
              <w:t xml:space="preserve"> </w:t>
            </w:r>
            <w:r w:rsidRPr="00D75194">
              <w:rPr>
                <w:rFonts w:eastAsia="Segoe UI" w:cs="Times New Roman"/>
                <w:sz w:val="18"/>
                <w:szCs w:val="18"/>
              </w:rPr>
              <w:t>AOSIS</w:t>
            </w:r>
            <w:r w:rsidRPr="00D75194" w:rsidR="00A41F06">
              <w:rPr>
                <w:rFonts w:eastAsia="Segoe UI" w:cs="Times New Roman"/>
                <w:sz w:val="18"/>
                <w:szCs w:val="18"/>
              </w:rPr>
              <w:t>,</w:t>
            </w:r>
            <w:r w:rsidRPr="00D75194">
              <w:rPr>
                <w:rFonts w:eastAsia="Segoe UI" w:cs="Times New Roman"/>
                <w:sz w:val="18"/>
                <w:szCs w:val="18"/>
              </w:rPr>
              <w:t xml:space="preserve"> and HAC negotiators, including Africa-based negotiators funded directly to attend COP28; a mix of senior and junior beneficiaries)</w:t>
            </w:r>
          </w:p>
        </w:tc>
        <w:tc>
          <w:tcPr>
            <w:tcW w:w="1751" w:type="pct"/>
            <w:vAlign w:val="center"/>
          </w:tcPr>
          <w:p w:rsidRPr="00D75194" w:rsidR="00055B73" w:rsidRDefault="00055B73" w14:paraId="2DFB6467" w14:textId="6D3C41F2">
            <w:pPr>
              <w:spacing w:before="60" w:after="60"/>
              <w:rPr>
                <w:rFonts w:eastAsia="Segoe UI" w:cs="Times New Roman"/>
                <w:sz w:val="18"/>
                <w:szCs w:val="18"/>
              </w:rPr>
            </w:pPr>
            <w:r w:rsidRPr="00D75194">
              <w:rPr>
                <w:rFonts w:eastAsia="Segoe UI" w:cs="Times New Roman"/>
                <w:sz w:val="18"/>
                <w:szCs w:val="18"/>
              </w:rPr>
              <w:t>Generate</w:t>
            </w:r>
            <w:r w:rsidRPr="00D75194">
              <w:rPr>
                <w:rFonts w:eastAsia="Segoe UI" w:cs="Times New Roman"/>
                <w:spacing w:val="-2"/>
                <w:sz w:val="18"/>
                <w:szCs w:val="18"/>
              </w:rPr>
              <w:t xml:space="preserve"> </w:t>
            </w:r>
            <w:r w:rsidRPr="00D75194">
              <w:rPr>
                <w:rFonts w:eastAsia="Segoe UI" w:cs="Times New Roman"/>
                <w:sz w:val="18"/>
                <w:szCs w:val="18"/>
              </w:rPr>
              <w:t>results</w:t>
            </w:r>
            <w:r w:rsidRPr="00D75194">
              <w:rPr>
                <w:rFonts w:eastAsia="Segoe UI" w:cs="Times New Roman"/>
                <w:spacing w:val="-7"/>
                <w:sz w:val="18"/>
                <w:szCs w:val="18"/>
              </w:rPr>
              <w:t xml:space="preserve"> </w:t>
            </w:r>
            <w:r w:rsidRPr="00D75194">
              <w:rPr>
                <w:rFonts w:eastAsia="Segoe UI" w:cs="Times New Roman"/>
                <w:sz w:val="18"/>
                <w:szCs w:val="18"/>
              </w:rPr>
              <w:t>evidence</w:t>
            </w:r>
            <w:r w:rsidRPr="00D75194">
              <w:rPr>
                <w:rFonts w:eastAsia="Segoe UI" w:cs="Times New Roman"/>
                <w:spacing w:val="-5"/>
                <w:sz w:val="18"/>
                <w:szCs w:val="18"/>
              </w:rPr>
              <w:t xml:space="preserve"> </w:t>
            </w:r>
            <w:r w:rsidRPr="00D75194">
              <w:rPr>
                <w:rFonts w:eastAsia="Segoe UI" w:cs="Times New Roman"/>
                <w:sz w:val="18"/>
                <w:szCs w:val="18"/>
              </w:rPr>
              <w:t>for</w:t>
            </w:r>
            <w:r w:rsidRPr="00D75194">
              <w:rPr>
                <w:rFonts w:eastAsia="Segoe UI" w:cs="Times New Roman"/>
                <w:spacing w:val="-4"/>
                <w:sz w:val="18"/>
                <w:szCs w:val="18"/>
              </w:rPr>
              <w:t xml:space="preserve"> </w:t>
            </w:r>
            <w:r w:rsidRPr="00D75194">
              <w:rPr>
                <w:rFonts w:eastAsia="Segoe UI" w:cs="Times New Roman"/>
                <w:sz w:val="18"/>
                <w:szCs w:val="18"/>
              </w:rPr>
              <w:t>current</w:t>
            </w:r>
            <w:r w:rsidRPr="00D75194">
              <w:rPr>
                <w:rFonts w:eastAsia="Segoe UI" w:cs="Times New Roman"/>
                <w:spacing w:val="-6"/>
                <w:sz w:val="18"/>
                <w:szCs w:val="18"/>
              </w:rPr>
              <w:t xml:space="preserve"> </w:t>
            </w:r>
            <w:r w:rsidRPr="00D75194">
              <w:rPr>
                <w:rFonts w:eastAsia="Segoe UI" w:cs="Times New Roman"/>
                <w:sz w:val="18"/>
                <w:szCs w:val="18"/>
              </w:rPr>
              <w:t>CASA programme</w:t>
            </w:r>
            <w:r w:rsidRPr="00D75194">
              <w:rPr>
                <w:rFonts w:eastAsia="Segoe UI" w:cs="Times New Roman"/>
                <w:spacing w:val="-6"/>
                <w:sz w:val="18"/>
                <w:szCs w:val="18"/>
              </w:rPr>
              <w:t xml:space="preserve"> </w:t>
            </w:r>
            <w:r w:rsidRPr="00D75194">
              <w:rPr>
                <w:rFonts w:eastAsia="Segoe UI" w:cs="Times New Roman"/>
                <w:sz w:val="18"/>
                <w:szCs w:val="18"/>
              </w:rPr>
              <w:t>and</w:t>
            </w:r>
            <w:r w:rsidRPr="00D75194">
              <w:rPr>
                <w:rFonts w:eastAsia="Segoe UI" w:cs="Times New Roman"/>
                <w:spacing w:val="-2"/>
                <w:sz w:val="18"/>
                <w:szCs w:val="18"/>
              </w:rPr>
              <w:t xml:space="preserve"> </w:t>
            </w:r>
            <w:r w:rsidRPr="00D75194">
              <w:rPr>
                <w:rFonts w:eastAsia="Segoe UI" w:cs="Times New Roman"/>
                <w:sz w:val="18"/>
                <w:szCs w:val="18"/>
              </w:rPr>
              <w:t>compare</w:t>
            </w:r>
            <w:r w:rsidRPr="00D75194">
              <w:rPr>
                <w:rFonts w:eastAsia="Segoe UI" w:cs="Times New Roman"/>
                <w:spacing w:val="-10"/>
                <w:sz w:val="18"/>
                <w:szCs w:val="18"/>
              </w:rPr>
              <w:t xml:space="preserve"> </w:t>
            </w:r>
            <w:r w:rsidRPr="00D75194">
              <w:rPr>
                <w:rFonts w:eastAsia="Segoe UI" w:cs="Times New Roman"/>
                <w:sz w:val="18"/>
                <w:szCs w:val="18"/>
              </w:rPr>
              <w:t>with</w:t>
            </w:r>
            <w:r w:rsidRPr="00D75194">
              <w:rPr>
                <w:rFonts w:eastAsia="Segoe UI" w:cs="Times New Roman"/>
                <w:spacing w:val="-10"/>
                <w:sz w:val="18"/>
                <w:szCs w:val="18"/>
              </w:rPr>
              <w:t xml:space="preserve"> </w:t>
            </w:r>
            <w:r w:rsidRPr="00D75194">
              <w:rPr>
                <w:rFonts w:eastAsia="Segoe UI" w:cs="Times New Roman"/>
                <w:sz w:val="18"/>
                <w:szCs w:val="18"/>
              </w:rPr>
              <w:t>experience</w:t>
            </w:r>
            <w:r w:rsidRPr="00D75194">
              <w:rPr>
                <w:rFonts w:eastAsia="Segoe UI" w:cs="Times New Roman"/>
                <w:spacing w:val="-10"/>
                <w:sz w:val="18"/>
                <w:szCs w:val="18"/>
              </w:rPr>
              <w:t xml:space="preserve"> </w:t>
            </w:r>
            <w:r w:rsidRPr="00D75194">
              <w:rPr>
                <w:rFonts w:eastAsia="Segoe UI" w:cs="Times New Roman"/>
                <w:sz w:val="18"/>
                <w:szCs w:val="18"/>
              </w:rPr>
              <w:t>of historic beneficiaries</w:t>
            </w:r>
          </w:p>
        </w:tc>
        <w:tc>
          <w:tcPr>
            <w:tcW w:w="992" w:type="pct"/>
            <w:vAlign w:val="center"/>
          </w:tcPr>
          <w:p w:rsidRPr="00D75194" w:rsidR="00055B73" w:rsidRDefault="00055B73" w14:paraId="72388EE2" w14:textId="1E4687BB">
            <w:pPr>
              <w:spacing w:before="60" w:after="60"/>
              <w:jc w:val="center"/>
              <w:rPr>
                <w:rFonts w:eastAsia="Segoe UI" w:cs="Times New Roman"/>
                <w:sz w:val="18"/>
                <w:szCs w:val="18"/>
              </w:rPr>
            </w:pPr>
            <w:r w:rsidRPr="00D75194">
              <w:rPr>
                <w:rFonts w:eastAsia="Segoe UI" w:cs="Times New Roman"/>
                <w:sz w:val="18"/>
                <w:szCs w:val="18"/>
              </w:rPr>
              <w:t>20</w:t>
            </w:r>
          </w:p>
        </w:tc>
        <w:tc>
          <w:tcPr>
            <w:tcW w:w="976" w:type="pct"/>
            <w:vAlign w:val="center"/>
          </w:tcPr>
          <w:p w:rsidRPr="00D75194" w:rsidR="00055B73" w:rsidP="00497C5D" w:rsidRDefault="00055B73" w14:paraId="7ECE7679" w14:textId="4A473154">
            <w:pPr>
              <w:spacing w:before="60" w:after="60"/>
              <w:jc w:val="center"/>
              <w:rPr>
                <w:rFonts w:eastAsia="Segoe UI" w:cs="Times New Roman"/>
                <w:sz w:val="18"/>
                <w:szCs w:val="18"/>
              </w:rPr>
            </w:pPr>
            <w:r w:rsidRPr="00D75194">
              <w:rPr>
                <w:rFonts w:eastAsia="Segoe UI" w:cs="Times New Roman"/>
                <w:sz w:val="18"/>
                <w:szCs w:val="18"/>
              </w:rPr>
              <w:t>1</w:t>
            </w:r>
            <w:r w:rsidRPr="00D75194" w:rsidR="00FC5012">
              <w:rPr>
                <w:rFonts w:eastAsia="Segoe UI" w:cs="Times New Roman"/>
                <w:sz w:val="18"/>
                <w:szCs w:val="18"/>
              </w:rPr>
              <w:t>9</w:t>
            </w:r>
          </w:p>
        </w:tc>
      </w:tr>
      <w:tr w:rsidRPr="00D75194" w:rsidR="00055B73" w:rsidTr="008B6F8C" w14:paraId="53370D5F" w14:textId="77777777">
        <w:trPr>
          <w:trHeight w:val="846"/>
        </w:trPr>
        <w:tc>
          <w:tcPr>
            <w:tcW w:w="1280" w:type="pct"/>
            <w:shd w:val="clear" w:color="auto" w:fill="EBF1F0" w:themeFill="background2"/>
            <w:vAlign w:val="center"/>
          </w:tcPr>
          <w:p w:rsidRPr="00D75194" w:rsidR="00055B73" w:rsidRDefault="00055B73" w14:paraId="1BF77306" w14:textId="77777777">
            <w:pPr>
              <w:spacing w:before="60" w:after="60"/>
              <w:rPr>
                <w:rFonts w:eastAsia="Segoe UI" w:cs="Times New Roman"/>
                <w:sz w:val="18"/>
                <w:szCs w:val="18"/>
              </w:rPr>
            </w:pPr>
            <w:r w:rsidRPr="00D75194">
              <w:rPr>
                <w:rFonts w:eastAsia="Segoe UI" w:cs="Times New Roman"/>
                <w:sz w:val="18"/>
                <w:szCs w:val="18"/>
              </w:rPr>
              <w:t>Other</w:t>
            </w:r>
            <w:r w:rsidRPr="00D75194">
              <w:rPr>
                <w:rFonts w:eastAsia="Segoe UI" w:cs="Times New Roman"/>
                <w:spacing w:val="-16"/>
                <w:sz w:val="18"/>
                <w:szCs w:val="18"/>
              </w:rPr>
              <w:t xml:space="preserve"> </w:t>
            </w:r>
            <w:r w:rsidRPr="00D75194">
              <w:rPr>
                <w:rFonts w:eastAsia="Segoe UI" w:cs="Times New Roman"/>
                <w:sz w:val="18"/>
                <w:szCs w:val="18"/>
              </w:rPr>
              <w:t>climate</w:t>
            </w:r>
            <w:r w:rsidRPr="00D75194">
              <w:rPr>
                <w:rFonts w:eastAsia="Segoe UI" w:cs="Times New Roman"/>
                <w:spacing w:val="-15"/>
                <w:sz w:val="18"/>
                <w:szCs w:val="18"/>
              </w:rPr>
              <w:t xml:space="preserve"> </w:t>
            </w:r>
            <w:r w:rsidRPr="00D75194">
              <w:rPr>
                <w:rFonts w:eastAsia="Segoe UI" w:cs="Times New Roman"/>
                <w:sz w:val="18"/>
                <w:szCs w:val="18"/>
              </w:rPr>
              <w:t>negotiators not receiving CASA sup</w:t>
            </w:r>
            <w:r w:rsidRPr="00D75194">
              <w:rPr>
                <w:rFonts w:eastAsia="Segoe UI" w:cs="Times New Roman"/>
                <w:spacing w:val="-4"/>
                <w:sz w:val="18"/>
                <w:szCs w:val="18"/>
              </w:rPr>
              <w:t>port</w:t>
            </w:r>
          </w:p>
        </w:tc>
        <w:tc>
          <w:tcPr>
            <w:tcW w:w="1751" w:type="pct"/>
            <w:shd w:val="clear" w:color="auto" w:fill="EBF1F0" w:themeFill="background2"/>
            <w:vAlign w:val="center"/>
          </w:tcPr>
          <w:p w:rsidRPr="00D75194" w:rsidR="00055B73" w:rsidRDefault="00055B73" w14:paraId="7F0466DF" w14:textId="08CFFAFB">
            <w:pPr>
              <w:spacing w:before="60" w:after="60"/>
              <w:rPr>
                <w:rFonts w:eastAsia="Segoe UI" w:cs="Times New Roman"/>
                <w:sz w:val="18"/>
                <w:szCs w:val="18"/>
              </w:rPr>
            </w:pPr>
            <w:r w:rsidRPr="00D75194">
              <w:rPr>
                <w:rFonts w:eastAsia="Segoe UI" w:cs="Times New Roman"/>
                <w:sz w:val="18"/>
                <w:szCs w:val="18"/>
              </w:rPr>
              <w:t>Provide</w:t>
            </w:r>
            <w:r w:rsidRPr="00D75194">
              <w:rPr>
                <w:rFonts w:eastAsia="Segoe UI" w:cs="Times New Roman"/>
                <w:spacing w:val="-5"/>
                <w:sz w:val="18"/>
                <w:szCs w:val="18"/>
              </w:rPr>
              <w:t xml:space="preserve"> </w:t>
            </w:r>
            <w:r w:rsidRPr="00D75194">
              <w:rPr>
                <w:rFonts w:eastAsia="Segoe UI" w:cs="Times New Roman"/>
                <w:sz w:val="18"/>
                <w:szCs w:val="18"/>
              </w:rPr>
              <w:t>a</w:t>
            </w:r>
            <w:r w:rsidRPr="00D75194">
              <w:rPr>
                <w:rFonts w:eastAsia="Segoe UI" w:cs="Times New Roman"/>
                <w:spacing w:val="-8"/>
                <w:sz w:val="18"/>
                <w:szCs w:val="18"/>
              </w:rPr>
              <w:t xml:space="preserve"> </w:t>
            </w:r>
            <w:r w:rsidRPr="00D75194">
              <w:rPr>
                <w:rFonts w:eastAsia="Segoe UI" w:cs="Times New Roman"/>
                <w:sz w:val="18"/>
                <w:szCs w:val="18"/>
              </w:rPr>
              <w:t>comparison</w:t>
            </w:r>
            <w:r w:rsidRPr="00D75194">
              <w:rPr>
                <w:rFonts w:eastAsia="Segoe UI" w:cs="Times New Roman"/>
                <w:spacing w:val="-5"/>
                <w:sz w:val="18"/>
                <w:szCs w:val="18"/>
              </w:rPr>
              <w:t xml:space="preserve"> </w:t>
            </w:r>
            <w:r w:rsidRPr="00D75194">
              <w:rPr>
                <w:rFonts w:eastAsia="Segoe UI" w:cs="Times New Roman"/>
                <w:sz w:val="18"/>
                <w:szCs w:val="18"/>
              </w:rPr>
              <w:t>to</w:t>
            </w:r>
            <w:r w:rsidRPr="00D75194">
              <w:rPr>
                <w:rFonts w:eastAsia="Segoe UI" w:cs="Times New Roman"/>
                <w:spacing w:val="-5"/>
                <w:sz w:val="18"/>
                <w:szCs w:val="18"/>
              </w:rPr>
              <w:t xml:space="preserve"> </w:t>
            </w:r>
            <w:r w:rsidRPr="00D75194">
              <w:rPr>
                <w:rFonts w:eastAsia="Segoe UI" w:cs="Times New Roman"/>
                <w:sz w:val="18"/>
                <w:szCs w:val="18"/>
              </w:rPr>
              <w:t>CASA</w:t>
            </w:r>
            <w:r w:rsidRPr="00D75194" w:rsidR="00424918">
              <w:rPr>
                <w:rFonts w:eastAsia="Segoe UI" w:cs="Times New Roman"/>
                <w:spacing w:val="-9"/>
                <w:sz w:val="18"/>
                <w:szCs w:val="18"/>
              </w:rPr>
              <w:t>-</w:t>
            </w:r>
            <w:r w:rsidRPr="00D75194">
              <w:rPr>
                <w:rFonts w:eastAsia="Segoe UI" w:cs="Times New Roman"/>
                <w:sz w:val="18"/>
                <w:szCs w:val="18"/>
              </w:rPr>
              <w:t>supported</w:t>
            </w:r>
            <w:r w:rsidRPr="00D75194">
              <w:rPr>
                <w:rFonts w:eastAsia="Segoe UI" w:cs="Times New Roman"/>
                <w:spacing w:val="-8"/>
                <w:sz w:val="18"/>
                <w:szCs w:val="18"/>
              </w:rPr>
              <w:t xml:space="preserve"> </w:t>
            </w:r>
            <w:r w:rsidRPr="00D75194">
              <w:rPr>
                <w:rFonts w:eastAsia="Segoe UI" w:cs="Times New Roman"/>
                <w:sz w:val="18"/>
                <w:szCs w:val="18"/>
              </w:rPr>
              <w:t>negotiators to better understand capacity devel</w:t>
            </w:r>
            <w:r w:rsidRPr="00D75194">
              <w:rPr>
                <w:rFonts w:eastAsia="Segoe UI" w:cs="Times New Roman"/>
                <w:spacing w:val="-2"/>
                <w:sz w:val="18"/>
                <w:szCs w:val="18"/>
              </w:rPr>
              <w:t>opments</w:t>
            </w:r>
          </w:p>
        </w:tc>
        <w:tc>
          <w:tcPr>
            <w:tcW w:w="992" w:type="pct"/>
            <w:shd w:val="clear" w:color="auto" w:fill="EBF1F0" w:themeFill="background2"/>
            <w:vAlign w:val="center"/>
          </w:tcPr>
          <w:p w:rsidRPr="00D75194" w:rsidR="00055B73" w:rsidRDefault="00055B73" w14:paraId="71CCCDC7" w14:textId="401FAE79">
            <w:pPr>
              <w:spacing w:before="60" w:after="60"/>
              <w:jc w:val="center"/>
              <w:rPr>
                <w:rFonts w:eastAsia="Segoe UI" w:cs="Times New Roman"/>
                <w:sz w:val="18"/>
                <w:szCs w:val="18"/>
              </w:rPr>
            </w:pPr>
            <w:r w:rsidRPr="00D75194">
              <w:rPr>
                <w:rFonts w:eastAsia="Segoe UI" w:cs="Times New Roman"/>
                <w:sz w:val="18"/>
                <w:szCs w:val="18"/>
              </w:rPr>
              <w:t>5</w:t>
            </w:r>
          </w:p>
        </w:tc>
        <w:tc>
          <w:tcPr>
            <w:tcW w:w="976" w:type="pct"/>
            <w:shd w:val="clear" w:color="auto" w:fill="EBF1F0" w:themeFill="background2"/>
            <w:vAlign w:val="center"/>
          </w:tcPr>
          <w:p w:rsidRPr="00D75194" w:rsidR="00055B73" w:rsidP="00497C5D" w:rsidRDefault="00055B73" w14:paraId="58FF3F95" w14:textId="1A753B51">
            <w:pPr>
              <w:spacing w:before="60" w:after="60"/>
              <w:jc w:val="center"/>
              <w:rPr>
                <w:rFonts w:eastAsia="Segoe UI" w:cs="Times New Roman"/>
                <w:sz w:val="18"/>
                <w:szCs w:val="18"/>
              </w:rPr>
            </w:pPr>
            <w:r w:rsidRPr="00D75194">
              <w:rPr>
                <w:rFonts w:eastAsia="Segoe UI" w:cs="Times New Roman"/>
                <w:sz w:val="18"/>
                <w:szCs w:val="18"/>
              </w:rPr>
              <w:t>0</w:t>
            </w:r>
          </w:p>
        </w:tc>
      </w:tr>
      <w:tr w:rsidRPr="00D75194" w:rsidR="00055B73" w:rsidTr="008B6F8C" w14:paraId="2567E53A" w14:textId="77777777">
        <w:trPr>
          <w:trHeight w:val="865"/>
        </w:trPr>
        <w:tc>
          <w:tcPr>
            <w:tcW w:w="1280" w:type="pct"/>
            <w:vAlign w:val="center"/>
          </w:tcPr>
          <w:p w:rsidRPr="00D75194" w:rsidR="00055B73" w:rsidRDefault="00055B73" w14:paraId="0208D1FA" w14:textId="2DDC1300">
            <w:pPr>
              <w:spacing w:before="60" w:after="60"/>
              <w:rPr>
                <w:rFonts w:eastAsia="Segoe UI" w:cs="Times New Roman"/>
                <w:sz w:val="18"/>
                <w:szCs w:val="18"/>
              </w:rPr>
            </w:pPr>
            <w:r w:rsidRPr="00D75194">
              <w:rPr>
                <w:rFonts w:eastAsia="Segoe UI" w:cs="Times New Roman"/>
                <w:sz w:val="18"/>
                <w:szCs w:val="18"/>
              </w:rPr>
              <w:t>Wider</w:t>
            </w:r>
            <w:r w:rsidRPr="00D75194">
              <w:rPr>
                <w:rFonts w:eastAsia="Segoe UI" w:cs="Times New Roman"/>
                <w:spacing w:val="-12"/>
                <w:sz w:val="18"/>
                <w:szCs w:val="18"/>
              </w:rPr>
              <w:t xml:space="preserve"> </w:t>
            </w:r>
            <w:r w:rsidRPr="00D75194">
              <w:rPr>
                <w:rFonts w:eastAsia="Segoe UI" w:cs="Times New Roman"/>
                <w:sz w:val="18"/>
                <w:szCs w:val="18"/>
              </w:rPr>
              <w:t>market</w:t>
            </w:r>
            <w:r w:rsidRPr="00D75194">
              <w:rPr>
                <w:rFonts w:eastAsia="Segoe UI" w:cs="Times New Roman"/>
                <w:spacing w:val="-9"/>
                <w:sz w:val="18"/>
                <w:szCs w:val="18"/>
              </w:rPr>
              <w:t xml:space="preserve"> </w:t>
            </w:r>
            <w:r w:rsidRPr="00D75194">
              <w:rPr>
                <w:rFonts w:eastAsia="Segoe UI" w:cs="Times New Roman"/>
                <w:sz w:val="18"/>
                <w:szCs w:val="18"/>
              </w:rPr>
              <w:t>experts,</w:t>
            </w:r>
            <w:r w:rsidRPr="00D75194">
              <w:rPr>
                <w:rFonts w:eastAsia="Segoe UI" w:cs="Times New Roman"/>
                <w:spacing w:val="-9"/>
                <w:sz w:val="18"/>
                <w:szCs w:val="18"/>
              </w:rPr>
              <w:t xml:space="preserve"> </w:t>
            </w:r>
            <w:r w:rsidRPr="00D75194">
              <w:rPr>
                <w:rFonts w:eastAsia="Segoe UI" w:cs="Times New Roman"/>
                <w:sz w:val="18"/>
                <w:szCs w:val="18"/>
              </w:rPr>
              <w:t>including comparator pro</w:t>
            </w:r>
            <w:r w:rsidRPr="00D75194">
              <w:rPr>
                <w:rFonts w:eastAsia="Segoe UI" w:cs="Times New Roman"/>
                <w:spacing w:val="-2"/>
                <w:sz w:val="18"/>
                <w:szCs w:val="18"/>
              </w:rPr>
              <w:t xml:space="preserve">grammes, bilateral programmes, and </w:t>
            </w:r>
            <w:r w:rsidRPr="00D75194" w:rsidR="00133175">
              <w:rPr>
                <w:rFonts w:eastAsia="Segoe UI" w:cs="Times New Roman"/>
                <w:spacing w:val="-2"/>
                <w:sz w:val="18"/>
                <w:szCs w:val="18"/>
              </w:rPr>
              <w:t xml:space="preserve">United Nations </w:t>
            </w:r>
            <w:r w:rsidRPr="00D75194">
              <w:rPr>
                <w:rFonts w:eastAsia="Segoe UI" w:cs="Times New Roman"/>
                <w:spacing w:val="-2"/>
                <w:sz w:val="18"/>
                <w:szCs w:val="18"/>
              </w:rPr>
              <w:t>institutions.</w:t>
            </w:r>
          </w:p>
        </w:tc>
        <w:tc>
          <w:tcPr>
            <w:tcW w:w="1751" w:type="pct"/>
            <w:vAlign w:val="center"/>
          </w:tcPr>
          <w:p w:rsidRPr="00D75194" w:rsidR="00055B73" w:rsidRDefault="00055B73" w14:paraId="276C1CD8" w14:textId="6ED1BA18">
            <w:pPr>
              <w:spacing w:before="60" w:after="60"/>
              <w:rPr>
                <w:rFonts w:eastAsia="Segoe UI" w:cs="Times New Roman"/>
                <w:sz w:val="18"/>
                <w:szCs w:val="18"/>
              </w:rPr>
            </w:pPr>
            <w:r w:rsidRPr="00D75194">
              <w:rPr>
                <w:rFonts w:eastAsia="Segoe UI" w:cs="Times New Roman"/>
                <w:sz w:val="18"/>
                <w:szCs w:val="18"/>
              </w:rPr>
              <w:t>Obtain external perspectives and insight on how</w:t>
            </w:r>
            <w:r w:rsidRPr="00D75194">
              <w:rPr>
                <w:rFonts w:eastAsia="Segoe UI" w:cs="Times New Roman"/>
                <w:spacing w:val="-7"/>
                <w:sz w:val="18"/>
                <w:szCs w:val="18"/>
              </w:rPr>
              <w:t xml:space="preserve"> </w:t>
            </w:r>
            <w:r w:rsidRPr="00D75194">
              <w:rPr>
                <w:rFonts w:eastAsia="Segoe UI" w:cs="Times New Roman"/>
                <w:sz w:val="18"/>
                <w:szCs w:val="18"/>
              </w:rPr>
              <w:t>capacities</w:t>
            </w:r>
            <w:r w:rsidRPr="00D75194">
              <w:rPr>
                <w:rFonts w:eastAsia="Segoe UI" w:cs="Times New Roman"/>
                <w:spacing w:val="-11"/>
                <w:sz w:val="18"/>
                <w:szCs w:val="18"/>
              </w:rPr>
              <w:t xml:space="preserve"> </w:t>
            </w:r>
            <w:r w:rsidRPr="00D75194">
              <w:rPr>
                <w:rFonts w:eastAsia="Segoe UI" w:cs="Times New Roman"/>
                <w:sz w:val="18"/>
                <w:szCs w:val="18"/>
              </w:rPr>
              <w:t>and</w:t>
            </w:r>
            <w:r w:rsidRPr="00D75194">
              <w:rPr>
                <w:rFonts w:eastAsia="Segoe UI" w:cs="Times New Roman"/>
                <w:spacing w:val="-5"/>
                <w:sz w:val="18"/>
                <w:szCs w:val="18"/>
              </w:rPr>
              <w:t xml:space="preserve"> </w:t>
            </w:r>
            <w:r w:rsidRPr="00D75194">
              <w:rPr>
                <w:rFonts w:eastAsia="Segoe UI" w:cs="Times New Roman"/>
                <w:sz w:val="18"/>
                <w:szCs w:val="18"/>
              </w:rPr>
              <w:t>influence</w:t>
            </w:r>
            <w:r w:rsidRPr="00D75194">
              <w:rPr>
                <w:rFonts w:eastAsia="Segoe UI" w:cs="Times New Roman"/>
                <w:spacing w:val="-9"/>
                <w:sz w:val="18"/>
                <w:szCs w:val="18"/>
              </w:rPr>
              <w:t xml:space="preserve"> </w:t>
            </w:r>
            <w:r w:rsidRPr="00D75194">
              <w:rPr>
                <w:rFonts w:eastAsia="Segoe UI" w:cs="Times New Roman"/>
                <w:sz w:val="18"/>
                <w:szCs w:val="18"/>
              </w:rPr>
              <w:t>of</w:t>
            </w:r>
            <w:r w:rsidRPr="00D75194">
              <w:rPr>
                <w:rFonts w:eastAsia="Segoe UI" w:cs="Times New Roman"/>
                <w:spacing w:val="-5"/>
                <w:sz w:val="18"/>
                <w:szCs w:val="18"/>
              </w:rPr>
              <w:t xml:space="preserve"> </w:t>
            </w:r>
            <w:r w:rsidRPr="00D75194">
              <w:rPr>
                <w:rFonts w:eastAsia="Segoe UI" w:cs="Times New Roman"/>
                <w:sz w:val="18"/>
                <w:szCs w:val="18"/>
              </w:rPr>
              <w:t>CASA</w:t>
            </w:r>
            <w:r w:rsidRPr="00D75194">
              <w:rPr>
                <w:rFonts w:eastAsia="Segoe UI" w:cs="Times New Roman"/>
                <w:spacing w:val="-5"/>
                <w:sz w:val="18"/>
                <w:szCs w:val="18"/>
              </w:rPr>
              <w:t xml:space="preserve"> </w:t>
            </w:r>
            <w:r w:rsidRPr="00D75194">
              <w:rPr>
                <w:rFonts w:eastAsia="Segoe UI" w:cs="Times New Roman"/>
                <w:sz w:val="18"/>
                <w:szCs w:val="18"/>
              </w:rPr>
              <w:t>beneficiaries have evolved over time and why</w:t>
            </w:r>
          </w:p>
        </w:tc>
        <w:tc>
          <w:tcPr>
            <w:tcW w:w="992" w:type="pct"/>
            <w:vAlign w:val="center"/>
          </w:tcPr>
          <w:p w:rsidRPr="00D75194" w:rsidR="00055B73" w:rsidRDefault="00055B73" w14:paraId="54F4A675" w14:textId="63C9819E">
            <w:pPr>
              <w:spacing w:before="60" w:after="60"/>
              <w:jc w:val="center"/>
              <w:rPr>
                <w:rFonts w:eastAsia="Segoe UI" w:cs="Times New Roman"/>
                <w:sz w:val="18"/>
                <w:szCs w:val="18"/>
              </w:rPr>
            </w:pPr>
            <w:r w:rsidRPr="00D75194">
              <w:rPr>
                <w:rFonts w:eastAsia="Segoe UI" w:cs="Times New Roman"/>
                <w:sz w:val="18"/>
                <w:szCs w:val="18"/>
              </w:rPr>
              <w:t>10</w:t>
            </w:r>
          </w:p>
        </w:tc>
        <w:tc>
          <w:tcPr>
            <w:tcW w:w="976" w:type="pct"/>
            <w:vAlign w:val="center"/>
          </w:tcPr>
          <w:p w:rsidRPr="00D75194" w:rsidR="00055B73" w:rsidP="00497C5D" w:rsidRDefault="00426306" w14:paraId="48A2B789" w14:textId="49C6D074">
            <w:pPr>
              <w:spacing w:before="60" w:after="60"/>
              <w:jc w:val="center"/>
              <w:rPr>
                <w:rFonts w:eastAsia="Segoe UI" w:cs="Times New Roman"/>
                <w:spacing w:val="-5"/>
                <w:sz w:val="18"/>
                <w:szCs w:val="18"/>
              </w:rPr>
            </w:pPr>
            <w:r w:rsidRPr="00D75194">
              <w:rPr>
                <w:rFonts w:eastAsia="Segoe UI" w:cs="Times New Roman"/>
                <w:spacing w:val="-5"/>
                <w:sz w:val="18"/>
                <w:szCs w:val="18"/>
              </w:rPr>
              <w:t>2</w:t>
            </w:r>
          </w:p>
        </w:tc>
      </w:tr>
      <w:tr w:rsidRPr="00D75194" w:rsidR="00055B73" w:rsidTr="008B6F8C" w14:paraId="6D94A551" w14:textId="77777777">
        <w:trPr>
          <w:trHeight w:val="362"/>
        </w:trPr>
        <w:tc>
          <w:tcPr>
            <w:tcW w:w="1280" w:type="pct"/>
            <w:shd w:val="clear" w:color="auto" w:fill="EBF1F0" w:themeFill="background2"/>
            <w:vAlign w:val="center"/>
          </w:tcPr>
          <w:p w:rsidRPr="00D75194" w:rsidR="00055B73" w:rsidRDefault="00055B73" w14:paraId="1DD1AF79" w14:textId="77777777">
            <w:pPr>
              <w:spacing w:before="60" w:after="60"/>
              <w:rPr>
                <w:rFonts w:eastAsia="Segoe UI" w:cs="Times New Roman"/>
                <w:b/>
                <w:bCs/>
                <w:sz w:val="18"/>
                <w:szCs w:val="18"/>
              </w:rPr>
            </w:pPr>
            <w:r w:rsidRPr="00D75194">
              <w:rPr>
                <w:rFonts w:eastAsia="Segoe UI" w:cs="Times New Roman"/>
                <w:b/>
                <w:bCs/>
                <w:spacing w:val="-2"/>
                <w:sz w:val="18"/>
                <w:szCs w:val="18"/>
              </w:rPr>
              <w:t>Total</w:t>
            </w:r>
          </w:p>
        </w:tc>
        <w:tc>
          <w:tcPr>
            <w:tcW w:w="1751" w:type="pct"/>
            <w:shd w:val="clear" w:color="auto" w:fill="EBF1F0" w:themeFill="background2"/>
            <w:vAlign w:val="center"/>
          </w:tcPr>
          <w:p w:rsidRPr="00D75194" w:rsidR="00055B73" w:rsidRDefault="00055B73" w14:paraId="104580CA" w14:textId="77777777">
            <w:pPr>
              <w:spacing w:before="60" w:after="60"/>
              <w:rPr>
                <w:rFonts w:ascii="Times New Roman" w:eastAsia="Segoe UI" w:cs="Times New Roman"/>
                <w:b/>
                <w:bCs/>
                <w:sz w:val="18"/>
                <w:szCs w:val="18"/>
              </w:rPr>
            </w:pPr>
          </w:p>
        </w:tc>
        <w:tc>
          <w:tcPr>
            <w:tcW w:w="992" w:type="pct"/>
            <w:shd w:val="clear" w:color="auto" w:fill="EBF1F0" w:themeFill="background2"/>
            <w:vAlign w:val="center"/>
          </w:tcPr>
          <w:p w:rsidRPr="00D75194" w:rsidR="00055B73" w:rsidRDefault="00055B73" w14:paraId="6FA2ED7D" w14:textId="06B1E165">
            <w:pPr>
              <w:spacing w:before="60" w:after="60"/>
              <w:jc w:val="center"/>
              <w:rPr>
                <w:rFonts w:eastAsia="Segoe UI" w:cs="Times New Roman"/>
                <w:b/>
                <w:bCs/>
                <w:sz w:val="18"/>
                <w:szCs w:val="18"/>
              </w:rPr>
            </w:pPr>
            <w:r w:rsidRPr="00D75194">
              <w:rPr>
                <w:rFonts w:eastAsia="Segoe UI" w:cs="Times New Roman"/>
                <w:b/>
                <w:bCs/>
                <w:sz w:val="18"/>
                <w:szCs w:val="18"/>
              </w:rPr>
              <w:t>60</w:t>
            </w:r>
          </w:p>
        </w:tc>
        <w:tc>
          <w:tcPr>
            <w:tcW w:w="976" w:type="pct"/>
            <w:shd w:val="clear" w:color="auto" w:fill="EBF1F0" w:themeFill="background2"/>
            <w:vAlign w:val="center"/>
          </w:tcPr>
          <w:p w:rsidRPr="00D75194" w:rsidR="00055B73" w:rsidP="00497C5D" w:rsidRDefault="00CD0EDE" w14:paraId="587DCFAB" w14:textId="1AE4BB5A">
            <w:pPr>
              <w:spacing w:before="60" w:after="60"/>
              <w:jc w:val="center"/>
              <w:rPr>
                <w:rFonts w:eastAsia="Segoe UI" w:cs="Times New Roman"/>
                <w:b/>
                <w:bCs/>
                <w:spacing w:val="-5"/>
                <w:sz w:val="18"/>
                <w:szCs w:val="18"/>
              </w:rPr>
            </w:pPr>
            <w:r w:rsidRPr="00D75194">
              <w:rPr>
                <w:rFonts w:eastAsia="Segoe UI" w:cs="Times New Roman"/>
                <w:b/>
                <w:bCs/>
                <w:spacing w:val="-5"/>
                <w:sz w:val="18"/>
                <w:szCs w:val="18"/>
              </w:rPr>
              <w:t>4</w:t>
            </w:r>
            <w:r w:rsidRPr="00D75194" w:rsidR="00521C0D">
              <w:rPr>
                <w:rFonts w:eastAsia="Segoe UI" w:cs="Times New Roman"/>
                <w:b/>
                <w:bCs/>
                <w:spacing w:val="-5"/>
                <w:sz w:val="18"/>
                <w:szCs w:val="18"/>
              </w:rPr>
              <w:t>8</w:t>
            </w:r>
            <w:r w:rsidRPr="00D75194" w:rsidR="0024674D">
              <w:rPr>
                <w:rStyle w:val="FootnoteReference"/>
                <w:rFonts w:eastAsia="Segoe UI" w:cs="Times New Roman"/>
                <w:b/>
                <w:bCs/>
                <w:spacing w:val="-5"/>
                <w:sz w:val="18"/>
                <w:szCs w:val="18"/>
              </w:rPr>
              <w:footnoteReference w:id="26"/>
            </w:r>
          </w:p>
        </w:tc>
      </w:tr>
    </w:tbl>
    <w:p w:rsidRPr="00D75194" w:rsidR="000518CA" w:rsidP="00047DB5" w:rsidRDefault="000518CA" w14:paraId="07038E2E" w14:textId="77777777">
      <w:pPr>
        <w:pStyle w:val="Caption"/>
        <w:keepNext/>
        <w:rPr>
          <w:highlight w:val="yellow"/>
        </w:rPr>
      </w:pPr>
      <w:bookmarkStart w:name="_Toc180599815" w:id="128"/>
    </w:p>
    <w:bookmarkEnd w:id="128"/>
    <w:p w:rsidRPr="00D75194" w:rsidR="000518CA" w:rsidRDefault="000518CA" w14:paraId="6DB6155B" w14:textId="66B20312">
      <w:pPr>
        <w:spacing w:after="0"/>
        <w:jc w:val="left"/>
        <w:rPr>
          <w:i/>
          <w:iCs/>
          <w:sz w:val="18"/>
          <w:highlight w:val="yellow"/>
        </w:rPr>
      </w:pPr>
    </w:p>
    <w:sectPr w:rsidRPr="00D75194" w:rsidR="000518CA" w:rsidSect="00314208">
      <w:pgSz w:w="11906" w:h="16838" w:orient="portrait" w:code="9"/>
      <w:pgMar w:top="1616" w:right="1021" w:bottom="1758" w:left="1021" w:header="709"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D75194" w:rsidR="00410EFF" w:rsidP="00C17A1E" w:rsidRDefault="00410EFF" w14:paraId="2B1E7DD7" w14:textId="77777777">
      <w:pPr>
        <w:spacing w:line="240" w:lineRule="auto"/>
      </w:pPr>
      <w:r w:rsidRPr="00D75194">
        <w:separator/>
      </w:r>
    </w:p>
  </w:endnote>
  <w:endnote w:type="continuationSeparator" w:id="0">
    <w:p w:rsidRPr="00D75194" w:rsidR="00410EFF" w:rsidP="00C17A1E" w:rsidRDefault="00410EFF" w14:paraId="4810ACF6" w14:textId="77777777">
      <w:pPr>
        <w:spacing w:line="240" w:lineRule="auto"/>
      </w:pPr>
      <w:r w:rsidRPr="00D75194">
        <w:continuationSeparator/>
      </w:r>
    </w:p>
  </w:endnote>
  <w:endnote w:type="continuationNotice" w:id="1">
    <w:p w:rsidRPr="00D75194" w:rsidR="00410EFF" w:rsidRDefault="00410EFF" w14:paraId="159227B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D75194" w:rsidR="002C5FC0" w:rsidRDefault="002C5FC0" w14:paraId="2E939B88" w14:textId="7B47F5FF">
    <w:pPr>
      <w:pStyle w:val="Footer"/>
    </w:pPr>
    <w:r w:rsidRPr="00D75194">
      <w:rPr>
        <w:noProof/>
      </w:rPr>
      <mc:AlternateContent>
        <mc:Choice Requires="wps">
          <w:drawing>
            <wp:anchor distT="0" distB="0" distL="0" distR="0" simplePos="0" relativeHeight="251658245" behindDoc="0" locked="0" layoutInCell="1" allowOverlap="1" wp14:anchorId="12B54242" wp14:editId="5966DEF9">
              <wp:simplePos x="635" y="635"/>
              <wp:positionH relativeFrom="page">
                <wp:align>center</wp:align>
              </wp:positionH>
              <wp:positionV relativeFrom="page">
                <wp:align>bottom</wp:align>
              </wp:positionV>
              <wp:extent cx="459740" cy="368300"/>
              <wp:effectExtent l="0" t="0" r="16510" b="0"/>
              <wp:wrapNone/>
              <wp:docPr id="145366112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0888AAC5" w14:textId="7E0BF6EB">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15CA0C0">
            <v:shapetype id="_x0000_t202" coordsize="21600,21600" o:spt="202" path="m,l,21600r21600,l21600,xe" w14:anchorId="12B54242">
              <v:stroke joinstyle="miter"/>
              <v:path gradientshapeok="t" o:connecttype="rect"/>
            </v:shapetype>
            <v:shape id="Text Box 13" style="position:absolute;left:0;text-align:left;margin-left:0;margin-top:0;width:36.2pt;height:29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">
              <v:textbox style="mso-fit-shape-to-text:t" inset="0,0,0,15pt">
                <w:txbxContent>
                  <w:p w:rsidRPr="00D75194" w:rsidR="002C5FC0" w:rsidP="002C5FC0" w:rsidRDefault="002C5FC0" w14:paraId="75F360E3" w14:textId="7E0BF6EB">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D75194" w:rsidR="000B73E3" w:rsidRDefault="002C5FC0" w14:paraId="210B31FB" w14:textId="3798FE5B">
    <w:pPr>
      <w:pStyle w:val="Footer"/>
      <w:jc w:val="right"/>
    </w:pPr>
    <w:r w:rsidRPr="00D75194">
      <w:rPr>
        <w:noProof/>
      </w:rPr>
      <mc:AlternateContent>
        <mc:Choice Requires="wps">
          <w:drawing>
            <wp:anchor distT="0" distB="0" distL="0" distR="0" simplePos="0" relativeHeight="251658248" behindDoc="0" locked="0" layoutInCell="1" allowOverlap="1" wp14:anchorId="0362B5A4" wp14:editId="0DD8BA54">
              <wp:simplePos x="635" y="635"/>
              <wp:positionH relativeFrom="page">
                <wp:align>center</wp:align>
              </wp:positionH>
              <wp:positionV relativeFrom="page">
                <wp:align>bottom</wp:align>
              </wp:positionV>
              <wp:extent cx="459740" cy="368300"/>
              <wp:effectExtent l="0" t="0" r="16510" b="0"/>
              <wp:wrapNone/>
              <wp:docPr id="177003211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332D4634" w14:textId="6AEB0E28">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A5F75DD">
            <v:shapetype id="_x0000_t202" coordsize="21600,21600" o:spt="202" path="m,l,21600r21600,l21600,xe" w14:anchorId="0362B5A4">
              <v:stroke joinstyle="miter"/>
              <v:path gradientshapeok="t" o:connecttype="rect"/>
            </v:shapetype>
            <v:shape id="Text Box 14" style="position:absolute;left:0;text-align:left;margin-left:0;margin-top:0;width:36.2pt;height:29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">
              <v:textbox style="mso-fit-shape-to-text:t" inset="0,0,0,15pt">
                <w:txbxContent>
                  <w:p w:rsidRPr="00D75194" w:rsidR="002C5FC0" w:rsidP="002C5FC0" w:rsidRDefault="002C5FC0" w14:paraId="6E4A0F12" w14:textId="6AEB0E28">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p>
  <w:sdt>
    <w:sdtPr>
      <w:id w:val="1746615391"/>
      <w:docPartObj>
        <w:docPartGallery w:val="Page Numbers (Bottom of Page)"/>
        <w:docPartUnique/>
      </w:docPartObj>
    </w:sdtPr>
    <w:sdtEndPr/>
    <w:sdtContent>
      <w:p w:rsidRPr="00D75194" w:rsidR="000B73E3" w:rsidRDefault="00CE5264" w14:paraId="056833AE" w14:textId="77777777">
        <w:pPr>
          <w:pStyle w:val="Footer"/>
          <w:jc w:val="right"/>
        </w:pPr>
        <w:r w:rsidRPr="00D75194">
          <w:fldChar w:fldCharType="begin"/>
        </w:r>
        <w:r w:rsidRPr="00D75194">
          <w:instrText xml:space="preserve"> PAGE  \* roman  \* MERGEFORMAT </w:instrText>
        </w:r>
        <w:r w:rsidRPr="00D75194">
          <w:fldChar w:fldCharType="separate"/>
        </w:r>
        <w:r w:rsidRPr="00D75194">
          <w:t>vi</w:t>
        </w:r>
        <w:r w:rsidRPr="00D75194">
          <w:fldChar w:fldCharType="end"/>
        </w:r>
      </w:p>
    </w:sdtContent>
  </w:sdt>
  <w:p w:rsidRPr="00D75194" w:rsidR="00F6268C" w:rsidP="00F6268C" w:rsidRDefault="00F6268C" w14:paraId="25B000BF" w14:textId="19A66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D75194" w:rsidR="002C5FC0" w:rsidRDefault="002C5FC0" w14:paraId="3A6118AF" w14:textId="12644569">
    <w:pPr>
      <w:pStyle w:val="Footer"/>
    </w:pPr>
    <w:r w:rsidRPr="00D75194">
      <w:rPr>
        <w:noProof/>
      </w:rPr>
      <mc:AlternateContent>
        <mc:Choice Requires="wps">
          <w:drawing>
            <wp:anchor distT="0" distB="0" distL="0" distR="0" simplePos="0" relativeHeight="251658244" behindDoc="0" locked="0" layoutInCell="1" allowOverlap="1" wp14:anchorId="2BC78B1D" wp14:editId="280AA5EA">
              <wp:simplePos x="635" y="635"/>
              <wp:positionH relativeFrom="page">
                <wp:align>center</wp:align>
              </wp:positionH>
              <wp:positionV relativeFrom="page">
                <wp:align>bottom</wp:align>
              </wp:positionV>
              <wp:extent cx="459740" cy="368300"/>
              <wp:effectExtent l="0" t="0" r="16510" b="0"/>
              <wp:wrapNone/>
              <wp:docPr id="146737260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5257D318" w14:textId="0E4A112B">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B63E523">
            <v:shapetype id="_x0000_t202" coordsize="21600,21600" o:spt="202" path="m,l,21600r21600,l21600,xe" w14:anchorId="2BC78B1D">
              <v:stroke joinstyle="miter"/>
              <v:path gradientshapeok="t" o:connecttype="rect"/>
            </v:shapetype>
            <v:shape id="Text Box 12" style="position:absolute;left:0;text-align:left;margin-left:0;margin-top:0;width:36.2pt;height:29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">
              <v:textbox style="mso-fit-shape-to-text:t" inset="0,0,0,15pt">
                <w:txbxContent>
                  <w:p w:rsidRPr="00D75194" w:rsidR="002C5FC0" w:rsidP="002C5FC0" w:rsidRDefault="002C5FC0" w14:paraId="42DD9960" w14:textId="0E4A112B">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D75194" w:rsidR="0061236A" w:rsidP="0024674D" w:rsidRDefault="002C5FC0" w14:paraId="5E59770C" w14:textId="5BF66276">
    <w:pPr>
      <w:pStyle w:val="Footer"/>
      <w:jc w:val="right"/>
    </w:pPr>
    <w:r w:rsidRPr="00D75194">
      <w:rPr>
        <w:noProof/>
      </w:rPr>
      <mc:AlternateContent>
        <mc:Choice Requires="wps">
          <w:drawing>
            <wp:anchor distT="0" distB="0" distL="0" distR="0" simplePos="0" relativeHeight="251658249" behindDoc="0" locked="0" layoutInCell="1" allowOverlap="1" wp14:anchorId="162C2110" wp14:editId="79BDAFF0">
              <wp:simplePos x="635" y="635"/>
              <wp:positionH relativeFrom="page">
                <wp:align>center</wp:align>
              </wp:positionH>
              <wp:positionV relativeFrom="page">
                <wp:align>bottom</wp:align>
              </wp:positionV>
              <wp:extent cx="459740" cy="368300"/>
              <wp:effectExtent l="0" t="0" r="16510" b="0"/>
              <wp:wrapNone/>
              <wp:docPr id="167315050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0EC76CAE" w14:textId="13A0F55A">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7F21C4B">
            <v:shapetype id="_x0000_t202" coordsize="21600,21600" o:spt="202" path="m,l,21600r21600,l21600,xe" w14:anchorId="162C2110">
              <v:stroke joinstyle="miter"/>
              <v:path gradientshapeok="t" o:connecttype="rect"/>
            </v:shapetype>
            <v:shape id="Text Box 15" style="position:absolute;left:0;text-align:left;margin-left:0;margin-top:0;width:36.2pt;height:29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">
              <v:textbox style="mso-fit-shape-to-text:t" inset="0,0,0,15pt">
                <w:txbxContent>
                  <w:p w:rsidRPr="00D75194" w:rsidR="002C5FC0" w:rsidP="002C5FC0" w:rsidRDefault="002C5FC0" w14:paraId="09E77742" w14:textId="13A0F55A">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sdt>
      <w:sdtPr>
        <w:id w:val="1451977203"/>
        <w:docPartObj>
          <w:docPartGallery w:val="Page Numbers (Bottom of Page)"/>
          <w:docPartUnique/>
        </w:docPartObj>
      </w:sdtPr>
      <w:sdtEndPr/>
      <w:sdtContent>
        <w:r w:rsidRPr="00D75194" w:rsidR="00A37BAB">
          <w:fldChar w:fldCharType="begin"/>
        </w:r>
        <w:r w:rsidRPr="00D75194" w:rsidR="00A37BAB">
          <w:instrText xml:space="preserve"> PAGE   \* MERGEFORMAT </w:instrText>
        </w:r>
        <w:r w:rsidRPr="00D75194" w:rsidR="00A37BAB">
          <w:fldChar w:fldCharType="separate"/>
        </w:r>
        <w:r w:rsidRPr="00D75194" w:rsidR="00A37BAB">
          <w:t>2</w:t>
        </w:r>
        <w:r w:rsidRPr="00D75194" w:rsidR="00A37BAB">
          <w:fldChar w:fldCharType="end"/>
        </w:r>
      </w:sdtContent>
    </w:sdt>
    <w:r w:rsidRPr="00D75194" w:rsidR="0024674D">
      <w:t>.</w:t>
    </w:r>
  </w:p>
  <w:p w:rsidRPr="00D75194" w:rsidR="0024674D" w:rsidP="0024674D" w:rsidRDefault="0024674D" w14:paraId="518FE9B9" w14:textId="3F4E9384">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D75194" w:rsidR="00410EFF" w:rsidP="00C17A1E" w:rsidRDefault="00410EFF" w14:paraId="02D36F48" w14:textId="77777777">
      <w:pPr>
        <w:spacing w:line="240" w:lineRule="auto"/>
      </w:pPr>
      <w:r w:rsidRPr="00D75194">
        <w:separator/>
      </w:r>
    </w:p>
  </w:footnote>
  <w:footnote w:type="continuationSeparator" w:id="0">
    <w:p w:rsidRPr="00D75194" w:rsidR="00410EFF" w:rsidP="00C17A1E" w:rsidRDefault="00410EFF" w14:paraId="0EA14604" w14:textId="77777777">
      <w:pPr>
        <w:spacing w:line="240" w:lineRule="auto"/>
      </w:pPr>
      <w:r w:rsidRPr="00D75194">
        <w:continuationSeparator/>
      </w:r>
    </w:p>
  </w:footnote>
  <w:footnote w:type="continuationNotice" w:id="1">
    <w:p w:rsidRPr="00D75194" w:rsidR="00410EFF" w:rsidRDefault="00410EFF" w14:paraId="30108CDB" w14:textId="77777777">
      <w:pPr>
        <w:spacing w:after="0" w:line="240" w:lineRule="auto"/>
      </w:pPr>
    </w:p>
  </w:footnote>
  <w:footnote w:id="2">
    <w:p w:rsidRPr="00D75194" w:rsidR="00204136" w:rsidP="0064741B" w:rsidRDefault="009A2250" w14:paraId="7FC10B4B" w14:textId="71092C52">
      <w:pPr>
        <w:pStyle w:val="FootnoteText"/>
        <w:rPr>
          <w:rFonts w:asciiTheme="minorHAnsi" w:hAnsiTheme="minorHAnsi" w:cstheme="minorHAnsi"/>
        </w:rPr>
      </w:pPr>
      <w:r w:rsidRPr="00D75194">
        <w:rPr>
          <w:rStyle w:val="FootnoteReference"/>
          <w:szCs w:val="16"/>
        </w:rPr>
        <w:footnoteRef/>
      </w:r>
      <w:r w:rsidRPr="00D75194">
        <w:t xml:space="preserve"> </w:t>
      </w:r>
      <w:r w:rsidRPr="00D75194">
        <w:rPr>
          <w:rFonts w:asciiTheme="minorHAnsi" w:hAnsiTheme="minorHAnsi" w:cstheme="minorHAnsi"/>
        </w:rPr>
        <w:t>Outcome harvesting was developed by Ricardo Wilson-Grau and colleagues and is a technique for collecting (</w:t>
      </w:r>
      <w:r w:rsidRPr="00D75194" w:rsidR="00A312B7">
        <w:rPr>
          <w:rFonts w:asciiTheme="minorHAnsi" w:hAnsiTheme="minorHAnsi" w:cstheme="minorHAnsi"/>
        </w:rPr>
        <w:t>‘</w:t>
      </w:r>
      <w:r w:rsidRPr="00D75194">
        <w:rPr>
          <w:rFonts w:asciiTheme="minorHAnsi" w:hAnsiTheme="minorHAnsi" w:cstheme="minorHAnsi"/>
        </w:rPr>
        <w:t>harvesting</w:t>
      </w:r>
      <w:r w:rsidRPr="00D75194" w:rsidR="00C93A9A">
        <w:rPr>
          <w:rFonts w:asciiTheme="minorHAnsi" w:hAnsiTheme="minorHAnsi" w:cstheme="minorHAnsi"/>
        </w:rPr>
        <w:t xml:space="preserve">’) </w:t>
      </w:r>
      <w:r w:rsidRPr="00D75194">
        <w:rPr>
          <w:rFonts w:asciiTheme="minorHAnsi" w:hAnsiTheme="minorHAnsi" w:cstheme="minorHAnsi"/>
        </w:rPr>
        <w:t>evidence of what has changed (</w:t>
      </w:r>
      <w:r w:rsidRPr="00D75194" w:rsidR="00D41401">
        <w:rPr>
          <w:rFonts w:asciiTheme="minorHAnsi" w:hAnsiTheme="minorHAnsi" w:cstheme="minorHAnsi"/>
        </w:rPr>
        <w:t>‘</w:t>
      </w:r>
      <w:r w:rsidRPr="00D75194">
        <w:rPr>
          <w:rFonts w:asciiTheme="minorHAnsi" w:hAnsiTheme="minorHAnsi" w:cstheme="minorHAnsi"/>
        </w:rPr>
        <w:t>outcomes</w:t>
      </w:r>
      <w:r w:rsidRPr="00D75194" w:rsidR="00214BEB">
        <w:rPr>
          <w:rFonts w:asciiTheme="minorHAnsi" w:hAnsiTheme="minorHAnsi" w:cstheme="minorHAnsi"/>
        </w:rPr>
        <w:t>’</w:t>
      </w:r>
      <w:r w:rsidRPr="00D75194">
        <w:rPr>
          <w:rFonts w:asciiTheme="minorHAnsi" w:hAnsiTheme="minorHAnsi" w:cstheme="minorHAnsi"/>
        </w:rPr>
        <w:t xml:space="preserve">) in a specific context and then working backwards to determine whether and how an ‘intervention’ has contributed </w:t>
      </w:r>
    </w:p>
    <w:p w:rsidRPr="00D75194" w:rsidR="009A2250" w:rsidP="0064741B" w:rsidRDefault="009A2250" w14:paraId="29B867E1" w14:textId="07F643E6">
      <w:pPr>
        <w:pStyle w:val="FootnoteText"/>
      </w:pPr>
      <w:r w:rsidRPr="00D75194">
        <w:rPr>
          <w:rFonts w:asciiTheme="minorHAnsi" w:hAnsiTheme="minorHAnsi" w:cstheme="minorHAnsi"/>
        </w:rPr>
        <w:t>to the identified changes. It is often used in complex multi-country programming, including several international programmes</w:t>
      </w:r>
      <w:r w:rsidRPr="00D75194" w:rsidR="008F0EEC">
        <w:rPr>
          <w:rFonts w:asciiTheme="minorHAnsi" w:hAnsiTheme="minorHAnsi" w:cstheme="minorHAnsi"/>
        </w:rPr>
        <w:t xml:space="preserve"> funded by His Majesty’s Government</w:t>
      </w:r>
      <w:r w:rsidRPr="00D75194">
        <w:rPr>
          <w:rFonts w:asciiTheme="minorHAnsi" w:hAnsiTheme="minorHAnsi" w:cstheme="minorHAnsi"/>
        </w:rPr>
        <w:t xml:space="preserve">, and is considered a way of privileging the experiences and perspectives of change agents (TPs, DESNZ) and social actors (CASA-supported groups and individuals). </w:t>
      </w:r>
    </w:p>
  </w:footnote>
  <w:footnote w:id="3">
    <w:p w:rsidRPr="00D75194" w:rsidR="009A2250" w:rsidP="0064741B" w:rsidRDefault="009A2250" w14:paraId="2275F7A2" w14:textId="77777777">
      <w:pPr>
        <w:pStyle w:val="FootnoteText"/>
      </w:pPr>
      <w:r w:rsidRPr="00D75194">
        <w:rPr>
          <w:rStyle w:val="FootnoteReference"/>
          <w:szCs w:val="16"/>
        </w:rPr>
        <w:footnoteRef/>
      </w:r>
      <w:r w:rsidRPr="00D75194">
        <w:t xml:space="preserve"> </w:t>
      </w:r>
      <w:r w:rsidRPr="00D75194">
        <w:rPr>
          <w:rFonts w:asciiTheme="minorHAnsi" w:hAnsiTheme="minorHAnsi" w:cstheme="minorHAnsi"/>
        </w:rPr>
        <w:t xml:space="preserve">Contribution analysis is a theory-based approach to evaluation developed by </w:t>
      </w:r>
      <w:r w:rsidRPr="00D75194">
        <w:rPr>
          <w:rFonts w:asciiTheme="minorHAnsi" w:hAnsiTheme="minorHAnsi" w:cstheme="minorHAnsi"/>
          <w:bCs/>
        </w:rPr>
        <w:t xml:space="preserve">John Mayne. </w:t>
      </w:r>
      <w:r w:rsidRPr="00D75194">
        <w:rPr>
          <w:rFonts w:asciiTheme="minorHAnsi" w:hAnsiTheme="minorHAnsi" w:cstheme="minorHAnsi"/>
        </w:rPr>
        <w:t>It is an iterative process that examines the theory for how a programme should contribute to a specific change and the likely effects of other factors.</w:t>
      </w:r>
    </w:p>
  </w:footnote>
  <w:footnote w:id="4">
    <w:p w:rsidRPr="00D75194" w:rsidR="009C4BC0" w:rsidP="0064741B" w:rsidRDefault="009C4BC0" w14:paraId="2C927AE1" w14:textId="0B39C950">
      <w:pPr>
        <w:pStyle w:val="FootnoteText"/>
      </w:pPr>
      <w:r w:rsidRPr="00D75194">
        <w:rPr>
          <w:rStyle w:val="FootnoteReference"/>
          <w:szCs w:val="16"/>
        </w:rPr>
        <w:footnoteRef/>
      </w:r>
      <w:r w:rsidRPr="00D75194">
        <w:t xml:space="preserve"> This number does not include the multiple interviews that were conducted (up to three) with the same </w:t>
      </w:r>
      <w:r w:rsidRPr="00D75194" w:rsidR="0020204F">
        <w:t>TPs</w:t>
      </w:r>
      <w:r w:rsidRPr="00D75194">
        <w:t xml:space="preserve"> to deepen evidence and/or validate findings for the case studies. </w:t>
      </w:r>
    </w:p>
  </w:footnote>
  <w:footnote w:id="5">
    <w:p w:rsidRPr="00D75194" w:rsidR="009C4BC0" w:rsidP="0064741B" w:rsidRDefault="009C4BC0" w14:paraId="0A80D9FD" w14:textId="37EEB629">
      <w:pPr>
        <w:pStyle w:val="FootnoteText"/>
      </w:pPr>
    </w:p>
  </w:footnote>
  <w:footnote w:id="6">
    <w:p w:rsidRPr="00D75194" w:rsidR="00E86E43" w:rsidRDefault="00E86E43" w14:paraId="60DD6AE4" w14:textId="06D3D626">
      <w:pPr>
        <w:pStyle w:val="FootnoteText"/>
      </w:pPr>
      <w:r w:rsidRPr="00D75194">
        <w:rPr>
          <w:rStyle w:val="FootnoteReference"/>
        </w:rPr>
        <w:footnoteRef/>
      </w:r>
      <w:r w:rsidRPr="00D75194" w:rsidR="0067315D">
        <w:t xml:space="preserve"> </w:t>
      </w:r>
      <w:r w:rsidRPr="00D75194">
        <w:t>A software program used for qualitative data analysis</w:t>
      </w:r>
      <w:r w:rsidRPr="00D75194" w:rsidR="00066C54">
        <w:t>, including coding and analysing source material.</w:t>
      </w:r>
    </w:p>
  </w:footnote>
  <w:footnote w:id="7">
    <w:p w:rsidRPr="00D75194" w:rsidR="002978B0" w:rsidP="002978B0" w:rsidRDefault="002978B0" w14:paraId="69999C91" w14:textId="0D23B6B8">
      <w:pPr>
        <w:pStyle w:val="FootnoteText"/>
      </w:pPr>
      <w:r w:rsidRPr="00D75194">
        <w:rPr>
          <w:rStyle w:val="FootnoteReference"/>
          <w:szCs w:val="16"/>
        </w:rPr>
        <w:footnoteRef/>
      </w:r>
      <w:r w:rsidRPr="00D75194">
        <w:rPr>
          <w:rStyle w:val="FootnoteReference"/>
          <w:szCs w:val="16"/>
        </w:rPr>
        <w:t xml:space="preserve"> </w:t>
      </w:r>
      <w:r w:rsidRPr="00D75194">
        <w:rPr>
          <w:rStyle w:val="FootnoteReference"/>
          <w:szCs w:val="16"/>
          <w:vertAlign w:val="baseline"/>
        </w:rPr>
        <w:t xml:space="preserve">In </w:t>
      </w:r>
      <w:r w:rsidRPr="00D75194">
        <w:rPr>
          <w:szCs w:val="16"/>
        </w:rPr>
        <w:t>l</w:t>
      </w:r>
      <w:r w:rsidRPr="00D75194">
        <w:rPr>
          <w:rStyle w:val="FootnoteReference"/>
          <w:szCs w:val="16"/>
          <w:vertAlign w:val="baseline"/>
        </w:rPr>
        <w:t>ate 2024 an evidence dashboard was set up to try to manage and mitigate where possible the issues with data availability.</w:t>
      </w:r>
      <w:r w:rsidRPr="00D75194">
        <w:t xml:space="preserve"> </w:t>
      </w:r>
    </w:p>
  </w:footnote>
  <w:footnote w:id="8">
    <w:p w:rsidRPr="00D75194" w:rsidR="00D71708" w:rsidP="0064741B" w:rsidRDefault="00D71708" w14:paraId="2D389307" w14:textId="22492E33">
      <w:pPr>
        <w:pStyle w:val="FootnoteText"/>
      </w:pPr>
      <w:r w:rsidRPr="00D75194">
        <w:rPr>
          <w:rStyle w:val="FootnoteReference"/>
          <w:szCs w:val="16"/>
        </w:rPr>
        <w:footnoteRef/>
      </w:r>
      <w:r w:rsidRPr="00D75194">
        <w:t xml:space="preserve"> </w:t>
      </w:r>
      <w:r w:rsidRPr="00D75194" w:rsidR="00ED3EC0">
        <w:t xml:space="preserve">Held on </w:t>
      </w:r>
      <w:r w:rsidRPr="00D75194" w:rsidR="00F3284A">
        <w:t xml:space="preserve">30 </w:t>
      </w:r>
      <w:r w:rsidRPr="00D75194" w:rsidR="007661E9">
        <w:t>May 2025</w:t>
      </w:r>
      <w:r w:rsidRPr="00D75194" w:rsidR="00ED3EC0">
        <w:t>. O</w:t>
      </w:r>
      <w:r w:rsidRPr="00D75194" w:rsidR="009C139A">
        <w:t xml:space="preserve">nly </w:t>
      </w:r>
      <w:r w:rsidRPr="00D75194" w:rsidR="007661E9">
        <w:t>two CASA supported people attended</w:t>
      </w:r>
      <w:r w:rsidRPr="00D75194" w:rsidR="009C139A">
        <w:t>.</w:t>
      </w:r>
    </w:p>
  </w:footnote>
  <w:footnote w:id="9">
    <w:p w:rsidRPr="00D75194" w:rsidR="00087E19" w:rsidRDefault="00087E19" w14:paraId="7964B511" w14:textId="1E01F3CD">
      <w:pPr>
        <w:pStyle w:val="FootnoteText"/>
      </w:pPr>
      <w:r w:rsidRPr="00D75194">
        <w:rPr>
          <w:rStyle w:val="FootnoteReference"/>
        </w:rPr>
        <w:footnoteRef/>
      </w:r>
      <w:r w:rsidRPr="00D75194">
        <w:t xml:space="preserve"> </w:t>
      </w:r>
      <w:r w:rsidRPr="00D75194" w:rsidR="00A564EC">
        <w:t xml:space="preserve">CIES provided additional </w:t>
      </w:r>
      <w:r w:rsidR="006076EC">
        <w:t>d</w:t>
      </w:r>
      <w:r w:rsidRPr="00D75194" w:rsidR="00A564EC">
        <w:t>a</w:t>
      </w:r>
      <w:r w:rsidR="006076EC">
        <w:t>ta</w:t>
      </w:r>
      <w:r w:rsidRPr="00D75194" w:rsidR="00A564EC">
        <w:t xml:space="preserve"> during the report review phase, following earlier requests made during the data collection phase. While we were unable to fully integrate this information into our analysis, we would like to acknowledge and appreciate CIES’s contributions.</w:t>
      </w:r>
    </w:p>
  </w:footnote>
  <w:footnote w:id="10">
    <w:p w:rsidRPr="00D75194" w:rsidR="006E64A1" w:rsidP="0064741B" w:rsidRDefault="006E64A1" w14:paraId="49267784" w14:textId="6806A5A0">
      <w:pPr>
        <w:pStyle w:val="FootnoteText"/>
      </w:pPr>
      <w:r w:rsidRPr="00D75194">
        <w:rPr>
          <w:rStyle w:val="FootnoteReference"/>
          <w:szCs w:val="16"/>
        </w:rPr>
        <w:footnoteRef/>
      </w:r>
      <w:r w:rsidRPr="00D75194">
        <w:t xml:space="preserve"> </w:t>
      </w:r>
      <w:r w:rsidRPr="00D75194" w:rsidR="00C44E59">
        <w:t>W</w:t>
      </w:r>
      <w:r w:rsidRPr="00D75194">
        <w:t>ith the exception of CIES and ICCCAD</w:t>
      </w:r>
      <w:r w:rsidRPr="00D75194" w:rsidR="00C44E59">
        <w:t>, as they were brought into the programme</w:t>
      </w:r>
      <w:r w:rsidRPr="00D75194" w:rsidR="00DD7522">
        <w:t xml:space="preserve"> more recently</w:t>
      </w:r>
      <w:r w:rsidRPr="00D75194" w:rsidR="00C44E59">
        <w:t xml:space="preserve">. </w:t>
      </w:r>
    </w:p>
  </w:footnote>
  <w:footnote w:id="11">
    <w:p w:rsidRPr="00D75194" w:rsidR="003E7685" w:rsidRDefault="003E7685" w14:paraId="632D5F1D" w14:textId="5EE83B32">
      <w:pPr>
        <w:pStyle w:val="FootnoteText"/>
      </w:pPr>
      <w:r w:rsidRPr="00D75194">
        <w:rPr>
          <w:rStyle w:val="FootnoteReference"/>
        </w:rPr>
        <w:footnoteRef/>
      </w:r>
      <w:r w:rsidRPr="00D75194" w:rsidR="74C60FC1">
        <w:t xml:space="preserve"> The VFM rubric is </w:t>
      </w:r>
      <w:r w:rsidRPr="00D75194" w:rsidR="00864431">
        <w:t>four-point scale outlining performance descriptions</w:t>
      </w:r>
      <w:r w:rsidRPr="00D75194" w:rsidR="74C60FC1">
        <w:t xml:space="preserve"> under 30 indicators, developed in line with DAI’s VFM framework</w:t>
      </w:r>
      <w:r w:rsidRPr="00D75194" w:rsidR="00D638C1">
        <w:t>—</w:t>
      </w:r>
      <w:r w:rsidRPr="00D75194" w:rsidR="74C60FC1">
        <w:t xml:space="preserve">which will be in full operation during a Phase </w:t>
      </w:r>
      <w:r w:rsidRPr="00D75194" w:rsidR="00B327B6">
        <w:t xml:space="preserve">III </w:t>
      </w:r>
      <w:r w:rsidRPr="00D75194" w:rsidR="74C60FC1">
        <w:t>of the programme</w:t>
      </w:r>
      <w:r w:rsidRPr="00D75194" w:rsidR="00D638C1">
        <w:t>—</w:t>
      </w:r>
      <w:r w:rsidRPr="00D75194" w:rsidR="74C60FC1">
        <w:t xml:space="preserve">and LEP considerations. From the outset it was recognised that the rubric was aspirational, i.e. it did </w:t>
      </w:r>
      <w:r w:rsidRPr="00D75194" w:rsidR="00091F85">
        <w:t xml:space="preserve">not </w:t>
      </w:r>
      <w:r w:rsidRPr="00D75194" w:rsidR="74C60FC1">
        <w:t xml:space="preserve">reflect data availability across the board, and that some indicators may require more qualitative explanation than intended. The rubric includes both quantitative and qualitative indicators. </w:t>
      </w:r>
    </w:p>
  </w:footnote>
  <w:footnote w:id="12">
    <w:p w:rsidRPr="00D75194" w:rsidR="006F355D" w:rsidRDefault="006F355D" w14:paraId="0809F363" w14:textId="21910B49">
      <w:pPr>
        <w:pStyle w:val="FootnoteText"/>
        <w:rPr>
          <w:rFonts w:eastAsia="Segoe UI"/>
        </w:rPr>
      </w:pPr>
      <w:r w:rsidRPr="00D75194">
        <w:rPr>
          <w:rStyle w:val="FootnoteReference"/>
        </w:rPr>
        <w:footnoteRef/>
      </w:r>
      <w:r w:rsidRPr="00D75194">
        <w:t xml:space="preserve"> When compared with UN consultant rates, for example, </w:t>
      </w:r>
      <w:r w:rsidRPr="00D75194">
        <w:rPr>
          <w:rFonts w:eastAsia="Segoe UI"/>
        </w:rPr>
        <w:t>as of 2025, CASA II’s consultant fees reflect competitive input costs. The average day rate for TPs (£486.74) sits within the UN’s benchmark range for senior experts at headquarters duty stations (£470–705), while the OF average (£205.50) aligns with typical rates for mid-level to senior consultants in field duty stations (£78–235). This indicates that CASA II secured appropriate expertise at fair market rates, avoiding both excessive rates and, importantly, also underpayment. Without DESNZ or FCDO offering its rate guidance publicly, LEP is satisfied that the UN’s official data serves as the strongest available comparator for validating CASA II’s competitiveness.</w:t>
      </w:r>
    </w:p>
  </w:footnote>
  <w:footnote w:id="13">
    <w:p w:rsidRPr="00D75194" w:rsidR="38CB2D04" w:rsidP="0064741B" w:rsidRDefault="38CB2D04" w14:paraId="59320053" w14:textId="5AAC3960">
      <w:pPr>
        <w:pStyle w:val="FootnoteText"/>
      </w:pPr>
      <w:r w:rsidRPr="00D75194">
        <w:rPr>
          <w:vertAlign w:val="superscript"/>
        </w:rPr>
        <w:footnoteRef/>
      </w:r>
      <w:r w:rsidRPr="00D75194">
        <w:rPr>
          <w:vertAlign w:val="superscript"/>
        </w:rPr>
        <w:t xml:space="preserve"> </w:t>
      </w:r>
      <w:r w:rsidRPr="00D75194">
        <w:rPr>
          <w:rFonts w:eastAsia="Segoe UI" w:cs="Segoe UI"/>
        </w:rPr>
        <w:t xml:space="preserve">In the context of UK government-funded international programmes, </w:t>
      </w:r>
      <w:r w:rsidRPr="00D75194">
        <w:rPr>
          <w:rFonts w:eastAsia="Segoe UI" w:cs="Segoe UI"/>
          <w:i/>
          <w:iCs/>
        </w:rPr>
        <w:t>operational expenses</w:t>
      </w:r>
      <w:r w:rsidRPr="00D75194">
        <w:rPr>
          <w:rFonts w:eastAsia="Segoe UI" w:cs="Segoe UI"/>
        </w:rPr>
        <w:t xml:space="preserve"> refer to non-delivery costs essential to programme functioning. These typically include administrative overheads (e.g. finance, HR, and office costs), programme management (e.g. coordination, MEL, reporting), general travel and logistics not tied to direct delivery, and indirect costs where not separately budgeted.</w:t>
      </w:r>
      <w:r w:rsidRPr="00D75194">
        <w:t xml:space="preserve"> </w:t>
      </w:r>
    </w:p>
  </w:footnote>
  <w:footnote w:id="14">
    <w:p w:rsidRPr="00D75194" w:rsidR="00D85904" w:rsidRDefault="00D85904" w14:paraId="06091DEC" w14:textId="29F97255">
      <w:pPr>
        <w:pStyle w:val="FootnoteText"/>
      </w:pPr>
      <w:r w:rsidRPr="00D75194">
        <w:rPr>
          <w:rStyle w:val="FootnoteReference"/>
        </w:rPr>
        <w:footnoteRef/>
      </w:r>
      <w:r w:rsidRPr="00D75194">
        <w:t xml:space="preserve"> </w:t>
      </w:r>
      <w:r w:rsidRPr="00D75194" w:rsidR="000F0F04">
        <w:t>The data shared cover</w:t>
      </w:r>
      <w:r w:rsidRPr="00D75194" w:rsidR="00846B8D">
        <w:t xml:space="preserve"> </w:t>
      </w:r>
      <w:r w:rsidRPr="00D75194" w:rsidR="000F0F04">
        <w:t>the following partners: NACOM</w:t>
      </w:r>
      <w:r w:rsidRPr="00D75194" w:rsidR="00697C47">
        <w:t xml:space="preserve">, </w:t>
      </w:r>
      <w:r w:rsidRPr="00D75194" w:rsidR="000F0F04">
        <w:t>OPM</w:t>
      </w:r>
      <w:r w:rsidRPr="00D75194" w:rsidR="00697C47">
        <w:t>,</w:t>
      </w:r>
      <w:r w:rsidRPr="00D75194" w:rsidR="000F0F04">
        <w:t xml:space="preserve"> ECARDS, </w:t>
      </w:r>
      <w:r w:rsidRPr="00D75194" w:rsidR="00697C47">
        <w:t xml:space="preserve">and </w:t>
      </w:r>
      <w:r w:rsidRPr="00D75194" w:rsidR="000F0F04">
        <w:t>Practical Action.</w:t>
      </w:r>
    </w:p>
  </w:footnote>
  <w:footnote w:id="15">
    <w:p w:rsidRPr="00D75194" w:rsidR="00BD1C2C" w:rsidP="0064741B" w:rsidRDefault="00BD1C2C" w14:paraId="726C70F6" w14:textId="7DAE1C89">
      <w:pPr>
        <w:pStyle w:val="FootnoteText"/>
      </w:pPr>
      <w:r w:rsidRPr="00D75194">
        <w:rPr>
          <w:rStyle w:val="FootnoteReference"/>
          <w:szCs w:val="16"/>
        </w:rPr>
        <w:footnoteRef/>
      </w:r>
      <w:r w:rsidRPr="00D75194">
        <w:t xml:space="preserve"> The unit operates as a group of experts that provide</w:t>
      </w:r>
      <w:r w:rsidRPr="00D75194" w:rsidR="00A63119">
        <w:t xml:space="preserve"> the</w:t>
      </w:r>
      <w:r w:rsidRPr="00D75194">
        <w:t xml:space="preserve"> overall vision of the UNFCCC negotiation </w:t>
      </w:r>
      <w:r w:rsidRPr="00D75194" w:rsidR="00D53275">
        <w:t xml:space="preserve">for </w:t>
      </w:r>
      <w:r w:rsidRPr="00D75194">
        <w:t xml:space="preserve">AILAC counties. Each expert serves as a coordinator to several additional national civil servants that also contribute to the negotiation. The </w:t>
      </w:r>
      <w:r w:rsidRPr="00D75194" w:rsidR="00E63FB7">
        <w:t>u</w:t>
      </w:r>
      <w:r w:rsidRPr="00D75194">
        <w:t xml:space="preserve">nit has included between </w:t>
      </w:r>
      <w:r w:rsidRPr="00D75194" w:rsidR="00E63FB7">
        <w:t>six and seven</w:t>
      </w:r>
      <w:r w:rsidRPr="00D75194">
        <w:t xml:space="preserve"> experts </w:t>
      </w:r>
      <w:r w:rsidRPr="00D75194" w:rsidR="00E63FB7">
        <w:t>over</w:t>
      </w:r>
      <w:r w:rsidRPr="00D75194">
        <w:t xml:space="preserve"> the years. These experts and civil servants have built trust and capacity with AILAC countries, allowing them to jointly develop country and group positions.</w:t>
      </w:r>
    </w:p>
  </w:footnote>
  <w:footnote w:id="16">
    <w:p w:rsidRPr="00D75194" w:rsidR="00A16349" w:rsidP="0064741B" w:rsidRDefault="00A16349" w14:paraId="79204C0B" w14:textId="021BC8D6">
      <w:pPr>
        <w:pStyle w:val="FootnoteText"/>
      </w:pPr>
      <w:r w:rsidRPr="00D75194">
        <w:rPr>
          <w:rStyle w:val="FootnoteReference"/>
          <w:szCs w:val="16"/>
        </w:rPr>
        <w:footnoteRef/>
      </w:r>
      <w:r w:rsidRPr="00D75194">
        <w:t xml:space="preserve"> The unit operates as a group of experts that provide</w:t>
      </w:r>
      <w:r w:rsidRPr="00D75194" w:rsidR="0066240A">
        <w:t xml:space="preserve"> the</w:t>
      </w:r>
      <w:r w:rsidRPr="00D75194">
        <w:t xml:space="preserve"> overall vision </w:t>
      </w:r>
      <w:r w:rsidRPr="00D75194" w:rsidR="0066240A">
        <w:t xml:space="preserve">for </w:t>
      </w:r>
      <w:r w:rsidRPr="00D75194">
        <w:t>the UNFCCC negotiation to AILAC counties. Each expert serves as a coordinator to several additional national civil servants</w:t>
      </w:r>
      <w:r w:rsidRPr="00D75194" w:rsidR="000A0BF0">
        <w:t>, who</w:t>
      </w:r>
      <w:r w:rsidRPr="00D75194">
        <w:t xml:space="preserve"> also contribute to the negotiation. The </w:t>
      </w:r>
      <w:r w:rsidRPr="00D75194" w:rsidR="000A0BF0">
        <w:t>u</w:t>
      </w:r>
      <w:r w:rsidRPr="00D75194">
        <w:t xml:space="preserve">nit has included between </w:t>
      </w:r>
      <w:r w:rsidRPr="00D75194" w:rsidR="000A0BF0">
        <w:t>six and seven</w:t>
      </w:r>
      <w:r w:rsidRPr="00D75194">
        <w:t xml:space="preserve"> experts </w:t>
      </w:r>
      <w:r w:rsidRPr="00D75194" w:rsidR="000A0BF0">
        <w:t xml:space="preserve">over </w:t>
      </w:r>
      <w:r w:rsidRPr="00D75194">
        <w:t>the years. These experts and civil servants have built trust and capacity with AILAC countries, allowing them to jointly develop country and group positions.</w:t>
      </w:r>
    </w:p>
  </w:footnote>
  <w:footnote w:id="17">
    <w:p w:rsidRPr="00D75194" w:rsidR="00A16349" w:rsidP="0064741B" w:rsidRDefault="00A16349" w14:paraId="67122A98" w14:textId="5B700C06">
      <w:pPr>
        <w:pStyle w:val="FootnoteText"/>
      </w:pPr>
      <w:r w:rsidRPr="00D75194">
        <w:rPr>
          <w:rStyle w:val="FootnoteReference"/>
          <w:szCs w:val="16"/>
        </w:rPr>
        <w:footnoteRef/>
      </w:r>
      <w:r w:rsidRPr="00D75194">
        <w:t xml:space="preserve"> Verified evidence: training logs of delegates across AILAC countries; hosting workshops with AILAC countries in </w:t>
      </w:r>
      <w:r w:rsidRPr="00D75194" w:rsidR="002F2270">
        <w:t>preparation for/</w:t>
      </w:r>
      <w:r w:rsidRPr="00D75194">
        <w:t>post</w:t>
      </w:r>
      <w:r w:rsidRPr="00D75194" w:rsidR="002F2270">
        <w:t>-</w:t>
      </w:r>
      <w:r w:rsidRPr="00D75194">
        <w:t xml:space="preserve">COPs/SBs/CD meetings; and Panama </w:t>
      </w:r>
      <w:r w:rsidRPr="00D75194" w:rsidR="00F93AD1">
        <w:t>l</w:t>
      </w:r>
      <w:r w:rsidRPr="00D75194">
        <w:t xml:space="preserve">etter. No access to </w:t>
      </w:r>
      <w:r w:rsidR="00023200">
        <w:t>‘e</w:t>
      </w:r>
      <w:r w:rsidRPr="00D75194">
        <w:t>lders</w:t>
      </w:r>
      <w:r w:rsidR="00023200">
        <w:t>’</w:t>
      </w:r>
      <w:r w:rsidRPr="00D75194">
        <w:t xml:space="preserve">, recipients of TP support, projects submitted to IKI, or AILAC country </w:t>
      </w:r>
      <w:r w:rsidRPr="00D75194" w:rsidR="002F2270">
        <w:t>Heads of Delegation</w:t>
      </w:r>
      <w:r w:rsidRPr="00D75194">
        <w:t>, etc.</w:t>
      </w:r>
    </w:p>
  </w:footnote>
  <w:footnote w:id="18">
    <w:p w:rsidRPr="00D75194" w:rsidR="2244BA94" w:rsidP="2244BA94" w:rsidRDefault="2244BA94" w14:paraId="3A1F5710" w14:textId="7EF47349">
      <w:pPr>
        <w:pStyle w:val="FootnoteText"/>
      </w:pPr>
      <w:r w:rsidRPr="00D75194">
        <w:rPr>
          <w:rStyle w:val="FootnoteReference"/>
        </w:rPr>
        <w:footnoteRef/>
      </w:r>
      <w:r w:rsidRPr="00D75194">
        <w:t xml:space="preserve"> The TPs continue to employ </w:t>
      </w:r>
      <w:hyperlink r:id="rId1">
        <w:r w:rsidRPr="00D75194">
          <w:rPr>
            <w:rStyle w:val="Hyperlink"/>
          </w:rPr>
          <w:t>outcome mapping</w:t>
        </w:r>
      </w:hyperlink>
      <w:r w:rsidRPr="00D75194" w:rsidR="00553655">
        <w:t xml:space="preserve">, </w:t>
      </w:r>
      <w:r w:rsidRPr="00D75194">
        <w:t xml:space="preserve">which uses progress markers. A set of progress markers are identified for each boundary partner. These are visible, behavioural changes ranging from the minimum one would expect to see the boundary partners doing as an early response to the programme, to what it would like to see, and finally to what it would love to see them doing if the programme were having a profound influence. </w:t>
      </w:r>
    </w:p>
  </w:footnote>
  <w:footnote w:id="19">
    <w:p w:rsidRPr="00D75194" w:rsidR="00A16349" w:rsidP="0064741B" w:rsidRDefault="00A16349" w14:paraId="42D5189F" w14:textId="2281A5EC">
      <w:pPr>
        <w:pStyle w:val="FootnoteText"/>
      </w:pPr>
      <w:r w:rsidRPr="00D75194">
        <w:rPr>
          <w:rStyle w:val="FootnoteReference"/>
          <w:szCs w:val="16"/>
        </w:rPr>
        <w:footnoteRef/>
      </w:r>
      <w:r w:rsidRPr="00D75194">
        <w:t xml:space="preserve"> An analysis of the actors and factors which characterised different contributions</w:t>
      </w:r>
      <w:r w:rsidRPr="00D75194" w:rsidR="00064939">
        <w:t>,</w:t>
      </w:r>
      <w:r w:rsidRPr="00D75194">
        <w:t xml:space="preserve"> alongside more general external events (gleaned from the timelines)</w:t>
      </w:r>
      <w:r w:rsidRPr="00D75194" w:rsidR="00064939">
        <w:t>,</w:t>
      </w:r>
      <w:r w:rsidRPr="00D75194">
        <w:t xml:space="preserve"> have been used to answer this question. </w:t>
      </w:r>
    </w:p>
  </w:footnote>
  <w:footnote w:id="20">
    <w:p w:rsidRPr="00D75194" w:rsidR="00C22F13" w:rsidP="00C22F13" w:rsidRDefault="00C22F13" w14:paraId="7D9C873B" w14:textId="2AF04BDA">
      <w:pPr>
        <w:pStyle w:val="FootnoteText"/>
      </w:pPr>
      <w:r w:rsidRPr="00D75194">
        <w:rPr>
          <w:rStyle w:val="FootnoteReference"/>
          <w:szCs w:val="16"/>
        </w:rPr>
        <w:footnoteRef/>
      </w:r>
      <w:r w:rsidRPr="00D75194">
        <w:t xml:space="preserve"> North, D. (1990) </w:t>
      </w:r>
      <w:r w:rsidRPr="00D75194">
        <w:rPr>
          <w:i/>
          <w:iCs/>
        </w:rPr>
        <w:t>Institutions, Institutional Change, and Economic Performance</w:t>
      </w:r>
      <w:r w:rsidRPr="00D75194">
        <w:t>, Cambridge University Press (p. 3).</w:t>
      </w:r>
    </w:p>
  </w:footnote>
  <w:footnote w:id="21">
    <w:p w:rsidRPr="00D75194" w:rsidR="00C22F13" w:rsidP="00C22F13" w:rsidRDefault="00C22F13" w14:paraId="78FCD8F8" w14:textId="5F9AAE74">
      <w:pPr>
        <w:pStyle w:val="FootnoteText"/>
      </w:pPr>
      <w:r w:rsidRPr="00D75194">
        <w:rPr>
          <w:rStyle w:val="FootnoteReference"/>
          <w:szCs w:val="16"/>
        </w:rPr>
        <w:footnoteRef/>
      </w:r>
      <w:r w:rsidRPr="00D75194">
        <w:t xml:space="preserve"> Ibid., pp. 5, 73.</w:t>
      </w:r>
    </w:p>
  </w:footnote>
  <w:footnote w:id="22">
    <w:p w:rsidRPr="00D75194" w:rsidR="00C22F13" w:rsidP="00C22F13" w:rsidRDefault="00C22F13" w14:paraId="171C89B9" w14:textId="4C238430">
      <w:pPr>
        <w:pStyle w:val="FootnoteText"/>
      </w:pPr>
      <w:r w:rsidRPr="00D75194">
        <w:rPr>
          <w:rStyle w:val="FootnoteReference"/>
          <w:szCs w:val="16"/>
        </w:rPr>
        <w:footnoteRef/>
      </w:r>
      <w:r w:rsidRPr="00D75194">
        <w:t xml:space="preserve"> Ibid., p. 5. </w:t>
      </w:r>
    </w:p>
  </w:footnote>
  <w:footnote w:id="23">
    <w:p w:rsidRPr="00D75194" w:rsidR="00F40C0A" w:rsidRDefault="00F40C0A" w14:paraId="3CF8C203" w14:textId="70D6FFFC">
      <w:pPr>
        <w:pStyle w:val="FootnoteText"/>
      </w:pPr>
      <w:r w:rsidRPr="00D75194">
        <w:rPr>
          <w:rStyle w:val="FootnoteReference"/>
        </w:rPr>
        <w:footnoteRef/>
      </w:r>
      <w:r w:rsidRPr="00D75194">
        <w:t xml:space="preserve"> Merriam</w:t>
      </w:r>
      <w:r w:rsidRPr="00D75194" w:rsidR="00FD0CDB">
        <w:t>-</w:t>
      </w:r>
      <w:r w:rsidRPr="00D75194">
        <w:t xml:space="preserve">Webster Dictionary: </w:t>
      </w:r>
      <w:hyperlink w:history="1" r:id="rId2">
        <w:r w:rsidRPr="00D75194" w:rsidR="005C27F2">
          <w:rPr>
            <w:rStyle w:val="Hyperlink"/>
          </w:rPr>
          <w:t>https://www.merriam-webster.com/dictionary/norm</w:t>
        </w:r>
      </w:hyperlink>
      <w:r w:rsidRPr="00D75194" w:rsidR="005C27F2">
        <w:t xml:space="preserve"> </w:t>
      </w:r>
    </w:p>
  </w:footnote>
  <w:footnote w:id="24">
    <w:p w:rsidRPr="00D75194" w:rsidR="005C27F2" w:rsidRDefault="005C27F2" w14:paraId="02880F46" w14:textId="782D2AF2">
      <w:pPr>
        <w:pStyle w:val="FootnoteText"/>
        <w:rPr>
          <w:rFonts w:asciiTheme="minorHAnsi" w:hAnsiTheme="minorHAnsi" w:cstheme="minorHAnsi"/>
        </w:rPr>
      </w:pPr>
      <w:r w:rsidRPr="00D75194">
        <w:rPr>
          <w:rStyle w:val="FootnoteReference"/>
          <w:rFonts w:asciiTheme="minorHAnsi" w:hAnsiTheme="minorHAnsi" w:cstheme="minorHAnsi"/>
        </w:rPr>
        <w:footnoteRef/>
      </w:r>
      <w:r w:rsidRPr="00D75194">
        <w:rPr>
          <w:rFonts w:asciiTheme="minorHAnsi" w:hAnsiTheme="minorHAnsi" w:cstheme="minorHAnsi"/>
        </w:rPr>
        <w:t xml:space="preserve"> </w:t>
      </w:r>
      <w:r w:rsidRPr="00D75194">
        <w:rPr>
          <w:rFonts w:eastAsia="Aptos" w:asciiTheme="minorHAnsi" w:hAnsiTheme="minorHAnsi" w:cstheme="minorHAnsi"/>
        </w:rPr>
        <w:t xml:space="preserve">See United Nations Climate Change: </w:t>
      </w:r>
      <w:hyperlink r:id="rId3">
        <w:r w:rsidRPr="00D75194">
          <w:rPr>
            <w:rStyle w:val="Hyperlink"/>
            <w:rFonts w:eastAsia="Aptos" w:asciiTheme="minorHAnsi" w:hAnsiTheme="minorHAnsi" w:cstheme="minorHAnsi"/>
            <w:color w:val="467886"/>
          </w:rPr>
          <w:t>https://unfccc.int/process-and-meetings/conferences/the-big-picture/what-are-united-nations-climate-change-conferences/how-cops-are-organized-questions-and-answers</w:t>
        </w:r>
      </w:hyperlink>
    </w:p>
  </w:footnote>
  <w:footnote w:id="25">
    <w:p w:rsidRPr="00D75194" w:rsidR="001C4894" w:rsidP="0064741B" w:rsidRDefault="001C4894" w14:paraId="2345F040" w14:textId="7F5EE64D">
      <w:pPr>
        <w:pStyle w:val="FootnoteText"/>
      </w:pPr>
      <w:r w:rsidRPr="00D75194">
        <w:rPr>
          <w:rStyle w:val="FootnoteReference"/>
          <w:szCs w:val="16"/>
        </w:rPr>
        <w:footnoteRef/>
      </w:r>
      <w:r w:rsidRPr="00D75194">
        <w:t xml:space="preserve"> As defined by ICF KPI 15’s methodology: </w:t>
      </w:r>
      <w:r w:rsidRPr="00D75194" w:rsidR="001719E4">
        <w:t>“</w:t>
      </w:r>
      <w:r w:rsidRPr="00D75194">
        <w:t>Transformational change implies significant, sustainable change that has permanently changed an organisation’s culture, policies or behaviours, and/or has also influenced the way that other organisations or individuals do business. </w:t>
      </w:r>
      <w:r w:rsidRPr="00D75194" w:rsidR="001719E4">
        <w:t>”</w:t>
      </w:r>
      <w:r w:rsidRPr="00D75194" w:rsidR="00897CCA">
        <w:t xml:space="preserve"> </w:t>
      </w:r>
      <w:hyperlink w:history="1" r:id="rId4">
        <w:r w:rsidRPr="00D75194" w:rsidR="00897CCA">
          <w:rPr>
            <w:rStyle w:val="Hyperlink"/>
            <w:szCs w:val="16"/>
          </w:rPr>
          <w:t>International Climate Finance KPI 15 Methodology Note: Extent to which ICF intervention is likely to lead to transformational change</w:t>
        </w:r>
      </w:hyperlink>
      <w:r w:rsidRPr="00D75194" w:rsidR="00897CCA">
        <w:t xml:space="preserve"> </w:t>
      </w:r>
      <w:r w:rsidRPr="00D75194">
        <w:t> </w:t>
      </w:r>
    </w:p>
  </w:footnote>
  <w:footnote w:id="26">
    <w:p w:rsidRPr="00D75194" w:rsidR="0024674D" w:rsidP="0064741B" w:rsidRDefault="0024674D" w14:paraId="5E7182E9" w14:textId="3524B626">
      <w:pPr>
        <w:pStyle w:val="FootnoteText"/>
      </w:pPr>
      <w:r w:rsidRPr="00D75194">
        <w:rPr>
          <w:rStyle w:val="FootnoteReference"/>
          <w:szCs w:val="16"/>
        </w:rPr>
        <w:footnoteRef/>
      </w:r>
      <w:r w:rsidRPr="00D75194">
        <w:t xml:space="preserve"> 4</w:t>
      </w:r>
      <w:r w:rsidRPr="00D75194" w:rsidR="008C6C0A">
        <w:t>8</w:t>
      </w:r>
      <w:r w:rsidRPr="00D75194">
        <w:t xml:space="preserve"> separate organisations, 74 individuals</w:t>
      </w:r>
      <w:r w:rsidRPr="00D75194" w:rsidR="008B74E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D75194" w:rsidR="002C5FC0" w:rsidRDefault="002C5FC0" w14:paraId="5947E3AC" w14:textId="55B71523">
    <w:pPr>
      <w:pStyle w:val="Header"/>
    </w:pPr>
    <w:r w:rsidRPr="00D75194">
      <w:rPr>
        <w:noProof/>
      </w:rPr>
      <mc:AlternateContent>
        <mc:Choice Requires="wps">
          <w:drawing>
            <wp:anchor distT="0" distB="0" distL="0" distR="0" simplePos="0" relativeHeight="251658243" behindDoc="0" locked="0" layoutInCell="1" allowOverlap="1" wp14:anchorId="6BB2D5B9" wp14:editId="1469FC45">
              <wp:simplePos x="635" y="635"/>
              <wp:positionH relativeFrom="page">
                <wp:align>center</wp:align>
              </wp:positionH>
              <wp:positionV relativeFrom="page">
                <wp:align>top</wp:align>
              </wp:positionV>
              <wp:extent cx="459740" cy="368300"/>
              <wp:effectExtent l="0" t="0" r="16510" b="12700"/>
              <wp:wrapNone/>
              <wp:docPr id="160050537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01C7575C" w14:textId="576F1426">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EF0EA81">
            <v:shapetype id="_x0000_t202" coordsize="21600,21600" o:spt="202" path="m,l,21600r21600,l21600,xe" w14:anchorId="6BB2D5B9">
              <v:stroke joinstyle="miter"/>
              <v:path gradientshapeok="t" o:connecttype="rect"/>
            </v:shapetype>
            <v:shape id="Text Box 9" style="position:absolute;left:0;text-align:left;margin-left:0;margin-top:0;width:36.2pt;height:29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">
              <v:textbox style="mso-fit-shape-to-text:t" inset="0,15pt,0,0">
                <w:txbxContent>
                  <w:p w:rsidRPr="00D75194" w:rsidR="002C5FC0" w:rsidP="002C5FC0" w:rsidRDefault="002C5FC0" w14:paraId="2CCFEE10" w14:textId="576F1426">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mc:Ignorable="w14 w15 w16se w16cid w16 w16cex w16sdtdh w16sdtfl w16du wp14">
  <w:p w:rsidRPr="00D75194" w:rsidR="009C6B8C" w:rsidP="009C6B8C" w:rsidRDefault="002C5FC0" w14:paraId="6FBD180E" w14:textId="27C6699A">
    <w:pPr>
      <w:pStyle w:val="Header"/>
    </w:pPr>
    <w:bookmarkStart w:name="_Hlk66962464" w:id="2"/>
    <w:bookmarkStart w:name="_Hlk66962465" w:id="3"/>
    <w:bookmarkStart w:name="_Hlk66962466" w:id="4"/>
    <w:bookmarkStart w:name="_Hlk66962467" w:id="5"/>
    <w:r w:rsidRPr="00D75194">
      <w:rPr>
        <w:noProof/>
      </w:rPr>
      <mc:AlternateContent>
        <mc:Choice Requires="wps">
          <w:drawing>
            <wp:anchor distT="0" distB="0" distL="0" distR="0" simplePos="0" relativeHeight="251658246" behindDoc="0" locked="0" layoutInCell="1" allowOverlap="1" wp14:anchorId="01CDFF9B" wp14:editId="74396526">
              <wp:simplePos x="635" y="635"/>
              <wp:positionH relativeFrom="page">
                <wp:align>center</wp:align>
              </wp:positionH>
              <wp:positionV relativeFrom="page">
                <wp:align>top</wp:align>
              </wp:positionV>
              <wp:extent cx="459740" cy="368300"/>
              <wp:effectExtent l="0" t="0" r="16510" b="12700"/>
              <wp:wrapNone/>
              <wp:docPr id="120068474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793B849E" w14:textId="7B5B9DA0">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EA8A520">
            <v:shapetype id="_x0000_t202" coordsize="21600,21600" o:spt="202" path="m,l,21600r21600,l21600,xe" w14:anchorId="01CDFF9B">
              <v:stroke joinstyle="miter"/>
              <v:path gradientshapeok="t" o:connecttype="rect"/>
            </v:shapetype>
            <v:shape id="Text Box 10" style="position:absolute;left:0;text-align:left;margin-left:0;margin-top:0;width:36.2pt;height:29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">
              <v:textbox style="mso-fit-shape-to-text:t" inset="0,15pt,0,0">
                <w:txbxContent>
                  <w:p w:rsidRPr="00D75194" w:rsidR="002C5FC0" w:rsidP="002C5FC0" w:rsidRDefault="002C5FC0" w14:paraId="17D1F485" w14:textId="7B5B9DA0">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r w:rsidRPr="00D75194" w:rsidR="009C6B8C">
      <w:rPr>
        <w:noProof/>
      </w:rPr>
      <mc:AlternateContent>
        <mc:Choice Requires="wps">
          <w:drawing>
            <wp:anchor distT="0" distB="0" distL="114300" distR="114300" simplePos="0" relativeHeight="251658241" behindDoc="1" locked="1" layoutInCell="1" allowOverlap="1" wp14:anchorId="14E73091" wp14:editId="043EF36F">
              <wp:simplePos x="0" y="0"/>
              <wp:positionH relativeFrom="page">
                <wp:align>right</wp:align>
              </wp:positionH>
              <wp:positionV relativeFrom="page">
                <wp:posOffset>737870</wp:posOffset>
              </wp:positionV>
              <wp:extent cx="10692000"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a:solidFill>
                          <a:srgbClr val="4040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4C7CA1A6">
            <v:line id="Straight Connector 13" style="position:absolute;z-index:-251658239;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alt="&quot;&quot;" o:spid="_x0000_s1026" strokecolor="#404040" strokeweight=".5pt" from="790.7pt,58.1pt" to="1632.6pt,58.1pt" w14:anchorId="4830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">
              <v:stroke joinstyle="miter"/>
              <w10:wrap anchorx="page" anchory="page"/>
              <w10:anchorlock/>
            </v:line>
          </w:pict>
        </mc:Fallback>
      </mc:AlternateContent>
    </w:r>
  </w:p>
  <w:tbl>
    <w:tblPr>
      <w:tblStyle w:val="TableGrid"/>
      <w:tblpPr w:leftFromText="142" w:rightFromText="142" w:vertAnchor="page" w:horzAnchor="page" w:tblpXSpec="righ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Look w:val="04A0" w:firstRow="1" w:lastRow="0" w:firstColumn="1" w:lastColumn="0" w:noHBand="0" w:noVBand="1"/>
      <w:tblDescription w:val="#LayoutTable"/>
    </w:tblPr>
    <w:tblGrid>
      <w:gridCol w:w="227"/>
      <w:gridCol w:w="1985"/>
      <w:gridCol w:w="567"/>
    </w:tblGrid>
    <w:tr w:rsidRPr="00D75194" w:rsidR="009C6B8C" w:rsidTr="227DA403" w14:paraId="4564E50B" w14:textId="77777777">
      <w:trPr>
        <w:trHeight w:val="312" w:hRule="exact"/>
      </w:trPr>
      <w:tc>
        <w:tcPr>
          <w:tcW w:w="227" w:type="dxa"/>
          <w:shd w:val="clear" w:color="auto" w:fill="FFFFFF" w:themeFill="background1"/>
          <w:vAlign w:val="bottom"/>
        </w:tcPr>
        <w:p w:rsidRPr="00D75194" w:rsidR="009C6B8C" w:rsidP="009C6B8C" w:rsidRDefault="009C6B8C" w14:paraId="4450CEBE" w14:textId="77777777">
          <w:pPr>
            <w:pStyle w:val="Header"/>
          </w:pPr>
        </w:p>
      </w:tc>
      <w:tc>
        <w:tcPr>
          <w:tcW w:w="1985" w:type="dxa"/>
          <w:shd w:val="clear" w:color="auto" w:fill="FFFFFF" w:themeFill="background1"/>
          <w:vAlign w:val="bottom"/>
        </w:tcPr>
        <w:p w:rsidRPr="00D75194" w:rsidR="009C6B8C" w:rsidP="009C6B8C" w:rsidRDefault="009C6B8C" w14:paraId="6B181A06" w14:textId="77777777">
          <w:pPr>
            <w:pStyle w:val="Header"/>
          </w:pPr>
        </w:p>
      </w:tc>
      <w:tc>
        <w:tcPr>
          <w:tcW w:w="567" w:type="dxa"/>
          <w:shd w:val="clear" w:color="auto" w:fill="FFFFFF" w:themeFill="background1"/>
          <w:vAlign w:val="bottom"/>
        </w:tcPr>
        <w:p w:rsidRPr="00D75194" w:rsidR="009C6B8C" w:rsidP="009C6B8C" w:rsidRDefault="009C6B8C" w14:paraId="16AB5191" w14:textId="77777777">
          <w:pPr>
            <w:pStyle w:val="Header"/>
          </w:pPr>
        </w:p>
      </w:tc>
    </w:tr>
    <w:tr w:rsidRPr="00D75194" w:rsidR="009C6B8C" w:rsidTr="227DA403" w14:paraId="6726F73E" w14:textId="77777777">
      <w:trPr>
        <w:trHeight w:val="851" w:hRule="exact"/>
      </w:trPr>
      <w:tc>
        <w:tcPr>
          <w:tcW w:w="227" w:type="dxa"/>
          <w:shd w:val="clear" w:color="auto" w:fill="FFFFFF" w:themeFill="background1"/>
          <w:vAlign w:val="bottom"/>
        </w:tcPr>
        <w:p w:rsidRPr="00D75194" w:rsidR="009C6B8C" w:rsidP="009C6B8C" w:rsidRDefault="009C6B8C" w14:paraId="4AB3A7C5" w14:textId="77777777">
          <w:pPr>
            <w:pStyle w:val="Header"/>
          </w:pPr>
        </w:p>
      </w:tc>
      <w:tc>
        <w:tcPr>
          <w:tcW w:w="1985" w:type="dxa"/>
          <w:shd w:val="clear" w:color="auto" w:fill="FFFFFF" w:themeFill="background1"/>
          <w:vAlign w:val="bottom"/>
        </w:tcPr>
        <w:p w:rsidRPr="00D75194" w:rsidR="009C6B8C" w:rsidP="009C6B8C" w:rsidRDefault="00410EFF" w14:paraId="6938030F" w14:textId="77777777">
          <w:pPr>
            <w:pStyle w:val="Header"/>
          </w:pPr>
          <w:sdt>
            <w:sdtPr>
              <w:alias w:val="NirasLogo"/>
              <w:id w:val="-84155040"/>
              <w:dataBinding w:prefixMappings="xmlns:ns0='http://niras/templates/logo' " w:xpath="/ns0:logo[1]/ns0:image[1]" w:storeItemID="{5831B250-2D74-4D7D-BDA8-ACC64AE5CFD2}"/>
              <w:picture/>
            </w:sdtPr>
            <w:sdtEndPr/>
            <w:sdtContent>
              <w:r w:rsidRPr="00D75194" w:rsidR="00345484">
                <w:rPr>
                  <w:noProof/>
                </w:rPr>
                <w:drawing>
                  <wp:inline distT="0" distB="0" distL="0" distR="0" wp14:anchorId="7E0DAB1C" wp14:editId="6D6A3D71">
                    <wp:extent cx="1260000" cy="407646"/>
                    <wp:effectExtent l="0" t="0" r="0" b="0"/>
                    <wp:docPr id="1323473717" name="Picture 132347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preferRelativeResize="0">
                              <a:picLocks noChangeAspect="1" noChangeArrowheads="1"/>
                            </pic:cNvPicPr>
                          </pic:nvPicPr>
                          <pic:blipFill>
                            <a:blip r:embed="rId1"/>
                            <a:stretch>
                              <a:fillRect/>
                            </a:stretch>
                          </pic:blipFill>
                          <pic:spPr bwMode="auto">
                            <a:xfrm>
                              <a:off x="0" y="0"/>
                              <a:ext cx="1260000" cy="407646"/>
                            </a:xfrm>
                            <a:prstGeom prst="rect">
                              <a:avLst/>
                            </a:prstGeom>
                            <a:noFill/>
                            <a:ln>
                              <a:noFill/>
                            </a:ln>
                          </pic:spPr>
                        </pic:pic>
                      </a:graphicData>
                    </a:graphic>
                  </wp:inline>
                </w:drawing>
              </w:r>
            </w:sdtContent>
          </w:sdt>
        </w:p>
      </w:tc>
      <w:tc>
        <w:tcPr>
          <w:tcW w:w="567" w:type="dxa"/>
          <w:shd w:val="clear" w:color="auto" w:fill="FFFFFF" w:themeFill="background1"/>
          <w:vAlign w:val="bottom"/>
        </w:tcPr>
        <w:p w:rsidRPr="00D75194" w:rsidR="009C6B8C" w:rsidP="009C6B8C" w:rsidRDefault="009C6B8C" w14:paraId="24DA5621" w14:textId="77777777">
          <w:pPr>
            <w:pStyle w:val="Header"/>
          </w:pPr>
        </w:p>
      </w:tc>
    </w:tr>
    <w:tr w:rsidRPr="00D75194" w:rsidR="009C6B8C" w:rsidTr="227DA403" w14:paraId="24D6FD44" w14:textId="77777777">
      <w:trPr>
        <w:trHeight w:val="170" w:hRule="exact"/>
      </w:trPr>
      <w:tc>
        <w:tcPr>
          <w:tcW w:w="227" w:type="dxa"/>
          <w:shd w:val="clear" w:color="auto" w:fill="FFFFFF" w:themeFill="background1"/>
          <w:vAlign w:val="bottom"/>
        </w:tcPr>
        <w:p w:rsidRPr="00D75194" w:rsidR="009C6B8C" w:rsidP="009C6B8C" w:rsidRDefault="009C6B8C" w14:paraId="5CE7FBC2" w14:textId="77777777">
          <w:pPr>
            <w:pStyle w:val="Header"/>
          </w:pPr>
        </w:p>
      </w:tc>
      <w:tc>
        <w:tcPr>
          <w:tcW w:w="1985" w:type="dxa"/>
          <w:shd w:val="clear" w:color="auto" w:fill="FFFFFF" w:themeFill="background1"/>
          <w:vAlign w:val="bottom"/>
        </w:tcPr>
        <w:p w:rsidRPr="00D75194" w:rsidR="009C6B8C" w:rsidP="009C6B8C" w:rsidRDefault="009C6B8C" w14:paraId="4AB23371" w14:textId="77777777">
          <w:pPr>
            <w:pStyle w:val="Header"/>
          </w:pPr>
        </w:p>
      </w:tc>
      <w:tc>
        <w:tcPr>
          <w:tcW w:w="567" w:type="dxa"/>
          <w:shd w:val="clear" w:color="auto" w:fill="FFFFFF" w:themeFill="background1"/>
          <w:vAlign w:val="bottom"/>
        </w:tcPr>
        <w:p w:rsidRPr="00D75194" w:rsidR="009C6B8C" w:rsidP="009C6B8C" w:rsidRDefault="009C6B8C" w14:paraId="316C5A75" w14:textId="77777777">
          <w:pPr>
            <w:pStyle w:val="Header"/>
          </w:pPr>
        </w:p>
      </w:tc>
    </w:tr>
    <w:bookmarkEnd w:id="2"/>
    <w:bookmarkEnd w:id="3"/>
    <w:bookmarkEnd w:id="4"/>
    <w:bookmarkEnd w:id="5"/>
  </w:tbl>
  <w:p w:rsidRPr="00D75194" w:rsidR="009C6B8C" w:rsidP="009C6B8C" w:rsidRDefault="009C6B8C" w14:paraId="66BEED7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dec="http://schemas.microsoft.com/office/drawing/2017/decorative" xmlns:aclsh="http://schemas.microsoft.com/office/drawing/2020/classificationShape" mc:Ignorable="w14 w15 w16se w16cid w16 w16cex w16sdtdh w16sdtfl w16du wp14">
  <w:p w:rsidRPr="00D75194" w:rsidR="002C5FC0" w:rsidRDefault="001D3A78" w14:paraId="3230E360" w14:textId="40270B0C">
    <w:pPr>
      <w:pStyle w:val="Header"/>
    </w:pPr>
    <w:r w:rsidRPr="00D75194">
      <w:rPr>
        <w:noProof/>
      </w:rPr>
      <w:drawing>
        <wp:anchor distT="0" distB="0" distL="114300" distR="114300" simplePos="0" relativeHeight="251658250" behindDoc="0" locked="0" layoutInCell="1" allowOverlap="1" wp14:anchorId="7A0D5DC9" wp14:editId="0EFE1750">
          <wp:simplePos x="0" y="0"/>
          <wp:positionH relativeFrom="column">
            <wp:posOffset>5353685</wp:posOffset>
          </wp:positionH>
          <wp:positionV relativeFrom="paragraph">
            <wp:posOffset>-110490</wp:posOffset>
          </wp:positionV>
          <wp:extent cx="1259840" cy="407035"/>
          <wp:effectExtent l="0" t="0" r="0" b="0"/>
          <wp:wrapTopAndBottom/>
          <wp:docPr id="1910273956" name="Picture 19102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preferRelativeResize="0">
                    <a:picLocks noChangeAspect="1" noChangeArrowheads="1"/>
                  </pic:cNvPicPr>
                </pic:nvPicPr>
                <pic:blipFill>
                  <a:blip r:embed="rId1"/>
                  <a:stretch>
                    <a:fillRect/>
                  </a:stretch>
                </pic:blipFill>
                <pic:spPr bwMode="auto">
                  <a:xfrm>
                    <a:off x="0" y="0"/>
                    <a:ext cx="1259840" cy="407035"/>
                  </a:xfrm>
                  <a:prstGeom prst="rect">
                    <a:avLst/>
                  </a:prstGeom>
                  <a:noFill/>
                  <a:ln>
                    <a:noFill/>
                  </a:ln>
                </pic:spPr>
              </pic:pic>
            </a:graphicData>
          </a:graphic>
        </wp:anchor>
      </w:drawing>
    </w:r>
    <w:r w:rsidRPr="00D75194">
      <w:rPr>
        <w:noProof/>
      </w:rPr>
      <mc:AlternateContent>
        <mc:Choice Requires="wps">
          <w:drawing>
            <wp:anchor distT="0" distB="0" distL="114300" distR="114300" simplePos="0" relativeHeight="251658251" behindDoc="1" locked="1" layoutInCell="1" allowOverlap="1" wp14:anchorId="664311B2" wp14:editId="3C3BBF85">
              <wp:simplePos x="0" y="0"/>
              <wp:positionH relativeFrom="page">
                <wp:posOffset>-4809490</wp:posOffset>
              </wp:positionH>
              <wp:positionV relativeFrom="page">
                <wp:posOffset>737235</wp:posOffset>
              </wp:positionV>
              <wp:extent cx="10691495" cy="0"/>
              <wp:effectExtent l="0" t="0" r="0" b="0"/>
              <wp:wrapNone/>
              <wp:docPr id="943718591" name="Straight Connector 943718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1495" cy="0"/>
                      </a:xfrm>
                      <a:prstGeom prst="line">
                        <a:avLst/>
                      </a:prstGeom>
                      <a:ln>
                        <a:solidFill>
                          <a:srgbClr val="4040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7087C26C">
            <v:line id="Straight Connector 943718591" style="position:absolute;z-index:-25165822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404040" strokeweight=".5pt" from="-378.7pt,58.05pt" to="463.15pt,58.05pt" w14:anchorId="35930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">
              <v:stroke joinstyle="miter"/>
              <w10:wrap anchorx="page" anchory="page"/>
              <w10:anchorlock/>
            </v:line>
          </w:pict>
        </mc:Fallback>
      </mc:AlternateContent>
    </w:r>
    <w:r w:rsidRPr="00D75194" w:rsidR="002C5FC0">
      <w:rPr>
        <w:noProof/>
      </w:rPr>
      <mc:AlternateContent>
        <mc:Choice Requires="wps">
          <w:drawing>
            <wp:anchor distT="0" distB="0" distL="0" distR="0" simplePos="0" relativeHeight="251658242" behindDoc="0" locked="0" layoutInCell="1" allowOverlap="1" wp14:anchorId="017C0B82" wp14:editId="45EB9917">
              <wp:simplePos x="635" y="635"/>
              <wp:positionH relativeFrom="page">
                <wp:align>center</wp:align>
              </wp:positionH>
              <wp:positionV relativeFrom="page">
                <wp:align>top</wp:align>
              </wp:positionV>
              <wp:extent cx="459740" cy="368300"/>
              <wp:effectExtent l="0" t="0" r="16510" b="12700"/>
              <wp:wrapNone/>
              <wp:docPr id="168198513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4E0865BA" w14:textId="333378FC">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FC66F2D">
            <v:shapetype id="_x0000_t202" coordsize="21600,21600" o:spt="202" path="m,l,21600r21600,l21600,xe" w14:anchorId="017C0B82">
              <v:stroke joinstyle="miter"/>
              <v:path gradientshapeok="t" o:connecttype="rect"/>
            </v:shapetype>
            <v:shape id="Text Box 8" style="position:absolute;left:0;text-align:left;margin-left:0;margin-top:0;width:36.2pt;height:29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">
              <v:textbox style="mso-fit-shape-to-text:t" inset="0,15pt,0,0">
                <w:txbxContent>
                  <w:p w:rsidRPr="00D75194" w:rsidR="002C5FC0" w:rsidP="002C5FC0" w:rsidRDefault="002C5FC0" w14:paraId="08CE8BEA" w14:textId="333378FC">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mc:Ignorable="w14 w15 w16se w16cid w16 w16cex w16sdtdh w16sdtfl w16du wp14">
  <w:p w:rsidRPr="00D75194" w:rsidR="00240C83" w:rsidP="009C6B8C" w:rsidRDefault="002C5FC0" w14:paraId="06BFAA4E" w14:textId="30D42D45">
    <w:pPr>
      <w:pStyle w:val="Header"/>
    </w:pPr>
    <w:r w:rsidRPr="00D75194">
      <w:rPr>
        <w:noProof/>
      </w:rPr>
      <mc:AlternateContent>
        <mc:Choice Requires="wps">
          <w:drawing>
            <wp:anchor distT="0" distB="0" distL="0" distR="0" simplePos="0" relativeHeight="251658247" behindDoc="0" locked="0" layoutInCell="1" allowOverlap="1" wp14:anchorId="56D9876F" wp14:editId="25E599DE">
              <wp:simplePos x="635" y="635"/>
              <wp:positionH relativeFrom="page">
                <wp:align>center</wp:align>
              </wp:positionH>
              <wp:positionV relativeFrom="page">
                <wp:align>top</wp:align>
              </wp:positionV>
              <wp:extent cx="459740" cy="368300"/>
              <wp:effectExtent l="0" t="0" r="16510" b="12700"/>
              <wp:wrapNone/>
              <wp:docPr id="164268074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rsidRPr="00D75194" w:rsidR="002C5FC0" w:rsidP="002C5FC0" w:rsidRDefault="002C5FC0" w14:paraId="198BD671" w14:textId="24AE79EE">
                          <w:pPr>
                            <w:spacing w:after="0"/>
                            <w:rPr>
                              <w:rFonts w:ascii="Calibri" w:hAnsi="Calibri" w:eastAsia="Calibri" w:cs="Calibri"/>
                              <w:color w:val="000000"/>
                            </w:rPr>
                          </w:pPr>
                          <w:r w:rsidRPr="00D75194">
                            <w:rPr>
                              <w:rFonts w:ascii="Calibri" w:hAnsi="Calibri" w:eastAsia="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0F98CBA">
            <v:shapetype id="_x0000_t202" coordsize="21600,21600" o:spt="202" path="m,l,21600r21600,l21600,xe" w14:anchorId="56D9876F">
              <v:stroke joinstyle="miter"/>
              <v:path gradientshapeok="t" o:connecttype="rect"/>
            </v:shapetype>
            <v:shape id="Text Box 11" style="position:absolute;left:0;text-align:left;margin-left:0;margin-top:0;width:36.2pt;height:29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">
              <v:textbox style="mso-fit-shape-to-text:t" inset="0,15pt,0,0">
                <w:txbxContent>
                  <w:p w:rsidRPr="00D75194" w:rsidR="002C5FC0" w:rsidP="002C5FC0" w:rsidRDefault="002C5FC0" w14:paraId="171AAEBA" w14:textId="24AE79EE">
                    <w:pPr>
                      <w:spacing w:after="0"/>
                      <w:rPr>
                        <w:rFonts w:ascii="Calibri" w:hAnsi="Calibri" w:eastAsia="Calibri" w:cs="Calibri"/>
                        <w:color w:val="000000"/>
                      </w:rPr>
                    </w:pPr>
                    <w:r w:rsidRPr="00D75194">
                      <w:rPr>
                        <w:rFonts w:ascii="Calibri" w:hAnsi="Calibri" w:eastAsia="Calibri" w:cs="Calibri"/>
                        <w:color w:val="000000"/>
                      </w:rPr>
                      <w:t>OFFICIAL</w:t>
                    </w:r>
                  </w:p>
                </w:txbxContent>
              </v:textbox>
              <w10:wrap anchorx="page" anchory="page"/>
            </v:shape>
          </w:pict>
        </mc:Fallback>
      </mc:AlternateContent>
    </w:r>
  </w:p>
  <w:p w:rsidRPr="00D75194" w:rsidR="00240C83" w:rsidP="009C6B8C" w:rsidRDefault="00240C83" w14:paraId="01CD1C85" w14:textId="17CE703E">
    <w:pPr>
      <w:pStyle w:val="Header"/>
    </w:pPr>
  </w:p>
  <w:p w:rsidRPr="00D75194" w:rsidR="00DE3E90" w:rsidP="009C6B8C" w:rsidRDefault="00DE3E90" w14:paraId="114A7A99" w14:textId="77777777">
    <w:pPr>
      <w:pStyle w:val="Header"/>
    </w:pPr>
  </w:p>
  <w:p w:rsidRPr="00D75194" w:rsidR="0061236A" w:rsidP="009C6B8C" w:rsidRDefault="0061236A" w14:paraId="2630100F" w14:textId="77777777">
    <w:pPr>
      <w:pStyle w:val="Header"/>
    </w:pPr>
    <w:r w:rsidRPr="00D75194">
      <w:rPr>
        <w:noProof/>
      </w:rPr>
      <mc:AlternateContent>
        <mc:Choice Requires="wps">
          <w:drawing>
            <wp:anchor distT="0" distB="0" distL="114300" distR="114300" simplePos="0" relativeHeight="251658240" behindDoc="1" locked="1" layoutInCell="1" allowOverlap="1" wp14:anchorId="4F464B9D" wp14:editId="56CFA591">
              <wp:simplePos x="0" y="0"/>
              <wp:positionH relativeFrom="page">
                <wp:align>right</wp:align>
              </wp:positionH>
              <wp:positionV relativeFrom="page">
                <wp:posOffset>737870</wp:posOffset>
              </wp:positionV>
              <wp:extent cx="10692000" cy="0"/>
              <wp:effectExtent l="0" t="0" r="0" b="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a:solidFill>
                          <a:srgbClr val="4040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2986DEA0">
            <v:line id="Straight Connector 20" style="position:absolute;z-index:-2516582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alt="&quot;&quot;" o:spid="_x0000_s1026" strokecolor="#404040" strokeweight=".5pt" from="790.7pt,58.1pt" to="1632.6pt,58.1pt" w14:anchorId="08F48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">
              <v:stroke joinstyle="miter"/>
              <w10:wrap anchorx="page" anchory="page"/>
              <w10:anchorlock/>
            </v:line>
          </w:pict>
        </mc:Fallback>
      </mc:AlternateContent>
    </w:r>
  </w:p>
  <w:tbl>
    <w:tblPr>
      <w:tblStyle w:val="TableGrid"/>
      <w:tblpPr w:leftFromText="142" w:rightFromText="142" w:vertAnchor="page" w:horzAnchor="page" w:tblpXSpec="righ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Look w:val="04A0" w:firstRow="1" w:lastRow="0" w:firstColumn="1" w:lastColumn="0" w:noHBand="0" w:noVBand="1"/>
      <w:tblDescription w:val="#LayoutTable"/>
    </w:tblPr>
    <w:tblGrid>
      <w:gridCol w:w="227"/>
      <w:gridCol w:w="1985"/>
      <w:gridCol w:w="567"/>
    </w:tblGrid>
    <w:tr w:rsidRPr="00D75194" w:rsidR="0061236A" w:rsidTr="4FD83112" w14:paraId="20E345B2" w14:textId="77777777">
      <w:trPr>
        <w:trHeight w:val="312" w:hRule="exact"/>
      </w:trPr>
      <w:tc>
        <w:tcPr>
          <w:tcW w:w="227" w:type="dxa"/>
          <w:shd w:val="clear" w:color="auto" w:fill="FFFFFF" w:themeFill="background1"/>
          <w:vAlign w:val="bottom"/>
        </w:tcPr>
        <w:p w:rsidRPr="00D75194" w:rsidR="0061236A" w:rsidP="009C6B8C" w:rsidRDefault="0061236A" w14:paraId="1CE4CA1F" w14:textId="77777777">
          <w:pPr>
            <w:pStyle w:val="Header"/>
          </w:pPr>
        </w:p>
      </w:tc>
      <w:tc>
        <w:tcPr>
          <w:tcW w:w="1985" w:type="dxa"/>
          <w:shd w:val="clear" w:color="auto" w:fill="FFFFFF" w:themeFill="background1"/>
          <w:vAlign w:val="bottom"/>
        </w:tcPr>
        <w:p w:rsidRPr="00D75194" w:rsidR="0061236A" w:rsidP="009C6B8C" w:rsidRDefault="0061236A" w14:paraId="102AC35C" w14:textId="77777777">
          <w:pPr>
            <w:pStyle w:val="Header"/>
          </w:pPr>
        </w:p>
      </w:tc>
      <w:tc>
        <w:tcPr>
          <w:tcW w:w="567" w:type="dxa"/>
          <w:shd w:val="clear" w:color="auto" w:fill="FFFFFF" w:themeFill="background1"/>
          <w:vAlign w:val="bottom"/>
        </w:tcPr>
        <w:p w:rsidRPr="00D75194" w:rsidR="0061236A" w:rsidP="009C6B8C" w:rsidRDefault="0061236A" w14:paraId="53954775" w14:textId="77777777">
          <w:pPr>
            <w:pStyle w:val="Header"/>
          </w:pPr>
        </w:p>
      </w:tc>
    </w:tr>
    <w:tr w:rsidRPr="00D75194" w:rsidR="0061236A" w:rsidTr="4FD83112" w14:paraId="623C268A" w14:textId="77777777">
      <w:trPr>
        <w:trHeight w:val="851" w:hRule="exact"/>
      </w:trPr>
      <w:tc>
        <w:tcPr>
          <w:tcW w:w="227" w:type="dxa"/>
          <w:shd w:val="clear" w:color="auto" w:fill="FFFFFF" w:themeFill="background1"/>
          <w:vAlign w:val="bottom"/>
        </w:tcPr>
        <w:p w:rsidRPr="00D75194" w:rsidR="0061236A" w:rsidP="009C6B8C" w:rsidRDefault="0061236A" w14:paraId="49F5909C" w14:textId="77777777">
          <w:pPr>
            <w:pStyle w:val="Header"/>
          </w:pPr>
        </w:p>
      </w:tc>
      <w:tc>
        <w:tcPr>
          <w:tcW w:w="1985" w:type="dxa"/>
          <w:shd w:val="clear" w:color="auto" w:fill="FFFFFF" w:themeFill="background1"/>
          <w:vAlign w:val="bottom"/>
        </w:tcPr>
        <w:p w:rsidRPr="00D75194" w:rsidR="0061236A" w:rsidP="009C6B8C" w:rsidRDefault="00410EFF" w14:paraId="6CB98D6E" w14:textId="77777777">
          <w:pPr>
            <w:pStyle w:val="Header"/>
          </w:pPr>
          <w:sdt>
            <w:sdtPr>
              <w:alias w:val="NirasLogo"/>
              <w:id w:val="1206139656"/>
              <w:dataBinding w:prefixMappings="xmlns:ns0='http://niras/templates/logo' " w:xpath="/ns0:logo[1]/ns0:image[1]" w:storeItemID="{5831B250-2D74-4D7D-BDA8-ACC64AE5CFD2}"/>
              <w:picture/>
            </w:sdtPr>
            <w:sdtEndPr/>
            <w:sdtContent>
              <w:r w:rsidRPr="00D75194" w:rsidR="0061236A">
                <w:rPr>
                  <w:noProof/>
                </w:rPr>
                <w:drawing>
                  <wp:inline distT="0" distB="0" distL="0" distR="0" wp14:anchorId="770F9C37" wp14:editId="2CE8E371">
                    <wp:extent cx="1260000" cy="407646"/>
                    <wp:effectExtent l="0" t="0" r="0" b="0"/>
                    <wp:docPr id="1646145584" name="Picture 164614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preferRelativeResize="0">
                              <a:picLocks noChangeAspect="1" noChangeArrowheads="1"/>
                            </pic:cNvPicPr>
                          </pic:nvPicPr>
                          <pic:blipFill>
                            <a:blip r:embed="rId1"/>
                            <a:stretch>
                              <a:fillRect/>
                            </a:stretch>
                          </pic:blipFill>
                          <pic:spPr bwMode="auto">
                            <a:xfrm>
                              <a:off x="0" y="0"/>
                              <a:ext cx="1260000" cy="407646"/>
                            </a:xfrm>
                            <a:prstGeom prst="rect">
                              <a:avLst/>
                            </a:prstGeom>
                            <a:noFill/>
                            <a:ln>
                              <a:noFill/>
                            </a:ln>
                          </pic:spPr>
                        </pic:pic>
                      </a:graphicData>
                    </a:graphic>
                  </wp:inline>
                </w:drawing>
              </w:r>
            </w:sdtContent>
          </w:sdt>
        </w:p>
      </w:tc>
      <w:tc>
        <w:tcPr>
          <w:tcW w:w="567" w:type="dxa"/>
          <w:shd w:val="clear" w:color="auto" w:fill="FFFFFF" w:themeFill="background1"/>
          <w:vAlign w:val="bottom"/>
        </w:tcPr>
        <w:p w:rsidRPr="00D75194" w:rsidR="0061236A" w:rsidP="009C6B8C" w:rsidRDefault="0061236A" w14:paraId="2573B038" w14:textId="77777777">
          <w:pPr>
            <w:pStyle w:val="Header"/>
          </w:pPr>
        </w:p>
      </w:tc>
    </w:tr>
    <w:tr w:rsidRPr="00D75194" w:rsidR="0061236A" w:rsidTr="4FD83112" w14:paraId="2B551C6F" w14:textId="77777777">
      <w:trPr>
        <w:trHeight w:val="170" w:hRule="exact"/>
      </w:trPr>
      <w:tc>
        <w:tcPr>
          <w:tcW w:w="227" w:type="dxa"/>
          <w:shd w:val="clear" w:color="auto" w:fill="FFFFFF" w:themeFill="background1"/>
          <w:vAlign w:val="bottom"/>
        </w:tcPr>
        <w:p w:rsidRPr="00D75194" w:rsidR="0061236A" w:rsidP="009C6B8C" w:rsidRDefault="0061236A" w14:paraId="389F5FF0" w14:textId="77777777">
          <w:pPr>
            <w:pStyle w:val="Header"/>
          </w:pPr>
        </w:p>
      </w:tc>
      <w:tc>
        <w:tcPr>
          <w:tcW w:w="1985" w:type="dxa"/>
          <w:shd w:val="clear" w:color="auto" w:fill="FFFFFF" w:themeFill="background1"/>
          <w:vAlign w:val="bottom"/>
        </w:tcPr>
        <w:p w:rsidRPr="00D75194" w:rsidR="0061236A" w:rsidP="009C6B8C" w:rsidRDefault="0061236A" w14:paraId="553051ED" w14:textId="77777777">
          <w:pPr>
            <w:pStyle w:val="Header"/>
          </w:pPr>
        </w:p>
      </w:tc>
      <w:tc>
        <w:tcPr>
          <w:tcW w:w="567" w:type="dxa"/>
          <w:shd w:val="clear" w:color="auto" w:fill="FFFFFF" w:themeFill="background1"/>
          <w:vAlign w:val="bottom"/>
        </w:tcPr>
        <w:p w:rsidRPr="00D75194" w:rsidR="0061236A" w:rsidP="009C6B8C" w:rsidRDefault="0061236A" w14:paraId="39C3E5D6" w14:textId="77777777">
          <w:pPr>
            <w:pStyle w:val="Header"/>
          </w:pPr>
        </w:p>
      </w:tc>
    </w:tr>
  </w:tbl>
  <w:p w:rsidRPr="00D75194" w:rsidR="0061236A" w:rsidP="009C6B8C" w:rsidRDefault="0061236A" w14:paraId="7B30920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6EF402A2"/>
    <w:styleLink w:val="ListStyle-ListBullet"/>
    <w:lvl w:ilvl="0">
      <w:start w:val="1"/>
      <w:numFmt w:val="decimal"/>
      <w:lvlText w:val="%1."/>
      <w:lvlJc w:val="left"/>
      <w:pPr>
        <w:tabs>
          <w:tab w:val="num" w:pos="1209"/>
        </w:tabs>
        <w:ind w:left="1209" w:hanging="360"/>
      </w:pPr>
    </w:lvl>
  </w:abstractNum>
  <w:abstractNum w:abstractNumId="1" w15:restartNumberingAfterBreak="0">
    <w:nsid w:val="FFFFFF80"/>
    <w:multiLevelType w:val="singleLevel"/>
    <w:tmpl w:val="EDC08C86"/>
    <w:lvl w:ilvl="0">
      <w:start w:val="1"/>
      <w:numFmt w:val="bullet"/>
      <w:pStyle w:val="ListBullet5"/>
      <w:lvlText w:val=""/>
      <w:lvlJc w:val="left"/>
      <w:pPr>
        <w:tabs>
          <w:tab w:val="num" w:pos="1492"/>
        </w:tabs>
        <w:ind w:left="1492" w:hanging="360"/>
      </w:pPr>
      <w:rPr>
        <w:rFonts w:hint="default" w:ascii="Symbol" w:hAnsi="Symbol"/>
      </w:rPr>
    </w:lvl>
  </w:abstractNum>
  <w:abstractNum w:abstractNumId="2" w15:restartNumberingAfterBreak="0">
    <w:nsid w:val="FFFFFF81"/>
    <w:multiLevelType w:val="singleLevel"/>
    <w:tmpl w:val="0AE42310"/>
    <w:lvl w:ilvl="0">
      <w:start w:val="1"/>
      <w:numFmt w:val="bullet"/>
      <w:pStyle w:val="ListBullet4"/>
      <w:lvlText w:val=""/>
      <w:lvlJc w:val="left"/>
      <w:pPr>
        <w:tabs>
          <w:tab w:val="num" w:pos="1209"/>
        </w:tabs>
        <w:ind w:left="1209" w:hanging="360"/>
      </w:pPr>
      <w:rPr>
        <w:rFonts w:hint="default" w:ascii="Symbol" w:hAnsi="Symbol"/>
      </w:rPr>
    </w:lvl>
  </w:abstractNum>
  <w:abstractNum w:abstractNumId="3" w15:restartNumberingAfterBreak="0">
    <w:nsid w:val="FFFFFF89"/>
    <w:multiLevelType w:val="singleLevel"/>
    <w:tmpl w:val="B9BC1154"/>
    <w:lvl w:ilvl="0">
      <w:start w:val="1"/>
      <w:numFmt w:val="bullet"/>
      <w:lvlText w:val="o"/>
      <w:lvlJc w:val="left"/>
      <w:pPr>
        <w:ind w:left="360" w:hanging="360"/>
      </w:pPr>
      <w:rPr>
        <w:rFonts w:hint="default" w:ascii="Courier New" w:hAnsi="Courier New"/>
      </w:rPr>
    </w:lvl>
  </w:abstractNum>
  <w:abstractNum w:abstractNumId="4" w15:restartNumberingAfterBreak="0">
    <w:nsid w:val="02675B3C"/>
    <w:multiLevelType w:val="hybridMultilevel"/>
    <w:tmpl w:val="BA30663A"/>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030331F2"/>
    <w:multiLevelType w:val="multilevel"/>
    <w:tmpl w:val="F8EC3F14"/>
    <w:styleLink w:val="ListStyle-AppendixHeading"/>
    <w:lvl w:ilvl="0">
      <w:start w:val="1"/>
      <w:numFmt w:val="bullet"/>
      <w:lvlText w:val="•"/>
      <w:lvlJc w:val="left"/>
      <w:pPr>
        <w:ind w:left="142" w:hanging="142"/>
      </w:pPr>
      <w:rPr>
        <w:rFonts w:hint="default" w:ascii="Segoe UI" w:hAnsi="Segoe UI"/>
      </w:rPr>
    </w:lvl>
    <w:lvl w:ilvl="1">
      <w:start w:val="1"/>
      <w:numFmt w:val="bullet"/>
      <w:lvlText w:val="•"/>
      <w:lvlJc w:val="left"/>
      <w:pPr>
        <w:ind w:left="284" w:hanging="142"/>
      </w:pPr>
      <w:rPr>
        <w:rFonts w:hint="default" w:ascii="Segoe UI" w:hAnsi="Segoe UI"/>
      </w:rPr>
    </w:lvl>
    <w:lvl w:ilvl="2">
      <w:start w:val="1"/>
      <w:numFmt w:val="bullet"/>
      <w:lvlText w:val="•"/>
      <w:lvlJc w:val="left"/>
      <w:pPr>
        <w:ind w:left="426" w:hanging="142"/>
      </w:pPr>
      <w:rPr>
        <w:rFonts w:hint="default" w:ascii="Segoe UI" w:hAnsi="Segoe UI"/>
      </w:rPr>
    </w:lvl>
    <w:lvl w:ilvl="3">
      <w:start w:val="1"/>
      <w:numFmt w:val="bullet"/>
      <w:lvlText w:val="•"/>
      <w:lvlJc w:val="left"/>
      <w:pPr>
        <w:ind w:left="568" w:hanging="142"/>
      </w:pPr>
      <w:rPr>
        <w:rFonts w:hint="default" w:ascii="Segoe UI" w:hAnsi="Segoe UI"/>
      </w:rPr>
    </w:lvl>
    <w:lvl w:ilvl="4">
      <w:start w:val="1"/>
      <w:numFmt w:val="bullet"/>
      <w:lvlText w:val="•"/>
      <w:lvlJc w:val="left"/>
      <w:pPr>
        <w:ind w:left="710" w:hanging="142"/>
      </w:pPr>
      <w:rPr>
        <w:rFonts w:hint="default" w:ascii="Segoe UI" w:hAnsi="Segoe UI"/>
      </w:rPr>
    </w:lvl>
    <w:lvl w:ilvl="5">
      <w:start w:val="1"/>
      <w:numFmt w:val="bullet"/>
      <w:lvlText w:val="•"/>
      <w:lvlJc w:val="left"/>
      <w:pPr>
        <w:ind w:left="852" w:hanging="142"/>
      </w:pPr>
      <w:rPr>
        <w:rFonts w:hint="default" w:ascii="Segoe UI" w:hAnsi="Segoe UI"/>
      </w:rPr>
    </w:lvl>
    <w:lvl w:ilvl="6">
      <w:start w:val="1"/>
      <w:numFmt w:val="bullet"/>
      <w:lvlText w:val="•"/>
      <w:lvlJc w:val="left"/>
      <w:pPr>
        <w:ind w:left="994" w:hanging="142"/>
      </w:pPr>
      <w:rPr>
        <w:rFonts w:hint="default" w:ascii="Segoe UI" w:hAnsi="Segoe UI"/>
      </w:rPr>
    </w:lvl>
    <w:lvl w:ilvl="7">
      <w:start w:val="1"/>
      <w:numFmt w:val="bullet"/>
      <w:lvlText w:val="•"/>
      <w:lvlJc w:val="left"/>
      <w:pPr>
        <w:ind w:left="1136" w:hanging="142"/>
      </w:pPr>
      <w:rPr>
        <w:rFonts w:hint="default" w:ascii="Segoe UI" w:hAnsi="Segoe UI"/>
      </w:rPr>
    </w:lvl>
    <w:lvl w:ilvl="8">
      <w:start w:val="1"/>
      <w:numFmt w:val="bullet"/>
      <w:lvlText w:val="•"/>
      <w:lvlJc w:val="left"/>
      <w:pPr>
        <w:ind w:left="1278" w:hanging="142"/>
      </w:pPr>
      <w:rPr>
        <w:rFonts w:hint="default" w:ascii="Segoe UI" w:hAnsi="Segoe UI"/>
      </w:rPr>
    </w:lvl>
  </w:abstractNum>
  <w:abstractNum w:abstractNumId="6" w15:restartNumberingAfterBreak="0">
    <w:nsid w:val="07126BD2"/>
    <w:multiLevelType w:val="multilevel"/>
    <w:tmpl w:val="3B7EE3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7933D51"/>
    <w:multiLevelType w:val="multilevel"/>
    <w:tmpl w:val="310E4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9DD0B62"/>
    <w:multiLevelType w:val="hybridMultilevel"/>
    <w:tmpl w:val="C1D6CDB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DD85820"/>
    <w:multiLevelType w:val="multilevel"/>
    <w:tmpl w:val="BE86C306"/>
    <w:lvl w:ilvl="0">
      <w:start w:val="1"/>
      <w:numFmt w:val="bullet"/>
      <w:lvlText w:val=""/>
      <w:lvlJc w:val="left"/>
      <w:pPr>
        <w:tabs>
          <w:tab w:val="num" w:pos="720"/>
        </w:tabs>
        <w:ind w:left="720" w:hanging="360"/>
      </w:pPr>
      <w:rPr>
        <w:rFonts w:hint="default" w:ascii="Symbol" w:hAnsi="Symbol"/>
        <w:sz w:val="20"/>
      </w:rPr>
    </w:lvl>
    <w:lvl w:ilvl="1">
      <w:start w:val="28"/>
      <w:numFmt w:val="bullet"/>
      <w:lvlText w:val="-"/>
      <w:lvlJc w:val="left"/>
      <w:pPr>
        <w:ind w:left="1440" w:hanging="360"/>
      </w:pPr>
      <w:rPr>
        <w:rFonts w:hint="default" w:ascii="Segoe UI" w:hAnsi="Segoe UI" w:cs="Segoe UI" w:eastAsiaTheme="minorHAnsi"/>
        <w: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DF94CA6"/>
    <w:multiLevelType w:val="hybridMultilevel"/>
    <w:tmpl w:val="97344A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FDE6C75"/>
    <w:multiLevelType w:val="hybridMultilevel"/>
    <w:tmpl w:val="0748B3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01E0D26"/>
    <w:multiLevelType w:val="multilevel"/>
    <w:tmpl w:val="B41AFB3C"/>
    <w:styleLink w:val="1ai"/>
    <w:lvl w:ilvl="0">
      <w:start w:val="1"/>
      <w:numFmt w:val="decimal"/>
      <w:lvlText w:val="%1)"/>
      <w:lvlJc w:val="left"/>
      <w:pPr>
        <w:ind w:left="360" w:hanging="360"/>
      </w:pPr>
      <w:rPr>
        <w:rFonts w:hint="default" w:ascii="Segoe UI" w:hAnsi="Segoe UI" w:cs="Segoe UI"/>
      </w:rPr>
    </w:lvl>
    <w:lvl w:ilvl="1">
      <w:start w:val="1"/>
      <w:numFmt w:val="lowerLetter"/>
      <w:lvlText w:val="%2)"/>
      <w:lvlJc w:val="left"/>
      <w:pPr>
        <w:ind w:left="720" w:hanging="360"/>
      </w:pPr>
      <w:rPr>
        <w:rFonts w:hint="default" w:ascii="Segoe UI" w:hAnsi="Segoe UI"/>
      </w:rPr>
    </w:lvl>
    <w:lvl w:ilvl="2">
      <w:start w:val="1"/>
      <w:numFmt w:val="lowerRoman"/>
      <w:lvlText w:val="%3)"/>
      <w:lvlJc w:val="left"/>
      <w:pPr>
        <w:ind w:left="1080" w:hanging="360"/>
      </w:pPr>
      <w:rPr>
        <w:rFonts w:hint="default" w:ascii="Segoe UI" w:hAnsi="Segoe UI"/>
      </w:rPr>
    </w:lvl>
    <w:lvl w:ilvl="3">
      <w:start w:val="1"/>
      <w:numFmt w:val="decimal"/>
      <w:lvlText w:val="(%4)"/>
      <w:lvlJc w:val="left"/>
      <w:pPr>
        <w:ind w:left="1440" w:hanging="360"/>
      </w:pPr>
      <w:rPr>
        <w:rFonts w:hint="default" w:ascii="Segoe UI" w:hAnsi="Segoe UI"/>
      </w:rPr>
    </w:lvl>
    <w:lvl w:ilvl="4">
      <w:start w:val="1"/>
      <w:numFmt w:val="lowerLetter"/>
      <w:lvlText w:val="(%5)"/>
      <w:lvlJc w:val="left"/>
      <w:pPr>
        <w:ind w:left="1800" w:hanging="360"/>
      </w:pPr>
      <w:rPr>
        <w:rFonts w:hint="default" w:ascii="Segoe UI" w:hAnsi="Segoe UI"/>
      </w:rPr>
    </w:lvl>
    <w:lvl w:ilvl="5">
      <w:start w:val="1"/>
      <w:numFmt w:val="lowerRoman"/>
      <w:lvlText w:val="(%6)"/>
      <w:lvlJc w:val="left"/>
      <w:pPr>
        <w:ind w:left="2160" w:hanging="360"/>
      </w:pPr>
      <w:rPr>
        <w:rFonts w:hint="default" w:ascii="Segoe UI" w:hAnsi="Segoe UI"/>
      </w:rPr>
    </w:lvl>
    <w:lvl w:ilvl="6">
      <w:start w:val="1"/>
      <w:numFmt w:val="decimal"/>
      <w:lvlText w:val="%7."/>
      <w:lvlJc w:val="left"/>
      <w:pPr>
        <w:ind w:left="2520" w:hanging="360"/>
      </w:pPr>
      <w:rPr>
        <w:rFonts w:hint="default" w:ascii="Segoe UI" w:hAnsi="Segoe UI"/>
      </w:rPr>
    </w:lvl>
    <w:lvl w:ilvl="7">
      <w:start w:val="1"/>
      <w:numFmt w:val="lowerLetter"/>
      <w:lvlText w:val="%8."/>
      <w:lvlJc w:val="left"/>
      <w:pPr>
        <w:ind w:left="2880" w:hanging="360"/>
      </w:pPr>
      <w:rPr>
        <w:rFonts w:hint="default" w:ascii="Segoe UI" w:hAnsi="Segoe UI"/>
      </w:rPr>
    </w:lvl>
    <w:lvl w:ilvl="8">
      <w:start w:val="1"/>
      <w:numFmt w:val="lowerRoman"/>
      <w:lvlText w:val="%9."/>
      <w:lvlJc w:val="left"/>
      <w:pPr>
        <w:ind w:left="3240" w:hanging="360"/>
      </w:pPr>
      <w:rPr>
        <w:rFonts w:hint="default" w:ascii="Segoe UI" w:hAnsi="Segoe UI"/>
      </w:rPr>
    </w:lvl>
  </w:abstractNum>
  <w:abstractNum w:abstractNumId="13" w15:restartNumberingAfterBreak="0">
    <w:nsid w:val="10F41343"/>
    <w:multiLevelType w:val="hybridMultilevel"/>
    <w:tmpl w:val="518CF8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1C557D6"/>
    <w:multiLevelType w:val="hybridMultilevel"/>
    <w:tmpl w:val="50180BFC"/>
    <w:lvl w:ilvl="0" w:tplc="48A8D4B4">
      <w:start w:val="1"/>
      <w:numFmt w:val="bullet"/>
      <w:lvlText w:val=""/>
      <w:lvlJc w:val="left"/>
      <w:pPr>
        <w:ind w:left="720" w:hanging="360"/>
      </w:pPr>
      <w:rPr>
        <w:rFonts w:hint="default" w:ascii="Symbol" w:hAnsi="Symbol"/>
        <w:sz w:val="20"/>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2B55173"/>
    <w:multiLevelType w:val="hybridMultilevel"/>
    <w:tmpl w:val="C0F275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2FA2D27"/>
    <w:multiLevelType w:val="hybridMultilevel"/>
    <w:tmpl w:val="FFFFFFFF"/>
    <w:lvl w:ilvl="0" w:tplc="F2347ECC">
      <w:start w:val="5"/>
      <w:numFmt w:val="decimal"/>
      <w:lvlText w:val="%1."/>
      <w:lvlJc w:val="left"/>
      <w:pPr>
        <w:ind w:left="720" w:hanging="360"/>
      </w:pPr>
    </w:lvl>
    <w:lvl w:ilvl="1" w:tplc="ED08D848">
      <w:start w:val="1"/>
      <w:numFmt w:val="lowerLetter"/>
      <w:lvlText w:val="%2."/>
      <w:lvlJc w:val="left"/>
      <w:pPr>
        <w:ind w:left="1440" w:hanging="360"/>
      </w:pPr>
    </w:lvl>
    <w:lvl w:ilvl="2" w:tplc="EC9E2238">
      <w:start w:val="1"/>
      <w:numFmt w:val="lowerRoman"/>
      <w:lvlText w:val="%3."/>
      <w:lvlJc w:val="right"/>
      <w:pPr>
        <w:ind w:left="2160" w:hanging="180"/>
      </w:pPr>
    </w:lvl>
    <w:lvl w:ilvl="3" w:tplc="2A043C16">
      <w:start w:val="1"/>
      <w:numFmt w:val="decimal"/>
      <w:lvlText w:val="%4."/>
      <w:lvlJc w:val="left"/>
      <w:pPr>
        <w:ind w:left="2880" w:hanging="360"/>
      </w:pPr>
    </w:lvl>
    <w:lvl w:ilvl="4" w:tplc="74EC0812">
      <w:start w:val="1"/>
      <w:numFmt w:val="lowerLetter"/>
      <w:lvlText w:val="%5."/>
      <w:lvlJc w:val="left"/>
      <w:pPr>
        <w:ind w:left="3600" w:hanging="360"/>
      </w:pPr>
    </w:lvl>
    <w:lvl w:ilvl="5" w:tplc="EC588CE8">
      <w:start w:val="1"/>
      <w:numFmt w:val="lowerRoman"/>
      <w:lvlText w:val="%6."/>
      <w:lvlJc w:val="right"/>
      <w:pPr>
        <w:ind w:left="4320" w:hanging="180"/>
      </w:pPr>
    </w:lvl>
    <w:lvl w:ilvl="6" w:tplc="3C6C5466">
      <w:start w:val="1"/>
      <w:numFmt w:val="decimal"/>
      <w:lvlText w:val="%7."/>
      <w:lvlJc w:val="left"/>
      <w:pPr>
        <w:ind w:left="5040" w:hanging="360"/>
      </w:pPr>
    </w:lvl>
    <w:lvl w:ilvl="7" w:tplc="31201696">
      <w:start w:val="1"/>
      <w:numFmt w:val="lowerLetter"/>
      <w:lvlText w:val="%8."/>
      <w:lvlJc w:val="left"/>
      <w:pPr>
        <w:ind w:left="5760" w:hanging="360"/>
      </w:pPr>
    </w:lvl>
    <w:lvl w:ilvl="8" w:tplc="FA869596">
      <w:start w:val="1"/>
      <w:numFmt w:val="lowerRoman"/>
      <w:lvlText w:val="%9."/>
      <w:lvlJc w:val="right"/>
      <w:pPr>
        <w:ind w:left="6480" w:hanging="180"/>
      </w:pPr>
    </w:lvl>
  </w:abstractNum>
  <w:abstractNum w:abstractNumId="17" w15:restartNumberingAfterBreak="0">
    <w:nsid w:val="13F66DA6"/>
    <w:multiLevelType w:val="hybridMultilevel"/>
    <w:tmpl w:val="A104B48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90F7B64"/>
    <w:multiLevelType w:val="multilevel"/>
    <w:tmpl w:val="F23C89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195503FF"/>
    <w:multiLevelType w:val="hybridMultilevel"/>
    <w:tmpl w:val="206E9B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E1B3059"/>
    <w:multiLevelType w:val="multilevel"/>
    <w:tmpl w:val="3B3256A6"/>
    <w:styleLink w:val="ListStyle-ListNumber"/>
    <w:lvl w:ilvl="0">
      <w:start w:val="1"/>
      <w:numFmt w:val="decimal"/>
      <w:lvlText w:val="%1."/>
      <w:lvlJc w:val="left"/>
      <w:pPr>
        <w:ind w:left="340" w:hanging="340"/>
      </w:pPr>
      <w:rPr>
        <w:rFonts w:hint="default" w:ascii="Segoe UI" w:hAnsi="Segoe UI" w:cs="Segoe UI"/>
      </w:rPr>
    </w:lvl>
    <w:lvl w:ilvl="1">
      <w:start w:val="1"/>
      <w:numFmt w:val="decimal"/>
      <w:lvlText w:val="%1.%2."/>
      <w:lvlJc w:val="left"/>
      <w:pPr>
        <w:ind w:left="964" w:hanging="624"/>
      </w:pPr>
      <w:rPr>
        <w:rFonts w:hint="default" w:ascii="Segoe UI" w:hAnsi="Segoe UI"/>
      </w:rPr>
    </w:lvl>
    <w:lvl w:ilvl="2">
      <w:start w:val="1"/>
      <w:numFmt w:val="decimal"/>
      <w:lvlText w:val="%1.%2.%3."/>
      <w:lvlJc w:val="left"/>
      <w:pPr>
        <w:ind w:left="1758" w:hanging="794"/>
      </w:pPr>
      <w:rPr>
        <w:rFonts w:hint="default" w:ascii="Segoe UI" w:hAnsi="Segoe UI"/>
      </w:rPr>
    </w:lvl>
    <w:lvl w:ilvl="3">
      <w:start w:val="1"/>
      <w:numFmt w:val="decimal"/>
      <w:lvlText w:val="%1.%2.%3.%4."/>
      <w:lvlJc w:val="left"/>
      <w:pPr>
        <w:ind w:left="2722" w:hanging="964"/>
      </w:pPr>
      <w:rPr>
        <w:rFonts w:hint="default" w:ascii="Segoe UI" w:hAnsi="Segoe UI"/>
      </w:rPr>
    </w:lvl>
    <w:lvl w:ilvl="4">
      <w:start w:val="1"/>
      <w:numFmt w:val="decimal"/>
      <w:lvlText w:val="%1.%2.%3.%4.%5."/>
      <w:lvlJc w:val="left"/>
      <w:pPr>
        <w:ind w:left="2892" w:hanging="1134"/>
      </w:pPr>
      <w:rPr>
        <w:rFonts w:hint="default" w:ascii="Segoe UI" w:hAnsi="Segoe UI"/>
      </w:rPr>
    </w:lvl>
    <w:lvl w:ilvl="5">
      <w:start w:val="1"/>
      <w:numFmt w:val="decimal"/>
      <w:lvlText w:val="%1.%2.%3.%4.%5.%6."/>
      <w:lvlJc w:val="left"/>
      <w:pPr>
        <w:ind w:left="3119" w:hanging="1361"/>
      </w:pPr>
      <w:rPr>
        <w:rFonts w:hint="default" w:ascii="Segoe UI" w:hAnsi="Segoe UI"/>
      </w:rPr>
    </w:lvl>
    <w:lvl w:ilvl="6">
      <w:start w:val="1"/>
      <w:numFmt w:val="decimal"/>
      <w:lvlText w:val="%1.%2.%3.%4.%5.%6.%7."/>
      <w:lvlJc w:val="left"/>
      <w:pPr>
        <w:ind w:left="3289" w:hanging="1531"/>
      </w:pPr>
      <w:rPr>
        <w:rFonts w:hint="default" w:ascii="Segoe UI" w:hAnsi="Segoe UI"/>
      </w:rPr>
    </w:lvl>
    <w:lvl w:ilvl="7">
      <w:start w:val="1"/>
      <w:numFmt w:val="decimal"/>
      <w:lvlText w:val="%1.%2.%3.%4.%5.%6.%7.%8."/>
      <w:lvlJc w:val="left"/>
      <w:pPr>
        <w:ind w:left="3459" w:hanging="1701"/>
      </w:pPr>
      <w:rPr>
        <w:rFonts w:hint="default" w:ascii="Segoe UI" w:hAnsi="Segoe UI"/>
      </w:rPr>
    </w:lvl>
    <w:lvl w:ilvl="8">
      <w:start w:val="1"/>
      <w:numFmt w:val="decimal"/>
      <w:lvlText w:val="%1.%2.%3.%4.%5.%6.%7.%8.%9."/>
      <w:lvlJc w:val="left"/>
      <w:pPr>
        <w:ind w:left="3686" w:hanging="1928"/>
      </w:pPr>
      <w:rPr>
        <w:rFonts w:hint="default" w:ascii="Segoe UI" w:hAnsi="Segoe UI"/>
      </w:rPr>
    </w:lvl>
  </w:abstractNum>
  <w:abstractNum w:abstractNumId="21" w15:restartNumberingAfterBreak="0">
    <w:nsid w:val="1FC34FDE"/>
    <w:multiLevelType w:val="hybridMultilevel"/>
    <w:tmpl w:val="FFFFFFFF"/>
    <w:lvl w:ilvl="0" w:tplc="46A227FE">
      <w:start w:val="1"/>
      <w:numFmt w:val="bullet"/>
      <w:lvlText w:val="-"/>
      <w:lvlJc w:val="left"/>
      <w:pPr>
        <w:ind w:left="720" w:hanging="360"/>
      </w:pPr>
      <w:rPr>
        <w:rFonts w:hint="default" w:ascii="Aptos" w:hAnsi="Aptos"/>
      </w:rPr>
    </w:lvl>
    <w:lvl w:ilvl="1" w:tplc="9822C304">
      <w:start w:val="1"/>
      <w:numFmt w:val="bullet"/>
      <w:lvlText w:val="o"/>
      <w:lvlJc w:val="left"/>
      <w:pPr>
        <w:ind w:left="1440" w:hanging="360"/>
      </w:pPr>
      <w:rPr>
        <w:rFonts w:hint="default" w:ascii="Courier New" w:hAnsi="Courier New"/>
      </w:rPr>
    </w:lvl>
    <w:lvl w:ilvl="2" w:tplc="16C4A090">
      <w:start w:val="1"/>
      <w:numFmt w:val="bullet"/>
      <w:lvlText w:val=""/>
      <w:lvlJc w:val="left"/>
      <w:pPr>
        <w:ind w:left="2160" w:hanging="360"/>
      </w:pPr>
      <w:rPr>
        <w:rFonts w:hint="default" w:ascii="Wingdings" w:hAnsi="Wingdings"/>
      </w:rPr>
    </w:lvl>
    <w:lvl w:ilvl="3" w:tplc="5B181C44">
      <w:start w:val="1"/>
      <w:numFmt w:val="bullet"/>
      <w:lvlText w:val=""/>
      <w:lvlJc w:val="left"/>
      <w:pPr>
        <w:ind w:left="2880" w:hanging="360"/>
      </w:pPr>
      <w:rPr>
        <w:rFonts w:hint="default" w:ascii="Symbol" w:hAnsi="Symbol"/>
      </w:rPr>
    </w:lvl>
    <w:lvl w:ilvl="4" w:tplc="BD32BF5A">
      <w:start w:val="1"/>
      <w:numFmt w:val="bullet"/>
      <w:lvlText w:val="o"/>
      <w:lvlJc w:val="left"/>
      <w:pPr>
        <w:ind w:left="3600" w:hanging="360"/>
      </w:pPr>
      <w:rPr>
        <w:rFonts w:hint="default" w:ascii="Courier New" w:hAnsi="Courier New"/>
      </w:rPr>
    </w:lvl>
    <w:lvl w:ilvl="5" w:tplc="780CD668">
      <w:start w:val="1"/>
      <w:numFmt w:val="bullet"/>
      <w:lvlText w:val=""/>
      <w:lvlJc w:val="left"/>
      <w:pPr>
        <w:ind w:left="4320" w:hanging="360"/>
      </w:pPr>
      <w:rPr>
        <w:rFonts w:hint="default" w:ascii="Wingdings" w:hAnsi="Wingdings"/>
      </w:rPr>
    </w:lvl>
    <w:lvl w:ilvl="6" w:tplc="D84C746C">
      <w:start w:val="1"/>
      <w:numFmt w:val="bullet"/>
      <w:lvlText w:val=""/>
      <w:lvlJc w:val="left"/>
      <w:pPr>
        <w:ind w:left="5040" w:hanging="360"/>
      </w:pPr>
      <w:rPr>
        <w:rFonts w:hint="default" w:ascii="Symbol" w:hAnsi="Symbol"/>
      </w:rPr>
    </w:lvl>
    <w:lvl w:ilvl="7" w:tplc="E59C1B20">
      <w:start w:val="1"/>
      <w:numFmt w:val="bullet"/>
      <w:lvlText w:val="o"/>
      <w:lvlJc w:val="left"/>
      <w:pPr>
        <w:ind w:left="5760" w:hanging="360"/>
      </w:pPr>
      <w:rPr>
        <w:rFonts w:hint="default" w:ascii="Courier New" w:hAnsi="Courier New"/>
      </w:rPr>
    </w:lvl>
    <w:lvl w:ilvl="8" w:tplc="1DFCC458">
      <w:start w:val="1"/>
      <w:numFmt w:val="bullet"/>
      <w:lvlText w:val=""/>
      <w:lvlJc w:val="left"/>
      <w:pPr>
        <w:ind w:left="6480" w:hanging="360"/>
      </w:pPr>
      <w:rPr>
        <w:rFonts w:hint="default" w:ascii="Wingdings" w:hAnsi="Wingdings"/>
      </w:rPr>
    </w:lvl>
  </w:abstractNum>
  <w:abstractNum w:abstractNumId="22" w15:restartNumberingAfterBreak="0">
    <w:nsid w:val="2019191E"/>
    <w:multiLevelType w:val="multilevel"/>
    <w:tmpl w:val="3EF4A818"/>
    <w:styleLink w:val="ListStyle-TableListNumber"/>
    <w:lvl w:ilvl="0">
      <w:start w:val="1"/>
      <w:numFmt w:val="bullet"/>
      <w:lvlText w:val="•"/>
      <w:lvlJc w:val="left"/>
      <w:pPr>
        <w:ind w:left="454" w:hanging="284"/>
      </w:pPr>
      <w:rPr>
        <w:rFonts w:hint="default" w:ascii="Segoe UI" w:hAnsi="Segoe UI"/>
      </w:rPr>
    </w:lvl>
    <w:lvl w:ilvl="1">
      <w:start w:val="1"/>
      <w:numFmt w:val="bullet"/>
      <w:lvlText w:val="•"/>
      <w:lvlJc w:val="left"/>
      <w:pPr>
        <w:ind w:left="738" w:hanging="284"/>
      </w:pPr>
      <w:rPr>
        <w:rFonts w:hint="default" w:ascii="Segoe UI" w:hAnsi="Segoe UI" w:cs="Times New Roman"/>
      </w:rPr>
    </w:lvl>
    <w:lvl w:ilvl="2">
      <w:start w:val="1"/>
      <w:numFmt w:val="bullet"/>
      <w:lvlText w:val="•"/>
      <w:lvlJc w:val="left"/>
      <w:pPr>
        <w:ind w:left="1022" w:hanging="284"/>
      </w:pPr>
      <w:rPr>
        <w:rFonts w:hint="default" w:ascii="Segoe UI" w:hAnsi="Segoe UI" w:cs="Times New Roman"/>
      </w:rPr>
    </w:lvl>
    <w:lvl w:ilvl="3">
      <w:start w:val="1"/>
      <w:numFmt w:val="bullet"/>
      <w:lvlText w:val="•"/>
      <w:lvlJc w:val="left"/>
      <w:pPr>
        <w:ind w:left="1306" w:hanging="284"/>
      </w:pPr>
      <w:rPr>
        <w:rFonts w:hint="default" w:ascii="Segoe UI" w:hAnsi="Segoe UI" w:cs="Times New Roman"/>
      </w:rPr>
    </w:lvl>
    <w:lvl w:ilvl="4">
      <w:start w:val="1"/>
      <w:numFmt w:val="bullet"/>
      <w:lvlText w:val="•"/>
      <w:lvlJc w:val="left"/>
      <w:pPr>
        <w:ind w:left="1590" w:hanging="284"/>
      </w:pPr>
      <w:rPr>
        <w:rFonts w:hint="default" w:ascii="Segoe UI" w:hAnsi="Segoe UI" w:cs="Times New Roman"/>
      </w:rPr>
    </w:lvl>
    <w:lvl w:ilvl="5">
      <w:start w:val="1"/>
      <w:numFmt w:val="bullet"/>
      <w:lvlText w:val="•"/>
      <w:lvlJc w:val="left"/>
      <w:pPr>
        <w:ind w:left="1874" w:hanging="284"/>
      </w:pPr>
      <w:rPr>
        <w:rFonts w:hint="default" w:ascii="Segoe UI" w:hAnsi="Segoe UI" w:cs="Times New Roman"/>
      </w:rPr>
    </w:lvl>
    <w:lvl w:ilvl="6">
      <w:start w:val="1"/>
      <w:numFmt w:val="bullet"/>
      <w:lvlText w:val="•"/>
      <w:lvlJc w:val="left"/>
      <w:pPr>
        <w:ind w:left="2158" w:hanging="284"/>
      </w:pPr>
      <w:rPr>
        <w:rFonts w:hint="default" w:ascii="Segoe UI" w:hAnsi="Segoe UI" w:cs="Times New Roman"/>
      </w:rPr>
    </w:lvl>
    <w:lvl w:ilvl="7">
      <w:start w:val="1"/>
      <w:numFmt w:val="bullet"/>
      <w:lvlText w:val="•"/>
      <w:lvlJc w:val="left"/>
      <w:pPr>
        <w:ind w:left="2442" w:hanging="284"/>
      </w:pPr>
      <w:rPr>
        <w:rFonts w:hint="default" w:ascii="Segoe UI" w:hAnsi="Segoe UI" w:cs="Times New Roman"/>
      </w:rPr>
    </w:lvl>
    <w:lvl w:ilvl="8">
      <w:start w:val="1"/>
      <w:numFmt w:val="bullet"/>
      <w:lvlText w:val="•"/>
      <w:lvlJc w:val="left"/>
      <w:pPr>
        <w:ind w:left="2726" w:hanging="284"/>
      </w:pPr>
      <w:rPr>
        <w:rFonts w:hint="default" w:ascii="Segoe UI" w:hAnsi="Segoe UI" w:cs="Times New Roman"/>
      </w:rPr>
    </w:lvl>
  </w:abstractNum>
  <w:abstractNum w:abstractNumId="23" w15:restartNumberingAfterBreak="0">
    <w:nsid w:val="237E50CA"/>
    <w:multiLevelType w:val="singleLevel"/>
    <w:tmpl w:val="6EF402A2"/>
    <w:styleLink w:val="ListStyle-FactBoxListBullet"/>
    <w:lvl w:ilvl="0">
      <w:start w:val="1"/>
      <w:numFmt w:val="decimal"/>
      <w:lvlText w:val="%1."/>
      <w:lvlJc w:val="left"/>
      <w:pPr>
        <w:tabs>
          <w:tab w:val="num" w:pos="1209"/>
        </w:tabs>
        <w:ind w:left="1209" w:hanging="360"/>
      </w:pPr>
    </w:lvl>
  </w:abstractNum>
  <w:abstractNum w:abstractNumId="24" w15:restartNumberingAfterBreak="0">
    <w:nsid w:val="2407FC39"/>
    <w:multiLevelType w:val="hybridMultilevel"/>
    <w:tmpl w:val="FFFFFFFF"/>
    <w:lvl w:ilvl="0" w:tplc="B388EE72">
      <w:start w:val="6"/>
      <w:numFmt w:val="decimal"/>
      <w:lvlText w:val="%1."/>
      <w:lvlJc w:val="left"/>
      <w:pPr>
        <w:ind w:left="720" w:hanging="360"/>
      </w:pPr>
    </w:lvl>
    <w:lvl w:ilvl="1" w:tplc="4560E478">
      <w:start w:val="1"/>
      <w:numFmt w:val="lowerLetter"/>
      <w:lvlText w:val="%2."/>
      <w:lvlJc w:val="left"/>
      <w:pPr>
        <w:ind w:left="1440" w:hanging="360"/>
      </w:pPr>
    </w:lvl>
    <w:lvl w:ilvl="2" w:tplc="580EA5CA">
      <w:start w:val="1"/>
      <w:numFmt w:val="lowerRoman"/>
      <w:lvlText w:val="%3."/>
      <w:lvlJc w:val="right"/>
      <w:pPr>
        <w:ind w:left="2160" w:hanging="180"/>
      </w:pPr>
    </w:lvl>
    <w:lvl w:ilvl="3" w:tplc="9FB43642">
      <w:start w:val="1"/>
      <w:numFmt w:val="decimal"/>
      <w:lvlText w:val="%4."/>
      <w:lvlJc w:val="left"/>
      <w:pPr>
        <w:ind w:left="2880" w:hanging="360"/>
      </w:pPr>
    </w:lvl>
    <w:lvl w:ilvl="4" w:tplc="E5301092">
      <w:start w:val="1"/>
      <w:numFmt w:val="lowerLetter"/>
      <w:lvlText w:val="%5."/>
      <w:lvlJc w:val="left"/>
      <w:pPr>
        <w:ind w:left="3600" w:hanging="360"/>
      </w:pPr>
    </w:lvl>
    <w:lvl w:ilvl="5" w:tplc="2B781482">
      <w:start w:val="1"/>
      <w:numFmt w:val="lowerRoman"/>
      <w:lvlText w:val="%6."/>
      <w:lvlJc w:val="right"/>
      <w:pPr>
        <w:ind w:left="4320" w:hanging="180"/>
      </w:pPr>
    </w:lvl>
    <w:lvl w:ilvl="6" w:tplc="44861718">
      <w:start w:val="1"/>
      <w:numFmt w:val="decimal"/>
      <w:lvlText w:val="%7."/>
      <w:lvlJc w:val="left"/>
      <w:pPr>
        <w:ind w:left="5040" w:hanging="360"/>
      </w:pPr>
    </w:lvl>
    <w:lvl w:ilvl="7" w:tplc="6EF886E6">
      <w:start w:val="1"/>
      <w:numFmt w:val="lowerLetter"/>
      <w:lvlText w:val="%8."/>
      <w:lvlJc w:val="left"/>
      <w:pPr>
        <w:ind w:left="5760" w:hanging="360"/>
      </w:pPr>
    </w:lvl>
    <w:lvl w:ilvl="8" w:tplc="93DCEAD6">
      <w:start w:val="1"/>
      <w:numFmt w:val="lowerRoman"/>
      <w:lvlText w:val="%9."/>
      <w:lvlJc w:val="right"/>
      <w:pPr>
        <w:ind w:left="6480" w:hanging="180"/>
      </w:pPr>
    </w:lvl>
  </w:abstractNum>
  <w:abstractNum w:abstractNumId="25" w15:restartNumberingAfterBreak="0">
    <w:nsid w:val="262F1BAC"/>
    <w:multiLevelType w:val="hybridMultilevel"/>
    <w:tmpl w:val="836A0E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68576A7"/>
    <w:multiLevelType w:val="hybridMultilevel"/>
    <w:tmpl w:val="904075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6C20B70"/>
    <w:multiLevelType w:val="hybridMultilevel"/>
    <w:tmpl w:val="F01AD2B8"/>
    <w:lvl w:ilvl="0" w:tplc="AD82E1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7534DAD"/>
    <w:multiLevelType w:val="multilevel"/>
    <w:tmpl w:val="7A9C49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B4B05A2"/>
    <w:multiLevelType w:val="hybridMultilevel"/>
    <w:tmpl w:val="57024B76"/>
    <w:lvl w:ilvl="0" w:tplc="AD82E1F2">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CD97204"/>
    <w:multiLevelType w:val="hybridMultilevel"/>
    <w:tmpl w:val="5D200A4C"/>
    <w:lvl w:ilvl="0" w:tplc="8AFEA43E">
      <w:start w:val="1"/>
      <w:numFmt w:val="bullet"/>
      <w:lvlText w:val="-"/>
      <w:lvlJc w:val="left"/>
      <w:pPr>
        <w:ind w:left="720" w:hanging="360"/>
      </w:pPr>
      <w:rPr>
        <w:rFonts w:hint="default" w:ascii="Aptos" w:hAnsi="Aptos"/>
      </w:rPr>
    </w:lvl>
    <w:lvl w:ilvl="1" w:tplc="7D62A17C">
      <w:start w:val="1"/>
      <w:numFmt w:val="bullet"/>
      <w:lvlText w:val="o"/>
      <w:lvlJc w:val="left"/>
      <w:pPr>
        <w:ind w:left="1440" w:hanging="360"/>
      </w:pPr>
      <w:rPr>
        <w:rFonts w:hint="default" w:ascii="Courier New" w:hAnsi="Courier New"/>
      </w:rPr>
    </w:lvl>
    <w:lvl w:ilvl="2" w:tplc="9ECA25F2">
      <w:start w:val="1"/>
      <w:numFmt w:val="bullet"/>
      <w:lvlText w:val=""/>
      <w:lvlJc w:val="left"/>
      <w:pPr>
        <w:ind w:left="2160" w:hanging="360"/>
      </w:pPr>
      <w:rPr>
        <w:rFonts w:hint="default" w:ascii="Wingdings" w:hAnsi="Wingdings"/>
      </w:rPr>
    </w:lvl>
    <w:lvl w:ilvl="3" w:tplc="2736C46A">
      <w:start w:val="1"/>
      <w:numFmt w:val="bullet"/>
      <w:lvlText w:val=""/>
      <w:lvlJc w:val="left"/>
      <w:pPr>
        <w:ind w:left="2880" w:hanging="360"/>
      </w:pPr>
      <w:rPr>
        <w:rFonts w:hint="default" w:ascii="Symbol" w:hAnsi="Symbol"/>
      </w:rPr>
    </w:lvl>
    <w:lvl w:ilvl="4" w:tplc="8F0C5B14">
      <w:start w:val="1"/>
      <w:numFmt w:val="bullet"/>
      <w:lvlText w:val="o"/>
      <w:lvlJc w:val="left"/>
      <w:pPr>
        <w:ind w:left="3600" w:hanging="360"/>
      </w:pPr>
      <w:rPr>
        <w:rFonts w:hint="default" w:ascii="Courier New" w:hAnsi="Courier New"/>
      </w:rPr>
    </w:lvl>
    <w:lvl w:ilvl="5" w:tplc="8E388168">
      <w:start w:val="1"/>
      <w:numFmt w:val="bullet"/>
      <w:lvlText w:val=""/>
      <w:lvlJc w:val="left"/>
      <w:pPr>
        <w:ind w:left="4320" w:hanging="360"/>
      </w:pPr>
      <w:rPr>
        <w:rFonts w:hint="default" w:ascii="Wingdings" w:hAnsi="Wingdings"/>
      </w:rPr>
    </w:lvl>
    <w:lvl w:ilvl="6" w:tplc="058AFB58">
      <w:start w:val="1"/>
      <w:numFmt w:val="bullet"/>
      <w:lvlText w:val=""/>
      <w:lvlJc w:val="left"/>
      <w:pPr>
        <w:ind w:left="5040" w:hanging="360"/>
      </w:pPr>
      <w:rPr>
        <w:rFonts w:hint="default" w:ascii="Symbol" w:hAnsi="Symbol"/>
      </w:rPr>
    </w:lvl>
    <w:lvl w:ilvl="7" w:tplc="19E2361C">
      <w:start w:val="1"/>
      <w:numFmt w:val="bullet"/>
      <w:lvlText w:val="o"/>
      <w:lvlJc w:val="left"/>
      <w:pPr>
        <w:ind w:left="5760" w:hanging="360"/>
      </w:pPr>
      <w:rPr>
        <w:rFonts w:hint="default" w:ascii="Courier New" w:hAnsi="Courier New"/>
      </w:rPr>
    </w:lvl>
    <w:lvl w:ilvl="8" w:tplc="18D64120">
      <w:start w:val="1"/>
      <w:numFmt w:val="bullet"/>
      <w:lvlText w:val=""/>
      <w:lvlJc w:val="left"/>
      <w:pPr>
        <w:ind w:left="6480" w:hanging="360"/>
      </w:pPr>
      <w:rPr>
        <w:rFonts w:hint="default" w:ascii="Wingdings" w:hAnsi="Wingdings"/>
      </w:rPr>
    </w:lvl>
  </w:abstractNum>
  <w:abstractNum w:abstractNumId="31" w15:restartNumberingAfterBreak="0">
    <w:nsid w:val="2FD94377"/>
    <w:multiLevelType w:val="multilevel"/>
    <w:tmpl w:val="E4BE0382"/>
    <w:lvl w:ilvl="0">
      <w:start w:val="1"/>
      <w:numFmt w:val="decimal"/>
      <w:lvlText w:val="%1."/>
      <w:lvlJc w:val="left"/>
      <w:pPr>
        <w:ind w:left="851" w:hanging="851"/>
      </w:pPr>
      <w:rPr>
        <w:rFonts w:hint="default"/>
      </w:rPr>
    </w:lvl>
    <w:lvl w:ilvl="1">
      <w:start w:val="1"/>
      <w:numFmt w:val="upperLetter"/>
      <w:lvlText w:val="%2."/>
      <w:lvlJc w:val="left"/>
      <w:pPr>
        <w:ind w:left="360" w:hanging="360"/>
      </w:pPr>
    </w:lvl>
    <w:lvl w:ilvl="2">
      <w:start w:val="1"/>
      <w:numFmt w:val="decimal"/>
      <w:lvlText w:val="%1.%2.%3"/>
      <w:lvlJc w:val="left"/>
      <w:pPr>
        <w:ind w:left="851" w:hanging="851"/>
      </w:p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1247" w:hanging="1247"/>
      </w:pPr>
      <w:rPr>
        <w:rFonts w:hint="default"/>
      </w:rPr>
    </w:lvl>
    <w:lvl w:ilvl="6">
      <w:start w:val="1"/>
      <w:numFmt w:val="decimal"/>
      <w:lvlText w:val="%1.%2.%3.%4.%5.%6.%7"/>
      <w:lvlJc w:val="left"/>
      <w:pPr>
        <w:ind w:left="1247" w:hanging="1247"/>
      </w:pPr>
      <w:rPr>
        <w:rFonts w:hint="default"/>
      </w:rPr>
    </w:lvl>
    <w:lvl w:ilvl="7">
      <w:start w:val="1"/>
      <w:numFmt w:val="decimal"/>
      <w:lvlText w:val="%1.%2.%3.%4.%5.%6.%7.%8"/>
      <w:lvlJc w:val="left"/>
      <w:pPr>
        <w:ind w:left="1247" w:hanging="1247"/>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32D26836"/>
    <w:multiLevelType w:val="multilevel"/>
    <w:tmpl w:val="19F4FB3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lvl>
    <w:lvl w:ilvl="2">
      <w:start w:val="1"/>
      <w:numFmt w:val="decimal"/>
      <w:pStyle w:val="Heading3"/>
      <w:lvlText w:val="%1.%2.%3"/>
      <w:lvlJc w:val="left"/>
      <w:pPr>
        <w:ind w:left="851" w:hanging="851"/>
      </w:p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1247" w:hanging="1247"/>
      </w:pPr>
      <w:rPr>
        <w:rFonts w:hint="default"/>
      </w:rPr>
    </w:lvl>
    <w:lvl w:ilvl="6">
      <w:start w:val="1"/>
      <w:numFmt w:val="decimal"/>
      <w:pStyle w:val="Heading7"/>
      <w:lvlText w:val="%1.%2.%3.%4.%5.%6.%7"/>
      <w:lvlJc w:val="left"/>
      <w:pPr>
        <w:ind w:left="1247" w:hanging="1247"/>
      </w:pPr>
      <w:rPr>
        <w:rFonts w:hint="default"/>
      </w:rPr>
    </w:lvl>
    <w:lvl w:ilvl="7">
      <w:start w:val="1"/>
      <w:numFmt w:val="decimal"/>
      <w:pStyle w:val="Heading8"/>
      <w:lvlText w:val="%1.%2.%3.%4.%5.%6.%7.%8"/>
      <w:lvlJc w:val="left"/>
      <w:pPr>
        <w:ind w:left="1247" w:hanging="1247"/>
      </w:pPr>
      <w:rPr>
        <w:rFonts w:hint="default"/>
      </w:rPr>
    </w:lvl>
    <w:lvl w:ilvl="8">
      <w:start w:val="1"/>
      <w:numFmt w:val="none"/>
      <w:pStyle w:val="Heading9"/>
      <w:suff w:val="nothing"/>
      <w:lvlText w:val=""/>
      <w:lvlJc w:val="left"/>
      <w:pPr>
        <w:ind w:left="0" w:firstLine="0"/>
      </w:pPr>
      <w:rPr>
        <w:rFonts w:hint="default"/>
      </w:rPr>
    </w:lvl>
  </w:abstractNum>
  <w:abstractNum w:abstractNumId="33" w15:restartNumberingAfterBreak="0">
    <w:nsid w:val="3440357B"/>
    <w:multiLevelType w:val="hybridMultilevel"/>
    <w:tmpl w:val="C8AE2FEC"/>
    <w:lvl w:ilvl="0" w:tplc="015ECBC0">
      <w:start w:val="1"/>
      <w:numFmt w:val="bullet"/>
      <w:lvlText w:val=""/>
      <w:lvlJc w:val="left"/>
      <w:pPr>
        <w:ind w:left="1080" w:hanging="360"/>
      </w:pPr>
      <w:rPr>
        <w:rFonts w:ascii="Symbol" w:hAnsi="Symbol"/>
      </w:rPr>
    </w:lvl>
    <w:lvl w:ilvl="1" w:tplc="37BED4EE">
      <w:start w:val="1"/>
      <w:numFmt w:val="bullet"/>
      <w:lvlText w:val=""/>
      <w:lvlJc w:val="left"/>
      <w:pPr>
        <w:ind w:left="1080" w:hanging="360"/>
      </w:pPr>
      <w:rPr>
        <w:rFonts w:ascii="Symbol" w:hAnsi="Symbol"/>
      </w:rPr>
    </w:lvl>
    <w:lvl w:ilvl="2" w:tplc="48F2EED4">
      <w:start w:val="1"/>
      <w:numFmt w:val="bullet"/>
      <w:lvlText w:val=""/>
      <w:lvlJc w:val="left"/>
      <w:pPr>
        <w:ind w:left="1080" w:hanging="360"/>
      </w:pPr>
      <w:rPr>
        <w:rFonts w:ascii="Symbol" w:hAnsi="Symbol"/>
      </w:rPr>
    </w:lvl>
    <w:lvl w:ilvl="3" w:tplc="C3481C92">
      <w:start w:val="1"/>
      <w:numFmt w:val="bullet"/>
      <w:lvlText w:val=""/>
      <w:lvlJc w:val="left"/>
      <w:pPr>
        <w:ind w:left="1080" w:hanging="360"/>
      </w:pPr>
      <w:rPr>
        <w:rFonts w:ascii="Symbol" w:hAnsi="Symbol"/>
      </w:rPr>
    </w:lvl>
    <w:lvl w:ilvl="4" w:tplc="90B6F946">
      <w:start w:val="1"/>
      <w:numFmt w:val="bullet"/>
      <w:lvlText w:val=""/>
      <w:lvlJc w:val="left"/>
      <w:pPr>
        <w:ind w:left="1080" w:hanging="360"/>
      </w:pPr>
      <w:rPr>
        <w:rFonts w:ascii="Symbol" w:hAnsi="Symbol"/>
      </w:rPr>
    </w:lvl>
    <w:lvl w:ilvl="5" w:tplc="A0B8633C">
      <w:start w:val="1"/>
      <w:numFmt w:val="bullet"/>
      <w:lvlText w:val=""/>
      <w:lvlJc w:val="left"/>
      <w:pPr>
        <w:ind w:left="1080" w:hanging="360"/>
      </w:pPr>
      <w:rPr>
        <w:rFonts w:ascii="Symbol" w:hAnsi="Symbol"/>
      </w:rPr>
    </w:lvl>
    <w:lvl w:ilvl="6" w:tplc="8CBEF710">
      <w:start w:val="1"/>
      <w:numFmt w:val="bullet"/>
      <w:lvlText w:val=""/>
      <w:lvlJc w:val="left"/>
      <w:pPr>
        <w:ind w:left="1080" w:hanging="360"/>
      </w:pPr>
      <w:rPr>
        <w:rFonts w:ascii="Symbol" w:hAnsi="Symbol"/>
      </w:rPr>
    </w:lvl>
    <w:lvl w:ilvl="7" w:tplc="C5B681C0">
      <w:start w:val="1"/>
      <w:numFmt w:val="bullet"/>
      <w:lvlText w:val=""/>
      <w:lvlJc w:val="left"/>
      <w:pPr>
        <w:ind w:left="1080" w:hanging="360"/>
      </w:pPr>
      <w:rPr>
        <w:rFonts w:ascii="Symbol" w:hAnsi="Symbol"/>
      </w:rPr>
    </w:lvl>
    <w:lvl w:ilvl="8" w:tplc="3CA4DC66">
      <w:start w:val="1"/>
      <w:numFmt w:val="bullet"/>
      <w:lvlText w:val=""/>
      <w:lvlJc w:val="left"/>
      <w:pPr>
        <w:ind w:left="1080" w:hanging="360"/>
      </w:pPr>
      <w:rPr>
        <w:rFonts w:ascii="Symbol" w:hAnsi="Symbol"/>
      </w:rPr>
    </w:lvl>
  </w:abstractNum>
  <w:abstractNum w:abstractNumId="34" w15:restartNumberingAfterBreak="0">
    <w:nsid w:val="38862ED1"/>
    <w:multiLevelType w:val="hybridMultilevel"/>
    <w:tmpl w:val="963292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3C3D42AC"/>
    <w:multiLevelType w:val="multilevel"/>
    <w:tmpl w:val="27E4A3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0D2D49E"/>
    <w:multiLevelType w:val="hybridMultilevel"/>
    <w:tmpl w:val="A760ADB8"/>
    <w:lvl w:ilvl="0" w:tplc="20B05F78">
      <w:start w:val="1"/>
      <w:numFmt w:val="bullet"/>
      <w:lvlText w:val=""/>
      <w:lvlJc w:val="left"/>
      <w:pPr>
        <w:ind w:left="720" w:hanging="360"/>
      </w:pPr>
      <w:rPr>
        <w:rFonts w:hint="default" w:ascii="Symbol" w:hAnsi="Symbol"/>
      </w:rPr>
    </w:lvl>
    <w:lvl w:ilvl="1" w:tplc="09C2BD3A">
      <w:start w:val="1"/>
      <w:numFmt w:val="bullet"/>
      <w:lvlText w:val="o"/>
      <w:lvlJc w:val="left"/>
      <w:pPr>
        <w:ind w:left="1440" w:hanging="360"/>
      </w:pPr>
      <w:rPr>
        <w:rFonts w:hint="default" w:ascii="Courier New" w:hAnsi="Courier New"/>
      </w:rPr>
    </w:lvl>
    <w:lvl w:ilvl="2" w:tplc="D5829EEA">
      <w:start w:val="1"/>
      <w:numFmt w:val="bullet"/>
      <w:lvlText w:val=""/>
      <w:lvlJc w:val="left"/>
      <w:pPr>
        <w:ind w:left="2160" w:hanging="360"/>
      </w:pPr>
      <w:rPr>
        <w:rFonts w:hint="default" w:ascii="Wingdings" w:hAnsi="Wingdings"/>
      </w:rPr>
    </w:lvl>
    <w:lvl w:ilvl="3" w:tplc="F9327540">
      <w:start w:val="1"/>
      <w:numFmt w:val="bullet"/>
      <w:lvlText w:val=""/>
      <w:lvlJc w:val="left"/>
      <w:pPr>
        <w:ind w:left="2880" w:hanging="360"/>
      </w:pPr>
      <w:rPr>
        <w:rFonts w:hint="default" w:ascii="Symbol" w:hAnsi="Symbol"/>
      </w:rPr>
    </w:lvl>
    <w:lvl w:ilvl="4" w:tplc="9616540A">
      <w:start w:val="1"/>
      <w:numFmt w:val="bullet"/>
      <w:lvlText w:val="o"/>
      <w:lvlJc w:val="left"/>
      <w:pPr>
        <w:ind w:left="3600" w:hanging="360"/>
      </w:pPr>
      <w:rPr>
        <w:rFonts w:hint="default" w:ascii="Courier New" w:hAnsi="Courier New"/>
      </w:rPr>
    </w:lvl>
    <w:lvl w:ilvl="5" w:tplc="6A7A65D0">
      <w:start w:val="1"/>
      <w:numFmt w:val="bullet"/>
      <w:lvlText w:val=""/>
      <w:lvlJc w:val="left"/>
      <w:pPr>
        <w:ind w:left="4320" w:hanging="360"/>
      </w:pPr>
      <w:rPr>
        <w:rFonts w:hint="default" w:ascii="Wingdings" w:hAnsi="Wingdings"/>
      </w:rPr>
    </w:lvl>
    <w:lvl w:ilvl="6" w:tplc="407A0A60">
      <w:start w:val="1"/>
      <w:numFmt w:val="bullet"/>
      <w:lvlText w:val=""/>
      <w:lvlJc w:val="left"/>
      <w:pPr>
        <w:ind w:left="5040" w:hanging="360"/>
      </w:pPr>
      <w:rPr>
        <w:rFonts w:hint="default" w:ascii="Symbol" w:hAnsi="Symbol"/>
      </w:rPr>
    </w:lvl>
    <w:lvl w:ilvl="7" w:tplc="47D87844">
      <w:start w:val="1"/>
      <w:numFmt w:val="bullet"/>
      <w:lvlText w:val="o"/>
      <w:lvlJc w:val="left"/>
      <w:pPr>
        <w:ind w:left="5760" w:hanging="360"/>
      </w:pPr>
      <w:rPr>
        <w:rFonts w:hint="default" w:ascii="Courier New" w:hAnsi="Courier New"/>
      </w:rPr>
    </w:lvl>
    <w:lvl w:ilvl="8" w:tplc="2C4CC338">
      <w:start w:val="1"/>
      <w:numFmt w:val="bullet"/>
      <w:lvlText w:val=""/>
      <w:lvlJc w:val="left"/>
      <w:pPr>
        <w:ind w:left="6480" w:hanging="360"/>
      </w:pPr>
      <w:rPr>
        <w:rFonts w:hint="default" w:ascii="Wingdings" w:hAnsi="Wingdings"/>
      </w:rPr>
    </w:lvl>
  </w:abstractNum>
  <w:abstractNum w:abstractNumId="37" w15:restartNumberingAfterBreak="0">
    <w:nsid w:val="41CD12A1"/>
    <w:multiLevelType w:val="hybridMultilevel"/>
    <w:tmpl w:val="E9340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77695C"/>
    <w:multiLevelType w:val="multilevel"/>
    <w:tmpl w:val="8910D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47443896"/>
    <w:multiLevelType w:val="multilevel"/>
    <w:tmpl w:val="36441EF2"/>
    <w:lvl w:ilvl="0">
      <w:start w:val="1"/>
      <w:numFmt w:val="decimal"/>
      <w:lvlText w:val="%1."/>
      <w:lvlJc w:val="left"/>
      <w:pPr>
        <w:ind w:left="360" w:hanging="360"/>
      </w:pPr>
    </w:lvl>
    <w:lvl w:ilvl="1">
      <w:start w:val="1"/>
      <w:numFmt w:val="decimal"/>
      <w:isLgl/>
      <w:lvlText w:val="%1.%2."/>
      <w:lvlJc w:val="left"/>
      <w:pPr>
        <w:ind w:left="360" w:hanging="360"/>
      </w:pPr>
      <w:rPr>
        <w:rFonts w:hint="default" w:hAnsi="Segoe UI" w:eastAsiaTheme="minorEastAsia"/>
        <w:color w:val="303030" w:themeColor="text1"/>
      </w:rPr>
    </w:lvl>
    <w:lvl w:ilvl="2">
      <w:start w:val="1"/>
      <w:numFmt w:val="decimal"/>
      <w:isLgl/>
      <w:lvlText w:val="%1.%2.%3."/>
      <w:lvlJc w:val="left"/>
      <w:pPr>
        <w:ind w:left="720" w:hanging="720"/>
      </w:pPr>
      <w:rPr>
        <w:rFonts w:hint="default" w:hAnsi="Segoe UI" w:eastAsiaTheme="minorEastAsia"/>
        <w:color w:val="303030" w:themeColor="text1"/>
      </w:rPr>
    </w:lvl>
    <w:lvl w:ilvl="3">
      <w:start w:val="1"/>
      <w:numFmt w:val="decimal"/>
      <w:isLgl/>
      <w:lvlText w:val="%1.%2.%3.%4."/>
      <w:lvlJc w:val="left"/>
      <w:pPr>
        <w:ind w:left="720" w:hanging="720"/>
      </w:pPr>
      <w:rPr>
        <w:rFonts w:hint="default" w:hAnsi="Segoe UI" w:eastAsiaTheme="minorEastAsia"/>
        <w:color w:val="303030" w:themeColor="text1"/>
      </w:rPr>
    </w:lvl>
    <w:lvl w:ilvl="4">
      <w:start w:val="1"/>
      <w:numFmt w:val="decimal"/>
      <w:isLgl/>
      <w:lvlText w:val="%1.%2.%3.%4.%5."/>
      <w:lvlJc w:val="left"/>
      <w:pPr>
        <w:ind w:left="1080" w:hanging="1080"/>
      </w:pPr>
      <w:rPr>
        <w:rFonts w:hint="default" w:hAnsi="Segoe UI" w:eastAsiaTheme="minorEastAsia"/>
        <w:color w:val="303030" w:themeColor="text1"/>
      </w:rPr>
    </w:lvl>
    <w:lvl w:ilvl="5">
      <w:start w:val="1"/>
      <w:numFmt w:val="decimal"/>
      <w:isLgl/>
      <w:lvlText w:val="%1.%2.%3.%4.%5.%6."/>
      <w:lvlJc w:val="left"/>
      <w:pPr>
        <w:ind w:left="1080" w:hanging="1080"/>
      </w:pPr>
      <w:rPr>
        <w:rFonts w:hint="default" w:hAnsi="Segoe UI" w:eastAsiaTheme="minorEastAsia"/>
        <w:color w:val="303030" w:themeColor="text1"/>
      </w:rPr>
    </w:lvl>
    <w:lvl w:ilvl="6">
      <w:start w:val="1"/>
      <w:numFmt w:val="decimal"/>
      <w:isLgl/>
      <w:lvlText w:val="%1.%2.%3.%4.%5.%6.%7."/>
      <w:lvlJc w:val="left"/>
      <w:pPr>
        <w:ind w:left="1440" w:hanging="1440"/>
      </w:pPr>
      <w:rPr>
        <w:rFonts w:hint="default" w:hAnsi="Segoe UI" w:eastAsiaTheme="minorEastAsia"/>
        <w:color w:val="303030" w:themeColor="text1"/>
      </w:rPr>
    </w:lvl>
    <w:lvl w:ilvl="7">
      <w:start w:val="1"/>
      <w:numFmt w:val="decimal"/>
      <w:isLgl/>
      <w:lvlText w:val="%1.%2.%3.%4.%5.%6.%7.%8."/>
      <w:lvlJc w:val="left"/>
      <w:pPr>
        <w:ind w:left="1440" w:hanging="1440"/>
      </w:pPr>
      <w:rPr>
        <w:rFonts w:hint="default" w:hAnsi="Segoe UI" w:eastAsiaTheme="minorEastAsia"/>
        <w:color w:val="303030" w:themeColor="text1"/>
      </w:rPr>
    </w:lvl>
    <w:lvl w:ilvl="8">
      <w:start w:val="1"/>
      <w:numFmt w:val="decimal"/>
      <w:isLgl/>
      <w:lvlText w:val="%1.%2.%3.%4.%5.%6.%7.%8.%9."/>
      <w:lvlJc w:val="left"/>
      <w:pPr>
        <w:ind w:left="1800" w:hanging="1800"/>
      </w:pPr>
      <w:rPr>
        <w:rFonts w:hint="default" w:hAnsi="Segoe UI" w:eastAsiaTheme="minorEastAsia"/>
        <w:color w:val="303030" w:themeColor="text1"/>
      </w:rPr>
    </w:lvl>
  </w:abstractNum>
  <w:abstractNum w:abstractNumId="40" w15:restartNumberingAfterBreak="0">
    <w:nsid w:val="536C1270"/>
    <w:multiLevelType w:val="hybridMultilevel"/>
    <w:tmpl w:val="F7423256"/>
    <w:lvl w:ilvl="0" w:tplc="5692798A">
      <w:start w:val="1"/>
      <w:numFmt w:val="decimal"/>
      <w:lvlText w:val="%1."/>
      <w:lvlJc w:val="left"/>
      <w:pPr>
        <w:ind w:left="1020" w:hanging="360"/>
      </w:pPr>
    </w:lvl>
    <w:lvl w:ilvl="1" w:tplc="2F1E0C8E">
      <w:start w:val="1"/>
      <w:numFmt w:val="decimal"/>
      <w:lvlText w:val="%2."/>
      <w:lvlJc w:val="left"/>
      <w:pPr>
        <w:ind w:left="1020" w:hanging="360"/>
      </w:pPr>
    </w:lvl>
    <w:lvl w:ilvl="2" w:tplc="22E2A662">
      <w:start w:val="1"/>
      <w:numFmt w:val="decimal"/>
      <w:lvlText w:val="%3."/>
      <w:lvlJc w:val="left"/>
      <w:pPr>
        <w:ind w:left="1020" w:hanging="360"/>
      </w:pPr>
    </w:lvl>
    <w:lvl w:ilvl="3" w:tplc="8054B69E">
      <w:start w:val="1"/>
      <w:numFmt w:val="decimal"/>
      <w:lvlText w:val="%4."/>
      <w:lvlJc w:val="left"/>
      <w:pPr>
        <w:ind w:left="1020" w:hanging="360"/>
      </w:pPr>
    </w:lvl>
    <w:lvl w:ilvl="4" w:tplc="47CA74AE">
      <w:start w:val="1"/>
      <w:numFmt w:val="decimal"/>
      <w:lvlText w:val="%5."/>
      <w:lvlJc w:val="left"/>
      <w:pPr>
        <w:ind w:left="1020" w:hanging="360"/>
      </w:pPr>
    </w:lvl>
    <w:lvl w:ilvl="5" w:tplc="AA341424">
      <w:start w:val="1"/>
      <w:numFmt w:val="decimal"/>
      <w:lvlText w:val="%6."/>
      <w:lvlJc w:val="left"/>
      <w:pPr>
        <w:ind w:left="1020" w:hanging="360"/>
      </w:pPr>
    </w:lvl>
    <w:lvl w:ilvl="6" w:tplc="E922816A">
      <w:start w:val="1"/>
      <w:numFmt w:val="decimal"/>
      <w:lvlText w:val="%7."/>
      <w:lvlJc w:val="left"/>
      <w:pPr>
        <w:ind w:left="1020" w:hanging="360"/>
      </w:pPr>
    </w:lvl>
    <w:lvl w:ilvl="7" w:tplc="426CA82E">
      <w:start w:val="1"/>
      <w:numFmt w:val="decimal"/>
      <w:lvlText w:val="%8."/>
      <w:lvlJc w:val="left"/>
      <w:pPr>
        <w:ind w:left="1020" w:hanging="360"/>
      </w:pPr>
    </w:lvl>
    <w:lvl w:ilvl="8" w:tplc="6E9E413C">
      <w:start w:val="1"/>
      <w:numFmt w:val="decimal"/>
      <w:lvlText w:val="%9."/>
      <w:lvlJc w:val="left"/>
      <w:pPr>
        <w:ind w:left="1020" w:hanging="360"/>
      </w:pPr>
    </w:lvl>
  </w:abstractNum>
  <w:abstractNum w:abstractNumId="41" w15:restartNumberingAfterBreak="0">
    <w:nsid w:val="55560836"/>
    <w:multiLevelType w:val="multilevel"/>
    <w:tmpl w:val="8D6AB31E"/>
    <w:styleLink w:val="ListStyle-TableListBullet"/>
    <w:lvl w:ilvl="0">
      <w:start w:val="1"/>
      <w:numFmt w:val="bullet"/>
      <w:lvlText w:val="•"/>
      <w:lvlJc w:val="left"/>
      <w:pPr>
        <w:ind w:left="284" w:hanging="171"/>
      </w:pPr>
      <w:rPr>
        <w:rFonts w:hint="default" w:ascii="Segoe UI" w:hAnsi="Segoe UI"/>
      </w:rPr>
    </w:lvl>
    <w:lvl w:ilvl="1">
      <w:start w:val="1"/>
      <w:numFmt w:val="bullet"/>
      <w:lvlText w:val="•"/>
      <w:lvlJc w:val="left"/>
      <w:pPr>
        <w:ind w:left="454" w:hanging="171"/>
      </w:pPr>
      <w:rPr>
        <w:rFonts w:hint="default" w:ascii="Segoe UI" w:hAnsi="Segoe UI" w:cs="Times New Roman"/>
      </w:rPr>
    </w:lvl>
    <w:lvl w:ilvl="2">
      <w:start w:val="1"/>
      <w:numFmt w:val="bullet"/>
      <w:lvlText w:val="•"/>
      <w:lvlJc w:val="left"/>
      <w:pPr>
        <w:ind w:left="624" w:hanging="171"/>
      </w:pPr>
      <w:rPr>
        <w:rFonts w:hint="default" w:ascii="Segoe UI" w:hAnsi="Segoe UI" w:cs="Times New Roman"/>
      </w:rPr>
    </w:lvl>
    <w:lvl w:ilvl="3">
      <w:start w:val="1"/>
      <w:numFmt w:val="bullet"/>
      <w:lvlText w:val="•"/>
      <w:lvlJc w:val="left"/>
      <w:pPr>
        <w:ind w:left="794" w:hanging="171"/>
      </w:pPr>
      <w:rPr>
        <w:rFonts w:hint="default" w:ascii="Segoe UI" w:hAnsi="Segoe UI" w:cs="Times New Roman"/>
      </w:rPr>
    </w:lvl>
    <w:lvl w:ilvl="4">
      <w:start w:val="1"/>
      <w:numFmt w:val="bullet"/>
      <w:lvlText w:val="•"/>
      <w:lvlJc w:val="left"/>
      <w:pPr>
        <w:ind w:left="964" w:hanging="171"/>
      </w:pPr>
      <w:rPr>
        <w:rFonts w:hint="default" w:ascii="Segoe UI" w:hAnsi="Segoe UI" w:cs="Times New Roman"/>
      </w:rPr>
    </w:lvl>
    <w:lvl w:ilvl="5">
      <w:start w:val="1"/>
      <w:numFmt w:val="bullet"/>
      <w:lvlText w:val="•"/>
      <w:lvlJc w:val="left"/>
      <w:pPr>
        <w:ind w:left="1134" w:hanging="171"/>
      </w:pPr>
      <w:rPr>
        <w:rFonts w:hint="default" w:ascii="Segoe UI" w:hAnsi="Segoe UI" w:cs="Times New Roman"/>
      </w:rPr>
    </w:lvl>
    <w:lvl w:ilvl="6">
      <w:start w:val="1"/>
      <w:numFmt w:val="bullet"/>
      <w:lvlText w:val="•"/>
      <w:lvlJc w:val="left"/>
      <w:pPr>
        <w:ind w:left="1304" w:hanging="171"/>
      </w:pPr>
      <w:rPr>
        <w:rFonts w:hint="default" w:ascii="Segoe UI" w:hAnsi="Segoe UI" w:cs="Times New Roman"/>
      </w:rPr>
    </w:lvl>
    <w:lvl w:ilvl="7">
      <w:start w:val="1"/>
      <w:numFmt w:val="bullet"/>
      <w:lvlText w:val="•"/>
      <w:lvlJc w:val="left"/>
      <w:pPr>
        <w:ind w:left="1474" w:hanging="171"/>
      </w:pPr>
      <w:rPr>
        <w:rFonts w:hint="default" w:ascii="Segoe UI" w:hAnsi="Segoe UI" w:cs="Times New Roman"/>
      </w:rPr>
    </w:lvl>
    <w:lvl w:ilvl="8">
      <w:start w:val="1"/>
      <w:numFmt w:val="bullet"/>
      <w:lvlText w:val="•"/>
      <w:lvlJc w:val="left"/>
      <w:pPr>
        <w:ind w:left="1644" w:hanging="171"/>
      </w:pPr>
      <w:rPr>
        <w:rFonts w:hint="default" w:ascii="Segoe UI" w:hAnsi="Segoe UI" w:cs="Times New Roman"/>
      </w:rPr>
    </w:lvl>
  </w:abstractNum>
  <w:abstractNum w:abstractNumId="42" w15:restartNumberingAfterBreak="0">
    <w:nsid w:val="57693044"/>
    <w:multiLevelType w:val="hybridMultilevel"/>
    <w:tmpl w:val="9E26BB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99145AD"/>
    <w:multiLevelType w:val="multilevel"/>
    <w:tmpl w:val="9ACC272A"/>
    <w:styleLink w:val="ListStyle-FactBoxListNumber"/>
    <w:lvl w:ilvl="0">
      <w:start w:val="1"/>
      <w:numFmt w:val="decimal"/>
      <w:lvlText w:val="%1."/>
      <w:lvlJc w:val="left"/>
      <w:pPr>
        <w:ind w:left="510" w:hanging="340"/>
      </w:pPr>
      <w:rPr>
        <w:rFonts w:hint="default" w:ascii="Segoe UI" w:hAnsi="Segoe UI" w:cs="Segoe UI"/>
      </w:rPr>
    </w:lvl>
    <w:lvl w:ilvl="1">
      <w:start w:val="1"/>
      <w:numFmt w:val="decimal"/>
      <w:lvlText w:val="%1.%2."/>
      <w:lvlJc w:val="left"/>
      <w:pPr>
        <w:ind w:left="794" w:hanging="624"/>
      </w:pPr>
      <w:rPr>
        <w:rFonts w:hint="default" w:ascii="Segoe UI" w:hAnsi="Segoe UI"/>
      </w:rPr>
    </w:lvl>
    <w:lvl w:ilvl="2">
      <w:start w:val="1"/>
      <w:numFmt w:val="decimal"/>
      <w:lvlText w:val="%1.%2.%3."/>
      <w:lvlJc w:val="left"/>
      <w:pPr>
        <w:ind w:left="964" w:hanging="794"/>
      </w:pPr>
      <w:rPr>
        <w:rFonts w:hint="default" w:ascii="Segoe UI" w:hAnsi="Segoe UI"/>
      </w:rPr>
    </w:lvl>
    <w:lvl w:ilvl="3">
      <w:start w:val="1"/>
      <w:numFmt w:val="decimal"/>
      <w:lvlText w:val="%1.%2.%3.%4."/>
      <w:lvlJc w:val="left"/>
      <w:pPr>
        <w:ind w:left="1134" w:hanging="964"/>
      </w:pPr>
      <w:rPr>
        <w:rFonts w:hint="default" w:ascii="Segoe UI" w:hAnsi="Segoe UI"/>
      </w:rPr>
    </w:lvl>
    <w:lvl w:ilvl="4">
      <w:start w:val="1"/>
      <w:numFmt w:val="decimal"/>
      <w:lvlText w:val="%1.%2.%3.%4.%5."/>
      <w:lvlJc w:val="left"/>
      <w:pPr>
        <w:ind w:left="1304" w:hanging="1134"/>
      </w:pPr>
      <w:rPr>
        <w:rFonts w:hint="default" w:ascii="Segoe UI" w:hAnsi="Segoe UI"/>
      </w:rPr>
    </w:lvl>
    <w:lvl w:ilvl="5">
      <w:start w:val="1"/>
      <w:numFmt w:val="decimal"/>
      <w:lvlText w:val="%1.%2.%3.%4.%5.%6."/>
      <w:lvlJc w:val="left"/>
      <w:pPr>
        <w:ind w:left="1531" w:hanging="1361"/>
      </w:pPr>
      <w:rPr>
        <w:rFonts w:hint="default" w:ascii="Segoe UI" w:hAnsi="Segoe UI"/>
      </w:rPr>
    </w:lvl>
    <w:lvl w:ilvl="6">
      <w:start w:val="1"/>
      <w:numFmt w:val="decimal"/>
      <w:lvlText w:val="%1.%2.%3.%4.%5.%6.%7."/>
      <w:lvlJc w:val="left"/>
      <w:pPr>
        <w:ind w:left="1701" w:hanging="1531"/>
      </w:pPr>
      <w:rPr>
        <w:rFonts w:hint="default" w:ascii="Segoe UI" w:hAnsi="Segoe UI"/>
      </w:rPr>
    </w:lvl>
    <w:lvl w:ilvl="7">
      <w:start w:val="1"/>
      <w:numFmt w:val="decimal"/>
      <w:lvlText w:val="%1.%2.%3.%4.%5.%6.%7.%8."/>
      <w:lvlJc w:val="left"/>
      <w:pPr>
        <w:ind w:left="1871" w:hanging="1701"/>
      </w:pPr>
      <w:rPr>
        <w:rFonts w:hint="default" w:ascii="Segoe UI" w:hAnsi="Segoe UI"/>
      </w:rPr>
    </w:lvl>
    <w:lvl w:ilvl="8">
      <w:start w:val="1"/>
      <w:numFmt w:val="decimal"/>
      <w:lvlText w:val="%1.%2.%3.%4.%5.%6.%7.%8.%9."/>
      <w:lvlJc w:val="left"/>
      <w:pPr>
        <w:ind w:left="2098" w:hanging="1928"/>
      </w:pPr>
      <w:rPr>
        <w:rFonts w:hint="default" w:ascii="Segoe UI" w:hAnsi="Segoe UI"/>
      </w:rPr>
    </w:lvl>
  </w:abstractNum>
  <w:abstractNum w:abstractNumId="44" w15:restartNumberingAfterBreak="0">
    <w:nsid w:val="5C975C10"/>
    <w:multiLevelType w:val="multilevel"/>
    <w:tmpl w:val="1B2269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5F6102C6"/>
    <w:multiLevelType w:val="hybridMultilevel"/>
    <w:tmpl w:val="FFFFFFFF"/>
    <w:lvl w:ilvl="0" w:tplc="99724790">
      <w:start w:val="1"/>
      <w:numFmt w:val="decimal"/>
      <w:lvlText w:val="6)"/>
      <w:lvlJc w:val="left"/>
      <w:pPr>
        <w:ind w:left="720" w:hanging="360"/>
      </w:pPr>
    </w:lvl>
    <w:lvl w:ilvl="1" w:tplc="D922A6BA">
      <w:start w:val="1"/>
      <w:numFmt w:val="lowerLetter"/>
      <w:lvlText w:val="%2."/>
      <w:lvlJc w:val="left"/>
      <w:pPr>
        <w:ind w:left="1440" w:hanging="360"/>
      </w:pPr>
    </w:lvl>
    <w:lvl w:ilvl="2" w:tplc="A57061A8">
      <w:start w:val="1"/>
      <w:numFmt w:val="lowerRoman"/>
      <w:lvlText w:val="%3."/>
      <w:lvlJc w:val="right"/>
      <w:pPr>
        <w:ind w:left="2160" w:hanging="180"/>
      </w:pPr>
    </w:lvl>
    <w:lvl w:ilvl="3" w:tplc="0972A2B2">
      <w:start w:val="1"/>
      <w:numFmt w:val="decimal"/>
      <w:lvlText w:val="%4."/>
      <w:lvlJc w:val="left"/>
      <w:pPr>
        <w:ind w:left="2880" w:hanging="360"/>
      </w:pPr>
    </w:lvl>
    <w:lvl w:ilvl="4" w:tplc="1F80B13C">
      <w:start w:val="1"/>
      <w:numFmt w:val="lowerLetter"/>
      <w:lvlText w:val="%5."/>
      <w:lvlJc w:val="left"/>
      <w:pPr>
        <w:ind w:left="3600" w:hanging="360"/>
      </w:pPr>
    </w:lvl>
    <w:lvl w:ilvl="5" w:tplc="F54AD1B8">
      <w:start w:val="1"/>
      <w:numFmt w:val="lowerRoman"/>
      <w:lvlText w:val="%6."/>
      <w:lvlJc w:val="right"/>
      <w:pPr>
        <w:ind w:left="4320" w:hanging="180"/>
      </w:pPr>
    </w:lvl>
    <w:lvl w:ilvl="6" w:tplc="3DD2F9D0">
      <w:start w:val="1"/>
      <w:numFmt w:val="decimal"/>
      <w:lvlText w:val="%7."/>
      <w:lvlJc w:val="left"/>
      <w:pPr>
        <w:ind w:left="5040" w:hanging="360"/>
      </w:pPr>
    </w:lvl>
    <w:lvl w:ilvl="7" w:tplc="62E43BFC">
      <w:start w:val="1"/>
      <w:numFmt w:val="lowerLetter"/>
      <w:lvlText w:val="%8."/>
      <w:lvlJc w:val="left"/>
      <w:pPr>
        <w:ind w:left="5760" w:hanging="360"/>
      </w:pPr>
    </w:lvl>
    <w:lvl w:ilvl="8" w:tplc="8FC044CA">
      <w:start w:val="1"/>
      <w:numFmt w:val="lowerRoman"/>
      <w:lvlText w:val="%9."/>
      <w:lvlJc w:val="right"/>
      <w:pPr>
        <w:ind w:left="6480" w:hanging="180"/>
      </w:pPr>
    </w:lvl>
  </w:abstractNum>
  <w:abstractNum w:abstractNumId="46" w15:restartNumberingAfterBreak="0">
    <w:nsid w:val="68350B33"/>
    <w:multiLevelType w:val="hybridMultilevel"/>
    <w:tmpl w:val="C46C13E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6B38105B"/>
    <w:multiLevelType w:val="multilevel"/>
    <w:tmpl w:val="2910C1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CE73987"/>
    <w:multiLevelType w:val="multilevel"/>
    <w:tmpl w:val="104ECD6A"/>
    <w:styleLink w:val="ListStyle-ListAlphabet"/>
    <w:lvl w:ilvl="0">
      <w:start w:val="1"/>
      <w:numFmt w:val="lowerLetter"/>
      <w:pStyle w:val="ListAlphabet"/>
      <w:lvlText w:val="%1."/>
      <w:lvlJc w:val="left"/>
      <w:pPr>
        <w:ind w:left="340" w:hanging="340"/>
      </w:pPr>
      <w:rPr>
        <w:rFonts w:hint="default" w:ascii="Segoe UI" w:hAnsi="Segoe UI" w:cs="Segoe UI Light"/>
      </w:rPr>
    </w:lvl>
    <w:lvl w:ilvl="1">
      <w:start w:val="1"/>
      <w:numFmt w:val="lowerRoman"/>
      <w:pStyle w:val="ListAlphabet2"/>
      <w:lvlText w:val="%2."/>
      <w:lvlJc w:val="left"/>
      <w:pPr>
        <w:ind w:left="680" w:hanging="340"/>
      </w:pPr>
      <w:rPr>
        <w:rFonts w:hint="default" w:ascii="Segoe UI" w:hAnsi="Segoe UI"/>
      </w:rPr>
    </w:lvl>
    <w:lvl w:ilvl="2">
      <w:start w:val="1"/>
      <w:numFmt w:val="decimal"/>
      <w:pStyle w:val="ListAlphabet3"/>
      <w:lvlText w:val="%3."/>
      <w:lvlJc w:val="left"/>
      <w:pPr>
        <w:ind w:left="1020" w:hanging="340"/>
      </w:pPr>
      <w:rPr>
        <w:rFonts w:hint="default" w:ascii="Segoe UI" w:hAnsi="Segoe UI"/>
      </w:rPr>
    </w:lvl>
    <w:lvl w:ilvl="3">
      <w:start w:val="1"/>
      <w:numFmt w:val="lowerLetter"/>
      <w:lvlText w:val="%4)"/>
      <w:lvlJc w:val="left"/>
      <w:pPr>
        <w:ind w:left="1360" w:hanging="340"/>
      </w:pPr>
      <w:rPr>
        <w:rFonts w:hint="default" w:ascii="Segoe UI" w:hAnsi="Segoe UI"/>
      </w:rPr>
    </w:lvl>
    <w:lvl w:ilvl="4">
      <w:start w:val="1"/>
      <w:numFmt w:val="lowerRoman"/>
      <w:lvlText w:val="%5)"/>
      <w:lvlJc w:val="left"/>
      <w:pPr>
        <w:ind w:left="1700" w:hanging="340"/>
      </w:pPr>
      <w:rPr>
        <w:rFonts w:hint="default" w:ascii="Segoe UI" w:hAnsi="Segoe UI"/>
      </w:rPr>
    </w:lvl>
    <w:lvl w:ilvl="5">
      <w:start w:val="1"/>
      <w:numFmt w:val="decimal"/>
      <w:lvlText w:val="%6)"/>
      <w:lvlJc w:val="left"/>
      <w:pPr>
        <w:ind w:left="2040" w:hanging="340"/>
      </w:pPr>
      <w:rPr>
        <w:rFonts w:hint="default" w:ascii="Segoe UI" w:hAnsi="Segoe UI"/>
      </w:rPr>
    </w:lvl>
    <w:lvl w:ilvl="6">
      <w:start w:val="1"/>
      <w:numFmt w:val="lowerLetter"/>
      <w:lvlText w:val="(%7)"/>
      <w:lvlJc w:val="left"/>
      <w:pPr>
        <w:ind w:left="2380" w:hanging="340"/>
      </w:pPr>
      <w:rPr>
        <w:rFonts w:hint="default" w:ascii="Segoe UI" w:hAnsi="Segoe UI"/>
      </w:rPr>
    </w:lvl>
    <w:lvl w:ilvl="7">
      <w:start w:val="1"/>
      <w:numFmt w:val="lowerRoman"/>
      <w:lvlText w:val="(%8)"/>
      <w:lvlJc w:val="left"/>
      <w:pPr>
        <w:ind w:left="2720" w:hanging="340"/>
      </w:pPr>
      <w:rPr>
        <w:rFonts w:hint="default" w:ascii="Segoe UI" w:hAnsi="Segoe UI"/>
      </w:rPr>
    </w:lvl>
    <w:lvl w:ilvl="8">
      <w:start w:val="1"/>
      <w:numFmt w:val="decimal"/>
      <w:lvlText w:val="(%9)"/>
      <w:lvlJc w:val="left"/>
      <w:pPr>
        <w:ind w:left="3060" w:hanging="340"/>
      </w:pPr>
      <w:rPr>
        <w:rFonts w:hint="default" w:ascii="Segoe UI" w:hAnsi="Segoe UI"/>
      </w:rPr>
    </w:lvl>
  </w:abstractNum>
  <w:abstractNum w:abstractNumId="49" w15:restartNumberingAfterBreak="0">
    <w:nsid w:val="774E2E29"/>
    <w:multiLevelType w:val="multilevel"/>
    <w:tmpl w:val="428671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7DAE491C"/>
    <w:multiLevelType w:val="hybridMultilevel"/>
    <w:tmpl w:val="519C68A4"/>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7EAE289C"/>
    <w:multiLevelType w:val="hybridMultilevel"/>
    <w:tmpl w:val="5798F7F8"/>
    <w:lvl w:ilvl="0" w:tplc="8C5C41AA">
      <w:start w:val="1"/>
      <w:numFmt w:val="decimal"/>
      <w:lvlText w:val="%1."/>
      <w:lvlJc w:val="left"/>
      <w:pPr>
        <w:tabs>
          <w:tab w:val="num" w:pos="720"/>
        </w:tabs>
        <w:ind w:left="720" w:hanging="360"/>
      </w:pPr>
    </w:lvl>
    <w:lvl w:ilvl="1" w:tplc="9B5A6FD4">
      <w:start w:val="1"/>
      <w:numFmt w:val="decimal"/>
      <w:lvlText w:val="%2."/>
      <w:lvlJc w:val="left"/>
      <w:pPr>
        <w:tabs>
          <w:tab w:val="num" w:pos="1440"/>
        </w:tabs>
        <w:ind w:left="1440" w:hanging="360"/>
      </w:pPr>
    </w:lvl>
    <w:lvl w:ilvl="2" w:tplc="960CD30E" w:tentative="1">
      <w:start w:val="1"/>
      <w:numFmt w:val="decimal"/>
      <w:lvlText w:val="%3."/>
      <w:lvlJc w:val="left"/>
      <w:pPr>
        <w:tabs>
          <w:tab w:val="num" w:pos="2160"/>
        </w:tabs>
        <w:ind w:left="2160" w:hanging="360"/>
      </w:pPr>
    </w:lvl>
    <w:lvl w:ilvl="3" w:tplc="4DB6CF14" w:tentative="1">
      <w:start w:val="1"/>
      <w:numFmt w:val="decimal"/>
      <w:lvlText w:val="%4."/>
      <w:lvlJc w:val="left"/>
      <w:pPr>
        <w:tabs>
          <w:tab w:val="num" w:pos="2880"/>
        </w:tabs>
        <w:ind w:left="2880" w:hanging="360"/>
      </w:pPr>
    </w:lvl>
    <w:lvl w:ilvl="4" w:tplc="E63C525E" w:tentative="1">
      <w:start w:val="1"/>
      <w:numFmt w:val="decimal"/>
      <w:lvlText w:val="%5."/>
      <w:lvlJc w:val="left"/>
      <w:pPr>
        <w:tabs>
          <w:tab w:val="num" w:pos="3600"/>
        </w:tabs>
        <w:ind w:left="3600" w:hanging="360"/>
      </w:pPr>
    </w:lvl>
    <w:lvl w:ilvl="5" w:tplc="613A7656" w:tentative="1">
      <w:start w:val="1"/>
      <w:numFmt w:val="decimal"/>
      <w:lvlText w:val="%6."/>
      <w:lvlJc w:val="left"/>
      <w:pPr>
        <w:tabs>
          <w:tab w:val="num" w:pos="4320"/>
        </w:tabs>
        <w:ind w:left="4320" w:hanging="360"/>
      </w:pPr>
    </w:lvl>
    <w:lvl w:ilvl="6" w:tplc="4E9AD836" w:tentative="1">
      <w:start w:val="1"/>
      <w:numFmt w:val="decimal"/>
      <w:lvlText w:val="%7."/>
      <w:lvlJc w:val="left"/>
      <w:pPr>
        <w:tabs>
          <w:tab w:val="num" w:pos="5040"/>
        </w:tabs>
        <w:ind w:left="5040" w:hanging="360"/>
      </w:pPr>
    </w:lvl>
    <w:lvl w:ilvl="7" w:tplc="225ECA8E" w:tentative="1">
      <w:start w:val="1"/>
      <w:numFmt w:val="decimal"/>
      <w:lvlText w:val="%8."/>
      <w:lvlJc w:val="left"/>
      <w:pPr>
        <w:tabs>
          <w:tab w:val="num" w:pos="5760"/>
        </w:tabs>
        <w:ind w:left="5760" w:hanging="360"/>
      </w:pPr>
    </w:lvl>
    <w:lvl w:ilvl="8" w:tplc="504C005A" w:tentative="1">
      <w:start w:val="1"/>
      <w:numFmt w:val="decimal"/>
      <w:lvlText w:val="%9."/>
      <w:lvlJc w:val="left"/>
      <w:pPr>
        <w:tabs>
          <w:tab w:val="num" w:pos="6480"/>
        </w:tabs>
        <w:ind w:left="6480" w:hanging="360"/>
      </w:pPr>
    </w:lvl>
  </w:abstractNum>
  <w:abstractNum w:abstractNumId="52" w15:restartNumberingAfterBreak="0">
    <w:nsid w:val="7F216990"/>
    <w:multiLevelType w:val="multilevel"/>
    <w:tmpl w:val="CE84147C"/>
    <w:styleLink w:val="111111"/>
    <w:lvl w:ilvl="0">
      <w:start w:val="1"/>
      <w:numFmt w:val="decimal"/>
      <w:lvlText w:val="%1."/>
      <w:lvlJc w:val="left"/>
      <w:pPr>
        <w:ind w:left="360" w:hanging="360"/>
      </w:pPr>
      <w:rPr>
        <w:rFonts w:hint="default" w:ascii="Segoe UI" w:hAnsi="Segoe UI" w:cs="Segoe UI"/>
      </w:rPr>
    </w:lvl>
    <w:lvl w:ilvl="1">
      <w:start w:val="1"/>
      <w:numFmt w:val="decimal"/>
      <w:lvlText w:val="%1.%2."/>
      <w:lvlJc w:val="left"/>
      <w:pPr>
        <w:ind w:left="792" w:hanging="432"/>
      </w:pPr>
      <w:rPr>
        <w:rFonts w:hint="default" w:ascii="Segoe UI" w:hAnsi="Segoe UI"/>
      </w:rPr>
    </w:lvl>
    <w:lvl w:ilvl="2">
      <w:start w:val="1"/>
      <w:numFmt w:val="decimal"/>
      <w:lvlText w:val="%1.%2.%3."/>
      <w:lvlJc w:val="left"/>
      <w:pPr>
        <w:ind w:left="1224" w:hanging="504"/>
      </w:pPr>
      <w:rPr>
        <w:rFonts w:hint="default" w:ascii="Segoe UI" w:hAnsi="Segoe UI"/>
      </w:rPr>
    </w:lvl>
    <w:lvl w:ilvl="3">
      <w:start w:val="1"/>
      <w:numFmt w:val="decimal"/>
      <w:lvlText w:val="%1.%2.%3.%4."/>
      <w:lvlJc w:val="left"/>
      <w:pPr>
        <w:ind w:left="1728" w:hanging="648"/>
      </w:pPr>
      <w:rPr>
        <w:rFonts w:hint="default" w:ascii="Segoe UI" w:hAnsi="Segoe UI"/>
      </w:rPr>
    </w:lvl>
    <w:lvl w:ilvl="4">
      <w:start w:val="1"/>
      <w:numFmt w:val="decimal"/>
      <w:lvlText w:val="%1.%2.%3.%4.%5."/>
      <w:lvlJc w:val="left"/>
      <w:pPr>
        <w:ind w:left="2232" w:hanging="792"/>
      </w:pPr>
      <w:rPr>
        <w:rFonts w:hint="default" w:ascii="Segoe UI" w:hAnsi="Segoe UI"/>
      </w:rPr>
    </w:lvl>
    <w:lvl w:ilvl="5">
      <w:start w:val="1"/>
      <w:numFmt w:val="decimal"/>
      <w:lvlText w:val="%1.%2.%3.%4.%5.%6."/>
      <w:lvlJc w:val="left"/>
      <w:pPr>
        <w:ind w:left="2736" w:hanging="936"/>
      </w:pPr>
      <w:rPr>
        <w:rFonts w:hint="default" w:ascii="Segoe UI" w:hAnsi="Segoe UI"/>
      </w:rPr>
    </w:lvl>
    <w:lvl w:ilvl="6">
      <w:start w:val="1"/>
      <w:numFmt w:val="decimal"/>
      <w:lvlText w:val="%1.%2.%3.%4.%5.%6.%7."/>
      <w:lvlJc w:val="left"/>
      <w:pPr>
        <w:ind w:left="3240" w:hanging="1080"/>
      </w:pPr>
      <w:rPr>
        <w:rFonts w:hint="default" w:ascii="Segoe UI" w:hAnsi="Segoe UI"/>
      </w:rPr>
    </w:lvl>
    <w:lvl w:ilvl="7">
      <w:start w:val="1"/>
      <w:numFmt w:val="decimal"/>
      <w:lvlText w:val="%1.%2.%3.%4.%5.%6.%7.%8."/>
      <w:lvlJc w:val="left"/>
      <w:pPr>
        <w:ind w:left="3744" w:hanging="1224"/>
      </w:pPr>
      <w:rPr>
        <w:rFonts w:hint="default" w:ascii="Segoe UI" w:hAnsi="Segoe UI"/>
      </w:rPr>
    </w:lvl>
    <w:lvl w:ilvl="8">
      <w:start w:val="1"/>
      <w:numFmt w:val="decimal"/>
      <w:lvlText w:val="%1.%2.%3.%4.%5.%6.%7.%8.%9."/>
      <w:lvlJc w:val="left"/>
      <w:pPr>
        <w:ind w:left="4320" w:hanging="1440"/>
      </w:pPr>
      <w:rPr>
        <w:rFonts w:hint="default" w:ascii="Segoe UI" w:hAnsi="Segoe UI"/>
      </w:rPr>
    </w:lvl>
  </w:abstractNum>
  <w:num w:numId="1" w16cid:durableId="6298061">
    <w:abstractNumId w:val="30"/>
  </w:num>
  <w:num w:numId="2" w16cid:durableId="1349673683">
    <w:abstractNumId w:val="36"/>
  </w:num>
  <w:num w:numId="3" w16cid:durableId="1823691965">
    <w:abstractNumId w:val="2"/>
  </w:num>
  <w:num w:numId="4" w16cid:durableId="1555703502">
    <w:abstractNumId w:val="1"/>
  </w:num>
  <w:num w:numId="5" w16cid:durableId="991106416">
    <w:abstractNumId w:val="0"/>
  </w:num>
  <w:num w:numId="6" w16cid:durableId="360665817">
    <w:abstractNumId w:val="23"/>
  </w:num>
  <w:num w:numId="7" w16cid:durableId="131562520">
    <w:abstractNumId w:val="5"/>
  </w:num>
  <w:num w:numId="8" w16cid:durableId="696466140">
    <w:abstractNumId w:val="22"/>
  </w:num>
  <w:num w:numId="9" w16cid:durableId="2060274538">
    <w:abstractNumId w:val="43"/>
  </w:num>
  <w:num w:numId="10" w16cid:durableId="1098647139">
    <w:abstractNumId w:val="32"/>
  </w:num>
  <w:num w:numId="11" w16cid:durableId="1064526411">
    <w:abstractNumId w:val="48"/>
  </w:num>
  <w:num w:numId="12" w16cid:durableId="1510489164">
    <w:abstractNumId w:val="52"/>
  </w:num>
  <w:num w:numId="13" w16cid:durableId="2082364699">
    <w:abstractNumId w:val="12"/>
  </w:num>
  <w:num w:numId="14" w16cid:durableId="974796096">
    <w:abstractNumId w:val="41"/>
  </w:num>
  <w:num w:numId="15" w16cid:durableId="66269346">
    <w:abstractNumId w:val="20"/>
  </w:num>
  <w:num w:numId="16" w16cid:durableId="1406226392">
    <w:abstractNumId w:val="6"/>
  </w:num>
  <w:num w:numId="17" w16cid:durableId="291715843">
    <w:abstractNumId w:val="47"/>
  </w:num>
  <w:num w:numId="18" w16cid:durableId="1165978263">
    <w:abstractNumId w:val="9"/>
  </w:num>
  <w:num w:numId="19" w16cid:durableId="773012580">
    <w:abstractNumId w:val="13"/>
  </w:num>
  <w:num w:numId="20" w16cid:durableId="2028166926">
    <w:abstractNumId w:val="31"/>
  </w:num>
  <w:num w:numId="21" w16cid:durableId="2141994040">
    <w:abstractNumId w:val="39"/>
  </w:num>
  <w:num w:numId="22" w16cid:durableId="981740697">
    <w:abstractNumId w:val="3"/>
  </w:num>
  <w:num w:numId="23" w16cid:durableId="1547641163">
    <w:abstractNumId w:val="38"/>
  </w:num>
  <w:num w:numId="24" w16cid:durableId="527450636">
    <w:abstractNumId w:val="35"/>
  </w:num>
  <w:num w:numId="25" w16cid:durableId="958103215">
    <w:abstractNumId w:val="44"/>
  </w:num>
  <w:num w:numId="26" w16cid:durableId="2136023024">
    <w:abstractNumId w:val="28"/>
  </w:num>
  <w:num w:numId="27" w16cid:durableId="1748306264">
    <w:abstractNumId w:val="17"/>
  </w:num>
  <w:num w:numId="28" w16cid:durableId="1065300684">
    <w:abstractNumId w:val="8"/>
  </w:num>
  <w:num w:numId="29" w16cid:durableId="1759212734">
    <w:abstractNumId w:val="46"/>
  </w:num>
  <w:num w:numId="30" w16cid:durableId="1136950899">
    <w:abstractNumId w:val="18"/>
  </w:num>
  <w:num w:numId="31" w16cid:durableId="1593970050">
    <w:abstractNumId w:val="4"/>
  </w:num>
  <w:num w:numId="32" w16cid:durableId="681710643">
    <w:abstractNumId w:val="29"/>
  </w:num>
  <w:num w:numId="33" w16cid:durableId="470178080">
    <w:abstractNumId w:val="27"/>
  </w:num>
  <w:num w:numId="34" w16cid:durableId="1848858540">
    <w:abstractNumId w:val="51"/>
  </w:num>
  <w:num w:numId="35" w16cid:durableId="1239486796">
    <w:abstractNumId w:val="21"/>
  </w:num>
  <w:num w:numId="36" w16cid:durableId="313605905">
    <w:abstractNumId w:val="37"/>
  </w:num>
  <w:num w:numId="37" w16cid:durableId="1205289856">
    <w:abstractNumId w:val="34"/>
  </w:num>
  <w:num w:numId="38" w16cid:durableId="1252200714">
    <w:abstractNumId w:val="24"/>
  </w:num>
  <w:num w:numId="39" w16cid:durableId="1056514762">
    <w:abstractNumId w:val="16"/>
  </w:num>
  <w:num w:numId="40" w16cid:durableId="1548031051">
    <w:abstractNumId w:val="33"/>
  </w:num>
  <w:num w:numId="41" w16cid:durableId="896936112">
    <w:abstractNumId w:val="45"/>
  </w:num>
  <w:num w:numId="42" w16cid:durableId="793907929">
    <w:abstractNumId w:val="7"/>
  </w:num>
  <w:num w:numId="43" w16cid:durableId="180974770">
    <w:abstractNumId w:val="50"/>
  </w:num>
  <w:num w:numId="44" w16cid:durableId="965046627">
    <w:abstractNumId w:val="26"/>
  </w:num>
  <w:num w:numId="45" w16cid:durableId="583881470">
    <w:abstractNumId w:val="11"/>
  </w:num>
  <w:num w:numId="46" w16cid:durableId="31003816">
    <w:abstractNumId w:val="25"/>
  </w:num>
  <w:num w:numId="47" w16cid:durableId="394666496">
    <w:abstractNumId w:val="19"/>
  </w:num>
  <w:num w:numId="48" w16cid:durableId="235865258">
    <w:abstractNumId w:val="15"/>
  </w:num>
  <w:num w:numId="49" w16cid:durableId="1079717472">
    <w:abstractNumId w:val="42"/>
  </w:num>
  <w:num w:numId="50" w16cid:durableId="53244197">
    <w:abstractNumId w:val="40"/>
  </w:num>
  <w:num w:numId="51" w16cid:durableId="1796174185">
    <w:abstractNumId w:val="14"/>
  </w:num>
  <w:num w:numId="52" w16cid:durableId="1998027253">
    <w:abstractNumId w:val="10"/>
  </w:num>
  <w:num w:numId="53" w16cid:durableId="1968926435">
    <w:abstractNumId w:val="49"/>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proofState w:spelling="clean" w:grammar="dirty"/>
  <w:trackRevisions w:val="false"/>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pany" w:val="NIRAS GROUP (UK) Ltd."/>
    <w:docVar w:name="defaultNS" w:val="1"/>
    <w:docVar w:name="language" w:val="en"/>
    <w:docVar w:name="nirasshare" w:val="-1"/>
    <w:docVar w:name="template" w:val="report"/>
  </w:docVars>
  <w:rsids>
    <w:rsidRoot w:val="00994271"/>
    <w:rsid w:val="000000C6"/>
    <w:rsid w:val="00000124"/>
    <w:rsid w:val="00000225"/>
    <w:rsid w:val="000002D1"/>
    <w:rsid w:val="00000784"/>
    <w:rsid w:val="000007A3"/>
    <w:rsid w:val="000007D4"/>
    <w:rsid w:val="0000080A"/>
    <w:rsid w:val="000008A3"/>
    <w:rsid w:val="000008A4"/>
    <w:rsid w:val="00000981"/>
    <w:rsid w:val="000009E5"/>
    <w:rsid w:val="000009FE"/>
    <w:rsid w:val="00000B40"/>
    <w:rsid w:val="00000B54"/>
    <w:rsid w:val="00000DD0"/>
    <w:rsid w:val="00000E43"/>
    <w:rsid w:val="00000F15"/>
    <w:rsid w:val="00000F37"/>
    <w:rsid w:val="00000F69"/>
    <w:rsid w:val="000010A0"/>
    <w:rsid w:val="000010B6"/>
    <w:rsid w:val="000010CE"/>
    <w:rsid w:val="000012D4"/>
    <w:rsid w:val="0000168B"/>
    <w:rsid w:val="000018EA"/>
    <w:rsid w:val="000019EF"/>
    <w:rsid w:val="00001ABF"/>
    <w:rsid w:val="00001C7B"/>
    <w:rsid w:val="00001F0C"/>
    <w:rsid w:val="00001FBE"/>
    <w:rsid w:val="00001FF7"/>
    <w:rsid w:val="000020FC"/>
    <w:rsid w:val="000024DD"/>
    <w:rsid w:val="0000276B"/>
    <w:rsid w:val="0000286A"/>
    <w:rsid w:val="0000287C"/>
    <w:rsid w:val="000028E2"/>
    <w:rsid w:val="00002956"/>
    <w:rsid w:val="00002B1F"/>
    <w:rsid w:val="00002BF2"/>
    <w:rsid w:val="00002CBF"/>
    <w:rsid w:val="00002CD2"/>
    <w:rsid w:val="00002DE0"/>
    <w:rsid w:val="00002EAE"/>
    <w:rsid w:val="0000304B"/>
    <w:rsid w:val="000030EB"/>
    <w:rsid w:val="00003151"/>
    <w:rsid w:val="0000321C"/>
    <w:rsid w:val="000032CC"/>
    <w:rsid w:val="00003414"/>
    <w:rsid w:val="0000342F"/>
    <w:rsid w:val="000035C4"/>
    <w:rsid w:val="00003728"/>
    <w:rsid w:val="00003A19"/>
    <w:rsid w:val="00003B38"/>
    <w:rsid w:val="00003B83"/>
    <w:rsid w:val="00003BBB"/>
    <w:rsid w:val="00003E84"/>
    <w:rsid w:val="00004071"/>
    <w:rsid w:val="000040B6"/>
    <w:rsid w:val="00004136"/>
    <w:rsid w:val="00004138"/>
    <w:rsid w:val="00004162"/>
    <w:rsid w:val="00004232"/>
    <w:rsid w:val="000042D9"/>
    <w:rsid w:val="0000470B"/>
    <w:rsid w:val="0000484F"/>
    <w:rsid w:val="000048A8"/>
    <w:rsid w:val="00004B94"/>
    <w:rsid w:val="00004CBE"/>
    <w:rsid w:val="00004CD4"/>
    <w:rsid w:val="00004F9A"/>
    <w:rsid w:val="00005178"/>
    <w:rsid w:val="000051F2"/>
    <w:rsid w:val="00005254"/>
    <w:rsid w:val="000052F7"/>
    <w:rsid w:val="00005389"/>
    <w:rsid w:val="000053CF"/>
    <w:rsid w:val="00005561"/>
    <w:rsid w:val="000055AA"/>
    <w:rsid w:val="000058DD"/>
    <w:rsid w:val="00005D12"/>
    <w:rsid w:val="00005DDF"/>
    <w:rsid w:val="00005F01"/>
    <w:rsid w:val="000061E5"/>
    <w:rsid w:val="00006395"/>
    <w:rsid w:val="000064E8"/>
    <w:rsid w:val="00006623"/>
    <w:rsid w:val="00006781"/>
    <w:rsid w:val="0000680D"/>
    <w:rsid w:val="0000688F"/>
    <w:rsid w:val="0000696C"/>
    <w:rsid w:val="0000698B"/>
    <w:rsid w:val="000069C3"/>
    <w:rsid w:val="00006A4A"/>
    <w:rsid w:val="00006E65"/>
    <w:rsid w:val="00006FCA"/>
    <w:rsid w:val="00007025"/>
    <w:rsid w:val="000070FF"/>
    <w:rsid w:val="000071EE"/>
    <w:rsid w:val="000074EA"/>
    <w:rsid w:val="00007577"/>
    <w:rsid w:val="0000759A"/>
    <w:rsid w:val="000076F2"/>
    <w:rsid w:val="00007806"/>
    <w:rsid w:val="0000792E"/>
    <w:rsid w:val="000079B5"/>
    <w:rsid w:val="00007B9B"/>
    <w:rsid w:val="00007D75"/>
    <w:rsid w:val="00007EBC"/>
    <w:rsid w:val="00007F7D"/>
    <w:rsid w:val="0001010C"/>
    <w:rsid w:val="00010130"/>
    <w:rsid w:val="000101C1"/>
    <w:rsid w:val="000104E3"/>
    <w:rsid w:val="00010506"/>
    <w:rsid w:val="00010983"/>
    <w:rsid w:val="00010A2B"/>
    <w:rsid w:val="00010B33"/>
    <w:rsid w:val="00010C20"/>
    <w:rsid w:val="00010CFE"/>
    <w:rsid w:val="00010D3F"/>
    <w:rsid w:val="00011023"/>
    <w:rsid w:val="0001106A"/>
    <w:rsid w:val="00011277"/>
    <w:rsid w:val="00011321"/>
    <w:rsid w:val="0001163E"/>
    <w:rsid w:val="00011653"/>
    <w:rsid w:val="000116A0"/>
    <w:rsid w:val="000116C2"/>
    <w:rsid w:val="00011733"/>
    <w:rsid w:val="00011749"/>
    <w:rsid w:val="000118A3"/>
    <w:rsid w:val="0001194A"/>
    <w:rsid w:val="00011A17"/>
    <w:rsid w:val="00011BBC"/>
    <w:rsid w:val="00012054"/>
    <w:rsid w:val="0001218C"/>
    <w:rsid w:val="000122B2"/>
    <w:rsid w:val="00012352"/>
    <w:rsid w:val="000123E5"/>
    <w:rsid w:val="00012681"/>
    <w:rsid w:val="000126F8"/>
    <w:rsid w:val="000129AF"/>
    <w:rsid w:val="00012DCD"/>
    <w:rsid w:val="00012E13"/>
    <w:rsid w:val="00012E24"/>
    <w:rsid w:val="000130CB"/>
    <w:rsid w:val="000133D4"/>
    <w:rsid w:val="000135BE"/>
    <w:rsid w:val="00013652"/>
    <w:rsid w:val="00013761"/>
    <w:rsid w:val="00013A13"/>
    <w:rsid w:val="00013AA7"/>
    <w:rsid w:val="00013C4F"/>
    <w:rsid w:val="00013E17"/>
    <w:rsid w:val="00013E3E"/>
    <w:rsid w:val="0001400A"/>
    <w:rsid w:val="0001403D"/>
    <w:rsid w:val="0001430E"/>
    <w:rsid w:val="00014372"/>
    <w:rsid w:val="000143BB"/>
    <w:rsid w:val="000143E1"/>
    <w:rsid w:val="000145A0"/>
    <w:rsid w:val="000145AA"/>
    <w:rsid w:val="0001462D"/>
    <w:rsid w:val="00014689"/>
    <w:rsid w:val="00014B6E"/>
    <w:rsid w:val="00014D5F"/>
    <w:rsid w:val="00014D62"/>
    <w:rsid w:val="00014EA8"/>
    <w:rsid w:val="00014F8F"/>
    <w:rsid w:val="000150C9"/>
    <w:rsid w:val="00015133"/>
    <w:rsid w:val="000151D0"/>
    <w:rsid w:val="0001556A"/>
    <w:rsid w:val="0001576F"/>
    <w:rsid w:val="000157BF"/>
    <w:rsid w:val="000159EE"/>
    <w:rsid w:val="00015AAA"/>
    <w:rsid w:val="00015AB4"/>
    <w:rsid w:val="00015D5D"/>
    <w:rsid w:val="00015D75"/>
    <w:rsid w:val="0001612F"/>
    <w:rsid w:val="00016270"/>
    <w:rsid w:val="000162DC"/>
    <w:rsid w:val="00016451"/>
    <w:rsid w:val="000164C2"/>
    <w:rsid w:val="00016972"/>
    <w:rsid w:val="0001698A"/>
    <w:rsid w:val="000169A1"/>
    <w:rsid w:val="000169FA"/>
    <w:rsid w:val="00016AE8"/>
    <w:rsid w:val="00016D01"/>
    <w:rsid w:val="00016D89"/>
    <w:rsid w:val="0001737B"/>
    <w:rsid w:val="000173D4"/>
    <w:rsid w:val="0001751A"/>
    <w:rsid w:val="00017552"/>
    <w:rsid w:val="00017556"/>
    <w:rsid w:val="00017813"/>
    <w:rsid w:val="00017847"/>
    <w:rsid w:val="0001796A"/>
    <w:rsid w:val="000179BE"/>
    <w:rsid w:val="00017AB9"/>
    <w:rsid w:val="00017C93"/>
    <w:rsid w:val="00017E31"/>
    <w:rsid w:val="00017E4D"/>
    <w:rsid w:val="00017ED2"/>
    <w:rsid w:val="00017FEB"/>
    <w:rsid w:val="00020444"/>
    <w:rsid w:val="00020472"/>
    <w:rsid w:val="00020585"/>
    <w:rsid w:val="00020639"/>
    <w:rsid w:val="00020664"/>
    <w:rsid w:val="0002066A"/>
    <w:rsid w:val="00020707"/>
    <w:rsid w:val="000208EF"/>
    <w:rsid w:val="00020925"/>
    <w:rsid w:val="00020985"/>
    <w:rsid w:val="000209F4"/>
    <w:rsid w:val="00020BD4"/>
    <w:rsid w:val="00020C8B"/>
    <w:rsid w:val="00020E54"/>
    <w:rsid w:val="00020EB6"/>
    <w:rsid w:val="00021009"/>
    <w:rsid w:val="0002102C"/>
    <w:rsid w:val="00021081"/>
    <w:rsid w:val="0002108B"/>
    <w:rsid w:val="00021093"/>
    <w:rsid w:val="000210CE"/>
    <w:rsid w:val="000212FA"/>
    <w:rsid w:val="000215ED"/>
    <w:rsid w:val="00021686"/>
    <w:rsid w:val="0002169F"/>
    <w:rsid w:val="000218B7"/>
    <w:rsid w:val="00021966"/>
    <w:rsid w:val="00021A8B"/>
    <w:rsid w:val="00021B3C"/>
    <w:rsid w:val="00021BA3"/>
    <w:rsid w:val="00021BA7"/>
    <w:rsid w:val="00021C07"/>
    <w:rsid w:val="00021F8F"/>
    <w:rsid w:val="00022157"/>
    <w:rsid w:val="000221A5"/>
    <w:rsid w:val="000221FD"/>
    <w:rsid w:val="00022338"/>
    <w:rsid w:val="000223EF"/>
    <w:rsid w:val="00022733"/>
    <w:rsid w:val="00022785"/>
    <w:rsid w:val="00022805"/>
    <w:rsid w:val="00022893"/>
    <w:rsid w:val="0002294F"/>
    <w:rsid w:val="00022B76"/>
    <w:rsid w:val="00022CAB"/>
    <w:rsid w:val="00022D38"/>
    <w:rsid w:val="00022D43"/>
    <w:rsid w:val="00022E2E"/>
    <w:rsid w:val="0002308E"/>
    <w:rsid w:val="00023091"/>
    <w:rsid w:val="00023200"/>
    <w:rsid w:val="00023253"/>
    <w:rsid w:val="000232C3"/>
    <w:rsid w:val="000233F0"/>
    <w:rsid w:val="0002365B"/>
    <w:rsid w:val="000236A2"/>
    <w:rsid w:val="000239D5"/>
    <w:rsid w:val="00023A28"/>
    <w:rsid w:val="00023A8F"/>
    <w:rsid w:val="00023E78"/>
    <w:rsid w:val="00023ED4"/>
    <w:rsid w:val="00023FAC"/>
    <w:rsid w:val="0002404C"/>
    <w:rsid w:val="0002405F"/>
    <w:rsid w:val="00024303"/>
    <w:rsid w:val="000244B7"/>
    <w:rsid w:val="00024BA1"/>
    <w:rsid w:val="00024BA9"/>
    <w:rsid w:val="00024E39"/>
    <w:rsid w:val="000252C6"/>
    <w:rsid w:val="0002559B"/>
    <w:rsid w:val="000255C2"/>
    <w:rsid w:val="000256C6"/>
    <w:rsid w:val="00025822"/>
    <w:rsid w:val="00025AF8"/>
    <w:rsid w:val="00025B1D"/>
    <w:rsid w:val="00025BF8"/>
    <w:rsid w:val="00025FCB"/>
    <w:rsid w:val="00025FE2"/>
    <w:rsid w:val="000260C0"/>
    <w:rsid w:val="000260EE"/>
    <w:rsid w:val="00026179"/>
    <w:rsid w:val="0002668C"/>
    <w:rsid w:val="00026799"/>
    <w:rsid w:val="00026C2F"/>
    <w:rsid w:val="00026D3E"/>
    <w:rsid w:val="00026D82"/>
    <w:rsid w:val="00026D99"/>
    <w:rsid w:val="00026DBE"/>
    <w:rsid w:val="00026FA8"/>
    <w:rsid w:val="00026FD5"/>
    <w:rsid w:val="00027077"/>
    <w:rsid w:val="00027124"/>
    <w:rsid w:val="00027179"/>
    <w:rsid w:val="000271AE"/>
    <w:rsid w:val="00027434"/>
    <w:rsid w:val="000278C7"/>
    <w:rsid w:val="000278E4"/>
    <w:rsid w:val="00027C59"/>
    <w:rsid w:val="00027CEF"/>
    <w:rsid w:val="00027D6A"/>
    <w:rsid w:val="0003000C"/>
    <w:rsid w:val="00030034"/>
    <w:rsid w:val="000301F1"/>
    <w:rsid w:val="00030500"/>
    <w:rsid w:val="00030514"/>
    <w:rsid w:val="000305B8"/>
    <w:rsid w:val="00030735"/>
    <w:rsid w:val="00030877"/>
    <w:rsid w:val="00030ABE"/>
    <w:rsid w:val="00030B10"/>
    <w:rsid w:val="00030BEB"/>
    <w:rsid w:val="00030D75"/>
    <w:rsid w:val="00030FFC"/>
    <w:rsid w:val="000310F3"/>
    <w:rsid w:val="00031123"/>
    <w:rsid w:val="0003125B"/>
    <w:rsid w:val="000312B1"/>
    <w:rsid w:val="00031515"/>
    <w:rsid w:val="000315B5"/>
    <w:rsid w:val="00031748"/>
    <w:rsid w:val="000318C6"/>
    <w:rsid w:val="0003194A"/>
    <w:rsid w:val="00031974"/>
    <w:rsid w:val="00031A0D"/>
    <w:rsid w:val="00031A2A"/>
    <w:rsid w:val="00031D65"/>
    <w:rsid w:val="000320BA"/>
    <w:rsid w:val="000323D0"/>
    <w:rsid w:val="0003263E"/>
    <w:rsid w:val="00032659"/>
    <w:rsid w:val="00032895"/>
    <w:rsid w:val="00032904"/>
    <w:rsid w:val="000329B1"/>
    <w:rsid w:val="000329B6"/>
    <w:rsid w:val="00032B78"/>
    <w:rsid w:val="00033042"/>
    <w:rsid w:val="0003320C"/>
    <w:rsid w:val="000333AA"/>
    <w:rsid w:val="000333D5"/>
    <w:rsid w:val="000333E7"/>
    <w:rsid w:val="00033438"/>
    <w:rsid w:val="0003343C"/>
    <w:rsid w:val="00033624"/>
    <w:rsid w:val="00033677"/>
    <w:rsid w:val="000337A7"/>
    <w:rsid w:val="00033900"/>
    <w:rsid w:val="00033909"/>
    <w:rsid w:val="00033B65"/>
    <w:rsid w:val="00033DC5"/>
    <w:rsid w:val="00033F35"/>
    <w:rsid w:val="0003415D"/>
    <w:rsid w:val="00034182"/>
    <w:rsid w:val="00034229"/>
    <w:rsid w:val="00034383"/>
    <w:rsid w:val="000348D9"/>
    <w:rsid w:val="00034999"/>
    <w:rsid w:val="00034BF6"/>
    <w:rsid w:val="00034D07"/>
    <w:rsid w:val="000352BE"/>
    <w:rsid w:val="00035451"/>
    <w:rsid w:val="00035535"/>
    <w:rsid w:val="000357D5"/>
    <w:rsid w:val="00035870"/>
    <w:rsid w:val="00035A09"/>
    <w:rsid w:val="00035A89"/>
    <w:rsid w:val="00035B3C"/>
    <w:rsid w:val="00035B77"/>
    <w:rsid w:val="00035C5B"/>
    <w:rsid w:val="00035D8F"/>
    <w:rsid w:val="00035E36"/>
    <w:rsid w:val="00035E4B"/>
    <w:rsid w:val="00035E99"/>
    <w:rsid w:val="00036149"/>
    <w:rsid w:val="0003614C"/>
    <w:rsid w:val="00036539"/>
    <w:rsid w:val="0003654C"/>
    <w:rsid w:val="0003677C"/>
    <w:rsid w:val="00036896"/>
    <w:rsid w:val="00036A79"/>
    <w:rsid w:val="00036B92"/>
    <w:rsid w:val="00036BB2"/>
    <w:rsid w:val="00036C11"/>
    <w:rsid w:val="00036E21"/>
    <w:rsid w:val="00036E55"/>
    <w:rsid w:val="00036EDA"/>
    <w:rsid w:val="00036EE6"/>
    <w:rsid w:val="00037125"/>
    <w:rsid w:val="0003738E"/>
    <w:rsid w:val="000373DF"/>
    <w:rsid w:val="00037510"/>
    <w:rsid w:val="0003774C"/>
    <w:rsid w:val="000377B2"/>
    <w:rsid w:val="0003791F"/>
    <w:rsid w:val="000379BD"/>
    <w:rsid w:val="000379FD"/>
    <w:rsid w:val="00037B09"/>
    <w:rsid w:val="00037C05"/>
    <w:rsid w:val="00037C23"/>
    <w:rsid w:val="00037D34"/>
    <w:rsid w:val="00037E8E"/>
    <w:rsid w:val="00040245"/>
    <w:rsid w:val="00040341"/>
    <w:rsid w:val="00040345"/>
    <w:rsid w:val="000405F8"/>
    <w:rsid w:val="0004088C"/>
    <w:rsid w:val="000408E1"/>
    <w:rsid w:val="00040915"/>
    <w:rsid w:val="00040AC7"/>
    <w:rsid w:val="00040ACD"/>
    <w:rsid w:val="00040E64"/>
    <w:rsid w:val="00041218"/>
    <w:rsid w:val="00041666"/>
    <w:rsid w:val="000417B7"/>
    <w:rsid w:val="00041958"/>
    <w:rsid w:val="00041CA3"/>
    <w:rsid w:val="00041CAE"/>
    <w:rsid w:val="00041D36"/>
    <w:rsid w:val="00041EBC"/>
    <w:rsid w:val="00042080"/>
    <w:rsid w:val="00042122"/>
    <w:rsid w:val="00042125"/>
    <w:rsid w:val="0004219D"/>
    <w:rsid w:val="000421CC"/>
    <w:rsid w:val="000421D0"/>
    <w:rsid w:val="000422B7"/>
    <w:rsid w:val="00042338"/>
    <w:rsid w:val="000423B2"/>
    <w:rsid w:val="000423EF"/>
    <w:rsid w:val="000425C0"/>
    <w:rsid w:val="000426EC"/>
    <w:rsid w:val="00042860"/>
    <w:rsid w:val="000428D2"/>
    <w:rsid w:val="0004291B"/>
    <w:rsid w:val="00042A32"/>
    <w:rsid w:val="00042ABC"/>
    <w:rsid w:val="00042D36"/>
    <w:rsid w:val="00042FAA"/>
    <w:rsid w:val="000430BF"/>
    <w:rsid w:val="000434E6"/>
    <w:rsid w:val="00043595"/>
    <w:rsid w:val="0004369E"/>
    <w:rsid w:val="000436C5"/>
    <w:rsid w:val="000439E3"/>
    <w:rsid w:val="00043A0A"/>
    <w:rsid w:val="00043A4F"/>
    <w:rsid w:val="00043B29"/>
    <w:rsid w:val="00043B74"/>
    <w:rsid w:val="00043C24"/>
    <w:rsid w:val="00043D88"/>
    <w:rsid w:val="00043E93"/>
    <w:rsid w:val="00043F20"/>
    <w:rsid w:val="00044175"/>
    <w:rsid w:val="000441A3"/>
    <w:rsid w:val="000442B9"/>
    <w:rsid w:val="00044371"/>
    <w:rsid w:val="00044555"/>
    <w:rsid w:val="00044593"/>
    <w:rsid w:val="000448F8"/>
    <w:rsid w:val="00044C08"/>
    <w:rsid w:val="00044DDB"/>
    <w:rsid w:val="00045069"/>
    <w:rsid w:val="000450B9"/>
    <w:rsid w:val="0004523F"/>
    <w:rsid w:val="0004543B"/>
    <w:rsid w:val="0004549C"/>
    <w:rsid w:val="0004560D"/>
    <w:rsid w:val="00045662"/>
    <w:rsid w:val="0004566C"/>
    <w:rsid w:val="00045762"/>
    <w:rsid w:val="00045782"/>
    <w:rsid w:val="000458B0"/>
    <w:rsid w:val="00045924"/>
    <w:rsid w:val="00045975"/>
    <w:rsid w:val="00045A1E"/>
    <w:rsid w:val="00045C28"/>
    <w:rsid w:val="00045EE5"/>
    <w:rsid w:val="00045F4E"/>
    <w:rsid w:val="000460D9"/>
    <w:rsid w:val="00046243"/>
    <w:rsid w:val="000465F7"/>
    <w:rsid w:val="00046669"/>
    <w:rsid w:val="000466E5"/>
    <w:rsid w:val="000467A0"/>
    <w:rsid w:val="00046862"/>
    <w:rsid w:val="0004686C"/>
    <w:rsid w:val="00046887"/>
    <w:rsid w:val="00046B3B"/>
    <w:rsid w:val="00046DB9"/>
    <w:rsid w:val="00046DCA"/>
    <w:rsid w:val="00046E81"/>
    <w:rsid w:val="00046EEE"/>
    <w:rsid w:val="00046FB8"/>
    <w:rsid w:val="00047396"/>
    <w:rsid w:val="0004743B"/>
    <w:rsid w:val="00047502"/>
    <w:rsid w:val="00047637"/>
    <w:rsid w:val="0004777C"/>
    <w:rsid w:val="00047DB5"/>
    <w:rsid w:val="00047E2C"/>
    <w:rsid w:val="00047F3A"/>
    <w:rsid w:val="0005004F"/>
    <w:rsid w:val="0005015D"/>
    <w:rsid w:val="000503B4"/>
    <w:rsid w:val="0005071F"/>
    <w:rsid w:val="0005088D"/>
    <w:rsid w:val="00050CF7"/>
    <w:rsid w:val="00050E16"/>
    <w:rsid w:val="00050F01"/>
    <w:rsid w:val="00051525"/>
    <w:rsid w:val="0005163F"/>
    <w:rsid w:val="000516AA"/>
    <w:rsid w:val="000516D1"/>
    <w:rsid w:val="00051815"/>
    <w:rsid w:val="000518CA"/>
    <w:rsid w:val="00051943"/>
    <w:rsid w:val="00051A3E"/>
    <w:rsid w:val="00051C6A"/>
    <w:rsid w:val="00051DA7"/>
    <w:rsid w:val="00051E02"/>
    <w:rsid w:val="00052117"/>
    <w:rsid w:val="00052321"/>
    <w:rsid w:val="000524F1"/>
    <w:rsid w:val="000524F4"/>
    <w:rsid w:val="00052658"/>
    <w:rsid w:val="000527FF"/>
    <w:rsid w:val="0005294D"/>
    <w:rsid w:val="00052ADC"/>
    <w:rsid w:val="00052B05"/>
    <w:rsid w:val="00052C46"/>
    <w:rsid w:val="00052D65"/>
    <w:rsid w:val="00052F46"/>
    <w:rsid w:val="00053065"/>
    <w:rsid w:val="000530DE"/>
    <w:rsid w:val="00053196"/>
    <w:rsid w:val="000531B5"/>
    <w:rsid w:val="0005329C"/>
    <w:rsid w:val="000532C0"/>
    <w:rsid w:val="00053356"/>
    <w:rsid w:val="000536B9"/>
    <w:rsid w:val="00053879"/>
    <w:rsid w:val="000539BA"/>
    <w:rsid w:val="00053A55"/>
    <w:rsid w:val="00053C44"/>
    <w:rsid w:val="00053DD4"/>
    <w:rsid w:val="00053EB0"/>
    <w:rsid w:val="00053F88"/>
    <w:rsid w:val="00054239"/>
    <w:rsid w:val="0005425E"/>
    <w:rsid w:val="000542F5"/>
    <w:rsid w:val="000543F3"/>
    <w:rsid w:val="00054454"/>
    <w:rsid w:val="0005449E"/>
    <w:rsid w:val="000544B0"/>
    <w:rsid w:val="000548FC"/>
    <w:rsid w:val="00054987"/>
    <w:rsid w:val="000549D7"/>
    <w:rsid w:val="00054DA6"/>
    <w:rsid w:val="00054E9B"/>
    <w:rsid w:val="00054EF1"/>
    <w:rsid w:val="000551EE"/>
    <w:rsid w:val="00055283"/>
    <w:rsid w:val="00055789"/>
    <w:rsid w:val="00055795"/>
    <w:rsid w:val="000557A2"/>
    <w:rsid w:val="0005584C"/>
    <w:rsid w:val="0005588F"/>
    <w:rsid w:val="0005595E"/>
    <w:rsid w:val="00055A71"/>
    <w:rsid w:val="00055B10"/>
    <w:rsid w:val="00055B45"/>
    <w:rsid w:val="00055B73"/>
    <w:rsid w:val="00055F97"/>
    <w:rsid w:val="00055FF1"/>
    <w:rsid w:val="00056023"/>
    <w:rsid w:val="00056118"/>
    <w:rsid w:val="000562C7"/>
    <w:rsid w:val="000566D6"/>
    <w:rsid w:val="00056764"/>
    <w:rsid w:val="00056872"/>
    <w:rsid w:val="00056918"/>
    <w:rsid w:val="00056C31"/>
    <w:rsid w:val="00056D1C"/>
    <w:rsid w:val="00056FF3"/>
    <w:rsid w:val="0005718B"/>
    <w:rsid w:val="00057263"/>
    <w:rsid w:val="000572EB"/>
    <w:rsid w:val="0005749B"/>
    <w:rsid w:val="000574DB"/>
    <w:rsid w:val="000574FD"/>
    <w:rsid w:val="00057675"/>
    <w:rsid w:val="00057689"/>
    <w:rsid w:val="0005789A"/>
    <w:rsid w:val="000578AD"/>
    <w:rsid w:val="00057910"/>
    <w:rsid w:val="00057C66"/>
    <w:rsid w:val="00057C8F"/>
    <w:rsid w:val="00057CCD"/>
    <w:rsid w:val="00057DC7"/>
    <w:rsid w:val="00057F87"/>
    <w:rsid w:val="00059F44"/>
    <w:rsid w:val="0006016E"/>
    <w:rsid w:val="00060173"/>
    <w:rsid w:val="000601C8"/>
    <w:rsid w:val="000603C6"/>
    <w:rsid w:val="00060446"/>
    <w:rsid w:val="0006044B"/>
    <w:rsid w:val="000604B5"/>
    <w:rsid w:val="0006090B"/>
    <w:rsid w:val="00060996"/>
    <w:rsid w:val="00060ABD"/>
    <w:rsid w:val="00060AD7"/>
    <w:rsid w:val="00060C5A"/>
    <w:rsid w:val="00060CB7"/>
    <w:rsid w:val="00060D29"/>
    <w:rsid w:val="00060D5C"/>
    <w:rsid w:val="00060E23"/>
    <w:rsid w:val="00060F92"/>
    <w:rsid w:val="0006101B"/>
    <w:rsid w:val="000613C6"/>
    <w:rsid w:val="00061404"/>
    <w:rsid w:val="00061661"/>
    <w:rsid w:val="00061737"/>
    <w:rsid w:val="0006173F"/>
    <w:rsid w:val="00061A17"/>
    <w:rsid w:val="00061ADD"/>
    <w:rsid w:val="00061B55"/>
    <w:rsid w:val="00061C25"/>
    <w:rsid w:val="00061C3D"/>
    <w:rsid w:val="00061CAC"/>
    <w:rsid w:val="00061DA9"/>
    <w:rsid w:val="00061FD7"/>
    <w:rsid w:val="000623ED"/>
    <w:rsid w:val="00062462"/>
    <w:rsid w:val="0006249A"/>
    <w:rsid w:val="00062609"/>
    <w:rsid w:val="0006264A"/>
    <w:rsid w:val="00062962"/>
    <w:rsid w:val="0006299C"/>
    <w:rsid w:val="00062A5A"/>
    <w:rsid w:val="00062A87"/>
    <w:rsid w:val="00062B73"/>
    <w:rsid w:val="00062BAA"/>
    <w:rsid w:val="00062BCC"/>
    <w:rsid w:val="00062D14"/>
    <w:rsid w:val="0006319E"/>
    <w:rsid w:val="0006321D"/>
    <w:rsid w:val="000633A1"/>
    <w:rsid w:val="00063483"/>
    <w:rsid w:val="000639F5"/>
    <w:rsid w:val="00063AAD"/>
    <w:rsid w:val="00063AB7"/>
    <w:rsid w:val="00063E01"/>
    <w:rsid w:val="0006406A"/>
    <w:rsid w:val="000640CC"/>
    <w:rsid w:val="000640E5"/>
    <w:rsid w:val="00064200"/>
    <w:rsid w:val="00064315"/>
    <w:rsid w:val="0006437D"/>
    <w:rsid w:val="000643E1"/>
    <w:rsid w:val="0006443D"/>
    <w:rsid w:val="000644B3"/>
    <w:rsid w:val="00064725"/>
    <w:rsid w:val="00064883"/>
    <w:rsid w:val="00064939"/>
    <w:rsid w:val="00064B70"/>
    <w:rsid w:val="00064BA1"/>
    <w:rsid w:val="00064BCD"/>
    <w:rsid w:val="00064DEC"/>
    <w:rsid w:val="00064E2E"/>
    <w:rsid w:val="00064E46"/>
    <w:rsid w:val="00064ED2"/>
    <w:rsid w:val="00065247"/>
    <w:rsid w:val="00065328"/>
    <w:rsid w:val="00065341"/>
    <w:rsid w:val="0006544D"/>
    <w:rsid w:val="0006550F"/>
    <w:rsid w:val="00065557"/>
    <w:rsid w:val="00065725"/>
    <w:rsid w:val="00065802"/>
    <w:rsid w:val="0006584E"/>
    <w:rsid w:val="000658D9"/>
    <w:rsid w:val="00065982"/>
    <w:rsid w:val="00065AC0"/>
    <w:rsid w:val="00065C65"/>
    <w:rsid w:val="00065E18"/>
    <w:rsid w:val="00065F17"/>
    <w:rsid w:val="00065FBA"/>
    <w:rsid w:val="000661B6"/>
    <w:rsid w:val="00066349"/>
    <w:rsid w:val="000663B9"/>
    <w:rsid w:val="000663D2"/>
    <w:rsid w:val="0006684F"/>
    <w:rsid w:val="00066986"/>
    <w:rsid w:val="00066A3E"/>
    <w:rsid w:val="00066A41"/>
    <w:rsid w:val="00066B83"/>
    <w:rsid w:val="00066BB2"/>
    <w:rsid w:val="00066C0D"/>
    <w:rsid w:val="00066C54"/>
    <w:rsid w:val="00066D5A"/>
    <w:rsid w:val="00066E8F"/>
    <w:rsid w:val="00066EFB"/>
    <w:rsid w:val="00066F51"/>
    <w:rsid w:val="0006719B"/>
    <w:rsid w:val="0006725F"/>
    <w:rsid w:val="0006735D"/>
    <w:rsid w:val="000673EB"/>
    <w:rsid w:val="00067592"/>
    <w:rsid w:val="0006764D"/>
    <w:rsid w:val="000678CC"/>
    <w:rsid w:val="0006796F"/>
    <w:rsid w:val="00067A79"/>
    <w:rsid w:val="00067B92"/>
    <w:rsid w:val="00067BDD"/>
    <w:rsid w:val="00067DD3"/>
    <w:rsid w:val="00067F0A"/>
    <w:rsid w:val="0007006C"/>
    <w:rsid w:val="0007067A"/>
    <w:rsid w:val="000709B3"/>
    <w:rsid w:val="00070A23"/>
    <w:rsid w:val="00070E6D"/>
    <w:rsid w:val="00070FF0"/>
    <w:rsid w:val="000710C1"/>
    <w:rsid w:val="00071271"/>
    <w:rsid w:val="0007130D"/>
    <w:rsid w:val="000713B9"/>
    <w:rsid w:val="000713D1"/>
    <w:rsid w:val="000716C6"/>
    <w:rsid w:val="0007180E"/>
    <w:rsid w:val="000719C7"/>
    <w:rsid w:val="00071A3F"/>
    <w:rsid w:val="00071AE4"/>
    <w:rsid w:val="00071B28"/>
    <w:rsid w:val="00071BB2"/>
    <w:rsid w:val="00071DDA"/>
    <w:rsid w:val="00071DEA"/>
    <w:rsid w:val="00071EA8"/>
    <w:rsid w:val="00071FC3"/>
    <w:rsid w:val="00072128"/>
    <w:rsid w:val="0007234F"/>
    <w:rsid w:val="00072374"/>
    <w:rsid w:val="000725D2"/>
    <w:rsid w:val="00072620"/>
    <w:rsid w:val="00072773"/>
    <w:rsid w:val="000727DD"/>
    <w:rsid w:val="0007284A"/>
    <w:rsid w:val="00072B3E"/>
    <w:rsid w:val="00072B54"/>
    <w:rsid w:val="00072D21"/>
    <w:rsid w:val="00072DE4"/>
    <w:rsid w:val="000730A5"/>
    <w:rsid w:val="00073157"/>
    <w:rsid w:val="000731E9"/>
    <w:rsid w:val="00073211"/>
    <w:rsid w:val="000732CF"/>
    <w:rsid w:val="000733C2"/>
    <w:rsid w:val="0007348F"/>
    <w:rsid w:val="000734DD"/>
    <w:rsid w:val="00073521"/>
    <w:rsid w:val="00073579"/>
    <w:rsid w:val="00073631"/>
    <w:rsid w:val="00073675"/>
    <w:rsid w:val="000736A2"/>
    <w:rsid w:val="0007372A"/>
    <w:rsid w:val="0007386B"/>
    <w:rsid w:val="00073AFD"/>
    <w:rsid w:val="00073C87"/>
    <w:rsid w:val="00073EBF"/>
    <w:rsid w:val="00073F98"/>
    <w:rsid w:val="00073FBC"/>
    <w:rsid w:val="0007437D"/>
    <w:rsid w:val="000743EC"/>
    <w:rsid w:val="00074522"/>
    <w:rsid w:val="00074680"/>
    <w:rsid w:val="0007476A"/>
    <w:rsid w:val="000748C1"/>
    <w:rsid w:val="00074B9D"/>
    <w:rsid w:val="00074BE8"/>
    <w:rsid w:val="00074F3F"/>
    <w:rsid w:val="00075076"/>
    <w:rsid w:val="000753C9"/>
    <w:rsid w:val="000754F6"/>
    <w:rsid w:val="000755B7"/>
    <w:rsid w:val="000755CF"/>
    <w:rsid w:val="00075639"/>
    <w:rsid w:val="00075646"/>
    <w:rsid w:val="000756A5"/>
    <w:rsid w:val="000756E3"/>
    <w:rsid w:val="00075A09"/>
    <w:rsid w:val="00075A9F"/>
    <w:rsid w:val="00075CD4"/>
    <w:rsid w:val="000761EB"/>
    <w:rsid w:val="00076259"/>
    <w:rsid w:val="000762CC"/>
    <w:rsid w:val="00076411"/>
    <w:rsid w:val="00076659"/>
    <w:rsid w:val="0007680D"/>
    <w:rsid w:val="000768FC"/>
    <w:rsid w:val="00076C71"/>
    <w:rsid w:val="00076CA1"/>
    <w:rsid w:val="00076DDD"/>
    <w:rsid w:val="00076DF8"/>
    <w:rsid w:val="00076E16"/>
    <w:rsid w:val="00076FC4"/>
    <w:rsid w:val="00077361"/>
    <w:rsid w:val="00077595"/>
    <w:rsid w:val="000776BA"/>
    <w:rsid w:val="00077A06"/>
    <w:rsid w:val="00077AC5"/>
    <w:rsid w:val="00077CBC"/>
    <w:rsid w:val="00077DC9"/>
    <w:rsid w:val="00077EEC"/>
    <w:rsid w:val="00080182"/>
    <w:rsid w:val="00080583"/>
    <w:rsid w:val="0008096D"/>
    <w:rsid w:val="000809C4"/>
    <w:rsid w:val="00080A1B"/>
    <w:rsid w:val="00080C45"/>
    <w:rsid w:val="00080D72"/>
    <w:rsid w:val="00080E7D"/>
    <w:rsid w:val="00080FAB"/>
    <w:rsid w:val="00080FDC"/>
    <w:rsid w:val="00081206"/>
    <w:rsid w:val="0008124E"/>
    <w:rsid w:val="00081381"/>
    <w:rsid w:val="000814C6"/>
    <w:rsid w:val="00081665"/>
    <w:rsid w:val="000817B9"/>
    <w:rsid w:val="00081A81"/>
    <w:rsid w:val="00081ACD"/>
    <w:rsid w:val="00081BB6"/>
    <w:rsid w:val="00081C0C"/>
    <w:rsid w:val="00081CC5"/>
    <w:rsid w:val="00082079"/>
    <w:rsid w:val="0008211A"/>
    <w:rsid w:val="00082171"/>
    <w:rsid w:val="000823EE"/>
    <w:rsid w:val="000824B1"/>
    <w:rsid w:val="0008257F"/>
    <w:rsid w:val="00082794"/>
    <w:rsid w:val="00082818"/>
    <w:rsid w:val="0008291E"/>
    <w:rsid w:val="0008298F"/>
    <w:rsid w:val="00082A54"/>
    <w:rsid w:val="00082BA3"/>
    <w:rsid w:val="00082BC9"/>
    <w:rsid w:val="00082D84"/>
    <w:rsid w:val="00082E51"/>
    <w:rsid w:val="00082E99"/>
    <w:rsid w:val="00082EF9"/>
    <w:rsid w:val="00083001"/>
    <w:rsid w:val="000830F1"/>
    <w:rsid w:val="00083142"/>
    <w:rsid w:val="000831E8"/>
    <w:rsid w:val="000832FA"/>
    <w:rsid w:val="00083357"/>
    <w:rsid w:val="0008348E"/>
    <w:rsid w:val="000834B1"/>
    <w:rsid w:val="00083751"/>
    <w:rsid w:val="00083766"/>
    <w:rsid w:val="00083925"/>
    <w:rsid w:val="00083A45"/>
    <w:rsid w:val="00083A6A"/>
    <w:rsid w:val="00083A7E"/>
    <w:rsid w:val="00083BDB"/>
    <w:rsid w:val="00083F49"/>
    <w:rsid w:val="00083F6B"/>
    <w:rsid w:val="00083FA7"/>
    <w:rsid w:val="0008400D"/>
    <w:rsid w:val="0008419F"/>
    <w:rsid w:val="00084394"/>
    <w:rsid w:val="0008441C"/>
    <w:rsid w:val="00084446"/>
    <w:rsid w:val="0008463E"/>
    <w:rsid w:val="0008479E"/>
    <w:rsid w:val="000849B8"/>
    <w:rsid w:val="00084D36"/>
    <w:rsid w:val="00084DA1"/>
    <w:rsid w:val="00084DB7"/>
    <w:rsid w:val="0008505E"/>
    <w:rsid w:val="00085089"/>
    <w:rsid w:val="000850F3"/>
    <w:rsid w:val="0008510D"/>
    <w:rsid w:val="0008518B"/>
    <w:rsid w:val="00085193"/>
    <w:rsid w:val="00085325"/>
    <w:rsid w:val="00085357"/>
    <w:rsid w:val="000853CA"/>
    <w:rsid w:val="000854B3"/>
    <w:rsid w:val="0008571E"/>
    <w:rsid w:val="00085914"/>
    <w:rsid w:val="00085B5F"/>
    <w:rsid w:val="00085BAE"/>
    <w:rsid w:val="00085FC1"/>
    <w:rsid w:val="00085FCA"/>
    <w:rsid w:val="000862B7"/>
    <w:rsid w:val="00086427"/>
    <w:rsid w:val="00086495"/>
    <w:rsid w:val="0008696B"/>
    <w:rsid w:val="000869A3"/>
    <w:rsid w:val="00086A18"/>
    <w:rsid w:val="00086BF3"/>
    <w:rsid w:val="00086CA9"/>
    <w:rsid w:val="000874C4"/>
    <w:rsid w:val="000874FD"/>
    <w:rsid w:val="0008753F"/>
    <w:rsid w:val="000876CA"/>
    <w:rsid w:val="00087ABC"/>
    <w:rsid w:val="00087C58"/>
    <w:rsid w:val="00087E19"/>
    <w:rsid w:val="00087EFC"/>
    <w:rsid w:val="00087F43"/>
    <w:rsid w:val="00087FE8"/>
    <w:rsid w:val="000902F7"/>
    <w:rsid w:val="000903FC"/>
    <w:rsid w:val="00090513"/>
    <w:rsid w:val="00090581"/>
    <w:rsid w:val="00090832"/>
    <w:rsid w:val="00090883"/>
    <w:rsid w:val="0009098C"/>
    <w:rsid w:val="00090999"/>
    <w:rsid w:val="00090AE4"/>
    <w:rsid w:val="00090B72"/>
    <w:rsid w:val="00090B79"/>
    <w:rsid w:val="00090C14"/>
    <w:rsid w:val="00090C20"/>
    <w:rsid w:val="00090CAF"/>
    <w:rsid w:val="00090D90"/>
    <w:rsid w:val="00091469"/>
    <w:rsid w:val="000914F8"/>
    <w:rsid w:val="000917E7"/>
    <w:rsid w:val="00091F85"/>
    <w:rsid w:val="00091FD6"/>
    <w:rsid w:val="000920A4"/>
    <w:rsid w:val="0009210C"/>
    <w:rsid w:val="000921F2"/>
    <w:rsid w:val="0009222B"/>
    <w:rsid w:val="0009224A"/>
    <w:rsid w:val="000922EA"/>
    <w:rsid w:val="0009231D"/>
    <w:rsid w:val="00092335"/>
    <w:rsid w:val="000923A3"/>
    <w:rsid w:val="0009270A"/>
    <w:rsid w:val="00092748"/>
    <w:rsid w:val="0009289B"/>
    <w:rsid w:val="00092980"/>
    <w:rsid w:val="000929A9"/>
    <w:rsid w:val="00092B34"/>
    <w:rsid w:val="00092C29"/>
    <w:rsid w:val="00092DF3"/>
    <w:rsid w:val="00092EF6"/>
    <w:rsid w:val="00092F3C"/>
    <w:rsid w:val="00093007"/>
    <w:rsid w:val="000931A1"/>
    <w:rsid w:val="000933E7"/>
    <w:rsid w:val="000935E1"/>
    <w:rsid w:val="000935FC"/>
    <w:rsid w:val="00093608"/>
    <w:rsid w:val="000938D0"/>
    <w:rsid w:val="0009393E"/>
    <w:rsid w:val="00093B40"/>
    <w:rsid w:val="00093BCC"/>
    <w:rsid w:val="00093C4E"/>
    <w:rsid w:val="00093DC4"/>
    <w:rsid w:val="00093E37"/>
    <w:rsid w:val="000940EE"/>
    <w:rsid w:val="00094209"/>
    <w:rsid w:val="000942A8"/>
    <w:rsid w:val="00094521"/>
    <w:rsid w:val="0009469A"/>
    <w:rsid w:val="00094C45"/>
    <w:rsid w:val="00094CA5"/>
    <w:rsid w:val="00095027"/>
    <w:rsid w:val="00095312"/>
    <w:rsid w:val="00095365"/>
    <w:rsid w:val="00095424"/>
    <w:rsid w:val="00095570"/>
    <w:rsid w:val="0009558A"/>
    <w:rsid w:val="00095613"/>
    <w:rsid w:val="000957AC"/>
    <w:rsid w:val="0009588E"/>
    <w:rsid w:val="00095DB6"/>
    <w:rsid w:val="00095E45"/>
    <w:rsid w:val="000960E9"/>
    <w:rsid w:val="000960F5"/>
    <w:rsid w:val="000961C0"/>
    <w:rsid w:val="00096280"/>
    <w:rsid w:val="00096295"/>
    <w:rsid w:val="0009629D"/>
    <w:rsid w:val="00096479"/>
    <w:rsid w:val="000966E4"/>
    <w:rsid w:val="00096AAD"/>
    <w:rsid w:val="00096BC5"/>
    <w:rsid w:val="00096D1C"/>
    <w:rsid w:val="00097007"/>
    <w:rsid w:val="0009700F"/>
    <w:rsid w:val="00097393"/>
    <w:rsid w:val="00097509"/>
    <w:rsid w:val="0009751E"/>
    <w:rsid w:val="000976CA"/>
    <w:rsid w:val="0009779D"/>
    <w:rsid w:val="000977F3"/>
    <w:rsid w:val="00097851"/>
    <w:rsid w:val="000978B0"/>
    <w:rsid w:val="000978E7"/>
    <w:rsid w:val="0009790F"/>
    <w:rsid w:val="000979DF"/>
    <w:rsid w:val="00097A0A"/>
    <w:rsid w:val="00097A5F"/>
    <w:rsid w:val="00097B5A"/>
    <w:rsid w:val="00097DD4"/>
    <w:rsid w:val="00097DE9"/>
    <w:rsid w:val="00097E16"/>
    <w:rsid w:val="00097E45"/>
    <w:rsid w:val="000A01B1"/>
    <w:rsid w:val="000A01F9"/>
    <w:rsid w:val="000A03FC"/>
    <w:rsid w:val="000A04D7"/>
    <w:rsid w:val="000A050C"/>
    <w:rsid w:val="000A0678"/>
    <w:rsid w:val="000A0A26"/>
    <w:rsid w:val="000A0ACA"/>
    <w:rsid w:val="000A0BF0"/>
    <w:rsid w:val="000A0C32"/>
    <w:rsid w:val="000A103E"/>
    <w:rsid w:val="000A1165"/>
    <w:rsid w:val="000A1282"/>
    <w:rsid w:val="000A139C"/>
    <w:rsid w:val="000A1415"/>
    <w:rsid w:val="000A1764"/>
    <w:rsid w:val="000A196C"/>
    <w:rsid w:val="000A19AB"/>
    <w:rsid w:val="000A1A44"/>
    <w:rsid w:val="000A1A7B"/>
    <w:rsid w:val="000A1AB6"/>
    <w:rsid w:val="000A1BCD"/>
    <w:rsid w:val="000A1C03"/>
    <w:rsid w:val="000A1C10"/>
    <w:rsid w:val="000A1D42"/>
    <w:rsid w:val="000A1DF5"/>
    <w:rsid w:val="000A1E59"/>
    <w:rsid w:val="000A20CA"/>
    <w:rsid w:val="000A20CB"/>
    <w:rsid w:val="000A2209"/>
    <w:rsid w:val="000A246B"/>
    <w:rsid w:val="000A24B2"/>
    <w:rsid w:val="000A24FB"/>
    <w:rsid w:val="000A2548"/>
    <w:rsid w:val="000A264C"/>
    <w:rsid w:val="000A265C"/>
    <w:rsid w:val="000A268D"/>
    <w:rsid w:val="000A2BD9"/>
    <w:rsid w:val="000A2CE0"/>
    <w:rsid w:val="000A3279"/>
    <w:rsid w:val="000A32D7"/>
    <w:rsid w:val="000A3406"/>
    <w:rsid w:val="000A3437"/>
    <w:rsid w:val="000A3471"/>
    <w:rsid w:val="000A34D0"/>
    <w:rsid w:val="000A34E0"/>
    <w:rsid w:val="000A356F"/>
    <w:rsid w:val="000A390F"/>
    <w:rsid w:val="000A39AF"/>
    <w:rsid w:val="000A3C06"/>
    <w:rsid w:val="000A3C41"/>
    <w:rsid w:val="000A3CB4"/>
    <w:rsid w:val="000A3CD8"/>
    <w:rsid w:val="000A3FE5"/>
    <w:rsid w:val="000A41F5"/>
    <w:rsid w:val="000A4292"/>
    <w:rsid w:val="000A44A5"/>
    <w:rsid w:val="000A45FF"/>
    <w:rsid w:val="000A4693"/>
    <w:rsid w:val="000A4730"/>
    <w:rsid w:val="000A4DC5"/>
    <w:rsid w:val="000A5017"/>
    <w:rsid w:val="000A542A"/>
    <w:rsid w:val="000A5580"/>
    <w:rsid w:val="000A55A3"/>
    <w:rsid w:val="000A5907"/>
    <w:rsid w:val="000A5914"/>
    <w:rsid w:val="000A59D6"/>
    <w:rsid w:val="000A5CF7"/>
    <w:rsid w:val="000A5CFA"/>
    <w:rsid w:val="000A5D7E"/>
    <w:rsid w:val="000A6012"/>
    <w:rsid w:val="000A6013"/>
    <w:rsid w:val="000A6015"/>
    <w:rsid w:val="000A6044"/>
    <w:rsid w:val="000A604E"/>
    <w:rsid w:val="000A6064"/>
    <w:rsid w:val="000A6155"/>
    <w:rsid w:val="000A61FA"/>
    <w:rsid w:val="000A6503"/>
    <w:rsid w:val="000A65A4"/>
    <w:rsid w:val="000A671D"/>
    <w:rsid w:val="000A689C"/>
    <w:rsid w:val="000A69E0"/>
    <w:rsid w:val="000A6B00"/>
    <w:rsid w:val="000A6CDA"/>
    <w:rsid w:val="000A6D7A"/>
    <w:rsid w:val="000A6E45"/>
    <w:rsid w:val="000A7234"/>
    <w:rsid w:val="000A72A2"/>
    <w:rsid w:val="000A7328"/>
    <w:rsid w:val="000A733D"/>
    <w:rsid w:val="000A776A"/>
    <w:rsid w:val="000A7783"/>
    <w:rsid w:val="000A7AC9"/>
    <w:rsid w:val="000A7B43"/>
    <w:rsid w:val="000A7C56"/>
    <w:rsid w:val="000A7D92"/>
    <w:rsid w:val="000A7DAE"/>
    <w:rsid w:val="000A7FAA"/>
    <w:rsid w:val="000B02E2"/>
    <w:rsid w:val="000B038B"/>
    <w:rsid w:val="000B05EC"/>
    <w:rsid w:val="000B0612"/>
    <w:rsid w:val="000B0705"/>
    <w:rsid w:val="000B0735"/>
    <w:rsid w:val="000B0B10"/>
    <w:rsid w:val="000B0CA0"/>
    <w:rsid w:val="000B0DF5"/>
    <w:rsid w:val="000B1081"/>
    <w:rsid w:val="000B10A5"/>
    <w:rsid w:val="000B1309"/>
    <w:rsid w:val="000B1486"/>
    <w:rsid w:val="000B15EE"/>
    <w:rsid w:val="000B19BA"/>
    <w:rsid w:val="000B1B8A"/>
    <w:rsid w:val="000B1DC7"/>
    <w:rsid w:val="000B1F40"/>
    <w:rsid w:val="000B1F64"/>
    <w:rsid w:val="000B1FE9"/>
    <w:rsid w:val="000B23B3"/>
    <w:rsid w:val="000B2821"/>
    <w:rsid w:val="000B28F5"/>
    <w:rsid w:val="000B2977"/>
    <w:rsid w:val="000B2A02"/>
    <w:rsid w:val="000B2CAE"/>
    <w:rsid w:val="000B2D2D"/>
    <w:rsid w:val="000B2F6B"/>
    <w:rsid w:val="000B2F7C"/>
    <w:rsid w:val="000B2FA8"/>
    <w:rsid w:val="000B3148"/>
    <w:rsid w:val="000B32E4"/>
    <w:rsid w:val="000B3480"/>
    <w:rsid w:val="000B3481"/>
    <w:rsid w:val="000B34CA"/>
    <w:rsid w:val="000B3579"/>
    <w:rsid w:val="000B35FD"/>
    <w:rsid w:val="000B37C0"/>
    <w:rsid w:val="000B37D3"/>
    <w:rsid w:val="000B38D3"/>
    <w:rsid w:val="000B3A31"/>
    <w:rsid w:val="000B3B4C"/>
    <w:rsid w:val="000B3C2A"/>
    <w:rsid w:val="000B3DCB"/>
    <w:rsid w:val="000B3EE1"/>
    <w:rsid w:val="000B3FD9"/>
    <w:rsid w:val="000B4094"/>
    <w:rsid w:val="000B40D1"/>
    <w:rsid w:val="000B40EC"/>
    <w:rsid w:val="000B44FE"/>
    <w:rsid w:val="000B461A"/>
    <w:rsid w:val="000B4A10"/>
    <w:rsid w:val="000B4A7D"/>
    <w:rsid w:val="000B4AFB"/>
    <w:rsid w:val="000B51F3"/>
    <w:rsid w:val="000B52A0"/>
    <w:rsid w:val="000B52E2"/>
    <w:rsid w:val="000B5336"/>
    <w:rsid w:val="000B5580"/>
    <w:rsid w:val="000B5836"/>
    <w:rsid w:val="000B5943"/>
    <w:rsid w:val="000B5962"/>
    <w:rsid w:val="000B59C5"/>
    <w:rsid w:val="000B59FF"/>
    <w:rsid w:val="000B5B1E"/>
    <w:rsid w:val="000B5B59"/>
    <w:rsid w:val="000B5D03"/>
    <w:rsid w:val="000B5D5F"/>
    <w:rsid w:val="000B5D6C"/>
    <w:rsid w:val="000B5DDB"/>
    <w:rsid w:val="000B5DEA"/>
    <w:rsid w:val="000B6224"/>
    <w:rsid w:val="000B628E"/>
    <w:rsid w:val="000B635E"/>
    <w:rsid w:val="000B6388"/>
    <w:rsid w:val="000B6574"/>
    <w:rsid w:val="000B6597"/>
    <w:rsid w:val="000B65B1"/>
    <w:rsid w:val="000B65B3"/>
    <w:rsid w:val="000B668D"/>
    <w:rsid w:val="000B6713"/>
    <w:rsid w:val="000B679D"/>
    <w:rsid w:val="000B67C1"/>
    <w:rsid w:val="000B6895"/>
    <w:rsid w:val="000B69BA"/>
    <w:rsid w:val="000B6C2E"/>
    <w:rsid w:val="000B6CDD"/>
    <w:rsid w:val="000B6D5C"/>
    <w:rsid w:val="000B6E69"/>
    <w:rsid w:val="000B704B"/>
    <w:rsid w:val="000B7074"/>
    <w:rsid w:val="000B71AB"/>
    <w:rsid w:val="000B7235"/>
    <w:rsid w:val="000B7237"/>
    <w:rsid w:val="000B73CB"/>
    <w:rsid w:val="000B73E3"/>
    <w:rsid w:val="000B745B"/>
    <w:rsid w:val="000B74B2"/>
    <w:rsid w:val="000B760D"/>
    <w:rsid w:val="000B7743"/>
    <w:rsid w:val="000B7755"/>
    <w:rsid w:val="000B7A2D"/>
    <w:rsid w:val="000B7B27"/>
    <w:rsid w:val="000B7B77"/>
    <w:rsid w:val="000B7C10"/>
    <w:rsid w:val="000B7C78"/>
    <w:rsid w:val="000B7D6D"/>
    <w:rsid w:val="000B7F6A"/>
    <w:rsid w:val="000B7FCD"/>
    <w:rsid w:val="000C0093"/>
    <w:rsid w:val="000C0197"/>
    <w:rsid w:val="000C0240"/>
    <w:rsid w:val="000C0295"/>
    <w:rsid w:val="000C02BE"/>
    <w:rsid w:val="000C0306"/>
    <w:rsid w:val="000C0446"/>
    <w:rsid w:val="000C04E0"/>
    <w:rsid w:val="000C0747"/>
    <w:rsid w:val="000C0763"/>
    <w:rsid w:val="000C0923"/>
    <w:rsid w:val="000C0A7F"/>
    <w:rsid w:val="000C0E82"/>
    <w:rsid w:val="000C0EB0"/>
    <w:rsid w:val="000C153F"/>
    <w:rsid w:val="000C17F8"/>
    <w:rsid w:val="000C197B"/>
    <w:rsid w:val="000C19EB"/>
    <w:rsid w:val="000C1AC6"/>
    <w:rsid w:val="000C1B14"/>
    <w:rsid w:val="000C207E"/>
    <w:rsid w:val="000C209F"/>
    <w:rsid w:val="000C2103"/>
    <w:rsid w:val="000C232C"/>
    <w:rsid w:val="000C2708"/>
    <w:rsid w:val="000C27EF"/>
    <w:rsid w:val="000C287D"/>
    <w:rsid w:val="000C2B0C"/>
    <w:rsid w:val="000C2B7B"/>
    <w:rsid w:val="000C2D02"/>
    <w:rsid w:val="000C310A"/>
    <w:rsid w:val="000C338F"/>
    <w:rsid w:val="000C34B7"/>
    <w:rsid w:val="000C35EC"/>
    <w:rsid w:val="000C36EB"/>
    <w:rsid w:val="000C3781"/>
    <w:rsid w:val="000C37B9"/>
    <w:rsid w:val="000C38E3"/>
    <w:rsid w:val="000C3D66"/>
    <w:rsid w:val="000C3F44"/>
    <w:rsid w:val="000C417F"/>
    <w:rsid w:val="000C434E"/>
    <w:rsid w:val="000C446D"/>
    <w:rsid w:val="000C44BD"/>
    <w:rsid w:val="000C4641"/>
    <w:rsid w:val="000C476C"/>
    <w:rsid w:val="000C48B7"/>
    <w:rsid w:val="000C4926"/>
    <w:rsid w:val="000C4CD6"/>
    <w:rsid w:val="000C4E15"/>
    <w:rsid w:val="000C4EAC"/>
    <w:rsid w:val="000C4EDD"/>
    <w:rsid w:val="000C510A"/>
    <w:rsid w:val="000C5172"/>
    <w:rsid w:val="000C51F1"/>
    <w:rsid w:val="000C520B"/>
    <w:rsid w:val="000C52BE"/>
    <w:rsid w:val="000C52D4"/>
    <w:rsid w:val="000C52EA"/>
    <w:rsid w:val="000C5345"/>
    <w:rsid w:val="000C5571"/>
    <w:rsid w:val="000C5574"/>
    <w:rsid w:val="000C559E"/>
    <w:rsid w:val="000C596D"/>
    <w:rsid w:val="000C5C0D"/>
    <w:rsid w:val="000C5D5B"/>
    <w:rsid w:val="000C5E11"/>
    <w:rsid w:val="000C5F38"/>
    <w:rsid w:val="000C5F87"/>
    <w:rsid w:val="000C6087"/>
    <w:rsid w:val="000C626C"/>
    <w:rsid w:val="000C62B5"/>
    <w:rsid w:val="000C6325"/>
    <w:rsid w:val="000C6383"/>
    <w:rsid w:val="000C63E6"/>
    <w:rsid w:val="000C6531"/>
    <w:rsid w:val="000C6637"/>
    <w:rsid w:val="000C6675"/>
    <w:rsid w:val="000C6756"/>
    <w:rsid w:val="000C679D"/>
    <w:rsid w:val="000C6B1E"/>
    <w:rsid w:val="000C6BA7"/>
    <w:rsid w:val="000C6D4B"/>
    <w:rsid w:val="000C6F50"/>
    <w:rsid w:val="000C7038"/>
    <w:rsid w:val="000C7079"/>
    <w:rsid w:val="000C70CA"/>
    <w:rsid w:val="000C7180"/>
    <w:rsid w:val="000C71C0"/>
    <w:rsid w:val="000C73E4"/>
    <w:rsid w:val="000C752E"/>
    <w:rsid w:val="000C7534"/>
    <w:rsid w:val="000C7552"/>
    <w:rsid w:val="000C75FA"/>
    <w:rsid w:val="000C777A"/>
    <w:rsid w:val="000C779C"/>
    <w:rsid w:val="000C7898"/>
    <w:rsid w:val="000C7E1C"/>
    <w:rsid w:val="000C7E60"/>
    <w:rsid w:val="000D00D8"/>
    <w:rsid w:val="000D015D"/>
    <w:rsid w:val="000D0349"/>
    <w:rsid w:val="000D04DB"/>
    <w:rsid w:val="000D050F"/>
    <w:rsid w:val="000D0530"/>
    <w:rsid w:val="000D0649"/>
    <w:rsid w:val="000D06B9"/>
    <w:rsid w:val="000D0AF8"/>
    <w:rsid w:val="000D0B22"/>
    <w:rsid w:val="000D0E67"/>
    <w:rsid w:val="000D1017"/>
    <w:rsid w:val="000D1067"/>
    <w:rsid w:val="000D1106"/>
    <w:rsid w:val="000D11C2"/>
    <w:rsid w:val="000D1286"/>
    <w:rsid w:val="000D1407"/>
    <w:rsid w:val="000D1584"/>
    <w:rsid w:val="000D15F3"/>
    <w:rsid w:val="000D172E"/>
    <w:rsid w:val="000D1AEE"/>
    <w:rsid w:val="000D1B58"/>
    <w:rsid w:val="000D1B6E"/>
    <w:rsid w:val="000D1B8B"/>
    <w:rsid w:val="000D1C93"/>
    <w:rsid w:val="000D1CB1"/>
    <w:rsid w:val="000D1F56"/>
    <w:rsid w:val="000D2180"/>
    <w:rsid w:val="000D21C9"/>
    <w:rsid w:val="000D23E7"/>
    <w:rsid w:val="000D251D"/>
    <w:rsid w:val="000D2520"/>
    <w:rsid w:val="000D2590"/>
    <w:rsid w:val="000D2679"/>
    <w:rsid w:val="000D279F"/>
    <w:rsid w:val="000D27CD"/>
    <w:rsid w:val="000D2B00"/>
    <w:rsid w:val="000D2B1A"/>
    <w:rsid w:val="000D2B7B"/>
    <w:rsid w:val="000D2BAE"/>
    <w:rsid w:val="000D302B"/>
    <w:rsid w:val="000D328B"/>
    <w:rsid w:val="000D3358"/>
    <w:rsid w:val="000D34B0"/>
    <w:rsid w:val="000D35CE"/>
    <w:rsid w:val="000D36BF"/>
    <w:rsid w:val="000D373D"/>
    <w:rsid w:val="000D3C38"/>
    <w:rsid w:val="000D41FC"/>
    <w:rsid w:val="000D4466"/>
    <w:rsid w:val="000D4523"/>
    <w:rsid w:val="000D4539"/>
    <w:rsid w:val="000D45D3"/>
    <w:rsid w:val="000D4874"/>
    <w:rsid w:val="000D4A1A"/>
    <w:rsid w:val="000D4A5A"/>
    <w:rsid w:val="000D4BE8"/>
    <w:rsid w:val="000D4E8C"/>
    <w:rsid w:val="000D505E"/>
    <w:rsid w:val="000D50E6"/>
    <w:rsid w:val="000D514B"/>
    <w:rsid w:val="000D5324"/>
    <w:rsid w:val="000D54A4"/>
    <w:rsid w:val="000D55DC"/>
    <w:rsid w:val="000D5795"/>
    <w:rsid w:val="000D57F6"/>
    <w:rsid w:val="000D5937"/>
    <w:rsid w:val="000D5959"/>
    <w:rsid w:val="000D59A0"/>
    <w:rsid w:val="000D5A5D"/>
    <w:rsid w:val="000D5BA4"/>
    <w:rsid w:val="000D5BE3"/>
    <w:rsid w:val="000D5CE8"/>
    <w:rsid w:val="000D5DC5"/>
    <w:rsid w:val="000D5F4A"/>
    <w:rsid w:val="000D5FB0"/>
    <w:rsid w:val="000D6339"/>
    <w:rsid w:val="000D67D9"/>
    <w:rsid w:val="000D6914"/>
    <w:rsid w:val="000D6A10"/>
    <w:rsid w:val="000D6A38"/>
    <w:rsid w:val="000D6AD1"/>
    <w:rsid w:val="000D6AEA"/>
    <w:rsid w:val="000D6D3B"/>
    <w:rsid w:val="000D6D95"/>
    <w:rsid w:val="000D71E1"/>
    <w:rsid w:val="000D722B"/>
    <w:rsid w:val="000D72F2"/>
    <w:rsid w:val="000D739A"/>
    <w:rsid w:val="000D747B"/>
    <w:rsid w:val="000D7729"/>
    <w:rsid w:val="000D7782"/>
    <w:rsid w:val="000D77B4"/>
    <w:rsid w:val="000D78BF"/>
    <w:rsid w:val="000D7A14"/>
    <w:rsid w:val="000D7A86"/>
    <w:rsid w:val="000D7A9B"/>
    <w:rsid w:val="000D7B89"/>
    <w:rsid w:val="000D7B92"/>
    <w:rsid w:val="000E004E"/>
    <w:rsid w:val="000E027C"/>
    <w:rsid w:val="000E0642"/>
    <w:rsid w:val="000E0799"/>
    <w:rsid w:val="000E07EB"/>
    <w:rsid w:val="000E0A01"/>
    <w:rsid w:val="000E0BB3"/>
    <w:rsid w:val="000E0C2D"/>
    <w:rsid w:val="000E0CEE"/>
    <w:rsid w:val="000E0FEC"/>
    <w:rsid w:val="000E106F"/>
    <w:rsid w:val="000E1110"/>
    <w:rsid w:val="000E14E6"/>
    <w:rsid w:val="000E16C6"/>
    <w:rsid w:val="000E183C"/>
    <w:rsid w:val="000E19E2"/>
    <w:rsid w:val="000E1B5D"/>
    <w:rsid w:val="000E1BB0"/>
    <w:rsid w:val="000E1C63"/>
    <w:rsid w:val="000E1C66"/>
    <w:rsid w:val="000E1CBF"/>
    <w:rsid w:val="000E1D15"/>
    <w:rsid w:val="000E1D59"/>
    <w:rsid w:val="000E1E41"/>
    <w:rsid w:val="000E2302"/>
    <w:rsid w:val="000E2349"/>
    <w:rsid w:val="000E240F"/>
    <w:rsid w:val="000E24B7"/>
    <w:rsid w:val="000E25F6"/>
    <w:rsid w:val="000E260E"/>
    <w:rsid w:val="000E2735"/>
    <w:rsid w:val="000E27B5"/>
    <w:rsid w:val="000E27F6"/>
    <w:rsid w:val="000E28B9"/>
    <w:rsid w:val="000E28CA"/>
    <w:rsid w:val="000E29D1"/>
    <w:rsid w:val="000E2F06"/>
    <w:rsid w:val="000E3061"/>
    <w:rsid w:val="000E313B"/>
    <w:rsid w:val="000E31E7"/>
    <w:rsid w:val="000E337E"/>
    <w:rsid w:val="000E364B"/>
    <w:rsid w:val="000E377A"/>
    <w:rsid w:val="000E37EF"/>
    <w:rsid w:val="000E3817"/>
    <w:rsid w:val="000E38CF"/>
    <w:rsid w:val="000E3967"/>
    <w:rsid w:val="000E3B16"/>
    <w:rsid w:val="000E3BB8"/>
    <w:rsid w:val="000E3D2D"/>
    <w:rsid w:val="000E3F4C"/>
    <w:rsid w:val="000E420E"/>
    <w:rsid w:val="000E43A8"/>
    <w:rsid w:val="000E466C"/>
    <w:rsid w:val="000E46D2"/>
    <w:rsid w:val="000E4759"/>
    <w:rsid w:val="000E4A1A"/>
    <w:rsid w:val="000E4CCE"/>
    <w:rsid w:val="000E4F51"/>
    <w:rsid w:val="000E5034"/>
    <w:rsid w:val="000E50DF"/>
    <w:rsid w:val="000E5272"/>
    <w:rsid w:val="000E5303"/>
    <w:rsid w:val="000E5355"/>
    <w:rsid w:val="000E5413"/>
    <w:rsid w:val="000E54B4"/>
    <w:rsid w:val="000E54BC"/>
    <w:rsid w:val="000E54CF"/>
    <w:rsid w:val="000E553B"/>
    <w:rsid w:val="000E597F"/>
    <w:rsid w:val="000E59B9"/>
    <w:rsid w:val="000E5AA1"/>
    <w:rsid w:val="000E5C9F"/>
    <w:rsid w:val="000E5D1F"/>
    <w:rsid w:val="000E5E39"/>
    <w:rsid w:val="000E5F36"/>
    <w:rsid w:val="000E603B"/>
    <w:rsid w:val="000E607B"/>
    <w:rsid w:val="000E61B7"/>
    <w:rsid w:val="000E6548"/>
    <w:rsid w:val="000E66DE"/>
    <w:rsid w:val="000E66FB"/>
    <w:rsid w:val="000E6875"/>
    <w:rsid w:val="000E6AB2"/>
    <w:rsid w:val="000E6E45"/>
    <w:rsid w:val="000E6E4F"/>
    <w:rsid w:val="000E6E80"/>
    <w:rsid w:val="000E6EA6"/>
    <w:rsid w:val="000E72CA"/>
    <w:rsid w:val="000E72E0"/>
    <w:rsid w:val="000E76CC"/>
    <w:rsid w:val="000E7838"/>
    <w:rsid w:val="000E7A3D"/>
    <w:rsid w:val="000E7B24"/>
    <w:rsid w:val="000E7C1D"/>
    <w:rsid w:val="000E7C9C"/>
    <w:rsid w:val="000E7CF4"/>
    <w:rsid w:val="000E7D14"/>
    <w:rsid w:val="000E7D3F"/>
    <w:rsid w:val="000E7D68"/>
    <w:rsid w:val="000E7E7E"/>
    <w:rsid w:val="000E7EA4"/>
    <w:rsid w:val="000E7EDB"/>
    <w:rsid w:val="000E7F5B"/>
    <w:rsid w:val="000E7F6F"/>
    <w:rsid w:val="000F0216"/>
    <w:rsid w:val="000F02F1"/>
    <w:rsid w:val="000F0309"/>
    <w:rsid w:val="000F05E5"/>
    <w:rsid w:val="000F0731"/>
    <w:rsid w:val="000F0779"/>
    <w:rsid w:val="000F0875"/>
    <w:rsid w:val="000F0B7D"/>
    <w:rsid w:val="000F0BE0"/>
    <w:rsid w:val="000F0C23"/>
    <w:rsid w:val="000F0CD4"/>
    <w:rsid w:val="000F0CDC"/>
    <w:rsid w:val="000F0E4E"/>
    <w:rsid w:val="000F0F04"/>
    <w:rsid w:val="000F10B2"/>
    <w:rsid w:val="000F137B"/>
    <w:rsid w:val="000F13C1"/>
    <w:rsid w:val="000F13C8"/>
    <w:rsid w:val="000F147E"/>
    <w:rsid w:val="000F1505"/>
    <w:rsid w:val="000F15D0"/>
    <w:rsid w:val="000F1654"/>
    <w:rsid w:val="000F1670"/>
    <w:rsid w:val="000F170A"/>
    <w:rsid w:val="000F1B4A"/>
    <w:rsid w:val="000F1B50"/>
    <w:rsid w:val="000F1B59"/>
    <w:rsid w:val="000F1C55"/>
    <w:rsid w:val="000F1C97"/>
    <w:rsid w:val="000F1E9D"/>
    <w:rsid w:val="000F1F6E"/>
    <w:rsid w:val="000F1F7F"/>
    <w:rsid w:val="000F21A4"/>
    <w:rsid w:val="000F2225"/>
    <w:rsid w:val="000F225A"/>
    <w:rsid w:val="000F26DE"/>
    <w:rsid w:val="000F28D5"/>
    <w:rsid w:val="000F297D"/>
    <w:rsid w:val="000F298B"/>
    <w:rsid w:val="000F3049"/>
    <w:rsid w:val="000F3096"/>
    <w:rsid w:val="000F34B5"/>
    <w:rsid w:val="000F35AC"/>
    <w:rsid w:val="000F36E9"/>
    <w:rsid w:val="000F3859"/>
    <w:rsid w:val="000F38F9"/>
    <w:rsid w:val="000F3BFB"/>
    <w:rsid w:val="000F3C05"/>
    <w:rsid w:val="000F3CBA"/>
    <w:rsid w:val="000F3D6A"/>
    <w:rsid w:val="000F3D75"/>
    <w:rsid w:val="000F4ABF"/>
    <w:rsid w:val="000F4CA2"/>
    <w:rsid w:val="000F4E19"/>
    <w:rsid w:val="000F4E38"/>
    <w:rsid w:val="000F4EBE"/>
    <w:rsid w:val="000F4EF0"/>
    <w:rsid w:val="000F4FAD"/>
    <w:rsid w:val="000F50E6"/>
    <w:rsid w:val="000F51C1"/>
    <w:rsid w:val="000F554F"/>
    <w:rsid w:val="000F578D"/>
    <w:rsid w:val="000F58E3"/>
    <w:rsid w:val="000F5AA0"/>
    <w:rsid w:val="000F5AB0"/>
    <w:rsid w:val="000F5B67"/>
    <w:rsid w:val="000F5BCA"/>
    <w:rsid w:val="000F5D44"/>
    <w:rsid w:val="000F5D98"/>
    <w:rsid w:val="000F5D9D"/>
    <w:rsid w:val="000F5E44"/>
    <w:rsid w:val="000F5EBA"/>
    <w:rsid w:val="000F5F21"/>
    <w:rsid w:val="000F5F80"/>
    <w:rsid w:val="000F6109"/>
    <w:rsid w:val="000F620F"/>
    <w:rsid w:val="000F6288"/>
    <w:rsid w:val="000F63A9"/>
    <w:rsid w:val="000F65D2"/>
    <w:rsid w:val="000F65EC"/>
    <w:rsid w:val="000F65F2"/>
    <w:rsid w:val="000F6701"/>
    <w:rsid w:val="000F6730"/>
    <w:rsid w:val="000F686D"/>
    <w:rsid w:val="000F6927"/>
    <w:rsid w:val="000F696D"/>
    <w:rsid w:val="000F69B2"/>
    <w:rsid w:val="000F6BE6"/>
    <w:rsid w:val="000F7030"/>
    <w:rsid w:val="000F7068"/>
    <w:rsid w:val="000F7164"/>
    <w:rsid w:val="000F7207"/>
    <w:rsid w:val="000F72EF"/>
    <w:rsid w:val="000F7576"/>
    <w:rsid w:val="000F7889"/>
    <w:rsid w:val="000F7A1B"/>
    <w:rsid w:val="000F7A95"/>
    <w:rsid w:val="000F7AD9"/>
    <w:rsid w:val="000F7E73"/>
    <w:rsid w:val="000F7F46"/>
    <w:rsid w:val="000FDF4D"/>
    <w:rsid w:val="001001B2"/>
    <w:rsid w:val="00100312"/>
    <w:rsid w:val="00100B2F"/>
    <w:rsid w:val="00100CF7"/>
    <w:rsid w:val="00100D29"/>
    <w:rsid w:val="00100E2D"/>
    <w:rsid w:val="00100E89"/>
    <w:rsid w:val="00100F9A"/>
    <w:rsid w:val="00100FA4"/>
    <w:rsid w:val="00101196"/>
    <w:rsid w:val="001013B4"/>
    <w:rsid w:val="001015E3"/>
    <w:rsid w:val="0010161F"/>
    <w:rsid w:val="001018E1"/>
    <w:rsid w:val="001018F7"/>
    <w:rsid w:val="00101A31"/>
    <w:rsid w:val="00101A9C"/>
    <w:rsid w:val="00101B86"/>
    <w:rsid w:val="00101BD8"/>
    <w:rsid w:val="00101C05"/>
    <w:rsid w:val="00101DD7"/>
    <w:rsid w:val="00101DDB"/>
    <w:rsid w:val="00101E0D"/>
    <w:rsid w:val="00101FBF"/>
    <w:rsid w:val="00102223"/>
    <w:rsid w:val="00102392"/>
    <w:rsid w:val="001023A5"/>
    <w:rsid w:val="00102658"/>
    <w:rsid w:val="0010277B"/>
    <w:rsid w:val="00102800"/>
    <w:rsid w:val="00102AB3"/>
    <w:rsid w:val="00102B02"/>
    <w:rsid w:val="00102C0E"/>
    <w:rsid w:val="00102C3D"/>
    <w:rsid w:val="00102E10"/>
    <w:rsid w:val="00102F01"/>
    <w:rsid w:val="00102FF7"/>
    <w:rsid w:val="00103115"/>
    <w:rsid w:val="0010321E"/>
    <w:rsid w:val="00103325"/>
    <w:rsid w:val="0010332A"/>
    <w:rsid w:val="00103370"/>
    <w:rsid w:val="001033C1"/>
    <w:rsid w:val="001034FB"/>
    <w:rsid w:val="00103524"/>
    <w:rsid w:val="001035A9"/>
    <w:rsid w:val="00103672"/>
    <w:rsid w:val="00103679"/>
    <w:rsid w:val="0010394D"/>
    <w:rsid w:val="0010396F"/>
    <w:rsid w:val="001039BD"/>
    <w:rsid w:val="00103BEF"/>
    <w:rsid w:val="00103BF6"/>
    <w:rsid w:val="00103C97"/>
    <w:rsid w:val="00103D3A"/>
    <w:rsid w:val="00103F92"/>
    <w:rsid w:val="00104049"/>
    <w:rsid w:val="00104113"/>
    <w:rsid w:val="00104130"/>
    <w:rsid w:val="00104185"/>
    <w:rsid w:val="00104224"/>
    <w:rsid w:val="0010430D"/>
    <w:rsid w:val="00104715"/>
    <w:rsid w:val="00104762"/>
    <w:rsid w:val="00104786"/>
    <w:rsid w:val="0010494C"/>
    <w:rsid w:val="001049C2"/>
    <w:rsid w:val="00104B85"/>
    <w:rsid w:val="00104BCB"/>
    <w:rsid w:val="00104C71"/>
    <w:rsid w:val="00104D4E"/>
    <w:rsid w:val="00104D92"/>
    <w:rsid w:val="00104EB4"/>
    <w:rsid w:val="00104F57"/>
    <w:rsid w:val="00105095"/>
    <w:rsid w:val="00105174"/>
    <w:rsid w:val="00105861"/>
    <w:rsid w:val="001058A5"/>
    <w:rsid w:val="00105B6B"/>
    <w:rsid w:val="00105BFB"/>
    <w:rsid w:val="00105C3E"/>
    <w:rsid w:val="00105CA6"/>
    <w:rsid w:val="00105F33"/>
    <w:rsid w:val="00106083"/>
    <w:rsid w:val="00106104"/>
    <w:rsid w:val="0010612F"/>
    <w:rsid w:val="00106564"/>
    <w:rsid w:val="001065E2"/>
    <w:rsid w:val="0010665F"/>
    <w:rsid w:val="0010685E"/>
    <w:rsid w:val="00106912"/>
    <w:rsid w:val="0010693E"/>
    <w:rsid w:val="001069BD"/>
    <w:rsid w:val="00106A2A"/>
    <w:rsid w:val="001072E7"/>
    <w:rsid w:val="001075A0"/>
    <w:rsid w:val="001075BD"/>
    <w:rsid w:val="001076D7"/>
    <w:rsid w:val="00107B5D"/>
    <w:rsid w:val="00107D43"/>
    <w:rsid w:val="0011015A"/>
    <w:rsid w:val="00110250"/>
    <w:rsid w:val="00110504"/>
    <w:rsid w:val="0011056E"/>
    <w:rsid w:val="00110577"/>
    <w:rsid w:val="0011057D"/>
    <w:rsid w:val="001105AB"/>
    <w:rsid w:val="001107C5"/>
    <w:rsid w:val="00110869"/>
    <w:rsid w:val="0011093B"/>
    <w:rsid w:val="00110A2B"/>
    <w:rsid w:val="00110A5F"/>
    <w:rsid w:val="00110DD9"/>
    <w:rsid w:val="00110E28"/>
    <w:rsid w:val="00110E61"/>
    <w:rsid w:val="00110F04"/>
    <w:rsid w:val="0011135E"/>
    <w:rsid w:val="0011136F"/>
    <w:rsid w:val="00111410"/>
    <w:rsid w:val="001115E9"/>
    <w:rsid w:val="0011184F"/>
    <w:rsid w:val="00111947"/>
    <w:rsid w:val="0011197E"/>
    <w:rsid w:val="00111991"/>
    <w:rsid w:val="001119D6"/>
    <w:rsid w:val="00111A8D"/>
    <w:rsid w:val="00111CF5"/>
    <w:rsid w:val="00111E39"/>
    <w:rsid w:val="00112079"/>
    <w:rsid w:val="001120D1"/>
    <w:rsid w:val="001121AB"/>
    <w:rsid w:val="001121D1"/>
    <w:rsid w:val="001123AE"/>
    <w:rsid w:val="001126F6"/>
    <w:rsid w:val="00112766"/>
    <w:rsid w:val="00112815"/>
    <w:rsid w:val="0011282C"/>
    <w:rsid w:val="00112A5D"/>
    <w:rsid w:val="00112BE3"/>
    <w:rsid w:val="00112E63"/>
    <w:rsid w:val="00113003"/>
    <w:rsid w:val="001133EC"/>
    <w:rsid w:val="00113416"/>
    <w:rsid w:val="00113459"/>
    <w:rsid w:val="001134F0"/>
    <w:rsid w:val="001135A0"/>
    <w:rsid w:val="001136E1"/>
    <w:rsid w:val="0011381A"/>
    <w:rsid w:val="00113850"/>
    <w:rsid w:val="00113945"/>
    <w:rsid w:val="00113A8C"/>
    <w:rsid w:val="00114197"/>
    <w:rsid w:val="001141DD"/>
    <w:rsid w:val="00114211"/>
    <w:rsid w:val="001142EA"/>
    <w:rsid w:val="001143FD"/>
    <w:rsid w:val="00114450"/>
    <w:rsid w:val="001147FA"/>
    <w:rsid w:val="001148CB"/>
    <w:rsid w:val="0011498C"/>
    <w:rsid w:val="001149F4"/>
    <w:rsid w:val="00114A1C"/>
    <w:rsid w:val="00114E0E"/>
    <w:rsid w:val="00114E59"/>
    <w:rsid w:val="00114F08"/>
    <w:rsid w:val="00115030"/>
    <w:rsid w:val="0011506A"/>
    <w:rsid w:val="0011529C"/>
    <w:rsid w:val="001152A0"/>
    <w:rsid w:val="001154DD"/>
    <w:rsid w:val="00115554"/>
    <w:rsid w:val="001155C3"/>
    <w:rsid w:val="001156D2"/>
    <w:rsid w:val="00115880"/>
    <w:rsid w:val="001158B2"/>
    <w:rsid w:val="00115A58"/>
    <w:rsid w:val="00115ABD"/>
    <w:rsid w:val="00115C02"/>
    <w:rsid w:val="00115DD9"/>
    <w:rsid w:val="00115DFD"/>
    <w:rsid w:val="00115F32"/>
    <w:rsid w:val="00115FEF"/>
    <w:rsid w:val="00116134"/>
    <w:rsid w:val="0011638C"/>
    <w:rsid w:val="00116477"/>
    <w:rsid w:val="001165E6"/>
    <w:rsid w:val="001167A2"/>
    <w:rsid w:val="001167B7"/>
    <w:rsid w:val="001167CF"/>
    <w:rsid w:val="00116A35"/>
    <w:rsid w:val="00116AB2"/>
    <w:rsid w:val="001171A6"/>
    <w:rsid w:val="001174EB"/>
    <w:rsid w:val="00117999"/>
    <w:rsid w:val="00117A93"/>
    <w:rsid w:val="00117B90"/>
    <w:rsid w:val="00117D38"/>
    <w:rsid w:val="00117F65"/>
    <w:rsid w:val="001201E7"/>
    <w:rsid w:val="001201FE"/>
    <w:rsid w:val="0012026E"/>
    <w:rsid w:val="001202AA"/>
    <w:rsid w:val="00120443"/>
    <w:rsid w:val="00120475"/>
    <w:rsid w:val="0012063B"/>
    <w:rsid w:val="0012066F"/>
    <w:rsid w:val="00120758"/>
    <w:rsid w:val="001207A0"/>
    <w:rsid w:val="001207FC"/>
    <w:rsid w:val="00120A2D"/>
    <w:rsid w:val="00120C1C"/>
    <w:rsid w:val="00120D80"/>
    <w:rsid w:val="00120D9A"/>
    <w:rsid w:val="00120EDA"/>
    <w:rsid w:val="00120FF7"/>
    <w:rsid w:val="001210F1"/>
    <w:rsid w:val="0012127A"/>
    <w:rsid w:val="00121298"/>
    <w:rsid w:val="0012145D"/>
    <w:rsid w:val="001215DF"/>
    <w:rsid w:val="001216BD"/>
    <w:rsid w:val="0012176A"/>
    <w:rsid w:val="001217C7"/>
    <w:rsid w:val="001218AE"/>
    <w:rsid w:val="001218EB"/>
    <w:rsid w:val="00121908"/>
    <w:rsid w:val="001219CA"/>
    <w:rsid w:val="00121B39"/>
    <w:rsid w:val="00121BBF"/>
    <w:rsid w:val="00121F17"/>
    <w:rsid w:val="001220B3"/>
    <w:rsid w:val="00122131"/>
    <w:rsid w:val="00122137"/>
    <w:rsid w:val="001221C9"/>
    <w:rsid w:val="00122293"/>
    <w:rsid w:val="00122441"/>
    <w:rsid w:val="00122930"/>
    <w:rsid w:val="00122A37"/>
    <w:rsid w:val="00122A85"/>
    <w:rsid w:val="00122AF8"/>
    <w:rsid w:val="00122CDD"/>
    <w:rsid w:val="00122D82"/>
    <w:rsid w:val="00122E39"/>
    <w:rsid w:val="00122F03"/>
    <w:rsid w:val="00122F26"/>
    <w:rsid w:val="00122F44"/>
    <w:rsid w:val="00122FF7"/>
    <w:rsid w:val="0012321F"/>
    <w:rsid w:val="00123220"/>
    <w:rsid w:val="00123378"/>
    <w:rsid w:val="00123421"/>
    <w:rsid w:val="00123643"/>
    <w:rsid w:val="001236DF"/>
    <w:rsid w:val="00123B10"/>
    <w:rsid w:val="00123E5F"/>
    <w:rsid w:val="00123F8E"/>
    <w:rsid w:val="001240A1"/>
    <w:rsid w:val="0012410C"/>
    <w:rsid w:val="00124137"/>
    <w:rsid w:val="00124370"/>
    <w:rsid w:val="001243F3"/>
    <w:rsid w:val="0012465D"/>
    <w:rsid w:val="0012481A"/>
    <w:rsid w:val="001248F9"/>
    <w:rsid w:val="00124929"/>
    <w:rsid w:val="00124996"/>
    <w:rsid w:val="00124B04"/>
    <w:rsid w:val="00124C68"/>
    <w:rsid w:val="00124D02"/>
    <w:rsid w:val="00124E85"/>
    <w:rsid w:val="00124FF7"/>
    <w:rsid w:val="001251D5"/>
    <w:rsid w:val="001253BA"/>
    <w:rsid w:val="001253FB"/>
    <w:rsid w:val="001256DF"/>
    <w:rsid w:val="001256F9"/>
    <w:rsid w:val="001257EE"/>
    <w:rsid w:val="0012590D"/>
    <w:rsid w:val="00125A03"/>
    <w:rsid w:val="00125ACD"/>
    <w:rsid w:val="00125B66"/>
    <w:rsid w:val="00125BBB"/>
    <w:rsid w:val="00125BFB"/>
    <w:rsid w:val="00125CC1"/>
    <w:rsid w:val="00125CD9"/>
    <w:rsid w:val="00125D78"/>
    <w:rsid w:val="00125D9D"/>
    <w:rsid w:val="00125E05"/>
    <w:rsid w:val="00125FEA"/>
    <w:rsid w:val="001261F6"/>
    <w:rsid w:val="001261FA"/>
    <w:rsid w:val="00126617"/>
    <w:rsid w:val="0012670A"/>
    <w:rsid w:val="0012670D"/>
    <w:rsid w:val="00126792"/>
    <w:rsid w:val="00126935"/>
    <w:rsid w:val="00126986"/>
    <w:rsid w:val="00126DBF"/>
    <w:rsid w:val="00127122"/>
    <w:rsid w:val="0012766F"/>
    <w:rsid w:val="0012778D"/>
    <w:rsid w:val="00127B32"/>
    <w:rsid w:val="00127CAE"/>
    <w:rsid w:val="00127F6C"/>
    <w:rsid w:val="001301B4"/>
    <w:rsid w:val="00130273"/>
    <w:rsid w:val="0013030E"/>
    <w:rsid w:val="0013036E"/>
    <w:rsid w:val="001303A7"/>
    <w:rsid w:val="001303F1"/>
    <w:rsid w:val="00130454"/>
    <w:rsid w:val="0013055D"/>
    <w:rsid w:val="00130736"/>
    <w:rsid w:val="00130779"/>
    <w:rsid w:val="001307A3"/>
    <w:rsid w:val="0013090B"/>
    <w:rsid w:val="00130B8B"/>
    <w:rsid w:val="00130DA0"/>
    <w:rsid w:val="00130DEE"/>
    <w:rsid w:val="00130EFA"/>
    <w:rsid w:val="00130F92"/>
    <w:rsid w:val="00130FEA"/>
    <w:rsid w:val="001311B4"/>
    <w:rsid w:val="0013122B"/>
    <w:rsid w:val="001317A8"/>
    <w:rsid w:val="001319D3"/>
    <w:rsid w:val="00131A3C"/>
    <w:rsid w:val="00131AD4"/>
    <w:rsid w:val="00131C24"/>
    <w:rsid w:val="00131C68"/>
    <w:rsid w:val="00131C6F"/>
    <w:rsid w:val="00131D41"/>
    <w:rsid w:val="00131F42"/>
    <w:rsid w:val="00131FDE"/>
    <w:rsid w:val="00132119"/>
    <w:rsid w:val="0013244D"/>
    <w:rsid w:val="001325C6"/>
    <w:rsid w:val="00132675"/>
    <w:rsid w:val="001327CA"/>
    <w:rsid w:val="001327FC"/>
    <w:rsid w:val="001329C0"/>
    <w:rsid w:val="00132B52"/>
    <w:rsid w:val="00132B7B"/>
    <w:rsid w:val="00132CA3"/>
    <w:rsid w:val="00132CB7"/>
    <w:rsid w:val="00132D5D"/>
    <w:rsid w:val="00132DC2"/>
    <w:rsid w:val="00132E0F"/>
    <w:rsid w:val="0013304C"/>
    <w:rsid w:val="001330B0"/>
    <w:rsid w:val="001330D6"/>
    <w:rsid w:val="00133175"/>
    <w:rsid w:val="00133499"/>
    <w:rsid w:val="001334AE"/>
    <w:rsid w:val="00133547"/>
    <w:rsid w:val="00133691"/>
    <w:rsid w:val="00133819"/>
    <w:rsid w:val="00133BEC"/>
    <w:rsid w:val="00133D45"/>
    <w:rsid w:val="00133E2B"/>
    <w:rsid w:val="00133F84"/>
    <w:rsid w:val="00133FB1"/>
    <w:rsid w:val="00134049"/>
    <w:rsid w:val="001340BD"/>
    <w:rsid w:val="0013424D"/>
    <w:rsid w:val="0013438C"/>
    <w:rsid w:val="0013458E"/>
    <w:rsid w:val="00134635"/>
    <w:rsid w:val="00134846"/>
    <w:rsid w:val="00134E4F"/>
    <w:rsid w:val="00134E59"/>
    <w:rsid w:val="00134F0D"/>
    <w:rsid w:val="001352C1"/>
    <w:rsid w:val="00135732"/>
    <w:rsid w:val="001357BB"/>
    <w:rsid w:val="00135A39"/>
    <w:rsid w:val="00135AEC"/>
    <w:rsid w:val="00135B78"/>
    <w:rsid w:val="00135B79"/>
    <w:rsid w:val="00135E0F"/>
    <w:rsid w:val="00135E37"/>
    <w:rsid w:val="00135EDE"/>
    <w:rsid w:val="0013600B"/>
    <w:rsid w:val="0013604A"/>
    <w:rsid w:val="0013618B"/>
    <w:rsid w:val="00136244"/>
    <w:rsid w:val="0013637D"/>
    <w:rsid w:val="00136432"/>
    <w:rsid w:val="00136700"/>
    <w:rsid w:val="0013690F"/>
    <w:rsid w:val="001369BD"/>
    <w:rsid w:val="00136A73"/>
    <w:rsid w:val="00136B7B"/>
    <w:rsid w:val="00136F95"/>
    <w:rsid w:val="001373EB"/>
    <w:rsid w:val="001375ED"/>
    <w:rsid w:val="0013773E"/>
    <w:rsid w:val="00137910"/>
    <w:rsid w:val="00137F48"/>
    <w:rsid w:val="00137F53"/>
    <w:rsid w:val="00140055"/>
    <w:rsid w:val="0014013C"/>
    <w:rsid w:val="001402B5"/>
    <w:rsid w:val="0014036F"/>
    <w:rsid w:val="00140528"/>
    <w:rsid w:val="001405FE"/>
    <w:rsid w:val="00140864"/>
    <w:rsid w:val="0014086B"/>
    <w:rsid w:val="001409FC"/>
    <w:rsid w:val="00140A12"/>
    <w:rsid w:val="00140B3A"/>
    <w:rsid w:val="00140D12"/>
    <w:rsid w:val="00140D38"/>
    <w:rsid w:val="00140F05"/>
    <w:rsid w:val="00140F60"/>
    <w:rsid w:val="001410AE"/>
    <w:rsid w:val="001410B8"/>
    <w:rsid w:val="0014114A"/>
    <w:rsid w:val="0014115E"/>
    <w:rsid w:val="00141256"/>
    <w:rsid w:val="00141586"/>
    <w:rsid w:val="001416C5"/>
    <w:rsid w:val="001418EF"/>
    <w:rsid w:val="00141AC2"/>
    <w:rsid w:val="00141B48"/>
    <w:rsid w:val="00141B58"/>
    <w:rsid w:val="00141BAF"/>
    <w:rsid w:val="00141DE4"/>
    <w:rsid w:val="00141EA7"/>
    <w:rsid w:val="00141EAB"/>
    <w:rsid w:val="00141F34"/>
    <w:rsid w:val="001420B3"/>
    <w:rsid w:val="00142165"/>
    <w:rsid w:val="00142218"/>
    <w:rsid w:val="0014229E"/>
    <w:rsid w:val="001422EC"/>
    <w:rsid w:val="00142717"/>
    <w:rsid w:val="0014278F"/>
    <w:rsid w:val="00142852"/>
    <w:rsid w:val="00142872"/>
    <w:rsid w:val="00142874"/>
    <w:rsid w:val="00142886"/>
    <w:rsid w:val="001429A2"/>
    <w:rsid w:val="001429E0"/>
    <w:rsid w:val="001429EE"/>
    <w:rsid w:val="00142A7F"/>
    <w:rsid w:val="00142AD0"/>
    <w:rsid w:val="00142C12"/>
    <w:rsid w:val="00142C27"/>
    <w:rsid w:val="00142D3E"/>
    <w:rsid w:val="00142F7B"/>
    <w:rsid w:val="00142FE4"/>
    <w:rsid w:val="001433A5"/>
    <w:rsid w:val="001434ED"/>
    <w:rsid w:val="0014356E"/>
    <w:rsid w:val="0014364E"/>
    <w:rsid w:val="001436F1"/>
    <w:rsid w:val="00143802"/>
    <w:rsid w:val="0014399B"/>
    <w:rsid w:val="00143AB4"/>
    <w:rsid w:val="00143D79"/>
    <w:rsid w:val="00143E52"/>
    <w:rsid w:val="00143F68"/>
    <w:rsid w:val="00143FB0"/>
    <w:rsid w:val="0014408F"/>
    <w:rsid w:val="0014409F"/>
    <w:rsid w:val="001440C1"/>
    <w:rsid w:val="001441AF"/>
    <w:rsid w:val="001441DA"/>
    <w:rsid w:val="00144221"/>
    <w:rsid w:val="00144282"/>
    <w:rsid w:val="001442C7"/>
    <w:rsid w:val="0014457C"/>
    <w:rsid w:val="00144591"/>
    <w:rsid w:val="00144645"/>
    <w:rsid w:val="001446FC"/>
    <w:rsid w:val="00144758"/>
    <w:rsid w:val="00144819"/>
    <w:rsid w:val="001448D7"/>
    <w:rsid w:val="001449A1"/>
    <w:rsid w:val="00144DF8"/>
    <w:rsid w:val="00144F9E"/>
    <w:rsid w:val="00145222"/>
    <w:rsid w:val="0014532D"/>
    <w:rsid w:val="00145377"/>
    <w:rsid w:val="00145479"/>
    <w:rsid w:val="00145836"/>
    <w:rsid w:val="00145BAB"/>
    <w:rsid w:val="00145D68"/>
    <w:rsid w:val="00145E01"/>
    <w:rsid w:val="0014602D"/>
    <w:rsid w:val="0014616F"/>
    <w:rsid w:val="00146190"/>
    <w:rsid w:val="001461F8"/>
    <w:rsid w:val="00146532"/>
    <w:rsid w:val="001465E0"/>
    <w:rsid w:val="00146603"/>
    <w:rsid w:val="00146760"/>
    <w:rsid w:val="00146BAB"/>
    <w:rsid w:val="00146BED"/>
    <w:rsid w:val="00146E28"/>
    <w:rsid w:val="00147032"/>
    <w:rsid w:val="001470AF"/>
    <w:rsid w:val="00147191"/>
    <w:rsid w:val="001472D0"/>
    <w:rsid w:val="0014764F"/>
    <w:rsid w:val="00147662"/>
    <w:rsid w:val="00147888"/>
    <w:rsid w:val="001479D6"/>
    <w:rsid w:val="00147A4A"/>
    <w:rsid w:val="00147B64"/>
    <w:rsid w:val="00147BFF"/>
    <w:rsid w:val="00147C10"/>
    <w:rsid w:val="00147D86"/>
    <w:rsid w:val="00147DCC"/>
    <w:rsid w:val="00147E24"/>
    <w:rsid w:val="00147E31"/>
    <w:rsid w:val="00147E5F"/>
    <w:rsid w:val="00147EC1"/>
    <w:rsid w:val="00147ECF"/>
    <w:rsid w:val="0015003F"/>
    <w:rsid w:val="001500CA"/>
    <w:rsid w:val="001500E2"/>
    <w:rsid w:val="0015017F"/>
    <w:rsid w:val="001502F8"/>
    <w:rsid w:val="00150401"/>
    <w:rsid w:val="00150436"/>
    <w:rsid w:val="00150831"/>
    <w:rsid w:val="00150834"/>
    <w:rsid w:val="00150994"/>
    <w:rsid w:val="00150AAD"/>
    <w:rsid w:val="00150B3C"/>
    <w:rsid w:val="00150C4C"/>
    <w:rsid w:val="00150F9A"/>
    <w:rsid w:val="001510D5"/>
    <w:rsid w:val="0015113D"/>
    <w:rsid w:val="00151282"/>
    <w:rsid w:val="001514EB"/>
    <w:rsid w:val="00151A67"/>
    <w:rsid w:val="00151B28"/>
    <w:rsid w:val="00151BC0"/>
    <w:rsid w:val="00151DEE"/>
    <w:rsid w:val="00151EC1"/>
    <w:rsid w:val="001522A5"/>
    <w:rsid w:val="0015243E"/>
    <w:rsid w:val="00152560"/>
    <w:rsid w:val="00152647"/>
    <w:rsid w:val="00152767"/>
    <w:rsid w:val="00152776"/>
    <w:rsid w:val="00152A57"/>
    <w:rsid w:val="00152AE5"/>
    <w:rsid w:val="00152D6C"/>
    <w:rsid w:val="00153072"/>
    <w:rsid w:val="00153073"/>
    <w:rsid w:val="0015314F"/>
    <w:rsid w:val="001531AB"/>
    <w:rsid w:val="00153219"/>
    <w:rsid w:val="00153322"/>
    <w:rsid w:val="00153370"/>
    <w:rsid w:val="00153483"/>
    <w:rsid w:val="00153695"/>
    <w:rsid w:val="00153AB5"/>
    <w:rsid w:val="00153B88"/>
    <w:rsid w:val="00153B95"/>
    <w:rsid w:val="00153F76"/>
    <w:rsid w:val="00153FC5"/>
    <w:rsid w:val="00153FF4"/>
    <w:rsid w:val="001540E1"/>
    <w:rsid w:val="0015439C"/>
    <w:rsid w:val="00154491"/>
    <w:rsid w:val="0015473F"/>
    <w:rsid w:val="00154787"/>
    <w:rsid w:val="0015486A"/>
    <w:rsid w:val="001549B2"/>
    <w:rsid w:val="00154A22"/>
    <w:rsid w:val="00154AA9"/>
    <w:rsid w:val="00154B8B"/>
    <w:rsid w:val="00154E9C"/>
    <w:rsid w:val="00154F13"/>
    <w:rsid w:val="0015513A"/>
    <w:rsid w:val="001551A8"/>
    <w:rsid w:val="001551CC"/>
    <w:rsid w:val="001553D6"/>
    <w:rsid w:val="001554BE"/>
    <w:rsid w:val="00155670"/>
    <w:rsid w:val="00155687"/>
    <w:rsid w:val="00155897"/>
    <w:rsid w:val="00155A44"/>
    <w:rsid w:val="00155A4A"/>
    <w:rsid w:val="00155AA9"/>
    <w:rsid w:val="00155D28"/>
    <w:rsid w:val="00155DF6"/>
    <w:rsid w:val="00155EBD"/>
    <w:rsid w:val="00155F2D"/>
    <w:rsid w:val="0015619C"/>
    <w:rsid w:val="00156232"/>
    <w:rsid w:val="001562BB"/>
    <w:rsid w:val="001562E3"/>
    <w:rsid w:val="001563CF"/>
    <w:rsid w:val="0015641B"/>
    <w:rsid w:val="001564F2"/>
    <w:rsid w:val="00156582"/>
    <w:rsid w:val="001566C9"/>
    <w:rsid w:val="00156701"/>
    <w:rsid w:val="001569BC"/>
    <w:rsid w:val="00156AB1"/>
    <w:rsid w:val="00156B35"/>
    <w:rsid w:val="00156C91"/>
    <w:rsid w:val="00156D9A"/>
    <w:rsid w:val="00156DE7"/>
    <w:rsid w:val="00156DEE"/>
    <w:rsid w:val="00156E44"/>
    <w:rsid w:val="00157026"/>
    <w:rsid w:val="00157101"/>
    <w:rsid w:val="0015725B"/>
    <w:rsid w:val="00157341"/>
    <w:rsid w:val="0015743D"/>
    <w:rsid w:val="00157674"/>
    <w:rsid w:val="00157791"/>
    <w:rsid w:val="0015786B"/>
    <w:rsid w:val="0015798F"/>
    <w:rsid w:val="001579D4"/>
    <w:rsid w:val="00157A8C"/>
    <w:rsid w:val="00157F70"/>
    <w:rsid w:val="0016000F"/>
    <w:rsid w:val="0016015A"/>
    <w:rsid w:val="001601BC"/>
    <w:rsid w:val="001604D9"/>
    <w:rsid w:val="001606A0"/>
    <w:rsid w:val="00160706"/>
    <w:rsid w:val="0016075E"/>
    <w:rsid w:val="00160786"/>
    <w:rsid w:val="0016079C"/>
    <w:rsid w:val="001608D5"/>
    <w:rsid w:val="0016097F"/>
    <w:rsid w:val="001609ED"/>
    <w:rsid w:val="00160AE2"/>
    <w:rsid w:val="00160B3D"/>
    <w:rsid w:val="00160CD3"/>
    <w:rsid w:val="00160D58"/>
    <w:rsid w:val="00160DCF"/>
    <w:rsid w:val="0016152E"/>
    <w:rsid w:val="00161657"/>
    <w:rsid w:val="001616E3"/>
    <w:rsid w:val="00161733"/>
    <w:rsid w:val="0016183F"/>
    <w:rsid w:val="001618B5"/>
    <w:rsid w:val="0016191D"/>
    <w:rsid w:val="00161AF6"/>
    <w:rsid w:val="00161B0D"/>
    <w:rsid w:val="00161F84"/>
    <w:rsid w:val="0016205D"/>
    <w:rsid w:val="00162102"/>
    <w:rsid w:val="00162198"/>
    <w:rsid w:val="001622B8"/>
    <w:rsid w:val="00162349"/>
    <w:rsid w:val="0016258E"/>
    <w:rsid w:val="001629FC"/>
    <w:rsid w:val="00162FE7"/>
    <w:rsid w:val="00163094"/>
    <w:rsid w:val="001630BB"/>
    <w:rsid w:val="0016332F"/>
    <w:rsid w:val="00163846"/>
    <w:rsid w:val="00163A4C"/>
    <w:rsid w:val="00164053"/>
    <w:rsid w:val="00164278"/>
    <w:rsid w:val="001644A9"/>
    <w:rsid w:val="0016467C"/>
    <w:rsid w:val="00164829"/>
    <w:rsid w:val="001648FC"/>
    <w:rsid w:val="00164B46"/>
    <w:rsid w:val="00164BBF"/>
    <w:rsid w:val="00164BF6"/>
    <w:rsid w:val="00164CC1"/>
    <w:rsid w:val="00164DB8"/>
    <w:rsid w:val="00164E9B"/>
    <w:rsid w:val="0016526F"/>
    <w:rsid w:val="00165346"/>
    <w:rsid w:val="00165371"/>
    <w:rsid w:val="00165457"/>
    <w:rsid w:val="0016576C"/>
    <w:rsid w:val="00165915"/>
    <w:rsid w:val="00165A52"/>
    <w:rsid w:val="00165B36"/>
    <w:rsid w:val="00165BC0"/>
    <w:rsid w:val="00165CBD"/>
    <w:rsid w:val="00165F56"/>
    <w:rsid w:val="001663A2"/>
    <w:rsid w:val="001668BE"/>
    <w:rsid w:val="00166928"/>
    <w:rsid w:val="00166B29"/>
    <w:rsid w:val="00166B8B"/>
    <w:rsid w:val="00166D3B"/>
    <w:rsid w:val="00166E10"/>
    <w:rsid w:val="00166E23"/>
    <w:rsid w:val="00166E87"/>
    <w:rsid w:val="001670A9"/>
    <w:rsid w:val="001670C3"/>
    <w:rsid w:val="001670D5"/>
    <w:rsid w:val="00167383"/>
    <w:rsid w:val="00167534"/>
    <w:rsid w:val="0016754D"/>
    <w:rsid w:val="00167640"/>
    <w:rsid w:val="001676CA"/>
    <w:rsid w:val="001679BE"/>
    <w:rsid w:val="001679DD"/>
    <w:rsid w:val="00167CDE"/>
    <w:rsid w:val="00167F14"/>
    <w:rsid w:val="001700F1"/>
    <w:rsid w:val="001701E1"/>
    <w:rsid w:val="001704B2"/>
    <w:rsid w:val="00170526"/>
    <w:rsid w:val="0017069D"/>
    <w:rsid w:val="00170899"/>
    <w:rsid w:val="001708A7"/>
    <w:rsid w:val="001708E8"/>
    <w:rsid w:val="00170932"/>
    <w:rsid w:val="0017093B"/>
    <w:rsid w:val="00170A4E"/>
    <w:rsid w:val="00170E4B"/>
    <w:rsid w:val="00171553"/>
    <w:rsid w:val="0017165D"/>
    <w:rsid w:val="0017171A"/>
    <w:rsid w:val="001718F6"/>
    <w:rsid w:val="001719E4"/>
    <w:rsid w:val="00171A20"/>
    <w:rsid w:val="00171B17"/>
    <w:rsid w:val="00171B99"/>
    <w:rsid w:val="001720E8"/>
    <w:rsid w:val="0017212B"/>
    <w:rsid w:val="00172153"/>
    <w:rsid w:val="001721A8"/>
    <w:rsid w:val="00172218"/>
    <w:rsid w:val="0017245A"/>
    <w:rsid w:val="00172A27"/>
    <w:rsid w:val="00172C97"/>
    <w:rsid w:val="00172E70"/>
    <w:rsid w:val="00172EC4"/>
    <w:rsid w:val="00172EF3"/>
    <w:rsid w:val="00172F04"/>
    <w:rsid w:val="00172FAF"/>
    <w:rsid w:val="00173104"/>
    <w:rsid w:val="00173306"/>
    <w:rsid w:val="0017332A"/>
    <w:rsid w:val="001736C3"/>
    <w:rsid w:val="001737F0"/>
    <w:rsid w:val="001738DA"/>
    <w:rsid w:val="00173996"/>
    <w:rsid w:val="00173D53"/>
    <w:rsid w:val="00173DC0"/>
    <w:rsid w:val="00173F04"/>
    <w:rsid w:val="00174010"/>
    <w:rsid w:val="001740C6"/>
    <w:rsid w:val="00174375"/>
    <w:rsid w:val="0017462A"/>
    <w:rsid w:val="00174939"/>
    <w:rsid w:val="00174C77"/>
    <w:rsid w:val="00174D86"/>
    <w:rsid w:val="00174FDF"/>
    <w:rsid w:val="001750A9"/>
    <w:rsid w:val="001751BA"/>
    <w:rsid w:val="001752DC"/>
    <w:rsid w:val="00175457"/>
    <w:rsid w:val="0017556C"/>
    <w:rsid w:val="001756DE"/>
    <w:rsid w:val="0017575F"/>
    <w:rsid w:val="001757C8"/>
    <w:rsid w:val="001757E4"/>
    <w:rsid w:val="00175842"/>
    <w:rsid w:val="00175A0E"/>
    <w:rsid w:val="00175A5F"/>
    <w:rsid w:val="00175E84"/>
    <w:rsid w:val="00175F42"/>
    <w:rsid w:val="001761EB"/>
    <w:rsid w:val="001762CA"/>
    <w:rsid w:val="0017630C"/>
    <w:rsid w:val="0017652F"/>
    <w:rsid w:val="001769D9"/>
    <w:rsid w:val="00176C48"/>
    <w:rsid w:val="00176C66"/>
    <w:rsid w:val="00176DC6"/>
    <w:rsid w:val="00176F3A"/>
    <w:rsid w:val="00176FDE"/>
    <w:rsid w:val="00177049"/>
    <w:rsid w:val="00177051"/>
    <w:rsid w:val="0017797B"/>
    <w:rsid w:val="00177D67"/>
    <w:rsid w:val="00177E42"/>
    <w:rsid w:val="00177E55"/>
    <w:rsid w:val="00180022"/>
    <w:rsid w:val="001805C4"/>
    <w:rsid w:val="0018063E"/>
    <w:rsid w:val="00180646"/>
    <w:rsid w:val="0018073C"/>
    <w:rsid w:val="00180906"/>
    <w:rsid w:val="0018091F"/>
    <w:rsid w:val="00180969"/>
    <w:rsid w:val="00180AD9"/>
    <w:rsid w:val="00180B32"/>
    <w:rsid w:val="00180C02"/>
    <w:rsid w:val="00180CFF"/>
    <w:rsid w:val="00181163"/>
    <w:rsid w:val="001812B3"/>
    <w:rsid w:val="00181469"/>
    <w:rsid w:val="00181549"/>
    <w:rsid w:val="0018167C"/>
    <w:rsid w:val="00181798"/>
    <w:rsid w:val="0018179A"/>
    <w:rsid w:val="00181895"/>
    <w:rsid w:val="0018189E"/>
    <w:rsid w:val="001818AC"/>
    <w:rsid w:val="001818BB"/>
    <w:rsid w:val="00181CE1"/>
    <w:rsid w:val="00182013"/>
    <w:rsid w:val="0018217D"/>
    <w:rsid w:val="0018220E"/>
    <w:rsid w:val="00182777"/>
    <w:rsid w:val="00182A7C"/>
    <w:rsid w:val="00182ABC"/>
    <w:rsid w:val="00182C81"/>
    <w:rsid w:val="00182DC4"/>
    <w:rsid w:val="00182F0A"/>
    <w:rsid w:val="00183011"/>
    <w:rsid w:val="001831D8"/>
    <w:rsid w:val="00183760"/>
    <w:rsid w:val="00183867"/>
    <w:rsid w:val="001838F6"/>
    <w:rsid w:val="001839DB"/>
    <w:rsid w:val="00183AC2"/>
    <w:rsid w:val="00183B60"/>
    <w:rsid w:val="00183B6A"/>
    <w:rsid w:val="00183B9C"/>
    <w:rsid w:val="00183C5E"/>
    <w:rsid w:val="00183E7E"/>
    <w:rsid w:val="00183E9B"/>
    <w:rsid w:val="00183ECC"/>
    <w:rsid w:val="00183F20"/>
    <w:rsid w:val="001840F5"/>
    <w:rsid w:val="0018413E"/>
    <w:rsid w:val="001841A7"/>
    <w:rsid w:val="001841F9"/>
    <w:rsid w:val="0018433F"/>
    <w:rsid w:val="00184494"/>
    <w:rsid w:val="00184569"/>
    <w:rsid w:val="00184613"/>
    <w:rsid w:val="00184887"/>
    <w:rsid w:val="0018498E"/>
    <w:rsid w:val="00184B09"/>
    <w:rsid w:val="00184BCA"/>
    <w:rsid w:val="00184CC7"/>
    <w:rsid w:val="00184CF2"/>
    <w:rsid w:val="00184D3B"/>
    <w:rsid w:val="00184D40"/>
    <w:rsid w:val="00184DDD"/>
    <w:rsid w:val="00184F92"/>
    <w:rsid w:val="00184FD8"/>
    <w:rsid w:val="00185080"/>
    <w:rsid w:val="00185357"/>
    <w:rsid w:val="00185494"/>
    <w:rsid w:val="0018559B"/>
    <w:rsid w:val="00185706"/>
    <w:rsid w:val="0018586E"/>
    <w:rsid w:val="00185B35"/>
    <w:rsid w:val="00185C70"/>
    <w:rsid w:val="00185FA3"/>
    <w:rsid w:val="0018605E"/>
    <w:rsid w:val="001860E4"/>
    <w:rsid w:val="0018613F"/>
    <w:rsid w:val="001861BC"/>
    <w:rsid w:val="001861C9"/>
    <w:rsid w:val="0018620C"/>
    <w:rsid w:val="00186367"/>
    <w:rsid w:val="0018649B"/>
    <w:rsid w:val="001865B8"/>
    <w:rsid w:val="0018661C"/>
    <w:rsid w:val="0018673D"/>
    <w:rsid w:val="001868A6"/>
    <w:rsid w:val="00186A1B"/>
    <w:rsid w:val="00186A35"/>
    <w:rsid w:val="00186EC7"/>
    <w:rsid w:val="00186F1E"/>
    <w:rsid w:val="00186FFB"/>
    <w:rsid w:val="00187045"/>
    <w:rsid w:val="001871BF"/>
    <w:rsid w:val="00187229"/>
    <w:rsid w:val="001873DA"/>
    <w:rsid w:val="0018744B"/>
    <w:rsid w:val="001877B1"/>
    <w:rsid w:val="001877D2"/>
    <w:rsid w:val="001877EE"/>
    <w:rsid w:val="00187882"/>
    <w:rsid w:val="00187B9C"/>
    <w:rsid w:val="00187CB5"/>
    <w:rsid w:val="00187EF1"/>
    <w:rsid w:val="0019006A"/>
    <w:rsid w:val="00190096"/>
    <w:rsid w:val="001900C1"/>
    <w:rsid w:val="00190348"/>
    <w:rsid w:val="001903CC"/>
    <w:rsid w:val="0019041D"/>
    <w:rsid w:val="0019070B"/>
    <w:rsid w:val="00190A5A"/>
    <w:rsid w:val="00190C9A"/>
    <w:rsid w:val="00190DE7"/>
    <w:rsid w:val="00190E9F"/>
    <w:rsid w:val="00190F99"/>
    <w:rsid w:val="00190FC3"/>
    <w:rsid w:val="00191001"/>
    <w:rsid w:val="001910C1"/>
    <w:rsid w:val="001910C4"/>
    <w:rsid w:val="00191102"/>
    <w:rsid w:val="0019121B"/>
    <w:rsid w:val="001912DE"/>
    <w:rsid w:val="0019137A"/>
    <w:rsid w:val="001913F8"/>
    <w:rsid w:val="0019144F"/>
    <w:rsid w:val="001914C4"/>
    <w:rsid w:val="001914E0"/>
    <w:rsid w:val="0019156B"/>
    <w:rsid w:val="0019163C"/>
    <w:rsid w:val="0019174E"/>
    <w:rsid w:val="001917A5"/>
    <w:rsid w:val="00191819"/>
    <w:rsid w:val="001918E0"/>
    <w:rsid w:val="0019197C"/>
    <w:rsid w:val="00191A4E"/>
    <w:rsid w:val="00191A55"/>
    <w:rsid w:val="00191A89"/>
    <w:rsid w:val="00191B5F"/>
    <w:rsid w:val="00191C6D"/>
    <w:rsid w:val="00191F43"/>
    <w:rsid w:val="00191F55"/>
    <w:rsid w:val="00191F84"/>
    <w:rsid w:val="00192193"/>
    <w:rsid w:val="001921CF"/>
    <w:rsid w:val="00192331"/>
    <w:rsid w:val="001923D2"/>
    <w:rsid w:val="001923E3"/>
    <w:rsid w:val="00192436"/>
    <w:rsid w:val="00192462"/>
    <w:rsid w:val="0019248A"/>
    <w:rsid w:val="00192965"/>
    <w:rsid w:val="0019297F"/>
    <w:rsid w:val="00192EF4"/>
    <w:rsid w:val="001930E8"/>
    <w:rsid w:val="001930F6"/>
    <w:rsid w:val="00193120"/>
    <w:rsid w:val="001932C0"/>
    <w:rsid w:val="0019346F"/>
    <w:rsid w:val="001935CC"/>
    <w:rsid w:val="00193647"/>
    <w:rsid w:val="00193A13"/>
    <w:rsid w:val="00193B59"/>
    <w:rsid w:val="00193D58"/>
    <w:rsid w:val="00193EF8"/>
    <w:rsid w:val="00193F4A"/>
    <w:rsid w:val="00194135"/>
    <w:rsid w:val="001941B8"/>
    <w:rsid w:val="001943BF"/>
    <w:rsid w:val="00194492"/>
    <w:rsid w:val="001944BF"/>
    <w:rsid w:val="001947CA"/>
    <w:rsid w:val="001948A3"/>
    <w:rsid w:val="00194B5C"/>
    <w:rsid w:val="00194BBC"/>
    <w:rsid w:val="00194C7D"/>
    <w:rsid w:val="00194CAB"/>
    <w:rsid w:val="001950C7"/>
    <w:rsid w:val="001951D5"/>
    <w:rsid w:val="0019557F"/>
    <w:rsid w:val="00195584"/>
    <w:rsid w:val="0019558B"/>
    <w:rsid w:val="0019565B"/>
    <w:rsid w:val="00195937"/>
    <w:rsid w:val="0019598B"/>
    <w:rsid w:val="00195A5F"/>
    <w:rsid w:val="00195AC2"/>
    <w:rsid w:val="00196173"/>
    <w:rsid w:val="001962BA"/>
    <w:rsid w:val="00196423"/>
    <w:rsid w:val="0019653B"/>
    <w:rsid w:val="00196593"/>
    <w:rsid w:val="001966D9"/>
    <w:rsid w:val="00196711"/>
    <w:rsid w:val="001969B5"/>
    <w:rsid w:val="00196A25"/>
    <w:rsid w:val="00196B02"/>
    <w:rsid w:val="00196D70"/>
    <w:rsid w:val="0019707A"/>
    <w:rsid w:val="0019711A"/>
    <w:rsid w:val="001972D6"/>
    <w:rsid w:val="00197483"/>
    <w:rsid w:val="0019760B"/>
    <w:rsid w:val="00197636"/>
    <w:rsid w:val="00197809"/>
    <w:rsid w:val="00197935"/>
    <w:rsid w:val="00197A07"/>
    <w:rsid w:val="00197A88"/>
    <w:rsid w:val="00197B05"/>
    <w:rsid w:val="00197B18"/>
    <w:rsid w:val="00197BCD"/>
    <w:rsid w:val="00197E50"/>
    <w:rsid w:val="00197F32"/>
    <w:rsid w:val="00197F43"/>
    <w:rsid w:val="001A0004"/>
    <w:rsid w:val="001A0084"/>
    <w:rsid w:val="001A0179"/>
    <w:rsid w:val="001A04BA"/>
    <w:rsid w:val="001A05CA"/>
    <w:rsid w:val="001A062F"/>
    <w:rsid w:val="001A06F8"/>
    <w:rsid w:val="001A07B0"/>
    <w:rsid w:val="001A083C"/>
    <w:rsid w:val="001A0EDE"/>
    <w:rsid w:val="001A1022"/>
    <w:rsid w:val="001A10C3"/>
    <w:rsid w:val="001A1661"/>
    <w:rsid w:val="001A16B3"/>
    <w:rsid w:val="001A193C"/>
    <w:rsid w:val="001A1A49"/>
    <w:rsid w:val="001A1C20"/>
    <w:rsid w:val="001A2106"/>
    <w:rsid w:val="001A222C"/>
    <w:rsid w:val="001A2270"/>
    <w:rsid w:val="001A228B"/>
    <w:rsid w:val="001A22FF"/>
    <w:rsid w:val="001A23A0"/>
    <w:rsid w:val="001A23A3"/>
    <w:rsid w:val="001A26E1"/>
    <w:rsid w:val="001A28A3"/>
    <w:rsid w:val="001A29E9"/>
    <w:rsid w:val="001A2A57"/>
    <w:rsid w:val="001A2A97"/>
    <w:rsid w:val="001A2D84"/>
    <w:rsid w:val="001A2F54"/>
    <w:rsid w:val="001A2FF1"/>
    <w:rsid w:val="001A2FF7"/>
    <w:rsid w:val="001A303C"/>
    <w:rsid w:val="001A3150"/>
    <w:rsid w:val="001A3308"/>
    <w:rsid w:val="001A3435"/>
    <w:rsid w:val="001A351C"/>
    <w:rsid w:val="001A353B"/>
    <w:rsid w:val="001A35A9"/>
    <w:rsid w:val="001A35C7"/>
    <w:rsid w:val="001A368C"/>
    <w:rsid w:val="001A390B"/>
    <w:rsid w:val="001A396F"/>
    <w:rsid w:val="001A3B26"/>
    <w:rsid w:val="001A3B5B"/>
    <w:rsid w:val="001A3F45"/>
    <w:rsid w:val="001A4006"/>
    <w:rsid w:val="001A400B"/>
    <w:rsid w:val="001A417C"/>
    <w:rsid w:val="001A4280"/>
    <w:rsid w:val="001A4973"/>
    <w:rsid w:val="001A4A5F"/>
    <w:rsid w:val="001A4B4C"/>
    <w:rsid w:val="001A4C76"/>
    <w:rsid w:val="001A4CE0"/>
    <w:rsid w:val="001A4E56"/>
    <w:rsid w:val="001A4F13"/>
    <w:rsid w:val="001A4FA1"/>
    <w:rsid w:val="001A5016"/>
    <w:rsid w:val="001A50FA"/>
    <w:rsid w:val="001A5300"/>
    <w:rsid w:val="001A531E"/>
    <w:rsid w:val="001A5438"/>
    <w:rsid w:val="001A5687"/>
    <w:rsid w:val="001A576D"/>
    <w:rsid w:val="001A593B"/>
    <w:rsid w:val="001A5D73"/>
    <w:rsid w:val="001A5E60"/>
    <w:rsid w:val="001A5EC8"/>
    <w:rsid w:val="001A60B0"/>
    <w:rsid w:val="001A6607"/>
    <w:rsid w:val="001A6907"/>
    <w:rsid w:val="001A6A45"/>
    <w:rsid w:val="001A6BD6"/>
    <w:rsid w:val="001A6C07"/>
    <w:rsid w:val="001A6CEE"/>
    <w:rsid w:val="001A6F6F"/>
    <w:rsid w:val="001A709F"/>
    <w:rsid w:val="001A70D9"/>
    <w:rsid w:val="001A735F"/>
    <w:rsid w:val="001A7380"/>
    <w:rsid w:val="001A750D"/>
    <w:rsid w:val="001A763C"/>
    <w:rsid w:val="001A7666"/>
    <w:rsid w:val="001A79A7"/>
    <w:rsid w:val="001A7B5E"/>
    <w:rsid w:val="001A7ECC"/>
    <w:rsid w:val="001A7FDF"/>
    <w:rsid w:val="001B047A"/>
    <w:rsid w:val="001B0620"/>
    <w:rsid w:val="001B0763"/>
    <w:rsid w:val="001B0834"/>
    <w:rsid w:val="001B08D8"/>
    <w:rsid w:val="001B0981"/>
    <w:rsid w:val="001B09BF"/>
    <w:rsid w:val="001B0B80"/>
    <w:rsid w:val="001B0D2B"/>
    <w:rsid w:val="001B1015"/>
    <w:rsid w:val="001B1032"/>
    <w:rsid w:val="001B10E8"/>
    <w:rsid w:val="001B110D"/>
    <w:rsid w:val="001B1449"/>
    <w:rsid w:val="001B15E6"/>
    <w:rsid w:val="001B15EB"/>
    <w:rsid w:val="001B1793"/>
    <w:rsid w:val="001B1906"/>
    <w:rsid w:val="001B1A1E"/>
    <w:rsid w:val="001B1B00"/>
    <w:rsid w:val="001B1B4C"/>
    <w:rsid w:val="001B1BA1"/>
    <w:rsid w:val="001B1D6A"/>
    <w:rsid w:val="001B1E5A"/>
    <w:rsid w:val="001B1F43"/>
    <w:rsid w:val="001B207A"/>
    <w:rsid w:val="001B2241"/>
    <w:rsid w:val="001B2279"/>
    <w:rsid w:val="001B228B"/>
    <w:rsid w:val="001B22C4"/>
    <w:rsid w:val="001B2570"/>
    <w:rsid w:val="001B26D3"/>
    <w:rsid w:val="001B2768"/>
    <w:rsid w:val="001B2813"/>
    <w:rsid w:val="001B2D3F"/>
    <w:rsid w:val="001B2D6E"/>
    <w:rsid w:val="001B2EBA"/>
    <w:rsid w:val="001B2FDB"/>
    <w:rsid w:val="001B3013"/>
    <w:rsid w:val="001B30FB"/>
    <w:rsid w:val="001B3122"/>
    <w:rsid w:val="001B328B"/>
    <w:rsid w:val="001B344A"/>
    <w:rsid w:val="001B34B5"/>
    <w:rsid w:val="001B3633"/>
    <w:rsid w:val="001B3686"/>
    <w:rsid w:val="001B3725"/>
    <w:rsid w:val="001B3B3D"/>
    <w:rsid w:val="001B3BBD"/>
    <w:rsid w:val="001B3E41"/>
    <w:rsid w:val="001B3E46"/>
    <w:rsid w:val="001B3E5E"/>
    <w:rsid w:val="001B3E85"/>
    <w:rsid w:val="001B3FB2"/>
    <w:rsid w:val="001B3FB5"/>
    <w:rsid w:val="001B404A"/>
    <w:rsid w:val="001B438A"/>
    <w:rsid w:val="001B43A7"/>
    <w:rsid w:val="001B455F"/>
    <w:rsid w:val="001B4605"/>
    <w:rsid w:val="001B46B0"/>
    <w:rsid w:val="001B46BA"/>
    <w:rsid w:val="001B46FD"/>
    <w:rsid w:val="001B4751"/>
    <w:rsid w:val="001B48C6"/>
    <w:rsid w:val="001B4907"/>
    <w:rsid w:val="001B4B5A"/>
    <w:rsid w:val="001B4B6C"/>
    <w:rsid w:val="001B4C76"/>
    <w:rsid w:val="001B4D17"/>
    <w:rsid w:val="001B4D68"/>
    <w:rsid w:val="001B4E18"/>
    <w:rsid w:val="001B4E1D"/>
    <w:rsid w:val="001B4E73"/>
    <w:rsid w:val="001B4F24"/>
    <w:rsid w:val="001B51F3"/>
    <w:rsid w:val="001B5232"/>
    <w:rsid w:val="001B527A"/>
    <w:rsid w:val="001B5311"/>
    <w:rsid w:val="001B5520"/>
    <w:rsid w:val="001B560B"/>
    <w:rsid w:val="001B5625"/>
    <w:rsid w:val="001B567A"/>
    <w:rsid w:val="001B5836"/>
    <w:rsid w:val="001B589B"/>
    <w:rsid w:val="001B5976"/>
    <w:rsid w:val="001B5C0A"/>
    <w:rsid w:val="001B5D18"/>
    <w:rsid w:val="001B6060"/>
    <w:rsid w:val="001B61B3"/>
    <w:rsid w:val="001B61D1"/>
    <w:rsid w:val="001B6729"/>
    <w:rsid w:val="001B67D1"/>
    <w:rsid w:val="001B6B9D"/>
    <w:rsid w:val="001B6CC6"/>
    <w:rsid w:val="001B6CE6"/>
    <w:rsid w:val="001B6DA1"/>
    <w:rsid w:val="001B6F35"/>
    <w:rsid w:val="001B704A"/>
    <w:rsid w:val="001B7078"/>
    <w:rsid w:val="001B710F"/>
    <w:rsid w:val="001B7164"/>
    <w:rsid w:val="001B72BC"/>
    <w:rsid w:val="001B72C6"/>
    <w:rsid w:val="001B7324"/>
    <w:rsid w:val="001B747D"/>
    <w:rsid w:val="001B75D7"/>
    <w:rsid w:val="001B791B"/>
    <w:rsid w:val="001B7A3D"/>
    <w:rsid w:val="001B7B7F"/>
    <w:rsid w:val="001B7E87"/>
    <w:rsid w:val="001B7F67"/>
    <w:rsid w:val="001C0096"/>
    <w:rsid w:val="001C057D"/>
    <w:rsid w:val="001C05F4"/>
    <w:rsid w:val="001C0685"/>
    <w:rsid w:val="001C06E8"/>
    <w:rsid w:val="001C08BF"/>
    <w:rsid w:val="001C0901"/>
    <w:rsid w:val="001C0A30"/>
    <w:rsid w:val="001C0B1E"/>
    <w:rsid w:val="001C0C18"/>
    <w:rsid w:val="001C0D2F"/>
    <w:rsid w:val="001C0DBB"/>
    <w:rsid w:val="001C0F7A"/>
    <w:rsid w:val="001C11FF"/>
    <w:rsid w:val="001C1447"/>
    <w:rsid w:val="001C15A1"/>
    <w:rsid w:val="001C1623"/>
    <w:rsid w:val="001C1728"/>
    <w:rsid w:val="001C17C0"/>
    <w:rsid w:val="001C18D1"/>
    <w:rsid w:val="001C18F3"/>
    <w:rsid w:val="001C1932"/>
    <w:rsid w:val="001C1AA3"/>
    <w:rsid w:val="001C1B60"/>
    <w:rsid w:val="001C1C2E"/>
    <w:rsid w:val="001C1CD6"/>
    <w:rsid w:val="001C1D9C"/>
    <w:rsid w:val="001C1F5E"/>
    <w:rsid w:val="001C215F"/>
    <w:rsid w:val="001C2175"/>
    <w:rsid w:val="001C21CE"/>
    <w:rsid w:val="001C2394"/>
    <w:rsid w:val="001C242F"/>
    <w:rsid w:val="001C25ED"/>
    <w:rsid w:val="001C2860"/>
    <w:rsid w:val="001C2B45"/>
    <w:rsid w:val="001C2CFB"/>
    <w:rsid w:val="001C2D8D"/>
    <w:rsid w:val="001C32AB"/>
    <w:rsid w:val="001C3375"/>
    <w:rsid w:val="001C3485"/>
    <w:rsid w:val="001C3515"/>
    <w:rsid w:val="001C351C"/>
    <w:rsid w:val="001C3561"/>
    <w:rsid w:val="001C35EB"/>
    <w:rsid w:val="001C3661"/>
    <w:rsid w:val="001C36BE"/>
    <w:rsid w:val="001C398C"/>
    <w:rsid w:val="001C3A44"/>
    <w:rsid w:val="001C3B8C"/>
    <w:rsid w:val="001C3F05"/>
    <w:rsid w:val="001C3FF8"/>
    <w:rsid w:val="001C4188"/>
    <w:rsid w:val="001C46EB"/>
    <w:rsid w:val="001C4894"/>
    <w:rsid w:val="001C49EE"/>
    <w:rsid w:val="001C4A17"/>
    <w:rsid w:val="001C4A52"/>
    <w:rsid w:val="001C4B91"/>
    <w:rsid w:val="001C4CEE"/>
    <w:rsid w:val="001C4F7B"/>
    <w:rsid w:val="001C4FC0"/>
    <w:rsid w:val="001C508B"/>
    <w:rsid w:val="001C509C"/>
    <w:rsid w:val="001C50F2"/>
    <w:rsid w:val="001C51F3"/>
    <w:rsid w:val="001C536B"/>
    <w:rsid w:val="001C543F"/>
    <w:rsid w:val="001C5528"/>
    <w:rsid w:val="001C567B"/>
    <w:rsid w:val="001C5823"/>
    <w:rsid w:val="001C596D"/>
    <w:rsid w:val="001C5A4B"/>
    <w:rsid w:val="001C5AC8"/>
    <w:rsid w:val="001C5B5D"/>
    <w:rsid w:val="001C5BCA"/>
    <w:rsid w:val="001C5C45"/>
    <w:rsid w:val="001C5E74"/>
    <w:rsid w:val="001C5E8E"/>
    <w:rsid w:val="001C5EAB"/>
    <w:rsid w:val="001C61D2"/>
    <w:rsid w:val="001C633C"/>
    <w:rsid w:val="001C64C6"/>
    <w:rsid w:val="001C6567"/>
    <w:rsid w:val="001C6762"/>
    <w:rsid w:val="001C6814"/>
    <w:rsid w:val="001C6842"/>
    <w:rsid w:val="001C6926"/>
    <w:rsid w:val="001C6A3F"/>
    <w:rsid w:val="001C6C78"/>
    <w:rsid w:val="001C6DB9"/>
    <w:rsid w:val="001C6DD9"/>
    <w:rsid w:val="001C6E13"/>
    <w:rsid w:val="001C6E66"/>
    <w:rsid w:val="001C71CC"/>
    <w:rsid w:val="001C72BD"/>
    <w:rsid w:val="001C7464"/>
    <w:rsid w:val="001C74E6"/>
    <w:rsid w:val="001C757C"/>
    <w:rsid w:val="001C75B7"/>
    <w:rsid w:val="001C75C8"/>
    <w:rsid w:val="001C7782"/>
    <w:rsid w:val="001C7A7D"/>
    <w:rsid w:val="001C7B6A"/>
    <w:rsid w:val="001C7C77"/>
    <w:rsid w:val="001C7D4A"/>
    <w:rsid w:val="001C7DB7"/>
    <w:rsid w:val="001D0077"/>
    <w:rsid w:val="001D044C"/>
    <w:rsid w:val="001D05AA"/>
    <w:rsid w:val="001D05C4"/>
    <w:rsid w:val="001D05F4"/>
    <w:rsid w:val="001D0665"/>
    <w:rsid w:val="001D0C9E"/>
    <w:rsid w:val="001D0D06"/>
    <w:rsid w:val="001D0F5D"/>
    <w:rsid w:val="001D1113"/>
    <w:rsid w:val="001D11D6"/>
    <w:rsid w:val="001D1241"/>
    <w:rsid w:val="001D131A"/>
    <w:rsid w:val="001D136C"/>
    <w:rsid w:val="001D1503"/>
    <w:rsid w:val="001D182C"/>
    <w:rsid w:val="001D18D8"/>
    <w:rsid w:val="001D18DC"/>
    <w:rsid w:val="001D190D"/>
    <w:rsid w:val="001D19BE"/>
    <w:rsid w:val="001D1A2A"/>
    <w:rsid w:val="001D1AF1"/>
    <w:rsid w:val="001D1D88"/>
    <w:rsid w:val="001D1EC6"/>
    <w:rsid w:val="001D1EED"/>
    <w:rsid w:val="001D20F5"/>
    <w:rsid w:val="001D2356"/>
    <w:rsid w:val="001D23FA"/>
    <w:rsid w:val="001D2792"/>
    <w:rsid w:val="001D2870"/>
    <w:rsid w:val="001D2A2B"/>
    <w:rsid w:val="001D2B30"/>
    <w:rsid w:val="001D2B4D"/>
    <w:rsid w:val="001D2B8A"/>
    <w:rsid w:val="001D2BBC"/>
    <w:rsid w:val="001D2F81"/>
    <w:rsid w:val="001D315D"/>
    <w:rsid w:val="001D38C8"/>
    <w:rsid w:val="001D3A78"/>
    <w:rsid w:val="001D3ADA"/>
    <w:rsid w:val="001D3AF9"/>
    <w:rsid w:val="001D3DEE"/>
    <w:rsid w:val="001D3EBB"/>
    <w:rsid w:val="001D4059"/>
    <w:rsid w:val="001D4167"/>
    <w:rsid w:val="001D42BB"/>
    <w:rsid w:val="001D42E3"/>
    <w:rsid w:val="001D4452"/>
    <w:rsid w:val="001D4562"/>
    <w:rsid w:val="001D4608"/>
    <w:rsid w:val="001D471C"/>
    <w:rsid w:val="001D47B3"/>
    <w:rsid w:val="001D49C1"/>
    <w:rsid w:val="001D4A0B"/>
    <w:rsid w:val="001D4BAA"/>
    <w:rsid w:val="001D4D6F"/>
    <w:rsid w:val="001D4E39"/>
    <w:rsid w:val="001D5135"/>
    <w:rsid w:val="001D518B"/>
    <w:rsid w:val="001D54CC"/>
    <w:rsid w:val="001D568E"/>
    <w:rsid w:val="001D586F"/>
    <w:rsid w:val="001D598D"/>
    <w:rsid w:val="001D5B14"/>
    <w:rsid w:val="001D5BC1"/>
    <w:rsid w:val="001D5C0A"/>
    <w:rsid w:val="001D5C65"/>
    <w:rsid w:val="001D5CD7"/>
    <w:rsid w:val="001D5EF0"/>
    <w:rsid w:val="001D650A"/>
    <w:rsid w:val="001D6558"/>
    <w:rsid w:val="001D6D06"/>
    <w:rsid w:val="001D6E7C"/>
    <w:rsid w:val="001D6E95"/>
    <w:rsid w:val="001D6ECF"/>
    <w:rsid w:val="001D72F0"/>
    <w:rsid w:val="001D7A5D"/>
    <w:rsid w:val="001D7BE6"/>
    <w:rsid w:val="001D7C2A"/>
    <w:rsid w:val="001D7D4F"/>
    <w:rsid w:val="001D7F6C"/>
    <w:rsid w:val="001D7F8F"/>
    <w:rsid w:val="001D7FA7"/>
    <w:rsid w:val="001E0107"/>
    <w:rsid w:val="001E014B"/>
    <w:rsid w:val="001E0316"/>
    <w:rsid w:val="001E031C"/>
    <w:rsid w:val="001E0386"/>
    <w:rsid w:val="001E0690"/>
    <w:rsid w:val="001E06F3"/>
    <w:rsid w:val="001E06F9"/>
    <w:rsid w:val="001E07DF"/>
    <w:rsid w:val="001E084D"/>
    <w:rsid w:val="001E0A99"/>
    <w:rsid w:val="001E0D92"/>
    <w:rsid w:val="001E0E61"/>
    <w:rsid w:val="001E0E66"/>
    <w:rsid w:val="001E0E83"/>
    <w:rsid w:val="001E0F4B"/>
    <w:rsid w:val="001E1000"/>
    <w:rsid w:val="001E104B"/>
    <w:rsid w:val="001E1170"/>
    <w:rsid w:val="001E13E1"/>
    <w:rsid w:val="001E14BF"/>
    <w:rsid w:val="001E1686"/>
    <w:rsid w:val="001E1762"/>
    <w:rsid w:val="001E1835"/>
    <w:rsid w:val="001E18B3"/>
    <w:rsid w:val="001E1D66"/>
    <w:rsid w:val="001E1ED0"/>
    <w:rsid w:val="001E1F1E"/>
    <w:rsid w:val="001E1F2F"/>
    <w:rsid w:val="001E1FE4"/>
    <w:rsid w:val="001E201F"/>
    <w:rsid w:val="001E209A"/>
    <w:rsid w:val="001E2193"/>
    <w:rsid w:val="001E228A"/>
    <w:rsid w:val="001E252B"/>
    <w:rsid w:val="001E284E"/>
    <w:rsid w:val="001E2987"/>
    <w:rsid w:val="001E2ADB"/>
    <w:rsid w:val="001E2C01"/>
    <w:rsid w:val="001E2C46"/>
    <w:rsid w:val="001E2C7F"/>
    <w:rsid w:val="001E2D55"/>
    <w:rsid w:val="001E2D5E"/>
    <w:rsid w:val="001E2E08"/>
    <w:rsid w:val="001E35C7"/>
    <w:rsid w:val="001E3768"/>
    <w:rsid w:val="001E38B7"/>
    <w:rsid w:val="001E3A56"/>
    <w:rsid w:val="001E3AB8"/>
    <w:rsid w:val="001E3D02"/>
    <w:rsid w:val="001E3D98"/>
    <w:rsid w:val="001E3E29"/>
    <w:rsid w:val="001E3F18"/>
    <w:rsid w:val="001E40DA"/>
    <w:rsid w:val="001E4161"/>
    <w:rsid w:val="001E431E"/>
    <w:rsid w:val="001E4334"/>
    <w:rsid w:val="001E4338"/>
    <w:rsid w:val="001E4349"/>
    <w:rsid w:val="001E4380"/>
    <w:rsid w:val="001E440A"/>
    <w:rsid w:val="001E4677"/>
    <w:rsid w:val="001E4692"/>
    <w:rsid w:val="001E4741"/>
    <w:rsid w:val="001E4769"/>
    <w:rsid w:val="001E48BB"/>
    <w:rsid w:val="001E4B2C"/>
    <w:rsid w:val="001E4B78"/>
    <w:rsid w:val="001E4DEE"/>
    <w:rsid w:val="001E4E81"/>
    <w:rsid w:val="001E52EB"/>
    <w:rsid w:val="001E5387"/>
    <w:rsid w:val="001E53A8"/>
    <w:rsid w:val="001E53EF"/>
    <w:rsid w:val="001E5578"/>
    <w:rsid w:val="001E5686"/>
    <w:rsid w:val="001E5898"/>
    <w:rsid w:val="001E58C2"/>
    <w:rsid w:val="001E592B"/>
    <w:rsid w:val="001E5A86"/>
    <w:rsid w:val="001E5BCF"/>
    <w:rsid w:val="001E5D39"/>
    <w:rsid w:val="001E5DA6"/>
    <w:rsid w:val="001E5EEC"/>
    <w:rsid w:val="001E5F26"/>
    <w:rsid w:val="001E6073"/>
    <w:rsid w:val="001E6217"/>
    <w:rsid w:val="001E6472"/>
    <w:rsid w:val="001E65AD"/>
    <w:rsid w:val="001E6737"/>
    <w:rsid w:val="001E679D"/>
    <w:rsid w:val="001E68B2"/>
    <w:rsid w:val="001E6AAF"/>
    <w:rsid w:val="001E6BF7"/>
    <w:rsid w:val="001E6C03"/>
    <w:rsid w:val="001E6DA6"/>
    <w:rsid w:val="001E6F2D"/>
    <w:rsid w:val="001E6FA7"/>
    <w:rsid w:val="001E6FB9"/>
    <w:rsid w:val="001E70D1"/>
    <w:rsid w:val="001E70F9"/>
    <w:rsid w:val="001E73CB"/>
    <w:rsid w:val="001E75AE"/>
    <w:rsid w:val="001E76ED"/>
    <w:rsid w:val="001E796C"/>
    <w:rsid w:val="001E79BD"/>
    <w:rsid w:val="001E7A04"/>
    <w:rsid w:val="001E7AFA"/>
    <w:rsid w:val="001E7C4F"/>
    <w:rsid w:val="001E7C5D"/>
    <w:rsid w:val="001E7CD0"/>
    <w:rsid w:val="001E7D7A"/>
    <w:rsid w:val="001E7D9C"/>
    <w:rsid w:val="001E7E90"/>
    <w:rsid w:val="001F0244"/>
    <w:rsid w:val="001F0372"/>
    <w:rsid w:val="001F03CF"/>
    <w:rsid w:val="001F04B4"/>
    <w:rsid w:val="001F0555"/>
    <w:rsid w:val="001F05A3"/>
    <w:rsid w:val="001F05F9"/>
    <w:rsid w:val="001F0910"/>
    <w:rsid w:val="001F0BF8"/>
    <w:rsid w:val="001F0DB5"/>
    <w:rsid w:val="001F122F"/>
    <w:rsid w:val="001F1399"/>
    <w:rsid w:val="001F1543"/>
    <w:rsid w:val="001F159B"/>
    <w:rsid w:val="001F1604"/>
    <w:rsid w:val="001F167F"/>
    <w:rsid w:val="001F1776"/>
    <w:rsid w:val="001F1951"/>
    <w:rsid w:val="001F1A17"/>
    <w:rsid w:val="001F1A1A"/>
    <w:rsid w:val="001F1A55"/>
    <w:rsid w:val="001F1B91"/>
    <w:rsid w:val="001F1C53"/>
    <w:rsid w:val="001F1F8F"/>
    <w:rsid w:val="001F210D"/>
    <w:rsid w:val="001F22E8"/>
    <w:rsid w:val="001F2329"/>
    <w:rsid w:val="001F234D"/>
    <w:rsid w:val="001F2413"/>
    <w:rsid w:val="001F2757"/>
    <w:rsid w:val="001F2855"/>
    <w:rsid w:val="001F293E"/>
    <w:rsid w:val="001F2A28"/>
    <w:rsid w:val="001F2B9D"/>
    <w:rsid w:val="001F2C2E"/>
    <w:rsid w:val="001F2CBB"/>
    <w:rsid w:val="001F2D01"/>
    <w:rsid w:val="001F2D12"/>
    <w:rsid w:val="001F2D25"/>
    <w:rsid w:val="001F2E93"/>
    <w:rsid w:val="001F2FE9"/>
    <w:rsid w:val="001F305D"/>
    <w:rsid w:val="001F310D"/>
    <w:rsid w:val="001F3116"/>
    <w:rsid w:val="001F3166"/>
    <w:rsid w:val="001F3241"/>
    <w:rsid w:val="001F32D1"/>
    <w:rsid w:val="001F333B"/>
    <w:rsid w:val="001F34A7"/>
    <w:rsid w:val="001F35DA"/>
    <w:rsid w:val="001F3636"/>
    <w:rsid w:val="001F378E"/>
    <w:rsid w:val="001F37E2"/>
    <w:rsid w:val="001F3B34"/>
    <w:rsid w:val="001F3C12"/>
    <w:rsid w:val="001F3CD8"/>
    <w:rsid w:val="001F3D30"/>
    <w:rsid w:val="001F3E25"/>
    <w:rsid w:val="001F3E44"/>
    <w:rsid w:val="001F3F2E"/>
    <w:rsid w:val="001F3FFF"/>
    <w:rsid w:val="001F4090"/>
    <w:rsid w:val="001F4370"/>
    <w:rsid w:val="001F45B5"/>
    <w:rsid w:val="001F46B6"/>
    <w:rsid w:val="001F481A"/>
    <w:rsid w:val="001F4935"/>
    <w:rsid w:val="001F4C09"/>
    <w:rsid w:val="001F4D57"/>
    <w:rsid w:val="001F4E4A"/>
    <w:rsid w:val="001F4F7B"/>
    <w:rsid w:val="001F511E"/>
    <w:rsid w:val="001F518B"/>
    <w:rsid w:val="001F5232"/>
    <w:rsid w:val="001F5317"/>
    <w:rsid w:val="001F5575"/>
    <w:rsid w:val="001F575C"/>
    <w:rsid w:val="001F5995"/>
    <w:rsid w:val="001F5A2C"/>
    <w:rsid w:val="001F5BC0"/>
    <w:rsid w:val="001F5BC7"/>
    <w:rsid w:val="001F5CE9"/>
    <w:rsid w:val="001F5D9F"/>
    <w:rsid w:val="001F5E0B"/>
    <w:rsid w:val="001F5FB3"/>
    <w:rsid w:val="001F62AB"/>
    <w:rsid w:val="001F62E5"/>
    <w:rsid w:val="001F62F4"/>
    <w:rsid w:val="001F6327"/>
    <w:rsid w:val="001F6478"/>
    <w:rsid w:val="001F64DE"/>
    <w:rsid w:val="001F695F"/>
    <w:rsid w:val="001F6988"/>
    <w:rsid w:val="001F6992"/>
    <w:rsid w:val="001F6D53"/>
    <w:rsid w:val="001F6E09"/>
    <w:rsid w:val="001F6FFE"/>
    <w:rsid w:val="001F75F2"/>
    <w:rsid w:val="001F7635"/>
    <w:rsid w:val="001F78F5"/>
    <w:rsid w:val="001F790A"/>
    <w:rsid w:val="001F796D"/>
    <w:rsid w:val="001F7976"/>
    <w:rsid w:val="001F7B4E"/>
    <w:rsid w:val="001F7CA7"/>
    <w:rsid w:val="001F7D23"/>
    <w:rsid w:val="001F7D69"/>
    <w:rsid w:val="001F7E98"/>
    <w:rsid w:val="001F7F59"/>
    <w:rsid w:val="001F7FD9"/>
    <w:rsid w:val="00200353"/>
    <w:rsid w:val="00200545"/>
    <w:rsid w:val="00200575"/>
    <w:rsid w:val="00200716"/>
    <w:rsid w:val="0020078D"/>
    <w:rsid w:val="002007F6"/>
    <w:rsid w:val="00200C9B"/>
    <w:rsid w:val="00200F98"/>
    <w:rsid w:val="00200FDB"/>
    <w:rsid w:val="0020114A"/>
    <w:rsid w:val="002013C5"/>
    <w:rsid w:val="0020166E"/>
    <w:rsid w:val="0020175D"/>
    <w:rsid w:val="002017BF"/>
    <w:rsid w:val="00201831"/>
    <w:rsid w:val="00201B67"/>
    <w:rsid w:val="00201D23"/>
    <w:rsid w:val="00201DF3"/>
    <w:rsid w:val="00201F0F"/>
    <w:rsid w:val="0020204F"/>
    <w:rsid w:val="002020D6"/>
    <w:rsid w:val="0020216F"/>
    <w:rsid w:val="00202265"/>
    <w:rsid w:val="0020232A"/>
    <w:rsid w:val="002023D4"/>
    <w:rsid w:val="0020242E"/>
    <w:rsid w:val="002025AA"/>
    <w:rsid w:val="00202788"/>
    <w:rsid w:val="00202949"/>
    <w:rsid w:val="00202ACD"/>
    <w:rsid w:val="00202BE4"/>
    <w:rsid w:val="00202C53"/>
    <w:rsid w:val="00202D57"/>
    <w:rsid w:val="00202DB5"/>
    <w:rsid w:val="00202F58"/>
    <w:rsid w:val="00203086"/>
    <w:rsid w:val="00203196"/>
    <w:rsid w:val="00203397"/>
    <w:rsid w:val="00203638"/>
    <w:rsid w:val="00203685"/>
    <w:rsid w:val="00203A64"/>
    <w:rsid w:val="00203B5E"/>
    <w:rsid w:val="00203BBA"/>
    <w:rsid w:val="00203D6A"/>
    <w:rsid w:val="00203F4D"/>
    <w:rsid w:val="00204037"/>
    <w:rsid w:val="00204046"/>
    <w:rsid w:val="00204073"/>
    <w:rsid w:val="00204082"/>
    <w:rsid w:val="00204136"/>
    <w:rsid w:val="00204175"/>
    <w:rsid w:val="002041F7"/>
    <w:rsid w:val="0020426A"/>
    <w:rsid w:val="002044A4"/>
    <w:rsid w:val="002047D4"/>
    <w:rsid w:val="00204866"/>
    <w:rsid w:val="00204889"/>
    <w:rsid w:val="0020491E"/>
    <w:rsid w:val="00204AA8"/>
    <w:rsid w:val="00204AF9"/>
    <w:rsid w:val="00204F13"/>
    <w:rsid w:val="00205021"/>
    <w:rsid w:val="0020515D"/>
    <w:rsid w:val="00205230"/>
    <w:rsid w:val="002053E5"/>
    <w:rsid w:val="00205591"/>
    <w:rsid w:val="0020562D"/>
    <w:rsid w:val="002056ED"/>
    <w:rsid w:val="0020571D"/>
    <w:rsid w:val="00205721"/>
    <w:rsid w:val="00205732"/>
    <w:rsid w:val="002057AF"/>
    <w:rsid w:val="0020580E"/>
    <w:rsid w:val="002058F8"/>
    <w:rsid w:val="00205BA3"/>
    <w:rsid w:val="00205DF6"/>
    <w:rsid w:val="00206032"/>
    <w:rsid w:val="00206058"/>
    <w:rsid w:val="0020607E"/>
    <w:rsid w:val="002061A4"/>
    <w:rsid w:val="0020633D"/>
    <w:rsid w:val="002064B5"/>
    <w:rsid w:val="0020671C"/>
    <w:rsid w:val="002068E5"/>
    <w:rsid w:val="0020694D"/>
    <w:rsid w:val="00206A44"/>
    <w:rsid w:val="00206BD3"/>
    <w:rsid w:val="00206C9F"/>
    <w:rsid w:val="00206D2D"/>
    <w:rsid w:val="00206E9A"/>
    <w:rsid w:val="00206F35"/>
    <w:rsid w:val="00207056"/>
    <w:rsid w:val="002071AD"/>
    <w:rsid w:val="002071D4"/>
    <w:rsid w:val="00207229"/>
    <w:rsid w:val="00207252"/>
    <w:rsid w:val="002076C5"/>
    <w:rsid w:val="0020784A"/>
    <w:rsid w:val="0020784C"/>
    <w:rsid w:val="00207B27"/>
    <w:rsid w:val="00207C25"/>
    <w:rsid w:val="00207CC4"/>
    <w:rsid w:val="00207E78"/>
    <w:rsid w:val="0021015E"/>
    <w:rsid w:val="00210179"/>
    <w:rsid w:val="002103D2"/>
    <w:rsid w:val="002104D4"/>
    <w:rsid w:val="002106F7"/>
    <w:rsid w:val="0021078B"/>
    <w:rsid w:val="00210795"/>
    <w:rsid w:val="002109C6"/>
    <w:rsid w:val="00210D53"/>
    <w:rsid w:val="00210E65"/>
    <w:rsid w:val="00210F98"/>
    <w:rsid w:val="00211156"/>
    <w:rsid w:val="00211280"/>
    <w:rsid w:val="0021128D"/>
    <w:rsid w:val="0021150F"/>
    <w:rsid w:val="002115DD"/>
    <w:rsid w:val="00211603"/>
    <w:rsid w:val="002116DE"/>
    <w:rsid w:val="00211783"/>
    <w:rsid w:val="0021193B"/>
    <w:rsid w:val="002120E6"/>
    <w:rsid w:val="002120F9"/>
    <w:rsid w:val="00212410"/>
    <w:rsid w:val="0021245F"/>
    <w:rsid w:val="00212528"/>
    <w:rsid w:val="0021254C"/>
    <w:rsid w:val="0021254F"/>
    <w:rsid w:val="002127B1"/>
    <w:rsid w:val="00212AA4"/>
    <w:rsid w:val="00212B37"/>
    <w:rsid w:val="00212BD0"/>
    <w:rsid w:val="002130CE"/>
    <w:rsid w:val="002133D1"/>
    <w:rsid w:val="002135C5"/>
    <w:rsid w:val="002137B1"/>
    <w:rsid w:val="0021380C"/>
    <w:rsid w:val="0021390E"/>
    <w:rsid w:val="002139B0"/>
    <w:rsid w:val="00213C31"/>
    <w:rsid w:val="00213C97"/>
    <w:rsid w:val="00213E4D"/>
    <w:rsid w:val="00213EC4"/>
    <w:rsid w:val="002140B9"/>
    <w:rsid w:val="002142F8"/>
    <w:rsid w:val="00214541"/>
    <w:rsid w:val="00214791"/>
    <w:rsid w:val="002147E1"/>
    <w:rsid w:val="00214A4E"/>
    <w:rsid w:val="00214B04"/>
    <w:rsid w:val="00214BEB"/>
    <w:rsid w:val="00214D30"/>
    <w:rsid w:val="00214D42"/>
    <w:rsid w:val="00214DF5"/>
    <w:rsid w:val="00214E9C"/>
    <w:rsid w:val="00214EEA"/>
    <w:rsid w:val="00215070"/>
    <w:rsid w:val="0021522C"/>
    <w:rsid w:val="0021563D"/>
    <w:rsid w:val="00215731"/>
    <w:rsid w:val="002157F8"/>
    <w:rsid w:val="00215C5C"/>
    <w:rsid w:val="00215CBF"/>
    <w:rsid w:val="00215DC9"/>
    <w:rsid w:val="00215F30"/>
    <w:rsid w:val="00215F83"/>
    <w:rsid w:val="00216174"/>
    <w:rsid w:val="0021620C"/>
    <w:rsid w:val="0021634C"/>
    <w:rsid w:val="002163FC"/>
    <w:rsid w:val="00216472"/>
    <w:rsid w:val="002164C5"/>
    <w:rsid w:val="0021681C"/>
    <w:rsid w:val="00216958"/>
    <w:rsid w:val="002169A0"/>
    <w:rsid w:val="00216A8A"/>
    <w:rsid w:val="00216A8E"/>
    <w:rsid w:val="00216B17"/>
    <w:rsid w:val="00216BF8"/>
    <w:rsid w:val="00216DD6"/>
    <w:rsid w:val="00216DDA"/>
    <w:rsid w:val="00217070"/>
    <w:rsid w:val="00217082"/>
    <w:rsid w:val="002170F3"/>
    <w:rsid w:val="0021712A"/>
    <w:rsid w:val="00217764"/>
    <w:rsid w:val="00217838"/>
    <w:rsid w:val="00217872"/>
    <w:rsid w:val="002178F3"/>
    <w:rsid w:val="0021797E"/>
    <w:rsid w:val="00217A0A"/>
    <w:rsid w:val="00217AFA"/>
    <w:rsid w:val="00217B66"/>
    <w:rsid w:val="00217C6C"/>
    <w:rsid w:val="00217DB8"/>
    <w:rsid w:val="00217E37"/>
    <w:rsid w:val="00217F6E"/>
    <w:rsid w:val="002200A5"/>
    <w:rsid w:val="00220297"/>
    <w:rsid w:val="00220357"/>
    <w:rsid w:val="0022050F"/>
    <w:rsid w:val="00220795"/>
    <w:rsid w:val="00220905"/>
    <w:rsid w:val="00220994"/>
    <w:rsid w:val="00220B83"/>
    <w:rsid w:val="00220B89"/>
    <w:rsid w:val="00220BCC"/>
    <w:rsid w:val="00220C39"/>
    <w:rsid w:val="00220D72"/>
    <w:rsid w:val="00220DBC"/>
    <w:rsid w:val="00220E01"/>
    <w:rsid w:val="00220E22"/>
    <w:rsid w:val="00220E3E"/>
    <w:rsid w:val="00220EC3"/>
    <w:rsid w:val="002211CC"/>
    <w:rsid w:val="002213CB"/>
    <w:rsid w:val="0022162D"/>
    <w:rsid w:val="00221A85"/>
    <w:rsid w:val="00221C7D"/>
    <w:rsid w:val="00221C96"/>
    <w:rsid w:val="00221DCB"/>
    <w:rsid w:val="002220C7"/>
    <w:rsid w:val="00222298"/>
    <w:rsid w:val="002223FA"/>
    <w:rsid w:val="0022261F"/>
    <w:rsid w:val="00222767"/>
    <w:rsid w:val="00222792"/>
    <w:rsid w:val="00222C43"/>
    <w:rsid w:val="00222C58"/>
    <w:rsid w:val="00222E30"/>
    <w:rsid w:val="00222EFA"/>
    <w:rsid w:val="00222F07"/>
    <w:rsid w:val="00223015"/>
    <w:rsid w:val="00223366"/>
    <w:rsid w:val="002233CD"/>
    <w:rsid w:val="0022347F"/>
    <w:rsid w:val="00223524"/>
    <w:rsid w:val="0022370E"/>
    <w:rsid w:val="00223916"/>
    <w:rsid w:val="00223B5F"/>
    <w:rsid w:val="00223BFB"/>
    <w:rsid w:val="00223C8D"/>
    <w:rsid w:val="00223E9A"/>
    <w:rsid w:val="00223F71"/>
    <w:rsid w:val="0022400E"/>
    <w:rsid w:val="00224070"/>
    <w:rsid w:val="00224121"/>
    <w:rsid w:val="00224186"/>
    <w:rsid w:val="00224236"/>
    <w:rsid w:val="002242F5"/>
    <w:rsid w:val="0022480B"/>
    <w:rsid w:val="0022491E"/>
    <w:rsid w:val="002249D3"/>
    <w:rsid w:val="00224D75"/>
    <w:rsid w:val="00225108"/>
    <w:rsid w:val="00225307"/>
    <w:rsid w:val="00225416"/>
    <w:rsid w:val="00225590"/>
    <w:rsid w:val="0022571A"/>
    <w:rsid w:val="00225987"/>
    <w:rsid w:val="00225A01"/>
    <w:rsid w:val="00225C36"/>
    <w:rsid w:val="00225C73"/>
    <w:rsid w:val="00225F1B"/>
    <w:rsid w:val="00225F21"/>
    <w:rsid w:val="00225FE3"/>
    <w:rsid w:val="00226054"/>
    <w:rsid w:val="0022607E"/>
    <w:rsid w:val="002260F0"/>
    <w:rsid w:val="0022612E"/>
    <w:rsid w:val="00226152"/>
    <w:rsid w:val="002261D3"/>
    <w:rsid w:val="00226285"/>
    <w:rsid w:val="002262E4"/>
    <w:rsid w:val="0022630B"/>
    <w:rsid w:val="0022655C"/>
    <w:rsid w:val="00226636"/>
    <w:rsid w:val="0022673B"/>
    <w:rsid w:val="0022683D"/>
    <w:rsid w:val="0022685A"/>
    <w:rsid w:val="0022685B"/>
    <w:rsid w:val="0022686F"/>
    <w:rsid w:val="00226A84"/>
    <w:rsid w:val="00226AF5"/>
    <w:rsid w:val="00226E22"/>
    <w:rsid w:val="00226FB3"/>
    <w:rsid w:val="00227021"/>
    <w:rsid w:val="00227188"/>
    <w:rsid w:val="00227195"/>
    <w:rsid w:val="002272D5"/>
    <w:rsid w:val="00227B63"/>
    <w:rsid w:val="00227C2C"/>
    <w:rsid w:val="00227EC9"/>
    <w:rsid w:val="00227F5E"/>
    <w:rsid w:val="002302D6"/>
    <w:rsid w:val="0023032D"/>
    <w:rsid w:val="0023039A"/>
    <w:rsid w:val="00230453"/>
    <w:rsid w:val="0023067A"/>
    <w:rsid w:val="002306A3"/>
    <w:rsid w:val="002306B0"/>
    <w:rsid w:val="0023074A"/>
    <w:rsid w:val="00230999"/>
    <w:rsid w:val="00230C6C"/>
    <w:rsid w:val="00230E51"/>
    <w:rsid w:val="00230FB1"/>
    <w:rsid w:val="00231059"/>
    <w:rsid w:val="002311B3"/>
    <w:rsid w:val="0023130F"/>
    <w:rsid w:val="002313D3"/>
    <w:rsid w:val="002314D0"/>
    <w:rsid w:val="002316DE"/>
    <w:rsid w:val="002316EA"/>
    <w:rsid w:val="002317AA"/>
    <w:rsid w:val="00231826"/>
    <w:rsid w:val="00231955"/>
    <w:rsid w:val="002319B1"/>
    <w:rsid w:val="00231BA5"/>
    <w:rsid w:val="00231CB4"/>
    <w:rsid w:val="00231CE2"/>
    <w:rsid w:val="00231D1E"/>
    <w:rsid w:val="00231E95"/>
    <w:rsid w:val="00231EE2"/>
    <w:rsid w:val="00231EE3"/>
    <w:rsid w:val="00231F35"/>
    <w:rsid w:val="002322BA"/>
    <w:rsid w:val="002324F7"/>
    <w:rsid w:val="0023251A"/>
    <w:rsid w:val="00232527"/>
    <w:rsid w:val="00232779"/>
    <w:rsid w:val="0023277C"/>
    <w:rsid w:val="002327C6"/>
    <w:rsid w:val="002327F5"/>
    <w:rsid w:val="002328CB"/>
    <w:rsid w:val="00232B0E"/>
    <w:rsid w:val="00232B1D"/>
    <w:rsid w:val="00232C5F"/>
    <w:rsid w:val="00232CE3"/>
    <w:rsid w:val="00232D6D"/>
    <w:rsid w:val="00232DB5"/>
    <w:rsid w:val="00232E5F"/>
    <w:rsid w:val="00232EE2"/>
    <w:rsid w:val="00232F57"/>
    <w:rsid w:val="002330C9"/>
    <w:rsid w:val="002330D4"/>
    <w:rsid w:val="002332A9"/>
    <w:rsid w:val="002332C3"/>
    <w:rsid w:val="002333FC"/>
    <w:rsid w:val="00233826"/>
    <w:rsid w:val="00233958"/>
    <w:rsid w:val="0023398B"/>
    <w:rsid w:val="002339E2"/>
    <w:rsid w:val="00233ADC"/>
    <w:rsid w:val="00233B51"/>
    <w:rsid w:val="00233BFF"/>
    <w:rsid w:val="00233D01"/>
    <w:rsid w:val="00233F32"/>
    <w:rsid w:val="002341A4"/>
    <w:rsid w:val="00234332"/>
    <w:rsid w:val="002343DA"/>
    <w:rsid w:val="0023455F"/>
    <w:rsid w:val="00234770"/>
    <w:rsid w:val="002347D5"/>
    <w:rsid w:val="0023483B"/>
    <w:rsid w:val="0023483F"/>
    <w:rsid w:val="002348FC"/>
    <w:rsid w:val="00234B72"/>
    <w:rsid w:val="00235154"/>
    <w:rsid w:val="00235426"/>
    <w:rsid w:val="0023542C"/>
    <w:rsid w:val="00235480"/>
    <w:rsid w:val="00235520"/>
    <w:rsid w:val="00235626"/>
    <w:rsid w:val="002356ED"/>
    <w:rsid w:val="00235718"/>
    <w:rsid w:val="002359D1"/>
    <w:rsid w:val="00235EAB"/>
    <w:rsid w:val="002360C3"/>
    <w:rsid w:val="00236149"/>
    <w:rsid w:val="002361B1"/>
    <w:rsid w:val="00236217"/>
    <w:rsid w:val="00236355"/>
    <w:rsid w:val="00236427"/>
    <w:rsid w:val="002364C7"/>
    <w:rsid w:val="002366C4"/>
    <w:rsid w:val="0023680E"/>
    <w:rsid w:val="002368F1"/>
    <w:rsid w:val="00236979"/>
    <w:rsid w:val="00236A5A"/>
    <w:rsid w:val="00236BBA"/>
    <w:rsid w:val="00236C7A"/>
    <w:rsid w:val="00236F32"/>
    <w:rsid w:val="00237153"/>
    <w:rsid w:val="0023734A"/>
    <w:rsid w:val="0023744D"/>
    <w:rsid w:val="0023757D"/>
    <w:rsid w:val="00237780"/>
    <w:rsid w:val="002377AA"/>
    <w:rsid w:val="00237AA7"/>
    <w:rsid w:val="00237D80"/>
    <w:rsid w:val="002400C1"/>
    <w:rsid w:val="0024010A"/>
    <w:rsid w:val="0024022C"/>
    <w:rsid w:val="00240318"/>
    <w:rsid w:val="002403EA"/>
    <w:rsid w:val="00240468"/>
    <w:rsid w:val="00240A6B"/>
    <w:rsid w:val="00240C83"/>
    <w:rsid w:val="00240CF8"/>
    <w:rsid w:val="00240D35"/>
    <w:rsid w:val="00240DAC"/>
    <w:rsid w:val="00240E4A"/>
    <w:rsid w:val="00240EE0"/>
    <w:rsid w:val="0024101B"/>
    <w:rsid w:val="00241097"/>
    <w:rsid w:val="002411B9"/>
    <w:rsid w:val="002411BB"/>
    <w:rsid w:val="002412A8"/>
    <w:rsid w:val="002412CA"/>
    <w:rsid w:val="00241322"/>
    <w:rsid w:val="00241378"/>
    <w:rsid w:val="00241502"/>
    <w:rsid w:val="0024164C"/>
    <w:rsid w:val="00241800"/>
    <w:rsid w:val="0024183F"/>
    <w:rsid w:val="00241988"/>
    <w:rsid w:val="00241B35"/>
    <w:rsid w:val="00241B3A"/>
    <w:rsid w:val="00241C8E"/>
    <w:rsid w:val="00241D4A"/>
    <w:rsid w:val="00241DE0"/>
    <w:rsid w:val="00241EF7"/>
    <w:rsid w:val="00242382"/>
    <w:rsid w:val="002425E3"/>
    <w:rsid w:val="002426BA"/>
    <w:rsid w:val="00242900"/>
    <w:rsid w:val="0024297D"/>
    <w:rsid w:val="00242A5E"/>
    <w:rsid w:val="00242A9B"/>
    <w:rsid w:val="00242AFD"/>
    <w:rsid w:val="00242BAB"/>
    <w:rsid w:val="00242EC7"/>
    <w:rsid w:val="00243164"/>
    <w:rsid w:val="002431A8"/>
    <w:rsid w:val="002433DC"/>
    <w:rsid w:val="00243438"/>
    <w:rsid w:val="002434AD"/>
    <w:rsid w:val="00243517"/>
    <w:rsid w:val="0024353D"/>
    <w:rsid w:val="0024360D"/>
    <w:rsid w:val="00243850"/>
    <w:rsid w:val="00243C31"/>
    <w:rsid w:val="00243DC0"/>
    <w:rsid w:val="00243F38"/>
    <w:rsid w:val="00243FB9"/>
    <w:rsid w:val="0024411F"/>
    <w:rsid w:val="0024421A"/>
    <w:rsid w:val="00244237"/>
    <w:rsid w:val="00244242"/>
    <w:rsid w:val="0024443C"/>
    <w:rsid w:val="00244579"/>
    <w:rsid w:val="00244601"/>
    <w:rsid w:val="002446EC"/>
    <w:rsid w:val="0024471D"/>
    <w:rsid w:val="002447F8"/>
    <w:rsid w:val="00244907"/>
    <w:rsid w:val="00244993"/>
    <w:rsid w:val="00244A14"/>
    <w:rsid w:val="00244BA9"/>
    <w:rsid w:val="00244BD5"/>
    <w:rsid w:val="00244E28"/>
    <w:rsid w:val="00244E2F"/>
    <w:rsid w:val="00244F42"/>
    <w:rsid w:val="002452A6"/>
    <w:rsid w:val="002452C0"/>
    <w:rsid w:val="002453CD"/>
    <w:rsid w:val="00245491"/>
    <w:rsid w:val="0024553F"/>
    <w:rsid w:val="002455E4"/>
    <w:rsid w:val="002455F4"/>
    <w:rsid w:val="002456B6"/>
    <w:rsid w:val="00245897"/>
    <w:rsid w:val="0024593A"/>
    <w:rsid w:val="00245A74"/>
    <w:rsid w:val="00245A9F"/>
    <w:rsid w:val="00245B20"/>
    <w:rsid w:val="00245B27"/>
    <w:rsid w:val="00245B8F"/>
    <w:rsid w:val="00245E88"/>
    <w:rsid w:val="0024600B"/>
    <w:rsid w:val="002461C0"/>
    <w:rsid w:val="00246281"/>
    <w:rsid w:val="00246311"/>
    <w:rsid w:val="00246398"/>
    <w:rsid w:val="002464DD"/>
    <w:rsid w:val="0024657C"/>
    <w:rsid w:val="0024672E"/>
    <w:rsid w:val="0024674D"/>
    <w:rsid w:val="00246791"/>
    <w:rsid w:val="00246919"/>
    <w:rsid w:val="00246932"/>
    <w:rsid w:val="002469EC"/>
    <w:rsid w:val="00246BD8"/>
    <w:rsid w:val="00246E02"/>
    <w:rsid w:val="00246F97"/>
    <w:rsid w:val="002470D8"/>
    <w:rsid w:val="0024720F"/>
    <w:rsid w:val="0024726E"/>
    <w:rsid w:val="0024745E"/>
    <w:rsid w:val="0024759E"/>
    <w:rsid w:val="002476A6"/>
    <w:rsid w:val="00247788"/>
    <w:rsid w:val="002477C2"/>
    <w:rsid w:val="00247801"/>
    <w:rsid w:val="00247811"/>
    <w:rsid w:val="0024788B"/>
    <w:rsid w:val="002478A5"/>
    <w:rsid w:val="002478FA"/>
    <w:rsid w:val="00247A0E"/>
    <w:rsid w:val="00247B3E"/>
    <w:rsid w:val="00247B7B"/>
    <w:rsid w:val="00247BD4"/>
    <w:rsid w:val="00247D0E"/>
    <w:rsid w:val="00247D12"/>
    <w:rsid w:val="00247D44"/>
    <w:rsid w:val="00247DF6"/>
    <w:rsid w:val="00247E19"/>
    <w:rsid w:val="00247F3C"/>
    <w:rsid w:val="00247FDA"/>
    <w:rsid w:val="00250263"/>
    <w:rsid w:val="00250271"/>
    <w:rsid w:val="002503E1"/>
    <w:rsid w:val="0025040D"/>
    <w:rsid w:val="0025056C"/>
    <w:rsid w:val="002505D0"/>
    <w:rsid w:val="0025092E"/>
    <w:rsid w:val="00250AA4"/>
    <w:rsid w:val="00250C07"/>
    <w:rsid w:val="00250D1B"/>
    <w:rsid w:val="00250E2C"/>
    <w:rsid w:val="0025105E"/>
    <w:rsid w:val="002510F7"/>
    <w:rsid w:val="002512BF"/>
    <w:rsid w:val="0025132A"/>
    <w:rsid w:val="002513D2"/>
    <w:rsid w:val="002515C0"/>
    <w:rsid w:val="00251A87"/>
    <w:rsid w:val="00251BC2"/>
    <w:rsid w:val="00251D70"/>
    <w:rsid w:val="00251D8F"/>
    <w:rsid w:val="00251DC8"/>
    <w:rsid w:val="00251DE4"/>
    <w:rsid w:val="00251E13"/>
    <w:rsid w:val="00251EC1"/>
    <w:rsid w:val="00251F49"/>
    <w:rsid w:val="00251FAF"/>
    <w:rsid w:val="00252183"/>
    <w:rsid w:val="002523E9"/>
    <w:rsid w:val="0025245A"/>
    <w:rsid w:val="00252628"/>
    <w:rsid w:val="0025265D"/>
    <w:rsid w:val="00252754"/>
    <w:rsid w:val="002527EA"/>
    <w:rsid w:val="002529D1"/>
    <w:rsid w:val="00252A03"/>
    <w:rsid w:val="00252B81"/>
    <w:rsid w:val="00252CAC"/>
    <w:rsid w:val="00252D0A"/>
    <w:rsid w:val="00252EBA"/>
    <w:rsid w:val="00253064"/>
    <w:rsid w:val="002530E0"/>
    <w:rsid w:val="00253197"/>
    <w:rsid w:val="002533F0"/>
    <w:rsid w:val="0025348A"/>
    <w:rsid w:val="002534EA"/>
    <w:rsid w:val="0025357A"/>
    <w:rsid w:val="002535B4"/>
    <w:rsid w:val="002536E4"/>
    <w:rsid w:val="0025372B"/>
    <w:rsid w:val="00253773"/>
    <w:rsid w:val="002537DC"/>
    <w:rsid w:val="002538D0"/>
    <w:rsid w:val="00253AB5"/>
    <w:rsid w:val="00253CF9"/>
    <w:rsid w:val="00253D43"/>
    <w:rsid w:val="00253ED0"/>
    <w:rsid w:val="002541B5"/>
    <w:rsid w:val="00254521"/>
    <w:rsid w:val="00254583"/>
    <w:rsid w:val="0025464D"/>
    <w:rsid w:val="00254835"/>
    <w:rsid w:val="00254842"/>
    <w:rsid w:val="002548E3"/>
    <w:rsid w:val="00254A19"/>
    <w:rsid w:val="00254A92"/>
    <w:rsid w:val="00254C7C"/>
    <w:rsid w:val="00254DF0"/>
    <w:rsid w:val="00254EA8"/>
    <w:rsid w:val="00255103"/>
    <w:rsid w:val="00255141"/>
    <w:rsid w:val="0025537D"/>
    <w:rsid w:val="002553C9"/>
    <w:rsid w:val="00255536"/>
    <w:rsid w:val="002556FA"/>
    <w:rsid w:val="00255723"/>
    <w:rsid w:val="002557EA"/>
    <w:rsid w:val="002559FD"/>
    <w:rsid w:val="00255AE9"/>
    <w:rsid w:val="00255B01"/>
    <w:rsid w:val="00255BFC"/>
    <w:rsid w:val="00255D09"/>
    <w:rsid w:val="00255E2E"/>
    <w:rsid w:val="00255E6D"/>
    <w:rsid w:val="00255F73"/>
    <w:rsid w:val="00256077"/>
    <w:rsid w:val="0025610D"/>
    <w:rsid w:val="002561A1"/>
    <w:rsid w:val="00256239"/>
    <w:rsid w:val="00256253"/>
    <w:rsid w:val="002564E7"/>
    <w:rsid w:val="00256559"/>
    <w:rsid w:val="002566BE"/>
    <w:rsid w:val="00256734"/>
    <w:rsid w:val="002568DF"/>
    <w:rsid w:val="00256A1A"/>
    <w:rsid w:val="00256C0A"/>
    <w:rsid w:val="00256C10"/>
    <w:rsid w:val="00256D02"/>
    <w:rsid w:val="00256F00"/>
    <w:rsid w:val="002571E5"/>
    <w:rsid w:val="00257299"/>
    <w:rsid w:val="002572D6"/>
    <w:rsid w:val="0025735D"/>
    <w:rsid w:val="00257487"/>
    <w:rsid w:val="00257BC0"/>
    <w:rsid w:val="00257BE6"/>
    <w:rsid w:val="00257C3A"/>
    <w:rsid w:val="00257E8D"/>
    <w:rsid w:val="00257EFD"/>
    <w:rsid w:val="0026007E"/>
    <w:rsid w:val="002600DA"/>
    <w:rsid w:val="002601C2"/>
    <w:rsid w:val="002602A3"/>
    <w:rsid w:val="002602BA"/>
    <w:rsid w:val="00260363"/>
    <w:rsid w:val="00260646"/>
    <w:rsid w:val="002607F9"/>
    <w:rsid w:val="00260A10"/>
    <w:rsid w:val="00260AB8"/>
    <w:rsid w:val="00260B8E"/>
    <w:rsid w:val="00260E26"/>
    <w:rsid w:val="00261530"/>
    <w:rsid w:val="002617D7"/>
    <w:rsid w:val="00261AC6"/>
    <w:rsid w:val="00261D60"/>
    <w:rsid w:val="00261D95"/>
    <w:rsid w:val="00261DAD"/>
    <w:rsid w:val="00261FAB"/>
    <w:rsid w:val="00261FCF"/>
    <w:rsid w:val="0026202C"/>
    <w:rsid w:val="0026214E"/>
    <w:rsid w:val="002621A9"/>
    <w:rsid w:val="002621DB"/>
    <w:rsid w:val="002621EA"/>
    <w:rsid w:val="002625AF"/>
    <w:rsid w:val="002626F7"/>
    <w:rsid w:val="00262826"/>
    <w:rsid w:val="002628AD"/>
    <w:rsid w:val="002628DC"/>
    <w:rsid w:val="002628E0"/>
    <w:rsid w:val="002629CD"/>
    <w:rsid w:val="00262ABC"/>
    <w:rsid w:val="00262B60"/>
    <w:rsid w:val="00262E41"/>
    <w:rsid w:val="00262EEB"/>
    <w:rsid w:val="00262F8F"/>
    <w:rsid w:val="00263072"/>
    <w:rsid w:val="002630F9"/>
    <w:rsid w:val="00263186"/>
    <w:rsid w:val="0026324F"/>
    <w:rsid w:val="002633C2"/>
    <w:rsid w:val="002633ED"/>
    <w:rsid w:val="00263435"/>
    <w:rsid w:val="00263529"/>
    <w:rsid w:val="00263550"/>
    <w:rsid w:val="00263702"/>
    <w:rsid w:val="00263737"/>
    <w:rsid w:val="002637C9"/>
    <w:rsid w:val="002638FE"/>
    <w:rsid w:val="002639D4"/>
    <w:rsid w:val="00263B70"/>
    <w:rsid w:val="00263C1B"/>
    <w:rsid w:val="00263EA1"/>
    <w:rsid w:val="00263EA9"/>
    <w:rsid w:val="00264070"/>
    <w:rsid w:val="00264104"/>
    <w:rsid w:val="002641C2"/>
    <w:rsid w:val="00264343"/>
    <w:rsid w:val="00264407"/>
    <w:rsid w:val="00264489"/>
    <w:rsid w:val="00264543"/>
    <w:rsid w:val="00264547"/>
    <w:rsid w:val="002647F6"/>
    <w:rsid w:val="002649A1"/>
    <w:rsid w:val="00264D52"/>
    <w:rsid w:val="00264DA9"/>
    <w:rsid w:val="00265024"/>
    <w:rsid w:val="002651AC"/>
    <w:rsid w:val="002651C0"/>
    <w:rsid w:val="00265252"/>
    <w:rsid w:val="00265433"/>
    <w:rsid w:val="00265C27"/>
    <w:rsid w:val="00265D85"/>
    <w:rsid w:val="00265E3F"/>
    <w:rsid w:val="00265F43"/>
    <w:rsid w:val="002660C1"/>
    <w:rsid w:val="0026626F"/>
    <w:rsid w:val="00266276"/>
    <w:rsid w:val="002662B8"/>
    <w:rsid w:val="00266409"/>
    <w:rsid w:val="00266456"/>
    <w:rsid w:val="0026659F"/>
    <w:rsid w:val="002665D6"/>
    <w:rsid w:val="00266670"/>
    <w:rsid w:val="00266674"/>
    <w:rsid w:val="00266764"/>
    <w:rsid w:val="002669C6"/>
    <w:rsid w:val="00266A52"/>
    <w:rsid w:val="00266AA0"/>
    <w:rsid w:val="00266E48"/>
    <w:rsid w:val="00266E4A"/>
    <w:rsid w:val="00266F64"/>
    <w:rsid w:val="002670AE"/>
    <w:rsid w:val="002670C2"/>
    <w:rsid w:val="002671CF"/>
    <w:rsid w:val="00267445"/>
    <w:rsid w:val="00267455"/>
    <w:rsid w:val="00267469"/>
    <w:rsid w:val="00267581"/>
    <w:rsid w:val="00267619"/>
    <w:rsid w:val="0026773E"/>
    <w:rsid w:val="00267A2D"/>
    <w:rsid w:val="00267B1B"/>
    <w:rsid w:val="00267BAD"/>
    <w:rsid w:val="00267BB6"/>
    <w:rsid w:val="00267C37"/>
    <w:rsid w:val="00267DA3"/>
    <w:rsid w:val="0026DA47"/>
    <w:rsid w:val="00270005"/>
    <w:rsid w:val="00270631"/>
    <w:rsid w:val="00270879"/>
    <w:rsid w:val="00270A26"/>
    <w:rsid w:val="00270A9D"/>
    <w:rsid w:val="00270B12"/>
    <w:rsid w:val="00270BA6"/>
    <w:rsid w:val="00270D43"/>
    <w:rsid w:val="00270F0D"/>
    <w:rsid w:val="0027127D"/>
    <w:rsid w:val="002712C3"/>
    <w:rsid w:val="00271391"/>
    <w:rsid w:val="002715FD"/>
    <w:rsid w:val="00271831"/>
    <w:rsid w:val="00271A6B"/>
    <w:rsid w:val="00271E7F"/>
    <w:rsid w:val="00271EEF"/>
    <w:rsid w:val="00272035"/>
    <w:rsid w:val="00272075"/>
    <w:rsid w:val="0027217A"/>
    <w:rsid w:val="00272230"/>
    <w:rsid w:val="0027238C"/>
    <w:rsid w:val="002726F1"/>
    <w:rsid w:val="00272807"/>
    <w:rsid w:val="00272931"/>
    <w:rsid w:val="00272BEB"/>
    <w:rsid w:val="00272EDF"/>
    <w:rsid w:val="00272FB4"/>
    <w:rsid w:val="00273061"/>
    <w:rsid w:val="00273106"/>
    <w:rsid w:val="00273123"/>
    <w:rsid w:val="00273161"/>
    <w:rsid w:val="002731E3"/>
    <w:rsid w:val="0027321A"/>
    <w:rsid w:val="00273222"/>
    <w:rsid w:val="002732B2"/>
    <w:rsid w:val="002734BD"/>
    <w:rsid w:val="002734D5"/>
    <w:rsid w:val="0027359F"/>
    <w:rsid w:val="00273614"/>
    <w:rsid w:val="002737DF"/>
    <w:rsid w:val="00273BD1"/>
    <w:rsid w:val="00273CB3"/>
    <w:rsid w:val="00273CE5"/>
    <w:rsid w:val="00273FFD"/>
    <w:rsid w:val="0027403A"/>
    <w:rsid w:val="00274077"/>
    <w:rsid w:val="0027410C"/>
    <w:rsid w:val="002743BB"/>
    <w:rsid w:val="0027443A"/>
    <w:rsid w:val="00274497"/>
    <w:rsid w:val="002744C2"/>
    <w:rsid w:val="00274506"/>
    <w:rsid w:val="00274524"/>
    <w:rsid w:val="00274619"/>
    <w:rsid w:val="0027493D"/>
    <w:rsid w:val="002749EA"/>
    <w:rsid w:val="00274A93"/>
    <w:rsid w:val="00274A9E"/>
    <w:rsid w:val="00274B15"/>
    <w:rsid w:val="00274C5C"/>
    <w:rsid w:val="002752A1"/>
    <w:rsid w:val="002753AD"/>
    <w:rsid w:val="0027550B"/>
    <w:rsid w:val="00275A0B"/>
    <w:rsid w:val="00275EFC"/>
    <w:rsid w:val="00276049"/>
    <w:rsid w:val="0027605E"/>
    <w:rsid w:val="00276073"/>
    <w:rsid w:val="00276216"/>
    <w:rsid w:val="00276398"/>
    <w:rsid w:val="00276545"/>
    <w:rsid w:val="002765CB"/>
    <w:rsid w:val="00276774"/>
    <w:rsid w:val="00276997"/>
    <w:rsid w:val="0027699C"/>
    <w:rsid w:val="002769B6"/>
    <w:rsid w:val="00276A2B"/>
    <w:rsid w:val="00276B11"/>
    <w:rsid w:val="00276BEB"/>
    <w:rsid w:val="00276C61"/>
    <w:rsid w:val="00276E42"/>
    <w:rsid w:val="00277120"/>
    <w:rsid w:val="002771FE"/>
    <w:rsid w:val="00277236"/>
    <w:rsid w:val="00277B2C"/>
    <w:rsid w:val="00277BE7"/>
    <w:rsid w:val="00277D6D"/>
    <w:rsid w:val="00277E76"/>
    <w:rsid w:val="00277F40"/>
    <w:rsid w:val="0028008B"/>
    <w:rsid w:val="00280269"/>
    <w:rsid w:val="00280274"/>
    <w:rsid w:val="0028055E"/>
    <w:rsid w:val="002806F9"/>
    <w:rsid w:val="00280A30"/>
    <w:rsid w:val="00280D56"/>
    <w:rsid w:val="00280E3C"/>
    <w:rsid w:val="00280E98"/>
    <w:rsid w:val="00280EF8"/>
    <w:rsid w:val="002810C2"/>
    <w:rsid w:val="002810ED"/>
    <w:rsid w:val="0028116F"/>
    <w:rsid w:val="002813BA"/>
    <w:rsid w:val="002813FF"/>
    <w:rsid w:val="0028163F"/>
    <w:rsid w:val="00281672"/>
    <w:rsid w:val="002816A6"/>
    <w:rsid w:val="002817CB"/>
    <w:rsid w:val="002818EE"/>
    <w:rsid w:val="0028198A"/>
    <w:rsid w:val="00281A70"/>
    <w:rsid w:val="00281C3C"/>
    <w:rsid w:val="00281D05"/>
    <w:rsid w:val="00281D0E"/>
    <w:rsid w:val="00281FFA"/>
    <w:rsid w:val="002820E7"/>
    <w:rsid w:val="002821EE"/>
    <w:rsid w:val="00282236"/>
    <w:rsid w:val="002822A4"/>
    <w:rsid w:val="002823B3"/>
    <w:rsid w:val="00282540"/>
    <w:rsid w:val="00282546"/>
    <w:rsid w:val="0028263B"/>
    <w:rsid w:val="00282883"/>
    <w:rsid w:val="0028295B"/>
    <w:rsid w:val="00282A64"/>
    <w:rsid w:val="00282C28"/>
    <w:rsid w:val="00282DB6"/>
    <w:rsid w:val="00282E2B"/>
    <w:rsid w:val="00283089"/>
    <w:rsid w:val="002833D5"/>
    <w:rsid w:val="00283588"/>
    <w:rsid w:val="00283594"/>
    <w:rsid w:val="002836C6"/>
    <w:rsid w:val="002837E5"/>
    <w:rsid w:val="002838ED"/>
    <w:rsid w:val="002838F5"/>
    <w:rsid w:val="002839C6"/>
    <w:rsid w:val="00283A66"/>
    <w:rsid w:val="00283B5F"/>
    <w:rsid w:val="00283D09"/>
    <w:rsid w:val="00283DC1"/>
    <w:rsid w:val="002844C7"/>
    <w:rsid w:val="002844FB"/>
    <w:rsid w:val="00284B92"/>
    <w:rsid w:val="00284C4D"/>
    <w:rsid w:val="00284E17"/>
    <w:rsid w:val="00284EF9"/>
    <w:rsid w:val="00285020"/>
    <w:rsid w:val="002851C4"/>
    <w:rsid w:val="0028536A"/>
    <w:rsid w:val="00285402"/>
    <w:rsid w:val="002855B4"/>
    <w:rsid w:val="002855BD"/>
    <w:rsid w:val="00285764"/>
    <w:rsid w:val="00285810"/>
    <w:rsid w:val="00285883"/>
    <w:rsid w:val="002858D7"/>
    <w:rsid w:val="00285A5E"/>
    <w:rsid w:val="00285C50"/>
    <w:rsid w:val="00285C79"/>
    <w:rsid w:val="00285ED9"/>
    <w:rsid w:val="00285FA6"/>
    <w:rsid w:val="00286359"/>
    <w:rsid w:val="00286416"/>
    <w:rsid w:val="002865D9"/>
    <w:rsid w:val="00286640"/>
    <w:rsid w:val="0028678B"/>
    <w:rsid w:val="00286B18"/>
    <w:rsid w:val="00286B62"/>
    <w:rsid w:val="00286C9A"/>
    <w:rsid w:val="00287029"/>
    <w:rsid w:val="00287214"/>
    <w:rsid w:val="0028746C"/>
    <w:rsid w:val="0028773A"/>
    <w:rsid w:val="00287889"/>
    <w:rsid w:val="00287901"/>
    <w:rsid w:val="00287AAE"/>
    <w:rsid w:val="00287CDA"/>
    <w:rsid w:val="00287D0B"/>
    <w:rsid w:val="00287D7D"/>
    <w:rsid w:val="00287EE2"/>
    <w:rsid w:val="002901BB"/>
    <w:rsid w:val="00290273"/>
    <w:rsid w:val="002902CA"/>
    <w:rsid w:val="002902E1"/>
    <w:rsid w:val="002903F2"/>
    <w:rsid w:val="00290715"/>
    <w:rsid w:val="002909A4"/>
    <w:rsid w:val="00290AC0"/>
    <w:rsid w:val="00290B1F"/>
    <w:rsid w:val="00290C91"/>
    <w:rsid w:val="00290E31"/>
    <w:rsid w:val="00290F56"/>
    <w:rsid w:val="00290FA8"/>
    <w:rsid w:val="00291011"/>
    <w:rsid w:val="00291332"/>
    <w:rsid w:val="002913BE"/>
    <w:rsid w:val="00291503"/>
    <w:rsid w:val="00291672"/>
    <w:rsid w:val="0029179E"/>
    <w:rsid w:val="0029187E"/>
    <w:rsid w:val="00291AEF"/>
    <w:rsid w:val="00291B1C"/>
    <w:rsid w:val="00291B53"/>
    <w:rsid w:val="00291CB5"/>
    <w:rsid w:val="00291CCD"/>
    <w:rsid w:val="00291CDF"/>
    <w:rsid w:val="00291D18"/>
    <w:rsid w:val="00291E16"/>
    <w:rsid w:val="00291E25"/>
    <w:rsid w:val="00291FDA"/>
    <w:rsid w:val="00292007"/>
    <w:rsid w:val="00292012"/>
    <w:rsid w:val="00292482"/>
    <w:rsid w:val="002924E1"/>
    <w:rsid w:val="0029255D"/>
    <w:rsid w:val="0029258A"/>
    <w:rsid w:val="002926A9"/>
    <w:rsid w:val="002926B9"/>
    <w:rsid w:val="00292723"/>
    <w:rsid w:val="00292749"/>
    <w:rsid w:val="00292779"/>
    <w:rsid w:val="002927CF"/>
    <w:rsid w:val="00292935"/>
    <w:rsid w:val="00292A1F"/>
    <w:rsid w:val="00292B4F"/>
    <w:rsid w:val="00292BB2"/>
    <w:rsid w:val="00292C05"/>
    <w:rsid w:val="00292C4E"/>
    <w:rsid w:val="00292EC7"/>
    <w:rsid w:val="00292F32"/>
    <w:rsid w:val="00292F5A"/>
    <w:rsid w:val="002931D5"/>
    <w:rsid w:val="00293352"/>
    <w:rsid w:val="00293794"/>
    <w:rsid w:val="002937F3"/>
    <w:rsid w:val="002938BA"/>
    <w:rsid w:val="00293A20"/>
    <w:rsid w:val="00293C2E"/>
    <w:rsid w:val="00293DBE"/>
    <w:rsid w:val="00293EA3"/>
    <w:rsid w:val="00293EC8"/>
    <w:rsid w:val="0029403A"/>
    <w:rsid w:val="00294151"/>
    <w:rsid w:val="00294225"/>
    <w:rsid w:val="0029423A"/>
    <w:rsid w:val="00294282"/>
    <w:rsid w:val="00294283"/>
    <w:rsid w:val="002942DB"/>
    <w:rsid w:val="00294449"/>
    <w:rsid w:val="002947D9"/>
    <w:rsid w:val="00294833"/>
    <w:rsid w:val="00294A35"/>
    <w:rsid w:val="00294AD8"/>
    <w:rsid w:val="00294B4A"/>
    <w:rsid w:val="00294BFA"/>
    <w:rsid w:val="00294C06"/>
    <w:rsid w:val="00294DDF"/>
    <w:rsid w:val="00294F96"/>
    <w:rsid w:val="002952C2"/>
    <w:rsid w:val="00295421"/>
    <w:rsid w:val="002954CF"/>
    <w:rsid w:val="002957D9"/>
    <w:rsid w:val="00295948"/>
    <w:rsid w:val="00295A30"/>
    <w:rsid w:val="00295AA1"/>
    <w:rsid w:val="00295B0A"/>
    <w:rsid w:val="00296009"/>
    <w:rsid w:val="002961F5"/>
    <w:rsid w:val="0029627B"/>
    <w:rsid w:val="002962AF"/>
    <w:rsid w:val="0029640D"/>
    <w:rsid w:val="00296554"/>
    <w:rsid w:val="002965F7"/>
    <w:rsid w:val="0029677C"/>
    <w:rsid w:val="002967B4"/>
    <w:rsid w:val="00296AD2"/>
    <w:rsid w:val="00296B99"/>
    <w:rsid w:val="00296BAD"/>
    <w:rsid w:val="00296CB6"/>
    <w:rsid w:val="00296D44"/>
    <w:rsid w:val="00296D59"/>
    <w:rsid w:val="00296DEA"/>
    <w:rsid w:val="00296FC1"/>
    <w:rsid w:val="00297168"/>
    <w:rsid w:val="002971EB"/>
    <w:rsid w:val="0029722E"/>
    <w:rsid w:val="002973D1"/>
    <w:rsid w:val="002974CE"/>
    <w:rsid w:val="002975E5"/>
    <w:rsid w:val="002976CA"/>
    <w:rsid w:val="002978B0"/>
    <w:rsid w:val="00297C53"/>
    <w:rsid w:val="00297D68"/>
    <w:rsid w:val="00297F77"/>
    <w:rsid w:val="00297FBA"/>
    <w:rsid w:val="002A0174"/>
    <w:rsid w:val="002A02E5"/>
    <w:rsid w:val="002A0315"/>
    <w:rsid w:val="002A07ED"/>
    <w:rsid w:val="002A0806"/>
    <w:rsid w:val="002A083F"/>
    <w:rsid w:val="002A08BE"/>
    <w:rsid w:val="002A08C8"/>
    <w:rsid w:val="002A09B5"/>
    <w:rsid w:val="002A09E2"/>
    <w:rsid w:val="002A0A5C"/>
    <w:rsid w:val="002A0BB0"/>
    <w:rsid w:val="002A0C37"/>
    <w:rsid w:val="002A0DBA"/>
    <w:rsid w:val="002A0E87"/>
    <w:rsid w:val="002A0EC2"/>
    <w:rsid w:val="002A0F94"/>
    <w:rsid w:val="002A136C"/>
    <w:rsid w:val="002A17C1"/>
    <w:rsid w:val="002A1A6B"/>
    <w:rsid w:val="002A1E6B"/>
    <w:rsid w:val="002A1E6E"/>
    <w:rsid w:val="002A200C"/>
    <w:rsid w:val="002A21AF"/>
    <w:rsid w:val="002A223E"/>
    <w:rsid w:val="002A2453"/>
    <w:rsid w:val="002A2488"/>
    <w:rsid w:val="002A249C"/>
    <w:rsid w:val="002A26C9"/>
    <w:rsid w:val="002A29F2"/>
    <w:rsid w:val="002A2E7A"/>
    <w:rsid w:val="002A2E7E"/>
    <w:rsid w:val="002A34A5"/>
    <w:rsid w:val="002A3710"/>
    <w:rsid w:val="002A3A40"/>
    <w:rsid w:val="002A3A71"/>
    <w:rsid w:val="002A3BAD"/>
    <w:rsid w:val="002A3C19"/>
    <w:rsid w:val="002A3C29"/>
    <w:rsid w:val="002A3CA6"/>
    <w:rsid w:val="002A3D0B"/>
    <w:rsid w:val="002A3E7C"/>
    <w:rsid w:val="002A3EE5"/>
    <w:rsid w:val="002A4053"/>
    <w:rsid w:val="002A432A"/>
    <w:rsid w:val="002A45E6"/>
    <w:rsid w:val="002A48C2"/>
    <w:rsid w:val="002A49E0"/>
    <w:rsid w:val="002A4C9B"/>
    <w:rsid w:val="002A5046"/>
    <w:rsid w:val="002A5359"/>
    <w:rsid w:val="002A5668"/>
    <w:rsid w:val="002A56B5"/>
    <w:rsid w:val="002A57AE"/>
    <w:rsid w:val="002A5860"/>
    <w:rsid w:val="002A5A14"/>
    <w:rsid w:val="002A5AB2"/>
    <w:rsid w:val="002A6187"/>
    <w:rsid w:val="002A63DD"/>
    <w:rsid w:val="002A6497"/>
    <w:rsid w:val="002A64B6"/>
    <w:rsid w:val="002A6578"/>
    <w:rsid w:val="002A662C"/>
    <w:rsid w:val="002A676D"/>
    <w:rsid w:val="002A6872"/>
    <w:rsid w:val="002A69D8"/>
    <w:rsid w:val="002A69F1"/>
    <w:rsid w:val="002A6A42"/>
    <w:rsid w:val="002A6A65"/>
    <w:rsid w:val="002A6C84"/>
    <w:rsid w:val="002A6F2D"/>
    <w:rsid w:val="002A6F90"/>
    <w:rsid w:val="002A70E6"/>
    <w:rsid w:val="002A7272"/>
    <w:rsid w:val="002A7311"/>
    <w:rsid w:val="002A739F"/>
    <w:rsid w:val="002A7448"/>
    <w:rsid w:val="002A7474"/>
    <w:rsid w:val="002A7581"/>
    <w:rsid w:val="002A7779"/>
    <w:rsid w:val="002A7787"/>
    <w:rsid w:val="002A7807"/>
    <w:rsid w:val="002A7846"/>
    <w:rsid w:val="002A7ADA"/>
    <w:rsid w:val="002A7BC3"/>
    <w:rsid w:val="002A7C66"/>
    <w:rsid w:val="002A7E7C"/>
    <w:rsid w:val="002B0246"/>
    <w:rsid w:val="002B0461"/>
    <w:rsid w:val="002B0671"/>
    <w:rsid w:val="002B0B82"/>
    <w:rsid w:val="002B0BE8"/>
    <w:rsid w:val="002B0C2C"/>
    <w:rsid w:val="002B0D0B"/>
    <w:rsid w:val="002B0D57"/>
    <w:rsid w:val="002B0DE0"/>
    <w:rsid w:val="002B0DED"/>
    <w:rsid w:val="002B1026"/>
    <w:rsid w:val="002B11E1"/>
    <w:rsid w:val="002B13C6"/>
    <w:rsid w:val="002B141C"/>
    <w:rsid w:val="002B147A"/>
    <w:rsid w:val="002B14B9"/>
    <w:rsid w:val="002B1579"/>
    <w:rsid w:val="002B15C9"/>
    <w:rsid w:val="002B15F3"/>
    <w:rsid w:val="002B1686"/>
    <w:rsid w:val="002B1A16"/>
    <w:rsid w:val="002B1C63"/>
    <w:rsid w:val="002B20CC"/>
    <w:rsid w:val="002B21F4"/>
    <w:rsid w:val="002B2360"/>
    <w:rsid w:val="002B2398"/>
    <w:rsid w:val="002B2443"/>
    <w:rsid w:val="002B2958"/>
    <w:rsid w:val="002B295C"/>
    <w:rsid w:val="002B2997"/>
    <w:rsid w:val="002B2A68"/>
    <w:rsid w:val="002B2B73"/>
    <w:rsid w:val="002B2B95"/>
    <w:rsid w:val="002B2C62"/>
    <w:rsid w:val="002B2CE8"/>
    <w:rsid w:val="002B2D3C"/>
    <w:rsid w:val="002B2EB6"/>
    <w:rsid w:val="002B2F0A"/>
    <w:rsid w:val="002B2F71"/>
    <w:rsid w:val="002B304F"/>
    <w:rsid w:val="002B3073"/>
    <w:rsid w:val="002B3278"/>
    <w:rsid w:val="002B3372"/>
    <w:rsid w:val="002B33C8"/>
    <w:rsid w:val="002B34CF"/>
    <w:rsid w:val="002B361B"/>
    <w:rsid w:val="002B36DB"/>
    <w:rsid w:val="002B37CD"/>
    <w:rsid w:val="002B39E0"/>
    <w:rsid w:val="002B3EF8"/>
    <w:rsid w:val="002B3F5E"/>
    <w:rsid w:val="002B4171"/>
    <w:rsid w:val="002B419E"/>
    <w:rsid w:val="002B41F0"/>
    <w:rsid w:val="002B4306"/>
    <w:rsid w:val="002B4381"/>
    <w:rsid w:val="002B458D"/>
    <w:rsid w:val="002B48AE"/>
    <w:rsid w:val="002B492F"/>
    <w:rsid w:val="002B49BA"/>
    <w:rsid w:val="002B4B44"/>
    <w:rsid w:val="002B4BA0"/>
    <w:rsid w:val="002B4E07"/>
    <w:rsid w:val="002B4F0A"/>
    <w:rsid w:val="002B51BB"/>
    <w:rsid w:val="002B53B6"/>
    <w:rsid w:val="002B55B5"/>
    <w:rsid w:val="002B581F"/>
    <w:rsid w:val="002B5AAD"/>
    <w:rsid w:val="002B5C13"/>
    <w:rsid w:val="002B5E82"/>
    <w:rsid w:val="002B5EC9"/>
    <w:rsid w:val="002B61E4"/>
    <w:rsid w:val="002B630F"/>
    <w:rsid w:val="002B635C"/>
    <w:rsid w:val="002B6439"/>
    <w:rsid w:val="002B6546"/>
    <w:rsid w:val="002B668E"/>
    <w:rsid w:val="002B6B12"/>
    <w:rsid w:val="002B6B25"/>
    <w:rsid w:val="002B6C8C"/>
    <w:rsid w:val="002B6CE4"/>
    <w:rsid w:val="002B6CEF"/>
    <w:rsid w:val="002B6DA8"/>
    <w:rsid w:val="002B6DB1"/>
    <w:rsid w:val="002B6F8A"/>
    <w:rsid w:val="002B76A1"/>
    <w:rsid w:val="002B7909"/>
    <w:rsid w:val="002B7D1F"/>
    <w:rsid w:val="002C0206"/>
    <w:rsid w:val="002C04BE"/>
    <w:rsid w:val="002C080E"/>
    <w:rsid w:val="002C0833"/>
    <w:rsid w:val="002C08ED"/>
    <w:rsid w:val="002C09B1"/>
    <w:rsid w:val="002C09D3"/>
    <w:rsid w:val="002C0A60"/>
    <w:rsid w:val="002C0BF8"/>
    <w:rsid w:val="002C0C4F"/>
    <w:rsid w:val="002C0CD8"/>
    <w:rsid w:val="002C0D83"/>
    <w:rsid w:val="002C0E1F"/>
    <w:rsid w:val="002C1208"/>
    <w:rsid w:val="002C1237"/>
    <w:rsid w:val="002C1505"/>
    <w:rsid w:val="002C15FC"/>
    <w:rsid w:val="002C1766"/>
    <w:rsid w:val="002C17DD"/>
    <w:rsid w:val="002C1D18"/>
    <w:rsid w:val="002C2271"/>
    <w:rsid w:val="002C2337"/>
    <w:rsid w:val="002C24B6"/>
    <w:rsid w:val="002C25AF"/>
    <w:rsid w:val="002C27E7"/>
    <w:rsid w:val="002C27EC"/>
    <w:rsid w:val="002C2921"/>
    <w:rsid w:val="002C2BFC"/>
    <w:rsid w:val="002C2D3B"/>
    <w:rsid w:val="002C2E03"/>
    <w:rsid w:val="002C2E93"/>
    <w:rsid w:val="002C2EC3"/>
    <w:rsid w:val="002C2ECB"/>
    <w:rsid w:val="002C2EF3"/>
    <w:rsid w:val="002C2FE0"/>
    <w:rsid w:val="002C3064"/>
    <w:rsid w:val="002C36AE"/>
    <w:rsid w:val="002C3717"/>
    <w:rsid w:val="002C3797"/>
    <w:rsid w:val="002C393A"/>
    <w:rsid w:val="002C39F2"/>
    <w:rsid w:val="002C3B92"/>
    <w:rsid w:val="002C3C8C"/>
    <w:rsid w:val="002C3CA6"/>
    <w:rsid w:val="002C3D7C"/>
    <w:rsid w:val="002C3D9F"/>
    <w:rsid w:val="002C3E08"/>
    <w:rsid w:val="002C3ECC"/>
    <w:rsid w:val="002C4058"/>
    <w:rsid w:val="002C417D"/>
    <w:rsid w:val="002C432C"/>
    <w:rsid w:val="002C455C"/>
    <w:rsid w:val="002C4750"/>
    <w:rsid w:val="002C480D"/>
    <w:rsid w:val="002C484D"/>
    <w:rsid w:val="002C4EC2"/>
    <w:rsid w:val="002C4F59"/>
    <w:rsid w:val="002C4F70"/>
    <w:rsid w:val="002C4FA5"/>
    <w:rsid w:val="002C5266"/>
    <w:rsid w:val="002C544A"/>
    <w:rsid w:val="002C5598"/>
    <w:rsid w:val="002C5660"/>
    <w:rsid w:val="002C56D7"/>
    <w:rsid w:val="002C5818"/>
    <w:rsid w:val="002C5953"/>
    <w:rsid w:val="002C5C83"/>
    <w:rsid w:val="002C5CC1"/>
    <w:rsid w:val="002C5CCA"/>
    <w:rsid w:val="002C5DF7"/>
    <w:rsid w:val="002C5FC0"/>
    <w:rsid w:val="002C60AF"/>
    <w:rsid w:val="002C60B5"/>
    <w:rsid w:val="002C60CC"/>
    <w:rsid w:val="002C60DC"/>
    <w:rsid w:val="002C6174"/>
    <w:rsid w:val="002C630A"/>
    <w:rsid w:val="002C634B"/>
    <w:rsid w:val="002C6428"/>
    <w:rsid w:val="002C6896"/>
    <w:rsid w:val="002C6914"/>
    <w:rsid w:val="002C697C"/>
    <w:rsid w:val="002C6A3F"/>
    <w:rsid w:val="002C6A85"/>
    <w:rsid w:val="002C6D65"/>
    <w:rsid w:val="002C6D90"/>
    <w:rsid w:val="002C6F33"/>
    <w:rsid w:val="002C705D"/>
    <w:rsid w:val="002C7249"/>
    <w:rsid w:val="002C76F6"/>
    <w:rsid w:val="002C76FC"/>
    <w:rsid w:val="002C7729"/>
    <w:rsid w:val="002C7892"/>
    <w:rsid w:val="002C7AF5"/>
    <w:rsid w:val="002C7BBB"/>
    <w:rsid w:val="002C7E49"/>
    <w:rsid w:val="002D005D"/>
    <w:rsid w:val="002D01AB"/>
    <w:rsid w:val="002D059E"/>
    <w:rsid w:val="002D05E9"/>
    <w:rsid w:val="002D07FA"/>
    <w:rsid w:val="002D0AF5"/>
    <w:rsid w:val="002D0CF6"/>
    <w:rsid w:val="002D0DC9"/>
    <w:rsid w:val="002D0EAD"/>
    <w:rsid w:val="002D0EF5"/>
    <w:rsid w:val="002D0F0B"/>
    <w:rsid w:val="002D0FE3"/>
    <w:rsid w:val="002D11A9"/>
    <w:rsid w:val="002D179B"/>
    <w:rsid w:val="002D183C"/>
    <w:rsid w:val="002D1951"/>
    <w:rsid w:val="002D1971"/>
    <w:rsid w:val="002D2029"/>
    <w:rsid w:val="002D216A"/>
    <w:rsid w:val="002D217E"/>
    <w:rsid w:val="002D22B4"/>
    <w:rsid w:val="002D22B8"/>
    <w:rsid w:val="002D22DF"/>
    <w:rsid w:val="002D2323"/>
    <w:rsid w:val="002D2340"/>
    <w:rsid w:val="002D23D5"/>
    <w:rsid w:val="002D2617"/>
    <w:rsid w:val="002D28F0"/>
    <w:rsid w:val="002D29CF"/>
    <w:rsid w:val="002D2A03"/>
    <w:rsid w:val="002D2B24"/>
    <w:rsid w:val="002D2BF9"/>
    <w:rsid w:val="002D2C3F"/>
    <w:rsid w:val="002D2F1C"/>
    <w:rsid w:val="002D30F8"/>
    <w:rsid w:val="002D314B"/>
    <w:rsid w:val="002D3203"/>
    <w:rsid w:val="002D338A"/>
    <w:rsid w:val="002D3415"/>
    <w:rsid w:val="002D36B2"/>
    <w:rsid w:val="002D37B4"/>
    <w:rsid w:val="002D3900"/>
    <w:rsid w:val="002D39F3"/>
    <w:rsid w:val="002D3A40"/>
    <w:rsid w:val="002D3A4F"/>
    <w:rsid w:val="002D3A58"/>
    <w:rsid w:val="002D3ACC"/>
    <w:rsid w:val="002D3C19"/>
    <w:rsid w:val="002D3D79"/>
    <w:rsid w:val="002D3E24"/>
    <w:rsid w:val="002D408C"/>
    <w:rsid w:val="002D412E"/>
    <w:rsid w:val="002D413C"/>
    <w:rsid w:val="002D423F"/>
    <w:rsid w:val="002D4287"/>
    <w:rsid w:val="002D4365"/>
    <w:rsid w:val="002D45E4"/>
    <w:rsid w:val="002D45F7"/>
    <w:rsid w:val="002D45FB"/>
    <w:rsid w:val="002D4614"/>
    <w:rsid w:val="002D473F"/>
    <w:rsid w:val="002D476C"/>
    <w:rsid w:val="002D4772"/>
    <w:rsid w:val="002D4899"/>
    <w:rsid w:val="002D48CA"/>
    <w:rsid w:val="002D490E"/>
    <w:rsid w:val="002D4933"/>
    <w:rsid w:val="002D4950"/>
    <w:rsid w:val="002D49D4"/>
    <w:rsid w:val="002D49D7"/>
    <w:rsid w:val="002D4A16"/>
    <w:rsid w:val="002D4D8A"/>
    <w:rsid w:val="002D4DDB"/>
    <w:rsid w:val="002D53CF"/>
    <w:rsid w:val="002D543B"/>
    <w:rsid w:val="002D5576"/>
    <w:rsid w:val="002D55BA"/>
    <w:rsid w:val="002D5634"/>
    <w:rsid w:val="002D565B"/>
    <w:rsid w:val="002D5839"/>
    <w:rsid w:val="002D5998"/>
    <w:rsid w:val="002D59B5"/>
    <w:rsid w:val="002D5A6D"/>
    <w:rsid w:val="002D5A74"/>
    <w:rsid w:val="002D5CC2"/>
    <w:rsid w:val="002D5DF8"/>
    <w:rsid w:val="002D5E40"/>
    <w:rsid w:val="002D5F4C"/>
    <w:rsid w:val="002D608A"/>
    <w:rsid w:val="002D618F"/>
    <w:rsid w:val="002D6205"/>
    <w:rsid w:val="002D63C5"/>
    <w:rsid w:val="002D6538"/>
    <w:rsid w:val="002D65B3"/>
    <w:rsid w:val="002D66A4"/>
    <w:rsid w:val="002D685F"/>
    <w:rsid w:val="002D68C2"/>
    <w:rsid w:val="002D6995"/>
    <w:rsid w:val="002D6AD7"/>
    <w:rsid w:val="002D7032"/>
    <w:rsid w:val="002D724B"/>
    <w:rsid w:val="002D73EC"/>
    <w:rsid w:val="002D741F"/>
    <w:rsid w:val="002D751F"/>
    <w:rsid w:val="002D7994"/>
    <w:rsid w:val="002D7A8E"/>
    <w:rsid w:val="002D7BE4"/>
    <w:rsid w:val="002D7C5F"/>
    <w:rsid w:val="002D7D4A"/>
    <w:rsid w:val="002D7DDA"/>
    <w:rsid w:val="002D7FCC"/>
    <w:rsid w:val="002E0044"/>
    <w:rsid w:val="002E0079"/>
    <w:rsid w:val="002E007D"/>
    <w:rsid w:val="002E0106"/>
    <w:rsid w:val="002E04C9"/>
    <w:rsid w:val="002E0682"/>
    <w:rsid w:val="002E06C8"/>
    <w:rsid w:val="002E0878"/>
    <w:rsid w:val="002E08F8"/>
    <w:rsid w:val="002E0A0A"/>
    <w:rsid w:val="002E0AA1"/>
    <w:rsid w:val="002E0ABE"/>
    <w:rsid w:val="002E0C14"/>
    <w:rsid w:val="002E0C49"/>
    <w:rsid w:val="002E102A"/>
    <w:rsid w:val="002E1179"/>
    <w:rsid w:val="002E132F"/>
    <w:rsid w:val="002E13E1"/>
    <w:rsid w:val="002E15A4"/>
    <w:rsid w:val="002E15E9"/>
    <w:rsid w:val="002E1757"/>
    <w:rsid w:val="002E183B"/>
    <w:rsid w:val="002E18AC"/>
    <w:rsid w:val="002E1A06"/>
    <w:rsid w:val="002E1A5D"/>
    <w:rsid w:val="002E1AAB"/>
    <w:rsid w:val="002E1B3B"/>
    <w:rsid w:val="002E2156"/>
    <w:rsid w:val="002E21D7"/>
    <w:rsid w:val="002E22A1"/>
    <w:rsid w:val="002E2651"/>
    <w:rsid w:val="002E2B23"/>
    <w:rsid w:val="002E2E43"/>
    <w:rsid w:val="002E2F45"/>
    <w:rsid w:val="002E2F94"/>
    <w:rsid w:val="002E33C4"/>
    <w:rsid w:val="002E34B8"/>
    <w:rsid w:val="002E3504"/>
    <w:rsid w:val="002E3677"/>
    <w:rsid w:val="002E38CF"/>
    <w:rsid w:val="002E3901"/>
    <w:rsid w:val="002E3AB6"/>
    <w:rsid w:val="002E3BFB"/>
    <w:rsid w:val="002E3F12"/>
    <w:rsid w:val="002E3F84"/>
    <w:rsid w:val="002E4221"/>
    <w:rsid w:val="002E42A5"/>
    <w:rsid w:val="002E4308"/>
    <w:rsid w:val="002E4572"/>
    <w:rsid w:val="002E4579"/>
    <w:rsid w:val="002E47F6"/>
    <w:rsid w:val="002E47F8"/>
    <w:rsid w:val="002E4907"/>
    <w:rsid w:val="002E4B4F"/>
    <w:rsid w:val="002E4BD7"/>
    <w:rsid w:val="002E4E33"/>
    <w:rsid w:val="002E4EF7"/>
    <w:rsid w:val="002E501F"/>
    <w:rsid w:val="002E511C"/>
    <w:rsid w:val="002E527C"/>
    <w:rsid w:val="002E546E"/>
    <w:rsid w:val="002E565C"/>
    <w:rsid w:val="002E5718"/>
    <w:rsid w:val="002E5B5B"/>
    <w:rsid w:val="002E5BE6"/>
    <w:rsid w:val="002E5C38"/>
    <w:rsid w:val="002E5C62"/>
    <w:rsid w:val="002E5FF6"/>
    <w:rsid w:val="002E6315"/>
    <w:rsid w:val="002E6430"/>
    <w:rsid w:val="002E6670"/>
    <w:rsid w:val="002E66BC"/>
    <w:rsid w:val="002E66FE"/>
    <w:rsid w:val="002E6869"/>
    <w:rsid w:val="002E6A20"/>
    <w:rsid w:val="002E6CFA"/>
    <w:rsid w:val="002E70F2"/>
    <w:rsid w:val="002E716F"/>
    <w:rsid w:val="002E7366"/>
    <w:rsid w:val="002E73BB"/>
    <w:rsid w:val="002E7439"/>
    <w:rsid w:val="002E7489"/>
    <w:rsid w:val="002E7795"/>
    <w:rsid w:val="002E78C0"/>
    <w:rsid w:val="002E7C70"/>
    <w:rsid w:val="002E7E0A"/>
    <w:rsid w:val="002E7F33"/>
    <w:rsid w:val="002E7F4F"/>
    <w:rsid w:val="002F0049"/>
    <w:rsid w:val="002F0191"/>
    <w:rsid w:val="002F01B0"/>
    <w:rsid w:val="002F0227"/>
    <w:rsid w:val="002F0232"/>
    <w:rsid w:val="002F02B5"/>
    <w:rsid w:val="002F02F5"/>
    <w:rsid w:val="002F03AC"/>
    <w:rsid w:val="002F03F5"/>
    <w:rsid w:val="002F0581"/>
    <w:rsid w:val="002F067E"/>
    <w:rsid w:val="002F086D"/>
    <w:rsid w:val="002F0B20"/>
    <w:rsid w:val="002F0B3F"/>
    <w:rsid w:val="002F0B61"/>
    <w:rsid w:val="002F0B7B"/>
    <w:rsid w:val="002F0C55"/>
    <w:rsid w:val="002F0E30"/>
    <w:rsid w:val="002F0E39"/>
    <w:rsid w:val="002F0FA6"/>
    <w:rsid w:val="002F0FBA"/>
    <w:rsid w:val="002F0FE5"/>
    <w:rsid w:val="002F11A8"/>
    <w:rsid w:val="002F123F"/>
    <w:rsid w:val="002F1280"/>
    <w:rsid w:val="002F1384"/>
    <w:rsid w:val="002F1527"/>
    <w:rsid w:val="002F155D"/>
    <w:rsid w:val="002F1895"/>
    <w:rsid w:val="002F1924"/>
    <w:rsid w:val="002F1B08"/>
    <w:rsid w:val="002F1CC3"/>
    <w:rsid w:val="002F1D51"/>
    <w:rsid w:val="002F1E8C"/>
    <w:rsid w:val="002F1F56"/>
    <w:rsid w:val="002F1F86"/>
    <w:rsid w:val="002F2113"/>
    <w:rsid w:val="002F2270"/>
    <w:rsid w:val="002F256E"/>
    <w:rsid w:val="002F2639"/>
    <w:rsid w:val="002F26F8"/>
    <w:rsid w:val="002F2700"/>
    <w:rsid w:val="002F278D"/>
    <w:rsid w:val="002F287B"/>
    <w:rsid w:val="002F2939"/>
    <w:rsid w:val="002F2BDD"/>
    <w:rsid w:val="002F2D38"/>
    <w:rsid w:val="002F2EB7"/>
    <w:rsid w:val="002F3070"/>
    <w:rsid w:val="002F3153"/>
    <w:rsid w:val="002F32D2"/>
    <w:rsid w:val="002F33A9"/>
    <w:rsid w:val="002F3506"/>
    <w:rsid w:val="002F3525"/>
    <w:rsid w:val="002F3621"/>
    <w:rsid w:val="002F3675"/>
    <w:rsid w:val="002F36EC"/>
    <w:rsid w:val="002F3709"/>
    <w:rsid w:val="002F39ED"/>
    <w:rsid w:val="002F3A01"/>
    <w:rsid w:val="002F3BDC"/>
    <w:rsid w:val="002F3E82"/>
    <w:rsid w:val="002F3F86"/>
    <w:rsid w:val="002F41E9"/>
    <w:rsid w:val="002F4276"/>
    <w:rsid w:val="002F42D7"/>
    <w:rsid w:val="002F436C"/>
    <w:rsid w:val="002F43EF"/>
    <w:rsid w:val="002F443A"/>
    <w:rsid w:val="002F458E"/>
    <w:rsid w:val="002F492F"/>
    <w:rsid w:val="002F4C09"/>
    <w:rsid w:val="002F4C8F"/>
    <w:rsid w:val="002F4CDC"/>
    <w:rsid w:val="002F4DE3"/>
    <w:rsid w:val="002F4FE7"/>
    <w:rsid w:val="002F514C"/>
    <w:rsid w:val="002F530E"/>
    <w:rsid w:val="002F54EF"/>
    <w:rsid w:val="002F553B"/>
    <w:rsid w:val="002F5609"/>
    <w:rsid w:val="002F568D"/>
    <w:rsid w:val="002F589E"/>
    <w:rsid w:val="002F594F"/>
    <w:rsid w:val="002F59CA"/>
    <w:rsid w:val="002F5B04"/>
    <w:rsid w:val="002F5B11"/>
    <w:rsid w:val="002F5C0F"/>
    <w:rsid w:val="002F5DD4"/>
    <w:rsid w:val="002F5F3A"/>
    <w:rsid w:val="002F609E"/>
    <w:rsid w:val="002F60B7"/>
    <w:rsid w:val="002F60D1"/>
    <w:rsid w:val="002F6295"/>
    <w:rsid w:val="002F690C"/>
    <w:rsid w:val="002F69A1"/>
    <w:rsid w:val="002F69A4"/>
    <w:rsid w:val="002F6A71"/>
    <w:rsid w:val="002F6D02"/>
    <w:rsid w:val="002F6D17"/>
    <w:rsid w:val="002F6DC6"/>
    <w:rsid w:val="002F6E33"/>
    <w:rsid w:val="002F6FC3"/>
    <w:rsid w:val="002F704C"/>
    <w:rsid w:val="002F71A1"/>
    <w:rsid w:val="002F7339"/>
    <w:rsid w:val="002F77ED"/>
    <w:rsid w:val="002F7AF6"/>
    <w:rsid w:val="002F7B95"/>
    <w:rsid w:val="002F7D85"/>
    <w:rsid w:val="002F7DA5"/>
    <w:rsid w:val="002F7DD6"/>
    <w:rsid w:val="002F7E38"/>
    <w:rsid w:val="002F7E90"/>
    <w:rsid w:val="00300079"/>
    <w:rsid w:val="00300110"/>
    <w:rsid w:val="003007F7"/>
    <w:rsid w:val="003008ED"/>
    <w:rsid w:val="00300954"/>
    <w:rsid w:val="00300ABC"/>
    <w:rsid w:val="00300C3D"/>
    <w:rsid w:val="00300DB0"/>
    <w:rsid w:val="00300DFB"/>
    <w:rsid w:val="00300EE6"/>
    <w:rsid w:val="0030114E"/>
    <w:rsid w:val="0030138E"/>
    <w:rsid w:val="003013A5"/>
    <w:rsid w:val="0030144A"/>
    <w:rsid w:val="003014C0"/>
    <w:rsid w:val="003014E1"/>
    <w:rsid w:val="003018AF"/>
    <w:rsid w:val="00301986"/>
    <w:rsid w:val="00301BB8"/>
    <w:rsid w:val="00301C6E"/>
    <w:rsid w:val="00301CFD"/>
    <w:rsid w:val="00301D27"/>
    <w:rsid w:val="00301D30"/>
    <w:rsid w:val="00301DC0"/>
    <w:rsid w:val="00302062"/>
    <w:rsid w:val="0030207E"/>
    <w:rsid w:val="00302111"/>
    <w:rsid w:val="0030212F"/>
    <w:rsid w:val="00302188"/>
    <w:rsid w:val="0030235C"/>
    <w:rsid w:val="003027A3"/>
    <w:rsid w:val="0030285C"/>
    <w:rsid w:val="0030290B"/>
    <w:rsid w:val="00302967"/>
    <w:rsid w:val="00302BD5"/>
    <w:rsid w:val="00302BF7"/>
    <w:rsid w:val="00302CB3"/>
    <w:rsid w:val="00302D85"/>
    <w:rsid w:val="00303201"/>
    <w:rsid w:val="003032A2"/>
    <w:rsid w:val="003033DD"/>
    <w:rsid w:val="003036B0"/>
    <w:rsid w:val="00303743"/>
    <w:rsid w:val="003039D2"/>
    <w:rsid w:val="00303BA2"/>
    <w:rsid w:val="00303D5D"/>
    <w:rsid w:val="00304014"/>
    <w:rsid w:val="0030401E"/>
    <w:rsid w:val="003040F9"/>
    <w:rsid w:val="003044FB"/>
    <w:rsid w:val="003047BC"/>
    <w:rsid w:val="0030483A"/>
    <w:rsid w:val="003048B8"/>
    <w:rsid w:val="00304A9D"/>
    <w:rsid w:val="00304B1B"/>
    <w:rsid w:val="00304D28"/>
    <w:rsid w:val="00304D69"/>
    <w:rsid w:val="00304F78"/>
    <w:rsid w:val="00305014"/>
    <w:rsid w:val="00305275"/>
    <w:rsid w:val="003052A8"/>
    <w:rsid w:val="00305428"/>
    <w:rsid w:val="003054D9"/>
    <w:rsid w:val="003055A8"/>
    <w:rsid w:val="0030569D"/>
    <w:rsid w:val="0030584E"/>
    <w:rsid w:val="003058A6"/>
    <w:rsid w:val="003059E2"/>
    <w:rsid w:val="00305A83"/>
    <w:rsid w:val="00305A8E"/>
    <w:rsid w:val="00305A9C"/>
    <w:rsid w:val="00305C8E"/>
    <w:rsid w:val="00306029"/>
    <w:rsid w:val="003060FF"/>
    <w:rsid w:val="00306435"/>
    <w:rsid w:val="003065E1"/>
    <w:rsid w:val="003066CA"/>
    <w:rsid w:val="00306717"/>
    <w:rsid w:val="00306B18"/>
    <w:rsid w:val="00306BF0"/>
    <w:rsid w:val="00306C4B"/>
    <w:rsid w:val="00306C8D"/>
    <w:rsid w:val="00306C9F"/>
    <w:rsid w:val="00306CF8"/>
    <w:rsid w:val="0030703A"/>
    <w:rsid w:val="00307098"/>
    <w:rsid w:val="00307190"/>
    <w:rsid w:val="00307191"/>
    <w:rsid w:val="00307194"/>
    <w:rsid w:val="003072FC"/>
    <w:rsid w:val="0030753C"/>
    <w:rsid w:val="00307774"/>
    <w:rsid w:val="0030782C"/>
    <w:rsid w:val="00307886"/>
    <w:rsid w:val="00307A67"/>
    <w:rsid w:val="00307AF2"/>
    <w:rsid w:val="00307B0B"/>
    <w:rsid w:val="00307C98"/>
    <w:rsid w:val="00307DB0"/>
    <w:rsid w:val="00307DCD"/>
    <w:rsid w:val="00307EB0"/>
    <w:rsid w:val="00310036"/>
    <w:rsid w:val="003100A7"/>
    <w:rsid w:val="003101DE"/>
    <w:rsid w:val="0031034E"/>
    <w:rsid w:val="0031043B"/>
    <w:rsid w:val="0031055E"/>
    <w:rsid w:val="00310773"/>
    <w:rsid w:val="003108C0"/>
    <w:rsid w:val="0031095B"/>
    <w:rsid w:val="00310AEC"/>
    <w:rsid w:val="00310AF1"/>
    <w:rsid w:val="00310AF4"/>
    <w:rsid w:val="00310B33"/>
    <w:rsid w:val="00310DA5"/>
    <w:rsid w:val="00310EFA"/>
    <w:rsid w:val="00310F97"/>
    <w:rsid w:val="00310F9B"/>
    <w:rsid w:val="00310FCA"/>
    <w:rsid w:val="003112A3"/>
    <w:rsid w:val="0031135D"/>
    <w:rsid w:val="003115E0"/>
    <w:rsid w:val="00311631"/>
    <w:rsid w:val="003116D9"/>
    <w:rsid w:val="003118F0"/>
    <w:rsid w:val="00311922"/>
    <w:rsid w:val="00311945"/>
    <w:rsid w:val="00311AAF"/>
    <w:rsid w:val="00311B31"/>
    <w:rsid w:val="00311B58"/>
    <w:rsid w:val="00311BCE"/>
    <w:rsid w:val="00311E25"/>
    <w:rsid w:val="00311E77"/>
    <w:rsid w:val="00311EF3"/>
    <w:rsid w:val="00312014"/>
    <w:rsid w:val="003121A1"/>
    <w:rsid w:val="003121E6"/>
    <w:rsid w:val="003122F3"/>
    <w:rsid w:val="00312417"/>
    <w:rsid w:val="0031261B"/>
    <w:rsid w:val="003126D7"/>
    <w:rsid w:val="00312717"/>
    <w:rsid w:val="003128D1"/>
    <w:rsid w:val="00312C34"/>
    <w:rsid w:val="00313412"/>
    <w:rsid w:val="003134A5"/>
    <w:rsid w:val="00313656"/>
    <w:rsid w:val="00313A82"/>
    <w:rsid w:val="00313C79"/>
    <w:rsid w:val="00314088"/>
    <w:rsid w:val="00314208"/>
    <w:rsid w:val="0031420F"/>
    <w:rsid w:val="003143F1"/>
    <w:rsid w:val="0031443C"/>
    <w:rsid w:val="0031453E"/>
    <w:rsid w:val="003145C8"/>
    <w:rsid w:val="003145D1"/>
    <w:rsid w:val="0031476C"/>
    <w:rsid w:val="00314787"/>
    <w:rsid w:val="003147C5"/>
    <w:rsid w:val="003147C9"/>
    <w:rsid w:val="00314B37"/>
    <w:rsid w:val="00314C67"/>
    <w:rsid w:val="00314F1D"/>
    <w:rsid w:val="00314F45"/>
    <w:rsid w:val="003151E8"/>
    <w:rsid w:val="00315793"/>
    <w:rsid w:val="0031583D"/>
    <w:rsid w:val="00315885"/>
    <w:rsid w:val="003158A8"/>
    <w:rsid w:val="00315BB6"/>
    <w:rsid w:val="00315C93"/>
    <w:rsid w:val="00315DB3"/>
    <w:rsid w:val="00315DBF"/>
    <w:rsid w:val="00315E33"/>
    <w:rsid w:val="00315E49"/>
    <w:rsid w:val="00315ED0"/>
    <w:rsid w:val="00315EFA"/>
    <w:rsid w:val="0031646C"/>
    <w:rsid w:val="00316570"/>
    <w:rsid w:val="00316763"/>
    <w:rsid w:val="00316916"/>
    <w:rsid w:val="003169B8"/>
    <w:rsid w:val="003169E1"/>
    <w:rsid w:val="00316CA2"/>
    <w:rsid w:val="00316CCA"/>
    <w:rsid w:val="00316D81"/>
    <w:rsid w:val="00316EA2"/>
    <w:rsid w:val="00317006"/>
    <w:rsid w:val="0031710C"/>
    <w:rsid w:val="0031724D"/>
    <w:rsid w:val="0031755A"/>
    <w:rsid w:val="003175DE"/>
    <w:rsid w:val="00317713"/>
    <w:rsid w:val="003177E1"/>
    <w:rsid w:val="00317806"/>
    <w:rsid w:val="003178B9"/>
    <w:rsid w:val="003179BB"/>
    <w:rsid w:val="003179D3"/>
    <w:rsid w:val="003179DE"/>
    <w:rsid w:val="00317BEE"/>
    <w:rsid w:val="00317C1F"/>
    <w:rsid w:val="00317C76"/>
    <w:rsid w:val="00317C9D"/>
    <w:rsid w:val="00317CD0"/>
    <w:rsid w:val="00317D38"/>
    <w:rsid w:val="00317F22"/>
    <w:rsid w:val="00317F49"/>
    <w:rsid w:val="00320017"/>
    <w:rsid w:val="00320310"/>
    <w:rsid w:val="00320320"/>
    <w:rsid w:val="003203AD"/>
    <w:rsid w:val="0032042B"/>
    <w:rsid w:val="00320478"/>
    <w:rsid w:val="0032074B"/>
    <w:rsid w:val="00320891"/>
    <w:rsid w:val="00320A9D"/>
    <w:rsid w:val="00320C17"/>
    <w:rsid w:val="00320E7A"/>
    <w:rsid w:val="00320EAD"/>
    <w:rsid w:val="00320FA3"/>
    <w:rsid w:val="00321020"/>
    <w:rsid w:val="00321053"/>
    <w:rsid w:val="003213BA"/>
    <w:rsid w:val="003213C1"/>
    <w:rsid w:val="00321708"/>
    <w:rsid w:val="00321814"/>
    <w:rsid w:val="00321838"/>
    <w:rsid w:val="003218D7"/>
    <w:rsid w:val="00321B18"/>
    <w:rsid w:val="00321C35"/>
    <w:rsid w:val="00321CA1"/>
    <w:rsid w:val="00321DDA"/>
    <w:rsid w:val="00321E2A"/>
    <w:rsid w:val="00321E55"/>
    <w:rsid w:val="00321ED7"/>
    <w:rsid w:val="00321FCC"/>
    <w:rsid w:val="003222B7"/>
    <w:rsid w:val="00322403"/>
    <w:rsid w:val="00322510"/>
    <w:rsid w:val="0032257E"/>
    <w:rsid w:val="003226A4"/>
    <w:rsid w:val="003226E9"/>
    <w:rsid w:val="00322A35"/>
    <w:rsid w:val="00322B60"/>
    <w:rsid w:val="00322CAF"/>
    <w:rsid w:val="00322D1A"/>
    <w:rsid w:val="00322D8B"/>
    <w:rsid w:val="00322EE3"/>
    <w:rsid w:val="00322F06"/>
    <w:rsid w:val="00322FC7"/>
    <w:rsid w:val="00323030"/>
    <w:rsid w:val="003230E9"/>
    <w:rsid w:val="00323141"/>
    <w:rsid w:val="00323178"/>
    <w:rsid w:val="00323258"/>
    <w:rsid w:val="00323829"/>
    <w:rsid w:val="00323847"/>
    <w:rsid w:val="00323CD4"/>
    <w:rsid w:val="00323CF3"/>
    <w:rsid w:val="00323DB3"/>
    <w:rsid w:val="00323E96"/>
    <w:rsid w:val="003240C9"/>
    <w:rsid w:val="00324161"/>
    <w:rsid w:val="003242AB"/>
    <w:rsid w:val="00324439"/>
    <w:rsid w:val="00324466"/>
    <w:rsid w:val="003245C6"/>
    <w:rsid w:val="003245F5"/>
    <w:rsid w:val="00324621"/>
    <w:rsid w:val="003246A0"/>
    <w:rsid w:val="003246F3"/>
    <w:rsid w:val="00324900"/>
    <w:rsid w:val="00324915"/>
    <w:rsid w:val="00324CC9"/>
    <w:rsid w:val="00324D77"/>
    <w:rsid w:val="00324E2C"/>
    <w:rsid w:val="00325678"/>
    <w:rsid w:val="0032570E"/>
    <w:rsid w:val="00325B4A"/>
    <w:rsid w:val="00325DAB"/>
    <w:rsid w:val="00325F4E"/>
    <w:rsid w:val="00325FB8"/>
    <w:rsid w:val="00326035"/>
    <w:rsid w:val="003260D5"/>
    <w:rsid w:val="00326394"/>
    <w:rsid w:val="00326465"/>
    <w:rsid w:val="00326473"/>
    <w:rsid w:val="0032667F"/>
    <w:rsid w:val="003269E7"/>
    <w:rsid w:val="00326A01"/>
    <w:rsid w:val="00326AEF"/>
    <w:rsid w:val="00326D58"/>
    <w:rsid w:val="00326DF4"/>
    <w:rsid w:val="00327124"/>
    <w:rsid w:val="0032724B"/>
    <w:rsid w:val="0032739C"/>
    <w:rsid w:val="00327428"/>
    <w:rsid w:val="00327447"/>
    <w:rsid w:val="00327496"/>
    <w:rsid w:val="00327525"/>
    <w:rsid w:val="00327893"/>
    <w:rsid w:val="003278C9"/>
    <w:rsid w:val="0032797F"/>
    <w:rsid w:val="00327A65"/>
    <w:rsid w:val="00327D4A"/>
    <w:rsid w:val="00327F12"/>
    <w:rsid w:val="0033002E"/>
    <w:rsid w:val="00330145"/>
    <w:rsid w:val="003301B4"/>
    <w:rsid w:val="003301D7"/>
    <w:rsid w:val="003301E1"/>
    <w:rsid w:val="00330252"/>
    <w:rsid w:val="00330490"/>
    <w:rsid w:val="003309A0"/>
    <w:rsid w:val="00330B5F"/>
    <w:rsid w:val="00330C7D"/>
    <w:rsid w:val="00330CB7"/>
    <w:rsid w:val="00330D71"/>
    <w:rsid w:val="00330D98"/>
    <w:rsid w:val="00330DDC"/>
    <w:rsid w:val="00330F07"/>
    <w:rsid w:val="00331093"/>
    <w:rsid w:val="00331177"/>
    <w:rsid w:val="003313F3"/>
    <w:rsid w:val="00331409"/>
    <w:rsid w:val="00331485"/>
    <w:rsid w:val="0033153D"/>
    <w:rsid w:val="00331609"/>
    <w:rsid w:val="00331741"/>
    <w:rsid w:val="003317EA"/>
    <w:rsid w:val="00331816"/>
    <w:rsid w:val="0033181E"/>
    <w:rsid w:val="00331903"/>
    <w:rsid w:val="00331908"/>
    <w:rsid w:val="00331916"/>
    <w:rsid w:val="00331C7D"/>
    <w:rsid w:val="00331FAF"/>
    <w:rsid w:val="0033221F"/>
    <w:rsid w:val="0033224A"/>
    <w:rsid w:val="003323F0"/>
    <w:rsid w:val="00332497"/>
    <w:rsid w:val="003324BE"/>
    <w:rsid w:val="003324D5"/>
    <w:rsid w:val="0033251A"/>
    <w:rsid w:val="003326B3"/>
    <w:rsid w:val="0033282E"/>
    <w:rsid w:val="00332888"/>
    <w:rsid w:val="003329B9"/>
    <w:rsid w:val="00332A74"/>
    <w:rsid w:val="00332BA5"/>
    <w:rsid w:val="00332BE0"/>
    <w:rsid w:val="00332C25"/>
    <w:rsid w:val="00332D46"/>
    <w:rsid w:val="00332FB3"/>
    <w:rsid w:val="00332FCA"/>
    <w:rsid w:val="00333007"/>
    <w:rsid w:val="00333288"/>
    <w:rsid w:val="00333307"/>
    <w:rsid w:val="003335E3"/>
    <w:rsid w:val="00333699"/>
    <w:rsid w:val="003336A7"/>
    <w:rsid w:val="00333C2B"/>
    <w:rsid w:val="00333C7A"/>
    <w:rsid w:val="00333D53"/>
    <w:rsid w:val="00333DA3"/>
    <w:rsid w:val="00333FA7"/>
    <w:rsid w:val="0033404A"/>
    <w:rsid w:val="00334234"/>
    <w:rsid w:val="003342A2"/>
    <w:rsid w:val="00334766"/>
    <w:rsid w:val="0033479A"/>
    <w:rsid w:val="003348B3"/>
    <w:rsid w:val="0033494A"/>
    <w:rsid w:val="00334969"/>
    <w:rsid w:val="00334D70"/>
    <w:rsid w:val="00334E7A"/>
    <w:rsid w:val="00334ED1"/>
    <w:rsid w:val="00335202"/>
    <w:rsid w:val="00335380"/>
    <w:rsid w:val="003353F1"/>
    <w:rsid w:val="0033558B"/>
    <w:rsid w:val="00335770"/>
    <w:rsid w:val="0033583E"/>
    <w:rsid w:val="00335892"/>
    <w:rsid w:val="003358F0"/>
    <w:rsid w:val="00335948"/>
    <w:rsid w:val="003359BC"/>
    <w:rsid w:val="00335B7D"/>
    <w:rsid w:val="00335C68"/>
    <w:rsid w:val="00335D99"/>
    <w:rsid w:val="00335EA1"/>
    <w:rsid w:val="00335F67"/>
    <w:rsid w:val="003362FF"/>
    <w:rsid w:val="00336332"/>
    <w:rsid w:val="003365EB"/>
    <w:rsid w:val="003369A6"/>
    <w:rsid w:val="00336A93"/>
    <w:rsid w:val="00336B26"/>
    <w:rsid w:val="00336B6C"/>
    <w:rsid w:val="00336B80"/>
    <w:rsid w:val="00336BB5"/>
    <w:rsid w:val="00336C14"/>
    <w:rsid w:val="00336C2A"/>
    <w:rsid w:val="00336C52"/>
    <w:rsid w:val="00336D9B"/>
    <w:rsid w:val="003371AC"/>
    <w:rsid w:val="003371C7"/>
    <w:rsid w:val="00337262"/>
    <w:rsid w:val="003373DF"/>
    <w:rsid w:val="00337404"/>
    <w:rsid w:val="0033741B"/>
    <w:rsid w:val="003374E3"/>
    <w:rsid w:val="003374EC"/>
    <w:rsid w:val="003376CF"/>
    <w:rsid w:val="00337992"/>
    <w:rsid w:val="00337BE7"/>
    <w:rsid w:val="00337C0C"/>
    <w:rsid w:val="00337C2D"/>
    <w:rsid w:val="00337C4D"/>
    <w:rsid w:val="00337F1F"/>
    <w:rsid w:val="00337FE2"/>
    <w:rsid w:val="00340141"/>
    <w:rsid w:val="0034039F"/>
    <w:rsid w:val="00340457"/>
    <w:rsid w:val="003405BA"/>
    <w:rsid w:val="003405E3"/>
    <w:rsid w:val="003405E9"/>
    <w:rsid w:val="00340668"/>
    <w:rsid w:val="00340900"/>
    <w:rsid w:val="00340926"/>
    <w:rsid w:val="0034099C"/>
    <w:rsid w:val="00340B30"/>
    <w:rsid w:val="00340C19"/>
    <w:rsid w:val="00340E0F"/>
    <w:rsid w:val="00340E4D"/>
    <w:rsid w:val="00340EE8"/>
    <w:rsid w:val="00340F15"/>
    <w:rsid w:val="00340FEE"/>
    <w:rsid w:val="00341015"/>
    <w:rsid w:val="00341113"/>
    <w:rsid w:val="00341327"/>
    <w:rsid w:val="003416BF"/>
    <w:rsid w:val="003417AB"/>
    <w:rsid w:val="003417F3"/>
    <w:rsid w:val="00341839"/>
    <w:rsid w:val="0034183F"/>
    <w:rsid w:val="00341868"/>
    <w:rsid w:val="003418CA"/>
    <w:rsid w:val="00341971"/>
    <w:rsid w:val="00341A8C"/>
    <w:rsid w:val="00341ECA"/>
    <w:rsid w:val="00341FBD"/>
    <w:rsid w:val="0034205F"/>
    <w:rsid w:val="00342061"/>
    <w:rsid w:val="00342198"/>
    <w:rsid w:val="00342330"/>
    <w:rsid w:val="0034235A"/>
    <w:rsid w:val="00342372"/>
    <w:rsid w:val="003423B4"/>
    <w:rsid w:val="003423CA"/>
    <w:rsid w:val="00342511"/>
    <w:rsid w:val="00342CE1"/>
    <w:rsid w:val="00342D98"/>
    <w:rsid w:val="00343136"/>
    <w:rsid w:val="003431B9"/>
    <w:rsid w:val="0034326C"/>
    <w:rsid w:val="003432BE"/>
    <w:rsid w:val="00343591"/>
    <w:rsid w:val="003436CB"/>
    <w:rsid w:val="003437B6"/>
    <w:rsid w:val="003438D4"/>
    <w:rsid w:val="00343912"/>
    <w:rsid w:val="00343972"/>
    <w:rsid w:val="00343985"/>
    <w:rsid w:val="00343A0E"/>
    <w:rsid w:val="00343B27"/>
    <w:rsid w:val="00343B76"/>
    <w:rsid w:val="00343C2B"/>
    <w:rsid w:val="00343FA9"/>
    <w:rsid w:val="00344036"/>
    <w:rsid w:val="00344275"/>
    <w:rsid w:val="003443F9"/>
    <w:rsid w:val="00344709"/>
    <w:rsid w:val="003448B8"/>
    <w:rsid w:val="003449BF"/>
    <w:rsid w:val="00344B56"/>
    <w:rsid w:val="00344B6F"/>
    <w:rsid w:val="00344BB6"/>
    <w:rsid w:val="00344EBF"/>
    <w:rsid w:val="00345106"/>
    <w:rsid w:val="0034520F"/>
    <w:rsid w:val="00345211"/>
    <w:rsid w:val="00345484"/>
    <w:rsid w:val="003455BA"/>
    <w:rsid w:val="0034566E"/>
    <w:rsid w:val="003459A9"/>
    <w:rsid w:val="00345A4A"/>
    <w:rsid w:val="00345B04"/>
    <w:rsid w:val="00345E1F"/>
    <w:rsid w:val="00345F06"/>
    <w:rsid w:val="00345FD2"/>
    <w:rsid w:val="00346312"/>
    <w:rsid w:val="00346515"/>
    <w:rsid w:val="003466A2"/>
    <w:rsid w:val="0034679A"/>
    <w:rsid w:val="00346939"/>
    <w:rsid w:val="003469FC"/>
    <w:rsid w:val="00346F9D"/>
    <w:rsid w:val="00346FAE"/>
    <w:rsid w:val="0034726B"/>
    <w:rsid w:val="003475B7"/>
    <w:rsid w:val="003478A4"/>
    <w:rsid w:val="003479B6"/>
    <w:rsid w:val="00347AEE"/>
    <w:rsid w:val="00347D7F"/>
    <w:rsid w:val="0035006E"/>
    <w:rsid w:val="0035007E"/>
    <w:rsid w:val="003500C3"/>
    <w:rsid w:val="00350420"/>
    <w:rsid w:val="00350444"/>
    <w:rsid w:val="0035079A"/>
    <w:rsid w:val="00350B8D"/>
    <w:rsid w:val="00350BBE"/>
    <w:rsid w:val="00350FCA"/>
    <w:rsid w:val="00350FEB"/>
    <w:rsid w:val="00350FF6"/>
    <w:rsid w:val="00351026"/>
    <w:rsid w:val="003511A0"/>
    <w:rsid w:val="003511EF"/>
    <w:rsid w:val="003512FC"/>
    <w:rsid w:val="0035132C"/>
    <w:rsid w:val="00351342"/>
    <w:rsid w:val="00351452"/>
    <w:rsid w:val="0035178D"/>
    <w:rsid w:val="00351856"/>
    <w:rsid w:val="0035190E"/>
    <w:rsid w:val="0035198D"/>
    <w:rsid w:val="00351AEB"/>
    <w:rsid w:val="00351B83"/>
    <w:rsid w:val="00351B91"/>
    <w:rsid w:val="00351BC3"/>
    <w:rsid w:val="00351C65"/>
    <w:rsid w:val="00351E5D"/>
    <w:rsid w:val="00351F7F"/>
    <w:rsid w:val="0035223D"/>
    <w:rsid w:val="003525DD"/>
    <w:rsid w:val="0035261F"/>
    <w:rsid w:val="0035271F"/>
    <w:rsid w:val="003527B8"/>
    <w:rsid w:val="00352936"/>
    <w:rsid w:val="00352C9F"/>
    <w:rsid w:val="00352D0A"/>
    <w:rsid w:val="00352D48"/>
    <w:rsid w:val="00352D68"/>
    <w:rsid w:val="00352E5B"/>
    <w:rsid w:val="00352F45"/>
    <w:rsid w:val="00352F8B"/>
    <w:rsid w:val="003530B5"/>
    <w:rsid w:val="003531E3"/>
    <w:rsid w:val="0035344A"/>
    <w:rsid w:val="003534EC"/>
    <w:rsid w:val="00353618"/>
    <w:rsid w:val="003537BC"/>
    <w:rsid w:val="003537F8"/>
    <w:rsid w:val="00353894"/>
    <w:rsid w:val="0035398A"/>
    <w:rsid w:val="00353993"/>
    <w:rsid w:val="00353CA7"/>
    <w:rsid w:val="00353D2D"/>
    <w:rsid w:val="00353D93"/>
    <w:rsid w:val="00353FA5"/>
    <w:rsid w:val="003540CC"/>
    <w:rsid w:val="003540E4"/>
    <w:rsid w:val="003542B0"/>
    <w:rsid w:val="0035447F"/>
    <w:rsid w:val="003546C6"/>
    <w:rsid w:val="0035497E"/>
    <w:rsid w:val="003549A1"/>
    <w:rsid w:val="003549F4"/>
    <w:rsid w:val="00354B02"/>
    <w:rsid w:val="00354C91"/>
    <w:rsid w:val="00354DF6"/>
    <w:rsid w:val="00354E96"/>
    <w:rsid w:val="00354FB8"/>
    <w:rsid w:val="00355146"/>
    <w:rsid w:val="003551D7"/>
    <w:rsid w:val="00355232"/>
    <w:rsid w:val="003552B9"/>
    <w:rsid w:val="003553FA"/>
    <w:rsid w:val="00355408"/>
    <w:rsid w:val="003555A3"/>
    <w:rsid w:val="00355736"/>
    <w:rsid w:val="0035588A"/>
    <w:rsid w:val="00355ADE"/>
    <w:rsid w:val="00355AE9"/>
    <w:rsid w:val="00355B7C"/>
    <w:rsid w:val="00355C4E"/>
    <w:rsid w:val="00355CD8"/>
    <w:rsid w:val="00355E6A"/>
    <w:rsid w:val="00355F5D"/>
    <w:rsid w:val="003561F8"/>
    <w:rsid w:val="00356354"/>
    <w:rsid w:val="00356376"/>
    <w:rsid w:val="003563DA"/>
    <w:rsid w:val="0035641B"/>
    <w:rsid w:val="0035646D"/>
    <w:rsid w:val="003564D3"/>
    <w:rsid w:val="00356A8F"/>
    <w:rsid w:val="00356ACC"/>
    <w:rsid w:val="00356B03"/>
    <w:rsid w:val="00356B64"/>
    <w:rsid w:val="00356E13"/>
    <w:rsid w:val="00356F11"/>
    <w:rsid w:val="00357093"/>
    <w:rsid w:val="0035719C"/>
    <w:rsid w:val="003572A3"/>
    <w:rsid w:val="00357396"/>
    <w:rsid w:val="00357412"/>
    <w:rsid w:val="0035746F"/>
    <w:rsid w:val="003577DD"/>
    <w:rsid w:val="00357861"/>
    <w:rsid w:val="00357870"/>
    <w:rsid w:val="003579EE"/>
    <w:rsid w:val="00357B00"/>
    <w:rsid w:val="003601EE"/>
    <w:rsid w:val="00360324"/>
    <w:rsid w:val="00360413"/>
    <w:rsid w:val="003604DD"/>
    <w:rsid w:val="003605A5"/>
    <w:rsid w:val="0036068C"/>
    <w:rsid w:val="00360744"/>
    <w:rsid w:val="00360757"/>
    <w:rsid w:val="0036085D"/>
    <w:rsid w:val="003609C4"/>
    <w:rsid w:val="00360B39"/>
    <w:rsid w:val="00360BA7"/>
    <w:rsid w:val="00360CB8"/>
    <w:rsid w:val="00360CBA"/>
    <w:rsid w:val="00360FA9"/>
    <w:rsid w:val="003612EA"/>
    <w:rsid w:val="00361384"/>
    <w:rsid w:val="0036150A"/>
    <w:rsid w:val="00361679"/>
    <w:rsid w:val="003616F2"/>
    <w:rsid w:val="0036175B"/>
    <w:rsid w:val="00361785"/>
    <w:rsid w:val="003617A8"/>
    <w:rsid w:val="003619A4"/>
    <w:rsid w:val="00361A27"/>
    <w:rsid w:val="00361A93"/>
    <w:rsid w:val="00361C1F"/>
    <w:rsid w:val="00361C25"/>
    <w:rsid w:val="00361D39"/>
    <w:rsid w:val="00361DFB"/>
    <w:rsid w:val="00361E79"/>
    <w:rsid w:val="00362002"/>
    <w:rsid w:val="00362077"/>
    <w:rsid w:val="003621B0"/>
    <w:rsid w:val="003625EF"/>
    <w:rsid w:val="00362669"/>
    <w:rsid w:val="00362687"/>
    <w:rsid w:val="0036272C"/>
    <w:rsid w:val="00362731"/>
    <w:rsid w:val="003627A3"/>
    <w:rsid w:val="0036283A"/>
    <w:rsid w:val="003629C9"/>
    <w:rsid w:val="00362A3E"/>
    <w:rsid w:val="00362BD5"/>
    <w:rsid w:val="00362FC1"/>
    <w:rsid w:val="00363210"/>
    <w:rsid w:val="003632E2"/>
    <w:rsid w:val="003632E8"/>
    <w:rsid w:val="003635F4"/>
    <w:rsid w:val="003636A4"/>
    <w:rsid w:val="00363806"/>
    <w:rsid w:val="003638E3"/>
    <w:rsid w:val="00363993"/>
    <w:rsid w:val="003639BF"/>
    <w:rsid w:val="00363BEE"/>
    <w:rsid w:val="00363D9B"/>
    <w:rsid w:val="00363E2B"/>
    <w:rsid w:val="00363F85"/>
    <w:rsid w:val="00363FF3"/>
    <w:rsid w:val="00364026"/>
    <w:rsid w:val="00364058"/>
    <w:rsid w:val="00364105"/>
    <w:rsid w:val="003642B2"/>
    <w:rsid w:val="00364305"/>
    <w:rsid w:val="00364328"/>
    <w:rsid w:val="00364343"/>
    <w:rsid w:val="003643E1"/>
    <w:rsid w:val="00364609"/>
    <w:rsid w:val="00364628"/>
    <w:rsid w:val="003646CC"/>
    <w:rsid w:val="003648AA"/>
    <w:rsid w:val="003649BB"/>
    <w:rsid w:val="00364BD3"/>
    <w:rsid w:val="00364BEA"/>
    <w:rsid w:val="00364DAF"/>
    <w:rsid w:val="00364DB5"/>
    <w:rsid w:val="00364F23"/>
    <w:rsid w:val="00364F50"/>
    <w:rsid w:val="00364F68"/>
    <w:rsid w:val="00365540"/>
    <w:rsid w:val="00365623"/>
    <w:rsid w:val="0036562E"/>
    <w:rsid w:val="003656A9"/>
    <w:rsid w:val="00365707"/>
    <w:rsid w:val="00365B21"/>
    <w:rsid w:val="00365BAB"/>
    <w:rsid w:val="00365CAC"/>
    <w:rsid w:val="00365CCE"/>
    <w:rsid w:val="00365D12"/>
    <w:rsid w:val="00365FD8"/>
    <w:rsid w:val="00365FF9"/>
    <w:rsid w:val="00366584"/>
    <w:rsid w:val="0036662D"/>
    <w:rsid w:val="0036666E"/>
    <w:rsid w:val="0036677A"/>
    <w:rsid w:val="003667E7"/>
    <w:rsid w:val="00366838"/>
    <w:rsid w:val="00366A32"/>
    <w:rsid w:val="00366A5B"/>
    <w:rsid w:val="00366B48"/>
    <w:rsid w:val="00367132"/>
    <w:rsid w:val="003675E0"/>
    <w:rsid w:val="003679FB"/>
    <w:rsid w:val="00367D5E"/>
    <w:rsid w:val="00367EC0"/>
    <w:rsid w:val="00370316"/>
    <w:rsid w:val="00370519"/>
    <w:rsid w:val="0037072D"/>
    <w:rsid w:val="00370B68"/>
    <w:rsid w:val="00370CE6"/>
    <w:rsid w:val="00370CEC"/>
    <w:rsid w:val="00370D37"/>
    <w:rsid w:val="00370D48"/>
    <w:rsid w:val="00370DDB"/>
    <w:rsid w:val="00370EE7"/>
    <w:rsid w:val="00370F05"/>
    <w:rsid w:val="00370FAC"/>
    <w:rsid w:val="00371005"/>
    <w:rsid w:val="003711FD"/>
    <w:rsid w:val="00371245"/>
    <w:rsid w:val="00371247"/>
    <w:rsid w:val="00371285"/>
    <w:rsid w:val="00371584"/>
    <w:rsid w:val="003716B8"/>
    <w:rsid w:val="00371BF1"/>
    <w:rsid w:val="00371C85"/>
    <w:rsid w:val="00371E77"/>
    <w:rsid w:val="003720F3"/>
    <w:rsid w:val="003723F8"/>
    <w:rsid w:val="00372599"/>
    <w:rsid w:val="003725EB"/>
    <w:rsid w:val="00372AB0"/>
    <w:rsid w:val="00372B0A"/>
    <w:rsid w:val="00372CEB"/>
    <w:rsid w:val="00372DFF"/>
    <w:rsid w:val="00372F76"/>
    <w:rsid w:val="00373028"/>
    <w:rsid w:val="00373078"/>
    <w:rsid w:val="0037310E"/>
    <w:rsid w:val="003735D1"/>
    <w:rsid w:val="00373656"/>
    <w:rsid w:val="003737D8"/>
    <w:rsid w:val="003738C0"/>
    <w:rsid w:val="00373905"/>
    <w:rsid w:val="003739D1"/>
    <w:rsid w:val="00373B32"/>
    <w:rsid w:val="00373BDB"/>
    <w:rsid w:val="00373BFB"/>
    <w:rsid w:val="00373C34"/>
    <w:rsid w:val="00373C56"/>
    <w:rsid w:val="00373C81"/>
    <w:rsid w:val="00373D5A"/>
    <w:rsid w:val="00373D97"/>
    <w:rsid w:val="00373F93"/>
    <w:rsid w:val="00373FEE"/>
    <w:rsid w:val="003743F7"/>
    <w:rsid w:val="003747F0"/>
    <w:rsid w:val="003748D2"/>
    <w:rsid w:val="00374B46"/>
    <w:rsid w:val="00374BE5"/>
    <w:rsid w:val="00374C0F"/>
    <w:rsid w:val="00374F60"/>
    <w:rsid w:val="003755D1"/>
    <w:rsid w:val="00375B37"/>
    <w:rsid w:val="00375BCE"/>
    <w:rsid w:val="00375C26"/>
    <w:rsid w:val="00375C91"/>
    <w:rsid w:val="00375CBD"/>
    <w:rsid w:val="00375CE0"/>
    <w:rsid w:val="00375D1E"/>
    <w:rsid w:val="00375D4B"/>
    <w:rsid w:val="00375DFF"/>
    <w:rsid w:val="00376036"/>
    <w:rsid w:val="003760E0"/>
    <w:rsid w:val="00376105"/>
    <w:rsid w:val="0037618F"/>
    <w:rsid w:val="00376204"/>
    <w:rsid w:val="003762DC"/>
    <w:rsid w:val="00376366"/>
    <w:rsid w:val="003763DB"/>
    <w:rsid w:val="00376493"/>
    <w:rsid w:val="00376745"/>
    <w:rsid w:val="00376879"/>
    <w:rsid w:val="003768F6"/>
    <w:rsid w:val="00376B76"/>
    <w:rsid w:val="00376C0C"/>
    <w:rsid w:val="00376C67"/>
    <w:rsid w:val="00376DE2"/>
    <w:rsid w:val="00376FC3"/>
    <w:rsid w:val="00377111"/>
    <w:rsid w:val="00377184"/>
    <w:rsid w:val="00377312"/>
    <w:rsid w:val="003774D7"/>
    <w:rsid w:val="0037795F"/>
    <w:rsid w:val="00377AF4"/>
    <w:rsid w:val="00377B05"/>
    <w:rsid w:val="00377C3A"/>
    <w:rsid w:val="00377C51"/>
    <w:rsid w:val="00377DC9"/>
    <w:rsid w:val="00377E6D"/>
    <w:rsid w:val="00377E72"/>
    <w:rsid w:val="00377F3B"/>
    <w:rsid w:val="00380128"/>
    <w:rsid w:val="00380144"/>
    <w:rsid w:val="00380216"/>
    <w:rsid w:val="00380258"/>
    <w:rsid w:val="003802B6"/>
    <w:rsid w:val="003809F2"/>
    <w:rsid w:val="00380DEB"/>
    <w:rsid w:val="00380F23"/>
    <w:rsid w:val="003810F3"/>
    <w:rsid w:val="00381159"/>
    <w:rsid w:val="00381381"/>
    <w:rsid w:val="00381395"/>
    <w:rsid w:val="003814C0"/>
    <w:rsid w:val="0038172E"/>
    <w:rsid w:val="00381910"/>
    <w:rsid w:val="0038195F"/>
    <w:rsid w:val="003819E4"/>
    <w:rsid w:val="00381AC0"/>
    <w:rsid w:val="00382033"/>
    <w:rsid w:val="00382133"/>
    <w:rsid w:val="00382328"/>
    <w:rsid w:val="003824FF"/>
    <w:rsid w:val="00382582"/>
    <w:rsid w:val="0038282F"/>
    <w:rsid w:val="003828B3"/>
    <w:rsid w:val="00382912"/>
    <w:rsid w:val="00382B83"/>
    <w:rsid w:val="00382DDE"/>
    <w:rsid w:val="00382F48"/>
    <w:rsid w:val="003831E8"/>
    <w:rsid w:val="00383384"/>
    <w:rsid w:val="003833A5"/>
    <w:rsid w:val="00383499"/>
    <w:rsid w:val="00383619"/>
    <w:rsid w:val="003836A6"/>
    <w:rsid w:val="00383876"/>
    <w:rsid w:val="00383984"/>
    <w:rsid w:val="00383AF1"/>
    <w:rsid w:val="00383C33"/>
    <w:rsid w:val="00383CC6"/>
    <w:rsid w:val="00383DC8"/>
    <w:rsid w:val="00383DF4"/>
    <w:rsid w:val="00383E12"/>
    <w:rsid w:val="00383E5B"/>
    <w:rsid w:val="00383F41"/>
    <w:rsid w:val="003840F2"/>
    <w:rsid w:val="00384433"/>
    <w:rsid w:val="003844F6"/>
    <w:rsid w:val="0038454B"/>
    <w:rsid w:val="00384585"/>
    <w:rsid w:val="003849E8"/>
    <w:rsid w:val="00384ADC"/>
    <w:rsid w:val="00384BE6"/>
    <w:rsid w:val="00384BF4"/>
    <w:rsid w:val="00384ECF"/>
    <w:rsid w:val="00384EEE"/>
    <w:rsid w:val="00384F23"/>
    <w:rsid w:val="00385029"/>
    <w:rsid w:val="00385491"/>
    <w:rsid w:val="003855C3"/>
    <w:rsid w:val="00385704"/>
    <w:rsid w:val="00385751"/>
    <w:rsid w:val="003857B0"/>
    <w:rsid w:val="003857D6"/>
    <w:rsid w:val="00385C1E"/>
    <w:rsid w:val="00385C31"/>
    <w:rsid w:val="00385C5C"/>
    <w:rsid w:val="00385D41"/>
    <w:rsid w:val="00385F71"/>
    <w:rsid w:val="0038620F"/>
    <w:rsid w:val="00386455"/>
    <w:rsid w:val="003866EC"/>
    <w:rsid w:val="00386870"/>
    <w:rsid w:val="003868EC"/>
    <w:rsid w:val="00386ACE"/>
    <w:rsid w:val="00386AD4"/>
    <w:rsid w:val="00386D4A"/>
    <w:rsid w:val="00386DDE"/>
    <w:rsid w:val="00386E14"/>
    <w:rsid w:val="00386F79"/>
    <w:rsid w:val="00386FCE"/>
    <w:rsid w:val="003871DC"/>
    <w:rsid w:val="0038727D"/>
    <w:rsid w:val="003872EC"/>
    <w:rsid w:val="0038762B"/>
    <w:rsid w:val="0038783B"/>
    <w:rsid w:val="0038786A"/>
    <w:rsid w:val="00387890"/>
    <w:rsid w:val="00387961"/>
    <w:rsid w:val="00387AC7"/>
    <w:rsid w:val="00387AE8"/>
    <w:rsid w:val="00387DBA"/>
    <w:rsid w:val="00387EA1"/>
    <w:rsid w:val="00387F27"/>
    <w:rsid w:val="0039021C"/>
    <w:rsid w:val="00390244"/>
    <w:rsid w:val="0039055C"/>
    <w:rsid w:val="00390661"/>
    <w:rsid w:val="003907C9"/>
    <w:rsid w:val="0039092B"/>
    <w:rsid w:val="003909AE"/>
    <w:rsid w:val="003909E2"/>
    <w:rsid w:val="003909F8"/>
    <w:rsid w:val="00390BBA"/>
    <w:rsid w:val="00390BE9"/>
    <w:rsid w:val="00390C21"/>
    <w:rsid w:val="00390CD1"/>
    <w:rsid w:val="00390DF2"/>
    <w:rsid w:val="00390E6E"/>
    <w:rsid w:val="0039118D"/>
    <w:rsid w:val="00391318"/>
    <w:rsid w:val="003914EA"/>
    <w:rsid w:val="00391638"/>
    <w:rsid w:val="0039164A"/>
    <w:rsid w:val="00391812"/>
    <w:rsid w:val="00391AF3"/>
    <w:rsid w:val="00391D46"/>
    <w:rsid w:val="00391E99"/>
    <w:rsid w:val="0039207F"/>
    <w:rsid w:val="00392189"/>
    <w:rsid w:val="003921D1"/>
    <w:rsid w:val="00392202"/>
    <w:rsid w:val="00392392"/>
    <w:rsid w:val="00392401"/>
    <w:rsid w:val="0039253F"/>
    <w:rsid w:val="00392571"/>
    <w:rsid w:val="00392577"/>
    <w:rsid w:val="00392594"/>
    <w:rsid w:val="00392A4B"/>
    <w:rsid w:val="00392DED"/>
    <w:rsid w:val="0039301F"/>
    <w:rsid w:val="0039329C"/>
    <w:rsid w:val="003934BA"/>
    <w:rsid w:val="003935FB"/>
    <w:rsid w:val="0039379A"/>
    <w:rsid w:val="00393B06"/>
    <w:rsid w:val="00393DA6"/>
    <w:rsid w:val="00393DC2"/>
    <w:rsid w:val="00393EA0"/>
    <w:rsid w:val="00393EB9"/>
    <w:rsid w:val="00393F38"/>
    <w:rsid w:val="00393F64"/>
    <w:rsid w:val="003940C7"/>
    <w:rsid w:val="00394180"/>
    <w:rsid w:val="0039431B"/>
    <w:rsid w:val="00394442"/>
    <w:rsid w:val="00394517"/>
    <w:rsid w:val="00394782"/>
    <w:rsid w:val="003947C6"/>
    <w:rsid w:val="003947FC"/>
    <w:rsid w:val="00394820"/>
    <w:rsid w:val="00394844"/>
    <w:rsid w:val="00394A32"/>
    <w:rsid w:val="00394DF3"/>
    <w:rsid w:val="00394F46"/>
    <w:rsid w:val="00394FFB"/>
    <w:rsid w:val="00395334"/>
    <w:rsid w:val="00395658"/>
    <w:rsid w:val="003957A3"/>
    <w:rsid w:val="003958A5"/>
    <w:rsid w:val="003958CA"/>
    <w:rsid w:val="003959DB"/>
    <w:rsid w:val="00395A22"/>
    <w:rsid w:val="00395BA7"/>
    <w:rsid w:val="00395D17"/>
    <w:rsid w:val="003963A5"/>
    <w:rsid w:val="00396447"/>
    <w:rsid w:val="003964AC"/>
    <w:rsid w:val="0039680D"/>
    <w:rsid w:val="0039693F"/>
    <w:rsid w:val="00396B7D"/>
    <w:rsid w:val="00396D6E"/>
    <w:rsid w:val="003970CD"/>
    <w:rsid w:val="00397172"/>
    <w:rsid w:val="003973F5"/>
    <w:rsid w:val="0039745C"/>
    <w:rsid w:val="00397529"/>
    <w:rsid w:val="0039772B"/>
    <w:rsid w:val="00397902"/>
    <w:rsid w:val="00397A4E"/>
    <w:rsid w:val="00397C7D"/>
    <w:rsid w:val="00397CA5"/>
    <w:rsid w:val="00397D7D"/>
    <w:rsid w:val="00397E74"/>
    <w:rsid w:val="00397F68"/>
    <w:rsid w:val="00397FC3"/>
    <w:rsid w:val="003A016A"/>
    <w:rsid w:val="003A0386"/>
    <w:rsid w:val="003A0493"/>
    <w:rsid w:val="003A0614"/>
    <w:rsid w:val="003A089E"/>
    <w:rsid w:val="003A08CB"/>
    <w:rsid w:val="003A0934"/>
    <w:rsid w:val="003A098D"/>
    <w:rsid w:val="003A0BD5"/>
    <w:rsid w:val="003A0BEC"/>
    <w:rsid w:val="003A0C09"/>
    <w:rsid w:val="003A0C2D"/>
    <w:rsid w:val="003A0C54"/>
    <w:rsid w:val="003A0E78"/>
    <w:rsid w:val="003A0E7D"/>
    <w:rsid w:val="003A0F50"/>
    <w:rsid w:val="003A1085"/>
    <w:rsid w:val="003A109B"/>
    <w:rsid w:val="003A10C6"/>
    <w:rsid w:val="003A1255"/>
    <w:rsid w:val="003A13BD"/>
    <w:rsid w:val="003A155D"/>
    <w:rsid w:val="003A16CB"/>
    <w:rsid w:val="003A1775"/>
    <w:rsid w:val="003A1B76"/>
    <w:rsid w:val="003A1BDB"/>
    <w:rsid w:val="003A1BE1"/>
    <w:rsid w:val="003A1C0F"/>
    <w:rsid w:val="003A1C38"/>
    <w:rsid w:val="003A1CFA"/>
    <w:rsid w:val="003A1D82"/>
    <w:rsid w:val="003A1F00"/>
    <w:rsid w:val="003A1FC7"/>
    <w:rsid w:val="003A207B"/>
    <w:rsid w:val="003A21EB"/>
    <w:rsid w:val="003A2486"/>
    <w:rsid w:val="003A25CF"/>
    <w:rsid w:val="003A25D2"/>
    <w:rsid w:val="003A2656"/>
    <w:rsid w:val="003A26E1"/>
    <w:rsid w:val="003A2A93"/>
    <w:rsid w:val="003A2EFF"/>
    <w:rsid w:val="003A2FE6"/>
    <w:rsid w:val="003A306C"/>
    <w:rsid w:val="003A3536"/>
    <w:rsid w:val="003A3563"/>
    <w:rsid w:val="003A375E"/>
    <w:rsid w:val="003A37D2"/>
    <w:rsid w:val="003A3817"/>
    <w:rsid w:val="003A381A"/>
    <w:rsid w:val="003A3882"/>
    <w:rsid w:val="003A393D"/>
    <w:rsid w:val="003A3C61"/>
    <w:rsid w:val="003A3CC2"/>
    <w:rsid w:val="003A3E8F"/>
    <w:rsid w:val="003A3F61"/>
    <w:rsid w:val="003A4039"/>
    <w:rsid w:val="003A40B6"/>
    <w:rsid w:val="003A425C"/>
    <w:rsid w:val="003A435E"/>
    <w:rsid w:val="003A450B"/>
    <w:rsid w:val="003A45CB"/>
    <w:rsid w:val="003A463D"/>
    <w:rsid w:val="003A4D18"/>
    <w:rsid w:val="003A4D8D"/>
    <w:rsid w:val="003A50EA"/>
    <w:rsid w:val="003A5114"/>
    <w:rsid w:val="003A5231"/>
    <w:rsid w:val="003A52A3"/>
    <w:rsid w:val="003A5743"/>
    <w:rsid w:val="003A59E1"/>
    <w:rsid w:val="003A5A5B"/>
    <w:rsid w:val="003A5AA1"/>
    <w:rsid w:val="003A5ABC"/>
    <w:rsid w:val="003A5D32"/>
    <w:rsid w:val="003A5D9A"/>
    <w:rsid w:val="003A5F27"/>
    <w:rsid w:val="003A5F51"/>
    <w:rsid w:val="003A5F55"/>
    <w:rsid w:val="003A5F69"/>
    <w:rsid w:val="003A5FB8"/>
    <w:rsid w:val="003A608D"/>
    <w:rsid w:val="003A6349"/>
    <w:rsid w:val="003A643A"/>
    <w:rsid w:val="003A6467"/>
    <w:rsid w:val="003A6583"/>
    <w:rsid w:val="003A659E"/>
    <w:rsid w:val="003A67E7"/>
    <w:rsid w:val="003A6984"/>
    <w:rsid w:val="003A69E1"/>
    <w:rsid w:val="003A6BC4"/>
    <w:rsid w:val="003A6C7D"/>
    <w:rsid w:val="003A6C80"/>
    <w:rsid w:val="003A6FC4"/>
    <w:rsid w:val="003A6FDC"/>
    <w:rsid w:val="003A717B"/>
    <w:rsid w:val="003A71A9"/>
    <w:rsid w:val="003A74B6"/>
    <w:rsid w:val="003A74F1"/>
    <w:rsid w:val="003A7553"/>
    <w:rsid w:val="003A76E5"/>
    <w:rsid w:val="003A76E9"/>
    <w:rsid w:val="003A77A4"/>
    <w:rsid w:val="003A7852"/>
    <w:rsid w:val="003A7D34"/>
    <w:rsid w:val="003A7D75"/>
    <w:rsid w:val="003A7DC9"/>
    <w:rsid w:val="003A7F1F"/>
    <w:rsid w:val="003A7FD3"/>
    <w:rsid w:val="003B0020"/>
    <w:rsid w:val="003B00FA"/>
    <w:rsid w:val="003B0277"/>
    <w:rsid w:val="003B039E"/>
    <w:rsid w:val="003B04E9"/>
    <w:rsid w:val="003B061C"/>
    <w:rsid w:val="003B0678"/>
    <w:rsid w:val="003B078D"/>
    <w:rsid w:val="003B083F"/>
    <w:rsid w:val="003B0ACE"/>
    <w:rsid w:val="003B0F1A"/>
    <w:rsid w:val="003B0F39"/>
    <w:rsid w:val="003B107E"/>
    <w:rsid w:val="003B1088"/>
    <w:rsid w:val="003B1256"/>
    <w:rsid w:val="003B12FC"/>
    <w:rsid w:val="003B1340"/>
    <w:rsid w:val="003B13F5"/>
    <w:rsid w:val="003B1555"/>
    <w:rsid w:val="003B1A58"/>
    <w:rsid w:val="003B1E1E"/>
    <w:rsid w:val="003B1F6F"/>
    <w:rsid w:val="003B212B"/>
    <w:rsid w:val="003B2148"/>
    <w:rsid w:val="003B21F4"/>
    <w:rsid w:val="003B22E9"/>
    <w:rsid w:val="003B23C4"/>
    <w:rsid w:val="003B2477"/>
    <w:rsid w:val="003B2570"/>
    <w:rsid w:val="003B262A"/>
    <w:rsid w:val="003B271F"/>
    <w:rsid w:val="003B291D"/>
    <w:rsid w:val="003B2927"/>
    <w:rsid w:val="003B2A9A"/>
    <w:rsid w:val="003B2ADF"/>
    <w:rsid w:val="003B2C86"/>
    <w:rsid w:val="003B2CB6"/>
    <w:rsid w:val="003B2D07"/>
    <w:rsid w:val="003B2D1A"/>
    <w:rsid w:val="003B2D92"/>
    <w:rsid w:val="003B2F58"/>
    <w:rsid w:val="003B309B"/>
    <w:rsid w:val="003B3198"/>
    <w:rsid w:val="003B327D"/>
    <w:rsid w:val="003B32FA"/>
    <w:rsid w:val="003B34BE"/>
    <w:rsid w:val="003B3640"/>
    <w:rsid w:val="003B37D8"/>
    <w:rsid w:val="003B3907"/>
    <w:rsid w:val="003B3908"/>
    <w:rsid w:val="003B3909"/>
    <w:rsid w:val="003B3A33"/>
    <w:rsid w:val="003B3CD9"/>
    <w:rsid w:val="003B3D42"/>
    <w:rsid w:val="003B3D88"/>
    <w:rsid w:val="003B3F1E"/>
    <w:rsid w:val="003B3F4C"/>
    <w:rsid w:val="003B3F63"/>
    <w:rsid w:val="003B3FB2"/>
    <w:rsid w:val="003B4008"/>
    <w:rsid w:val="003B405B"/>
    <w:rsid w:val="003B418B"/>
    <w:rsid w:val="003B41F6"/>
    <w:rsid w:val="003B43DB"/>
    <w:rsid w:val="003B451E"/>
    <w:rsid w:val="003B4791"/>
    <w:rsid w:val="003B484B"/>
    <w:rsid w:val="003B48B1"/>
    <w:rsid w:val="003B49B3"/>
    <w:rsid w:val="003B4AB1"/>
    <w:rsid w:val="003B4BEE"/>
    <w:rsid w:val="003B4C50"/>
    <w:rsid w:val="003B4C63"/>
    <w:rsid w:val="003B4D28"/>
    <w:rsid w:val="003B4E3F"/>
    <w:rsid w:val="003B4F30"/>
    <w:rsid w:val="003B50CC"/>
    <w:rsid w:val="003B5227"/>
    <w:rsid w:val="003B530F"/>
    <w:rsid w:val="003B545C"/>
    <w:rsid w:val="003B5465"/>
    <w:rsid w:val="003B54DE"/>
    <w:rsid w:val="003B56E9"/>
    <w:rsid w:val="003B57BF"/>
    <w:rsid w:val="003B5810"/>
    <w:rsid w:val="003B58DF"/>
    <w:rsid w:val="003B5966"/>
    <w:rsid w:val="003B5B5E"/>
    <w:rsid w:val="003B5B90"/>
    <w:rsid w:val="003B5D0A"/>
    <w:rsid w:val="003B60B3"/>
    <w:rsid w:val="003B6100"/>
    <w:rsid w:val="003B6207"/>
    <w:rsid w:val="003B63BA"/>
    <w:rsid w:val="003B666F"/>
    <w:rsid w:val="003B684D"/>
    <w:rsid w:val="003B6932"/>
    <w:rsid w:val="003B69FD"/>
    <w:rsid w:val="003B6A06"/>
    <w:rsid w:val="003B6A59"/>
    <w:rsid w:val="003B6ABE"/>
    <w:rsid w:val="003B6EE3"/>
    <w:rsid w:val="003B7067"/>
    <w:rsid w:val="003B7183"/>
    <w:rsid w:val="003B73F8"/>
    <w:rsid w:val="003B7483"/>
    <w:rsid w:val="003B753A"/>
    <w:rsid w:val="003B79BA"/>
    <w:rsid w:val="003B7A3D"/>
    <w:rsid w:val="003B7E79"/>
    <w:rsid w:val="003B7F59"/>
    <w:rsid w:val="003B7F72"/>
    <w:rsid w:val="003B7FD3"/>
    <w:rsid w:val="003C00F7"/>
    <w:rsid w:val="003C03EE"/>
    <w:rsid w:val="003C03FB"/>
    <w:rsid w:val="003C05BB"/>
    <w:rsid w:val="003C0BC5"/>
    <w:rsid w:val="003C0ED5"/>
    <w:rsid w:val="003C1328"/>
    <w:rsid w:val="003C144A"/>
    <w:rsid w:val="003C1522"/>
    <w:rsid w:val="003C1699"/>
    <w:rsid w:val="003C1751"/>
    <w:rsid w:val="003C1836"/>
    <w:rsid w:val="003C19AB"/>
    <w:rsid w:val="003C1C6C"/>
    <w:rsid w:val="003C2019"/>
    <w:rsid w:val="003C2394"/>
    <w:rsid w:val="003C2496"/>
    <w:rsid w:val="003C2641"/>
    <w:rsid w:val="003C2871"/>
    <w:rsid w:val="003C2B3E"/>
    <w:rsid w:val="003C2DD0"/>
    <w:rsid w:val="003C2DF6"/>
    <w:rsid w:val="003C3060"/>
    <w:rsid w:val="003C308F"/>
    <w:rsid w:val="003C30BB"/>
    <w:rsid w:val="003C3175"/>
    <w:rsid w:val="003C333D"/>
    <w:rsid w:val="003C3478"/>
    <w:rsid w:val="003C351E"/>
    <w:rsid w:val="003C357F"/>
    <w:rsid w:val="003C393E"/>
    <w:rsid w:val="003C3B44"/>
    <w:rsid w:val="003C3B55"/>
    <w:rsid w:val="003C3BE3"/>
    <w:rsid w:val="003C3C0A"/>
    <w:rsid w:val="003C3CBC"/>
    <w:rsid w:val="003C3CC3"/>
    <w:rsid w:val="003C3D22"/>
    <w:rsid w:val="003C4126"/>
    <w:rsid w:val="003C4375"/>
    <w:rsid w:val="003C446C"/>
    <w:rsid w:val="003C4470"/>
    <w:rsid w:val="003C4779"/>
    <w:rsid w:val="003C4C88"/>
    <w:rsid w:val="003C4CFD"/>
    <w:rsid w:val="003C4D83"/>
    <w:rsid w:val="003C4D97"/>
    <w:rsid w:val="003C4EE7"/>
    <w:rsid w:val="003C5183"/>
    <w:rsid w:val="003C57A0"/>
    <w:rsid w:val="003C589D"/>
    <w:rsid w:val="003C58E9"/>
    <w:rsid w:val="003C58F6"/>
    <w:rsid w:val="003C5942"/>
    <w:rsid w:val="003C59F2"/>
    <w:rsid w:val="003C5A72"/>
    <w:rsid w:val="003C5E1B"/>
    <w:rsid w:val="003C5EFA"/>
    <w:rsid w:val="003C5F74"/>
    <w:rsid w:val="003C6003"/>
    <w:rsid w:val="003C623A"/>
    <w:rsid w:val="003C633A"/>
    <w:rsid w:val="003C640F"/>
    <w:rsid w:val="003C649D"/>
    <w:rsid w:val="003C64A4"/>
    <w:rsid w:val="003C6508"/>
    <w:rsid w:val="003C66F4"/>
    <w:rsid w:val="003C68F6"/>
    <w:rsid w:val="003C6923"/>
    <w:rsid w:val="003C6ABE"/>
    <w:rsid w:val="003C6BE2"/>
    <w:rsid w:val="003C6C93"/>
    <w:rsid w:val="003C6EC1"/>
    <w:rsid w:val="003C6FDB"/>
    <w:rsid w:val="003C7248"/>
    <w:rsid w:val="003C755D"/>
    <w:rsid w:val="003C7644"/>
    <w:rsid w:val="003C7826"/>
    <w:rsid w:val="003C7835"/>
    <w:rsid w:val="003C785C"/>
    <w:rsid w:val="003C7865"/>
    <w:rsid w:val="003C7878"/>
    <w:rsid w:val="003C78F3"/>
    <w:rsid w:val="003C7A48"/>
    <w:rsid w:val="003C7AD0"/>
    <w:rsid w:val="003C7CB2"/>
    <w:rsid w:val="003C7D90"/>
    <w:rsid w:val="003C7DA4"/>
    <w:rsid w:val="003D014F"/>
    <w:rsid w:val="003D0304"/>
    <w:rsid w:val="003D03F3"/>
    <w:rsid w:val="003D05FF"/>
    <w:rsid w:val="003D0809"/>
    <w:rsid w:val="003D0999"/>
    <w:rsid w:val="003D09F0"/>
    <w:rsid w:val="003D0CAC"/>
    <w:rsid w:val="003D0CE0"/>
    <w:rsid w:val="003D0E25"/>
    <w:rsid w:val="003D105D"/>
    <w:rsid w:val="003D1096"/>
    <w:rsid w:val="003D1107"/>
    <w:rsid w:val="003D11D2"/>
    <w:rsid w:val="003D12F7"/>
    <w:rsid w:val="003D1497"/>
    <w:rsid w:val="003D1560"/>
    <w:rsid w:val="003D163C"/>
    <w:rsid w:val="003D183D"/>
    <w:rsid w:val="003D186C"/>
    <w:rsid w:val="003D1A57"/>
    <w:rsid w:val="003D1CE2"/>
    <w:rsid w:val="003D1DE1"/>
    <w:rsid w:val="003D1FBD"/>
    <w:rsid w:val="003D229F"/>
    <w:rsid w:val="003D2342"/>
    <w:rsid w:val="003D23BD"/>
    <w:rsid w:val="003D23F6"/>
    <w:rsid w:val="003D27A3"/>
    <w:rsid w:val="003D291A"/>
    <w:rsid w:val="003D2956"/>
    <w:rsid w:val="003D2A51"/>
    <w:rsid w:val="003D2B09"/>
    <w:rsid w:val="003D2B7D"/>
    <w:rsid w:val="003D2D08"/>
    <w:rsid w:val="003D2D7A"/>
    <w:rsid w:val="003D2EBB"/>
    <w:rsid w:val="003D32FD"/>
    <w:rsid w:val="003D332F"/>
    <w:rsid w:val="003D373B"/>
    <w:rsid w:val="003D37E7"/>
    <w:rsid w:val="003D37F3"/>
    <w:rsid w:val="003D3937"/>
    <w:rsid w:val="003D3BBF"/>
    <w:rsid w:val="003D3C9A"/>
    <w:rsid w:val="003D3DD5"/>
    <w:rsid w:val="003D3E27"/>
    <w:rsid w:val="003D3E87"/>
    <w:rsid w:val="003D3F20"/>
    <w:rsid w:val="003D3F64"/>
    <w:rsid w:val="003D3FD9"/>
    <w:rsid w:val="003D3FE9"/>
    <w:rsid w:val="003D4321"/>
    <w:rsid w:val="003D467E"/>
    <w:rsid w:val="003D48A1"/>
    <w:rsid w:val="003D4991"/>
    <w:rsid w:val="003D49CF"/>
    <w:rsid w:val="003D4A45"/>
    <w:rsid w:val="003D4AF0"/>
    <w:rsid w:val="003D4BDB"/>
    <w:rsid w:val="003D4DC1"/>
    <w:rsid w:val="003D4DDF"/>
    <w:rsid w:val="003D4F26"/>
    <w:rsid w:val="003D4FCF"/>
    <w:rsid w:val="003D513B"/>
    <w:rsid w:val="003D52B3"/>
    <w:rsid w:val="003D53F6"/>
    <w:rsid w:val="003D55B2"/>
    <w:rsid w:val="003D5615"/>
    <w:rsid w:val="003D5630"/>
    <w:rsid w:val="003D5636"/>
    <w:rsid w:val="003D576D"/>
    <w:rsid w:val="003D578F"/>
    <w:rsid w:val="003D57ED"/>
    <w:rsid w:val="003D58B3"/>
    <w:rsid w:val="003D5B90"/>
    <w:rsid w:val="003D5E68"/>
    <w:rsid w:val="003D5EC5"/>
    <w:rsid w:val="003D6229"/>
    <w:rsid w:val="003D6422"/>
    <w:rsid w:val="003D649A"/>
    <w:rsid w:val="003D6644"/>
    <w:rsid w:val="003D6884"/>
    <w:rsid w:val="003D68A2"/>
    <w:rsid w:val="003D697B"/>
    <w:rsid w:val="003D6A3A"/>
    <w:rsid w:val="003D6AFD"/>
    <w:rsid w:val="003D6B41"/>
    <w:rsid w:val="003D6BE3"/>
    <w:rsid w:val="003D6BFA"/>
    <w:rsid w:val="003D6FB3"/>
    <w:rsid w:val="003D710A"/>
    <w:rsid w:val="003D719D"/>
    <w:rsid w:val="003D728F"/>
    <w:rsid w:val="003D73D7"/>
    <w:rsid w:val="003D73F6"/>
    <w:rsid w:val="003D7427"/>
    <w:rsid w:val="003D7660"/>
    <w:rsid w:val="003D778A"/>
    <w:rsid w:val="003D77CD"/>
    <w:rsid w:val="003D780A"/>
    <w:rsid w:val="003D789A"/>
    <w:rsid w:val="003D79E0"/>
    <w:rsid w:val="003D7CC3"/>
    <w:rsid w:val="003D7CED"/>
    <w:rsid w:val="003D7E8A"/>
    <w:rsid w:val="003D7E8B"/>
    <w:rsid w:val="003D7EBD"/>
    <w:rsid w:val="003D7F00"/>
    <w:rsid w:val="003E017B"/>
    <w:rsid w:val="003E027D"/>
    <w:rsid w:val="003E0299"/>
    <w:rsid w:val="003E075D"/>
    <w:rsid w:val="003E0B76"/>
    <w:rsid w:val="003E0C7E"/>
    <w:rsid w:val="003E0D28"/>
    <w:rsid w:val="003E0D31"/>
    <w:rsid w:val="003E0F76"/>
    <w:rsid w:val="003E147C"/>
    <w:rsid w:val="003E1674"/>
    <w:rsid w:val="003E16A4"/>
    <w:rsid w:val="003E17BC"/>
    <w:rsid w:val="003E17D4"/>
    <w:rsid w:val="003E1943"/>
    <w:rsid w:val="003E1CFD"/>
    <w:rsid w:val="003E1E79"/>
    <w:rsid w:val="003E1F46"/>
    <w:rsid w:val="003E2010"/>
    <w:rsid w:val="003E2242"/>
    <w:rsid w:val="003E2261"/>
    <w:rsid w:val="003E2267"/>
    <w:rsid w:val="003E22C0"/>
    <w:rsid w:val="003E23CA"/>
    <w:rsid w:val="003E23FF"/>
    <w:rsid w:val="003E24C6"/>
    <w:rsid w:val="003E265E"/>
    <w:rsid w:val="003E2A39"/>
    <w:rsid w:val="003E2A4E"/>
    <w:rsid w:val="003E2BFE"/>
    <w:rsid w:val="003E2C5C"/>
    <w:rsid w:val="003E2EE1"/>
    <w:rsid w:val="003E2F62"/>
    <w:rsid w:val="003E314F"/>
    <w:rsid w:val="003E317E"/>
    <w:rsid w:val="003E3264"/>
    <w:rsid w:val="003E3542"/>
    <w:rsid w:val="003E3706"/>
    <w:rsid w:val="003E3777"/>
    <w:rsid w:val="003E3912"/>
    <w:rsid w:val="003E3944"/>
    <w:rsid w:val="003E3A76"/>
    <w:rsid w:val="003E3AF8"/>
    <w:rsid w:val="003E3DCB"/>
    <w:rsid w:val="003E3ED6"/>
    <w:rsid w:val="003E4003"/>
    <w:rsid w:val="003E4199"/>
    <w:rsid w:val="003E42A0"/>
    <w:rsid w:val="003E44A7"/>
    <w:rsid w:val="003E44B9"/>
    <w:rsid w:val="003E44D5"/>
    <w:rsid w:val="003E465B"/>
    <w:rsid w:val="003E4770"/>
    <w:rsid w:val="003E494F"/>
    <w:rsid w:val="003E4A6E"/>
    <w:rsid w:val="003E4AA7"/>
    <w:rsid w:val="003E4B71"/>
    <w:rsid w:val="003E4B85"/>
    <w:rsid w:val="003E4BAC"/>
    <w:rsid w:val="003E4C26"/>
    <w:rsid w:val="003E4C2A"/>
    <w:rsid w:val="003E4C9F"/>
    <w:rsid w:val="003E4EE5"/>
    <w:rsid w:val="003E4F16"/>
    <w:rsid w:val="003E4FAD"/>
    <w:rsid w:val="003E53CE"/>
    <w:rsid w:val="003E5564"/>
    <w:rsid w:val="003E56D8"/>
    <w:rsid w:val="003E5913"/>
    <w:rsid w:val="003E596A"/>
    <w:rsid w:val="003E5B7E"/>
    <w:rsid w:val="003E5F78"/>
    <w:rsid w:val="003E617B"/>
    <w:rsid w:val="003E61B2"/>
    <w:rsid w:val="003E62F0"/>
    <w:rsid w:val="003E6340"/>
    <w:rsid w:val="003E646A"/>
    <w:rsid w:val="003E6476"/>
    <w:rsid w:val="003E647A"/>
    <w:rsid w:val="003E6642"/>
    <w:rsid w:val="003E6C27"/>
    <w:rsid w:val="003E6C66"/>
    <w:rsid w:val="003E6E3A"/>
    <w:rsid w:val="003E6E4A"/>
    <w:rsid w:val="003E6F51"/>
    <w:rsid w:val="003E6FCB"/>
    <w:rsid w:val="003E6FE6"/>
    <w:rsid w:val="003E715D"/>
    <w:rsid w:val="003E7258"/>
    <w:rsid w:val="003E72B9"/>
    <w:rsid w:val="003E7338"/>
    <w:rsid w:val="003E740B"/>
    <w:rsid w:val="003E755F"/>
    <w:rsid w:val="003E7603"/>
    <w:rsid w:val="003E7670"/>
    <w:rsid w:val="003E7685"/>
    <w:rsid w:val="003E7887"/>
    <w:rsid w:val="003E7978"/>
    <w:rsid w:val="003E79D2"/>
    <w:rsid w:val="003E7A18"/>
    <w:rsid w:val="003E7CA3"/>
    <w:rsid w:val="003E7D4E"/>
    <w:rsid w:val="003E7DBC"/>
    <w:rsid w:val="003E7F40"/>
    <w:rsid w:val="003F004C"/>
    <w:rsid w:val="003F0056"/>
    <w:rsid w:val="003F02CB"/>
    <w:rsid w:val="003F036D"/>
    <w:rsid w:val="003F044B"/>
    <w:rsid w:val="003F05DE"/>
    <w:rsid w:val="003F0625"/>
    <w:rsid w:val="003F0654"/>
    <w:rsid w:val="003F06B4"/>
    <w:rsid w:val="003F0717"/>
    <w:rsid w:val="003F07C0"/>
    <w:rsid w:val="003F081D"/>
    <w:rsid w:val="003F0B06"/>
    <w:rsid w:val="003F0CCF"/>
    <w:rsid w:val="003F0E28"/>
    <w:rsid w:val="003F0F81"/>
    <w:rsid w:val="003F10C2"/>
    <w:rsid w:val="003F10DD"/>
    <w:rsid w:val="003F10F5"/>
    <w:rsid w:val="003F1309"/>
    <w:rsid w:val="003F1339"/>
    <w:rsid w:val="003F1524"/>
    <w:rsid w:val="003F163D"/>
    <w:rsid w:val="003F1674"/>
    <w:rsid w:val="003F19F4"/>
    <w:rsid w:val="003F1A5F"/>
    <w:rsid w:val="003F1B07"/>
    <w:rsid w:val="003F1B22"/>
    <w:rsid w:val="003F1B86"/>
    <w:rsid w:val="003F1C96"/>
    <w:rsid w:val="003F1CD1"/>
    <w:rsid w:val="003F1CED"/>
    <w:rsid w:val="003F1D6B"/>
    <w:rsid w:val="003F257A"/>
    <w:rsid w:val="003F27D3"/>
    <w:rsid w:val="003F2818"/>
    <w:rsid w:val="003F2819"/>
    <w:rsid w:val="003F2B40"/>
    <w:rsid w:val="003F3108"/>
    <w:rsid w:val="003F3302"/>
    <w:rsid w:val="003F347F"/>
    <w:rsid w:val="003F34D7"/>
    <w:rsid w:val="003F3525"/>
    <w:rsid w:val="003F382C"/>
    <w:rsid w:val="003F3998"/>
    <w:rsid w:val="003F3B17"/>
    <w:rsid w:val="003F3B7C"/>
    <w:rsid w:val="003F3DA9"/>
    <w:rsid w:val="003F3E7A"/>
    <w:rsid w:val="003F3F19"/>
    <w:rsid w:val="003F3F46"/>
    <w:rsid w:val="003F4117"/>
    <w:rsid w:val="003F4230"/>
    <w:rsid w:val="003F424F"/>
    <w:rsid w:val="003F426A"/>
    <w:rsid w:val="003F4283"/>
    <w:rsid w:val="003F439D"/>
    <w:rsid w:val="003F44F1"/>
    <w:rsid w:val="003F451D"/>
    <w:rsid w:val="003F45D1"/>
    <w:rsid w:val="003F4789"/>
    <w:rsid w:val="003F478C"/>
    <w:rsid w:val="003F4804"/>
    <w:rsid w:val="003F4875"/>
    <w:rsid w:val="003F4B0B"/>
    <w:rsid w:val="003F4B15"/>
    <w:rsid w:val="003F4CD1"/>
    <w:rsid w:val="003F4D2E"/>
    <w:rsid w:val="003F4DBC"/>
    <w:rsid w:val="003F4F0E"/>
    <w:rsid w:val="003F4F48"/>
    <w:rsid w:val="003F4F68"/>
    <w:rsid w:val="003F50CE"/>
    <w:rsid w:val="003F51C4"/>
    <w:rsid w:val="003F5309"/>
    <w:rsid w:val="003F530B"/>
    <w:rsid w:val="003F5351"/>
    <w:rsid w:val="003F53AA"/>
    <w:rsid w:val="003F578D"/>
    <w:rsid w:val="003F57BD"/>
    <w:rsid w:val="003F5841"/>
    <w:rsid w:val="003F5A8D"/>
    <w:rsid w:val="003F5B51"/>
    <w:rsid w:val="003F5C9D"/>
    <w:rsid w:val="003F5CF6"/>
    <w:rsid w:val="003F5DD6"/>
    <w:rsid w:val="003F5EDA"/>
    <w:rsid w:val="003F5F43"/>
    <w:rsid w:val="003F5FAE"/>
    <w:rsid w:val="003F600C"/>
    <w:rsid w:val="003F6083"/>
    <w:rsid w:val="003F614A"/>
    <w:rsid w:val="003F64A2"/>
    <w:rsid w:val="003F65D9"/>
    <w:rsid w:val="003F6702"/>
    <w:rsid w:val="003F6797"/>
    <w:rsid w:val="003F697B"/>
    <w:rsid w:val="003F69F4"/>
    <w:rsid w:val="003F6AAD"/>
    <w:rsid w:val="003F6B45"/>
    <w:rsid w:val="003F6B59"/>
    <w:rsid w:val="003F6CB5"/>
    <w:rsid w:val="003F6E15"/>
    <w:rsid w:val="003F6E83"/>
    <w:rsid w:val="003F6FF7"/>
    <w:rsid w:val="003F7226"/>
    <w:rsid w:val="003F7634"/>
    <w:rsid w:val="003F76A4"/>
    <w:rsid w:val="003F76BF"/>
    <w:rsid w:val="003F76E4"/>
    <w:rsid w:val="003F77C0"/>
    <w:rsid w:val="003F7856"/>
    <w:rsid w:val="003F7917"/>
    <w:rsid w:val="003F7984"/>
    <w:rsid w:val="003F7A2C"/>
    <w:rsid w:val="003F7DCC"/>
    <w:rsid w:val="003F7E44"/>
    <w:rsid w:val="003F7F78"/>
    <w:rsid w:val="004000F9"/>
    <w:rsid w:val="004001A1"/>
    <w:rsid w:val="0040055B"/>
    <w:rsid w:val="0040059A"/>
    <w:rsid w:val="004006BE"/>
    <w:rsid w:val="00400708"/>
    <w:rsid w:val="00400857"/>
    <w:rsid w:val="00400991"/>
    <w:rsid w:val="00400B1E"/>
    <w:rsid w:val="00400B68"/>
    <w:rsid w:val="00400D10"/>
    <w:rsid w:val="00400ED2"/>
    <w:rsid w:val="00400F3B"/>
    <w:rsid w:val="00400FB4"/>
    <w:rsid w:val="00401072"/>
    <w:rsid w:val="0040121B"/>
    <w:rsid w:val="00401284"/>
    <w:rsid w:val="00401424"/>
    <w:rsid w:val="004015F1"/>
    <w:rsid w:val="00401635"/>
    <w:rsid w:val="004018AB"/>
    <w:rsid w:val="004019BE"/>
    <w:rsid w:val="00401A4E"/>
    <w:rsid w:val="00401A6B"/>
    <w:rsid w:val="00401E57"/>
    <w:rsid w:val="004021DA"/>
    <w:rsid w:val="004021FE"/>
    <w:rsid w:val="00402212"/>
    <w:rsid w:val="0040228B"/>
    <w:rsid w:val="0040254F"/>
    <w:rsid w:val="004026AB"/>
    <w:rsid w:val="00402716"/>
    <w:rsid w:val="004028CE"/>
    <w:rsid w:val="00402BD7"/>
    <w:rsid w:val="00402BE8"/>
    <w:rsid w:val="00402CA2"/>
    <w:rsid w:val="00402F62"/>
    <w:rsid w:val="004031BA"/>
    <w:rsid w:val="004035C5"/>
    <w:rsid w:val="004037F7"/>
    <w:rsid w:val="0040396D"/>
    <w:rsid w:val="00403A6D"/>
    <w:rsid w:val="00403FE8"/>
    <w:rsid w:val="0040439A"/>
    <w:rsid w:val="004043BC"/>
    <w:rsid w:val="004044F5"/>
    <w:rsid w:val="004044FB"/>
    <w:rsid w:val="004045A3"/>
    <w:rsid w:val="004046D4"/>
    <w:rsid w:val="004046DE"/>
    <w:rsid w:val="004047C5"/>
    <w:rsid w:val="00404867"/>
    <w:rsid w:val="0040493A"/>
    <w:rsid w:val="00404AAE"/>
    <w:rsid w:val="00404B00"/>
    <w:rsid w:val="00404C0A"/>
    <w:rsid w:val="00404C29"/>
    <w:rsid w:val="00404D33"/>
    <w:rsid w:val="00404F70"/>
    <w:rsid w:val="00405026"/>
    <w:rsid w:val="00405439"/>
    <w:rsid w:val="0040547D"/>
    <w:rsid w:val="00405567"/>
    <w:rsid w:val="0040577B"/>
    <w:rsid w:val="00405A01"/>
    <w:rsid w:val="00405B9F"/>
    <w:rsid w:val="00405D14"/>
    <w:rsid w:val="00405D99"/>
    <w:rsid w:val="00405F74"/>
    <w:rsid w:val="00405FD2"/>
    <w:rsid w:val="0040603C"/>
    <w:rsid w:val="004061C0"/>
    <w:rsid w:val="0040641D"/>
    <w:rsid w:val="00406585"/>
    <w:rsid w:val="00406E98"/>
    <w:rsid w:val="00406EF7"/>
    <w:rsid w:val="00406F34"/>
    <w:rsid w:val="0040703F"/>
    <w:rsid w:val="00407340"/>
    <w:rsid w:val="00407369"/>
    <w:rsid w:val="004073CC"/>
    <w:rsid w:val="00407475"/>
    <w:rsid w:val="004075D6"/>
    <w:rsid w:val="0040770B"/>
    <w:rsid w:val="004079A5"/>
    <w:rsid w:val="00407A47"/>
    <w:rsid w:val="00407B75"/>
    <w:rsid w:val="00407DFE"/>
    <w:rsid w:val="00407F53"/>
    <w:rsid w:val="00410092"/>
    <w:rsid w:val="0041011E"/>
    <w:rsid w:val="00410427"/>
    <w:rsid w:val="004105C0"/>
    <w:rsid w:val="00410643"/>
    <w:rsid w:val="0041096E"/>
    <w:rsid w:val="00410B92"/>
    <w:rsid w:val="00410C53"/>
    <w:rsid w:val="00410CBA"/>
    <w:rsid w:val="00410D65"/>
    <w:rsid w:val="00410EFF"/>
    <w:rsid w:val="00410F98"/>
    <w:rsid w:val="0041122D"/>
    <w:rsid w:val="0041127D"/>
    <w:rsid w:val="0041136F"/>
    <w:rsid w:val="00411407"/>
    <w:rsid w:val="0041150A"/>
    <w:rsid w:val="00411750"/>
    <w:rsid w:val="00411A3F"/>
    <w:rsid w:val="00411A7D"/>
    <w:rsid w:val="00411BE8"/>
    <w:rsid w:val="00411D75"/>
    <w:rsid w:val="00411D95"/>
    <w:rsid w:val="00411E48"/>
    <w:rsid w:val="00411E85"/>
    <w:rsid w:val="00411F94"/>
    <w:rsid w:val="004120AE"/>
    <w:rsid w:val="00412179"/>
    <w:rsid w:val="0041245F"/>
    <w:rsid w:val="00412794"/>
    <w:rsid w:val="004127F8"/>
    <w:rsid w:val="004129FE"/>
    <w:rsid w:val="00412BCF"/>
    <w:rsid w:val="00412C05"/>
    <w:rsid w:val="00412FB8"/>
    <w:rsid w:val="004135FC"/>
    <w:rsid w:val="0041360E"/>
    <w:rsid w:val="00413610"/>
    <w:rsid w:val="004138C6"/>
    <w:rsid w:val="00413935"/>
    <w:rsid w:val="00413E74"/>
    <w:rsid w:val="00413EBD"/>
    <w:rsid w:val="00414081"/>
    <w:rsid w:val="004141A3"/>
    <w:rsid w:val="00414241"/>
    <w:rsid w:val="004143AE"/>
    <w:rsid w:val="00414538"/>
    <w:rsid w:val="00414995"/>
    <w:rsid w:val="0041505F"/>
    <w:rsid w:val="00415098"/>
    <w:rsid w:val="004150C9"/>
    <w:rsid w:val="0041517E"/>
    <w:rsid w:val="004152E1"/>
    <w:rsid w:val="00415534"/>
    <w:rsid w:val="0041574F"/>
    <w:rsid w:val="00415751"/>
    <w:rsid w:val="004159E7"/>
    <w:rsid w:val="004159EA"/>
    <w:rsid w:val="00415B5F"/>
    <w:rsid w:val="00415D10"/>
    <w:rsid w:val="00415E87"/>
    <w:rsid w:val="0041603D"/>
    <w:rsid w:val="0041611E"/>
    <w:rsid w:val="00416391"/>
    <w:rsid w:val="00416403"/>
    <w:rsid w:val="00416487"/>
    <w:rsid w:val="0041649D"/>
    <w:rsid w:val="004164B1"/>
    <w:rsid w:val="0041651D"/>
    <w:rsid w:val="004165BE"/>
    <w:rsid w:val="004165FA"/>
    <w:rsid w:val="004166DF"/>
    <w:rsid w:val="004167B0"/>
    <w:rsid w:val="004169AB"/>
    <w:rsid w:val="004169D5"/>
    <w:rsid w:val="00416A63"/>
    <w:rsid w:val="00416AF5"/>
    <w:rsid w:val="00416D2D"/>
    <w:rsid w:val="00416D9C"/>
    <w:rsid w:val="00416F58"/>
    <w:rsid w:val="0041721E"/>
    <w:rsid w:val="0041722E"/>
    <w:rsid w:val="004172E0"/>
    <w:rsid w:val="004172F2"/>
    <w:rsid w:val="0041747B"/>
    <w:rsid w:val="00417530"/>
    <w:rsid w:val="0041755C"/>
    <w:rsid w:val="004176A7"/>
    <w:rsid w:val="0041775E"/>
    <w:rsid w:val="0041778E"/>
    <w:rsid w:val="00417C63"/>
    <w:rsid w:val="00417DBF"/>
    <w:rsid w:val="00417EB2"/>
    <w:rsid w:val="00417ED9"/>
    <w:rsid w:val="00420049"/>
    <w:rsid w:val="00420115"/>
    <w:rsid w:val="004203B0"/>
    <w:rsid w:val="004203CF"/>
    <w:rsid w:val="0042052F"/>
    <w:rsid w:val="0042087C"/>
    <w:rsid w:val="00420AEA"/>
    <w:rsid w:val="00420CCD"/>
    <w:rsid w:val="00420E82"/>
    <w:rsid w:val="00420F29"/>
    <w:rsid w:val="004213D3"/>
    <w:rsid w:val="004213F2"/>
    <w:rsid w:val="0042146F"/>
    <w:rsid w:val="004215CE"/>
    <w:rsid w:val="004218B9"/>
    <w:rsid w:val="00421E59"/>
    <w:rsid w:val="0042216F"/>
    <w:rsid w:val="004223DE"/>
    <w:rsid w:val="00422755"/>
    <w:rsid w:val="004228F1"/>
    <w:rsid w:val="00422B87"/>
    <w:rsid w:val="00422D8D"/>
    <w:rsid w:val="00422EF4"/>
    <w:rsid w:val="00422F38"/>
    <w:rsid w:val="00423119"/>
    <w:rsid w:val="0042313F"/>
    <w:rsid w:val="00423157"/>
    <w:rsid w:val="0042337C"/>
    <w:rsid w:val="00423384"/>
    <w:rsid w:val="004234D1"/>
    <w:rsid w:val="004234D8"/>
    <w:rsid w:val="00423518"/>
    <w:rsid w:val="0042356E"/>
    <w:rsid w:val="0042360A"/>
    <w:rsid w:val="00423661"/>
    <w:rsid w:val="004236FF"/>
    <w:rsid w:val="00423705"/>
    <w:rsid w:val="00423A51"/>
    <w:rsid w:val="00423CC5"/>
    <w:rsid w:val="00423DC4"/>
    <w:rsid w:val="00423DD2"/>
    <w:rsid w:val="00423DEB"/>
    <w:rsid w:val="00423FAF"/>
    <w:rsid w:val="00423FBC"/>
    <w:rsid w:val="004242E1"/>
    <w:rsid w:val="00424472"/>
    <w:rsid w:val="00424510"/>
    <w:rsid w:val="004246FE"/>
    <w:rsid w:val="0042487F"/>
    <w:rsid w:val="004248D1"/>
    <w:rsid w:val="00424918"/>
    <w:rsid w:val="00424CDF"/>
    <w:rsid w:val="00424F02"/>
    <w:rsid w:val="004250BC"/>
    <w:rsid w:val="0042512B"/>
    <w:rsid w:val="00425426"/>
    <w:rsid w:val="00425581"/>
    <w:rsid w:val="0042563A"/>
    <w:rsid w:val="00425A0D"/>
    <w:rsid w:val="00425A1B"/>
    <w:rsid w:val="00425ABE"/>
    <w:rsid w:val="00425AE5"/>
    <w:rsid w:val="00425BD6"/>
    <w:rsid w:val="00425C1B"/>
    <w:rsid w:val="00425D7E"/>
    <w:rsid w:val="0042600D"/>
    <w:rsid w:val="004260D7"/>
    <w:rsid w:val="00426259"/>
    <w:rsid w:val="00426306"/>
    <w:rsid w:val="00426329"/>
    <w:rsid w:val="004263BE"/>
    <w:rsid w:val="004263DC"/>
    <w:rsid w:val="00426414"/>
    <w:rsid w:val="0042656C"/>
    <w:rsid w:val="00426632"/>
    <w:rsid w:val="00426689"/>
    <w:rsid w:val="00426965"/>
    <w:rsid w:val="00426AE6"/>
    <w:rsid w:val="00426E59"/>
    <w:rsid w:val="00426F02"/>
    <w:rsid w:val="004271B8"/>
    <w:rsid w:val="0042725C"/>
    <w:rsid w:val="004273B3"/>
    <w:rsid w:val="004274AE"/>
    <w:rsid w:val="0042757E"/>
    <w:rsid w:val="004278F2"/>
    <w:rsid w:val="00427C7A"/>
    <w:rsid w:val="00427F51"/>
    <w:rsid w:val="00427F85"/>
    <w:rsid w:val="0043015A"/>
    <w:rsid w:val="004301A5"/>
    <w:rsid w:val="0043036F"/>
    <w:rsid w:val="00430561"/>
    <w:rsid w:val="00430586"/>
    <w:rsid w:val="0043076A"/>
    <w:rsid w:val="00430C20"/>
    <w:rsid w:val="00430CB8"/>
    <w:rsid w:val="00430CE5"/>
    <w:rsid w:val="00430F07"/>
    <w:rsid w:val="00430F4B"/>
    <w:rsid w:val="00431084"/>
    <w:rsid w:val="004312E6"/>
    <w:rsid w:val="00431446"/>
    <w:rsid w:val="0043181D"/>
    <w:rsid w:val="0043189A"/>
    <w:rsid w:val="00431A46"/>
    <w:rsid w:val="00431B5F"/>
    <w:rsid w:val="00431FFE"/>
    <w:rsid w:val="0043216C"/>
    <w:rsid w:val="00432342"/>
    <w:rsid w:val="0043246C"/>
    <w:rsid w:val="004324F2"/>
    <w:rsid w:val="00432532"/>
    <w:rsid w:val="004325A8"/>
    <w:rsid w:val="00432655"/>
    <w:rsid w:val="00432772"/>
    <w:rsid w:val="00432AC9"/>
    <w:rsid w:val="00432F32"/>
    <w:rsid w:val="00432FB9"/>
    <w:rsid w:val="00433124"/>
    <w:rsid w:val="0043323E"/>
    <w:rsid w:val="00433256"/>
    <w:rsid w:val="004333E8"/>
    <w:rsid w:val="00433449"/>
    <w:rsid w:val="0043345D"/>
    <w:rsid w:val="00433855"/>
    <w:rsid w:val="00433C6F"/>
    <w:rsid w:val="00433DB0"/>
    <w:rsid w:val="00433E8E"/>
    <w:rsid w:val="00433F65"/>
    <w:rsid w:val="00433FF0"/>
    <w:rsid w:val="00434124"/>
    <w:rsid w:val="00434139"/>
    <w:rsid w:val="0043426C"/>
    <w:rsid w:val="00434300"/>
    <w:rsid w:val="00434343"/>
    <w:rsid w:val="004343BF"/>
    <w:rsid w:val="0043470E"/>
    <w:rsid w:val="00434BA4"/>
    <w:rsid w:val="00434DC1"/>
    <w:rsid w:val="00434DF9"/>
    <w:rsid w:val="00434E92"/>
    <w:rsid w:val="00434F51"/>
    <w:rsid w:val="00434FC6"/>
    <w:rsid w:val="00435074"/>
    <w:rsid w:val="00435089"/>
    <w:rsid w:val="0043518C"/>
    <w:rsid w:val="00435312"/>
    <w:rsid w:val="004353B9"/>
    <w:rsid w:val="004354A9"/>
    <w:rsid w:val="00435588"/>
    <w:rsid w:val="004358E7"/>
    <w:rsid w:val="004358ED"/>
    <w:rsid w:val="00435997"/>
    <w:rsid w:val="004359AE"/>
    <w:rsid w:val="00435D71"/>
    <w:rsid w:val="00435F2A"/>
    <w:rsid w:val="00435F7C"/>
    <w:rsid w:val="004360A7"/>
    <w:rsid w:val="00436255"/>
    <w:rsid w:val="00436388"/>
    <w:rsid w:val="004363D4"/>
    <w:rsid w:val="00436401"/>
    <w:rsid w:val="00436484"/>
    <w:rsid w:val="00436576"/>
    <w:rsid w:val="00436799"/>
    <w:rsid w:val="00436ABD"/>
    <w:rsid w:val="00436B4F"/>
    <w:rsid w:val="00436DD8"/>
    <w:rsid w:val="004371DD"/>
    <w:rsid w:val="00437963"/>
    <w:rsid w:val="004379D1"/>
    <w:rsid w:val="00437BC4"/>
    <w:rsid w:val="00437C39"/>
    <w:rsid w:val="00437D6E"/>
    <w:rsid w:val="00437DDB"/>
    <w:rsid w:val="00437E81"/>
    <w:rsid w:val="00437E91"/>
    <w:rsid w:val="004404D2"/>
    <w:rsid w:val="004405F3"/>
    <w:rsid w:val="0044067A"/>
    <w:rsid w:val="00440712"/>
    <w:rsid w:val="00440717"/>
    <w:rsid w:val="004409FA"/>
    <w:rsid w:val="00440C1B"/>
    <w:rsid w:val="00440CC5"/>
    <w:rsid w:val="00440D47"/>
    <w:rsid w:val="00440D4D"/>
    <w:rsid w:val="00440E1A"/>
    <w:rsid w:val="00440FDE"/>
    <w:rsid w:val="00441046"/>
    <w:rsid w:val="00441048"/>
    <w:rsid w:val="00441492"/>
    <w:rsid w:val="004414F4"/>
    <w:rsid w:val="004415FC"/>
    <w:rsid w:val="0044168C"/>
    <w:rsid w:val="004416FF"/>
    <w:rsid w:val="00441895"/>
    <w:rsid w:val="004418AB"/>
    <w:rsid w:val="004419A9"/>
    <w:rsid w:val="00441ABA"/>
    <w:rsid w:val="00441C74"/>
    <w:rsid w:val="00441D39"/>
    <w:rsid w:val="00441D5C"/>
    <w:rsid w:val="00441E64"/>
    <w:rsid w:val="00442065"/>
    <w:rsid w:val="00442124"/>
    <w:rsid w:val="004421D9"/>
    <w:rsid w:val="004421F2"/>
    <w:rsid w:val="00442211"/>
    <w:rsid w:val="00442232"/>
    <w:rsid w:val="00442401"/>
    <w:rsid w:val="0044269B"/>
    <w:rsid w:val="004426E6"/>
    <w:rsid w:val="00442825"/>
    <w:rsid w:val="00442964"/>
    <w:rsid w:val="004429A7"/>
    <w:rsid w:val="00442C1E"/>
    <w:rsid w:val="00442E7E"/>
    <w:rsid w:val="00442F57"/>
    <w:rsid w:val="00442FDE"/>
    <w:rsid w:val="004430CB"/>
    <w:rsid w:val="0044325C"/>
    <w:rsid w:val="004432FA"/>
    <w:rsid w:val="00443512"/>
    <w:rsid w:val="0044380F"/>
    <w:rsid w:val="00443927"/>
    <w:rsid w:val="00443C2B"/>
    <w:rsid w:val="00443DC5"/>
    <w:rsid w:val="00443ECA"/>
    <w:rsid w:val="004442EB"/>
    <w:rsid w:val="00444312"/>
    <w:rsid w:val="0044464B"/>
    <w:rsid w:val="00444939"/>
    <w:rsid w:val="00444AE9"/>
    <w:rsid w:val="00444B4D"/>
    <w:rsid w:val="00444FFB"/>
    <w:rsid w:val="004453E9"/>
    <w:rsid w:val="004456D7"/>
    <w:rsid w:val="00445820"/>
    <w:rsid w:val="0044599A"/>
    <w:rsid w:val="00445D14"/>
    <w:rsid w:val="00445DFD"/>
    <w:rsid w:val="00445ED0"/>
    <w:rsid w:val="00445EF8"/>
    <w:rsid w:val="00446116"/>
    <w:rsid w:val="0044611B"/>
    <w:rsid w:val="0044641A"/>
    <w:rsid w:val="00446910"/>
    <w:rsid w:val="004469AD"/>
    <w:rsid w:val="00446AAD"/>
    <w:rsid w:val="00446AF9"/>
    <w:rsid w:val="00446C00"/>
    <w:rsid w:val="00446EA8"/>
    <w:rsid w:val="00446ED0"/>
    <w:rsid w:val="00447095"/>
    <w:rsid w:val="00447113"/>
    <w:rsid w:val="004472A9"/>
    <w:rsid w:val="004474E5"/>
    <w:rsid w:val="004478C6"/>
    <w:rsid w:val="004478EB"/>
    <w:rsid w:val="004478ED"/>
    <w:rsid w:val="00447908"/>
    <w:rsid w:val="00447A47"/>
    <w:rsid w:val="00447BA6"/>
    <w:rsid w:val="00447C31"/>
    <w:rsid w:val="00447D1D"/>
    <w:rsid w:val="00447D4A"/>
    <w:rsid w:val="00447EED"/>
    <w:rsid w:val="004501D9"/>
    <w:rsid w:val="004503AD"/>
    <w:rsid w:val="00450520"/>
    <w:rsid w:val="0045067A"/>
    <w:rsid w:val="004506CB"/>
    <w:rsid w:val="004506CE"/>
    <w:rsid w:val="0045084C"/>
    <w:rsid w:val="004509AC"/>
    <w:rsid w:val="00450BD6"/>
    <w:rsid w:val="00450D1A"/>
    <w:rsid w:val="00450DB0"/>
    <w:rsid w:val="00450DBC"/>
    <w:rsid w:val="00450EBE"/>
    <w:rsid w:val="00450EF7"/>
    <w:rsid w:val="00450F76"/>
    <w:rsid w:val="00451167"/>
    <w:rsid w:val="0045137E"/>
    <w:rsid w:val="00451476"/>
    <w:rsid w:val="00451855"/>
    <w:rsid w:val="004519DD"/>
    <w:rsid w:val="004519DF"/>
    <w:rsid w:val="00451D8F"/>
    <w:rsid w:val="00451EE7"/>
    <w:rsid w:val="00452032"/>
    <w:rsid w:val="004522E5"/>
    <w:rsid w:val="00452625"/>
    <w:rsid w:val="00452652"/>
    <w:rsid w:val="004526B6"/>
    <w:rsid w:val="00452A57"/>
    <w:rsid w:val="00452D08"/>
    <w:rsid w:val="00452D65"/>
    <w:rsid w:val="00452E3F"/>
    <w:rsid w:val="00452F53"/>
    <w:rsid w:val="00453028"/>
    <w:rsid w:val="00453123"/>
    <w:rsid w:val="0045312D"/>
    <w:rsid w:val="004532DE"/>
    <w:rsid w:val="004533F9"/>
    <w:rsid w:val="004535CE"/>
    <w:rsid w:val="0045382D"/>
    <w:rsid w:val="00453898"/>
    <w:rsid w:val="00453979"/>
    <w:rsid w:val="00453A5E"/>
    <w:rsid w:val="00453B0B"/>
    <w:rsid w:val="00453B4E"/>
    <w:rsid w:val="00453D3C"/>
    <w:rsid w:val="00453E5D"/>
    <w:rsid w:val="00453FD9"/>
    <w:rsid w:val="004541B4"/>
    <w:rsid w:val="00454287"/>
    <w:rsid w:val="004543A1"/>
    <w:rsid w:val="004545A8"/>
    <w:rsid w:val="00454868"/>
    <w:rsid w:val="004548C3"/>
    <w:rsid w:val="004548EF"/>
    <w:rsid w:val="0045495B"/>
    <w:rsid w:val="004549A7"/>
    <w:rsid w:val="00454E2B"/>
    <w:rsid w:val="00454E37"/>
    <w:rsid w:val="00455193"/>
    <w:rsid w:val="00455453"/>
    <w:rsid w:val="0045557B"/>
    <w:rsid w:val="00455593"/>
    <w:rsid w:val="004555AE"/>
    <w:rsid w:val="004555C9"/>
    <w:rsid w:val="004557B7"/>
    <w:rsid w:val="0045583C"/>
    <w:rsid w:val="004559F6"/>
    <w:rsid w:val="004559F8"/>
    <w:rsid w:val="00455A39"/>
    <w:rsid w:val="00455C5F"/>
    <w:rsid w:val="00455D7A"/>
    <w:rsid w:val="00455EA9"/>
    <w:rsid w:val="00455F10"/>
    <w:rsid w:val="00455F48"/>
    <w:rsid w:val="00456044"/>
    <w:rsid w:val="00456055"/>
    <w:rsid w:val="004560C8"/>
    <w:rsid w:val="0045657D"/>
    <w:rsid w:val="0045665D"/>
    <w:rsid w:val="0045671A"/>
    <w:rsid w:val="004567DF"/>
    <w:rsid w:val="00456899"/>
    <w:rsid w:val="0045689D"/>
    <w:rsid w:val="00456A0C"/>
    <w:rsid w:val="00456A2A"/>
    <w:rsid w:val="00456AE0"/>
    <w:rsid w:val="00456B2D"/>
    <w:rsid w:val="00456CEF"/>
    <w:rsid w:val="00456DAC"/>
    <w:rsid w:val="00456E09"/>
    <w:rsid w:val="00456E8F"/>
    <w:rsid w:val="0045716F"/>
    <w:rsid w:val="0045718D"/>
    <w:rsid w:val="004574D3"/>
    <w:rsid w:val="004574E8"/>
    <w:rsid w:val="00457511"/>
    <w:rsid w:val="00457546"/>
    <w:rsid w:val="00457689"/>
    <w:rsid w:val="004577EA"/>
    <w:rsid w:val="00457829"/>
    <w:rsid w:val="00457BF8"/>
    <w:rsid w:val="00457C6F"/>
    <w:rsid w:val="00457DD7"/>
    <w:rsid w:val="00457FA9"/>
    <w:rsid w:val="00460014"/>
    <w:rsid w:val="004601B5"/>
    <w:rsid w:val="00460264"/>
    <w:rsid w:val="00460283"/>
    <w:rsid w:val="00460577"/>
    <w:rsid w:val="0046059E"/>
    <w:rsid w:val="004605E9"/>
    <w:rsid w:val="004607B7"/>
    <w:rsid w:val="00460874"/>
    <w:rsid w:val="00460D6F"/>
    <w:rsid w:val="00460E36"/>
    <w:rsid w:val="004610EC"/>
    <w:rsid w:val="0046111B"/>
    <w:rsid w:val="00461551"/>
    <w:rsid w:val="004615F0"/>
    <w:rsid w:val="0046180D"/>
    <w:rsid w:val="0046186F"/>
    <w:rsid w:val="00461992"/>
    <w:rsid w:val="00461A72"/>
    <w:rsid w:val="00461B9A"/>
    <w:rsid w:val="00461C52"/>
    <w:rsid w:val="00461E3F"/>
    <w:rsid w:val="00461ECB"/>
    <w:rsid w:val="00462181"/>
    <w:rsid w:val="00462203"/>
    <w:rsid w:val="00462396"/>
    <w:rsid w:val="004623C0"/>
    <w:rsid w:val="00462412"/>
    <w:rsid w:val="004624BB"/>
    <w:rsid w:val="00462530"/>
    <w:rsid w:val="00462571"/>
    <w:rsid w:val="0046258E"/>
    <w:rsid w:val="004627D7"/>
    <w:rsid w:val="004628FC"/>
    <w:rsid w:val="00462A4F"/>
    <w:rsid w:val="00462AD7"/>
    <w:rsid w:val="00462CA9"/>
    <w:rsid w:val="00462E17"/>
    <w:rsid w:val="00462FC9"/>
    <w:rsid w:val="00462FDB"/>
    <w:rsid w:val="00463126"/>
    <w:rsid w:val="00463207"/>
    <w:rsid w:val="00463319"/>
    <w:rsid w:val="00463369"/>
    <w:rsid w:val="0046341C"/>
    <w:rsid w:val="0046362A"/>
    <w:rsid w:val="00463A2F"/>
    <w:rsid w:val="00463BE4"/>
    <w:rsid w:val="00463E75"/>
    <w:rsid w:val="00463F02"/>
    <w:rsid w:val="00464063"/>
    <w:rsid w:val="0046413F"/>
    <w:rsid w:val="004642C2"/>
    <w:rsid w:val="00464315"/>
    <w:rsid w:val="0046431B"/>
    <w:rsid w:val="004643DE"/>
    <w:rsid w:val="0046452E"/>
    <w:rsid w:val="004646F0"/>
    <w:rsid w:val="00464C03"/>
    <w:rsid w:val="00464FB5"/>
    <w:rsid w:val="00465268"/>
    <w:rsid w:val="004654FC"/>
    <w:rsid w:val="00465512"/>
    <w:rsid w:val="00465685"/>
    <w:rsid w:val="00465758"/>
    <w:rsid w:val="004658E7"/>
    <w:rsid w:val="00465A8E"/>
    <w:rsid w:val="00465A98"/>
    <w:rsid w:val="00465B65"/>
    <w:rsid w:val="00465FD9"/>
    <w:rsid w:val="00466160"/>
    <w:rsid w:val="00466255"/>
    <w:rsid w:val="004662BC"/>
    <w:rsid w:val="00466332"/>
    <w:rsid w:val="00466599"/>
    <w:rsid w:val="0046667C"/>
    <w:rsid w:val="0046669D"/>
    <w:rsid w:val="00466932"/>
    <w:rsid w:val="00466B55"/>
    <w:rsid w:val="00466C77"/>
    <w:rsid w:val="00466C83"/>
    <w:rsid w:val="00466DC3"/>
    <w:rsid w:val="00466FC9"/>
    <w:rsid w:val="0046706A"/>
    <w:rsid w:val="0046753E"/>
    <w:rsid w:val="0046760A"/>
    <w:rsid w:val="004676C2"/>
    <w:rsid w:val="00467719"/>
    <w:rsid w:val="00467CD5"/>
    <w:rsid w:val="00467E51"/>
    <w:rsid w:val="004703E0"/>
    <w:rsid w:val="004704A5"/>
    <w:rsid w:val="004704E5"/>
    <w:rsid w:val="00470555"/>
    <w:rsid w:val="00470639"/>
    <w:rsid w:val="004706CD"/>
    <w:rsid w:val="004706D2"/>
    <w:rsid w:val="00470800"/>
    <w:rsid w:val="00470829"/>
    <w:rsid w:val="004709E2"/>
    <w:rsid w:val="00470B9F"/>
    <w:rsid w:val="00470C73"/>
    <w:rsid w:val="0047109F"/>
    <w:rsid w:val="0047114F"/>
    <w:rsid w:val="00471412"/>
    <w:rsid w:val="004714AD"/>
    <w:rsid w:val="0047150D"/>
    <w:rsid w:val="00471738"/>
    <w:rsid w:val="00471775"/>
    <w:rsid w:val="004717F8"/>
    <w:rsid w:val="00471877"/>
    <w:rsid w:val="004719BE"/>
    <w:rsid w:val="00471DF7"/>
    <w:rsid w:val="00471DF9"/>
    <w:rsid w:val="00471F48"/>
    <w:rsid w:val="004724AC"/>
    <w:rsid w:val="004727AC"/>
    <w:rsid w:val="00472987"/>
    <w:rsid w:val="00472A56"/>
    <w:rsid w:val="00472C29"/>
    <w:rsid w:val="00472C4C"/>
    <w:rsid w:val="00472D07"/>
    <w:rsid w:val="00472E7E"/>
    <w:rsid w:val="00472F8F"/>
    <w:rsid w:val="004731D5"/>
    <w:rsid w:val="00473264"/>
    <w:rsid w:val="004736C6"/>
    <w:rsid w:val="0047375C"/>
    <w:rsid w:val="004737DA"/>
    <w:rsid w:val="0047385B"/>
    <w:rsid w:val="004738E3"/>
    <w:rsid w:val="0047394B"/>
    <w:rsid w:val="00473B3E"/>
    <w:rsid w:val="00473B8C"/>
    <w:rsid w:val="00473D6D"/>
    <w:rsid w:val="00473E41"/>
    <w:rsid w:val="00473E52"/>
    <w:rsid w:val="00473F54"/>
    <w:rsid w:val="00473F5F"/>
    <w:rsid w:val="0047401B"/>
    <w:rsid w:val="00474374"/>
    <w:rsid w:val="00474464"/>
    <w:rsid w:val="004744AC"/>
    <w:rsid w:val="0047454F"/>
    <w:rsid w:val="004745BD"/>
    <w:rsid w:val="00474616"/>
    <w:rsid w:val="0047483D"/>
    <w:rsid w:val="00474874"/>
    <w:rsid w:val="004749D7"/>
    <w:rsid w:val="00474DD9"/>
    <w:rsid w:val="00474E69"/>
    <w:rsid w:val="00474ED7"/>
    <w:rsid w:val="00474F2B"/>
    <w:rsid w:val="004751FE"/>
    <w:rsid w:val="004755F9"/>
    <w:rsid w:val="0047591F"/>
    <w:rsid w:val="004759BA"/>
    <w:rsid w:val="00475B25"/>
    <w:rsid w:val="00475BB7"/>
    <w:rsid w:val="00475C1F"/>
    <w:rsid w:val="00475E1B"/>
    <w:rsid w:val="00475E95"/>
    <w:rsid w:val="00476176"/>
    <w:rsid w:val="004764CD"/>
    <w:rsid w:val="004765FD"/>
    <w:rsid w:val="00476622"/>
    <w:rsid w:val="00476B14"/>
    <w:rsid w:val="00476B61"/>
    <w:rsid w:val="00476CF7"/>
    <w:rsid w:val="00476E86"/>
    <w:rsid w:val="00476FB2"/>
    <w:rsid w:val="00476FDB"/>
    <w:rsid w:val="00476FFC"/>
    <w:rsid w:val="00477170"/>
    <w:rsid w:val="004771C2"/>
    <w:rsid w:val="00477201"/>
    <w:rsid w:val="0047731D"/>
    <w:rsid w:val="00477326"/>
    <w:rsid w:val="0047741B"/>
    <w:rsid w:val="00477471"/>
    <w:rsid w:val="0047794F"/>
    <w:rsid w:val="004779B5"/>
    <w:rsid w:val="00477A70"/>
    <w:rsid w:val="00477BAC"/>
    <w:rsid w:val="00477EC3"/>
    <w:rsid w:val="0048058F"/>
    <w:rsid w:val="004805C7"/>
    <w:rsid w:val="00480656"/>
    <w:rsid w:val="00480957"/>
    <w:rsid w:val="00480B0E"/>
    <w:rsid w:val="00480C9C"/>
    <w:rsid w:val="00480CC8"/>
    <w:rsid w:val="00480CD1"/>
    <w:rsid w:val="00480CDA"/>
    <w:rsid w:val="00480DA2"/>
    <w:rsid w:val="0048104D"/>
    <w:rsid w:val="00481126"/>
    <w:rsid w:val="00481279"/>
    <w:rsid w:val="004812F2"/>
    <w:rsid w:val="00481539"/>
    <w:rsid w:val="00481675"/>
    <w:rsid w:val="00481702"/>
    <w:rsid w:val="0048176F"/>
    <w:rsid w:val="00481795"/>
    <w:rsid w:val="0048184D"/>
    <w:rsid w:val="00481B56"/>
    <w:rsid w:val="00481BFD"/>
    <w:rsid w:val="00481C36"/>
    <w:rsid w:val="00481C9B"/>
    <w:rsid w:val="00481E55"/>
    <w:rsid w:val="00481EBB"/>
    <w:rsid w:val="00482206"/>
    <w:rsid w:val="004822AB"/>
    <w:rsid w:val="0048253A"/>
    <w:rsid w:val="0048259B"/>
    <w:rsid w:val="00482ACB"/>
    <w:rsid w:val="00482AE8"/>
    <w:rsid w:val="00482B15"/>
    <w:rsid w:val="00482B65"/>
    <w:rsid w:val="00482DB2"/>
    <w:rsid w:val="004830C8"/>
    <w:rsid w:val="004831A3"/>
    <w:rsid w:val="00483222"/>
    <w:rsid w:val="00483260"/>
    <w:rsid w:val="0048339F"/>
    <w:rsid w:val="004834A9"/>
    <w:rsid w:val="0048368F"/>
    <w:rsid w:val="004836D0"/>
    <w:rsid w:val="00483776"/>
    <w:rsid w:val="004839D6"/>
    <w:rsid w:val="00483A8D"/>
    <w:rsid w:val="00483C45"/>
    <w:rsid w:val="00483CCB"/>
    <w:rsid w:val="00483EE3"/>
    <w:rsid w:val="00484277"/>
    <w:rsid w:val="004843E1"/>
    <w:rsid w:val="004845B8"/>
    <w:rsid w:val="0048465A"/>
    <w:rsid w:val="004846CF"/>
    <w:rsid w:val="00484B53"/>
    <w:rsid w:val="00484C27"/>
    <w:rsid w:val="00484FBD"/>
    <w:rsid w:val="00485225"/>
    <w:rsid w:val="00485238"/>
    <w:rsid w:val="0048525D"/>
    <w:rsid w:val="004852D8"/>
    <w:rsid w:val="004852F5"/>
    <w:rsid w:val="004853F3"/>
    <w:rsid w:val="004854CA"/>
    <w:rsid w:val="00485911"/>
    <w:rsid w:val="00485A5B"/>
    <w:rsid w:val="0048637C"/>
    <w:rsid w:val="00486528"/>
    <w:rsid w:val="0048654F"/>
    <w:rsid w:val="004868DA"/>
    <w:rsid w:val="004869D0"/>
    <w:rsid w:val="00486B62"/>
    <w:rsid w:val="00486BB8"/>
    <w:rsid w:val="00486D2A"/>
    <w:rsid w:val="00486DE6"/>
    <w:rsid w:val="00486DE9"/>
    <w:rsid w:val="00487127"/>
    <w:rsid w:val="004872B4"/>
    <w:rsid w:val="004874F2"/>
    <w:rsid w:val="004878EA"/>
    <w:rsid w:val="0048791B"/>
    <w:rsid w:val="00487BC1"/>
    <w:rsid w:val="00487C60"/>
    <w:rsid w:val="00487CF8"/>
    <w:rsid w:val="00487F3C"/>
    <w:rsid w:val="00487F5C"/>
    <w:rsid w:val="00490450"/>
    <w:rsid w:val="0049073B"/>
    <w:rsid w:val="00490AE9"/>
    <w:rsid w:val="00490D14"/>
    <w:rsid w:val="00490EEE"/>
    <w:rsid w:val="00490F52"/>
    <w:rsid w:val="00491255"/>
    <w:rsid w:val="004914CF"/>
    <w:rsid w:val="004914E5"/>
    <w:rsid w:val="00491734"/>
    <w:rsid w:val="00491A32"/>
    <w:rsid w:val="00491ADE"/>
    <w:rsid w:val="00491B92"/>
    <w:rsid w:val="00491C51"/>
    <w:rsid w:val="00491DD5"/>
    <w:rsid w:val="00491F70"/>
    <w:rsid w:val="004920C7"/>
    <w:rsid w:val="00492174"/>
    <w:rsid w:val="004921C2"/>
    <w:rsid w:val="0049237F"/>
    <w:rsid w:val="004923DD"/>
    <w:rsid w:val="00492924"/>
    <w:rsid w:val="0049292D"/>
    <w:rsid w:val="00492B4F"/>
    <w:rsid w:val="00492B85"/>
    <w:rsid w:val="00492C9D"/>
    <w:rsid w:val="00492FB5"/>
    <w:rsid w:val="00492FFF"/>
    <w:rsid w:val="004930A9"/>
    <w:rsid w:val="004930E3"/>
    <w:rsid w:val="004930FC"/>
    <w:rsid w:val="00493452"/>
    <w:rsid w:val="00493541"/>
    <w:rsid w:val="004935A2"/>
    <w:rsid w:val="0049375B"/>
    <w:rsid w:val="004939E1"/>
    <w:rsid w:val="00493CF1"/>
    <w:rsid w:val="00493D30"/>
    <w:rsid w:val="00493EBB"/>
    <w:rsid w:val="0049402A"/>
    <w:rsid w:val="00494069"/>
    <w:rsid w:val="00494180"/>
    <w:rsid w:val="0049426F"/>
    <w:rsid w:val="004942E5"/>
    <w:rsid w:val="00494334"/>
    <w:rsid w:val="00494461"/>
    <w:rsid w:val="004944FC"/>
    <w:rsid w:val="00494527"/>
    <w:rsid w:val="0049487B"/>
    <w:rsid w:val="0049531C"/>
    <w:rsid w:val="004953CD"/>
    <w:rsid w:val="004954E6"/>
    <w:rsid w:val="00495651"/>
    <w:rsid w:val="004956B1"/>
    <w:rsid w:val="004956BC"/>
    <w:rsid w:val="004957C0"/>
    <w:rsid w:val="004957D3"/>
    <w:rsid w:val="004958AE"/>
    <w:rsid w:val="004958CA"/>
    <w:rsid w:val="004958E4"/>
    <w:rsid w:val="00495A06"/>
    <w:rsid w:val="00495ADC"/>
    <w:rsid w:val="00495BE1"/>
    <w:rsid w:val="00495F66"/>
    <w:rsid w:val="00495F69"/>
    <w:rsid w:val="00495FF9"/>
    <w:rsid w:val="00496151"/>
    <w:rsid w:val="00496322"/>
    <w:rsid w:val="00496546"/>
    <w:rsid w:val="004965D3"/>
    <w:rsid w:val="00496602"/>
    <w:rsid w:val="004967E9"/>
    <w:rsid w:val="0049686D"/>
    <w:rsid w:val="00496ACD"/>
    <w:rsid w:val="00496BD8"/>
    <w:rsid w:val="00496C3D"/>
    <w:rsid w:val="00496D03"/>
    <w:rsid w:val="00496E29"/>
    <w:rsid w:val="00496FE2"/>
    <w:rsid w:val="0049708D"/>
    <w:rsid w:val="0049730E"/>
    <w:rsid w:val="0049738B"/>
    <w:rsid w:val="004974F3"/>
    <w:rsid w:val="0049771A"/>
    <w:rsid w:val="00497895"/>
    <w:rsid w:val="00497B09"/>
    <w:rsid w:val="00497B64"/>
    <w:rsid w:val="00497C5D"/>
    <w:rsid w:val="00497C8C"/>
    <w:rsid w:val="00497E62"/>
    <w:rsid w:val="00497E9F"/>
    <w:rsid w:val="004A00D1"/>
    <w:rsid w:val="004A022E"/>
    <w:rsid w:val="004A0385"/>
    <w:rsid w:val="004A06AD"/>
    <w:rsid w:val="004A0996"/>
    <w:rsid w:val="004A0B08"/>
    <w:rsid w:val="004A0B9B"/>
    <w:rsid w:val="004A0C21"/>
    <w:rsid w:val="004A0E6F"/>
    <w:rsid w:val="004A10A7"/>
    <w:rsid w:val="004A10D7"/>
    <w:rsid w:val="004A10D9"/>
    <w:rsid w:val="004A1396"/>
    <w:rsid w:val="004A13CB"/>
    <w:rsid w:val="004A15FA"/>
    <w:rsid w:val="004A166C"/>
    <w:rsid w:val="004A1A6E"/>
    <w:rsid w:val="004A1E59"/>
    <w:rsid w:val="004A1E7B"/>
    <w:rsid w:val="004A1F3F"/>
    <w:rsid w:val="004A1FFE"/>
    <w:rsid w:val="004A2070"/>
    <w:rsid w:val="004A2145"/>
    <w:rsid w:val="004A22CF"/>
    <w:rsid w:val="004A2425"/>
    <w:rsid w:val="004A27F5"/>
    <w:rsid w:val="004A28F9"/>
    <w:rsid w:val="004A291C"/>
    <w:rsid w:val="004A2A2D"/>
    <w:rsid w:val="004A2B13"/>
    <w:rsid w:val="004A2C1B"/>
    <w:rsid w:val="004A2CE9"/>
    <w:rsid w:val="004A2ECD"/>
    <w:rsid w:val="004A2FED"/>
    <w:rsid w:val="004A3121"/>
    <w:rsid w:val="004A325E"/>
    <w:rsid w:val="004A32A7"/>
    <w:rsid w:val="004A348C"/>
    <w:rsid w:val="004A37BD"/>
    <w:rsid w:val="004A38D4"/>
    <w:rsid w:val="004A38D8"/>
    <w:rsid w:val="004A3B25"/>
    <w:rsid w:val="004A3BA1"/>
    <w:rsid w:val="004A3BC8"/>
    <w:rsid w:val="004A3CF3"/>
    <w:rsid w:val="004A3E31"/>
    <w:rsid w:val="004A3EE4"/>
    <w:rsid w:val="004A3F88"/>
    <w:rsid w:val="004A4121"/>
    <w:rsid w:val="004A4190"/>
    <w:rsid w:val="004A4532"/>
    <w:rsid w:val="004A4715"/>
    <w:rsid w:val="004A4725"/>
    <w:rsid w:val="004A4905"/>
    <w:rsid w:val="004A4A4B"/>
    <w:rsid w:val="004A4DD2"/>
    <w:rsid w:val="004A4F48"/>
    <w:rsid w:val="004A524F"/>
    <w:rsid w:val="004A5281"/>
    <w:rsid w:val="004A5375"/>
    <w:rsid w:val="004A54B5"/>
    <w:rsid w:val="004A54F1"/>
    <w:rsid w:val="004A5613"/>
    <w:rsid w:val="004A5682"/>
    <w:rsid w:val="004A5A87"/>
    <w:rsid w:val="004A5AA8"/>
    <w:rsid w:val="004A5B65"/>
    <w:rsid w:val="004A5C54"/>
    <w:rsid w:val="004A5C5F"/>
    <w:rsid w:val="004A5D09"/>
    <w:rsid w:val="004A5D5B"/>
    <w:rsid w:val="004A603E"/>
    <w:rsid w:val="004A6132"/>
    <w:rsid w:val="004A62A6"/>
    <w:rsid w:val="004A62D8"/>
    <w:rsid w:val="004A6518"/>
    <w:rsid w:val="004A65B0"/>
    <w:rsid w:val="004A65D3"/>
    <w:rsid w:val="004A6690"/>
    <w:rsid w:val="004A685F"/>
    <w:rsid w:val="004A6925"/>
    <w:rsid w:val="004A6963"/>
    <w:rsid w:val="004A6C69"/>
    <w:rsid w:val="004A6CCE"/>
    <w:rsid w:val="004A6E73"/>
    <w:rsid w:val="004A6E9E"/>
    <w:rsid w:val="004A6EFC"/>
    <w:rsid w:val="004A7017"/>
    <w:rsid w:val="004A71A6"/>
    <w:rsid w:val="004A755D"/>
    <w:rsid w:val="004A755E"/>
    <w:rsid w:val="004A758C"/>
    <w:rsid w:val="004A78A1"/>
    <w:rsid w:val="004A78D1"/>
    <w:rsid w:val="004A7A6F"/>
    <w:rsid w:val="004A7F5E"/>
    <w:rsid w:val="004A7F9E"/>
    <w:rsid w:val="004B00D4"/>
    <w:rsid w:val="004B022F"/>
    <w:rsid w:val="004B035E"/>
    <w:rsid w:val="004B03B4"/>
    <w:rsid w:val="004B04E9"/>
    <w:rsid w:val="004B04F2"/>
    <w:rsid w:val="004B0530"/>
    <w:rsid w:val="004B0745"/>
    <w:rsid w:val="004B07E6"/>
    <w:rsid w:val="004B0904"/>
    <w:rsid w:val="004B0A24"/>
    <w:rsid w:val="004B0AE0"/>
    <w:rsid w:val="004B0C7B"/>
    <w:rsid w:val="004B0D3E"/>
    <w:rsid w:val="004B0D85"/>
    <w:rsid w:val="004B0DFF"/>
    <w:rsid w:val="004B0E23"/>
    <w:rsid w:val="004B0F34"/>
    <w:rsid w:val="004B1122"/>
    <w:rsid w:val="004B1215"/>
    <w:rsid w:val="004B1258"/>
    <w:rsid w:val="004B13A3"/>
    <w:rsid w:val="004B151C"/>
    <w:rsid w:val="004B17D8"/>
    <w:rsid w:val="004B1989"/>
    <w:rsid w:val="004B19E6"/>
    <w:rsid w:val="004B1AC1"/>
    <w:rsid w:val="004B1BB5"/>
    <w:rsid w:val="004B1CA6"/>
    <w:rsid w:val="004B1CB5"/>
    <w:rsid w:val="004B1E76"/>
    <w:rsid w:val="004B1FA7"/>
    <w:rsid w:val="004B1FC4"/>
    <w:rsid w:val="004B20C5"/>
    <w:rsid w:val="004B20FC"/>
    <w:rsid w:val="004B21B9"/>
    <w:rsid w:val="004B21CB"/>
    <w:rsid w:val="004B2390"/>
    <w:rsid w:val="004B23FF"/>
    <w:rsid w:val="004B256F"/>
    <w:rsid w:val="004B2661"/>
    <w:rsid w:val="004B28FE"/>
    <w:rsid w:val="004B2B52"/>
    <w:rsid w:val="004B2B5A"/>
    <w:rsid w:val="004B2CC7"/>
    <w:rsid w:val="004B2D93"/>
    <w:rsid w:val="004B2E05"/>
    <w:rsid w:val="004B2E0D"/>
    <w:rsid w:val="004B2E46"/>
    <w:rsid w:val="004B2E48"/>
    <w:rsid w:val="004B2EB9"/>
    <w:rsid w:val="004B3228"/>
    <w:rsid w:val="004B32A2"/>
    <w:rsid w:val="004B3318"/>
    <w:rsid w:val="004B3551"/>
    <w:rsid w:val="004B366B"/>
    <w:rsid w:val="004B3825"/>
    <w:rsid w:val="004B3883"/>
    <w:rsid w:val="004B3903"/>
    <w:rsid w:val="004B39B6"/>
    <w:rsid w:val="004B3AED"/>
    <w:rsid w:val="004B3F2A"/>
    <w:rsid w:val="004B434C"/>
    <w:rsid w:val="004B453D"/>
    <w:rsid w:val="004B45D5"/>
    <w:rsid w:val="004B4764"/>
    <w:rsid w:val="004B491C"/>
    <w:rsid w:val="004B49C2"/>
    <w:rsid w:val="004B4ADF"/>
    <w:rsid w:val="004B4E34"/>
    <w:rsid w:val="004B4F8A"/>
    <w:rsid w:val="004B50D1"/>
    <w:rsid w:val="004B5199"/>
    <w:rsid w:val="004B55AB"/>
    <w:rsid w:val="004B55D0"/>
    <w:rsid w:val="004B56B1"/>
    <w:rsid w:val="004B586A"/>
    <w:rsid w:val="004B5CA1"/>
    <w:rsid w:val="004B5CB3"/>
    <w:rsid w:val="004B5D78"/>
    <w:rsid w:val="004B5E2D"/>
    <w:rsid w:val="004B5F65"/>
    <w:rsid w:val="004B60F7"/>
    <w:rsid w:val="004B6269"/>
    <w:rsid w:val="004B62A9"/>
    <w:rsid w:val="004B64D7"/>
    <w:rsid w:val="004B64EC"/>
    <w:rsid w:val="004B662D"/>
    <w:rsid w:val="004B6638"/>
    <w:rsid w:val="004B6898"/>
    <w:rsid w:val="004B68AC"/>
    <w:rsid w:val="004B68BC"/>
    <w:rsid w:val="004B68BD"/>
    <w:rsid w:val="004B696B"/>
    <w:rsid w:val="004B6E5C"/>
    <w:rsid w:val="004B6EEF"/>
    <w:rsid w:val="004B6F9D"/>
    <w:rsid w:val="004B7008"/>
    <w:rsid w:val="004B705F"/>
    <w:rsid w:val="004B7335"/>
    <w:rsid w:val="004B7454"/>
    <w:rsid w:val="004B7AD1"/>
    <w:rsid w:val="004B7AD2"/>
    <w:rsid w:val="004B7BB3"/>
    <w:rsid w:val="004B7CA7"/>
    <w:rsid w:val="004B7ED8"/>
    <w:rsid w:val="004B7F0B"/>
    <w:rsid w:val="004B7F38"/>
    <w:rsid w:val="004C0019"/>
    <w:rsid w:val="004C01F7"/>
    <w:rsid w:val="004C03BD"/>
    <w:rsid w:val="004C0649"/>
    <w:rsid w:val="004C09F4"/>
    <w:rsid w:val="004C0A5A"/>
    <w:rsid w:val="004C0CC6"/>
    <w:rsid w:val="004C0DD3"/>
    <w:rsid w:val="004C0DDC"/>
    <w:rsid w:val="004C0DE0"/>
    <w:rsid w:val="004C0E1A"/>
    <w:rsid w:val="004C0F27"/>
    <w:rsid w:val="004C0F65"/>
    <w:rsid w:val="004C10DD"/>
    <w:rsid w:val="004C118D"/>
    <w:rsid w:val="004C11A1"/>
    <w:rsid w:val="004C1469"/>
    <w:rsid w:val="004C14A1"/>
    <w:rsid w:val="004C1823"/>
    <w:rsid w:val="004C1900"/>
    <w:rsid w:val="004C1B7B"/>
    <w:rsid w:val="004C1C86"/>
    <w:rsid w:val="004C1CA5"/>
    <w:rsid w:val="004C1E96"/>
    <w:rsid w:val="004C1EB7"/>
    <w:rsid w:val="004C1EF3"/>
    <w:rsid w:val="004C2022"/>
    <w:rsid w:val="004C2210"/>
    <w:rsid w:val="004C2376"/>
    <w:rsid w:val="004C2704"/>
    <w:rsid w:val="004C2AAD"/>
    <w:rsid w:val="004C2BA9"/>
    <w:rsid w:val="004C2C86"/>
    <w:rsid w:val="004C2DD0"/>
    <w:rsid w:val="004C2E96"/>
    <w:rsid w:val="004C3004"/>
    <w:rsid w:val="004C3079"/>
    <w:rsid w:val="004C3131"/>
    <w:rsid w:val="004C3526"/>
    <w:rsid w:val="004C396F"/>
    <w:rsid w:val="004C3B04"/>
    <w:rsid w:val="004C3BDA"/>
    <w:rsid w:val="004C3D20"/>
    <w:rsid w:val="004C3D55"/>
    <w:rsid w:val="004C3E75"/>
    <w:rsid w:val="004C3F12"/>
    <w:rsid w:val="004C4093"/>
    <w:rsid w:val="004C4241"/>
    <w:rsid w:val="004C436A"/>
    <w:rsid w:val="004C448A"/>
    <w:rsid w:val="004C44E2"/>
    <w:rsid w:val="004C4AC9"/>
    <w:rsid w:val="004C4BD8"/>
    <w:rsid w:val="004C4D15"/>
    <w:rsid w:val="004C4D7E"/>
    <w:rsid w:val="004C4DA0"/>
    <w:rsid w:val="004C4F3B"/>
    <w:rsid w:val="004C5059"/>
    <w:rsid w:val="004C53F1"/>
    <w:rsid w:val="004C5667"/>
    <w:rsid w:val="004C56E4"/>
    <w:rsid w:val="004C571D"/>
    <w:rsid w:val="004C578E"/>
    <w:rsid w:val="004C598C"/>
    <w:rsid w:val="004C5AE7"/>
    <w:rsid w:val="004C5D27"/>
    <w:rsid w:val="004C5DE7"/>
    <w:rsid w:val="004C5E44"/>
    <w:rsid w:val="004C5F2C"/>
    <w:rsid w:val="004C5FB9"/>
    <w:rsid w:val="004C61D5"/>
    <w:rsid w:val="004C6281"/>
    <w:rsid w:val="004C661E"/>
    <w:rsid w:val="004C66E5"/>
    <w:rsid w:val="004C68DB"/>
    <w:rsid w:val="004C69EB"/>
    <w:rsid w:val="004C6A15"/>
    <w:rsid w:val="004C6A3F"/>
    <w:rsid w:val="004C6A80"/>
    <w:rsid w:val="004C6B2D"/>
    <w:rsid w:val="004C6C46"/>
    <w:rsid w:val="004C6EDF"/>
    <w:rsid w:val="004C7009"/>
    <w:rsid w:val="004C72BD"/>
    <w:rsid w:val="004C73D7"/>
    <w:rsid w:val="004C74D0"/>
    <w:rsid w:val="004C7520"/>
    <w:rsid w:val="004C764F"/>
    <w:rsid w:val="004C7764"/>
    <w:rsid w:val="004C7773"/>
    <w:rsid w:val="004C77CE"/>
    <w:rsid w:val="004C787A"/>
    <w:rsid w:val="004C7A88"/>
    <w:rsid w:val="004C7B37"/>
    <w:rsid w:val="004C7C31"/>
    <w:rsid w:val="004C7D00"/>
    <w:rsid w:val="004C7F3E"/>
    <w:rsid w:val="004D0223"/>
    <w:rsid w:val="004D02D2"/>
    <w:rsid w:val="004D04FD"/>
    <w:rsid w:val="004D05CA"/>
    <w:rsid w:val="004D06B1"/>
    <w:rsid w:val="004D0742"/>
    <w:rsid w:val="004D075C"/>
    <w:rsid w:val="004D090D"/>
    <w:rsid w:val="004D0A5A"/>
    <w:rsid w:val="004D0B10"/>
    <w:rsid w:val="004D0CF9"/>
    <w:rsid w:val="004D0D3B"/>
    <w:rsid w:val="004D110D"/>
    <w:rsid w:val="004D13F8"/>
    <w:rsid w:val="004D17E0"/>
    <w:rsid w:val="004D19EB"/>
    <w:rsid w:val="004D1A02"/>
    <w:rsid w:val="004D1A51"/>
    <w:rsid w:val="004D1C42"/>
    <w:rsid w:val="004D1C6A"/>
    <w:rsid w:val="004D1D21"/>
    <w:rsid w:val="004D1FFE"/>
    <w:rsid w:val="004D207E"/>
    <w:rsid w:val="004D22A6"/>
    <w:rsid w:val="004D24E1"/>
    <w:rsid w:val="004D2564"/>
    <w:rsid w:val="004D2622"/>
    <w:rsid w:val="004D2869"/>
    <w:rsid w:val="004D2A3E"/>
    <w:rsid w:val="004D2AC7"/>
    <w:rsid w:val="004D2AD7"/>
    <w:rsid w:val="004D2D2C"/>
    <w:rsid w:val="004D2E71"/>
    <w:rsid w:val="004D2EE4"/>
    <w:rsid w:val="004D2F2C"/>
    <w:rsid w:val="004D30FB"/>
    <w:rsid w:val="004D311A"/>
    <w:rsid w:val="004D3698"/>
    <w:rsid w:val="004D36FB"/>
    <w:rsid w:val="004D3913"/>
    <w:rsid w:val="004D397D"/>
    <w:rsid w:val="004D3A01"/>
    <w:rsid w:val="004D3A6B"/>
    <w:rsid w:val="004D3B8A"/>
    <w:rsid w:val="004D3FA3"/>
    <w:rsid w:val="004D416A"/>
    <w:rsid w:val="004D4503"/>
    <w:rsid w:val="004D4702"/>
    <w:rsid w:val="004D486C"/>
    <w:rsid w:val="004D4903"/>
    <w:rsid w:val="004D495B"/>
    <w:rsid w:val="004D4A93"/>
    <w:rsid w:val="004D4B17"/>
    <w:rsid w:val="004D4C21"/>
    <w:rsid w:val="004D4C83"/>
    <w:rsid w:val="004D4CD4"/>
    <w:rsid w:val="004D4E95"/>
    <w:rsid w:val="004D4EF6"/>
    <w:rsid w:val="004D5236"/>
    <w:rsid w:val="004D53C2"/>
    <w:rsid w:val="004D54A7"/>
    <w:rsid w:val="004D5786"/>
    <w:rsid w:val="004D57CB"/>
    <w:rsid w:val="004D5804"/>
    <w:rsid w:val="004D59D4"/>
    <w:rsid w:val="004D5A34"/>
    <w:rsid w:val="004D5CAD"/>
    <w:rsid w:val="004D5CCC"/>
    <w:rsid w:val="004D5D10"/>
    <w:rsid w:val="004D5EAD"/>
    <w:rsid w:val="004D6333"/>
    <w:rsid w:val="004D63DB"/>
    <w:rsid w:val="004D6548"/>
    <w:rsid w:val="004D6AE7"/>
    <w:rsid w:val="004D6B0C"/>
    <w:rsid w:val="004D6BAE"/>
    <w:rsid w:val="004D6DFE"/>
    <w:rsid w:val="004D719E"/>
    <w:rsid w:val="004D7299"/>
    <w:rsid w:val="004D7526"/>
    <w:rsid w:val="004D78A1"/>
    <w:rsid w:val="004D79A2"/>
    <w:rsid w:val="004D7A82"/>
    <w:rsid w:val="004D7A93"/>
    <w:rsid w:val="004D7B78"/>
    <w:rsid w:val="004D7EEB"/>
    <w:rsid w:val="004D7F1C"/>
    <w:rsid w:val="004D7F98"/>
    <w:rsid w:val="004E025F"/>
    <w:rsid w:val="004E039D"/>
    <w:rsid w:val="004E0466"/>
    <w:rsid w:val="004E0700"/>
    <w:rsid w:val="004E077D"/>
    <w:rsid w:val="004E08EB"/>
    <w:rsid w:val="004E09F3"/>
    <w:rsid w:val="004E0A15"/>
    <w:rsid w:val="004E0A9A"/>
    <w:rsid w:val="004E0E71"/>
    <w:rsid w:val="004E0F8B"/>
    <w:rsid w:val="004E0FE1"/>
    <w:rsid w:val="004E1244"/>
    <w:rsid w:val="004E13FA"/>
    <w:rsid w:val="004E1667"/>
    <w:rsid w:val="004E16B4"/>
    <w:rsid w:val="004E17DE"/>
    <w:rsid w:val="004E17E5"/>
    <w:rsid w:val="004E1879"/>
    <w:rsid w:val="004E1B68"/>
    <w:rsid w:val="004E1C10"/>
    <w:rsid w:val="004E1CA4"/>
    <w:rsid w:val="004E1D50"/>
    <w:rsid w:val="004E1DF9"/>
    <w:rsid w:val="004E1EFA"/>
    <w:rsid w:val="004E1F5A"/>
    <w:rsid w:val="004E2162"/>
    <w:rsid w:val="004E2177"/>
    <w:rsid w:val="004E21F7"/>
    <w:rsid w:val="004E2533"/>
    <w:rsid w:val="004E2629"/>
    <w:rsid w:val="004E26AA"/>
    <w:rsid w:val="004E2838"/>
    <w:rsid w:val="004E2A70"/>
    <w:rsid w:val="004E2B22"/>
    <w:rsid w:val="004E2C7A"/>
    <w:rsid w:val="004E2D51"/>
    <w:rsid w:val="004E3019"/>
    <w:rsid w:val="004E3184"/>
    <w:rsid w:val="004E3208"/>
    <w:rsid w:val="004E33A9"/>
    <w:rsid w:val="004E346D"/>
    <w:rsid w:val="004E3590"/>
    <w:rsid w:val="004E35CE"/>
    <w:rsid w:val="004E35E6"/>
    <w:rsid w:val="004E3790"/>
    <w:rsid w:val="004E37BD"/>
    <w:rsid w:val="004E390F"/>
    <w:rsid w:val="004E3A77"/>
    <w:rsid w:val="004E3C25"/>
    <w:rsid w:val="004E3FBB"/>
    <w:rsid w:val="004E4055"/>
    <w:rsid w:val="004E432E"/>
    <w:rsid w:val="004E4334"/>
    <w:rsid w:val="004E4354"/>
    <w:rsid w:val="004E4505"/>
    <w:rsid w:val="004E4799"/>
    <w:rsid w:val="004E4826"/>
    <w:rsid w:val="004E485E"/>
    <w:rsid w:val="004E496B"/>
    <w:rsid w:val="004E4995"/>
    <w:rsid w:val="004E4A1E"/>
    <w:rsid w:val="004E4CD3"/>
    <w:rsid w:val="004E4CD5"/>
    <w:rsid w:val="004E4DDC"/>
    <w:rsid w:val="004E4DF3"/>
    <w:rsid w:val="004E4FFC"/>
    <w:rsid w:val="004E5207"/>
    <w:rsid w:val="004E5441"/>
    <w:rsid w:val="004E57D2"/>
    <w:rsid w:val="004E5986"/>
    <w:rsid w:val="004E5CBE"/>
    <w:rsid w:val="004E5E67"/>
    <w:rsid w:val="004E60BC"/>
    <w:rsid w:val="004E63E0"/>
    <w:rsid w:val="004E65C0"/>
    <w:rsid w:val="004E660C"/>
    <w:rsid w:val="004E6721"/>
    <w:rsid w:val="004E678D"/>
    <w:rsid w:val="004E6B1F"/>
    <w:rsid w:val="004E6C16"/>
    <w:rsid w:val="004E6CC0"/>
    <w:rsid w:val="004E6D03"/>
    <w:rsid w:val="004E6D1E"/>
    <w:rsid w:val="004E6F7C"/>
    <w:rsid w:val="004E6FF9"/>
    <w:rsid w:val="004E70FB"/>
    <w:rsid w:val="004E72ED"/>
    <w:rsid w:val="004E7376"/>
    <w:rsid w:val="004E74D4"/>
    <w:rsid w:val="004E79F4"/>
    <w:rsid w:val="004E7B3E"/>
    <w:rsid w:val="004E7BBE"/>
    <w:rsid w:val="004E7BC0"/>
    <w:rsid w:val="004E7C63"/>
    <w:rsid w:val="004E7D09"/>
    <w:rsid w:val="004E7DD2"/>
    <w:rsid w:val="004F0032"/>
    <w:rsid w:val="004F00BB"/>
    <w:rsid w:val="004F00FF"/>
    <w:rsid w:val="004F073F"/>
    <w:rsid w:val="004F0C65"/>
    <w:rsid w:val="004F0D14"/>
    <w:rsid w:val="004F0D4C"/>
    <w:rsid w:val="004F0E0D"/>
    <w:rsid w:val="004F0F92"/>
    <w:rsid w:val="004F12D6"/>
    <w:rsid w:val="004F12EB"/>
    <w:rsid w:val="004F1399"/>
    <w:rsid w:val="004F13E0"/>
    <w:rsid w:val="004F1596"/>
    <w:rsid w:val="004F15FF"/>
    <w:rsid w:val="004F164B"/>
    <w:rsid w:val="004F1806"/>
    <w:rsid w:val="004F181A"/>
    <w:rsid w:val="004F1951"/>
    <w:rsid w:val="004F1B0A"/>
    <w:rsid w:val="004F1B57"/>
    <w:rsid w:val="004F1B91"/>
    <w:rsid w:val="004F1C27"/>
    <w:rsid w:val="004F1D60"/>
    <w:rsid w:val="004F20F2"/>
    <w:rsid w:val="004F2124"/>
    <w:rsid w:val="004F2135"/>
    <w:rsid w:val="004F2337"/>
    <w:rsid w:val="004F2397"/>
    <w:rsid w:val="004F243E"/>
    <w:rsid w:val="004F25C5"/>
    <w:rsid w:val="004F2618"/>
    <w:rsid w:val="004F26F3"/>
    <w:rsid w:val="004F2A2F"/>
    <w:rsid w:val="004F2BAB"/>
    <w:rsid w:val="004F2BB4"/>
    <w:rsid w:val="004F2E33"/>
    <w:rsid w:val="004F2F5E"/>
    <w:rsid w:val="004F2FAA"/>
    <w:rsid w:val="004F30E7"/>
    <w:rsid w:val="004F3110"/>
    <w:rsid w:val="004F3229"/>
    <w:rsid w:val="004F32DC"/>
    <w:rsid w:val="004F34C5"/>
    <w:rsid w:val="004F34F0"/>
    <w:rsid w:val="004F3747"/>
    <w:rsid w:val="004F378D"/>
    <w:rsid w:val="004F3900"/>
    <w:rsid w:val="004F3946"/>
    <w:rsid w:val="004F394F"/>
    <w:rsid w:val="004F3A5E"/>
    <w:rsid w:val="004F3B4D"/>
    <w:rsid w:val="004F3E49"/>
    <w:rsid w:val="004F40DB"/>
    <w:rsid w:val="004F4107"/>
    <w:rsid w:val="004F42EF"/>
    <w:rsid w:val="004F42F5"/>
    <w:rsid w:val="004F4463"/>
    <w:rsid w:val="004F4510"/>
    <w:rsid w:val="004F45B2"/>
    <w:rsid w:val="004F4878"/>
    <w:rsid w:val="004F4A70"/>
    <w:rsid w:val="004F4AC3"/>
    <w:rsid w:val="004F4C45"/>
    <w:rsid w:val="004F4DDF"/>
    <w:rsid w:val="004F4ECA"/>
    <w:rsid w:val="004F4FEC"/>
    <w:rsid w:val="004F5268"/>
    <w:rsid w:val="004F5361"/>
    <w:rsid w:val="004F541D"/>
    <w:rsid w:val="004F54BD"/>
    <w:rsid w:val="004F54F2"/>
    <w:rsid w:val="004F5585"/>
    <w:rsid w:val="004F55A7"/>
    <w:rsid w:val="004F5805"/>
    <w:rsid w:val="004F581E"/>
    <w:rsid w:val="004F5A60"/>
    <w:rsid w:val="004F5E1B"/>
    <w:rsid w:val="004F6021"/>
    <w:rsid w:val="004F60A9"/>
    <w:rsid w:val="004F6151"/>
    <w:rsid w:val="004F61A6"/>
    <w:rsid w:val="004F648B"/>
    <w:rsid w:val="004F6568"/>
    <w:rsid w:val="004F6645"/>
    <w:rsid w:val="004F6809"/>
    <w:rsid w:val="004F6A04"/>
    <w:rsid w:val="004F6A9D"/>
    <w:rsid w:val="004F6AF1"/>
    <w:rsid w:val="004F6BD7"/>
    <w:rsid w:val="004F6C2E"/>
    <w:rsid w:val="004F6F19"/>
    <w:rsid w:val="004F7193"/>
    <w:rsid w:val="004F746C"/>
    <w:rsid w:val="004F778F"/>
    <w:rsid w:val="004F77D1"/>
    <w:rsid w:val="004F7814"/>
    <w:rsid w:val="004F78A6"/>
    <w:rsid w:val="004F79AC"/>
    <w:rsid w:val="004F7B5D"/>
    <w:rsid w:val="004F7F31"/>
    <w:rsid w:val="004F7FC9"/>
    <w:rsid w:val="0050007D"/>
    <w:rsid w:val="005000FC"/>
    <w:rsid w:val="005003E9"/>
    <w:rsid w:val="005004E0"/>
    <w:rsid w:val="0050073D"/>
    <w:rsid w:val="00500831"/>
    <w:rsid w:val="00500932"/>
    <w:rsid w:val="00500A70"/>
    <w:rsid w:val="00500B26"/>
    <w:rsid w:val="00500B87"/>
    <w:rsid w:val="00500CA1"/>
    <w:rsid w:val="00500EC8"/>
    <w:rsid w:val="0050106B"/>
    <w:rsid w:val="005010C3"/>
    <w:rsid w:val="0050111C"/>
    <w:rsid w:val="00501562"/>
    <w:rsid w:val="0050162E"/>
    <w:rsid w:val="005016BB"/>
    <w:rsid w:val="005017E1"/>
    <w:rsid w:val="005019F7"/>
    <w:rsid w:val="00501B55"/>
    <w:rsid w:val="00501BC8"/>
    <w:rsid w:val="00501CF7"/>
    <w:rsid w:val="00501E68"/>
    <w:rsid w:val="005025D0"/>
    <w:rsid w:val="005025E7"/>
    <w:rsid w:val="005025FC"/>
    <w:rsid w:val="00502760"/>
    <w:rsid w:val="00502812"/>
    <w:rsid w:val="0050287C"/>
    <w:rsid w:val="00502903"/>
    <w:rsid w:val="00502A37"/>
    <w:rsid w:val="00502F7C"/>
    <w:rsid w:val="005030B5"/>
    <w:rsid w:val="0050339D"/>
    <w:rsid w:val="005035AE"/>
    <w:rsid w:val="005039E2"/>
    <w:rsid w:val="00503A85"/>
    <w:rsid w:val="00503C02"/>
    <w:rsid w:val="00503D01"/>
    <w:rsid w:val="00503D66"/>
    <w:rsid w:val="00503DC3"/>
    <w:rsid w:val="00504600"/>
    <w:rsid w:val="00504841"/>
    <w:rsid w:val="00504B65"/>
    <w:rsid w:val="00504BDF"/>
    <w:rsid w:val="00504CC9"/>
    <w:rsid w:val="00504F73"/>
    <w:rsid w:val="00504F88"/>
    <w:rsid w:val="005053BB"/>
    <w:rsid w:val="0050563B"/>
    <w:rsid w:val="00505947"/>
    <w:rsid w:val="00505D09"/>
    <w:rsid w:val="00505E0C"/>
    <w:rsid w:val="00505FCA"/>
    <w:rsid w:val="00505FDE"/>
    <w:rsid w:val="00506056"/>
    <w:rsid w:val="005061F8"/>
    <w:rsid w:val="00506301"/>
    <w:rsid w:val="0050658B"/>
    <w:rsid w:val="00506611"/>
    <w:rsid w:val="00506925"/>
    <w:rsid w:val="00506941"/>
    <w:rsid w:val="00506A15"/>
    <w:rsid w:val="00506BD9"/>
    <w:rsid w:val="00506C10"/>
    <w:rsid w:val="00506C16"/>
    <w:rsid w:val="00506C2A"/>
    <w:rsid w:val="00506CE4"/>
    <w:rsid w:val="00506DA1"/>
    <w:rsid w:val="005070B0"/>
    <w:rsid w:val="00507210"/>
    <w:rsid w:val="00507372"/>
    <w:rsid w:val="005073A4"/>
    <w:rsid w:val="0050745A"/>
    <w:rsid w:val="005075E5"/>
    <w:rsid w:val="005078BF"/>
    <w:rsid w:val="00507AAB"/>
    <w:rsid w:val="00507AED"/>
    <w:rsid w:val="00507C2E"/>
    <w:rsid w:val="00507D6F"/>
    <w:rsid w:val="00507E04"/>
    <w:rsid w:val="00507E1E"/>
    <w:rsid w:val="00507EBF"/>
    <w:rsid w:val="00510011"/>
    <w:rsid w:val="00510227"/>
    <w:rsid w:val="00510316"/>
    <w:rsid w:val="005103B3"/>
    <w:rsid w:val="005103F9"/>
    <w:rsid w:val="0051041B"/>
    <w:rsid w:val="005104F7"/>
    <w:rsid w:val="00510891"/>
    <w:rsid w:val="005108F0"/>
    <w:rsid w:val="00510A80"/>
    <w:rsid w:val="00510A94"/>
    <w:rsid w:val="00510ACA"/>
    <w:rsid w:val="00510B1E"/>
    <w:rsid w:val="00510B27"/>
    <w:rsid w:val="00510BDB"/>
    <w:rsid w:val="00510E3E"/>
    <w:rsid w:val="00510F39"/>
    <w:rsid w:val="00510F5E"/>
    <w:rsid w:val="00510F88"/>
    <w:rsid w:val="0051120D"/>
    <w:rsid w:val="005116A3"/>
    <w:rsid w:val="00511D89"/>
    <w:rsid w:val="00511DB4"/>
    <w:rsid w:val="00511E0F"/>
    <w:rsid w:val="00511F8A"/>
    <w:rsid w:val="0051212F"/>
    <w:rsid w:val="005125A3"/>
    <w:rsid w:val="005125D2"/>
    <w:rsid w:val="0051279B"/>
    <w:rsid w:val="005127AE"/>
    <w:rsid w:val="005127D5"/>
    <w:rsid w:val="00512CBD"/>
    <w:rsid w:val="00512CC1"/>
    <w:rsid w:val="0051306D"/>
    <w:rsid w:val="005131AC"/>
    <w:rsid w:val="0051333C"/>
    <w:rsid w:val="005133A9"/>
    <w:rsid w:val="005133B9"/>
    <w:rsid w:val="00513746"/>
    <w:rsid w:val="0051377E"/>
    <w:rsid w:val="0051379E"/>
    <w:rsid w:val="00513ABF"/>
    <w:rsid w:val="00513AC1"/>
    <w:rsid w:val="00513AF4"/>
    <w:rsid w:val="00513E07"/>
    <w:rsid w:val="005140D5"/>
    <w:rsid w:val="005140E6"/>
    <w:rsid w:val="00514123"/>
    <w:rsid w:val="00514152"/>
    <w:rsid w:val="005141D7"/>
    <w:rsid w:val="0051432F"/>
    <w:rsid w:val="0051454D"/>
    <w:rsid w:val="005148EA"/>
    <w:rsid w:val="0051493D"/>
    <w:rsid w:val="00514A02"/>
    <w:rsid w:val="00514C6D"/>
    <w:rsid w:val="00514D6B"/>
    <w:rsid w:val="00514F12"/>
    <w:rsid w:val="005152C8"/>
    <w:rsid w:val="00515436"/>
    <w:rsid w:val="0051555D"/>
    <w:rsid w:val="0051556A"/>
    <w:rsid w:val="00515752"/>
    <w:rsid w:val="0051582A"/>
    <w:rsid w:val="0051594A"/>
    <w:rsid w:val="00515A00"/>
    <w:rsid w:val="00515AC4"/>
    <w:rsid w:val="00515CB6"/>
    <w:rsid w:val="00515E48"/>
    <w:rsid w:val="00515F14"/>
    <w:rsid w:val="00515F7E"/>
    <w:rsid w:val="00516031"/>
    <w:rsid w:val="005161A2"/>
    <w:rsid w:val="00516359"/>
    <w:rsid w:val="0051642F"/>
    <w:rsid w:val="005164DA"/>
    <w:rsid w:val="00516673"/>
    <w:rsid w:val="00516935"/>
    <w:rsid w:val="00516954"/>
    <w:rsid w:val="005169A8"/>
    <w:rsid w:val="00516E8C"/>
    <w:rsid w:val="00516F85"/>
    <w:rsid w:val="00517013"/>
    <w:rsid w:val="005170FE"/>
    <w:rsid w:val="005172BF"/>
    <w:rsid w:val="0051761B"/>
    <w:rsid w:val="00517840"/>
    <w:rsid w:val="00517946"/>
    <w:rsid w:val="00517998"/>
    <w:rsid w:val="00517A35"/>
    <w:rsid w:val="00517A6E"/>
    <w:rsid w:val="00517A9C"/>
    <w:rsid w:val="00517AB4"/>
    <w:rsid w:val="00517CFB"/>
    <w:rsid w:val="00517D1D"/>
    <w:rsid w:val="0052057B"/>
    <w:rsid w:val="00520581"/>
    <w:rsid w:val="005205AE"/>
    <w:rsid w:val="005206B8"/>
    <w:rsid w:val="00520A49"/>
    <w:rsid w:val="00520BB4"/>
    <w:rsid w:val="00520C15"/>
    <w:rsid w:val="00520CE6"/>
    <w:rsid w:val="0052118D"/>
    <w:rsid w:val="00521BBE"/>
    <w:rsid w:val="00521C0D"/>
    <w:rsid w:val="00521C12"/>
    <w:rsid w:val="00521CC9"/>
    <w:rsid w:val="00521DD5"/>
    <w:rsid w:val="00522264"/>
    <w:rsid w:val="005224A1"/>
    <w:rsid w:val="005226E5"/>
    <w:rsid w:val="00522800"/>
    <w:rsid w:val="005229EB"/>
    <w:rsid w:val="00522A51"/>
    <w:rsid w:val="00522B37"/>
    <w:rsid w:val="00522C9B"/>
    <w:rsid w:val="00522CB6"/>
    <w:rsid w:val="00522D6B"/>
    <w:rsid w:val="00522E14"/>
    <w:rsid w:val="00522E44"/>
    <w:rsid w:val="00522E54"/>
    <w:rsid w:val="00522F6E"/>
    <w:rsid w:val="0052302F"/>
    <w:rsid w:val="0052305A"/>
    <w:rsid w:val="005230F2"/>
    <w:rsid w:val="0052321C"/>
    <w:rsid w:val="005232D4"/>
    <w:rsid w:val="005234FC"/>
    <w:rsid w:val="0052356B"/>
    <w:rsid w:val="0052358B"/>
    <w:rsid w:val="0052362E"/>
    <w:rsid w:val="00523794"/>
    <w:rsid w:val="0052388C"/>
    <w:rsid w:val="005240D3"/>
    <w:rsid w:val="005240D9"/>
    <w:rsid w:val="00524147"/>
    <w:rsid w:val="005241F6"/>
    <w:rsid w:val="005243E8"/>
    <w:rsid w:val="00524417"/>
    <w:rsid w:val="00524422"/>
    <w:rsid w:val="0052447C"/>
    <w:rsid w:val="005244DE"/>
    <w:rsid w:val="005244F5"/>
    <w:rsid w:val="005246AF"/>
    <w:rsid w:val="005248D0"/>
    <w:rsid w:val="005249CA"/>
    <w:rsid w:val="00524A0F"/>
    <w:rsid w:val="00524A96"/>
    <w:rsid w:val="00524C0D"/>
    <w:rsid w:val="00524C6C"/>
    <w:rsid w:val="00524D27"/>
    <w:rsid w:val="00524D36"/>
    <w:rsid w:val="00524F2B"/>
    <w:rsid w:val="00524F49"/>
    <w:rsid w:val="005251C2"/>
    <w:rsid w:val="0052522E"/>
    <w:rsid w:val="00525689"/>
    <w:rsid w:val="005256F2"/>
    <w:rsid w:val="00525A58"/>
    <w:rsid w:val="00525A5B"/>
    <w:rsid w:val="00525A5E"/>
    <w:rsid w:val="00525AAC"/>
    <w:rsid w:val="00525B1E"/>
    <w:rsid w:val="00525CE5"/>
    <w:rsid w:val="005260B4"/>
    <w:rsid w:val="00526141"/>
    <w:rsid w:val="005263A4"/>
    <w:rsid w:val="005263BA"/>
    <w:rsid w:val="005263E4"/>
    <w:rsid w:val="00526530"/>
    <w:rsid w:val="00526610"/>
    <w:rsid w:val="00526829"/>
    <w:rsid w:val="0052686E"/>
    <w:rsid w:val="00526B5B"/>
    <w:rsid w:val="00526FDB"/>
    <w:rsid w:val="0052711D"/>
    <w:rsid w:val="005271EB"/>
    <w:rsid w:val="005275AF"/>
    <w:rsid w:val="00527683"/>
    <w:rsid w:val="00527AB4"/>
    <w:rsid w:val="00527BA2"/>
    <w:rsid w:val="00527BC5"/>
    <w:rsid w:val="00527C53"/>
    <w:rsid w:val="00527CC3"/>
    <w:rsid w:val="00527EEF"/>
    <w:rsid w:val="00527F95"/>
    <w:rsid w:val="00527FF1"/>
    <w:rsid w:val="0053016F"/>
    <w:rsid w:val="005302C9"/>
    <w:rsid w:val="0053056B"/>
    <w:rsid w:val="00530978"/>
    <w:rsid w:val="00530B6D"/>
    <w:rsid w:val="00530DCB"/>
    <w:rsid w:val="00530FEF"/>
    <w:rsid w:val="0053110E"/>
    <w:rsid w:val="00531177"/>
    <w:rsid w:val="0053119E"/>
    <w:rsid w:val="005311E2"/>
    <w:rsid w:val="00531347"/>
    <w:rsid w:val="0053136D"/>
    <w:rsid w:val="005313E5"/>
    <w:rsid w:val="0053174B"/>
    <w:rsid w:val="00531978"/>
    <w:rsid w:val="00531A02"/>
    <w:rsid w:val="00531AC4"/>
    <w:rsid w:val="00531B41"/>
    <w:rsid w:val="00531B96"/>
    <w:rsid w:val="0053217F"/>
    <w:rsid w:val="005322F1"/>
    <w:rsid w:val="005323BE"/>
    <w:rsid w:val="00532774"/>
    <w:rsid w:val="0053286E"/>
    <w:rsid w:val="00532974"/>
    <w:rsid w:val="005329A7"/>
    <w:rsid w:val="00532E02"/>
    <w:rsid w:val="00532F34"/>
    <w:rsid w:val="00533052"/>
    <w:rsid w:val="005332F2"/>
    <w:rsid w:val="00533304"/>
    <w:rsid w:val="0053334A"/>
    <w:rsid w:val="005333F3"/>
    <w:rsid w:val="00533616"/>
    <w:rsid w:val="00533682"/>
    <w:rsid w:val="00533AD1"/>
    <w:rsid w:val="00533C55"/>
    <w:rsid w:val="00533CD1"/>
    <w:rsid w:val="00533CE4"/>
    <w:rsid w:val="00533CFC"/>
    <w:rsid w:val="00533CFF"/>
    <w:rsid w:val="00533D71"/>
    <w:rsid w:val="00533D87"/>
    <w:rsid w:val="00533EF1"/>
    <w:rsid w:val="00533F43"/>
    <w:rsid w:val="0053403C"/>
    <w:rsid w:val="00534220"/>
    <w:rsid w:val="005342F0"/>
    <w:rsid w:val="005343CD"/>
    <w:rsid w:val="00534401"/>
    <w:rsid w:val="0053460E"/>
    <w:rsid w:val="0053468D"/>
    <w:rsid w:val="00534704"/>
    <w:rsid w:val="0053472A"/>
    <w:rsid w:val="0053478F"/>
    <w:rsid w:val="00534837"/>
    <w:rsid w:val="00534958"/>
    <w:rsid w:val="00534959"/>
    <w:rsid w:val="00534BEC"/>
    <w:rsid w:val="00534D84"/>
    <w:rsid w:val="00534E26"/>
    <w:rsid w:val="005352B7"/>
    <w:rsid w:val="00535318"/>
    <w:rsid w:val="00535389"/>
    <w:rsid w:val="005353FE"/>
    <w:rsid w:val="00535620"/>
    <w:rsid w:val="005356A7"/>
    <w:rsid w:val="00535746"/>
    <w:rsid w:val="00535A24"/>
    <w:rsid w:val="00535AA2"/>
    <w:rsid w:val="00535BC0"/>
    <w:rsid w:val="00535D19"/>
    <w:rsid w:val="00535EDF"/>
    <w:rsid w:val="0053628B"/>
    <w:rsid w:val="00536369"/>
    <w:rsid w:val="0053649F"/>
    <w:rsid w:val="00536502"/>
    <w:rsid w:val="005365A1"/>
    <w:rsid w:val="005367ED"/>
    <w:rsid w:val="00536818"/>
    <w:rsid w:val="005368F3"/>
    <w:rsid w:val="005369F5"/>
    <w:rsid w:val="00536B06"/>
    <w:rsid w:val="00536C92"/>
    <w:rsid w:val="00536D67"/>
    <w:rsid w:val="0053745A"/>
    <w:rsid w:val="00537521"/>
    <w:rsid w:val="00537608"/>
    <w:rsid w:val="005378C7"/>
    <w:rsid w:val="005379CE"/>
    <w:rsid w:val="00537C31"/>
    <w:rsid w:val="00537C33"/>
    <w:rsid w:val="0054017D"/>
    <w:rsid w:val="0054035E"/>
    <w:rsid w:val="00540632"/>
    <w:rsid w:val="005406C1"/>
    <w:rsid w:val="00540852"/>
    <w:rsid w:val="00540947"/>
    <w:rsid w:val="00540A87"/>
    <w:rsid w:val="00540B1A"/>
    <w:rsid w:val="00540D28"/>
    <w:rsid w:val="00540D5D"/>
    <w:rsid w:val="0054122B"/>
    <w:rsid w:val="0054125B"/>
    <w:rsid w:val="0054126E"/>
    <w:rsid w:val="00541314"/>
    <w:rsid w:val="0054131F"/>
    <w:rsid w:val="00541886"/>
    <w:rsid w:val="005419CF"/>
    <w:rsid w:val="00541B31"/>
    <w:rsid w:val="00541D9F"/>
    <w:rsid w:val="00541E5D"/>
    <w:rsid w:val="00541EEC"/>
    <w:rsid w:val="005420A5"/>
    <w:rsid w:val="00542187"/>
    <w:rsid w:val="005421C5"/>
    <w:rsid w:val="00542566"/>
    <w:rsid w:val="005425AD"/>
    <w:rsid w:val="00542659"/>
    <w:rsid w:val="005426C0"/>
    <w:rsid w:val="005427D4"/>
    <w:rsid w:val="00542996"/>
    <w:rsid w:val="00542B25"/>
    <w:rsid w:val="00542B63"/>
    <w:rsid w:val="00542BE1"/>
    <w:rsid w:val="00542CFC"/>
    <w:rsid w:val="00543279"/>
    <w:rsid w:val="005432DF"/>
    <w:rsid w:val="005434C5"/>
    <w:rsid w:val="00543518"/>
    <w:rsid w:val="00543579"/>
    <w:rsid w:val="005438ED"/>
    <w:rsid w:val="00543951"/>
    <w:rsid w:val="00543B03"/>
    <w:rsid w:val="00543D8F"/>
    <w:rsid w:val="00543E83"/>
    <w:rsid w:val="00543F58"/>
    <w:rsid w:val="00544046"/>
    <w:rsid w:val="0054427C"/>
    <w:rsid w:val="00544495"/>
    <w:rsid w:val="0054449B"/>
    <w:rsid w:val="00544746"/>
    <w:rsid w:val="00544AFC"/>
    <w:rsid w:val="00544D2D"/>
    <w:rsid w:val="00544DFD"/>
    <w:rsid w:val="00544E1B"/>
    <w:rsid w:val="00544FF6"/>
    <w:rsid w:val="00545021"/>
    <w:rsid w:val="005450F1"/>
    <w:rsid w:val="0054522C"/>
    <w:rsid w:val="00545282"/>
    <w:rsid w:val="00545548"/>
    <w:rsid w:val="0054556C"/>
    <w:rsid w:val="0054557A"/>
    <w:rsid w:val="00545628"/>
    <w:rsid w:val="00545A43"/>
    <w:rsid w:val="00545BBF"/>
    <w:rsid w:val="00545BE5"/>
    <w:rsid w:val="00545CDC"/>
    <w:rsid w:val="00545F21"/>
    <w:rsid w:val="00545F72"/>
    <w:rsid w:val="00545F84"/>
    <w:rsid w:val="00546101"/>
    <w:rsid w:val="00546181"/>
    <w:rsid w:val="0054628A"/>
    <w:rsid w:val="0054657B"/>
    <w:rsid w:val="005467F5"/>
    <w:rsid w:val="00546989"/>
    <w:rsid w:val="00546A3C"/>
    <w:rsid w:val="00546AE9"/>
    <w:rsid w:val="00546CE3"/>
    <w:rsid w:val="00546F98"/>
    <w:rsid w:val="00547158"/>
    <w:rsid w:val="0054737E"/>
    <w:rsid w:val="0054751C"/>
    <w:rsid w:val="0054770A"/>
    <w:rsid w:val="005477B2"/>
    <w:rsid w:val="005479DB"/>
    <w:rsid w:val="00547A24"/>
    <w:rsid w:val="00547C38"/>
    <w:rsid w:val="00547C63"/>
    <w:rsid w:val="00547D88"/>
    <w:rsid w:val="00547DDD"/>
    <w:rsid w:val="00547F9E"/>
    <w:rsid w:val="00547FBE"/>
    <w:rsid w:val="0055004A"/>
    <w:rsid w:val="00550054"/>
    <w:rsid w:val="0055013E"/>
    <w:rsid w:val="005501A5"/>
    <w:rsid w:val="00550399"/>
    <w:rsid w:val="00550436"/>
    <w:rsid w:val="00550551"/>
    <w:rsid w:val="00550627"/>
    <w:rsid w:val="0055062B"/>
    <w:rsid w:val="0055065F"/>
    <w:rsid w:val="005506E5"/>
    <w:rsid w:val="00550701"/>
    <w:rsid w:val="005507B3"/>
    <w:rsid w:val="00550905"/>
    <w:rsid w:val="00550913"/>
    <w:rsid w:val="00550955"/>
    <w:rsid w:val="00550BC6"/>
    <w:rsid w:val="00551020"/>
    <w:rsid w:val="00551265"/>
    <w:rsid w:val="00551437"/>
    <w:rsid w:val="0055159E"/>
    <w:rsid w:val="00551693"/>
    <w:rsid w:val="0055170E"/>
    <w:rsid w:val="005518D1"/>
    <w:rsid w:val="00551C63"/>
    <w:rsid w:val="00551C80"/>
    <w:rsid w:val="00551FFE"/>
    <w:rsid w:val="0055208B"/>
    <w:rsid w:val="00552124"/>
    <w:rsid w:val="005524DC"/>
    <w:rsid w:val="005524FB"/>
    <w:rsid w:val="005525D5"/>
    <w:rsid w:val="00552872"/>
    <w:rsid w:val="005528E9"/>
    <w:rsid w:val="00552916"/>
    <w:rsid w:val="00552A6D"/>
    <w:rsid w:val="00552B18"/>
    <w:rsid w:val="00552C18"/>
    <w:rsid w:val="00552D87"/>
    <w:rsid w:val="005533E8"/>
    <w:rsid w:val="00553517"/>
    <w:rsid w:val="00553524"/>
    <w:rsid w:val="005535E7"/>
    <w:rsid w:val="00553655"/>
    <w:rsid w:val="005536F5"/>
    <w:rsid w:val="00553732"/>
    <w:rsid w:val="005538C3"/>
    <w:rsid w:val="00553D48"/>
    <w:rsid w:val="00553F0E"/>
    <w:rsid w:val="00553F33"/>
    <w:rsid w:val="00553FE8"/>
    <w:rsid w:val="00554149"/>
    <w:rsid w:val="005541D7"/>
    <w:rsid w:val="00554293"/>
    <w:rsid w:val="0055430F"/>
    <w:rsid w:val="00554315"/>
    <w:rsid w:val="00554640"/>
    <w:rsid w:val="00554767"/>
    <w:rsid w:val="00554893"/>
    <w:rsid w:val="00554A79"/>
    <w:rsid w:val="00554AA6"/>
    <w:rsid w:val="00554B19"/>
    <w:rsid w:val="00554BE7"/>
    <w:rsid w:val="00554BEE"/>
    <w:rsid w:val="00554D8E"/>
    <w:rsid w:val="00554DCA"/>
    <w:rsid w:val="00554E5B"/>
    <w:rsid w:val="00554E8E"/>
    <w:rsid w:val="00554F87"/>
    <w:rsid w:val="00554FF7"/>
    <w:rsid w:val="00555095"/>
    <w:rsid w:val="00555150"/>
    <w:rsid w:val="00555243"/>
    <w:rsid w:val="0055528A"/>
    <w:rsid w:val="00555347"/>
    <w:rsid w:val="0055538B"/>
    <w:rsid w:val="00555410"/>
    <w:rsid w:val="005555D3"/>
    <w:rsid w:val="005556BE"/>
    <w:rsid w:val="005557C2"/>
    <w:rsid w:val="00555802"/>
    <w:rsid w:val="0055597A"/>
    <w:rsid w:val="00555B0F"/>
    <w:rsid w:val="00555B6D"/>
    <w:rsid w:val="005564F7"/>
    <w:rsid w:val="005565A1"/>
    <w:rsid w:val="005566DA"/>
    <w:rsid w:val="0055688D"/>
    <w:rsid w:val="005568C6"/>
    <w:rsid w:val="0055693F"/>
    <w:rsid w:val="00556948"/>
    <w:rsid w:val="005569F5"/>
    <w:rsid w:val="00556EB8"/>
    <w:rsid w:val="0055708C"/>
    <w:rsid w:val="005570BB"/>
    <w:rsid w:val="00557308"/>
    <w:rsid w:val="005575A9"/>
    <w:rsid w:val="005575DD"/>
    <w:rsid w:val="0055775B"/>
    <w:rsid w:val="00557A5B"/>
    <w:rsid w:val="00557B4D"/>
    <w:rsid w:val="00557BE6"/>
    <w:rsid w:val="00557E39"/>
    <w:rsid w:val="00557E62"/>
    <w:rsid w:val="00557EE7"/>
    <w:rsid w:val="00557F33"/>
    <w:rsid w:val="00557FE7"/>
    <w:rsid w:val="00560035"/>
    <w:rsid w:val="0056005C"/>
    <w:rsid w:val="00560176"/>
    <w:rsid w:val="00560212"/>
    <w:rsid w:val="005604B4"/>
    <w:rsid w:val="00560618"/>
    <w:rsid w:val="00560673"/>
    <w:rsid w:val="00560CCB"/>
    <w:rsid w:val="00560CDA"/>
    <w:rsid w:val="00560DD4"/>
    <w:rsid w:val="00560E26"/>
    <w:rsid w:val="00560E64"/>
    <w:rsid w:val="00560FCA"/>
    <w:rsid w:val="00561151"/>
    <w:rsid w:val="0056130E"/>
    <w:rsid w:val="0056157B"/>
    <w:rsid w:val="00561874"/>
    <w:rsid w:val="005618A5"/>
    <w:rsid w:val="00561A48"/>
    <w:rsid w:val="00561B6F"/>
    <w:rsid w:val="00561BAE"/>
    <w:rsid w:val="00561BF6"/>
    <w:rsid w:val="00561D58"/>
    <w:rsid w:val="00561DF4"/>
    <w:rsid w:val="0056212E"/>
    <w:rsid w:val="0056222E"/>
    <w:rsid w:val="00562274"/>
    <w:rsid w:val="00562567"/>
    <w:rsid w:val="00562739"/>
    <w:rsid w:val="00562749"/>
    <w:rsid w:val="00562936"/>
    <w:rsid w:val="00562A15"/>
    <w:rsid w:val="00562BF4"/>
    <w:rsid w:val="00562C04"/>
    <w:rsid w:val="00562E93"/>
    <w:rsid w:val="00562F5F"/>
    <w:rsid w:val="00562FBA"/>
    <w:rsid w:val="0056301F"/>
    <w:rsid w:val="00563033"/>
    <w:rsid w:val="005630D3"/>
    <w:rsid w:val="0056319D"/>
    <w:rsid w:val="00563498"/>
    <w:rsid w:val="005634D1"/>
    <w:rsid w:val="00563930"/>
    <w:rsid w:val="00563A5A"/>
    <w:rsid w:val="00563B40"/>
    <w:rsid w:val="00563D96"/>
    <w:rsid w:val="00563E5E"/>
    <w:rsid w:val="00563E8A"/>
    <w:rsid w:val="00563EDD"/>
    <w:rsid w:val="00563FC5"/>
    <w:rsid w:val="005641E1"/>
    <w:rsid w:val="005641FC"/>
    <w:rsid w:val="005643ED"/>
    <w:rsid w:val="00564765"/>
    <w:rsid w:val="0056487B"/>
    <w:rsid w:val="00564964"/>
    <w:rsid w:val="00564F0F"/>
    <w:rsid w:val="00564FB4"/>
    <w:rsid w:val="00565048"/>
    <w:rsid w:val="00565149"/>
    <w:rsid w:val="0056525F"/>
    <w:rsid w:val="0056527C"/>
    <w:rsid w:val="0056530F"/>
    <w:rsid w:val="005654B6"/>
    <w:rsid w:val="005656EC"/>
    <w:rsid w:val="005657B3"/>
    <w:rsid w:val="005658F2"/>
    <w:rsid w:val="005659E2"/>
    <w:rsid w:val="00565A92"/>
    <w:rsid w:val="00565BC9"/>
    <w:rsid w:val="00565EB6"/>
    <w:rsid w:val="00565FAC"/>
    <w:rsid w:val="00565FD5"/>
    <w:rsid w:val="005660C2"/>
    <w:rsid w:val="005661BA"/>
    <w:rsid w:val="005661FF"/>
    <w:rsid w:val="00566582"/>
    <w:rsid w:val="005666AE"/>
    <w:rsid w:val="005666B0"/>
    <w:rsid w:val="005666CE"/>
    <w:rsid w:val="0056672A"/>
    <w:rsid w:val="0056680C"/>
    <w:rsid w:val="0056690A"/>
    <w:rsid w:val="005669E0"/>
    <w:rsid w:val="005669FD"/>
    <w:rsid w:val="00566AE4"/>
    <w:rsid w:val="00566C1B"/>
    <w:rsid w:val="00566CA4"/>
    <w:rsid w:val="00566D4B"/>
    <w:rsid w:val="00566E31"/>
    <w:rsid w:val="00566E51"/>
    <w:rsid w:val="00566F2F"/>
    <w:rsid w:val="00566F3D"/>
    <w:rsid w:val="00566FCC"/>
    <w:rsid w:val="005673AA"/>
    <w:rsid w:val="0056744A"/>
    <w:rsid w:val="005679C5"/>
    <w:rsid w:val="00567A52"/>
    <w:rsid w:val="00567B29"/>
    <w:rsid w:val="00567B75"/>
    <w:rsid w:val="00567BB1"/>
    <w:rsid w:val="00567C18"/>
    <w:rsid w:val="00567C7B"/>
    <w:rsid w:val="0057005C"/>
    <w:rsid w:val="005700FE"/>
    <w:rsid w:val="00570112"/>
    <w:rsid w:val="005701D9"/>
    <w:rsid w:val="005703A9"/>
    <w:rsid w:val="005703D7"/>
    <w:rsid w:val="00570815"/>
    <w:rsid w:val="00570A28"/>
    <w:rsid w:val="00570AD2"/>
    <w:rsid w:val="00570C00"/>
    <w:rsid w:val="00570C3E"/>
    <w:rsid w:val="00570C71"/>
    <w:rsid w:val="00570C72"/>
    <w:rsid w:val="00570EF9"/>
    <w:rsid w:val="0057101B"/>
    <w:rsid w:val="00571049"/>
    <w:rsid w:val="00571100"/>
    <w:rsid w:val="00571183"/>
    <w:rsid w:val="0057135B"/>
    <w:rsid w:val="005713F4"/>
    <w:rsid w:val="005715BE"/>
    <w:rsid w:val="00571716"/>
    <w:rsid w:val="0057186D"/>
    <w:rsid w:val="00571957"/>
    <w:rsid w:val="00571A87"/>
    <w:rsid w:val="00571AC6"/>
    <w:rsid w:val="00571B09"/>
    <w:rsid w:val="00571D84"/>
    <w:rsid w:val="00571E2D"/>
    <w:rsid w:val="00571EC5"/>
    <w:rsid w:val="00571F1C"/>
    <w:rsid w:val="00571FEA"/>
    <w:rsid w:val="00572092"/>
    <w:rsid w:val="00572388"/>
    <w:rsid w:val="0057274B"/>
    <w:rsid w:val="00572855"/>
    <w:rsid w:val="005729C0"/>
    <w:rsid w:val="00572A05"/>
    <w:rsid w:val="00572A1D"/>
    <w:rsid w:val="00572A91"/>
    <w:rsid w:val="00572C15"/>
    <w:rsid w:val="00572C6A"/>
    <w:rsid w:val="00572C95"/>
    <w:rsid w:val="00572E40"/>
    <w:rsid w:val="00572F8A"/>
    <w:rsid w:val="00572FBD"/>
    <w:rsid w:val="005730B4"/>
    <w:rsid w:val="00573130"/>
    <w:rsid w:val="0057315D"/>
    <w:rsid w:val="005731D3"/>
    <w:rsid w:val="0057325B"/>
    <w:rsid w:val="00573315"/>
    <w:rsid w:val="00573403"/>
    <w:rsid w:val="0057342E"/>
    <w:rsid w:val="00573B8B"/>
    <w:rsid w:val="00573BFA"/>
    <w:rsid w:val="00573D15"/>
    <w:rsid w:val="00573E44"/>
    <w:rsid w:val="00573F1C"/>
    <w:rsid w:val="0057414E"/>
    <w:rsid w:val="005742F2"/>
    <w:rsid w:val="0057445A"/>
    <w:rsid w:val="005746A4"/>
    <w:rsid w:val="005748BA"/>
    <w:rsid w:val="005748E3"/>
    <w:rsid w:val="00574978"/>
    <w:rsid w:val="00574A77"/>
    <w:rsid w:val="00574B05"/>
    <w:rsid w:val="00574B55"/>
    <w:rsid w:val="00574C84"/>
    <w:rsid w:val="00574EE2"/>
    <w:rsid w:val="00574F06"/>
    <w:rsid w:val="00574F0F"/>
    <w:rsid w:val="00575019"/>
    <w:rsid w:val="00575069"/>
    <w:rsid w:val="005750DB"/>
    <w:rsid w:val="00575319"/>
    <w:rsid w:val="00575566"/>
    <w:rsid w:val="00575685"/>
    <w:rsid w:val="00575792"/>
    <w:rsid w:val="0057591C"/>
    <w:rsid w:val="00575B7F"/>
    <w:rsid w:val="00575C90"/>
    <w:rsid w:val="00575D64"/>
    <w:rsid w:val="00575DE9"/>
    <w:rsid w:val="00575DFE"/>
    <w:rsid w:val="00575E8E"/>
    <w:rsid w:val="00575F8A"/>
    <w:rsid w:val="00575FFE"/>
    <w:rsid w:val="00576093"/>
    <w:rsid w:val="00576152"/>
    <w:rsid w:val="0057617A"/>
    <w:rsid w:val="005761C5"/>
    <w:rsid w:val="00576226"/>
    <w:rsid w:val="005763C2"/>
    <w:rsid w:val="00576669"/>
    <w:rsid w:val="005766CD"/>
    <w:rsid w:val="0057674B"/>
    <w:rsid w:val="00576794"/>
    <w:rsid w:val="0057684A"/>
    <w:rsid w:val="00576856"/>
    <w:rsid w:val="00576A69"/>
    <w:rsid w:val="00576A93"/>
    <w:rsid w:val="00576AA2"/>
    <w:rsid w:val="00576CBE"/>
    <w:rsid w:val="00576EA9"/>
    <w:rsid w:val="00576F56"/>
    <w:rsid w:val="00576FD6"/>
    <w:rsid w:val="0057702F"/>
    <w:rsid w:val="005770AB"/>
    <w:rsid w:val="0057711C"/>
    <w:rsid w:val="0057718C"/>
    <w:rsid w:val="00577191"/>
    <w:rsid w:val="005774DA"/>
    <w:rsid w:val="005776A5"/>
    <w:rsid w:val="00577AC0"/>
    <w:rsid w:val="00577FCB"/>
    <w:rsid w:val="0058006B"/>
    <w:rsid w:val="005801A6"/>
    <w:rsid w:val="005804C7"/>
    <w:rsid w:val="005805AE"/>
    <w:rsid w:val="005807FF"/>
    <w:rsid w:val="00580931"/>
    <w:rsid w:val="0058099A"/>
    <w:rsid w:val="00580AC0"/>
    <w:rsid w:val="00581147"/>
    <w:rsid w:val="00581178"/>
    <w:rsid w:val="00581243"/>
    <w:rsid w:val="00581467"/>
    <w:rsid w:val="00581973"/>
    <w:rsid w:val="0058199D"/>
    <w:rsid w:val="005819A1"/>
    <w:rsid w:val="00581A84"/>
    <w:rsid w:val="00581B59"/>
    <w:rsid w:val="00581E86"/>
    <w:rsid w:val="00581FB5"/>
    <w:rsid w:val="0058206B"/>
    <w:rsid w:val="0058209A"/>
    <w:rsid w:val="005820F8"/>
    <w:rsid w:val="005821E0"/>
    <w:rsid w:val="005823D5"/>
    <w:rsid w:val="00582965"/>
    <w:rsid w:val="0058298C"/>
    <w:rsid w:val="00582B5A"/>
    <w:rsid w:val="00582D85"/>
    <w:rsid w:val="00582DE2"/>
    <w:rsid w:val="00582E2E"/>
    <w:rsid w:val="00583110"/>
    <w:rsid w:val="005831A7"/>
    <w:rsid w:val="005831E9"/>
    <w:rsid w:val="005833BB"/>
    <w:rsid w:val="0058345E"/>
    <w:rsid w:val="00583688"/>
    <w:rsid w:val="00583741"/>
    <w:rsid w:val="005837C1"/>
    <w:rsid w:val="005839AE"/>
    <w:rsid w:val="00583B88"/>
    <w:rsid w:val="00583BC6"/>
    <w:rsid w:val="00583BC7"/>
    <w:rsid w:val="00583C0D"/>
    <w:rsid w:val="00583DE4"/>
    <w:rsid w:val="00583E46"/>
    <w:rsid w:val="00584185"/>
    <w:rsid w:val="00584251"/>
    <w:rsid w:val="00584305"/>
    <w:rsid w:val="005843B6"/>
    <w:rsid w:val="0058452B"/>
    <w:rsid w:val="005845D7"/>
    <w:rsid w:val="005845F1"/>
    <w:rsid w:val="005846EA"/>
    <w:rsid w:val="00584730"/>
    <w:rsid w:val="005848D4"/>
    <w:rsid w:val="00584A06"/>
    <w:rsid w:val="00584B6A"/>
    <w:rsid w:val="00584BCF"/>
    <w:rsid w:val="00584DA4"/>
    <w:rsid w:val="005851E4"/>
    <w:rsid w:val="0058546B"/>
    <w:rsid w:val="00585552"/>
    <w:rsid w:val="00585582"/>
    <w:rsid w:val="0058576F"/>
    <w:rsid w:val="0058579E"/>
    <w:rsid w:val="0058597C"/>
    <w:rsid w:val="00585988"/>
    <w:rsid w:val="00585AE3"/>
    <w:rsid w:val="00585B3F"/>
    <w:rsid w:val="00585C9A"/>
    <w:rsid w:val="00585CB1"/>
    <w:rsid w:val="00585D2C"/>
    <w:rsid w:val="00585D70"/>
    <w:rsid w:val="00585D7E"/>
    <w:rsid w:val="00585DDC"/>
    <w:rsid w:val="00585EB6"/>
    <w:rsid w:val="00585ECB"/>
    <w:rsid w:val="00585EF7"/>
    <w:rsid w:val="00585FC8"/>
    <w:rsid w:val="0058610A"/>
    <w:rsid w:val="005862B5"/>
    <w:rsid w:val="005864FB"/>
    <w:rsid w:val="0058654C"/>
    <w:rsid w:val="00586628"/>
    <w:rsid w:val="0058678F"/>
    <w:rsid w:val="005869D7"/>
    <w:rsid w:val="00586A13"/>
    <w:rsid w:val="00586AF1"/>
    <w:rsid w:val="00586D34"/>
    <w:rsid w:val="00586DCD"/>
    <w:rsid w:val="00586E12"/>
    <w:rsid w:val="0058700F"/>
    <w:rsid w:val="005870DC"/>
    <w:rsid w:val="00587640"/>
    <w:rsid w:val="00587649"/>
    <w:rsid w:val="00587705"/>
    <w:rsid w:val="005879D6"/>
    <w:rsid w:val="00587B55"/>
    <w:rsid w:val="00587BE4"/>
    <w:rsid w:val="00587CA3"/>
    <w:rsid w:val="00587CA7"/>
    <w:rsid w:val="00587CE6"/>
    <w:rsid w:val="00587D18"/>
    <w:rsid w:val="00587D32"/>
    <w:rsid w:val="00587EBD"/>
    <w:rsid w:val="00587EE3"/>
    <w:rsid w:val="00587F9F"/>
    <w:rsid w:val="00587FB5"/>
    <w:rsid w:val="00590025"/>
    <w:rsid w:val="005901CD"/>
    <w:rsid w:val="0059038C"/>
    <w:rsid w:val="00590B0F"/>
    <w:rsid w:val="00590DDC"/>
    <w:rsid w:val="00590E43"/>
    <w:rsid w:val="00590E5B"/>
    <w:rsid w:val="00590F3C"/>
    <w:rsid w:val="00590F98"/>
    <w:rsid w:val="005910DE"/>
    <w:rsid w:val="005910E8"/>
    <w:rsid w:val="00591557"/>
    <w:rsid w:val="0059175C"/>
    <w:rsid w:val="005917AE"/>
    <w:rsid w:val="0059187D"/>
    <w:rsid w:val="0059193E"/>
    <w:rsid w:val="005919CC"/>
    <w:rsid w:val="00591AE9"/>
    <w:rsid w:val="00591C04"/>
    <w:rsid w:val="00592124"/>
    <w:rsid w:val="0059228D"/>
    <w:rsid w:val="00592507"/>
    <w:rsid w:val="005927AF"/>
    <w:rsid w:val="00592A6A"/>
    <w:rsid w:val="00592AA9"/>
    <w:rsid w:val="00592B58"/>
    <w:rsid w:val="00592E84"/>
    <w:rsid w:val="00592FA7"/>
    <w:rsid w:val="005930A0"/>
    <w:rsid w:val="00593375"/>
    <w:rsid w:val="00593626"/>
    <w:rsid w:val="00593763"/>
    <w:rsid w:val="00593AB9"/>
    <w:rsid w:val="00593B85"/>
    <w:rsid w:val="00593C65"/>
    <w:rsid w:val="00593D54"/>
    <w:rsid w:val="00593E51"/>
    <w:rsid w:val="0059401F"/>
    <w:rsid w:val="005940A6"/>
    <w:rsid w:val="005940DF"/>
    <w:rsid w:val="005946D7"/>
    <w:rsid w:val="00594929"/>
    <w:rsid w:val="00594974"/>
    <w:rsid w:val="00594AB8"/>
    <w:rsid w:val="00594CD6"/>
    <w:rsid w:val="00594FFD"/>
    <w:rsid w:val="0059522B"/>
    <w:rsid w:val="005954D0"/>
    <w:rsid w:val="00595522"/>
    <w:rsid w:val="00595A7F"/>
    <w:rsid w:val="00595AA6"/>
    <w:rsid w:val="00595AB8"/>
    <w:rsid w:val="00595AC0"/>
    <w:rsid w:val="00595C97"/>
    <w:rsid w:val="00595D70"/>
    <w:rsid w:val="00595F71"/>
    <w:rsid w:val="005964AC"/>
    <w:rsid w:val="005964FE"/>
    <w:rsid w:val="00596622"/>
    <w:rsid w:val="00596623"/>
    <w:rsid w:val="00596634"/>
    <w:rsid w:val="005967A4"/>
    <w:rsid w:val="005969EB"/>
    <w:rsid w:val="00596BA2"/>
    <w:rsid w:val="00596C92"/>
    <w:rsid w:val="00596CCF"/>
    <w:rsid w:val="00596D4E"/>
    <w:rsid w:val="00596EC1"/>
    <w:rsid w:val="00597136"/>
    <w:rsid w:val="00597314"/>
    <w:rsid w:val="00597681"/>
    <w:rsid w:val="005977AE"/>
    <w:rsid w:val="005978A4"/>
    <w:rsid w:val="005979EE"/>
    <w:rsid w:val="00597AB5"/>
    <w:rsid w:val="00597CC1"/>
    <w:rsid w:val="00597DBB"/>
    <w:rsid w:val="00597EE7"/>
    <w:rsid w:val="005A0327"/>
    <w:rsid w:val="005A03DD"/>
    <w:rsid w:val="005A0435"/>
    <w:rsid w:val="005A046A"/>
    <w:rsid w:val="005A04E9"/>
    <w:rsid w:val="005A07A0"/>
    <w:rsid w:val="005A085D"/>
    <w:rsid w:val="005A0890"/>
    <w:rsid w:val="005A0BEA"/>
    <w:rsid w:val="005A0E0B"/>
    <w:rsid w:val="005A0FA1"/>
    <w:rsid w:val="005A103C"/>
    <w:rsid w:val="005A10BF"/>
    <w:rsid w:val="005A136C"/>
    <w:rsid w:val="005A13C1"/>
    <w:rsid w:val="005A13CD"/>
    <w:rsid w:val="005A13E2"/>
    <w:rsid w:val="005A1403"/>
    <w:rsid w:val="005A14FC"/>
    <w:rsid w:val="005A1692"/>
    <w:rsid w:val="005A1741"/>
    <w:rsid w:val="005A1863"/>
    <w:rsid w:val="005A19BB"/>
    <w:rsid w:val="005A1AB0"/>
    <w:rsid w:val="005A1AFC"/>
    <w:rsid w:val="005A1DA5"/>
    <w:rsid w:val="005A1DDC"/>
    <w:rsid w:val="005A221D"/>
    <w:rsid w:val="005A221F"/>
    <w:rsid w:val="005A224A"/>
    <w:rsid w:val="005A2326"/>
    <w:rsid w:val="005A239A"/>
    <w:rsid w:val="005A23FF"/>
    <w:rsid w:val="005A2429"/>
    <w:rsid w:val="005A24C5"/>
    <w:rsid w:val="005A254B"/>
    <w:rsid w:val="005A256C"/>
    <w:rsid w:val="005A2781"/>
    <w:rsid w:val="005A27F8"/>
    <w:rsid w:val="005A2874"/>
    <w:rsid w:val="005A2A8C"/>
    <w:rsid w:val="005A2CCC"/>
    <w:rsid w:val="005A2E8B"/>
    <w:rsid w:val="005A2FD7"/>
    <w:rsid w:val="005A32F1"/>
    <w:rsid w:val="005A33DA"/>
    <w:rsid w:val="005A3780"/>
    <w:rsid w:val="005A3860"/>
    <w:rsid w:val="005A3B44"/>
    <w:rsid w:val="005A3BD8"/>
    <w:rsid w:val="005A3C48"/>
    <w:rsid w:val="005A3D78"/>
    <w:rsid w:val="005A3DE4"/>
    <w:rsid w:val="005A4202"/>
    <w:rsid w:val="005A433C"/>
    <w:rsid w:val="005A455A"/>
    <w:rsid w:val="005A4982"/>
    <w:rsid w:val="005A4B96"/>
    <w:rsid w:val="005A4D91"/>
    <w:rsid w:val="005A4DED"/>
    <w:rsid w:val="005A4F41"/>
    <w:rsid w:val="005A506D"/>
    <w:rsid w:val="005A5166"/>
    <w:rsid w:val="005A516D"/>
    <w:rsid w:val="005A516E"/>
    <w:rsid w:val="005A52A1"/>
    <w:rsid w:val="005A52E0"/>
    <w:rsid w:val="005A5404"/>
    <w:rsid w:val="005A5482"/>
    <w:rsid w:val="005A54C9"/>
    <w:rsid w:val="005A5610"/>
    <w:rsid w:val="005A5616"/>
    <w:rsid w:val="005A56F4"/>
    <w:rsid w:val="005A5996"/>
    <w:rsid w:val="005A5AC8"/>
    <w:rsid w:val="005A5E26"/>
    <w:rsid w:val="005A5EFB"/>
    <w:rsid w:val="005A5F95"/>
    <w:rsid w:val="005A60A8"/>
    <w:rsid w:val="005A6146"/>
    <w:rsid w:val="005A616F"/>
    <w:rsid w:val="005A620E"/>
    <w:rsid w:val="005A6224"/>
    <w:rsid w:val="005A6228"/>
    <w:rsid w:val="005A6467"/>
    <w:rsid w:val="005A64C4"/>
    <w:rsid w:val="005A67A2"/>
    <w:rsid w:val="005A68DB"/>
    <w:rsid w:val="005A6ADB"/>
    <w:rsid w:val="005A6B01"/>
    <w:rsid w:val="005A6B5F"/>
    <w:rsid w:val="005A6C9B"/>
    <w:rsid w:val="005A71BD"/>
    <w:rsid w:val="005A73C2"/>
    <w:rsid w:val="005A7753"/>
    <w:rsid w:val="005A77C0"/>
    <w:rsid w:val="005A7A7A"/>
    <w:rsid w:val="005A7AC8"/>
    <w:rsid w:val="005A7AE2"/>
    <w:rsid w:val="005A7B05"/>
    <w:rsid w:val="005A7B64"/>
    <w:rsid w:val="005A7D36"/>
    <w:rsid w:val="005A7F4D"/>
    <w:rsid w:val="005B00DF"/>
    <w:rsid w:val="005B00EA"/>
    <w:rsid w:val="005B0428"/>
    <w:rsid w:val="005B0488"/>
    <w:rsid w:val="005B067E"/>
    <w:rsid w:val="005B08ED"/>
    <w:rsid w:val="005B0935"/>
    <w:rsid w:val="005B0AFD"/>
    <w:rsid w:val="005B0B21"/>
    <w:rsid w:val="005B0B88"/>
    <w:rsid w:val="005B0B9B"/>
    <w:rsid w:val="005B0EA1"/>
    <w:rsid w:val="005B0FA8"/>
    <w:rsid w:val="005B10E4"/>
    <w:rsid w:val="005B1141"/>
    <w:rsid w:val="005B119A"/>
    <w:rsid w:val="005B1223"/>
    <w:rsid w:val="005B1393"/>
    <w:rsid w:val="005B1537"/>
    <w:rsid w:val="005B1790"/>
    <w:rsid w:val="005B1858"/>
    <w:rsid w:val="005B18AA"/>
    <w:rsid w:val="005B1A3C"/>
    <w:rsid w:val="005B1DAB"/>
    <w:rsid w:val="005B1E4C"/>
    <w:rsid w:val="005B23E5"/>
    <w:rsid w:val="005B241A"/>
    <w:rsid w:val="005B24A4"/>
    <w:rsid w:val="005B2588"/>
    <w:rsid w:val="005B27B5"/>
    <w:rsid w:val="005B27E4"/>
    <w:rsid w:val="005B27F5"/>
    <w:rsid w:val="005B2857"/>
    <w:rsid w:val="005B2866"/>
    <w:rsid w:val="005B286C"/>
    <w:rsid w:val="005B2D21"/>
    <w:rsid w:val="005B2DED"/>
    <w:rsid w:val="005B2ED8"/>
    <w:rsid w:val="005B2EDD"/>
    <w:rsid w:val="005B2F57"/>
    <w:rsid w:val="005B3143"/>
    <w:rsid w:val="005B31A9"/>
    <w:rsid w:val="005B3275"/>
    <w:rsid w:val="005B32A1"/>
    <w:rsid w:val="005B36DC"/>
    <w:rsid w:val="005B374C"/>
    <w:rsid w:val="005B3795"/>
    <w:rsid w:val="005B38DB"/>
    <w:rsid w:val="005B3A62"/>
    <w:rsid w:val="005B3C18"/>
    <w:rsid w:val="005B3D47"/>
    <w:rsid w:val="005B3E11"/>
    <w:rsid w:val="005B3E1C"/>
    <w:rsid w:val="005B406F"/>
    <w:rsid w:val="005B4088"/>
    <w:rsid w:val="005B40B5"/>
    <w:rsid w:val="005B4220"/>
    <w:rsid w:val="005B4302"/>
    <w:rsid w:val="005B44E0"/>
    <w:rsid w:val="005B452F"/>
    <w:rsid w:val="005B459F"/>
    <w:rsid w:val="005B469F"/>
    <w:rsid w:val="005B4728"/>
    <w:rsid w:val="005B48E5"/>
    <w:rsid w:val="005B4A74"/>
    <w:rsid w:val="005B4A98"/>
    <w:rsid w:val="005B4CD2"/>
    <w:rsid w:val="005B4D0B"/>
    <w:rsid w:val="005B4F01"/>
    <w:rsid w:val="005B5249"/>
    <w:rsid w:val="005B532E"/>
    <w:rsid w:val="005B5381"/>
    <w:rsid w:val="005B5432"/>
    <w:rsid w:val="005B555E"/>
    <w:rsid w:val="005B5581"/>
    <w:rsid w:val="005B56B9"/>
    <w:rsid w:val="005B58B1"/>
    <w:rsid w:val="005B58E6"/>
    <w:rsid w:val="005B5A5B"/>
    <w:rsid w:val="005B5A86"/>
    <w:rsid w:val="005B5BBD"/>
    <w:rsid w:val="005B5CD5"/>
    <w:rsid w:val="005B5E30"/>
    <w:rsid w:val="005B5FD3"/>
    <w:rsid w:val="005B601A"/>
    <w:rsid w:val="005B6257"/>
    <w:rsid w:val="005B634C"/>
    <w:rsid w:val="005B672B"/>
    <w:rsid w:val="005B6741"/>
    <w:rsid w:val="005B684A"/>
    <w:rsid w:val="005B6AEE"/>
    <w:rsid w:val="005B6CC9"/>
    <w:rsid w:val="005B6CCC"/>
    <w:rsid w:val="005B6E99"/>
    <w:rsid w:val="005B71B2"/>
    <w:rsid w:val="005B72C1"/>
    <w:rsid w:val="005B742E"/>
    <w:rsid w:val="005B74D2"/>
    <w:rsid w:val="005B7530"/>
    <w:rsid w:val="005B76A3"/>
    <w:rsid w:val="005B7750"/>
    <w:rsid w:val="005B7911"/>
    <w:rsid w:val="005B7C6C"/>
    <w:rsid w:val="005C0145"/>
    <w:rsid w:val="005C0184"/>
    <w:rsid w:val="005C0226"/>
    <w:rsid w:val="005C026B"/>
    <w:rsid w:val="005C02AE"/>
    <w:rsid w:val="005C0470"/>
    <w:rsid w:val="005C04CF"/>
    <w:rsid w:val="005C0567"/>
    <w:rsid w:val="005C07F8"/>
    <w:rsid w:val="005C0948"/>
    <w:rsid w:val="005C0C54"/>
    <w:rsid w:val="005C0C78"/>
    <w:rsid w:val="005C0DFD"/>
    <w:rsid w:val="005C0E21"/>
    <w:rsid w:val="005C0F9D"/>
    <w:rsid w:val="005C12B8"/>
    <w:rsid w:val="005C15C9"/>
    <w:rsid w:val="005C1FB6"/>
    <w:rsid w:val="005C2021"/>
    <w:rsid w:val="005C20EE"/>
    <w:rsid w:val="005C24F5"/>
    <w:rsid w:val="005C2748"/>
    <w:rsid w:val="005C27F2"/>
    <w:rsid w:val="005C29B7"/>
    <w:rsid w:val="005C2B7D"/>
    <w:rsid w:val="005C2C50"/>
    <w:rsid w:val="005C2E53"/>
    <w:rsid w:val="005C2EBA"/>
    <w:rsid w:val="005C3166"/>
    <w:rsid w:val="005C3205"/>
    <w:rsid w:val="005C32D8"/>
    <w:rsid w:val="005C3413"/>
    <w:rsid w:val="005C35CE"/>
    <w:rsid w:val="005C373F"/>
    <w:rsid w:val="005C38B1"/>
    <w:rsid w:val="005C38BC"/>
    <w:rsid w:val="005C3B0D"/>
    <w:rsid w:val="005C3BAC"/>
    <w:rsid w:val="005C3BAF"/>
    <w:rsid w:val="005C3BC7"/>
    <w:rsid w:val="005C409A"/>
    <w:rsid w:val="005C4195"/>
    <w:rsid w:val="005C42A5"/>
    <w:rsid w:val="005C4399"/>
    <w:rsid w:val="005C43CD"/>
    <w:rsid w:val="005C485A"/>
    <w:rsid w:val="005C4957"/>
    <w:rsid w:val="005C4AE6"/>
    <w:rsid w:val="005C4DE6"/>
    <w:rsid w:val="005C4DFF"/>
    <w:rsid w:val="005C4FFA"/>
    <w:rsid w:val="005C52A6"/>
    <w:rsid w:val="005C540A"/>
    <w:rsid w:val="005C5A87"/>
    <w:rsid w:val="005C5C20"/>
    <w:rsid w:val="005C5D42"/>
    <w:rsid w:val="005C5E3E"/>
    <w:rsid w:val="005C611E"/>
    <w:rsid w:val="005C6180"/>
    <w:rsid w:val="005C61F8"/>
    <w:rsid w:val="005C644C"/>
    <w:rsid w:val="005C6600"/>
    <w:rsid w:val="005C67EF"/>
    <w:rsid w:val="005C689F"/>
    <w:rsid w:val="005C6955"/>
    <w:rsid w:val="005C6A80"/>
    <w:rsid w:val="005C6B0C"/>
    <w:rsid w:val="005C6C13"/>
    <w:rsid w:val="005C6E4E"/>
    <w:rsid w:val="005C6F9F"/>
    <w:rsid w:val="005C6FA7"/>
    <w:rsid w:val="005C706C"/>
    <w:rsid w:val="005C724F"/>
    <w:rsid w:val="005C732F"/>
    <w:rsid w:val="005C7471"/>
    <w:rsid w:val="005C748D"/>
    <w:rsid w:val="005C77C9"/>
    <w:rsid w:val="005C7811"/>
    <w:rsid w:val="005C78C1"/>
    <w:rsid w:val="005C79BB"/>
    <w:rsid w:val="005C7A00"/>
    <w:rsid w:val="005C7A21"/>
    <w:rsid w:val="005C7AF5"/>
    <w:rsid w:val="005C7DB2"/>
    <w:rsid w:val="005D0060"/>
    <w:rsid w:val="005D00B0"/>
    <w:rsid w:val="005D00B2"/>
    <w:rsid w:val="005D016E"/>
    <w:rsid w:val="005D027B"/>
    <w:rsid w:val="005D02F8"/>
    <w:rsid w:val="005D02FF"/>
    <w:rsid w:val="005D039D"/>
    <w:rsid w:val="005D03D2"/>
    <w:rsid w:val="005D05A5"/>
    <w:rsid w:val="005D05D5"/>
    <w:rsid w:val="005D0649"/>
    <w:rsid w:val="005D09CA"/>
    <w:rsid w:val="005D0BDE"/>
    <w:rsid w:val="005D0D3F"/>
    <w:rsid w:val="005D0E1E"/>
    <w:rsid w:val="005D0FD6"/>
    <w:rsid w:val="005D12D5"/>
    <w:rsid w:val="005D14FA"/>
    <w:rsid w:val="005D152B"/>
    <w:rsid w:val="005D1558"/>
    <w:rsid w:val="005D158A"/>
    <w:rsid w:val="005D163B"/>
    <w:rsid w:val="005D172B"/>
    <w:rsid w:val="005D176F"/>
    <w:rsid w:val="005D1873"/>
    <w:rsid w:val="005D193E"/>
    <w:rsid w:val="005D1A47"/>
    <w:rsid w:val="005D1B68"/>
    <w:rsid w:val="005D1D81"/>
    <w:rsid w:val="005D1EB5"/>
    <w:rsid w:val="005D20FF"/>
    <w:rsid w:val="005D2112"/>
    <w:rsid w:val="005D214E"/>
    <w:rsid w:val="005D22F6"/>
    <w:rsid w:val="005D2698"/>
    <w:rsid w:val="005D26F1"/>
    <w:rsid w:val="005D277F"/>
    <w:rsid w:val="005D27D2"/>
    <w:rsid w:val="005D29A2"/>
    <w:rsid w:val="005D2A84"/>
    <w:rsid w:val="005D2EBB"/>
    <w:rsid w:val="005D2EDE"/>
    <w:rsid w:val="005D2F86"/>
    <w:rsid w:val="005D2FDF"/>
    <w:rsid w:val="005D2FF5"/>
    <w:rsid w:val="005D3158"/>
    <w:rsid w:val="005D32BE"/>
    <w:rsid w:val="005D35FD"/>
    <w:rsid w:val="005D3879"/>
    <w:rsid w:val="005D39D5"/>
    <w:rsid w:val="005D3B29"/>
    <w:rsid w:val="005D3C22"/>
    <w:rsid w:val="005D3C88"/>
    <w:rsid w:val="005D3D64"/>
    <w:rsid w:val="005D3EF3"/>
    <w:rsid w:val="005D3EF5"/>
    <w:rsid w:val="005D401C"/>
    <w:rsid w:val="005D4226"/>
    <w:rsid w:val="005D42FC"/>
    <w:rsid w:val="005D4416"/>
    <w:rsid w:val="005D4563"/>
    <w:rsid w:val="005D4892"/>
    <w:rsid w:val="005D49AA"/>
    <w:rsid w:val="005D4A6B"/>
    <w:rsid w:val="005D4CEC"/>
    <w:rsid w:val="005D504C"/>
    <w:rsid w:val="005D5207"/>
    <w:rsid w:val="005D527F"/>
    <w:rsid w:val="005D537E"/>
    <w:rsid w:val="005D544A"/>
    <w:rsid w:val="005D55A2"/>
    <w:rsid w:val="005D55AB"/>
    <w:rsid w:val="005D5641"/>
    <w:rsid w:val="005D5808"/>
    <w:rsid w:val="005D5818"/>
    <w:rsid w:val="005D58D2"/>
    <w:rsid w:val="005D5A3A"/>
    <w:rsid w:val="005D5A92"/>
    <w:rsid w:val="005D5AFC"/>
    <w:rsid w:val="005D5D79"/>
    <w:rsid w:val="005D5E2D"/>
    <w:rsid w:val="005D5E66"/>
    <w:rsid w:val="005D5FB0"/>
    <w:rsid w:val="005D615C"/>
    <w:rsid w:val="005D629F"/>
    <w:rsid w:val="005D62B1"/>
    <w:rsid w:val="005D633D"/>
    <w:rsid w:val="005D63FD"/>
    <w:rsid w:val="005D6597"/>
    <w:rsid w:val="005D6626"/>
    <w:rsid w:val="005D673A"/>
    <w:rsid w:val="005D693C"/>
    <w:rsid w:val="005D6B1E"/>
    <w:rsid w:val="005D6CC3"/>
    <w:rsid w:val="005D6DE4"/>
    <w:rsid w:val="005D6E37"/>
    <w:rsid w:val="005D6F36"/>
    <w:rsid w:val="005D71BE"/>
    <w:rsid w:val="005D71F4"/>
    <w:rsid w:val="005D72AD"/>
    <w:rsid w:val="005D763F"/>
    <w:rsid w:val="005D7695"/>
    <w:rsid w:val="005D78CD"/>
    <w:rsid w:val="005D7E75"/>
    <w:rsid w:val="005D7FD9"/>
    <w:rsid w:val="005E0016"/>
    <w:rsid w:val="005E0026"/>
    <w:rsid w:val="005E01C8"/>
    <w:rsid w:val="005E03AA"/>
    <w:rsid w:val="005E03FC"/>
    <w:rsid w:val="005E047D"/>
    <w:rsid w:val="005E05A5"/>
    <w:rsid w:val="005E0B78"/>
    <w:rsid w:val="005E0C2F"/>
    <w:rsid w:val="005E0E7F"/>
    <w:rsid w:val="005E0F58"/>
    <w:rsid w:val="005E1010"/>
    <w:rsid w:val="005E10E1"/>
    <w:rsid w:val="005E10F5"/>
    <w:rsid w:val="005E12F6"/>
    <w:rsid w:val="005E1385"/>
    <w:rsid w:val="005E1424"/>
    <w:rsid w:val="005E16A0"/>
    <w:rsid w:val="005E17F1"/>
    <w:rsid w:val="005E1DA8"/>
    <w:rsid w:val="005E1DC7"/>
    <w:rsid w:val="005E1E08"/>
    <w:rsid w:val="005E1EB3"/>
    <w:rsid w:val="005E1FFB"/>
    <w:rsid w:val="005E2068"/>
    <w:rsid w:val="005E2204"/>
    <w:rsid w:val="005E2430"/>
    <w:rsid w:val="005E260F"/>
    <w:rsid w:val="005E2876"/>
    <w:rsid w:val="005E2DE7"/>
    <w:rsid w:val="005E2E16"/>
    <w:rsid w:val="005E2E58"/>
    <w:rsid w:val="005E3054"/>
    <w:rsid w:val="005E3288"/>
    <w:rsid w:val="005E33BA"/>
    <w:rsid w:val="005E3573"/>
    <w:rsid w:val="005E35FF"/>
    <w:rsid w:val="005E37E0"/>
    <w:rsid w:val="005E382E"/>
    <w:rsid w:val="005E3878"/>
    <w:rsid w:val="005E38AE"/>
    <w:rsid w:val="005E3A22"/>
    <w:rsid w:val="005E3BF2"/>
    <w:rsid w:val="005E4040"/>
    <w:rsid w:val="005E41C5"/>
    <w:rsid w:val="005E41D8"/>
    <w:rsid w:val="005E4456"/>
    <w:rsid w:val="005E4671"/>
    <w:rsid w:val="005E488B"/>
    <w:rsid w:val="005E49A7"/>
    <w:rsid w:val="005E4AAD"/>
    <w:rsid w:val="005E4D46"/>
    <w:rsid w:val="005E4DC7"/>
    <w:rsid w:val="005E4E81"/>
    <w:rsid w:val="005E4F56"/>
    <w:rsid w:val="005E4F58"/>
    <w:rsid w:val="005E4F95"/>
    <w:rsid w:val="005E4FF0"/>
    <w:rsid w:val="005E4FFE"/>
    <w:rsid w:val="005E5008"/>
    <w:rsid w:val="005E507D"/>
    <w:rsid w:val="005E531C"/>
    <w:rsid w:val="005E5359"/>
    <w:rsid w:val="005E5391"/>
    <w:rsid w:val="005E53D5"/>
    <w:rsid w:val="005E548C"/>
    <w:rsid w:val="005E5522"/>
    <w:rsid w:val="005E5632"/>
    <w:rsid w:val="005E56A8"/>
    <w:rsid w:val="005E5782"/>
    <w:rsid w:val="005E597A"/>
    <w:rsid w:val="005E5AE4"/>
    <w:rsid w:val="005E5C4B"/>
    <w:rsid w:val="005E5E5A"/>
    <w:rsid w:val="005E5E6E"/>
    <w:rsid w:val="005E5FC8"/>
    <w:rsid w:val="005E5FE3"/>
    <w:rsid w:val="005E612F"/>
    <w:rsid w:val="005E6289"/>
    <w:rsid w:val="005E63E9"/>
    <w:rsid w:val="005E6849"/>
    <w:rsid w:val="005E6CBF"/>
    <w:rsid w:val="005E6E6A"/>
    <w:rsid w:val="005E6F96"/>
    <w:rsid w:val="005E72C3"/>
    <w:rsid w:val="005E739C"/>
    <w:rsid w:val="005E75D9"/>
    <w:rsid w:val="005E7652"/>
    <w:rsid w:val="005E7883"/>
    <w:rsid w:val="005E78C0"/>
    <w:rsid w:val="005E78D9"/>
    <w:rsid w:val="005E7983"/>
    <w:rsid w:val="005E7B57"/>
    <w:rsid w:val="005E7BEB"/>
    <w:rsid w:val="005E7D0F"/>
    <w:rsid w:val="005E7D43"/>
    <w:rsid w:val="005E7EC8"/>
    <w:rsid w:val="005E7EFD"/>
    <w:rsid w:val="005E7F27"/>
    <w:rsid w:val="005F0003"/>
    <w:rsid w:val="005F0272"/>
    <w:rsid w:val="005F02E7"/>
    <w:rsid w:val="005F02EB"/>
    <w:rsid w:val="005F033A"/>
    <w:rsid w:val="005F035E"/>
    <w:rsid w:val="005F089D"/>
    <w:rsid w:val="005F0962"/>
    <w:rsid w:val="005F0999"/>
    <w:rsid w:val="005F09CB"/>
    <w:rsid w:val="005F0ADE"/>
    <w:rsid w:val="005F10F9"/>
    <w:rsid w:val="005F110A"/>
    <w:rsid w:val="005F1224"/>
    <w:rsid w:val="005F1527"/>
    <w:rsid w:val="005F15FD"/>
    <w:rsid w:val="005F1638"/>
    <w:rsid w:val="005F18B6"/>
    <w:rsid w:val="005F1913"/>
    <w:rsid w:val="005F1955"/>
    <w:rsid w:val="005F196D"/>
    <w:rsid w:val="005F1A13"/>
    <w:rsid w:val="005F1C11"/>
    <w:rsid w:val="005F1E74"/>
    <w:rsid w:val="005F1FF2"/>
    <w:rsid w:val="005F20DF"/>
    <w:rsid w:val="005F2195"/>
    <w:rsid w:val="005F2345"/>
    <w:rsid w:val="005F2415"/>
    <w:rsid w:val="005F2440"/>
    <w:rsid w:val="005F247C"/>
    <w:rsid w:val="005F2485"/>
    <w:rsid w:val="005F2512"/>
    <w:rsid w:val="005F2808"/>
    <w:rsid w:val="005F29D8"/>
    <w:rsid w:val="005F2A26"/>
    <w:rsid w:val="005F2B76"/>
    <w:rsid w:val="005F2C48"/>
    <w:rsid w:val="005F2FCE"/>
    <w:rsid w:val="005F305C"/>
    <w:rsid w:val="005F30BA"/>
    <w:rsid w:val="005F31AB"/>
    <w:rsid w:val="005F321D"/>
    <w:rsid w:val="005F3234"/>
    <w:rsid w:val="005F33CA"/>
    <w:rsid w:val="005F34F0"/>
    <w:rsid w:val="005F351C"/>
    <w:rsid w:val="005F3696"/>
    <w:rsid w:val="005F3770"/>
    <w:rsid w:val="005F382E"/>
    <w:rsid w:val="005F3882"/>
    <w:rsid w:val="005F3A39"/>
    <w:rsid w:val="005F3C0F"/>
    <w:rsid w:val="005F4020"/>
    <w:rsid w:val="005F43A7"/>
    <w:rsid w:val="005F463E"/>
    <w:rsid w:val="005F4A44"/>
    <w:rsid w:val="005F4AC3"/>
    <w:rsid w:val="005F4D33"/>
    <w:rsid w:val="005F4DDC"/>
    <w:rsid w:val="005F4E88"/>
    <w:rsid w:val="005F4F07"/>
    <w:rsid w:val="005F5039"/>
    <w:rsid w:val="005F50F1"/>
    <w:rsid w:val="005F53D9"/>
    <w:rsid w:val="005F569E"/>
    <w:rsid w:val="005F58F8"/>
    <w:rsid w:val="005F5A59"/>
    <w:rsid w:val="005F5C63"/>
    <w:rsid w:val="005F5CF7"/>
    <w:rsid w:val="005F5D90"/>
    <w:rsid w:val="005F5DCB"/>
    <w:rsid w:val="005F5DF3"/>
    <w:rsid w:val="005F5E3F"/>
    <w:rsid w:val="005F5E56"/>
    <w:rsid w:val="005F62D8"/>
    <w:rsid w:val="005F631A"/>
    <w:rsid w:val="005F637B"/>
    <w:rsid w:val="005F652A"/>
    <w:rsid w:val="005F6541"/>
    <w:rsid w:val="005F6612"/>
    <w:rsid w:val="005F663B"/>
    <w:rsid w:val="005F66B0"/>
    <w:rsid w:val="005F674E"/>
    <w:rsid w:val="005F6758"/>
    <w:rsid w:val="005F6DF2"/>
    <w:rsid w:val="005F6F2D"/>
    <w:rsid w:val="005F6F90"/>
    <w:rsid w:val="005F71C7"/>
    <w:rsid w:val="005F76C5"/>
    <w:rsid w:val="005F78CB"/>
    <w:rsid w:val="005F794B"/>
    <w:rsid w:val="005F7990"/>
    <w:rsid w:val="005F7C92"/>
    <w:rsid w:val="005F7D41"/>
    <w:rsid w:val="005F7D5D"/>
    <w:rsid w:val="005F7DC5"/>
    <w:rsid w:val="005F7F75"/>
    <w:rsid w:val="005F7F92"/>
    <w:rsid w:val="006001BA"/>
    <w:rsid w:val="006001EC"/>
    <w:rsid w:val="00600320"/>
    <w:rsid w:val="00600341"/>
    <w:rsid w:val="0060068E"/>
    <w:rsid w:val="006006DE"/>
    <w:rsid w:val="00600719"/>
    <w:rsid w:val="0060094E"/>
    <w:rsid w:val="00600C6C"/>
    <w:rsid w:val="00600CEF"/>
    <w:rsid w:val="00600D42"/>
    <w:rsid w:val="00601007"/>
    <w:rsid w:val="00601041"/>
    <w:rsid w:val="0060104A"/>
    <w:rsid w:val="006010B8"/>
    <w:rsid w:val="00601294"/>
    <w:rsid w:val="006014AE"/>
    <w:rsid w:val="006014EE"/>
    <w:rsid w:val="0060164A"/>
    <w:rsid w:val="0060165C"/>
    <w:rsid w:val="00601A39"/>
    <w:rsid w:val="00601B37"/>
    <w:rsid w:val="00601B9D"/>
    <w:rsid w:val="00601C49"/>
    <w:rsid w:val="00601C4A"/>
    <w:rsid w:val="00601CE1"/>
    <w:rsid w:val="00601DB8"/>
    <w:rsid w:val="00601ECE"/>
    <w:rsid w:val="00601F49"/>
    <w:rsid w:val="00602138"/>
    <w:rsid w:val="00602180"/>
    <w:rsid w:val="006027AE"/>
    <w:rsid w:val="00602984"/>
    <w:rsid w:val="00602A72"/>
    <w:rsid w:val="00602A8D"/>
    <w:rsid w:val="00602C5D"/>
    <w:rsid w:val="00602F47"/>
    <w:rsid w:val="0060307C"/>
    <w:rsid w:val="006034BD"/>
    <w:rsid w:val="006034F3"/>
    <w:rsid w:val="00603523"/>
    <w:rsid w:val="0060376E"/>
    <w:rsid w:val="006038D8"/>
    <w:rsid w:val="006039AB"/>
    <w:rsid w:val="00603BC6"/>
    <w:rsid w:val="00603CD8"/>
    <w:rsid w:val="00603DB4"/>
    <w:rsid w:val="00603F77"/>
    <w:rsid w:val="0060471E"/>
    <w:rsid w:val="00604783"/>
    <w:rsid w:val="0060485A"/>
    <w:rsid w:val="006049E2"/>
    <w:rsid w:val="00604AF0"/>
    <w:rsid w:val="00604BA8"/>
    <w:rsid w:val="00604BCD"/>
    <w:rsid w:val="00604C18"/>
    <w:rsid w:val="00604D23"/>
    <w:rsid w:val="00604D4C"/>
    <w:rsid w:val="00604EF9"/>
    <w:rsid w:val="00605027"/>
    <w:rsid w:val="0060504E"/>
    <w:rsid w:val="0060526B"/>
    <w:rsid w:val="006052A8"/>
    <w:rsid w:val="006057CA"/>
    <w:rsid w:val="0060592E"/>
    <w:rsid w:val="00605BDC"/>
    <w:rsid w:val="00605D9F"/>
    <w:rsid w:val="00605DCD"/>
    <w:rsid w:val="0060611A"/>
    <w:rsid w:val="0060645A"/>
    <w:rsid w:val="00606465"/>
    <w:rsid w:val="00606543"/>
    <w:rsid w:val="0060675D"/>
    <w:rsid w:val="006068C7"/>
    <w:rsid w:val="00606B5C"/>
    <w:rsid w:val="00606C5B"/>
    <w:rsid w:val="00606CD2"/>
    <w:rsid w:val="0060715D"/>
    <w:rsid w:val="00607173"/>
    <w:rsid w:val="0060740F"/>
    <w:rsid w:val="0060750A"/>
    <w:rsid w:val="006076AA"/>
    <w:rsid w:val="006076EA"/>
    <w:rsid w:val="006076EC"/>
    <w:rsid w:val="00607AC9"/>
    <w:rsid w:val="00607AF3"/>
    <w:rsid w:val="00607C22"/>
    <w:rsid w:val="00607CD8"/>
    <w:rsid w:val="00610080"/>
    <w:rsid w:val="006102FF"/>
    <w:rsid w:val="0061041B"/>
    <w:rsid w:val="00610546"/>
    <w:rsid w:val="0061071C"/>
    <w:rsid w:val="00610828"/>
    <w:rsid w:val="006108D0"/>
    <w:rsid w:val="006109CF"/>
    <w:rsid w:val="00610B4A"/>
    <w:rsid w:val="00610B99"/>
    <w:rsid w:val="00610F9B"/>
    <w:rsid w:val="006110B1"/>
    <w:rsid w:val="0061123B"/>
    <w:rsid w:val="00611329"/>
    <w:rsid w:val="00611363"/>
    <w:rsid w:val="006113F4"/>
    <w:rsid w:val="00611454"/>
    <w:rsid w:val="0061148E"/>
    <w:rsid w:val="00611586"/>
    <w:rsid w:val="006115F0"/>
    <w:rsid w:val="00611887"/>
    <w:rsid w:val="00611C1F"/>
    <w:rsid w:val="00611DC0"/>
    <w:rsid w:val="006122F7"/>
    <w:rsid w:val="00612314"/>
    <w:rsid w:val="0061232D"/>
    <w:rsid w:val="0061236A"/>
    <w:rsid w:val="0061246A"/>
    <w:rsid w:val="00612664"/>
    <w:rsid w:val="006126CC"/>
    <w:rsid w:val="00612874"/>
    <w:rsid w:val="00612887"/>
    <w:rsid w:val="00612889"/>
    <w:rsid w:val="00612948"/>
    <w:rsid w:val="006129CF"/>
    <w:rsid w:val="00612C03"/>
    <w:rsid w:val="00612C30"/>
    <w:rsid w:val="00612FA3"/>
    <w:rsid w:val="00612FEA"/>
    <w:rsid w:val="006130C2"/>
    <w:rsid w:val="00613158"/>
    <w:rsid w:val="006131B1"/>
    <w:rsid w:val="0061335D"/>
    <w:rsid w:val="00613368"/>
    <w:rsid w:val="00613497"/>
    <w:rsid w:val="0061364D"/>
    <w:rsid w:val="0061366A"/>
    <w:rsid w:val="0061369F"/>
    <w:rsid w:val="00613B58"/>
    <w:rsid w:val="00613C73"/>
    <w:rsid w:val="00613E17"/>
    <w:rsid w:val="00613EEE"/>
    <w:rsid w:val="00613F73"/>
    <w:rsid w:val="0061413F"/>
    <w:rsid w:val="0061417F"/>
    <w:rsid w:val="00614217"/>
    <w:rsid w:val="0061424B"/>
    <w:rsid w:val="006142BD"/>
    <w:rsid w:val="006143E5"/>
    <w:rsid w:val="0061449C"/>
    <w:rsid w:val="00614529"/>
    <w:rsid w:val="006148DD"/>
    <w:rsid w:val="0061492D"/>
    <w:rsid w:val="00614939"/>
    <w:rsid w:val="006149A7"/>
    <w:rsid w:val="00614A75"/>
    <w:rsid w:val="00614AE6"/>
    <w:rsid w:val="00614CAB"/>
    <w:rsid w:val="00614E33"/>
    <w:rsid w:val="00614F2D"/>
    <w:rsid w:val="00614F9B"/>
    <w:rsid w:val="0061503B"/>
    <w:rsid w:val="0061505F"/>
    <w:rsid w:val="0061520B"/>
    <w:rsid w:val="00615327"/>
    <w:rsid w:val="006153F5"/>
    <w:rsid w:val="006156CB"/>
    <w:rsid w:val="0061573B"/>
    <w:rsid w:val="0061581B"/>
    <w:rsid w:val="0061596B"/>
    <w:rsid w:val="006159AE"/>
    <w:rsid w:val="00615AD7"/>
    <w:rsid w:val="00615EFF"/>
    <w:rsid w:val="006160E0"/>
    <w:rsid w:val="006161C0"/>
    <w:rsid w:val="00616347"/>
    <w:rsid w:val="00616457"/>
    <w:rsid w:val="00616671"/>
    <w:rsid w:val="00616708"/>
    <w:rsid w:val="00616B5D"/>
    <w:rsid w:val="00616E8F"/>
    <w:rsid w:val="00616EAA"/>
    <w:rsid w:val="00616F67"/>
    <w:rsid w:val="00616FCF"/>
    <w:rsid w:val="00617031"/>
    <w:rsid w:val="00617032"/>
    <w:rsid w:val="006175B0"/>
    <w:rsid w:val="006176B3"/>
    <w:rsid w:val="006177CF"/>
    <w:rsid w:val="006178B6"/>
    <w:rsid w:val="00617D8F"/>
    <w:rsid w:val="00617DBC"/>
    <w:rsid w:val="006200DD"/>
    <w:rsid w:val="00620485"/>
    <w:rsid w:val="006204E1"/>
    <w:rsid w:val="006204ED"/>
    <w:rsid w:val="00620683"/>
    <w:rsid w:val="00620A18"/>
    <w:rsid w:val="00620AA8"/>
    <w:rsid w:val="00620BA6"/>
    <w:rsid w:val="00620BF1"/>
    <w:rsid w:val="00620CDC"/>
    <w:rsid w:val="00620CE3"/>
    <w:rsid w:val="00620CEA"/>
    <w:rsid w:val="00620F61"/>
    <w:rsid w:val="006211A1"/>
    <w:rsid w:val="00621260"/>
    <w:rsid w:val="0062140C"/>
    <w:rsid w:val="0062151C"/>
    <w:rsid w:val="0062179E"/>
    <w:rsid w:val="00621839"/>
    <w:rsid w:val="00621903"/>
    <w:rsid w:val="00621A5F"/>
    <w:rsid w:val="00621B9A"/>
    <w:rsid w:val="00621E69"/>
    <w:rsid w:val="00621E76"/>
    <w:rsid w:val="00621ED7"/>
    <w:rsid w:val="00621F18"/>
    <w:rsid w:val="00622170"/>
    <w:rsid w:val="0062224B"/>
    <w:rsid w:val="0062234D"/>
    <w:rsid w:val="006223D2"/>
    <w:rsid w:val="00622618"/>
    <w:rsid w:val="0062269E"/>
    <w:rsid w:val="006227DD"/>
    <w:rsid w:val="00622803"/>
    <w:rsid w:val="00622813"/>
    <w:rsid w:val="00622B1D"/>
    <w:rsid w:val="00622CCF"/>
    <w:rsid w:val="00622FC6"/>
    <w:rsid w:val="0062301D"/>
    <w:rsid w:val="00623331"/>
    <w:rsid w:val="006235DE"/>
    <w:rsid w:val="00623607"/>
    <w:rsid w:val="00623611"/>
    <w:rsid w:val="006237E5"/>
    <w:rsid w:val="00623A70"/>
    <w:rsid w:val="00623F94"/>
    <w:rsid w:val="00623F97"/>
    <w:rsid w:val="00623FA8"/>
    <w:rsid w:val="00623FF9"/>
    <w:rsid w:val="006240EA"/>
    <w:rsid w:val="00624219"/>
    <w:rsid w:val="00624268"/>
    <w:rsid w:val="00624322"/>
    <w:rsid w:val="006244ED"/>
    <w:rsid w:val="0062453E"/>
    <w:rsid w:val="00624831"/>
    <w:rsid w:val="006248F6"/>
    <w:rsid w:val="006249DB"/>
    <w:rsid w:val="00624B8C"/>
    <w:rsid w:val="00624BC6"/>
    <w:rsid w:val="00624D6A"/>
    <w:rsid w:val="00624F8E"/>
    <w:rsid w:val="00625018"/>
    <w:rsid w:val="00625054"/>
    <w:rsid w:val="00625242"/>
    <w:rsid w:val="006252FC"/>
    <w:rsid w:val="0062535E"/>
    <w:rsid w:val="00625569"/>
    <w:rsid w:val="006255A2"/>
    <w:rsid w:val="006257F9"/>
    <w:rsid w:val="0062585E"/>
    <w:rsid w:val="00625A62"/>
    <w:rsid w:val="00625E43"/>
    <w:rsid w:val="00625E9B"/>
    <w:rsid w:val="00625EFA"/>
    <w:rsid w:val="00625F25"/>
    <w:rsid w:val="00626069"/>
    <w:rsid w:val="00626098"/>
    <w:rsid w:val="0062620C"/>
    <w:rsid w:val="00626363"/>
    <w:rsid w:val="006264CA"/>
    <w:rsid w:val="0062663E"/>
    <w:rsid w:val="00626688"/>
    <w:rsid w:val="0062677D"/>
    <w:rsid w:val="006267D5"/>
    <w:rsid w:val="0062681B"/>
    <w:rsid w:val="0062685F"/>
    <w:rsid w:val="00626927"/>
    <w:rsid w:val="006269D8"/>
    <w:rsid w:val="00626B5C"/>
    <w:rsid w:val="00626BC9"/>
    <w:rsid w:val="00626E0A"/>
    <w:rsid w:val="00626F65"/>
    <w:rsid w:val="00627091"/>
    <w:rsid w:val="006270B1"/>
    <w:rsid w:val="0062712C"/>
    <w:rsid w:val="00627386"/>
    <w:rsid w:val="00627A35"/>
    <w:rsid w:val="00627D22"/>
    <w:rsid w:val="00627D41"/>
    <w:rsid w:val="00627D89"/>
    <w:rsid w:val="00627EE1"/>
    <w:rsid w:val="0063008E"/>
    <w:rsid w:val="00630113"/>
    <w:rsid w:val="00630178"/>
    <w:rsid w:val="006305E6"/>
    <w:rsid w:val="0063093B"/>
    <w:rsid w:val="00630A10"/>
    <w:rsid w:val="00630A24"/>
    <w:rsid w:val="00630E70"/>
    <w:rsid w:val="00630E8D"/>
    <w:rsid w:val="00630F74"/>
    <w:rsid w:val="00631055"/>
    <w:rsid w:val="0063114B"/>
    <w:rsid w:val="00631249"/>
    <w:rsid w:val="0063129A"/>
    <w:rsid w:val="0063157C"/>
    <w:rsid w:val="00631689"/>
    <w:rsid w:val="0063168A"/>
    <w:rsid w:val="00631731"/>
    <w:rsid w:val="006318F2"/>
    <w:rsid w:val="00631981"/>
    <w:rsid w:val="00631B03"/>
    <w:rsid w:val="00631C21"/>
    <w:rsid w:val="00631CBD"/>
    <w:rsid w:val="00631F6B"/>
    <w:rsid w:val="0063214E"/>
    <w:rsid w:val="006321BF"/>
    <w:rsid w:val="00632224"/>
    <w:rsid w:val="00632229"/>
    <w:rsid w:val="006323D4"/>
    <w:rsid w:val="00632B67"/>
    <w:rsid w:val="00632C95"/>
    <w:rsid w:val="00632CDA"/>
    <w:rsid w:val="00632DFA"/>
    <w:rsid w:val="00632DFD"/>
    <w:rsid w:val="00632F06"/>
    <w:rsid w:val="00633176"/>
    <w:rsid w:val="006332CF"/>
    <w:rsid w:val="00633556"/>
    <w:rsid w:val="00633616"/>
    <w:rsid w:val="0063373B"/>
    <w:rsid w:val="00633945"/>
    <w:rsid w:val="00633B7B"/>
    <w:rsid w:val="00633C34"/>
    <w:rsid w:val="00633C66"/>
    <w:rsid w:val="00633D79"/>
    <w:rsid w:val="00633DB4"/>
    <w:rsid w:val="00633DD4"/>
    <w:rsid w:val="00633EE1"/>
    <w:rsid w:val="00634112"/>
    <w:rsid w:val="006344A6"/>
    <w:rsid w:val="006344CD"/>
    <w:rsid w:val="00634541"/>
    <w:rsid w:val="006345D4"/>
    <w:rsid w:val="00634786"/>
    <w:rsid w:val="006347FB"/>
    <w:rsid w:val="00634869"/>
    <w:rsid w:val="0063487A"/>
    <w:rsid w:val="00634AB4"/>
    <w:rsid w:val="00634AF1"/>
    <w:rsid w:val="00634AF9"/>
    <w:rsid w:val="00634E0A"/>
    <w:rsid w:val="00634E12"/>
    <w:rsid w:val="00634F23"/>
    <w:rsid w:val="00634FD7"/>
    <w:rsid w:val="00635013"/>
    <w:rsid w:val="006351C9"/>
    <w:rsid w:val="00635221"/>
    <w:rsid w:val="006353B4"/>
    <w:rsid w:val="00635911"/>
    <w:rsid w:val="00635A0B"/>
    <w:rsid w:val="00635AB4"/>
    <w:rsid w:val="00635C5A"/>
    <w:rsid w:val="00635D32"/>
    <w:rsid w:val="00635E0F"/>
    <w:rsid w:val="00635E4D"/>
    <w:rsid w:val="00635EAE"/>
    <w:rsid w:val="00635FCC"/>
    <w:rsid w:val="00636145"/>
    <w:rsid w:val="00636406"/>
    <w:rsid w:val="00636470"/>
    <w:rsid w:val="00636524"/>
    <w:rsid w:val="0063655D"/>
    <w:rsid w:val="0063660B"/>
    <w:rsid w:val="006366B6"/>
    <w:rsid w:val="00636757"/>
    <w:rsid w:val="00636866"/>
    <w:rsid w:val="006368A2"/>
    <w:rsid w:val="006368F1"/>
    <w:rsid w:val="006369FE"/>
    <w:rsid w:val="00636B4C"/>
    <w:rsid w:val="00636C5D"/>
    <w:rsid w:val="00636D30"/>
    <w:rsid w:val="00636DA8"/>
    <w:rsid w:val="00636E96"/>
    <w:rsid w:val="006370CB"/>
    <w:rsid w:val="00637195"/>
    <w:rsid w:val="006374DC"/>
    <w:rsid w:val="006374EB"/>
    <w:rsid w:val="006375C3"/>
    <w:rsid w:val="0063782A"/>
    <w:rsid w:val="00637851"/>
    <w:rsid w:val="00637A81"/>
    <w:rsid w:val="00637AF3"/>
    <w:rsid w:val="00637D36"/>
    <w:rsid w:val="00637DEE"/>
    <w:rsid w:val="00637DFD"/>
    <w:rsid w:val="00637FFE"/>
    <w:rsid w:val="006401E7"/>
    <w:rsid w:val="00640291"/>
    <w:rsid w:val="0064030A"/>
    <w:rsid w:val="00640529"/>
    <w:rsid w:val="006405AA"/>
    <w:rsid w:val="0064060C"/>
    <w:rsid w:val="0064080A"/>
    <w:rsid w:val="00640C99"/>
    <w:rsid w:val="00640C9B"/>
    <w:rsid w:val="00640D17"/>
    <w:rsid w:val="00640DE9"/>
    <w:rsid w:val="00640F04"/>
    <w:rsid w:val="00641019"/>
    <w:rsid w:val="0064101C"/>
    <w:rsid w:val="00641211"/>
    <w:rsid w:val="006413A3"/>
    <w:rsid w:val="00641889"/>
    <w:rsid w:val="00641936"/>
    <w:rsid w:val="006419BA"/>
    <w:rsid w:val="00641A8B"/>
    <w:rsid w:val="00641B2D"/>
    <w:rsid w:val="00641BCA"/>
    <w:rsid w:val="00641DF7"/>
    <w:rsid w:val="0064218F"/>
    <w:rsid w:val="006421A7"/>
    <w:rsid w:val="00642393"/>
    <w:rsid w:val="00642446"/>
    <w:rsid w:val="006424C1"/>
    <w:rsid w:val="00642601"/>
    <w:rsid w:val="0064265A"/>
    <w:rsid w:val="006428CD"/>
    <w:rsid w:val="006428E6"/>
    <w:rsid w:val="0064298C"/>
    <w:rsid w:val="00642A72"/>
    <w:rsid w:val="00642AC1"/>
    <w:rsid w:val="00642AD0"/>
    <w:rsid w:val="00642B97"/>
    <w:rsid w:val="006434B6"/>
    <w:rsid w:val="006435BB"/>
    <w:rsid w:val="006435C2"/>
    <w:rsid w:val="0064362C"/>
    <w:rsid w:val="00643822"/>
    <w:rsid w:val="00643A47"/>
    <w:rsid w:val="00643A69"/>
    <w:rsid w:val="00643ADD"/>
    <w:rsid w:val="00643C6B"/>
    <w:rsid w:val="00643C9C"/>
    <w:rsid w:val="00643FFF"/>
    <w:rsid w:val="0064400D"/>
    <w:rsid w:val="006441B9"/>
    <w:rsid w:val="006442A1"/>
    <w:rsid w:val="006443C9"/>
    <w:rsid w:val="006444BD"/>
    <w:rsid w:val="00644572"/>
    <w:rsid w:val="00644C33"/>
    <w:rsid w:val="00644CB6"/>
    <w:rsid w:val="00644CCF"/>
    <w:rsid w:val="00644F89"/>
    <w:rsid w:val="00645078"/>
    <w:rsid w:val="006450B7"/>
    <w:rsid w:val="006450C1"/>
    <w:rsid w:val="006450EF"/>
    <w:rsid w:val="00645125"/>
    <w:rsid w:val="006458AD"/>
    <w:rsid w:val="00645B22"/>
    <w:rsid w:val="00645B6E"/>
    <w:rsid w:val="00645BEA"/>
    <w:rsid w:val="00645BEF"/>
    <w:rsid w:val="00645CF1"/>
    <w:rsid w:val="00645D29"/>
    <w:rsid w:val="00645DBD"/>
    <w:rsid w:val="00645E85"/>
    <w:rsid w:val="00645FDD"/>
    <w:rsid w:val="00646111"/>
    <w:rsid w:val="006461E6"/>
    <w:rsid w:val="00646245"/>
    <w:rsid w:val="00646485"/>
    <w:rsid w:val="00646647"/>
    <w:rsid w:val="0064676D"/>
    <w:rsid w:val="00646862"/>
    <w:rsid w:val="00646991"/>
    <w:rsid w:val="00646A2C"/>
    <w:rsid w:val="00646A76"/>
    <w:rsid w:val="00646BE6"/>
    <w:rsid w:val="00646D6A"/>
    <w:rsid w:val="00646EA6"/>
    <w:rsid w:val="00647341"/>
    <w:rsid w:val="0064741B"/>
    <w:rsid w:val="0064765D"/>
    <w:rsid w:val="0064791E"/>
    <w:rsid w:val="00647B41"/>
    <w:rsid w:val="00647C6A"/>
    <w:rsid w:val="00647C7D"/>
    <w:rsid w:val="00647FEE"/>
    <w:rsid w:val="006501E3"/>
    <w:rsid w:val="006502E3"/>
    <w:rsid w:val="00650394"/>
    <w:rsid w:val="0065052E"/>
    <w:rsid w:val="0065057E"/>
    <w:rsid w:val="006507A2"/>
    <w:rsid w:val="0065087E"/>
    <w:rsid w:val="00650C79"/>
    <w:rsid w:val="00650DB4"/>
    <w:rsid w:val="00650DD5"/>
    <w:rsid w:val="00650E75"/>
    <w:rsid w:val="00650EC0"/>
    <w:rsid w:val="00650F0D"/>
    <w:rsid w:val="00650F86"/>
    <w:rsid w:val="00650F93"/>
    <w:rsid w:val="0065123A"/>
    <w:rsid w:val="00651362"/>
    <w:rsid w:val="00651454"/>
    <w:rsid w:val="00651480"/>
    <w:rsid w:val="006514C1"/>
    <w:rsid w:val="006514F1"/>
    <w:rsid w:val="0065163A"/>
    <w:rsid w:val="006516B6"/>
    <w:rsid w:val="0065180F"/>
    <w:rsid w:val="006518A3"/>
    <w:rsid w:val="00651AC6"/>
    <w:rsid w:val="00651ADD"/>
    <w:rsid w:val="00651F9D"/>
    <w:rsid w:val="00652022"/>
    <w:rsid w:val="006520CF"/>
    <w:rsid w:val="006521BF"/>
    <w:rsid w:val="006524AF"/>
    <w:rsid w:val="0065254D"/>
    <w:rsid w:val="00652639"/>
    <w:rsid w:val="0065272F"/>
    <w:rsid w:val="00652748"/>
    <w:rsid w:val="0065275E"/>
    <w:rsid w:val="006527AB"/>
    <w:rsid w:val="006527F0"/>
    <w:rsid w:val="00652829"/>
    <w:rsid w:val="006529A6"/>
    <w:rsid w:val="006529CA"/>
    <w:rsid w:val="00652C1D"/>
    <w:rsid w:val="00652D84"/>
    <w:rsid w:val="00652FD2"/>
    <w:rsid w:val="00653167"/>
    <w:rsid w:val="00653387"/>
    <w:rsid w:val="00653512"/>
    <w:rsid w:val="006535C1"/>
    <w:rsid w:val="006535F7"/>
    <w:rsid w:val="00653717"/>
    <w:rsid w:val="006537FE"/>
    <w:rsid w:val="006538DE"/>
    <w:rsid w:val="0065391F"/>
    <w:rsid w:val="006539B1"/>
    <w:rsid w:val="006539D4"/>
    <w:rsid w:val="00653A31"/>
    <w:rsid w:val="00653FDE"/>
    <w:rsid w:val="0065412E"/>
    <w:rsid w:val="00654171"/>
    <w:rsid w:val="0065423F"/>
    <w:rsid w:val="0065428D"/>
    <w:rsid w:val="006542B6"/>
    <w:rsid w:val="006542C5"/>
    <w:rsid w:val="006543EE"/>
    <w:rsid w:val="00654484"/>
    <w:rsid w:val="00654797"/>
    <w:rsid w:val="00654861"/>
    <w:rsid w:val="00654935"/>
    <w:rsid w:val="00654A16"/>
    <w:rsid w:val="00654A1F"/>
    <w:rsid w:val="00654A74"/>
    <w:rsid w:val="00654B41"/>
    <w:rsid w:val="00654B9F"/>
    <w:rsid w:val="00654CE8"/>
    <w:rsid w:val="00654DD5"/>
    <w:rsid w:val="0065532C"/>
    <w:rsid w:val="00655401"/>
    <w:rsid w:val="00655414"/>
    <w:rsid w:val="0065541A"/>
    <w:rsid w:val="006554D1"/>
    <w:rsid w:val="00655517"/>
    <w:rsid w:val="00655675"/>
    <w:rsid w:val="006556C0"/>
    <w:rsid w:val="00655759"/>
    <w:rsid w:val="006557AF"/>
    <w:rsid w:val="0065584A"/>
    <w:rsid w:val="00655860"/>
    <w:rsid w:val="00655972"/>
    <w:rsid w:val="006559A0"/>
    <w:rsid w:val="00655A62"/>
    <w:rsid w:val="00655BA0"/>
    <w:rsid w:val="00655BA5"/>
    <w:rsid w:val="00655BAB"/>
    <w:rsid w:val="00655CAA"/>
    <w:rsid w:val="00655D52"/>
    <w:rsid w:val="00655DE9"/>
    <w:rsid w:val="00655E40"/>
    <w:rsid w:val="00655E66"/>
    <w:rsid w:val="00655EB9"/>
    <w:rsid w:val="0065611B"/>
    <w:rsid w:val="00656162"/>
    <w:rsid w:val="006561EA"/>
    <w:rsid w:val="00656419"/>
    <w:rsid w:val="0065645D"/>
    <w:rsid w:val="00656480"/>
    <w:rsid w:val="0065649D"/>
    <w:rsid w:val="00656634"/>
    <w:rsid w:val="00656915"/>
    <w:rsid w:val="00656A52"/>
    <w:rsid w:val="00656ACF"/>
    <w:rsid w:val="00656B1F"/>
    <w:rsid w:val="00656B5A"/>
    <w:rsid w:val="00656BBE"/>
    <w:rsid w:val="00656C8F"/>
    <w:rsid w:val="00656CD8"/>
    <w:rsid w:val="00656EEC"/>
    <w:rsid w:val="00656F85"/>
    <w:rsid w:val="0065710E"/>
    <w:rsid w:val="0065712C"/>
    <w:rsid w:val="0065755C"/>
    <w:rsid w:val="00657627"/>
    <w:rsid w:val="00657630"/>
    <w:rsid w:val="00657698"/>
    <w:rsid w:val="006578AF"/>
    <w:rsid w:val="00657A89"/>
    <w:rsid w:val="00657BD7"/>
    <w:rsid w:val="00657C0D"/>
    <w:rsid w:val="00657CC9"/>
    <w:rsid w:val="00657CEA"/>
    <w:rsid w:val="00657CF5"/>
    <w:rsid w:val="00657F9A"/>
    <w:rsid w:val="0066007F"/>
    <w:rsid w:val="006601B1"/>
    <w:rsid w:val="00660203"/>
    <w:rsid w:val="006602AB"/>
    <w:rsid w:val="0066049C"/>
    <w:rsid w:val="006606DF"/>
    <w:rsid w:val="006608BE"/>
    <w:rsid w:val="006608D1"/>
    <w:rsid w:val="00660A1D"/>
    <w:rsid w:val="00660CE4"/>
    <w:rsid w:val="00660DB2"/>
    <w:rsid w:val="00660FED"/>
    <w:rsid w:val="0066102B"/>
    <w:rsid w:val="0066114C"/>
    <w:rsid w:val="00661352"/>
    <w:rsid w:val="00661434"/>
    <w:rsid w:val="00661471"/>
    <w:rsid w:val="00661552"/>
    <w:rsid w:val="006615EB"/>
    <w:rsid w:val="00661706"/>
    <w:rsid w:val="006617F9"/>
    <w:rsid w:val="0066181E"/>
    <w:rsid w:val="006618CC"/>
    <w:rsid w:val="006619CE"/>
    <w:rsid w:val="00661AD8"/>
    <w:rsid w:val="00661BFE"/>
    <w:rsid w:val="00661C1F"/>
    <w:rsid w:val="00661C52"/>
    <w:rsid w:val="00661D38"/>
    <w:rsid w:val="00661F31"/>
    <w:rsid w:val="006620D7"/>
    <w:rsid w:val="00662183"/>
    <w:rsid w:val="006622EF"/>
    <w:rsid w:val="00662346"/>
    <w:rsid w:val="006623B3"/>
    <w:rsid w:val="0066240A"/>
    <w:rsid w:val="0066261A"/>
    <w:rsid w:val="00662624"/>
    <w:rsid w:val="006626F4"/>
    <w:rsid w:val="0066279D"/>
    <w:rsid w:val="006628CC"/>
    <w:rsid w:val="006628D5"/>
    <w:rsid w:val="00662A70"/>
    <w:rsid w:val="00662B19"/>
    <w:rsid w:val="00662C79"/>
    <w:rsid w:val="00662D22"/>
    <w:rsid w:val="00662DD7"/>
    <w:rsid w:val="0066311C"/>
    <w:rsid w:val="0066316F"/>
    <w:rsid w:val="0066353E"/>
    <w:rsid w:val="0066369E"/>
    <w:rsid w:val="006637BC"/>
    <w:rsid w:val="006637C0"/>
    <w:rsid w:val="006637D5"/>
    <w:rsid w:val="006639E2"/>
    <w:rsid w:val="00663C3F"/>
    <w:rsid w:val="00663D03"/>
    <w:rsid w:val="00663D3E"/>
    <w:rsid w:val="006641D0"/>
    <w:rsid w:val="006642C2"/>
    <w:rsid w:val="00664330"/>
    <w:rsid w:val="006643AF"/>
    <w:rsid w:val="00664526"/>
    <w:rsid w:val="006647CA"/>
    <w:rsid w:val="0066494B"/>
    <w:rsid w:val="00664A0A"/>
    <w:rsid w:val="00664A6B"/>
    <w:rsid w:val="00664A6F"/>
    <w:rsid w:val="00664AC3"/>
    <w:rsid w:val="00664D87"/>
    <w:rsid w:val="00664EF9"/>
    <w:rsid w:val="00664F85"/>
    <w:rsid w:val="006651D3"/>
    <w:rsid w:val="00665227"/>
    <w:rsid w:val="0066530E"/>
    <w:rsid w:val="006653FC"/>
    <w:rsid w:val="006654CB"/>
    <w:rsid w:val="00665567"/>
    <w:rsid w:val="00665885"/>
    <w:rsid w:val="00665968"/>
    <w:rsid w:val="00665A22"/>
    <w:rsid w:val="00665C69"/>
    <w:rsid w:val="00665C98"/>
    <w:rsid w:val="00665CF0"/>
    <w:rsid w:val="00665DD7"/>
    <w:rsid w:val="00665E33"/>
    <w:rsid w:val="00665EC1"/>
    <w:rsid w:val="00665F36"/>
    <w:rsid w:val="00665FD5"/>
    <w:rsid w:val="00666044"/>
    <w:rsid w:val="00666169"/>
    <w:rsid w:val="006666D1"/>
    <w:rsid w:val="00666780"/>
    <w:rsid w:val="00666957"/>
    <w:rsid w:val="00666979"/>
    <w:rsid w:val="00666A63"/>
    <w:rsid w:val="00666AB9"/>
    <w:rsid w:val="00666B75"/>
    <w:rsid w:val="00666C16"/>
    <w:rsid w:val="00666C7F"/>
    <w:rsid w:val="00666C9E"/>
    <w:rsid w:val="00666CDB"/>
    <w:rsid w:val="00666D6F"/>
    <w:rsid w:val="0066729E"/>
    <w:rsid w:val="00667304"/>
    <w:rsid w:val="006673E0"/>
    <w:rsid w:val="006673E6"/>
    <w:rsid w:val="00667437"/>
    <w:rsid w:val="0066744B"/>
    <w:rsid w:val="0066755B"/>
    <w:rsid w:val="00667957"/>
    <w:rsid w:val="00667CC9"/>
    <w:rsid w:val="00667E30"/>
    <w:rsid w:val="00667E9D"/>
    <w:rsid w:val="006700A8"/>
    <w:rsid w:val="00670163"/>
    <w:rsid w:val="00670537"/>
    <w:rsid w:val="0067066F"/>
    <w:rsid w:val="006707D4"/>
    <w:rsid w:val="00670BFB"/>
    <w:rsid w:val="00670E5A"/>
    <w:rsid w:val="00670EBF"/>
    <w:rsid w:val="00670F19"/>
    <w:rsid w:val="0067117E"/>
    <w:rsid w:val="00671267"/>
    <w:rsid w:val="0067163F"/>
    <w:rsid w:val="006717DA"/>
    <w:rsid w:val="006719D5"/>
    <w:rsid w:val="00671A2F"/>
    <w:rsid w:val="00671AC3"/>
    <w:rsid w:val="00671C0F"/>
    <w:rsid w:val="00671C46"/>
    <w:rsid w:val="00671D91"/>
    <w:rsid w:val="00671DDE"/>
    <w:rsid w:val="00671F82"/>
    <w:rsid w:val="00672288"/>
    <w:rsid w:val="00672351"/>
    <w:rsid w:val="0067244D"/>
    <w:rsid w:val="006725DA"/>
    <w:rsid w:val="006725DC"/>
    <w:rsid w:val="006725F0"/>
    <w:rsid w:val="006725F9"/>
    <w:rsid w:val="0067263F"/>
    <w:rsid w:val="00672699"/>
    <w:rsid w:val="0067281F"/>
    <w:rsid w:val="00672AE5"/>
    <w:rsid w:val="00672DBE"/>
    <w:rsid w:val="00672DCC"/>
    <w:rsid w:val="006730E2"/>
    <w:rsid w:val="0067315D"/>
    <w:rsid w:val="0067328B"/>
    <w:rsid w:val="0067355E"/>
    <w:rsid w:val="00673684"/>
    <w:rsid w:val="00673855"/>
    <w:rsid w:val="00673AE9"/>
    <w:rsid w:val="00673AF8"/>
    <w:rsid w:val="00673B98"/>
    <w:rsid w:val="0067413B"/>
    <w:rsid w:val="006746B7"/>
    <w:rsid w:val="00674B43"/>
    <w:rsid w:val="00674B5A"/>
    <w:rsid w:val="00674EA5"/>
    <w:rsid w:val="00674F5B"/>
    <w:rsid w:val="0067505B"/>
    <w:rsid w:val="00675086"/>
    <w:rsid w:val="006751B4"/>
    <w:rsid w:val="006752BD"/>
    <w:rsid w:val="0067541B"/>
    <w:rsid w:val="00675836"/>
    <w:rsid w:val="006758E1"/>
    <w:rsid w:val="00675A98"/>
    <w:rsid w:val="00675DC1"/>
    <w:rsid w:val="00675E6D"/>
    <w:rsid w:val="00675F4A"/>
    <w:rsid w:val="00675FF4"/>
    <w:rsid w:val="00676019"/>
    <w:rsid w:val="006760C3"/>
    <w:rsid w:val="006761A0"/>
    <w:rsid w:val="006761A9"/>
    <w:rsid w:val="006763CF"/>
    <w:rsid w:val="006763F7"/>
    <w:rsid w:val="00676402"/>
    <w:rsid w:val="0067650A"/>
    <w:rsid w:val="0067655C"/>
    <w:rsid w:val="00676746"/>
    <w:rsid w:val="006767FB"/>
    <w:rsid w:val="00676845"/>
    <w:rsid w:val="0067689F"/>
    <w:rsid w:val="00676A13"/>
    <w:rsid w:val="00676DCA"/>
    <w:rsid w:val="00676F05"/>
    <w:rsid w:val="00676FBB"/>
    <w:rsid w:val="00676FBF"/>
    <w:rsid w:val="006770F9"/>
    <w:rsid w:val="006771D8"/>
    <w:rsid w:val="00677236"/>
    <w:rsid w:val="0067729C"/>
    <w:rsid w:val="006773CC"/>
    <w:rsid w:val="006775C9"/>
    <w:rsid w:val="006775FB"/>
    <w:rsid w:val="006776EB"/>
    <w:rsid w:val="00677A21"/>
    <w:rsid w:val="00677A26"/>
    <w:rsid w:val="00677A5C"/>
    <w:rsid w:val="00677DBA"/>
    <w:rsid w:val="00677E55"/>
    <w:rsid w:val="00677EEE"/>
    <w:rsid w:val="00680338"/>
    <w:rsid w:val="0068048F"/>
    <w:rsid w:val="006804D1"/>
    <w:rsid w:val="006806DF"/>
    <w:rsid w:val="0068079D"/>
    <w:rsid w:val="00680862"/>
    <w:rsid w:val="006808AF"/>
    <w:rsid w:val="0068097A"/>
    <w:rsid w:val="00680BAE"/>
    <w:rsid w:val="00680D3B"/>
    <w:rsid w:val="00680DAA"/>
    <w:rsid w:val="00680F66"/>
    <w:rsid w:val="00680F6A"/>
    <w:rsid w:val="00680FC8"/>
    <w:rsid w:val="00681003"/>
    <w:rsid w:val="00681186"/>
    <w:rsid w:val="006816EF"/>
    <w:rsid w:val="006818E6"/>
    <w:rsid w:val="006818EB"/>
    <w:rsid w:val="006819A9"/>
    <w:rsid w:val="00681B98"/>
    <w:rsid w:val="00681C73"/>
    <w:rsid w:val="00681F8E"/>
    <w:rsid w:val="00682598"/>
    <w:rsid w:val="006825B8"/>
    <w:rsid w:val="0068268E"/>
    <w:rsid w:val="006826F4"/>
    <w:rsid w:val="00682CB8"/>
    <w:rsid w:val="00682D04"/>
    <w:rsid w:val="00682E09"/>
    <w:rsid w:val="00683065"/>
    <w:rsid w:val="00683083"/>
    <w:rsid w:val="00683225"/>
    <w:rsid w:val="00683382"/>
    <w:rsid w:val="0068343F"/>
    <w:rsid w:val="0068374F"/>
    <w:rsid w:val="00683839"/>
    <w:rsid w:val="00683A4C"/>
    <w:rsid w:val="00683E17"/>
    <w:rsid w:val="00683F51"/>
    <w:rsid w:val="00683FA3"/>
    <w:rsid w:val="00684087"/>
    <w:rsid w:val="006842D8"/>
    <w:rsid w:val="00684511"/>
    <w:rsid w:val="00684630"/>
    <w:rsid w:val="00684763"/>
    <w:rsid w:val="0068478B"/>
    <w:rsid w:val="0068480F"/>
    <w:rsid w:val="00684C37"/>
    <w:rsid w:val="00684C59"/>
    <w:rsid w:val="00684D84"/>
    <w:rsid w:val="0068501C"/>
    <w:rsid w:val="006852F8"/>
    <w:rsid w:val="0068541F"/>
    <w:rsid w:val="0068573F"/>
    <w:rsid w:val="006858C3"/>
    <w:rsid w:val="00685928"/>
    <w:rsid w:val="00685EA7"/>
    <w:rsid w:val="0068607C"/>
    <w:rsid w:val="0068648A"/>
    <w:rsid w:val="006864EE"/>
    <w:rsid w:val="00686557"/>
    <w:rsid w:val="00686649"/>
    <w:rsid w:val="00686896"/>
    <w:rsid w:val="00686997"/>
    <w:rsid w:val="00686BA0"/>
    <w:rsid w:val="00686C21"/>
    <w:rsid w:val="00686C4E"/>
    <w:rsid w:val="00686CFE"/>
    <w:rsid w:val="00686FEB"/>
    <w:rsid w:val="00687056"/>
    <w:rsid w:val="006872B9"/>
    <w:rsid w:val="00687319"/>
    <w:rsid w:val="0068735B"/>
    <w:rsid w:val="00687463"/>
    <w:rsid w:val="00687508"/>
    <w:rsid w:val="00687527"/>
    <w:rsid w:val="0068765C"/>
    <w:rsid w:val="00687680"/>
    <w:rsid w:val="006876DD"/>
    <w:rsid w:val="006878B9"/>
    <w:rsid w:val="00687A11"/>
    <w:rsid w:val="00687A2D"/>
    <w:rsid w:val="00687A80"/>
    <w:rsid w:val="00687C22"/>
    <w:rsid w:val="00687E3C"/>
    <w:rsid w:val="00687FDF"/>
    <w:rsid w:val="006905D3"/>
    <w:rsid w:val="00690682"/>
    <w:rsid w:val="0069081D"/>
    <w:rsid w:val="0069092E"/>
    <w:rsid w:val="006909FE"/>
    <w:rsid w:val="00690A66"/>
    <w:rsid w:val="00690BA5"/>
    <w:rsid w:val="00690C5F"/>
    <w:rsid w:val="00690D64"/>
    <w:rsid w:val="00690ED5"/>
    <w:rsid w:val="00690F8C"/>
    <w:rsid w:val="00690FE6"/>
    <w:rsid w:val="00691112"/>
    <w:rsid w:val="006912AD"/>
    <w:rsid w:val="006918A4"/>
    <w:rsid w:val="006918E0"/>
    <w:rsid w:val="00691947"/>
    <w:rsid w:val="00691A65"/>
    <w:rsid w:val="00691ED3"/>
    <w:rsid w:val="00691FAD"/>
    <w:rsid w:val="006920D6"/>
    <w:rsid w:val="006924BF"/>
    <w:rsid w:val="00692B3D"/>
    <w:rsid w:val="00692B70"/>
    <w:rsid w:val="00692C0B"/>
    <w:rsid w:val="00692CF8"/>
    <w:rsid w:val="00692E11"/>
    <w:rsid w:val="00692E17"/>
    <w:rsid w:val="00692EAB"/>
    <w:rsid w:val="00692FB1"/>
    <w:rsid w:val="00692FFC"/>
    <w:rsid w:val="00693011"/>
    <w:rsid w:val="00693087"/>
    <w:rsid w:val="0069313C"/>
    <w:rsid w:val="0069318A"/>
    <w:rsid w:val="0069350D"/>
    <w:rsid w:val="00693517"/>
    <w:rsid w:val="00693590"/>
    <w:rsid w:val="00693611"/>
    <w:rsid w:val="00693652"/>
    <w:rsid w:val="0069380A"/>
    <w:rsid w:val="00693A05"/>
    <w:rsid w:val="00693A80"/>
    <w:rsid w:val="00693CC5"/>
    <w:rsid w:val="00693CDE"/>
    <w:rsid w:val="00693D5C"/>
    <w:rsid w:val="00693F94"/>
    <w:rsid w:val="0069406F"/>
    <w:rsid w:val="006940D0"/>
    <w:rsid w:val="00694140"/>
    <w:rsid w:val="00694171"/>
    <w:rsid w:val="00694201"/>
    <w:rsid w:val="00694220"/>
    <w:rsid w:val="00694311"/>
    <w:rsid w:val="00694475"/>
    <w:rsid w:val="0069455F"/>
    <w:rsid w:val="006947D5"/>
    <w:rsid w:val="006947DC"/>
    <w:rsid w:val="006948D1"/>
    <w:rsid w:val="00694ADD"/>
    <w:rsid w:val="00694DDA"/>
    <w:rsid w:val="00694E35"/>
    <w:rsid w:val="00694F65"/>
    <w:rsid w:val="00695196"/>
    <w:rsid w:val="00695360"/>
    <w:rsid w:val="006954DE"/>
    <w:rsid w:val="00695AFB"/>
    <w:rsid w:val="00695B9E"/>
    <w:rsid w:val="00695C78"/>
    <w:rsid w:val="00695ED4"/>
    <w:rsid w:val="00695EE4"/>
    <w:rsid w:val="006960B3"/>
    <w:rsid w:val="0069615F"/>
    <w:rsid w:val="006961E7"/>
    <w:rsid w:val="0069622C"/>
    <w:rsid w:val="006966EB"/>
    <w:rsid w:val="006967B7"/>
    <w:rsid w:val="006967DF"/>
    <w:rsid w:val="006968E6"/>
    <w:rsid w:val="0069693A"/>
    <w:rsid w:val="00696AD2"/>
    <w:rsid w:val="00696C54"/>
    <w:rsid w:val="00696E30"/>
    <w:rsid w:val="00696E60"/>
    <w:rsid w:val="006972E9"/>
    <w:rsid w:val="0069746B"/>
    <w:rsid w:val="006974F2"/>
    <w:rsid w:val="0069759E"/>
    <w:rsid w:val="006976DF"/>
    <w:rsid w:val="0069778A"/>
    <w:rsid w:val="0069783A"/>
    <w:rsid w:val="00697858"/>
    <w:rsid w:val="00697BE5"/>
    <w:rsid w:val="00697C47"/>
    <w:rsid w:val="006A004D"/>
    <w:rsid w:val="006A0068"/>
    <w:rsid w:val="006A0071"/>
    <w:rsid w:val="006A008B"/>
    <w:rsid w:val="006A01AC"/>
    <w:rsid w:val="006A04BA"/>
    <w:rsid w:val="006A0544"/>
    <w:rsid w:val="006A05E9"/>
    <w:rsid w:val="006A06F6"/>
    <w:rsid w:val="006A0797"/>
    <w:rsid w:val="006A09AE"/>
    <w:rsid w:val="006A09C5"/>
    <w:rsid w:val="006A0A0E"/>
    <w:rsid w:val="006A0B3A"/>
    <w:rsid w:val="006A0BB9"/>
    <w:rsid w:val="006A10E3"/>
    <w:rsid w:val="006A113C"/>
    <w:rsid w:val="006A119F"/>
    <w:rsid w:val="006A11F5"/>
    <w:rsid w:val="006A1337"/>
    <w:rsid w:val="006A1395"/>
    <w:rsid w:val="006A13A5"/>
    <w:rsid w:val="006A14BF"/>
    <w:rsid w:val="006A14C0"/>
    <w:rsid w:val="006A1704"/>
    <w:rsid w:val="006A1925"/>
    <w:rsid w:val="006A1FE7"/>
    <w:rsid w:val="006A207E"/>
    <w:rsid w:val="006A209B"/>
    <w:rsid w:val="006A20FB"/>
    <w:rsid w:val="006A231C"/>
    <w:rsid w:val="006A269F"/>
    <w:rsid w:val="006A26E0"/>
    <w:rsid w:val="006A28EA"/>
    <w:rsid w:val="006A2B14"/>
    <w:rsid w:val="006A2E64"/>
    <w:rsid w:val="006A2F1E"/>
    <w:rsid w:val="006A305A"/>
    <w:rsid w:val="006A3299"/>
    <w:rsid w:val="006A32FE"/>
    <w:rsid w:val="006A3539"/>
    <w:rsid w:val="006A37A5"/>
    <w:rsid w:val="006A38E7"/>
    <w:rsid w:val="006A3AB1"/>
    <w:rsid w:val="006A3DAB"/>
    <w:rsid w:val="006A3E65"/>
    <w:rsid w:val="006A428A"/>
    <w:rsid w:val="006A4331"/>
    <w:rsid w:val="006A44E5"/>
    <w:rsid w:val="006A4677"/>
    <w:rsid w:val="006A46D5"/>
    <w:rsid w:val="006A4E21"/>
    <w:rsid w:val="006A4E9C"/>
    <w:rsid w:val="006A4EF4"/>
    <w:rsid w:val="006A5148"/>
    <w:rsid w:val="006A51A5"/>
    <w:rsid w:val="006A5338"/>
    <w:rsid w:val="006A54EA"/>
    <w:rsid w:val="006A556C"/>
    <w:rsid w:val="006A55D6"/>
    <w:rsid w:val="006A5738"/>
    <w:rsid w:val="006A579E"/>
    <w:rsid w:val="006A586E"/>
    <w:rsid w:val="006A5881"/>
    <w:rsid w:val="006A58CF"/>
    <w:rsid w:val="006A58F2"/>
    <w:rsid w:val="006A5AD8"/>
    <w:rsid w:val="006A5B1B"/>
    <w:rsid w:val="006A5D2C"/>
    <w:rsid w:val="006A5D84"/>
    <w:rsid w:val="006A5F4D"/>
    <w:rsid w:val="006A607E"/>
    <w:rsid w:val="006A632C"/>
    <w:rsid w:val="006A665A"/>
    <w:rsid w:val="006A66E0"/>
    <w:rsid w:val="006A6753"/>
    <w:rsid w:val="006A675C"/>
    <w:rsid w:val="006A6BBC"/>
    <w:rsid w:val="006A6C3B"/>
    <w:rsid w:val="006A703F"/>
    <w:rsid w:val="006A70AA"/>
    <w:rsid w:val="006A71DF"/>
    <w:rsid w:val="006A73A9"/>
    <w:rsid w:val="006A73B4"/>
    <w:rsid w:val="006A73E2"/>
    <w:rsid w:val="006A73F6"/>
    <w:rsid w:val="006A76B3"/>
    <w:rsid w:val="006A7AFD"/>
    <w:rsid w:val="006B0012"/>
    <w:rsid w:val="006B002B"/>
    <w:rsid w:val="006B010B"/>
    <w:rsid w:val="006B0184"/>
    <w:rsid w:val="006B0366"/>
    <w:rsid w:val="006B0408"/>
    <w:rsid w:val="006B0634"/>
    <w:rsid w:val="006B0701"/>
    <w:rsid w:val="006B091E"/>
    <w:rsid w:val="006B0BCE"/>
    <w:rsid w:val="006B0D41"/>
    <w:rsid w:val="006B0DCC"/>
    <w:rsid w:val="006B0E6E"/>
    <w:rsid w:val="006B0EA6"/>
    <w:rsid w:val="006B0F71"/>
    <w:rsid w:val="006B12E0"/>
    <w:rsid w:val="006B1437"/>
    <w:rsid w:val="006B156F"/>
    <w:rsid w:val="006B16F4"/>
    <w:rsid w:val="006B17B4"/>
    <w:rsid w:val="006B17BD"/>
    <w:rsid w:val="006B18F6"/>
    <w:rsid w:val="006B194F"/>
    <w:rsid w:val="006B1972"/>
    <w:rsid w:val="006B1975"/>
    <w:rsid w:val="006B19AA"/>
    <w:rsid w:val="006B1CA5"/>
    <w:rsid w:val="006B1D4D"/>
    <w:rsid w:val="006B1F40"/>
    <w:rsid w:val="006B1F70"/>
    <w:rsid w:val="006B1FF5"/>
    <w:rsid w:val="006B20BC"/>
    <w:rsid w:val="006B243A"/>
    <w:rsid w:val="006B24F2"/>
    <w:rsid w:val="006B2654"/>
    <w:rsid w:val="006B27A1"/>
    <w:rsid w:val="006B2A5F"/>
    <w:rsid w:val="006B2AF7"/>
    <w:rsid w:val="006B2C90"/>
    <w:rsid w:val="006B2DA4"/>
    <w:rsid w:val="006B2FEC"/>
    <w:rsid w:val="006B316F"/>
    <w:rsid w:val="006B332F"/>
    <w:rsid w:val="006B34B7"/>
    <w:rsid w:val="006B3AD9"/>
    <w:rsid w:val="006B3AF0"/>
    <w:rsid w:val="006B3CAD"/>
    <w:rsid w:val="006B3CE1"/>
    <w:rsid w:val="006B3D10"/>
    <w:rsid w:val="006B3D8A"/>
    <w:rsid w:val="006B3F10"/>
    <w:rsid w:val="006B3FCB"/>
    <w:rsid w:val="006B3FCE"/>
    <w:rsid w:val="006B40D3"/>
    <w:rsid w:val="006B417C"/>
    <w:rsid w:val="006B43A0"/>
    <w:rsid w:val="006B46DC"/>
    <w:rsid w:val="006B4733"/>
    <w:rsid w:val="006B4744"/>
    <w:rsid w:val="006B498A"/>
    <w:rsid w:val="006B49C9"/>
    <w:rsid w:val="006B4B10"/>
    <w:rsid w:val="006B4D6A"/>
    <w:rsid w:val="006B4DC2"/>
    <w:rsid w:val="006B4E01"/>
    <w:rsid w:val="006B4E78"/>
    <w:rsid w:val="006B4F6F"/>
    <w:rsid w:val="006B51E9"/>
    <w:rsid w:val="006B529E"/>
    <w:rsid w:val="006B5324"/>
    <w:rsid w:val="006B5368"/>
    <w:rsid w:val="006B54C4"/>
    <w:rsid w:val="006B55AF"/>
    <w:rsid w:val="006B56F8"/>
    <w:rsid w:val="006B5AD0"/>
    <w:rsid w:val="006B5BF0"/>
    <w:rsid w:val="006B5C11"/>
    <w:rsid w:val="006B5C5E"/>
    <w:rsid w:val="006B5C81"/>
    <w:rsid w:val="006B5D62"/>
    <w:rsid w:val="006B5D81"/>
    <w:rsid w:val="006B601D"/>
    <w:rsid w:val="006B6020"/>
    <w:rsid w:val="006B6073"/>
    <w:rsid w:val="006B61ED"/>
    <w:rsid w:val="006B6272"/>
    <w:rsid w:val="006B62AC"/>
    <w:rsid w:val="006B6454"/>
    <w:rsid w:val="006B6474"/>
    <w:rsid w:val="006B64A3"/>
    <w:rsid w:val="006B6585"/>
    <w:rsid w:val="006B6779"/>
    <w:rsid w:val="006B6936"/>
    <w:rsid w:val="006B6ADD"/>
    <w:rsid w:val="006B6D42"/>
    <w:rsid w:val="006B6E09"/>
    <w:rsid w:val="006B6F9B"/>
    <w:rsid w:val="006B7357"/>
    <w:rsid w:val="006B73FC"/>
    <w:rsid w:val="006B74C3"/>
    <w:rsid w:val="006B75E0"/>
    <w:rsid w:val="006B7CF5"/>
    <w:rsid w:val="006B7DB3"/>
    <w:rsid w:val="006B7EC5"/>
    <w:rsid w:val="006B7ED1"/>
    <w:rsid w:val="006C0015"/>
    <w:rsid w:val="006C005E"/>
    <w:rsid w:val="006C00AE"/>
    <w:rsid w:val="006C00FB"/>
    <w:rsid w:val="006C0638"/>
    <w:rsid w:val="006C0666"/>
    <w:rsid w:val="006C0746"/>
    <w:rsid w:val="006C0936"/>
    <w:rsid w:val="006C0B89"/>
    <w:rsid w:val="006C0BBB"/>
    <w:rsid w:val="006C0CBC"/>
    <w:rsid w:val="006C0D07"/>
    <w:rsid w:val="006C0EF6"/>
    <w:rsid w:val="006C10E3"/>
    <w:rsid w:val="006C121E"/>
    <w:rsid w:val="006C12E4"/>
    <w:rsid w:val="006C13DE"/>
    <w:rsid w:val="006C13E3"/>
    <w:rsid w:val="006C14F6"/>
    <w:rsid w:val="006C17A4"/>
    <w:rsid w:val="006C17C7"/>
    <w:rsid w:val="006C1912"/>
    <w:rsid w:val="006C19DE"/>
    <w:rsid w:val="006C1A00"/>
    <w:rsid w:val="006C1D35"/>
    <w:rsid w:val="006C2145"/>
    <w:rsid w:val="006C21D3"/>
    <w:rsid w:val="006C226A"/>
    <w:rsid w:val="006C22C4"/>
    <w:rsid w:val="006C23E5"/>
    <w:rsid w:val="006C24ED"/>
    <w:rsid w:val="006C258D"/>
    <w:rsid w:val="006C26C2"/>
    <w:rsid w:val="006C2737"/>
    <w:rsid w:val="006C2752"/>
    <w:rsid w:val="006C27CA"/>
    <w:rsid w:val="006C285B"/>
    <w:rsid w:val="006C2904"/>
    <w:rsid w:val="006C2A7C"/>
    <w:rsid w:val="006C2EAD"/>
    <w:rsid w:val="006C2EF1"/>
    <w:rsid w:val="006C2F32"/>
    <w:rsid w:val="006C2F57"/>
    <w:rsid w:val="006C2F5C"/>
    <w:rsid w:val="006C2FCA"/>
    <w:rsid w:val="006C301F"/>
    <w:rsid w:val="006C309D"/>
    <w:rsid w:val="006C3230"/>
    <w:rsid w:val="006C3843"/>
    <w:rsid w:val="006C3A54"/>
    <w:rsid w:val="006C3ABC"/>
    <w:rsid w:val="006C3FD8"/>
    <w:rsid w:val="006C42F5"/>
    <w:rsid w:val="006C443C"/>
    <w:rsid w:val="006C44DA"/>
    <w:rsid w:val="006C454E"/>
    <w:rsid w:val="006C457C"/>
    <w:rsid w:val="006C47C7"/>
    <w:rsid w:val="006C4864"/>
    <w:rsid w:val="006C4AA5"/>
    <w:rsid w:val="006C4B20"/>
    <w:rsid w:val="006C4BDF"/>
    <w:rsid w:val="006C4E71"/>
    <w:rsid w:val="006C51C2"/>
    <w:rsid w:val="006C5467"/>
    <w:rsid w:val="006C555D"/>
    <w:rsid w:val="006C56A2"/>
    <w:rsid w:val="006C5776"/>
    <w:rsid w:val="006C5825"/>
    <w:rsid w:val="006C5909"/>
    <w:rsid w:val="006C5BE1"/>
    <w:rsid w:val="006C5C59"/>
    <w:rsid w:val="006C5CEB"/>
    <w:rsid w:val="006C5D61"/>
    <w:rsid w:val="006C5F3C"/>
    <w:rsid w:val="006C603E"/>
    <w:rsid w:val="006C606F"/>
    <w:rsid w:val="006C60E3"/>
    <w:rsid w:val="006C61D5"/>
    <w:rsid w:val="006C63ED"/>
    <w:rsid w:val="006C6584"/>
    <w:rsid w:val="006C6591"/>
    <w:rsid w:val="006C65D9"/>
    <w:rsid w:val="006C661D"/>
    <w:rsid w:val="006C6714"/>
    <w:rsid w:val="006C6821"/>
    <w:rsid w:val="006C6945"/>
    <w:rsid w:val="006C6B03"/>
    <w:rsid w:val="006C6DAA"/>
    <w:rsid w:val="006C6F45"/>
    <w:rsid w:val="006C704A"/>
    <w:rsid w:val="006C713E"/>
    <w:rsid w:val="006C717B"/>
    <w:rsid w:val="006C71F4"/>
    <w:rsid w:val="006C726E"/>
    <w:rsid w:val="006C7323"/>
    <w:rsid w:val="006C73F3"/>
    <w:rsid w:val="006C7445"/>
    <w:rsid w:val="006C7563"/>
    <w:rsid w:val="006C76A3"/>
    <w:rsid w:val="006C7787"/>
    <w:rsid w:val="006C77D1"/>
    <w:rsid w:val="006C7904"/>
    <w:rsid w:val="006C79B4"/>
    <w:rsid w:val="006C79FE"/>
    <w:rsid w:val="006C7B8C"/>
    <w:rsid w:val="006C7C8F"/>
    <w:rsid w:val="006C7CEC"/>
    <w:rsid w:val="006C7D28"/>
    <w:rsid w:val="006C7E1D"/>
    <w:rsid w:val="006C7F0F"/>
    <w:rsid w:val="006D009A"/>
    <w:rsid w:val="006D027B"/>
    <w:rsid w:val="006D077E"/>
    <w:rsid w:val="006D07EC"/>
    <w:rsid w:val="006D0822"/>
    <w:rsid w:val="006D0870"/>
    <w:rsid w:val="006D0925"/>
    <w:rsid w:val="006D09BB"/>
    <w:rsid w:val="006D09C3"/>
    <w:rsid w:val="006D0A93"/>
    <w:rsid w:val="006D0C73"/>
    <w:rsid w:val="006D0CA6"/>
    <w:rsid w:val="006D1070"/>
    <w:rsid w:val="006D11D1"/>
    <w:rsid w:val="006D1A94"/>
    <w:rsid w:val="006D1A9C"/>
    <w:rsid w:val="006D1BA9"/>
    <w:rsid w:val="006D1BF2"/>
    <w:rsid w:val="006D1C2B"/>
    <w:rsid w:val="006D1C8E"/>
    <w:rsid w:val="006D1E9F"/>
    <w:rsid w:val="006D1F47"/>
    <w:rsid w:val="006D2414"/>
    <w:rsid w:val="006D2595"/>
    <w:rsid w:val="006D264A"/>
    <w:rsid w:val="006D27D0"/>
    <w:rsid w:val="006D29B8"/>
    <w:rsid w:val="006D2BE5"/>
    <w:rsid w:val="006D2C75"/>
    <w:rsid w:val="006D2D0E"/>
    <w:rsid w:val="006D2DC0"/>
    <w:rsid w:val="006D2E76"/>
    <w:rsid w:val="006D2F43"/>
    <w:rsid w:val="006D3369"/>
    <w:rsid w:val="006D33FF"/>
    <w:rsid w:val="006D34B8"/>
    <w:rsid w:val="006D34E2"/>
    <w:rsid w:val="006D3C51"/>
    <w:rsid w:val="006D3E21"/>
    <w:rsid w:val="006D4012"/>
    <w:rsid w:val="006D4114"/>
    <w:rsid w:val="006D42CE"/>
    <w:rsid w:val="006D4301"/>
    <w:rsid w:val="006D430A"/>
    <w:rsid w:val="006D430F"/>
    <w:rsid w:val="006D4319"/>
    <w:rsid w:val="006D43AE"/>
    <w:rsid w:val="006D44AF"/>
    <w:rsid w:val="006D4599"/>
    <w:rsid w:val="006D4A0B"/>
    <w:rsid w:val="006D4D9B"/>
    <w:rsid w:val="006D4F8C"/>
    <w:rsid w:val="006D4FC2"/>
    <w:rsid w:val="006D4FD0"/>
    <w:rsid w:val="006D4FDD"/>
    <w:rsid w:val="006D5001"/>
    <w:rsid w:val="006D505E"/>
    <w:rsid w:val="006D523C"/>
    <w:rsid w:val="006D5521"/>
    <w:rsid w:val="006D5546"/>
    <w:rsid w:val="006D5779"/>
    <w:rsid w:val="006D5B76"/>
    <w:rsid w:val="006D5E7B"/>
    <w:rsid w:val="006D5F94"/>
    <w:rsid w:val="006D60AD"/>
    <w:rsid w:val="006D611C"/>
    <w:rsid w:val="006D6335"/>
    <w:rsid w:val="006D633D"/>
    <w:rsid w:val="006D63A9"/>
    <w:rsid w:val="006D63F3"/>
    <w:rsid w:val="006D645D"/>
    <w:rsid w:val="006D6547"/>
    <w:rsid w:val="006D65B7"/>
    <w:rsid w:val="006D66C0"/>
    <w:rsid w:val="006D66E2"/>
    <w:rsid w:val="006D676C"/>
    <w:rsid w:val="006D6770"/>
    <w:rsid w:val="006D67EE"/>
    <w:rsid w:val="006D6C07"/>
    <w:rsid w:val="006D6C99"/>
    <w:rsid w:val="006D6CC8"/>
    <w:rsid w:val="006D6D8D"/>
    <w:rsid w:val="006D6E1F"/>
    <w:rsid w:val="006D7046"/>
    <w:rsid w:val="006D704E"/>
    <w:rsid w:val="006D705F"/>
    <w:rsid w:val="006D72F5"/>
    <w:rsid w:val="006D733C"/>
    <w:rsid w:val="006D73D2"/>
    <w:rsid w:val="006D7683"/>
    <w:rsid w:val="006D7875"/>
    <w:rsid w:val="006D7B4F"/>
    <w:rsid w:val="006D7C2C"/>
    <w:rsid w:val="006D7F78"/>
    <w:rsid w:val="006E0048"/>
    <w:rsid w:val="006E051B"/>
    <w:rsid w:val="006E072F"/>
    <w:rsid w:val="006E0820"/>
    <w:rsid w:val="006E084D"/>
    <w:rsid w:val="006E0865"/>
    <w:rsid w:val="006E08ED"/>
    <w:rsid w:val="006E0906"/>
    <w:rsid w:val="006E09AB"/>
    <w:rsid w:val="006E0A55"/>
    <w:rsid w:val="006E0E4D"/>
    <w:rsid w:val="006E1273"/>
    <w:rsid w:val="006E12D8"/>
    <w:rsid w:val="006E1380"/>
    <w:rsid w:val="006E1423"/>
    <w:rsid w:val="006E14DE"/>
    <w:rsid w:val="006E1510"/>
    <w:rsid w:val="006E1570"/>
    <w:rsid w:val="006E17E7"/>
    <w:rsid w:val="006E18A2"/>
    <w:rsid w:val="006E1A15"/>
    <w:rsid w:val="006E1A5E"/>
    <w:rsid w:val="006E1BBF"/>
    <w:rsid w:val="006E1E54"/>
    <w:rsid w:val="006E1EAB"/>
    <w:rsid w:val="006E1EDC"/>
    <w:rsid w:val="006E2198"/>
    <w:rsid w:val="006E219C"/>
    <w:rsid w:val="006E243B"/>
    <w:rsid w:val="006E26DA"/>
    <w:rsid w:val="006E2793"/>
    <w:rsid w:val="006E2800"/>
    <w:rsid w:val="006E283A"/>
    <w:rsid w:val="006E28E2"/>
    <w:rsid w:val="006E294E"/>
    <w:rsid w:val="006E29E8"/>
    <w:rsid w:val="006E2B03"/>
    <w:rsid w:val="006E30FD"/>
    <w:rsid w:val="006E330D"/>
    <w:rsid w:val="006E3333"/>
    <w:rsid w:val="006E33CE"/>
    <w:rsid w:val="006E3448"/>
    <w:rsid w:val="006E3640"/>
    <w:rsid w:val="006E36F9"/>
    <w:rsid w:val="006E3710"/>
    <w:rsid w:val="006E3794"/>
    <w:rsid w:val="006E3AFE"/>
    <w:rsid w:val="006E3BA7"/>
    <w:rsid w:val="006E3BCA"/>
    <w:rsid w:val="006E3C0F"/>
    <w:rsid w:val="006E3D43"/>
    <w:rsid w:val="006E4073"/>
    <w:rsid w:val="006E42AC"/>
    <w:rsid w:val="006E453D"/>
    <w:rsid w:val="006E4591"/>
    <w:rsid w:val="006E480F"/>
    <w:rsid w:val="006E4822"/>
    <w:rsid w:val="006E4868"/>
    <w:rsid w:val="006E48B7"/>
    <w:rsid w:val="006E48C7"/>
    <w:rsid w:val="006E4926"/>
    <w:rsid w:val="006E49FF"/>
    <w:rsid w:val="006E4B6F"/>
    <w:rsid w:val="006E4F02"/>
    <w:rsid w:val="006E4F7A"/>
    <w:rsid w:val="006E5157"/>
    <w:rsid w:val="006E5365"/>
    <w:rsid w:val="006E536A"/>
    <w:rsid w:val="006E5417"/>
    <w:rsid w:val="006E546E"/>
    <w:rsid w:val="006E54AC"/>
    <w:rsid w:val="006E558D"/>
    <w:rsid w:val="006E5725"/>
    <w:rsid w:val="006E5A68"/>
    <w:rsid w:val="006E5B49"/>
    <w:rsid w:val="006E5D3B"/>
    <w:rsid w:val="006E5D81"/>
    <w:rsid w:val="006E5DBC"/>
    <w:rsid w:val="006E6162"/>
    <w:rsid w:val="006E61B8"/>
    <w:rsid w:val="006E6253"/>
    <w:rsid w:val="006E6292"/>
    <w:rsid w:val="006E63BB"/>
    <w:rsid w:val="006E643A"/>
    <w:rsid w:val="006E64A1"/>
    <w:rsid w:val="006E6549"/>
    <w:rsid w:val="006E655F"/>
    <w:rsid w:val="006E66CF"/>
    <w:rsid w:val="006E680F"/>
    <w:rsid w:val="006E68BC"/>
    <w:rsid w:val="006E6A01"/>
    <w:rsid w:val="006E6D34"/>
    <w:rsid w:val="006E6EC3"/>
    <w:rsid w:val="006E6ECD"/>
    <w:rsid w:val="006E7045"/>
    <w:rsid w:val="006E714C"/>
    <w:rsid w:val="006E7289"/>
    <w:rsid w:val="006E7742"/>
    <w:rsid w:val="006E7C1A"/>
    <w:rsid w:val="006E7E0A"/>
    <w:rsid w:val="006E7E51"/>
    <w:rsid w:val="006E7EB1"/>
    <w:rsid w:val="006E7F27"/>
    <w:rsid w:val="006F01F9"/>
    <w:rsid w:val="006F04F2"/>
    <w:rsid w:val="006F091B"/>
    <w:rsid w:val="006F0DC1"/>
    <w:rsid w:val="006F0DDE"/>
    <w:rsid w:val="006F0E48"/>
    <w:rsid w:val="006F0EA8"/>
    <w:rsid w:val="006F0F39"/>
    <w:rsid w:val="006F0FFD"/>
    <w:rsid w:val="006F10B0"/>
    <w:rsid w:val="006F10DE"/>
    <w:rsid w:val="006F117E"/>
    <w:rsid w:val="006F1262"/>
    <w:rsid w:val="006F15C9"/>
    <w:rsid w:val="006F17A5"/>
    <w:rsid w:val="006F184C"/>
    <w:rsid w:val="006F1F5B"/>
    <w:rsid w:val="006F1F64"/>
    <w:rsid w:val="006F2096"/>
    <w:rsid w:val="006F2192"/>
    <w:rsid w:val="006F2314"/>
    <w:rsid w:val="006F24EF"/>
    <w:rsid w:val="006F2554"/>
    <w:rsid w:val="006F25DE"/>
    <w:rsid w:val="006F262B"/>
    <w:rsid w:val="006F26FA"/>
    <w:rsid w:val="006F2C36"/>
    <w:rsid w:val="006F2EC0"/>
    <w:rsid w:val="006F3026"/>
    <w:rsid w:val="006F3239"/>
    <w:rsid w:val="006F32B1"/>
    <w:rsid w:val="006F333D"/>
    <w:rsid w:val="006F33E0"/>
    <w:rsid w:val="006F34EE"/>
    <w:rsid w:val="006F355D"/>
    <w:rsid w:val="006F3624"/>
    <w:rsid w:val="006F3947"/>
    <w:rsid w:val="006F3970"/>
    <w:rsid w:val="006F3AD4"/>
    <w:rsid w:val="006F3BDA"/>
    <w:rsid w:val="006F3E0A"/>
    <w:rsid w:val="006F3F28"/>
    <w:rsid w:val="006F3FB3"/>
    <w:rsid w:val="006F4102"/>
    <w:rsid w:val="006F41B4"/>
    <w:rsid w:val="006F4324"/>
    <w:rsid w:val="006F459B"/>
    <w:rsid w:val="006F4774"/>
    <w:rsid w:val="006F47CD"/>
    <w:rsid w:val="006F480F"/>
    <w:rsid w:val="006F4866"/>
    <w:rsid w:val="006F4A57"/>
    <w:rsid w:val="006F4CAE"/>
    <w:rsid w:val="006F4CB1"/>
    <w:rsid w:val="006F4EEB"/>
    <w:rsid w:val="006F4F8F"/>
    <w:rsid w:val="006F502A"/>
    <w:rsid w:val="006F50C9"/>
    <w:rsid w:val="006F5222"/>
    <w:rsid w:val="006F528F"/>
    <w:rsid w:val="006F52D8"/>
    <w:rsid w:val="006F5408"/>
    <w:rsid w:val="006F5487"/>
    <w:rsid w:val="006F54AE"/>
    <w:rsid w:val="006F54DE"/>
    <w:rsid w:val="006F5671"/>
    <w:rsid w:val="006F5A6C"/>
    <w:rsid w:val="006F5A9F"/>
    <w:rsid w:val="006F5AF7"/>
    <w:rsid w:val="006F5C3A"/>
    <w:rsid w:val="006F5C5B"/>
    <w:rsid w:val="006F5C78"/>
    <w:rsid w:val="006F5D64"/>
    <w:rsid w:val="006F5E38"/>
    <w:rsid w:val="006F5E8E"/>
    <w:rsid w:val="006F5FF5"/>
    <w:rsid w:val="006F6165"/>
    <w:rsid w:val="006F6399"/>
    <w:rsid w:val="006F63F1"/>
    <w:rsid w:val="006F6444"/>
    <w:rsid w:val="006F66B0"/>
    <w:rsid w:val="006F66EF"/>
    <w:rsid w:val="006F6701"/>
    <w:rsid w:val="006F6B09"/>
    <w:rsid w:val="006F6C64"/>
    <w:rsid w:val="006F6DE2"/>
    <w:rsid w:val="006F6E6A"/>
    <w:rsid w:val="006F6FB8"/>
    <w:rsid w:val="006F700D"/>
    <w:rsid w:val="006F71F3"/>
    <w:rsid w:val="006F73D7"/>
    <w:rsid w:val="006F767C"/>
    <w:rsid w:val="006F773E"/>
    <w:rsid w:val="006F78E6"/>
    <w:rsid w:val="006F7B7C"/>
    <w:rsid w:val="006F7BE8"/>
    <w:rsid w:val="006F7E4F"/>
    <w:rsid w:val="006F7EEE"/>
    <w:rsid w:val="006F7FD0"/>
    <w:rsid w:val="00700015"/>
    <w:rsid w:val="007000E6"/>
    <w:rsid w:val="0070025B"/>
    <w:rsid w:val="00700292"/>
    <w:rsid w:val="00700336"/>
    <w:rsid w:val="007004C8"/>
    <w:rsid w:val="0070067D"/>
    <w:rsid w:val="00700683"/>
    <w:rsid w:val="007008A6"/>
    <w:rsid w:val="00700A00"/>
    <w:rsid w:val="00700BC8"/>
    <w:rsid w:val="00700C06"/>
    <w:rsid w:val="00700FA1"/>
    <w:rsid w:val="00700FD4"/>
    <w:rsid w:val="007010A5"/>
    <w:rsid w:val="007010C4"/>
    <w:rsid w:val="0070111F"/>
    <w:rsid w:val="007012FE"/>
    <w:rsid w:val="007013C4"/>
    <w:rsid w:val="007014AE"/>
    <w:rsid w:val="007015CA"/>
    <w:rsid w:val="0070172A"/>
    <w:rsid w:val="0070178C"/>
    <w:rsid w:val="0070179B"/>
    <w:rsid w:val="007017F6"/>
    <w:rsid w:val="007019D8"/>
    <w:rsid w:val="00701AE0"/>
    <w:rsid w:val="00701B0A"/>
    <w:rsid w:val="00701B14"/>
    <w:rsid w:val="00701E00"/>
    <w:rsid w:val="00701E6B"/>
    <w:rsid w:val="00701FEF"/>
    <w:rsid w:val="00702377"/>
    <w:rsid w:val="00702381"/>
    <w:rsid w:val="00702449"/>
    <w:rsid w:val="00702479"/>
    <w:rsid w:val="0070255C"/>
    <w:rsid w:val="00702624"/>
    <w:rsid w:val="00702837"/>
    <w:rsid w:val="0070284A"/>
    <w:rsid w:val="00702BD9"/>
    <w:rsid w:val="00702C8D"/>
    <w:rsid w:val="00702EA6"/>
    <w:rsid w:val="00702EB1"/>
    <w:rsid w:val="00702FBE"/>
    <w:rsid w:val="00702FE5"/>
    <w:rsid w:val="00703069"/>
    <w:rsid w:val="007032DD"/>
    <w:rsid w:val="00703311"/>
    <w:rsid w:val="0070331C"/>
    <w:rsid w:val="0070337B"/>
    <w:rsid w:val="00703550"/>
    <w:rsid w:val="007035A4"/>
    <w:rsid w:val="007035CD"/>
    <w:rsid w:val="00703A18"/>
    <w:rsid w:val="00703CA1"/>
    <w:rsid w:val="00703D3D"/>
    <w:rsid w:val="00703DF7"/>
    <w:rsid w:val="00703F48"/>
    <w:rsid w:val="00703F81"/>
    <w:rsid w:val="00704010"/>
    <w:rsid w:val="00704081"/>
    <w:rsid w:val="007045AC"/>
    <w:rsid w:val="00704778"/>
    <w:rsid w:val="007047A0"/>
    <w:rsid w:val="0070484A"/>
    <w:rsid w:val="007049CB"/>
    <w:rsid w:val="00704A2B"/>
    <w:rsid w:val="00704BBA"/>
    <w:rsid w:val="00704CD8"/>
    <w:rsid w:val="007050A7"/>
    <w:rsid w:val="00705156"/>
    <w:rsid w:val="007051A6"/>
    <w:rsid w:val="0070523B"/>
    <w:rsid w:val="0070538B"/>
    <w:rsid w:val="007053E2"/>
    <w:rsid w:val="00705402"/>
    <w:rsid w:val="00705431"/>
    <w:rsid w:val="007055F8"/>
    <w:rsid w:val="0070564A"/>
    <w:rsid w:val="0070582E"/>
    <w:rsid w:val="007059CC"/>
    <w:rsid w:val="00705A45"/>
    <w:rsid w:val="00705B93"/>
    <w:rsid w:val="00705BB6"/>
    <w:rsid w:val="00705BDE"/>
    <w:rsid w:val="00705C44"/>
    <w:rsid w:val="00705C4C"/>
    <w:rsid w:val="00705D7D"/>
    <w:rsid w:val="00706349"/>
    <w:rsid w:val="007063F3"/>
    <w:rsid w:val="0070640C"/>
    <w:rsid w:val="0070645F"/>
    <w:rsid w:val="00706469"/>
    <w:rsid w:val="007065FC"/>
    <w:rsid w:val="007067BB"/>
    <w:rsid w:val="00706863"/>
    <w:rsid w:val="0070690D"/>
    <w:rsid w:val="00706B03"/>
    <w:rsid w:val="00706B43"/>
    <w:rsid w:val="00706C61"/>
    <w:rsid w:val="00706CAC"/>
    <w:rsid w:val="00706D15"/>
    <w:rsid w:val="00706DB5"/>
    <w:rsid w:val="00706FC7"/>
    <w:rsid w:val="00707127"/>
    <w:rsid w:val="0070714D"/>
    <w:rsid w:val="0070719C"/>
    <w:rsid w:val="007071C0"/>
    <w:rsid w:val="00707277"/>
    <w:rsid w:val="0070734A"/>
    <w:rsid w:val="00707466"/>
    <w:rsid w:val="00707470"/>
    <w:rsid w:val="00707656"/>
    <w:rsid w:val="0070769D"/>
    <w:rsid w:val="0070786F"/>
    <w:rsid w:val="007079E2"/>
    <w:rsid w:val="007079ED"/>
    <w:rsid w:val="00707CE4"/>
    <w:rsid w:val="00707E14"/>
    <w:rsid w:val="00710022"/>
    <w:rsid w:val="00710777"/>
    <w:rsid w:val="00710785"/>
    <w:rsid w:val="00710ADB"/>
    <w:rsid w:val="00710BFB"/>
    <w:rsid w:val="00710DA3"/>
    <w:rsid w:val="00710E58"/>
    <w:rsid w:val="00710EE5"/>
    <w:rsid w:val="00711434"/>
    <w:rsid w:val="0071149F"/>
    <w:rsid w:val="007119C7"/>
    <w:rsid w:val="00711AA4"/>
    <w:rsid w:val="00711AB3"/>
    <w:rsid w:val="00711B59"/>
    <w:rsid w:val="00711D77"/>
    <w:rsid w:val="007121C1"/>
    <w:rsid w:val="007121C8"/>
    <w:rsid w:val="007121F9"/>
    <w:rsid w:val="007124DF"/>
    <w:rsid w:val="00712697"/>
    <w:rsid w:val="00712A39"/>
    <w:rsid w:val="00712EF5"/>
    <w:rsid w:val="00712FD2"/>
    <w:rsid w:val="0071309B"/>
    <w:rsid w:val="007132A5"/>
    <w:rsid w:val="00713529"/>
    <w:rsid w:val="007135F1"/>
    <w:rsid w:val="007136A9"/>
    <w:rsid w:val="007136B4"/>
    <w:rsid w:val="0071372D"/>
    <w:rsid w:val="007137D3"/>
    <w:rsid w:val="007138DB"/>
    <w:rsid w:val="00713979"/>
    <w:rsid w:val="0071397E"/>
    <w:rsid w:val="007139AE"/>
    <w:rsid w:val="00713A22"/>
    <w:rsid w:val="00713AB5"/>
    <w:rsid w:val="00713CFE"/>
    <w:rsid w:val="00713DCA"/>
    <w:rsid w:val="00713E86"/>
    <w:rsid w:val="00713EC5"/>
    <w:rsid w:val="00713F49"/>
    <w:rsid w:val="00714168"/>
    <w:rsid w:val="007144D9"/>
    <w:rsid w:val="0071454F"/>
    <w:rsid w:val="00714574"/>
    <w:rsid w:val="007145BE"/>
    <w:rsid w:val="00714604"/>
    <w:rsid w:val="0071465E"/>
    <w:rsid w:val="007146DF"/>
    <w:rsid w:val="007147B5"/>
    <w:rsid w:val="00714B41"/>
    <w:rsid w:val="007150FD"/>
    <w:rsid w:val="00715311"/>
    <w:rsid w:val="007153B7"/>
    <w:rsid w:val="00715481"/>
    <w:rsid w:val="007154DB"/>
    <w:rsid w:val="0071563E"/>
    <w:rsid w:val="00715648"/>
    <w:rsid w:val="0071566D"/>
    <w:rsid w:val="0071576A"/>
    <w:rsid w:val="007157BC"/>
    <w:rsid w:val="00715845"/>
    <w:rsid w:val="0071592B"/>
    <w:rsid w:val="00715981"/>
    <w:rsid w:val="00715A14"/>
    <w:rsid w:val="00715AD4"/>
    <w:rsid w:val="00715C3D"/>
    <w:rsid w:val="00715CFE"/>
    <w:rsid w:val="00715D1D"/>
    <w:rsid w:val="00715FA0"/>
    <w:rsid w:val="00715FFA"/>
    <w:rsid w:val="007164F3"/>
    <w:rsid w:val="0071671E"/>
    <w:rsid w:val="00716863"/>
    <w:rsid w:val="007168C8"/>
    <w:rsid w:val="0071697A"/>
    <w:rsid w:val="00716BE6"/>
    <w:rsid w:val="00716C4C"/>
    <w:rsid w:val="00716C7B"/>
    <w:rsid w:val="00716D00"/>
    <w:rsid w:val="00716D2A"/>
    <w:rsid w:val="00716DB1"/>
    <w:rsid w:val="00716F22"/>
    <w:rsid w:val="00716FF2"/>
    <w:rsid w:val="0071716A"/>
    <w:rsid w:val="00717195"/>
    <w:rsid w:val="00717309"/>
    <w:rsid w:val="0071736C"/>
    <w:rsid w:val="007175CC"/>
    <w:rsid w:val="00717955"/>
    <w:rsid w:val="00717B33"/>
    <w:rsid w:val="00717C5A"/>
    <w:rsid w:val="00717D5F"/>
    <w:rsid w:val="00717F7C"/>
    <w:rsid w:val="00720148"/>
    <w:rsid w:val="007201A4"/>
    <w:rsid w:val="007201EA"/>
    <w:rsid w:val="007202ED"/>
    <w:rsid w:val="007204F5"/>
    <w:rsid w:val="00720840"/>
    <w:rsid w:val="00720889"/>
    <w:rsid w:val="007208CD"/>
    <w:rsid w:val="00720946"/>
    <w:rsid w:val="00720A60"/>
    <w:rsid w:val="00720A71"/>
    <w:rsid w:val="00720BF6"/>
    <w:rsid w:val="00720D8D"/>
    <w:rsid w:val="00720F0A"/>
    <w:rsid w:val="0072101E"/>
    <w:rsid w:val="00721112"/>
    <w:rsid w:val="007211D5"/>
    <w:rsid w:val="00721229"/>
    <w:rsid w:val="00721257"/>
    <w:rsid w:val="0072128A"/>
    <w:rsid w:val="00721380"/>
    <w:rsid w:val="0072143B"/>
    <w:rsid w:val="007218E4"/>
    <w:rsid w:val="00721993"/>
    <w:rsid w:val="00721A77"/>
    <w:rsid w:val="00721B0D"/>
    <w:rsid w:val="00721B2D"/>
    <w:rsid w:val="00721D77"/>
    <w:rsid w:val="00721DE7"/>
    <w:rsid w:val="00721F3E"/>
    <w:rsid w:val="00721F79"/>
    <w:rsid w:val="00721FB9"/>
    <w:rsid w:val="00722004"/>
    <w:rsid w:val="0072208B"/>
    <w:rsid w:val="00722264"/>
    <w:rsid w:val="00722569"/>
    <w:rsid w:val="0072258C"/>
    <w:rsid w:val="007225B8"/>
    <w:rsid w:val="0072264E"/>
    <w:rsid w:val="007226B4"/>
    <w:rsid w:val="00722708"/>
    <w:rsid w:val="00722776"/>
    <w:rsid w:val="00722789"/>
    <w:rsid w:val="00722833"/>
    <w:rsid w:val="0072289A"/>
    <w:rsid w:val="00722940"/>
    <w:rsid w:val="0072299D"/>
    <w:rsid w:val="00722A66"/>
    <w:rsid w:val="00722B3A"/>
    <w:rsid w:val="00722C7A"/>
    <w:rsid w:val="00722E63"/>
    <w:rsid w:val="0072309E"/>
    <w:rsid w:val="007230D8"/>
    <w:rsid w:val="0072326E"/>
    <w:rsid w:val="00723383"/>
    <w:rsid w:val="007233B7"/>
    <w:rsid w:val="0072351A"/>
    <w:rsid w:val="0072361A"/>
    <w:rsid w:val="00723626"/>
    <w:rsid w:val="00723830"/>
    <w:rsid w:val="00723924"/>
    <w:rsid w:val="00723BA6"/>
    <w:rsid w:val="00723C01"/>
    <w:rsid w:val="00723D8B"/>
    <w:rsid w:val="00723F19"/>
    <w:rsid w:val="00723F28"/>
    <w:rsid w:val="00724065"/>
    <w:rsid w:val="00724197"/>
    <w:rsid w:val="007241D6"/>
    <w:rsid w:val="007242E3"/>
    <w:rsid w:val="00724322"/>
    <w:rsid w:val="00724349"/>
    <w:rsid w:val="007243F2"/>
    <w:rsid w:val="0072447D"/>
    <w:rsid w:val="007244F6"/>
    <w:rsid w:val="0072453A"/>
    <w:rsid w:val="007245AF"/>
    <w:rsid w:val="007245BD"/>
    <w:rsid w:val="007245F5"/>
    <w:rsid w:val="007247E0"/>
    <w:rsid w:val="007248DB"/>
    <w:rsid w:val="00724BB5"/>
    <w:rsid w:val="00724CF7"/>
    <w:rsid w:val="00724DB8"/>
    <w:rsid w:val="00724DE2"/>
    <w:rsid w:val="00724ED1"/>
    <w:rsid w:val="00725017"/>
    <w:rsid w:val="00725084"/>
    <w:rsid w:val="007250EC"/>
    <w:rsid w:val="00725198"/>
    <w:rsid w:val="007254BA"/>
    <w:rsid w:val="007255F5"/>
    <w:rsid w:val="0072578B"/>
    <w:rsid w:val="0072592B"/>
    <w:rsid w:val="00725971"/>
    <w:rsid w:val="00725973"/>
    <w:rsid w:val="00725A69"/>
    <w:rsid w:val="00725AD6"/>
    <w:rsid w:val="00725B46"/>
    <w:rsid w:val="00725C30"/>
    <w:rsid w:val="00725DCE"/>
    <w:rsid w:val="00726062"/>
    <w:rsid w:val="007260A5"/>
    <w:rsid w:val="007260A6"/>
    <w:rsid w:val="0072620A"/>
    <w:rsid w:val="00726349"/>
    <w:rsid w:val="00726517"/>
    <w:rsid w:val="00726758"/>
    <w:rsid w:val="0072685F"/>
    <w:rsid w:val="00726B0F"/>
    <w:rsid w:val="00726BA7"/>
    <w:rsid w:val="00726CB7"/>
    <w:rsid w:val="00726CF9"/>
    <w:rsid w:val="00726E86"/>
    <w:rsid w:val="00727076"/>
    <w:rsid w:val="007271B1"/>
    <w:rsid w:val="00727289"/>
    <w:rsid w:val="007274ED"/>
    <w:rsid w:val="007275CE"/>
    <w:rsid w:val="00727C63"/>
    <w:rsid w:val="00727DC6"/>
    <w:rsid w:val="00727E80"/>
    <w:rsid w:val="007300A7"/>
    <w:rsid w:val="007300FE"/>
    <w:rsid w:val="00730207"/>
    <w:rsid w:val="0073020B"/>
    <w:rsid w:val="0073025C"/>
    <w:rsid w:val="0073041F"/>
    <w:rsid w:val="00730482"/>
    <w:rsid w:val="007304C7"/>
    <w:rsid w:val="007305E3"/>
    <w:rsid w:val="0073064E"/>
    <w:rsid w:val="00730954"/>
    <w:rsid w:val="007309AA"/>
    <w:rsid w:val="00730ABA"/>
    <w:rsid w:val="00730AF2"/>
    <w:rsid w:val="00730DA6"/>
    <w:rsid w:val="00730E93"/>
    <w:rsid w:val="00731039"/>
    <w:rsid w:val="00731340"/>
    <w:rsid w:val="00731368"/>
    <w:rsid w:val="007313A0"/>
    <w:rsid w:val="007313CD"/>
    <w:rsid w:val="00731C98"/>
    <w:rsid w:val="00731EA7"/>
    <w:rsid w:val="00731F58"/>
    <w:rsid w:val="00731FEC"/>
    <w:rsid w:val="007321B7"/>
    <w:rsid w:val="0073244D"/>
    <w:rsid w:val="007325BB"/>
    <w:rsid w:val="00732751"/>
    <w:rsid w:val="007328D2"/>
    <w:rsid w:val="007328F0"/>
    <w:rsid w:val="00732B16"/>
    <w:rsid w:val="00732B41"/>
    <w:rsid w:val="00732C2A"/>
    <w:rsid w:val="00732CD0"/>
    <w:rsid w:val="00732FF4"/>
    <w:rsid w:val="00732FFA"/>
    <w:rsid w:val="0073308C"/>
    <w:rsid w:val="0073334E"/>
    <w:rsid w:val="007333AF"/>
    <w:rsid w:val="007336D7"/>
    <w:rsid w:val="0073387F"/>
    <w:rsid w:val="00733B7B"/>
    <w:rsid w:val="00733BD8"/>
    <w:rsid w:val="00733EAA"/>
    <w:rsid w:val="00733F2C"/>
    <w:rsid w:val="00733F61"/>
    <w:rsid w:val="00734077"/>
    <w:rsid w:val="007340D3"/>
    <w:rsid w:val="0073410E"/>
    <w:rsid w:val="007341CE"/>
    <w:rsid w:val="0073426C"/>
    <w:rsid w:val="007342B0"/>
    <w:rsid w:val="0073434A"/>
    <w:rsid w:val="007345B0"/>
    <w:rsid w:val="007345B5"/>
    <w:rsid w:val="00734746"/>
    <w:rsid w:val="00734804"/>
    <w:rsid w:val="00734829"/>
    <w:rsid w:val="007348BE"/>
    <w:rsid w:val="007348C1"/>
    <w:rsid w:val="00734975"/>
    <w:rsid w:val="00734AB2"/>
    <w:rsid w:val="00734B42"/>
    <w:rsid w:val="00734BE6"/>
    <w:rsid w:val="00734CD7"/>
    <w:rsid w:val="00734DE5"/>
    <w:rsid w:val="00734F29"/>
    <w:rsid w:val="00734FA6"/>
    <w:rsid w:val="00735129"/>
    <w:rsid w:val="007351F2"/>
    <w:rsid w:val="00735320"/>
    <w:rsid w:val="00735336"/>
    <w:rsid w:val="00735436"/>
    <w:rsid w:val="007354F1"/>
    <w:rsid w:val="007355C6"/>
    <w:rsid w:val="00735644"/>
    <w:rsid w:val="00735738"/>
    <w:rsid w:val="0073575A"/>
    <w:rsid w:val="0073594E"/>
    <w:rsid w:val="00735A2A"/>
    <w:rsid w:val="00735A99"/>
    <w:rsid w:val="00735D7B"/>
    <w:rsid w:val="00735E65"/>
    <w:rsid w:val="00735E8F"/>
    <w:rsid w:val="00735EB1"/>
    <w:rsid w:val="00735FE8"/>
    <w:rsid w:val="007360AA"/>
    <w:rsid w:val="00736163"/>
    <w:rsid w:val="007361CB"/>
    <w:rsid w:val="007363EF"/>
    <w:rsid w:val="007364EA"/>
    <w:rsid w:val="0073671E"/>
    <w:rsid w:val="00736740"/>
    <w:rsid w:val="00736A83"/>
    <w:rsid w:val="00736CA3"/>
    <w:rsid w:val="00736D80"/>
    <w:rsid w:val="00736F2E"/>
    <w:rsid w:val="00737312"/>
    <w:rsid w:val="0073736A"/>
    <w:rsid w:val="007374E9"/>
    <w:rsid w:val="00737502"/>
    <w:rsid w:val="0073755E"/>
    <w:rsid w:val="007375AB"/>
    <w:rsid w:val="007375C7"/>
    <w:rsid w:val="00737640"/>
    <w:rsid w:val="007376BA"/>
    <w:rsid w:val="00737B84"/>
    <w:rsid w:val="00737D89"/>
    <w:rsid w:val="00737D8B"/>
    <w:rsid w:val="00737F8F"/>
    <w:rsid w:val="00740080"/>
    <w:rsid w:val="00740222"/>
    <w:rsid w:val="007403E2"/>
    <w:rsid w:val="00740468"/>
    <w:rsid w:val="0074054A"/>
    <w:rsid w:val="007409D5"/>
    <w:rsid w:val="00740A75"/>
    <w:rsid w:val="00740BB0"/>
    <w:rsid w:val="00740BB1"/>
    <w:rsid w:val="00740DFD"/>
    <w:rsid w:val="00740E04"/>
    <w:rsid w:val="00740EA6"/>
    <w:rsid w:val="00740F0A"/>
    <w:rsid w:val="00741074"/>
    <w:rsid w:val="0074137B"/>
    <w:rsid w:val="00741528"/>
    <w:rsid w:val="007415BD"/>
    <w:rsid w:val="0074175B"/>
    <w:rsid w:val="0074188A"/>
    <w:rsid w:val="007419B4"/>
    <w:rsid w:val="00741B40"/>
    <w:rsid w:val="00741B9E"/>
    <w:rsid w:val="00741C6C"/>
    <w:rsid w:val="00741DA0"/>
    <w:rsid w:val="00742562"/>
    <w:rsid w:val="007425A4"/>
    <w:rsid w:val="0074280C"/>
    <w:rsid w:val="007428B0"/>
    <w:rsid w:val="007428B6"/>
    <w:rsid w:val="007428C6"/>
    <w:rsid w:val="00742929"/>
    <w:rsid w:val="00742AE8"/>
    <w:rsid w:val="00742AED"/>
    <w:rsid w:val="00742C42"/>
    <w:rsid w:val="00742CBD"/>
    <w:rsid w:val="00742E3B"/>
    <w:rsid w:val="00742E48"/>
    <w:rsid w:val="00742E5C"/>
    <w:rsid w:val="00742F21"/>
    <w:rsid w:val="00742FE6"/>
    <w:rsid w:val="007434FC"/>
    <w:rsid w:val="007435C7"/>
    <w:rsid w:val="007439FE"/>
    <w:rsid w:val="00743C27"/>
    <w:rsid w:val="00743E3E"/>
    <w:rsid w:val="00743EE5"/>
    <w:rsid w:val="00744046"/>
    <w:rsid w:val="0074408C"/>
    <w:rsid w:val="007440D3"/>
    <w:rsid w:val="0074412B"/>
    <w:rsid w:val="007441F9"/>
    <w:rsid w:val="00744215"/>
    <w:rsid w:val="00744469"/>
    <w:rsid w:val="00744606"/>
    <w:rsid w:val="00744845"/>
    <w:rsid w:val="007448E8"/>
    <w:rsid w:val="00744943"/>
    <w:rsid w:val="00744A6C"/>
    <w:rsid w:val="00744B35"/>
    <w:rsid w:val="00744B6B"/>
    <w:rsid w:val="00744DC1"/>
    <w:rsid w:val="00744F20"/>
    <w:rsid w:val="007450E3"/>
    <w:rsid w:val="00745108"/>
    <w:rsid w:val="00745118"/>
    <w:rsid w:val="00745158"/>
    <w:rsid w:val="007451CE"/>
    <w:rsid w:val="00745558"/>
    <w:rsid w:val="00745583"/>
    <w:rsid w:val="0074569D"/>
    <w:rsid w:val="0074570D"/>
    <w:rsid w:val="0074579C"/>
    <w:rsid w:val="00745846"/>
    <w:rsid w:val="007459A9"/>
    <w:rsid w:val="007459F2"/>
    <w:rsid w:val="00745A4A"/>
    <w:rsid w:val="00745AEA"/>
    <w:rsid w:val="00745D07"/>
    <w:rsid w:val="00745E06"/>
    <w:rsid w:val="00745EC3"/>
    <w:rsid w:val="00745FC3"/>
    <w:rsid w:val="00745FCA"/>
    <w:rsid w:val="007460AD"/>
    <w:rsid w:val="0074634C"/>
    <w:rsid w:val="00746489"/>
    <w:rsid w:val="007465EE"/>
    <w:rsid w:val="0074672D"/>
    <w:rsid w:val="00746B1E"/>
    <w:rsid w:val="00746D37"/>
    <w:rsid w:val="00746D77"/>
    <w:rsid w:val="00746DBD"/>
    <w:rsid w:val="00746EED"/>
    <w:rsid w:val="00747063"/>
    <w:rsid w:val="0074710D"/>
    <w:rsid w:val="00747119"/>
    <w:rsid w:val="00747449"/>
    <w:rsid w:val="007475B1"/>
    <w:rsid w:val="0074763B"/>
    <w:rsid w:val="007476EC"/>
    <w:rsid w:val="0074781B"/>
    <w:rsid w:val="007479E6"/>
    <w:rsid w:val="007479F8"/>
    <w:rsid w:val="00747AD9"/>
    <w:rsid w:val="00747BD7"/>
    <w:rsid w:val="00747C38"/>
    <w:rsid w:val="00747E61"/>
    <w:rsid w:val="00747F53"/>
    <w:rsid w:val="0075007A"/>
    <w:rsid w:val="007502D4"/>
    <w:rsid w:val="00750388"/>
    <w:rsid w:val="0075038B"/>
    <w:rsid w:val="0075057A"/>
    <w:rsid w:val="0075061B"/>
    <w:rsid w:val="007506FA"/>
    <w:rsid w:val="00750706"/>
    <w:rsid w:val="007508B3"/>
    <w:rsid w:val="00750973"/>
    <w:rsid w:val="00750981"/>
    <w:rsid w:val="00750C03"/>
    <w:rsid w:val="00750C06"/>
    <w:rsid w:val="00750EE6"/>
    <w:rsid w:val="00750EEA"/>
    <w:rsid w:val="00751081"/>
    <w:rsid w:val="007510F4"/>
    <w:rsid w:val="00751138"/>
    <w:rsid w:val="007511A7"/>
    <w:rsid w:val="007511BA"/>
    <w:rsid w:val="0075144E"/>
    <w:rsid w:val="0075164C"/>
    <w:rsid w:val="00751769"/>
    <w:rsid w:val="007517E5"/>
    <w:rsid w:val="007518D9"/>
    <w:rsid w:val="0075195F"/>
    <w:rsid w:val="00751970"/>
    <w:rsid w:val="007519C8"/>
    <w:rsid w:val="00751BE0"/>
    <w:rsid w:val="00751F45"/>
    <w:rsid w:val="007520CF"/>
    <w:rsid w:val="007520F2"/>
    <w:rsid w:val="0075219A"/>
    <w:rsid w:val="007521EB"/>
    <w:rsid w:val="00752202"/>
    <w:rsid w:val="0075232F"/>
    <w:rsid w:val="00752420"/>
    <w:rsid w:val="00752569"/>
    <w:rsid w:val="007527D1"/>
    <w:rsid w:val="007529B7"/>
    <w:rsid w:val="00752ACA"/>
    <w:rsid w:val="00752B93"/>
    <w:rsid w:val="00752BE4"/>
    <w:rsid w:val="00752DC1"/>
    <w:rsid w:val="00752F7F"/>
    <w:rsid w:val="0075303C"/>
    <w:rsid w:val="00753205"/>
    <w:rsid w:val="007532BE"/>
    <w:rsid w:val="007535B3"/>
    <w:rsid w:val="00753604"/>
    <w:rsid w:val="0075383A"/>
    <w:rsid w:val="0075393D"/>
    <w:rsid w:val="00753C8C"/>
    <w:rsid w:val="00753DF1"/>
    <w:rsid w:val="00753F3C"/>
    <w:rsid w:val="00754188"/>
    <w:rsid w:val="0075428D"/>
    <w:rsid w:val="007542BF"/>
    <w:rsid w:val="00754723"/>
    <w:rsid w:val="00754804"/>
    <w:rsid w:val="00754947"/>
    <w:rsid w:val="00754975"/>
    <w:rsid w:val="007549B2"/>
    <w:rsid w:val="00754AA6"/>
    <w:rsid w:val="00754B28"/>
    <w:rsid w:val="00754B65"/>
    <w:rsid w:val="00754BAC"/>
    <w:rsid w:val="00754C6A"/>
    <w:rsid w:val="00754E07"/>
    <w:rsid w:val="00754EA7"/>
    <w:rsid w:val="0075516C"/>
    <w:rsid w:val="007552D7"/>
    <w:rsid w:val="007554E3"/>
    <w:rsid w:val="00755570"/>
    <w:rsid w:val="0075566A"/>
    <w:rsid w:val="00755676"/>
    <w:rsid w:val="007557B9"/>
    <w:rsid w:val="0075583C"/>
    <w:rsid w:val="00755918"/>
    <w:rsid w:val="00755A9B"/>
    <w:rsid w:val="00755EE4"/>
    <w:rsid w:val="00755FEE"/>
    <w:rsid w:val="00756034"/>
    <w:rsid w:val="007560AB"/>
    <w:rsid w:val="007561AB"/>
    <w:rsid w:val="007561C6"/>
    <w:rsid w:val="00756525"/>
    <w:rsid w:val="007567DD"/>
    <w:rsid w:val="0075699C"/>
    <w:rsid w:val="00756B26"/>
    <w:rsid w:val="00756F13"/>
    <w:rsid w:val="0075710A"/>
    <w:rsid w:val="00757406"/>
    <w:rsid w:val="00757456"/>
    <w:rsid w:val="0075760A"/>
    <w:rsid w:val="0075760D"/>
    <w:rsid w:val="00757854"/>
    <w:rsid w:val="00757937"/>
    <w:rsid w:val="0075795E"/>
    <w:rsid w:val="0075799E"/>
    <w:rsid w:val="007579DC"/>
    <w:rsid w:val="00757AF6"/>
    <w:rsid w:val="00757C8A"/>
    <w:rsid w:val="00757D3A"/>
    <w:rsid w:val="00757E47"/>
    <w:rsid w:val="00757F9C"/>
    <w:rsid w:val="007600AD"/>
    <w:rsid w:val="0076040C"/>
    <w:rsid w:val="00760451"/>
    <w:rsid w:val="007604AD"/>
    <w:rsid w:val="0076063C"/>
    <w:rsid w:val="007606BB"/>
    <w:rsid w:val="00760855"/>
    <w:rsid w:val="0076087A"/>
    <w:rsid w:val="007608B2"/>
    <w:rsid w:val="00760952"/>
    <w:rsid w:val="00760BA7"/>
    <w:rsid w:val="00760BD8"/>
    <w:rsid w:val="00760BDC"/>
    <w:rsid w:val="00760D99"/>
    <w:rsid w:val="00760ED7"/>
    <w:rsid w:val="00760FCF"/>
    <w:rsid w:val="00761128"/>
    <w:rsid w:val="00761234"/>
    <w:rsid w:val="00761251"/>
    <w:rsid w:val="007612F2"/>
    <w:rsid w:val="00761401"/>
    <w:rsid w:val="00761445"/>
    <w:rsid w:val="00761596"/>
    <w:rsid w:val="0076189F"/>
    <w:rsid w:val="007618B8"/>
    <w:rsid w:val="00761A43"/>
    <w:rsid w:val="00761A53"/>
    <w:rsid w:val="00761A8F"/>
    <w:rsid w:val="00761ABE"/>
    <w:rsid w:val="00761B2D"/>
    <w:rsid w:val="00761BF1"/>
    <w:rsid w:val="00761E0A"/>
    <w:rsid w:val="00761E1A"/>
    <w:rsid w:val="00761F47"/>
    <w:rsid w:val="0076211A"/>
    <w:rsid w:val="0076218C"/>
    <w:rsid w:val="00762300"/>
    <w:rsid w:val="00762320"/>
    <w:rsid w:val="00762401"/>
    <w:rsid w:val="007624E2"/>
    <w:rsid w:val="00762646"/>
    <w:rsid w:val="007626DB"/>
    <w:rsid w:val="00762774"/>
    <w:rsid w:val="00762776"/>
    <w:rsid w:val="00762812"/>
    <w:rsid w:val="007628EF"/>
    <w:rsid w:val="00762A72"/>
    <w:rsid w:val="00762ACA"/>
    <w:rsid w:val="00762CB0"/>
    <w:rsid w:val="00762EB4"/>
    <w:rsid w:val="00763298"/>
    <w:rsid w:val="00763469"/>
    <w:rsid w:val="007634F9"/>
    <w:rsid w:val="00763651"/>
    <w:rsid w:val="0076377A"/>
    <w:rsid w:val="0076396D"/>
    <w:rsid w:val="007639AD"/>
    <w:rsid w:val="00763B0C"/>
    <w:rsid w:val="00763C0E"/>
    <w:rsid w:val="00763DAC"/>
    <w:rsid w:val="00763DB0"/>
    <w:rsid w:val="00763DE5"/>
    <w:rsid w:val="00763F46"/>
    <w:rsid w:val="00763F5D"/>
    <w:rsid w:val="00763FBC"/>
    <w:rsid w:val="00763FFF"/>
    <w:rsid w:val="00764304"/>
    <w:rsid w:val="007643B1"/>
    <w:rsid w:val="007643DD"/>
    <w:rsid w:val="0076442A"/>
    <w:rsid w:val="0076494C"/>
    <w:rsid w:val="00764AD6"/>
    <w:rsid w:val="00764BF0"/>
    <w:rsid w:val="00764C11"/>
    <w:rsid w:val="00764DD6"/>
    <w:rsid w:val="00764F53"/>
    <w:rsid w:val="00765299"/>
    <w:rsid w:val="00765359"/>
    <w:rsid w:val="007653A2"/>
    <w:rsid w:val="00765567"/>
    <w:rsid w:val="00765649"/>
    <w:rsid w:val="00765754"/>
    <w:rsid w:val="0076589C"/>
    <w:rsid w:val="007658BD"/>
    <w:rsid w:val="007658F7"/>
    <w:rsid w:val="00765989"/>
    <w:rsid w:val="00765A09"/>
    <w:rsid w:val="00765C98"/>
    <w:rsid w:val="00765E84"/>
    <w:rsid w:val="00765FB6"/>
    <w:rsid w:val="00765FCD"/>
    <w:rsid w:val="007660B8"/>
    <w:rsid w:val="007661E9"/>
    <w:rsid w:val="007663EB"/>
    <w:rsid w:val="00766406"/>
    <w:rsid w:val="007664FE"/>
    <w:rsid w:val="0076655B"/>
    <w:rsid w:val="007665BD"/>
    <w:rsid w:val="00766A84"/>
    <w:rsid w:val="00766C6E"/>
    <w:rsid w:val="00766DA3"/>
    <w:rsid w:val="00766DC0"/>
    <w:rsid w:val="00766E6F"/>
    <w:rsid w:val="00766F7D"/>
    <w:rsid w:val="00766F99"/>
    <w:rsid w:val="007672C8"/>
    <w:rsid w:val="007674AD"/>
    <w:rsid w:val="00767623"/>
    <w:rsid w:val="00767767"/>
    <w:rsid w:val="00767776"/>
    <w:rsid w:val="00767785"/>
    <w:rsid w:val="00767ADA"/>
    <w:rsid w:val="00767C39"/>
    <w:rsid w:val="00767CC7"/>
    <w:rsid w:val="00767ED8"/>
    <w:rsid w:val="00767F78"/>
    <w:rsid w:val="00770258"/>
    <w:rsid w:val="0077029C"/>
    <w:rsid w:val="0077043E"/>
    <w:rsid w:val="007704B1"/>
    <w:rsid w:val="007704D2"/>
    <w:rsid w:val="00770579"/>
    <w:rsid w:val="00770663"/>
    <w:rsid w:val="0077072B"/>
    <w:rsid w:val="00770791"/>
    <w:rsid w:val="007707D5"/>
    <w:rsid w:val="0077083D"/>
    <w:rsid w:val="00770849"/>
    <w:rsid w:val="007708F6"/>
    <w:rsid w:val="00770AA9"/>
    <w:rsid w:val="00770D63"/>
    <w:rsid w:val="007713E5"/>
    <w:rsid w:val="00771471"/>
    <w:rsid w:val="007715B8"/>
    <w:rsid w:val="00771726"/>
    <w:rsid w:val="0077178E"/>
    <w:rsid w:val="007719C8"/>
    <w:rsid w:val="00771A13"/>
    <w:rsid w:val="00771BCD"/>
    <w:rsid w:val="00771D89"/>
    <w:rsid w:val="00771E84"/>
    <w:rsid w:val="00771EB3"/>
    <w:rsid w:val="00771F6D"/>
    <w:rsid w:val="0077214B"/>
    <w:rsid w:val="0077223C"/>
    <w:rsid w:val="007722C1"/>
    <w:rsid w:val="0077245D"/>
    <w:rsid w:val="00772795"/>
    <w:rsid w:val="007728F9"/>
    <w:rsid w:val="00772A1A"/>
    <w:rsid w:val="00772AB4"/>
    <w:rsid w:val="00772B72"/>
    <w:rsid w:val="00772BF2"/>
    <w:rsid w:val="00773048"/>
    <w:rsid w:val="0077308C"/>
    <w:rsid w:val="007732DA"/>
    <w:rsid w:val="0077333A"/>
    <w:rsid w:val="00773511"/>
    <w:rsid w:val="007737EE"/>
    <w:rsid w:val="007739A7"/>
    <w:rsid w:val="00773C4B"/>
    <w:rsid w:val="00773E9C"/>
    <w:rsid w:val="0077428A"/>
    <w:rsid w:val="007745B5"/>
    <w:rsid w:val="007746CA"/>
    <w:rsid w:val="007746D6"/>
    <w:rsid w:val="00774A26"/>
    <w:rsid w:val="00774AFB"/>
    <w:rsid w:val="00774BF9"/>
    <w:rsid w:val="00774C17"/>
    <w:rsid w:val="00774CCB"/>
    <w:rsid w:val="00774D9E"/>
    <w:rsid w:val="00775178"/>
    <w:rsid w:val="0077537E"/>
    <w:rsid w:val="00775481"/>
    <w:rsid w:val="00775482"/>
    <w:rsid w:val="00775517"/>
    <w:rsid w:val="0077561E"/>
    <w:rsid w:val="007756FC"/>
    <w:rsid w:val="00775773"/>
    <w:rsid w:val="0077578D"/>
    <w:rsid w:val="007757C7"/>
    <w:rsid w:val="007757D4"/>
    <w:rsid w:val="0077582D"/>
    <w:rsid w:val="007759F0"/>
    <w:rsid w:val="00775B75"/>
    <w:rsid w:val="00775BF4"/>
    <w:rsid w:val="00775D29"/>
    <w:rsid w:val="00775D4B"/>
    <w:rsid w:val="00775D78"/>
    <w:rsid w:val="00775FB6"/>
    <w:rsid w:val="00776014"/>
    <w:rsid w:val="0077635E"/>
    <w:rsid w:val="0077653C"/>
    <w:rsid w:val="0077664C"/>
    <w:rsid w:val="00776713"/>
    <w:rsid w:val="007767E2"/>
    <w:rsid w:val="007768E8"/>
    <w:rsid w:val="00776969"/>
    <w:rsid w:val="00776A0B"/>
    <w:rsid w:val="00776A9C"/>
    <w:rsid w:val="00776AC7"/>
    <w:rsid w:val="00776CE2"/>
    <w:rsid w:val="00776D76"/>
    <w:rsid w:val="00776DBF"/>
    <w:rsid w:val="00776EA0"/>
    <w:rsid w:val="00776FE5"/>
    <w:rsid w:val="0077704E"/>
    <w:rsid w:val="0077711F"/>
    <w:rsid w:val="0077720D"/>
    <w:rsid w:val="0077727C"/>
    <w:rsid w:val="00777330"/>
    <w:rsid w:val="007773CE"/>
    <w:rsid w:val="0077756A"/>
    <w:rsid w:val="00777591"/>
    <w:rsid w:val="007775EE"/>
    <w:rsid w:val="0077763E"/>
    <w:rsid w:val="00777696"/>
    <w:rsid w:val="00777735"/>
    <w:rsid w:val="007778DA"/>
    <w:rsid w:val="00777BBA"/>
    <w:rsid w:val="00777D28"/>
    <w:rsid w:val="00777E21"/>
    <w:rsid w:val="00777F86"/>
    <w:rsid w:val="0078007F"/>
    <w:rsid w:val="00780180"/>
    <w:rsid w:val="00780296"/>
    <w:rsid w:val="007803C3"/>
    <w:rsid w:val="007804CF"/>
    <w:rsid w:val="00780783"/>
    <w:rsid w:val="00780849"/>
    <w:rsid w:val="007808B1"/>
    <w:rsid w:val="007808CF"/>
    <w:rsid w:val="00780A5B"/>
    <w:rsid w:val="00780ADA"/>
    <w:rsid w:val="00780B90"/>
    <w:rsid w:val="00780D08"/>
    <w:rsid w:val="00780E02"/>
    <w:rsid w:val="00780E9C"/>
    <w:rsid w:val="00781054"/>
    <w:rsid w:val="007810DA"/>
    <w:rsid w:val="00781172"/>
    <w:rsid w:val="007811A1"/>
    <w:rsid w:val="007813AC"/>
    <w:rsid w:val="0078146B"/>
    <w:rsid w:val="0078159A"/>
    <w:rsid w:val="007817C6"/>
    <w:rsid w:val="0078180C"/>
    <w:rsid w:val="00781B2F"/>
    <w:rsid w:val="00781C56"/>
    <w:rsid w:val="00781CEA"/>
    <w:rsid w:val="00781F98"/>
    <w:rsid w:val="00782001"/>
    <w:rsid w:val="00782052"/>
    <w:rsid w:val="007823CD"/>
    <w:rsid w:val="0078242D"/>
    <w:rsid w:val="00782648"/>
    <w:rsid w:val="0078265C"/>
    <w:rsid w:val="007827E3"/>
    <w:rsid w:val="007828E1"/>
    <w:rsid w:val="00782988"/>
    <w:rsid w:val="00782AFC"/>
    <w:rsid w:val="00782B9F"/>
    <w:rsid w:val="00782BAE"/>
    <w:rsid w:val="00782E37"/>
    <w:rsid w:val="00782E3F"/>
    <w:rsid w:val="00782E97"/>
    <w:rsid w:val="00783098"/>
    <w:rsid w:val="00783198"/>
    <w:rsid w:val="007832CD"/>
    <w:rsid w:val="007835FE"/>
    <w:rsid w:val="00783639"/>
    <w:rsid w:val="0078379C"/>
    <w:rsid w:val="007837F4"/>
    <w:rsid w:val="007838B0"/>
    <w:rsid w:val="007838CA"/>
    <w:rsid w:val="007839BF"/>
    <w:rsid w:val="007839F9"/>
    <w:rsid w:val="00783CE6"/>
    <w:rsid w:val="00783E72"/>
    <w:rsid w:val="00783E79"/>
    <w:rsid w:val="00783E86"/>
    <w:rsid w:val="00783EDF"/>
    <w:rsid w:val="00784046"/>
    <w:rsid w:val="00784201"/>
    <w:rsid w:val="007842B0"/>
    <w:rsid w:val="007842C2"/>
    <w:rsid w:val="00784459"/>
    <w:rsid w:val="0078464C"/>
    <w:rsid w:val="00784728"/>
    <w:rsid w:val="00784901"/>
    <w:rsid w:val="007849AB"/>
    <w:rsid w:val="007849C7"/>
    <w:rsid w:val="00784B6C"/>
    <w:rsid w:val="00784B8E"/>
    <w:rsid w:val="00784B99"/>
    <w:rsid w:val="00784BF5"/>
    <w:rsid w:val="00784CA5"/>
    <w:rsid w:val="00784D69"/>
    <w:rsid w:val="00784E2E"/>
    <w:rsid w:val="00784E49"/>
    <w:rsid w:val="00785078"/>
    <w:rsid w:val="007850F0"/>
    <w:rsid w:val="00785159"/>
    <w:rsid w:val="007851E6"/>
    <w:rsid w:val="007852B1"/>
    <w:rsid w:val="00785407"/>
    <w:rsid w:val="00785466"/>
    <w:rsid w:val="0078546F"/>
    <w:rsid w:val="007855EA"/>
    <w:rsid w:val="00785688"/>
    <w:rsid w:val="007856F8"/>
    <w:rsid w:val="00785821"/>
    <w:rsid w:val="00785AAF"/>
    <w:rsid w:val="00785B19"/>
    <w:rsid w:val="00785B54"/>
    <w:rsid w:val="00785C9C"/>
    <w:rsid w:val="00785CC0"/>
    <w:rsid w:val="00785DC9"/>
    <w:rsid w:val="00785E05"/>
    <w:rsid w:val="00786120"/>
    <w:rsid w:val="00786191"/>
    <w:rsid w:val="007861E9"/>
    <w:rsid w:val="0078644F"/>
    <w:rsid w:val="0078651D"/>
    <w:rsid w:val="0078675E"/>
    <w:rsid w:val="00786828"/>
    <w:rsid w:val="0078684A"/>
    <w:rsid w:val="00786A5A"/>
    <w:rsid w:val="00786B50"/>
    <w:rsid w:val="00786BDC"/>
    <w:rsid w:val="00786D0C"/>
    <w:rsid w:val="00786D86"/>
    <w:rsid w:val="00786EB0"/>
    <w:rsid w:val="00786F7C"/>
    <w:rsid w:val="007873FD"/>
    <w:rsid w:val="00787432"/>
    <w:rsid w:val="00787607"/>
    <w:rsid w:val="007876BE"/>
    <w:rsid w:val="0078771C"/>
    <w:rsid w:val="00787AFD"/>
    <w:rsid w:val="00787BA4"/>
    <w:rsid w:val="00787C6C"/>
    <w:rsid w:val="00787E2E"/>
    <w:rsid w:val="00790222"/>
    <w:rsid w:val="007903ED"/>
    <w:rsid w:val="00790475"/>
    <w:rsid w:val="007905F1"/>
    <w:rsid w:val="00790639"/>
    <w:rsid w:val="007907A7"/>
    <w:rsid w:val="007909EF"/>
    <w:rsid w:val="00790A1E"/>
    <w:rsid w:val="00790B1B"/>
    <w:rsid w:val="00790B95"/>
    <w:rsid w:val="00790CE4"/>
    <w:rsid w:val="00790E8A"/>
    <w:rsid w:val="007914C3"/>
    <w:rsid w:val="007914DE"/>
    <w:rsid w:val="007914F6"/>
    <w:rsid w:val="0079153E"/>
    <w:rsid w:val="00791741"/>
    <w:rsid w:val="00791794"/>
    <w:rsid w:val="007918AC"/>
    <w:rsid w:val="0079192E"/>
    <w:rsid w:val="00791985"/>
    <w:rsid w:val="00791B48"/>
    <w:rsid w:val="00791BD9"/>
    <w:rsid w:val="00791E30"/>
    <w:rsid w:val="00791F10"/>
    <w:rsid w:val="00792118"/>
    <w:rsid w:val="007921E2"/>
    <w:rsid w:val="0079247F"/>
    <w:rsid w:val="00792499"/>
    <w:rsid w:val="0079285C"/>
    <w:rsid w:val="007929AB"/>
    <w:rsid w:val="00792C6A"/>
    <w:rsid w:val="00792DD2"/>
    <w:rsid w:val="00792F56"/>
    <w:rsid w:val="007931C0"/>
    <w:rsid w:val="007932CC"/>
    <w:rsid w:val="0079330B"/>
    <w:rsid w:val="00793376"/>
    <w:rsid w:val="00793512"/>
    <w:rsid w:val="00793710"/>
    <w:rsid w:val="007937CD"/>
    <w:rsid w:val="007937FF"/>
    <w:rsid w:val="00793820"/>
    <w:rsid w:val="00793919"/>
    <w:rsid w:val="00793934"/>
    <w:rsid w:val="007939CB"/>
    <w:rsid w:val="00793A83"/>
    <w:rsid w:val="00793AEC"/>
    <w:rsid w:val="00793BC3"/>
    <w:rsid w:val="00793D2D"/>
    <w:rsid w:val="00793F4E"/>
    <w:rsid w:val="00793FC6"/>
    <w:rsid w:val="00794098"/>
    <w:rsid w:val="00794200"/>
    <w:rsid w:val="0079421F"/>
    <w:rsid w:val="0079437C"/>
    <w:rsid w:val="00794480"/>
    <w:rsid w:val="007944D1"/>
    <w:rsid w:val="00794780"/>
    <w:rsid w:val="0079484E"/>
    <w:rsid w:val="00794E80"/>
    <w:rsid w:val="0079506E"/>
    <w:rsid w:val="0079520B"/>
    <w:rsid w:val="007952A1"/>
    <w:rsid w:val="0079549F"/>
    <w:rsid w:val="00795658"/>
    <w:rsid w:val="007956AB"/>
    <w:rsid w:val="00795738"/>
    <w:rsid w:val="00795858"/>
    <w:rsid w:val="00795ABE"/>
    <w:rsid w:val="00795AC9"/>
    <w:rsid w:val="00795E27"/>
    <w:rsid w:val="00795EFD"/>
    <w:rsid w:val="0079602A"/>
    <w:rsid w:val="007961B4"/>
    <w:rsid w:val="00796236"/>
    <w:rsid w:val="00796277"/>
    <w:rsid w:val="00796564"/>
    <w:rsid w:val="0079658E"/>
    <w:rsid w:val="0079670F"/>
    <w:rsid w:val="007969AA"/>
    <w:rsid w:val="007969E4"/>
    <w:rsid w:val="00796B66"/>
    <w:rsid w:val="00796D2A"/>
    <w:rsid w:val="00796F4C"/>
    <w:rsid w:val="00796F9D"/>
    <w:rsid w:val="0079706F"/>
    <w:rsid w:val="00797161"/>
    <w:rsid w:val="007971AC"/>
    <w:rsid w:val="007971D0"/>
    <w:rsid w:val="0079723D"/>
    <w:rsid w:val="00797357"/>
    <w:rsid w:val="00797386"/>
    <w:rsid w:val="00797418"/>
    <w:rsid w:val="0079742F"/>
    <w:rsid w:val="00797544"/>
    <w:rsid w:val="00797A31"/>
    <w:rsid w:val="00797A96"/>
    <w:rsid w:val="00797B2A"/>
    <w:rsid w:val="00797B94"/>
    <w:rsid w:val="00797E55"/>
    <w:rsid w:val="00797E9E"/>
    <w:rsid w:val="00797FB6"/>
    <w:rsid w:val="00797FEB"/>
    <w:rsid w:val="007A0069"/>
    <w:rsid w:val="007A0156"/>
    <w:rsid w:val="007A01EE"/>
    <w:rsid w:val="007A0276"/>
    <w:rsid w:val="007A0374"/>
    <w:rsid w:val="007A03C3"/>
    <w:rsid w:val="007A075F"/>
    <w:rsid w:val="007A0CB0"/>
    <w:rsid w:val="007A0FD8"/>
    <w:rsid w:val="007A1099"/>
    <w:rsid w:val="007A1207"/>
    <w:rsid w:val="007A1294"/>
    <w:rsid w:val="007A1457"/>
    <w:rsid w:val="007A1528"/>
    <w:rsid w:val="007A155E"/>
    <w:rsid w:val="007A15E2"/>
    <w:rsid w:val="007A165D"/>
    <w:rsid w:val="007A17A8"/>
    <w:rsid w:val="007A180A"/>
    <w:rsid w:val="007A1899"/>
    <w:rsid w:val="007A18FD"/>
    <w:rsid w:val="007A1A5D"/>
    <w:rsid w:val="007A1B69"/>
    <w:rsid w:val="007A1C58"/>
    <w:rsid w:val="007A1C82"/>
    <w:rsid w:val="007A1CE0"/>
    <w:rsid w:val="007A1DF7"/>
    <w:rsid w:val="007A1E54"/>
    <w:rsid w:val="007A21AE"/>
    <w:rsid w:val="007A236F"/>
    <w:rsid w:val="007A2872"/>
    <w:rsid w:val="007A290A"/>
    <w:rsid w:val="007A29EE"/>
    <w:rsid w:val="007A2AD1"/>
    <w:rsid w:val="007A2B0D"/>
    <w:rsid w:val="007A2BA2"/>
    <w:rsid w:val="007A2C5A"/>
    <w:rsid w:val="007A2CC6"/>
    <w:rsid w:val="007A2D02"/>
    <w:rsid w:val="007A2D1D"/>
    <w:rsid w:val="007A2EED"/>
    <w:rsid w:val="007A2F4C"/>
    <w:rsid w:val="007A30A8"/>
    <w:rsid w:val="007A313F"/>
    <w:rsid w:val="007A338D"/>
    <w:rsid w:val="007A3399"/>
    <w:rsid w:val="007A3578"/>
    <w:rsid w:val="007A3589"/>
    <w:rsid w:val="007A3618"/>
    <w:rsid w:val="007A36D6"/>
    <w:rsid w:val="007A38D6"/>
    <w:rsid w:val="007A3C10"/>
    <w:rsid w:val="007A3CE8"/>
    <w:rsid w:val="007A3FF5"/>
    <w:rsid w:val="007A4339"/>
    <w:rsid w:val="007A44A2"/>
    <w:rsid w:val="007A44F6"/>
    <w:rsid w:val="007A4602"/>
    <w:rsid w:val="007A4662"/>
    <w:rsid w:val="007A467B"/>
    <w:rsid w:val="007A46FD"/>
    <w:rsid w:val="007A48CB"/>
    <w:rsid w:val="007A4A5A"/>
    <w:rsid w:val="007A4A71"/>
    <w:rsid w:val="007A4AA3"/>
    <w:rsid w:val="007A4C26"/>
    <w:rsid w:val="007A4E4F"/>
    <w:rsid w:val="007A5324"/>
    <w:rsid w:val="007A553F"/>
    <w:rsid w:val="007A5595"/>
    <w:rsid w:val="007A55AF"/>
    <w:rsid w:val="007A56C3"/>
    <w:rsid w:val="007A5887"/>
    <w:rsid w:val="007A58C3"/>
    <w:rsid w:val="007A5B28"/>
    <w:rsid w:val="007A5C75"/>
    <w:rsid w:val="007A5FE7"/>
    <w:rsid w:val="007A6604"/>
    <w:rsid w:val="007A6635"/>
    <w:rsid w:val="007A6766"/>
    <w:rsid w:val="007A6816"/>
    <w:rsid w:val="007A6A37"/>
    <w:rsid w:val="007A6A5B"/>
    <w:rsid w:val="007A6A8F"/>
    <w:rsid w:val="007A6AC9"/>
    <w:rsid w:val="007A6CC5"/>
    <w:rsid w:val="007A6D5C"/>
    <w:rsid w:val="007A7094"/>
    <w:rsid w:val="007A70F5"/>
    <w:rsid w:val="007A7306"/>
    <w:rsid w:val="007A741B"/>
    <w:rsid w:val="007A7503"/>
    <w:rsid w:val="007A76F8"/>
    <w:rsid w:val="007A7990"/>
    <w:rsid w:val="007A7A7F"/>
    <w:rsid w:val="007A7C3F"/>
    <w:rsid w:val="007A7CAB"/>
    <w:rsid w:val="007A7EBC"/>
    <w:rsid w:val="007B01E0"/>
    <w:rsid w:val="007B052D"/>
    <w:rsid w:val="007B06D9"/>
    <w:rsid w:val="007B07CC"/>
    <w:rsid w:val="007B096B"/>
    <w:rsid w:val="007B0B53"/>
    <w:rsid w:val="007B0C04"/>
    <w:rsid w:val="007B0DA6"/>
    <w:rsid w:val="007B0E22"/>
    <w:rsid w:val="007B0EC0"/>
    <w:rsid w:val="007B1036"/>
    <w:rsid w:val="007B106F"/>
    <w:rsid w:val="007B11E1"/>
    <w:rsid w:val="007B1327"/>
    <w:rsid w:val="007B1576"/>
    <w:rsid w:val="007B158C"/>
    <w:rsid w:val="007B1D0A"/>
    <w:rsid w:val="007B1D10"/>
    <w:rsid w:val="007B1DB2"/>
    <w:rsid w:val="007B1E1C"/>
    <w:rsid w:val="007B1EC4"/>
    <w:rsid w:val="007B1FC0"/>
    <w:rsid w:val="007B210B"/>
    <w:rsid w:val="007B2471"/>
    <w:rsid w:val="007B24FE"/>
    <w:rsid w:val="007B2601"/>
    <w:rsid w:val="007B2657"/>
    <w:rsid w:val="007B2B8D"/>
    <w:rsid w:val="007B2DA0"/>
    <w:rsid w:val="007B2DC0"/>
    <w:rsid w:val="007B3050"/>
    <w:rsid w:val="007B30E0"/>
    <w:rsid w:val="007B33FA"/>
    <w:rsid w:val="007B346D"/>
    <w:rsid w:val="007B349C"/>
    <w:rsid w:val="007B3823"/>
    <w:rsid w:val="007B38CF"/>
    <w:rsid w:val="007B39DD"/>
    <w:rsid w:val="007B3AA1"/>
    <w:rsid w:val="007B3AFA"/>
    <w:rsid w:val="007B3F88"/>
    <w:rsid w:val="007B4046"/>
    <w:rsid w:val="007B40AE"/>
    <w:rsid w:val="007B4175"/>
    <w:rsid w:val="007B4215"/>
    <w:rsid w:val="007B42AF"/>
    <w:rsid w:val="007B4323"/>
    <w:rsid w:val="007B43C0"/>
    <w:rsid w:val="007B45C7"/>
    <w:rsid w:val="007B4A7F"/>
    <w:rsid w:val="007B4AC6"/>
    <w:rsid w:val="007B4B34"/>
    <w:rsid w:val="007B4B82"/>
    <w:rsid w:val="007B4CDB"/>
    <w:rsid w:val="007B4F14"/>
    <w:rsid w:val="007B5214"/>
    <w:rsid w:val="007B53AB"/>
    <w:rsid w:val="007B54AD"/>
    <w:rsid w:val="007B552F"/>
    <w:rsid w:val="007B55F2"/>
    <w:rsid w:val="007B565A"/>
    <w:rsid w:val="007B5776"/>
    <w:rsid w:val="007B5A75"/>
    <w:rsid w:val="007B5D16"/>
    <w:rsid w:val="007B5EA3"/>
    <w:rsid w:val="007B607A"/>
    <w:rsid w:val="007B623D"/>
    <w:rsid w:val="007B6456"/>
    <w:rsid w:val="007B6826"/>
    <w:rsid w:val="007B7086"/>
    <w:rsid w:val="007B7333"/>
    <w:rsid w:val="007B74A1"/>
    <w:rsid w:val="007B7648"/>
    <w:rsid w:val="007B7752"/>
    <w:rsid w:val="007B78EB"/>
    <w:rsid w:val="007B7A28"/>
    <w:rsid w:val="007B7AEA"/>
    <w:rsid w:val="007B7B59"/>
    <w:rsid w:val="007B7BD6"/>
    <w:rsid w:val="007B7BDA"/>
    <w:rsid w:val="007B7E29"/>
    <w:rsid w:val="007B7F44"/>
    <w:rsid w:val="007C0038"/>
    <w:rsid w:val="007C007C"/>
    <w:rsid w:val="007C0092"/>
    <w:rsid w:val="007C00B2"/>
    <w:rsid w:val="007C01C7"/>
    <w:rsid w:val="007C01E8"/>
    <w:rsid w:val="007C024E"/>
    <w:rsid w:val="007C03C1"/>
    <w:rsid w:val="007C0424"/>
    <w:rsid w:val="007C0640"/>
    <w:rsid w:val="007C06F1"/>
    <w:rsid w:val="007C0839"/>
    <w:rsid w:val="007C0949"/>
    <w:rsid w:val="007C0C27"/>
    <w:rsid w:val="007C0D48"/>
    <w:rsid w:val="007C0F0F"/>
    <w:rsid w:val="007C1024"/>
    <w:rsid w:val="007C1096"/>
    <w:rsid w:val="007C12F2"/>
    <w:rsid w:val="007C13F9"/>
    <w:rsid w:val="007C1490"/>
    <w:rsid w:val="007C14EE"/>
    <w:rsid w:val="007C152A"/>
    <w:rsid w:val="007C1545"/>
    <w:rsid w:val="007C15B7"/>
    <w:rsid w:val="007C1668"/>
    <w:rsid w:val="007C167E"/>
    <w:rsid w:val="007C1962"/>
    <w:rsid w:val="007C1A72"/>
    <w:rsid w:val="007C1ADC"/>
    <w:rsid w:val="007C1C1B"/>
    <w:rsid w:val="007C1D6A"/>
    <w:rsid w:val="007C1DB6"/>
    <w:rsid w:val="007C2036"/>
    <w:rsid w:val="007C2100"/>
    <w:rsid w:val="007C212D"/>
    <w:rsid w:val="007C213D"/>
    <w:rsid w:val="007C2245"/>
    <w:rsid w:val="007C2703"/>
    <w:rsid w:val="007C27F4"/>
    <w:rsid w:val="007C27F7"/>
    <w:rsid w:val="007C2992"/>
    <w:rsid w:val="007C29C2"/>
    <w:rsid w:val="007C2B0B"/>
    <w:rsid w:val="007C2C0A"/>
    <w:rsid w:val="007C2C7B"/>
    <w:rsid w:val="007C2EE2"/>
    <w:rsid w:val="007C2FF0"/>
    <w:rsid w:val="007C3349"/>
    <w:rsid w:val="007C34B7"/>
    <w:rsid w:val="007C3904"/>
    <w:rsid w:val="007C3908"/>
    <w:rsid w:val="007C39B7"/>
    <w:rsid w:val="007C39CA"/>
    <w:rsid w:val="007C39CF"/>
    <w:rsid w:val="007C3B13"/>
    <w:rsid w:val="007C3B48"/>
    <w:rsid w:val="007C3B52"/>
    <w:rsid w:val="007C3C26"/>
    <w:rsid w:val="007C3D62"/>
    <w:rsid w:val="007C3DE7"/>
    <w:rsid w:val="007C3DF6"/>
    <w:rsid w:val="007C3E08"/>
    <w:rsid w:val="007C4081"/>
    <w:rsid w:val="007C42C2"/>
    <w:rsid w:val="007C42D0"/>
    <w:rsid w:val="007C48FE"/>
    <w:rsid w:val="007C494C"/>
    <w:rsid w:val="007C498A"/>
    <w:rsid w:val="007C4A3E"/>
    <w:rsid w:val="007C4A7B"/>
    <w:rsid w:val="007C4CA8"/>
    <w:rsid w:val="007C4F09"/>
    <w:rsid w:val="007C4F36"/>
    <w:rsid w:val="007C4F6A"/>
    <w:rsid w:val="007C4FD8"/>
    <w:rsid w:val="007C501B"/>
    <w:rsid w:val="007C52DD"/>
    <w:rsid w:val="007C530C"/>
    <w:rsid w:val="007C5395"/>
    <w:rsid w:val="007C53A4"/>
    <w:rsid w:val="007C541E"/>
    <w:rsid w:val="007C5461"/>
    <w:rsid w:val="007C5608"/>
    <w:rsid w:val="007C56DD"/>
    <w:rsid w:val="007C56F9"/>
    <w:rsid w:val="007C57CA"/>
    <w:rsid w:val="007C58D4"/>
    <w:rsid w:val="007C58E7"/>
    <w:rsid w:val="007C597A"/>
    <w:rsid w:val="007C5A53"/>
    <w:rsid w:val="007C5B89"/>
    <w:rsid w:val="007C5BDA"/>
    <w:rsid w:val="007C5BEA"/>
    <w:rsid w:val="007C5C32"/>
    <w:rsid w:val="007C5FD7"/>
    <w:rsid w:val="007C607A"/>
    <w:rsid w:val="007C608B"/>
    <w:rsid w:val="007C61DD"/>
    <w:rsid w:val="007C61E3"/>
    <w:rsid w:val="007C61E4"/>
    <w:rsid w:val="007C6205"/>
    <w:rsid w:val="007C635E"/>
    <w:rsid w:val="007C67F9"/>
    <w:rsid w:val="007C6980"/>
    <w:rsid w:val="007C6989"/>
    <w:rsid w:val="007C6DA6"/>
    <w:rsid w:val="007C6E03"/>
    <w:rsid w:val="007C6E61"/>
    <w:rsid w:val="007C70BF"/>
    <w:rsid w:val="007C71D2"/>
    <w:rsid w:val="007C7281"/>
    <w:rsid w:val="007C7298"/>
    <w:rsid w:val="007C743F"/>
    <w:rsid w:val="007C7454"/>
    <w:rsid w:val="007C7A3A"/>
    <w:rsid w:val="007C7B4B"/>
    <w:rsid w:val="007C7C51"/>
    <w:rsid w:val="007C7DF3"/>
    <w:rsid w:val="007C7E89"/>
    <w:rsid w:val="007C7F2F"/>
    <w:rsid w:val="007D03F0"/>
    <w:rsid w:val="007D0522"/>
    <w:rsid w:val="007D0565"/>
    <w:rsid w:val="007D07A7"/>
    <w:rsid w:val="007D08BC"/>
    <w:rsid w:val="007D091D"/>
    <w:rsid w:val="007D0973"/>
    <w:rsid w:val="007D0979"/>
    <w:rsid w:val="007D09CC"/>
    <w:rsid w:val="007D0FC8"/>
    <w:rsid w:val="007D0FD5"/>
    <w:rsid w:val="007D104C"/>
    <w:rsid w:val="007D159F"/>
    <w:rsid w:val="007D1822"/>
    <w:rsid w:val="007D18FA"/>
    <w:rsid w:val="007D1AE7"/>
    <w:rsid w:val="007D1B65"/>
    <w:rsid w:val="007D1D73"/>
    <w:rsid w:val="007D21B9"/>
    <w:rsid w:val="007D21E5"/>
    <w:rsid w:val="007D2437"/>
    <w:rsid w:val="007D24AC"/>
    <w:rsid w:val="007D2615"/>
    <w:rsid w:val="007D2826"/>
    <w:rsid w:val="007D288D"/>
    <w:rsid w:val="007D288E"/>
    <w:rsid w:val="007D28E2"/>
    <w:rsid w:val="007D2905"/>
    <w:rsid w:val="007D2A34"/>
    <w:rsid w:val="007D2AD4"/>
    <w:rsid w:val="007D2B36"/>
    <w:rsid w:val="007D2C4B"/>
    <w:rsid w:val="007D2C87"/>
    <w:rsid w:val="007D2D95"/>
    <w:rsid w:val="007D2ED2"/>
    <w:rsid w:val="007D32A7"/>
    <w:rsid w:val="007D333D"/>
    <w:rsid w:val="007D377B"/>
    <w:rsid w:val="007D37EB"/>
    <w:rsid w:val="007D385B"/>
    <w:rsid w:val="007D385D"/>
    <w:rsid w:val="007D3874"/>
    <w:rsid w:val="007D38C0"/>
    <w:rsid w:val="007D3907"/>
    <w:rsid w:val="007D3AD3"/>
    <w:rsid w:val="007D3C27"/>
    <w:rsid w:val="007D3DD8"/>
    <w:rsid w:val="007D3E59"/>
    <w:rsid w:val="007D3FFE"/>
    <w:rsid w:val="007D41FC"/>
    <w:rsid w:val="007D45C6"/>
    <w:rsid w:val="007D4629"/>
    <w:rsid w:val="007D472F"/>
    <w:rsid w:val="007D4864"/>
    <w:rsid w:val="007D4942"/>
    <w:rsid w:val="007D4AC6"/>
    <w:rsid w:val="007D4B99"/>
    <w:rsid w:val="007D4C7F"/>
    <w:rsid w:val="007D4D0C"/>
    <w:rsid w:val="007D4D7E"/>
    <w:rsid w:val="007D4DCA"/>
    <w:rsid w:val="007D4E8F"/>
    <w:rsid w:val="007D50FE"/>
    <w:rsid w:val="007D525B"/>
    <w:rsid w:val="007D5416"/>
    <w:rsid w:val="007D5442"/>
    <w:rsid w:val="007D55C2"/>
    <w:rsid w:val="007D55C8"/>
    <w:rsid w:val="007D55FD"/>
    <w:rsid w:val="007D5759"/>
    <w:rsid w:val="007D58D2"/>
    <w:rsid w:val="007D5955"/>
    <w:rsid w:val="007D5961"/>
    <w:rsid w:val="007D5BAB"/>
    <w:rsid w:val="007D5DEE"/>
    <w:rsid w:val="007D5F8F"/>
    <w:rsid w:val="007D600F"/>
    <w:rsid w:val="007D607D"/>
    <w:rsid w:val="007D60B7"/>
    <w:rsid w:val="007D6112"/>
    <w:rsid w:val="007D6147"/>
    <w:rsid w:val="007D6325"/>
    <w:rsid w:val="007D65DC"/>
    <w:rsid w:val="007D65F5"/>
    <w:rsid w:val="007D68F6"/>
    <w:rsid w:val="007D6A86"/>
    <w:rsid w:val="007D6C7E"/>
    <w:rsid w:val="007D6D96"/>
    <w:rsid w:val="007D7350"/>
    <w:rsid w:val="007D77BC"/>
    <w:rsid w:val="007D77F9"/>
    <w:rsid w:val="007D7895"/>
    <w:rsid w:val="007D796E"/>
    <w:rsid w:val="007D7D12"/>
    <w:rsid w:val="007D7EC3"/>
    <w:rsid w:val="007E0095"/>
    <w:rsid w:val="007E02B8"/>
    <w:rsid w:val="007E0453"/>
    <w:rsid w:val="007E0498"/>
    <w:rsid w:val="007E0508"/>
    <w:rsid w:val="007E05BC"/>
    <w:rsid w:val="007E078F"/>
    <w:rsid w:val="007E07D8"/>
    <w:rsid w:val="007E0836"/>
    <w:rsid w:val="007E08D4"/>
    <w:rsid w:val="007E0A7C"/>
    <w:rsid w:val="007E0CB5"/>
    <w:rsid w:val="007E0CE8"/>
    <w:rsid w:val="007E0E13"/>
    <w:rsid w:val="007E0E3D"/>
    <w:rsid w:val="007E0FF7"/>
    <w:rsid w:val="007E100D"/>
    <w:rsid w:val="007E1182"/>
    <w:rsid w:val="007E1252"/>
    <w:rsid w:val="007E1295"/>
    <w:rsid w:val="007E1444"/>
    <w:rsid w:val="007E1469"/>
    <w:rsid w:val="007E147C"/>
    <w:rsid w:val="007E159C"/>
    <w:rsid w:val="007E1666"/>
    <w:rsid w:val="007E173D"/>
    <w:rsid w:val="007E17B7"/>
    <w:rsid w:val="007E17C2"/>
    <w:rsid w:val="007E1A2D"/>
    <w:rsid w:val="007E1C88"/>
    <w:rsid w:val="007E1EB5"/>
    <w:rsid w:val="007E24FF"/>
    <w:rsid w:val="007E2500"/>
    <w:rsid w:val="007E2768"/>
    <w:rsid w:val="007E2840"/>
    <w:rsid w:val="007E28CD"/>
    <w:rsid w:val="007E28E2"/>
    <w:rsid w:val="007E29AA"/>
    <w:rsid w:val="007E2B2C"/>
    <w:rsid w:val="007E30E4"/>
    <w:rsid w:val="007E3315"/>
    <w:rsid w:val="007E33B9"/>
    <w:rsid w:val="007E3423"/>
    <w:rsid w:val="007E343A"/>
    <w:rsid w:val="007E34B7"/>
    <w:rsid w:val="007E36DB"/>
    <w:rsid w:val="007E36F5"/>
    <w:rsid w:val="007E37D4"/>
    <w:rsid w:val="007E3804"/>
    <w:rsid w:val="007E3BE5"/>
    <w:rsid w:val="007E3C74"/>
    <w:rsid w:val="007E3CB2"/>
    <w:rsid w:val="007E3D9E"/>
    <w:rsid w:val="007E3E8D"/>
    <w:rsid w:val="007E3EF1"/>
    <w:rsid w:val="007E4358"/>
    <w:rsid w:val="007E4475"/>
    <w:rsid w:val="007E4513"/>
    <w:rsid w:val="007E4571"/>
    <w:rsid w:val="007E47C5"/>
    <w:rsid w:val="007E4960"/>
    <w:rsid w:val="007E4AEC"/>
    <w:rsid w:val="007E4B96"/>
    <w:rsid w:val="007E4DDE"/>
    <w:rsid w:val="007E4ED7"/>
    <w:rsid w:val="007E4EFB"/>
    <w:rsid w:val="007E4F86"/>
    <w:rsid w:val="007E500A"/>
    <w:rsid w:val="007E50B5"/>
    <w:rsid w:val="007E5125"/>
    <w:rsid w:val="007E514A"/>
    <w:rsid w:val="007E5156"/>
    <w:rsid w:val="007E520B"/>
    <w:rsid w:val="007E5340"/>
    <w:rsid w:val="007E54F0"/>
    <w:rsid w:val="007E596F"/>
    <w:rsid w:val="007E5CB7"/>
    <w:rsid w:val="007E6234"/>
    <w:rsid w:val="007E62CB"/>
    <w:rsid w:val="007E670F"/>
    <w:rsid w:val="007E6715"/>
    <w:rsid w:val="007E6878"/>
    <w:rsid w:val="007E68D9"/>
    <w:rsid w:val="007E68E2"/>
    <w:rsid w:val="007E6AC5"/>
    <w:rsid w:val="007E6ADA"/>
    <w:rsid w:val="007E6BF3"/>
    <w:rsid w:val="007E6FC6"/>
    <w:rsid w:val="007E7082"/>
    <w:rsid w:val="007E7245"/>
    <w:rsid w:val="007E727D"/>
    <w:rsid w:val="007E7734"/>
    <w:rsid w:val="007E7772"/>
    <w:rsid w:val="007E7915"/>
    <w:rsid w:val="007E7BB9"/>
    <w:rsid w:val="007E7D90"/>
    <w:rsid w:val="007E7FE0"/>
    <w:rsid w:val="007F008B"/>
    <w:rsid w:val="007F025E"/>
    <w:rsid w:val="007F0686"/>
    <w:rsid w:val="007F0A3D"/>
    <w:rsid w:val="007F0B73"/>
    <w:rsid w:val="007F0BDC"/>
    <w:rsid w:val="007F0C85"/>
    <w:rsid w:val="007F0DD9"/>
    <w:rsid w:val="007F0E39"/>
    <w:rsid w:val="007F0E7D"/>
    <w:rsid w:val="007F0FFC"/>
    <w:rsid w:val="007F112A"/>
    <w:rsid w:val="007F131F"/>
    <w:rsid w:val="007F13CF"/>
    <w:rsid w:val="007F1634"/>
    <w:rsid w:val="007F19E9"/>
    <w:rsid w:val="007F1A4D"/>
    <w:rsid w:val="007F1C44"/>
    <w:rsid w:val="007F1D4E"/>
    <w:rsid w:val="007F1D71"/>
    <w:rsid w:val="007F1DB9"/>
    <w:rsid w:val="007F1EFA"/>
    <w:rsid w:val="007F1FB8"/>
    <w:rsid w:val="007F1FEB"/>
    <w:rsid w:val="007F2033"/>
    <w:rsid w:val="007F2152"/>
    <w:rsid w:val="007F25FF"/>
    <w:rsid w:val="007F26DB"/>
    <w:rsid w:val="007F2867"/>
    <w:rsid w:val="007F2874"/>
    <w:rsid w:val="007F290B"/>
    <w:rsid w:val="007F2A1F"/>
    <w:rsid w:val="007F2FE8"/>
    <w:rsid w:val="007F3109"/>
    <w:rsid w:val="007F3141"/>
    <w:rsid w:val="007F3273"/>
    <w:rsid w:val="007F349E"/>
    <w:rsid w:val="007F354D"/>
    <w:rsid w:val="007F3824"/>
    <w:rsid w:val="007F382B"/>
    <w:rsid w:val="007F3B8D"/>
    <w:rsid w:val="007F3CCD"/>
    <w:rsid w:val="007F3D67"/>
    <w:rsid w:val="007F3DF7"/>
    <w:rsid w:val="007F40E8"/>
    <w:rsid w:val="007F4180"/>
    <w:rsid w:val="007F41A6"/>
    <w:rsid w:val="007F4428"/>
    <w:rsid w:val="007F4616"/>
    <w:rsid w:val="007F4792"/>
    <w:rsid w:val="007F489B"/>
    <w:rsid w:val="007F4C64"/>
    <w:rsid w:val="007F4E2C"/>
    <w:rsid w:val="007F4E41"/>
    <w:rsid w:val="007F5724"/>
    <w:rsid w:val="007F5940"/>
    <w:rsid w:val="007F59CD"/>
    <w:rsid w:val="007F59E9"/>
    <w:rsid w:val="007F5A74"/>
    <w:rsid w:val="007F5AAA"/>
    <w:rsid w:val="007F5BC0"/>
    <w:rsid w:val="007F5BF3"/>
    <w:rsid w:val="007F5C0E"/>
    <w:rsid w:val="007F6202"/>
    <w:rsid w:val="007F6287"/>
    <w:rsid w:val="007F6558"/>
    <w:rsid w:val="007F67A1"/>
    <w:rsid w:val="007F68D1"/>
    <w:rsid w:val="007F6A12"/>
    <w:rsid w:val="007F6C28"/>
    <w:rsid w:val="007F7146"/>
    <w:rsid w:val="007F7159"/>
    <w:rsid w:val="007F7578"/>
    <w:rsid w:val="007F7599"/>
    <w:rsid w:val="007F7642"/>
    <w:rsid w:val="007F78D4"/>
    <w:rsid w:val="007F79E9"/>
    <w:rsid w:val="007F79FA"/>
    <w:rsid w:val="007F7AF9"/>
    <w:rsid w:val="007F7AFE"/>
    <w:rsid w:val="007F7BD8"/>
    <w:rsid w:val="007F7DE1"/>
    <w:rsid w:val="00800083"/>
    <w:rsid w:val="00800403"/>
    <w:rsid w:val="00800559"/>
    <w:rsid w:val="00800618"/>
    <w:rsid w:val="0080071D"/>
    <w:rsid w:val="00800932"/>
    <w:rsid w:val="00800997"/>
    <w:rsid w:val="008009EB"/>
    <w:rsid w:val="00800A15"/>
    <w:rsid w:val="00800D72"/>
    <w:rsid w:val="00800F8F"/>
    <w:rsid w:val="00800FB3"/>
    <w:rsid w:val="00801025"/>
    <w:rsid w:val="008013A1"/>
    <w:rsid w:val="008013A5"/>
    <w:rsid w:val="008013F8"/>
    <w:rsid w:val="008017FC"/>
    <w:rsid w:val="00801843"/>
    <w:rsid w:val="00801A01"/>
    <w:rsid w:val="00801AB9"/>
    <w:rsid w:val="00801BFB"/>
    <w:rsid w:val="00801C3D"/>
    <w:rsid w:val="00801DBF"/>
    <w:rsid w:val="00801E45"/>
    <w:rsid w:val="0080227E"/>
    <w:rsid w:val="008022BE"/>
    <w:rsid w:val="0080237B"/>
    <w:rsid w:val="00802780"/>
    <w:rsid w:val="00802877"/>
    <w:rsid w:val="008028BD"/>
    <w:rsid w:val="00803141"/>
    <w:rsid w:val="008032DD"/>
    <w:rsid w:val="008034DB"/>
    <w:rsid w:val="00803530"/>
    <w:rsid w:val="00803B6F"/>
    <w:rsid w:val="00803BB5"/>
    <w:rsid w:val="00803C19"/>
    <w:rsid w:val="00803EAD"/>
    <w:rsid w:val="00803F38"/>
    <w:rsid w:val="008043DB"/>
    <w:rsid w:val="008044A5"/>
    <w:rsid w:val="008047FB"/>
    <w:rsid w:val="00804B1A"/>
    <w:rsid w:val="00804E20"/>
    <w:rsid w:val="00804E94"/>
    <w:rsid w:val="00804F43"/>
    <w:rsid w:val="00805257"/>
    <w:rsid w:val="0080538C"/>
    <w:rsid w:val="0080542B"/>
    <w:rsid w:val="0080555D"/>
    <w:rsid w:val="008056A1"/>
    <w:rsid w:val="008057B0"/>
    <w:rsid w:val="0080596B"/>
    <w:rsid w:val="00805B40"/>
    <w:rsid w:val="00805B76"/>
    <w:rsid w:val="00805C09"/>
    <w:rsid w:val="00805CCA"/>
    <w:rsid w:val="00805DF9"/>
    <w:rsid w:val="008060B5"/>
    <w:rsid w:val="008065D9"/>
    <w:rsid w:val="00806819"/>
    <w:rsid w:val="008068A0"/>
    <w:rsid w:val="008068E8"/>
    <w:rsid w:val="00806A54"/>
    <w:rsid w:val="00806BDC"/>
    <w:rsid w:val="00806E9F"/>
    <w:rsid w:val="00806F28"/>
    <w:rsid w:val="0080702A"/>
    <w:rsid w:val="0080708D"/>
    <w:rsid w:val="008071DF"/>
    <w:rsid w:val="008073CF"/>
    <w:rsid w:val="0080744F"/>
    <w:rsid w:val="0080764C"/>
    <w:rsid w:val="00807807"/>
    <w:rsid w:val="00807824"/>
    <w:rsid w:val="00807832"/>
    <w:rsid w:val="008078C9"/>
    <w:rsid w:val="00807AE3"/>
    <w:rsid w:val="00807E24"/>
    <w:rsid w:val="00807F85"/>
    <w:rsid w:val="008101FF"/>
    <w:rsid w:val="008102AB"/>
    <w:rsid w:val="008103DA"/>
    <w:rsid w:val="00810477"/>
    <w:rsid w:val="008104BF"/>
    <w:rsid w:val="008107A7"/>
    <w:rsid w:val="008107A8"/>
    <w:rsid w:val="008108D9"/>
    <w:rsid w:val="0081096E"/>
    <w:rsid w:val="00810CE8"/>
    <w:rsid w:val="00810EDC"/>
    <w:rsid w:val="00811085"/>
    <w:rsid w:val="00811160"/>
    <w:rsid w:val="00811398"/>
    <w:rsid w:val="00811472"/>
    <w:rsid w:val="00811498"/>
    <w:rsid w:val="008114AE"/>
    <w:rsid w:val="0081163A"/>
    <w:rsid w:val="00811774"/>
    <w:rsid w:val="0081190C"/>
    <w:rsid w:val="00811A14"/>
    <w:rsid w:val="00811D55"/>
    <w:rsid w:val="00811DA3"/>
    <w:rsid w:val="00811DB6"/>
    <w:rsid w:val="00811F36"/>
    <w:rsid w:val="00812120"/>
    <w:rsid w:val="008124A0"/>
    <w:rsid w:val="00812703"/>
    <w:rsid w:val="00812748"/>
    <w:rsid w:val="00812901"/>
    <w:rsid w:val="00812C24"/>
    <w:rsid w:val="00812F81"/>
    <w:rsid w:val="00813079"/>
    <w:rsid w:val="008130B3"/>
    <w:rsid w:val="0081333A"/>
    <w:rsid w:val="00813383"/>
    <w:rsid w:val="008133C9"/>
    <w:rsid w:val="008133F7"/>
    <w:rsid w:val="00813426"/>
    <w:rsid w:val="00813540"/>
    <w:rsid w:val="00813835"/>
    <w:rsid w:val="0081385F"/>
    <w:rsid w:val="008138D0"/>
    <w:rsid w:val="00813967"/>
    <w:rsid w:val="00813B45"/>
    <w:rsid w:val="00813B6B"/>
    <w:rsid w:val="00813C8E"/>
    <w:rsid w:val="00813D64"/>
    <w:rsid w:val="00813D66"/>
    <w:rsid w:val="00813F35"/>
    <w:rsid w:val="00813F96"/>
    <w:rsid w:val="008141C3"/>
    <w:rsid w:val="008141D2"/>
    <w:rsid w:val="008141E2"/>
    <w:rsid w:val="00814398"/>
    <w:rsid w:val="008143CD"/>
    <w:rsid w:val="008143FD"/>
    <w:rsid w:val="00814522"/>
    <w:rsid w:val="0081456B"/>
    <w:rsid w:val="008148F6"/>
    <w:rsid w:val="0081496A"/>
    <w:rsid w:val="008149DF"/>
    <w:rsid w:val="00814C33"/>
    <w:rsid w:val="00814F07"/>
    <w:rsid w:val="00814F2B"/>
    <w:rsid w:val="00814F52"/>
    <w:rsid w:val="0081514B"/>
    <w:rsid w:val="00815178"/>
    <w:rsid w:val="00815191"/>
    <w:rsid w:val="008157C0"/>
    <w:rsid w:val="0081585E"/>
    <w:rsid w:val="008159E4"/>
    <w:rsid w:val="00815EA8"/>
    <w:rsid w:val="00815F88"/>
    <w:rsid w:val="00816029"/>
    <w:rsid w:val="00816057"/>
    <w:rsid w:val="00816150"/>
    <w:rsid w:val="00816222"/>
    <w:rsid w:val="00816349"/>
    <w:rsid w:val="008164AC"/>
    <w:rsid w:val="00816600"/>
    <w:rsid w:val="00816789"/>
    <w:rsid w:val="00816ADC"/>
    <w:rsid w:val="00816BF6"/>
    <w:rsid w:val="00816D51"/>
    <w:rsid w:val="00816F3A"/>
    <w:rsid w:val="00817071"/>
    <w:rsid w:val="0081723B"/>
    <w:rsid w:val="0081736C"/>
    <w:rsid w:val="008174DD"/>
    <w:rsid w:val="00817563"/>
    <w:rsid w:val="008175F4"/>
    <w:rsid w:val="008177DC"/>
    <w:rsid w:val="0081785D"/>
    <w:rsid w:val="00817970"/>
    <w:rsid w:val="00817B47"/>
    <w:rsid w:val="00817C51"/>
    <w:rsid w:val="00817F24"/>
    <w:rsid w:val="00817F5C"/>
    <w:rsid w:val="00820310"/>
    <w:rsid w:val="00820481"/>
    <w:rsid w:val="008204FD"/>
    <w:rsid w:val="0082050C"/>
    <w:rsid w:val="00820648"/>
    <w:rsid w:val="0082076E"/>
    <w:rsid w:val="00820BF5"/>
    <w:rsid w:val="00820C1C"/>
    <w:rsid w:val="00820CD1"/>
    <w:rsid w:val="00820CDD"/>
    <w:rsid w:val="00820D62"/>
    <w:rsid w:val="00820E43"/>
    <w:rsid w:val="00820E9C"/>
    <w:rsid w:val="00820EB3"/>
    <w:rsid w:val="0082104D"/>
    <w:rsid w:val="0082109B"/>
    <w:rsid w:val="008212A9"/>
    <w:rsid w:val="008213AA"/>
    <w:rsid w:val="008214BC"/>
    <w:rsid w:val="008215BA"/>
    <w:rsid w:val="00821627"/>
    <w:rsid w:val="00821630"/>
    <w:rsid w:val="008216C4"/>
    <w:rsid w:val="0082171A"/>
    <w:rsid w:val="00821797"/>
    <w:rsid w:val="00821887"/>
    <w:rsid w:val="008219EB"/>
    <w:rsid w:val="00821D04"/>
    <w:rsid w:val="00821E23"/>
    <w:rsid w:val="00821E48"/>
    <w:rsid w:val="00821F46"/>
    <w:rsid w:val="00821F57"/>
    <w:rsid w:val="00822047"/>
    <w:rsid w:val="008221B3"/>
    <w:rsid w:val="0082237E"/>
    <w:rsid w:val="008224FD"/>
    <w:rsid w:val="0082251A"/>
    <w:rsid w:val="008227FB"/>
    <w:rsid w:val="00822B06"/>
    <w:rsid w:val="00822EE6"/>
    <w:rsid w:val="00822F68"/>
    <w:rsid w:val="00822F79"/>
    <w:rsid w:val="00822FF8"/>
    <w:rsid w:val="0082301A"/>
    <w:rsid w:val="008232B4"/>
    <w:rsid w:val="008234D1"/>
    <w:rsid w:val="008235DD"/>
    <w:rsid w:val="00823827"/>
    <w:rsid w:val="00823A33"/>
    <w:rsid w:val="00823A99"/>
    <w:rsid w:val="00823D1A"/>
    <w:rsid w:val="00823F55"/>
    <w:rsid w:val="00823F5E"/>
    <w:rsid w:val="00824099"/>
    <w:rsid w:val="008241ED"/>
    <w:rsid w:val="0082498C"/>
    <w:rsid w:val="00824B8B"/>
    <w:rsid w:val="00824C07"/>
    <w:rsid w:val="00824CED"/>
    <w:rsid w:val="00824EE1"/>
    <w:rsid w:val="00824EE3"/>
    <w:rsid w:val="00824EFD"/>
    <w:rsid w:val="00824FFF"/>
    <w:rsid w:val="00825266"/>
    <w:rsid w:val="008253B3"/>
    <w:rsid w:val="008253D3"/>
    <w:rsid w:val="0082563D"/>
    <w:rsid w:val="00825851"/>
    <w:rsid w:val="00825945"/>
    <w:rsid w:val="0082596E"/>
    <w:rsid w:val="00825A99"/>
    <w:rsid w:val="00825ACA"/>
    <w:rsid w:val="00825AE9"/>
    <w:rsid w:val="00825CF2"/>
    <w:rsid w:val="00825D09"/>
    <w:rsid w:val="00825F4F"/>
    <w:rsid w:val="008263A2"/>
    <w:rsid w:val="00826474"/>
    <w:rsid w:val="008264DC"/>
    <w:rsid w:val="0082652A"/>
    <w:rsid w:val="008267EC"/>
    <w:rsid w:val="0082690B"/>
    <w:rsid w:val="00826A64"/>
    <w:rsid w:val="00826C28"/>
    <w:rsid w:val="00826D2F"/>
    <w:rsid w:val="00826EF8"/>
    <w:rsid w:val="00826F05"/>
    <w:rsid w:val="00826F5A"/>
    <w:rsid w:val="0082730C"/>
    <w:rsid w:val="008273E4"/>
    <w:rsid w:val="00827525"/>
    <w:rsid w:val="00827734"/>
    <w:rsid w:val="00827788"/>
    <w:rsid w:val="00827984"/>
    <w:rsid w:val="008279CF"/>
    <w:rsid w:val="00827A78"/>
    <w:rsid w:val="00827AA6"/>
    <w:rsid w:val="00827ACF"/>
    <w:rsid w:val="00827B06"/>
    <w:rsid w:val="00827C99"/>
    <w:rsid w:val="00827D5D"/>
    <w:rsid w:val="00827D7F"/>
    <w:rsid w:val="00827E4F"/>
    <w:rsid w:val="00827E77"/>
    <w:rsid w:val="00827FAF"/>
    <w:rsid w:val="00830176"/>
    <w:rsid w:val="0083027B"/>
    <w:rsid w:val="00830424"/>
    <w:rsid w:val="00830846"/>
    <w:rsid w:val="00830A58"/>
    <w:rsid w:val="00830AC9"/>
    <w:rsid w:val="00830F36"/>
    <w:rsid w:val="00831192"/>
    <w:rsid w:val="00831270"/>
    <w:rsid w:val="008312E1"/>
    <w:rsid w:val="008313CB"/>
    <w:rsid w:val="0083150B"/>
    <w:rsid w:val="0083158E"/>
    <w:rsid w:val="00831594"/>
    <w:rsid w:val="008315A8"/>
    <w:rsid w:val="00831854"/>
    <w:rsid w:val="0083189F"/>
    <w:rsid w:val="0083197B"/>
    <w:rsid w:val="00831A69"/>
    <w:rsid w:val="00831C33"/>
    <w:rsid w:val="00831DC4"/>
    <w:rsid w:val="00831E30"/>
    <w:rsid w:val="0083213D"/>
    <w:rsid w:val="008321C1"/>
    <w:rsid w:val="008324B0"/>
    <w:rsid w:val="00832504"/>
    <w:rsid w:val="00832672"/>
    <w:rsid w:val="0083270E"/>
    <w:rsid w:val="00832836"/>
    <w:rsid w:val="00832B80"/>
    <w:rsid w:val="00832C5E"/>
    <w:rsid w:val="00832D38"/>
    <w:rsid w:val="00832E84"/>
    <w:rsid w:val="00832FB8"/>
    <w:rsid w:val="008331A3"/>
    <w:rsid w:val="008331D6"/>
    <w:rsid w:val="00833230"/>
    <w:rsid w:val="00833316"/>
    <w:rsid w:val="00833452"/>
    <w:rsid w:val="0083356D"/>
    <w:rsid w:val="0083364A"/>
    <w:rsid w:val="0083368B"/>
    <w:rsid w:val="008339AF"/>
    <w:rsid w:val="00833B38"/>
    <w:rsid w:val="00833C16"/>
    <w:rsid w:val="008340AD"/>
    <w:rsid w:val="008340D4"/>
    <w:rsid w:val="00834317"/>
    <w:rsid w:val="00834322"/>
    <w:rsid w:val="0083434F"/>
    <w:rsid w:val="00834407"/>
    <w:rsid w:val="00834509"/>
    <w:rsid w:val="008346CC"/>
    <w:rsid w:val="008346FC"/>
    <w:rsid w:val="00834B80"/>
    <w:rsid w:val="00834F82"/>
    <w:rsid w:val="00835099"/>
    <w:rsid w:val="00835333"/>
    <w:rsid w:val="008353BC"/>
    <w:rsid w:val="00835DC7"/>
    <w:rsid w:val="00835E15"/>
    <w:rsid w:val="0083667B"/>
    <w:rsid w:val="008366FD"/>
    <w:rsid w:val="00836709"/>
    <w:rsid w:val="0083675D"/>
    <w:rsid w:val="00836887"/>
    <w:rsid w:val="00836895"/>
    <w:rsid w:val="008369BA"/>
    <w:rsid w:val="00836A64"/>
    <w:rsid w:val="00836A8B"/>
    <w:rsid w:val="00836AE3"/>
    <w:rsid w:val="00836D30"/>
    <w:rsid w:val="00836D9F"/>
    <w:rsid w:val="00836E63"/>
    <w:rsid w:val="00836E7B"/>
    <w:rsid w:val="00836EBC"/>
    <w:rsid w:val="00836F07"/>
    <w:rsid w:val="0083701D"/>
    <w:rsid w:val="00837083"/>
    <w:rsid w:val="008372D5"/>
    <w:rsid w:val="008372D7"/>
    <w:rsid w:val="008372DF"/>
    <w:rsid w:val="0083737E"/>
    <w:rsid w:val="008374D4"/>
    <w:rsid w:val="008374F6"/>
    <w:rsid w:val="0083760A"/>
    <w:rsid w:val="00837670"/>
    <w:rsid w:val="008377AF"/>
    <w:rsid w:val="00837841"/>
    <w:rsid w:val="00837999"/>
    <w:rsid w:val="00837A7E"/>
    <w:rsid w:val="00837CD0"/>
    <w:rsid w:val="00837EAD"/>
    <w:rsid w:val="00837F85"/>
    <w:rsid w:val="0084015E"/>
    <w:rsid w:val="0084017A"/>
    <w:rsid w:val="008401B1"/>
    <w:rsid w:val="008402D6"/>
    <w:rsid w:val="00840390"/>
    <w:rsid w:val="008403D6"/>
    <w:rsid w:val="0084045C"/>
    <w:rsid w:val="0084079D"/>
    <w:rsid w:val="00840906"/>
    <w:rsid w:val="008409BA"/>
    <w:rsid w:val="00840A77"/>
    <w:rsid w:val="00840C1C"/>
    <w:rsid w:val="0084103B"/>
    <w:rsid w:val="00841200"/>
    <w:rsid w:val="008413D1"/>
    <w:rsid w:val="008413E3"/>
    <w:rsid w:val="0084145E"/>
    <w:rsid w:val="0084149D"/>
    <w:rsid w:val="008414F8"/>
    <w:rsid w:val="008416F3"/>
    <w:rsid w:val="00841804"/>
    <w:rsid w:val="00841913"/>
    <w:rsid w:val="008419CD"/>
    <w:rsid w:val="00841AD9"/>
    <w:rsid w:val="00841BA4"/>
    <w:rsid w:val="00841C0C"/>
    <w:rsid w:val="00841C0F"/>
    <w:rsid w:val="00841CAA"/>
    <w:rsid w:val="00841F42"/>
    <w:rsid w:val="00841FC5"/>
    <w:rsid w:val="0084283B"/>
    <w:rsid w:val="008429A2"/>
    <w:rsid w:val="008429F8"/>
    <w:rsid w:val="00842CDB"/>
    <w:rsid w:val="00842CFB"/>
    <w:rsid w:val="00842D2C"/>
    <w:rsid w:val="00842E26"/>
    <w:rsid w:val="00842E98"/>
    <w:rsid w:val="00842FA0"/>
    <w:rsid w:val="00843424"/>
    <w:rsid w:val="00843571"/>
    <w:rsid w:val="0084359B"/>
    <w:rsid w:val="00843A38"/>
    <w:rsid w:val="00843BFB"/>
    <w:rsid w:val="00843C1A"/>
    <w:rsid w:val="00843D9D"/>
    <w:rsid w:val="00843DFB"/>
    <w:rsid w:val="00843E1F"/>
    <w:rsid w:val="00843F73"/>
    <w:rsid w:val="0084431F"/>
    <w:rsid w:val="00844390"/>
    <w:rsid w:val="008443D3"/>
    <w:rsid w:val="008445F5"/>
    <w:rsid w:val="00844624"/>
    <w:rsid w:val="0084470B"/>
    <w:rsid w:val="00844898"/>
    <w:rsid w:val="00844B6C"/>
    <w:rsid w:val="0084504D"/>
    <w:rsid w:val="0084537C"/>
    <w:rsid w:val="0084545D"/>
    <w:rsid w:val="008456C6"/>
    <w:rsid w:val="008456CF"/>
    <w:rsid w:val="0084577F"/>
    <w:rsid w:val="008457D7"/>
    <w:rsid w:val="00845840"/>
    <w:rsid w:val="008458C8"/>
    <w:rsid w:val="008459CA"/>
    <w:rsid w:val="00845AA7"/>
    <w:rsid w:val="00845BA9"/>
    <w:rsid w:val="00845CE0"/>
    <w:rsid w:val="00845E34"/>
    <w:rsid w:val="00845E44"/>
    <w:rsid w:val="00845F02"/>
    <w:rsid w:val="00845F3D"/>
    <w:rsid w:val="00846352"/>
    <w:rsid w:val="00846626"/>
    <w:rsid w:val="008466AE"/>
    <w:rsid w:val="0084670E"/>
    <w:rsid w:val="00846714"/>
    <w:rsid w:val="00846982"/>
    <w:rsid w:val="00846B8D"/>
    <w:rsid w:val="00846BB2"/>
    <w:rsid w:val="00846E2A"/>
    <w:rsid w:val="00846EE0"/>
    <w:rsid w:val="008470AB"/>
    <w:rsid w:val="008473A2"/>
    <w:rsid w:val="008473F1"/>
    <w:rsid w:val="0084742D"/>
    <w:rsid w:val="00847537"/>
    <w:rsid w:val="00847555"/>
    <w:rsid w:val="00847666"/>
    <w:rsid w:val="00847706"/>
    <w:rsid w:val="00847778"/>
    <w:rsid w:val="0084791B"/>
    <w:rsid w:val="00847A19"/>
    <w:rsid w:val="00847AA8"/>
    <w:rsid w:val="00847AC3"/>
    <w:rsid w:val="00847AFD"/>
    <w:rsid w:val="00847B12"/>
    <w:rsid w:val="00847B5C"/>
    <w:rsid w:val="00847BAA"/>
    <w:rsid w:val="00847C89"/>
    <w:rsid w:val="00847C91"/>
    <w:rsid w:val="00847D6A"/>
    <w:rsid w:val="00847FE6"/>
    <w:rsid w:val="00850116"/>
    <w:rsid w:val="008501FB"/>
    <w:rsid w:val="00850506"/>
    <w:rsid w:val="0085078C"/>
    <w:rsid w:val="00850907"/>
    <w:rsid w:val="0085096A"/>
    <w:rsid w:val="008509BA"/>
    <w:rsid w:val="008509E8"/>
    <w:rsid w:val="00850A69"/>
    <w:rsid w:val="00850B5B"/>
    <w:rsid w:val="00850C27"/>
    <w:rsid w:val="00850DD4"/>
    <w:rsid w:val="00850F33"/>
    <w:rsid w:val="00851361"/>
    <w:rsid w:val="00851459"/>
    <w:rsid w:val="00851487"/>
    <w:rsid w:val="0085154C"/>
    <w:rsid w:val="008515A4"/>
    <w:rsid w:val="008515CE"/>
    <w:rsid w:val="0085161A"/>
    <w:rsid w:val="0085191F"/>
    <w:rsid w:val="008519C0"/>
    <w:rsid w:val="008519FE"/>
    <w:rsid w:val="00851CC7"/>
    <w:rsid w:val="00851DDE"/>
    <w:rsid w:val="00851E43"/>
    <w:rsid w:val="00851E45"/>
    <w:rsid w:val="00851EF8"/>
    <w:rsid w:val="00852050"/>
    <w:rsid w:val="008520F8"/>
    <w:rsid w:val="008521A7"/>
    <w:rsid w:val="00852262"/>
    <w:rsid w:val="00852343"/>
    <w:rsid w:val="0085241F"/>
    <w:rsid w:val="00852561"/>
    <w:rsid w:val="00852673"/>
    <w:rsid w:val="0085267F"/>
    <w:rsid w:val="008527EC"/>
    <w:rsid w:val="0085287D"/>
    <w:rsid w:val="008528D8"/>
    <w:rsid w:val="008529B4"/>
    <w:rsid w:val="00852AB3"/>
    <w:rsid w:val="00852AEB"/>
    <w:rsid w:val="00852C5A"/>
    <w:rsid w:val="00852CE0"/>
    <w:rsid w:val="00852DFF"/>
    <w:rsid w:val="00852E16"/>
    <w:rsid w:val="00852FCB"/>
    <w:rsid w:val="0085310D"/>
    <w:rsid w:val="00853267"/>
    <w:rsid w:val="008534A6"/>
    <w:rsid w:val="008534B5"/>
    <w:rsid w:val="008535A7"/>
    <w:rsid w:val="00853813"/>
    <w:rsid w:val="0085393F"/>
    <w:rsid w:val="00853A88"/>
    <w:rsid w:val="00853A8D"/>
    <w:rsid w:val="00853C5D"/>
    <w:rsid w:val="00853E27"/>
    <w:rsid w:val="00853E6F"/>
    <w:rsid w:val="00853EC2"/>
    <w:rsid w:val="00853F39"/>
    <w:rsid w:val="00853F59"/>
    <w:rsid w:val="0085466B"/>
    <w:rsid w:val="00854C41"/>
    <w:rsid w:val="00854EEF"/>
    <w:rsid w:val="00854EFC"/>
    <w:rsid w:val="00854F16"/>
    <w:rsid w:val="00854F75"/>
    <w:rsid w:val="0085519D"/>
    <w:rsid w:val="008551E9"/>
    <w:rsid w:val="00855260"/>
    <w:rsid w:val="00855479"/>
    <w:rsid w:val="00855775"/>
    <w:rsid w:val="00855A82"/>
    <w:rsid w:val="00855AA1"/>
    <w:rsid w:val="00855ABA"/>
    <w:rsid w:val="00855AC6"/>
    <w:rsid w:val="00855B6F"/>
    <w:rsid w:val="00855BAA"/>
    <w:rsid w:val="00856422"/>
    <w:rsid w:val="0085649D"/>
    <w:rsid w:val="008564A0"/>
    <w:rsid w:val="008565D3"/>
    <w:rsid w:val="00856693"/>
    <w:rsid w:val="00856749"/>
    <w:rsid w:val="00856855"/>
    <w:rsid w:val="00856BA4"/>
    <w:rsid w:val="00856BCE"/>
    <w:rsid w:val="00856C6B"/>
    <w:rsid w:val="00856E2B"/>
    <w:rsid w:val="00856E2E"/>
    <w:rsid w:val="00856E84"/>
    <w:rsid w:val="00856EDC"/>
    <w:rsid w:val="00857001"/>
    <w:rsid w:val="0085722B"/>
    <w:rsid w:val="008572B7"/>
    <w:rsid w:val="008572CA"/>
    <w:rsid w:val="00857619"/>
    <w:rsid w:val="008576CD"/>
    <w:rsid w:val="008577A2"/>
    <w:rsid w:val="00857850"/>
    <w:rsid w:val="00857C7F"/>
    <w:rsid w:val="00857DDB"/>
    <w:rsid w:val="00857FA8"/>
    <w:rsid w:val="00857FDD"/>
    <w:rsid w:val="0085AEC8"/>
    <w:rsid w:val="00860054"/>
    <w:rsid w:val="008600D7"/>
    <w:rsid w:val="008601BB"/>
    <w:rsid w:val="00860220"/>
    <w:rsid w:val="00860275"/>
    <w:rsid w:val="008602AB"/>
    <w:rsid w:val="00860319"/>
    <w:rsid w:val="00860347"/>
    <w:rsid w:val="00860424"/>
    <w:rsid w:val="0086044C"/>
    <w:rsid w:val="008604F4"/>
    <w:rsid w:val="0086052E"/>
    <w:rsid w:val="00860608"/>
    <w:rsid w:val="008606E4"/>
    <w:rsid w:val="0086072B"/>
    <w:rsid w:val="0086081F"/>
    <w:rsid w:val="00860955"/>
    <w:rsid w:val="00860A86"/>
    <w:rsid w:val="00860ACA"/>
    <w:rsid w:val="00860D1D"/>
    <w:rsid w:val="00860D85"/>
    <w:rsid w:val="0086119A"/>
    <w:rsid w:val="00861550"/>
    <w:rsid w:val="0086165F"/>
    <w:rsid w:val="008616C9"/>
    <w:rsid w:val="008617BD"/>
    <w:rsid w:val="00861943"/>
    <w:rsid w:val="008619D0"/>
    <w:rsid w:val="00861AF2"/>
    <w:rsid w:val="00861C27"/>
    <w:rsid w:val="00861F26"/>
    <w:rsid w:val="00861F6B"/>
    <w:rsid w:val="00862077"/>
    <w:rsid w:val="008620F9"/>
    <w:rsid w:val="0086221B"/>
    <w:rsid w:val="0086222C"/>
    <w:rsid w:val="00862238"/>
    <w:rsid w:val="00862249"/>
    <w:rsid w:val="008625AA"/>
    <w:rsid w:val="00862614"/>
    <w:rsid w:val="00862657"/>
    <w:rsid w:val="0086281B"/>
    <w:rsid w:val="008629C7"/>
    <w:rsid w:val="00862ADD"/>
    <w:rsid w:val="00862B9E"/>
    <w:rsid w:val="00862D67"/>
    <w:rsid w:val="00863031"/>
    <w:rsid w:val="008630AE"/>
    <w:rsid w:val="008630FB"/>
    <w:rsid w:val="0086329F"/>
    <w:rsid w:val="008632F2"/>
    <w:rsid w:val="008634CE"/>
    <w:rsid w:val="008635AB"/>
    <w:rsid w:val="0086366F"/>
    <w:rsid w:val="0086374A"/>
    <w:rsid w:val="008638A0"/>
    <w:rsid w:val="0086395F"/>
    <w:rsid w:val="00863BEC"/>
    <w:rsid w:val="00863CDA"/>
    <w:rsid w:val="00863CEB"/>
    <w:rsid w:val="00863FF0"/>
    <w:rsid w:val="0086409D"/>
    <w:rsid w:val="008643A5"/>
    <w:rsid w:val="00864431"/>
    <w:rsid w:val="008645D6"/>
    <w:rsid w:val="00864741"/>
    <w:rsid w:val="00864B99"/>
    <w:rsid w:val="00864CF2"/>
    <w:rsid w:val="00864CF9"/>
    <w:rsid w:val="00864D3D"/>
    <w:rsid w:val="00864EA3"/>
    <w:rsid w:val="00865192"/>
    <w:rsid w:val="008654DF"/>
    <w:rsid w:val="0086561F"/>
    <w:rsid w:val="0086569A"/>
    <w:rsid w:val="008656DD"/>
    <w:rsid w:val="00865A99"/>
    <w:rsid w:val="00865B46"/>
    <w:rsid w:val="00865C33"/>
    <w:rsid w:val="00865E52"/>
    <w:rsid w:val="00865E59"/>
    <w:rsid w:val="00865EA0"/>
    <w:rsid w:val="00865F71"/>
    <w:rsid w:val="00865F9B"/>
    <w:rsid w:val="0086604F"/>
    <w:rsid w:val="0086625E"/>
    <w:rsid w:val="0086683E"/>
    <w:rsid w:val="0086685B"/>
    <w:rsid w:val="00866883"/>
    <w:rsid w:val="00866965"/>
    <w:rsid w:val="008669FA"/>
    <w:rsid w:val="00866A61"/>
    <w:rsid w:val="00866B2B"/>
    <w:rsid w:val="00866B87"/>
    <w:rsid w:val="00866BAB"/>
    <w:rsid w:val="00866C70"/>
    <w:rsid w:val="00866CB4"/>
    <w:rsid w:val="00866D7A"/>
    <w:rsid w:val="00866E69"/>
    <w:rsid w:val="008670BF"/>
    <w:rsid w:val="008673BA"/>
    <w:rsid w:val="0086757C"/>
    <w:rsid w:val="0086769C"/>
    <w:rsid w:val="00867728"/>
    <w:rsid w:val="008678D9"/>
    <w:rsid w:val="008679F5"/>
    <w:rsid w:val="00867A08"/>
    <w:rsid w:val="00867D47"/>
    <w:rsid w:val="0087017C"/>
    <w:rsid w:val="00870200"/>
    <w:rsid w:val="00870274"/>
    <w:rsid w:val="008703E9"/>
    <w:rsid w:val="0087053C"/>
    <w:rsid w:val="0087056F"/>
    <w:rsid w:val="0087082E"/>
    <w:rsid w:val="008708A8"/>
    <w:rsid w:val="008708E5"/>
    <w:rsid w:val="008709BB"/>
    <w:rsid w:val="00870AE9"/>
    <w:rsid w:val="00870C70"/>
    <w:rsid w:val="00870D4D"/>
    <w:rsid w:val="00870D7D"/>
    <w:rsid w:val="00870F98"/>
    <w:rsid w:val="00871042"/>
    <w:rsid w:val="00871552"/>
    <w:rsid w:val="00871742"/>
    <w:rsid w:val="00871DBE"/>
    <w:rsid w:val="00871DD6"/>
    <w:rsid w:val="0087209C"/>
    <w:rsid w:val="00872123"/>
    <w:rsid w:val="0087234D"/>
    <w:rsid w:val="00872450"/>
    <w:rsid w:val="0087245D"/>
    <w:rsid w:val="008724D1"/>
    <w:rsid w:val="008725A5"/>
    <w:rsid w:val="0087275A"/>
    <w:rsid w:val="0087285E"/>
    <w:rsid w:val="00872A63"/>
    <w:rsid w:val="00872AF1"/>
    <w:rsid w:val="00872BC4"/>
    <w:rsid w:val="00872C5F"/>
    <w:rsid w:val="00872D89"/>
    <w:rsid w:val="00872E38"/>
    <w:rsid w:val="00872E4E"/>
    <w:rsid w:val="00872E99"/>
    <w:rsid w:val="00873288"/>
    <w:rsid w:val="008732AE"/>
    <w:rsid w:val="0087334D"/>
    <w:rsid w:val="008734CE"/>
    <w:rsid w:val="00873514"/>
    <w:rsid w:val="00873B1E"/>
    <w:rsid w:val="00873C11"/>
    <w:rsid w:val="00873D3D"/>
    <w:rsid w:val="00873DF3"/>
    <w:rsid w:val="00874023"/>
    <w:rsid w:val="00874093"/>
    <w:rsid w:val="008740B9"/>
    <w:rsid w:val="008741DA"/>
    <w:rsid w:val="0087423A"/>
    <w:rsid w:val="00874268"/>
    <w:rsid w:val="008742B3"/>
    <w:rsid w:val="00874300"/>
    <w:rsid w:val="00874307"/>
    <w:rsid w:val="00874887"/>
    <w:rsid w:val="00874B3E"/>
    <w:rsid w:val="00874CE6"/>
    <w:rsid w:val="00874D54"/>
    <w:rsid w:val="00874ECF"/>
    <w:rsid w:val="00874ED4"/>
    <w:rsid w:val="0087500F"/>
    <w:rsid w:val="00875023"/>
    <w:rsid w:val="008750C3"/>
    <w:rsid w:val="008750F5"/>
    <w:rsid w:val="008752C2"/>
    <w:rsid w:val="0087537B"/>
    <w:rsid w:val="008753D6"/>
    <w:rsid w:val="008753ED"/>
    <w:rsid w:val="00875613"/>
    <w:rsid w:val="008756D6"/>
    <w:rsid w:val="00875764"/>
    <w:rsid w:val="0087587A"/>
    <w:rsid w:val="008758B6"/>
    <w:rsid w:val="008758FB"/>
    <w:rsid w:val="00875A7A"/>
    <w:rsid w:val="00875AAA"/>
    <w:rsid w:val="00875BCF"/>
    <w:rsid w:val="00875C29"/>
    <w:rsid w:val="00875E23"/>
    <w:rsid w:val="00875E5B"/>
    <w:rsid w:val="00875E88"/>
    <w:rsid w:val="00875E91"/>
    <w:rsid w:val="00876016"/>
    <w:rsid w:val="00876269"/>
    <w:rsid w:val="00876491"/>
    <w:rsid w:val="008765CE"/>
    <w:rsid w:val="00876840"/>
    <w:rsid w:val="0087692A"/>
    <w:rsid w:val="00876A9E"/>
    <w:rsid w:val="00876AAF"/>
    <w:rsid w:val="00876B64"/>
    <w:rsid w:val="00876BFE"/>
    <w:rsid w:val="00876D61"/>
    <w:rsid w:val="00876E3E"/>
    <w:rsid w:val="00876EDB"/>
    <w:rsid w:val="00876F45"/>
    <w:rsid w:val="00876FC3"/>
    <w:rsid w:val="008773FB"/>
    <w:rsid w:val="00877535"/>
    <w:rsid w:val="0087759C"/>
    <w:rsid w:val="00877955"/>
    <w:rsid w:val="00877B1B"/>
    <w:rsid w:val="00877B8B"/>
    <w:rsid w:val="00877DBF"/>
    <w:rsid w:val="00877EB1"/>
    <w:rsid w:val="00877F6F"/>
    <w:rsid w:val="008800D4"/>
    <w:rsid w:val="00880339"/>
    <w:rsid w:val="00880428"/>
    <w:rsid w:val="008804B2"/>
    <w:rsid w:val="008804D4"/>
    <w:rsid w:val="008805A5"/>
    <w:rsid w:val="00880667"/>
    <w:rsid w:val="008808D8"/>
    <w:rsid w:val="00880924"/>
    <w:rsid w:val="00880AC5"/>
    <w:rsid w:val="00880CC9"/>
    <w:rsid w:val="0088100C"/>
    <w:rsid w:val="0088147E"/>
    <w:rsid w:val="008814CD"/>
    <w:rsid w:val="00881506"/>
    <w:rsid w:val="00881529"/>
    <w:rsid w:val="00881592"/>
    <w:rsid w:val="008818CB"/>
    <w:rsid w:val="008819B8"/>
    <w:rsid w:val="00881AB2"/>
    <w:rsid w:val="00881D4F"/>
    <w:rsid w:val="00881E4C"/>
    <w:rsid w:val="00882067"/>
    <w:rsid w:val="008820A7"/>
    <w:rsid w:val="008820E3"/>
    <w:rsid w:val="00882317"/>
    <w:rsid w:val="00882563"/>
    <w:rsid w:val="00882685"/>
    <w:rsid w:val="008826C0"/>
    <w:rsid w:val="008826C9"/>
    <w:rsid w:val="00882928"/>
    <w:rsid w:val="008829BA"/>
    <w:rsid w:val="00882A0E"/>
    <w:rsid w:val="00882A2C"/>
    <w:rsid w:val="00882B6B"/>
    <w:rsid w:val="00882BD0"/>
    <w:rsid w:val="00882D8C"/>
    <w:rsid w:val="008830A2"/>
    <w:rsid w:val="0088311A"/>
    <w:rsid w:val="00883249"/>
    <w:rsid w:val="00883346"/>
    <w:rsid w:val="0088340A"/>
    <w:rsid w:val="00883492"/>
    <w:rsid w:val="00883C79"/>
    <w:rsid w:val="00883D0E"/>
    <w:rsid w:val="00883D55"/>
    <w:rsid w:val="00884021"/>
    <w:rsid w:val="008840D0"/>
    <w:rsid w:val="00884632"/>
    <w:rsid w:val="00884636"/>
    <w:rsid w:val="0088465D"/>
    <w:rsid w:val="0088498A"/>
    <w:rsid w:val="00884B97"/>
    <w:rsid w:val="00884CA9"/>
    <w:rsid w:val="00884E03"/>
    <w:rsid w:val="00884E69"/>
    <w:rsid w:val="00884E82"/>
    <w:rsid w:val="0088517D"/>
    <w:rsid w:val="008853B9"/>
    <w:rsid w:val="0088542D"/>
    <w:rsid w:val="008854E2"/>
    <w:rsid w:val="00885539"/>
    <w:rsid w:val="0088579F"/>
    <w:rsid w:val="00885908"/>
    <w:rsid w:val="00885E8E"/>
    <w:rsid w:val="0088603A"/>
    <w:rsid w:val="008860E1"/>
    <w:rsid w:val="0088626E"/>
    <w:rsid w:val="00886320"/>
    <w:rsid w:val="008863AC"/>
    <w:rsid w:val="00886418"/>
    <w:rsid w:val="00886560"/>
    <w:rsid w:val="00886608"/>
    <w:rsid w:val="008867AE"/>
    <w:rsid w:val="008867EB"/>
    <w:rsid w:val="008868E0"/>
    <w:rsid w:val="00886AC1"/>
    <w:rsid w:val="00886B41"/>
    <w:rsid w:val="00886BA7"/>
    <w:rsid w:val="00886CD2"/>
    <w:rsid w:val="00886E2A"/>
    <w:rsid w:val="00886E8D"/>
    <w:rsid w:val="00886F23"/>
    <w:rsid w:val="00887045"/>
    <w:rsid w:val="008871C2"/>
    <w:rsid w:val="0088728B"/>
    <w:rsid w:val="0088730E"/>
    <w:rsid w:val="00887353"/>
    <w:rsid w:val="00887486"/>
    <w:rsid w:val="00887579"/>
    <w:rsid w:val="008875A1"/>
    <w:rsid w:val="0088776C"/>
    <w:rsid w:val="00887775"/>
    <w:rsid w:val="0088781E"/>
    <w:rsid w:val="00887868"/>
    <w:rsid w:val="0088795B"/>
    <w:rsid w:val="00887991"/>
    <w:rsid w:val="00887A8E"/>
    <w:rsid w:val="00887AE8"/>
    <w:rsid w:val="00887D0F"/>
    <w:rsid w:val="00887D20"/>
    <w:rsid w:val="00890066"/>
    <w:rsid w:val="0089011B"/>
    <w:rsid w:val="008901FB"/>
    <w:rsid w:val="00890222"/>
    <w:rsid w:val="008902B3"/>
    <w:rsid w:val="00890354"/>
    <w:rsid w:val="0089048F"/>
    <w:rsid w:val="008905F4"/>
    <w:rsid w:val="008907EA"/>
    <w:rsid w:val="00890B5F"/>
    <w:rsid w:val="00890B64"/>
    <w:rsid w:val="00890CAC"/>
    <w:rsid w:val="00890D8F"/>
    <w:rsid w:val="00890E13"/>
    <w:rsid w:val="00890E2A"/>
    <w:rsid w:val="00890F51"/>
    <w:rsid w:val="00890FB2"/>
    <w:rsid w:val="0089105B"/>
    <w:rsid w:val="00891171"/>
    <w:rsid w:val="00891855"/>
    <w:rsid w:val="0089185C"/>
    <w:rsid w:val="00891BC6"/>
    <w:rsid w:val="00891D17"/>
    <w:rsid w:val="00891D1E"/>
    <w:rsid w:val="00891DD0"/>
    <w:rsid w:val="00891E16"/>
    <w:rsid w:val="00891E71"/>
    <w:rsid w:val="00892102"/>
    <w:rsid w:val="00892242"/>
    <w:rsid w:val="008923D8"/>
    <w:rsid w:val="008924FC"/>
    <w:rsid w:val="0089260A"/>
    <w:rsid w:val="00892704"/>
    <w:rsid w:val="008927FE"/>
    <w:rsid w:val="0089284C"/>
    <w:rsid w:val="008928B8"/>
    <w:rsid w:val="0089297B"/>
    <w:rsid w:val="00892B39"/>
    <w:rsid w:val="00892CA2"/>
    <w:rsid w:val="00892D18"/>
    <w:rsid w:val="00892D35"/>
    <w:rsid w:val="00892F5C"/>
    <w:rsid w:val="008931E1"/>
    <w:rsid w:val="00893410"/>
    <w:rsid w:val="00893510"/>
    <w:rsid w:val="00893524"/>
    <w:rsid w:val="0089353F"/>
    <w:rsid w:val="00893606"/>
    <w:rsid w:val="00893A78"/>
    <w:rsid w:val="00893AB3"/>
    <w:rsid w:val="00893BBE"/>
    <w:rsid w:val="00893C3A"/>
    <w:rsid w:val="00893CA8"/>
    <w:rsid w:val="00893D08"/>
    <w:rsid w:val="00893E50"/>
    <w:rsid w:val="00893E9E"/>
    <w:rsid w:val="00893FAC"/>
    <w:rsid w:val="00894049"/>
    <w:rsid w:val="00894061"/>
    <w:rsid w:val="00894100"/>
    <w:rsid w:val="00894117"/>
    <w:rsid w:val="008943EF"/>
    <w:rsid w:val="008944AD"/>
    <w:rsid w:val="00894655"/>
    <w:rsid w:val="008948FD"/>
    <w:rsid w:val="00894CE9"/>
    <w:rsid w:val="00894E9D"/>
    <w:rsid w:val="00894FAC"/>
    <w:rsid w:val="00894FBF"/>
    <w:rsid w:val="00894FFA"/>
    <w:rsid w:val="008952AF"/>
    <w:rsid w:val="00895630"/>
    <w:rsid w:val="00895687"/>
    <w:rsid w:val="0089575F"/>
    <w:rsid w:val="008957C3"/>
    <w:rsid w:val="00895882"/>
    <w:rsid w:val="008958E4"/>
    <w:rsid w:val="008959AA"/>
    <w:rsid w:val="008959F3"/>
    <w:rsid w:val="00895A59"/>
    <w:rsid w:val="00895BB3"/>
    <w:rsid w:val="00895BB6"/>
    <w:rsid w:val="00895BBA"/>
    <w:rsid w:val="00895BE2"/>
    <w:rsid w:val="00895CB8"/>
    <w:rsid w:val="00895E84"/>
    <w:rsid w:val="00895FE7"/>
    <w:rsid w:val="00896090"/>
    <w:rsid w:val="0089616E"/>
    <w:rsid w:val="00896221"/>
    <w:rsid w:val="008962C6"/>
    <w:rsid w:val="0089658C"/>
    <w:rsid w:val="008965D1"/>
    <w:rsid w:val="00896851"/>
    <w:rsid w:val="00896B17"/>
    <w:rsid w:val="00896C1F"/>
    <w:rsid w:val="00896C29"/>
    <w:rsid w:val="00896C54"/>
    <w:rsid w:val="00896D15"/>
    <w:rsid w:val="00896D67"/>
    <w:rsid w:val="00896D91"/>
    <w:rsid w:val="00896DC4"/>
    <w:rsid w:val="00896ED3"/>
    <w:rsid w:val="00896F26"/>
    <w:rsid w:val="00896F90"/>
    <w:rsid w:val="008971B6"/>
    <w:rsid w:val="00897364"/>
    <w:rsid w:val="0089741F"/>
    <w:rsid w:val="008976E8"/>
    <w:rsid w:val="00897837"/>
    <w:rsid w:val="008979A3"/>
    <w:rsid w:val="00897A70"/>
    <w:rsid w:val="00897B12"/>
    <w:rsid w:val="00897C08"/>
    <w:rsid w:val="00897CCA"/>
    <w:rsid w:val="00897EF6"/>
    <w:rsid w:val="0089A2C6"/>
    <w:rsid w:val="008A015A"/>
    <w:rsid w:val="008A02EE"/>
    <w:rsid w:val="008A038A"/>
    <w:rsid w:val="008A04A9"/>
    <w:rsid w:val="008A060C"/>
    <w:rsid w:val="008A0678"/>
    <w:rsid w:val="008A0694"/>
    <w:rsid w:val="008A06CE"/>
    <w:rsid w:val="008A0952"/>
    <w:rsid w:val="008A0B56"/>
    <w:rsid w:val="008A0D08"/>
    <w:rsid w:val="008A0E83"/>
    <w:rsid w:val="008A0ECE"/>
    <w:rsid w:val="008A0EDC"/>
    <w:rsid w:val="008A1214"/>
    <w:rsid w:val="008A13AB"/>
    <w:rsid w:val="008A1403"/>
    <w:rsid w:val="008A1615"/>
    <w:rsid w:val="008A182D"/>
    <w:rsid w:val="008A1867"/>
    <w:rsid w:val="008A1A0F"/>
    <w:rsid w:val="008A1C01"/>
    <w:rsid w:val="008A1CBA"/>
    <w:rsid w:val="008A1FE5"/>
    <w:rsid w:val="008A21F7"/>
    <w:rsid w:val="008A2236"/>
    <w:rsid w:val="008A236E"/>
    <w:rsid w:val="008A244F"/>
    <w:rsid w:val="008A2522"/>
    <w:rsid w:val="008A2B8B"/>
    <w:rsid w:val="008A2E34"/>
    <w:rsid w:val="008A2E52"/>
    <w:rsid w:val="008A2FED"/>
    <w:rsid w:val="008A31A6"/>
    <w:rsid w:val="008A322B"/>
    <w:rsid w:val="008A349C"/>
    <w:rsid w:val="008A35BC"/>
    <w:rsid w:val="008A36F0"/>
    <w:rsid w:val="008A374C"/>
    <w:rsid w:val="008A3869"/>
    <w:rsid w:val="008A3890"/>
    <w:rsid w:val="008A38C9"/>
    <w:rsid w:val="008A39AF"/>
    <w:rsid w:val="008A3A09"/>
    <w:rsid w:val="008A3C77"/>
    <w:rsid w:val="008A3E04"/>
    <w:rsid w:val="008A3E8D"/>
    <w:rsid w:val="008A3F68"/>
    <w:rsid w:val="008A3FE6"/>
    <w:rsid w:val="008A4106"/>
    <w:rsid w:val="008A417B"/>
    <w:rsid w:val="008A42C3"/>
    <w:rsid w:val="008A42CC"/>
    <w:rsid w:val="008A43B9"/>
    <w:rsid w:val="008A4410"/>
    <w:rsid w:val="008A4419"/>
    <w:rsid w:val="008A446F"/>
    <w:rsid w:val="008A45F2"/>
    <w:rsid w:val="008A46F9"/>
    <w:rsid w:val="008A496E"/>
    <w:rsid w:val="008A4A88"/>
    <w:rsid w:val="008A4B34"/>
    <w:rsid w:val="008A4C06"/>
    <w:rsid w:val="008A4CA0"/>
    <w:rsid w:val="008A4E97"/>
    <w:rsid w:val="008A4F13"/>
    <w:rsid w:val="008A5048"/>
    <w:rsid w:val="008A5067"/>
    <w:rsid w:val="008A50C8"/>
    <w:rsid w:val="008A531E"/>
    <w:rsid w:val="008A5497"/>
    <w:rsid w:val="008A59A4"/>
    <w:rsid w:val="008A5AE8"/>
    <w:rsid w:val="008A5DC4"/>
    <w:rsid w:val="008A5ED2"/>
    <w:rsid w:val="008A5F6C"/>
    <w:rsid w:val="008A60D1"/>
    <w:rsid w:val="008A61D9"/>
    <w:rsid w:val="008A6212"/>
    <w:rsid w:val="008A651A"/>
    <w:rsid w:val="008A657A"/>
    <w:rsid w:val="008A6676"/>
    <w:rsid w:val="008A6723"/>
    <w:rsid w:val="008A6858"/>
    <w:rsid w:val="008A688E"/>
    <w:rsid w:val="008A69B7"/>
    <w:rsid w:val="008A6B8D"/>
    <w:rsid w:val="008A6C33"/>
    <w:rsid w:val="008A6CD8"/>
    <w:rsid w:val="008A71F9"/>
    <w:rsid w:val="008A741E"/>
    <w:rsid w:val="008A785E"/>
    <w:rsid w:val="008A7D0A"/>
    <w:rsid w:val="008A7F0F"/>
    <w:rsid w:val="008A7F32"/>
    <w:rsid w:val="008B003F"/>
    <w:rsid w:val="008B0054"/>
    <w:rsid w:val="008B01E9"/>
    <w:rsid w:val="008B045D"/>
    <w:rsid w:val="008B04C3"/>
    <w:rsid w:val="008B0566"/>
    <w:rsid w:val="008B0709"/>
    <w:rsid w:val="008B0864"/>
    <w:rsid w:val="008B0A1D"/>
    <w:rsid w:val="008B0AC2"/>
    <w:rsid w:val="008B0E88"/>
    <w:rsid w:val="008B0E8F"/>
    <w:rsid w:val="008B0F24"/>
    <w:rsid w:val="008B129F"/>
    <w:rsid w:val="008B12FA"/>
    <w:rsid w:val="008B1353"/>
    <w:rsid w:val="008B1386"/>
    <w:rsid w:val="008B13AC"/>
    <w:rsid w:val="008B13FA"/>
    <w:rsid w:val="008B1472"/>
    <w:rsid w:val="008B149B"/>
    <w:rsid w:val="008B178C"/>
    <w:rsid w:val="008B17F3"/>
    <w:rsid w:val="008B1984"/>
    <w:rsid w:val="008B19D6"/>
    <w:rsid w:val="008B1A0B"/>
    <w:rsid w:val="008B1CF2"/>
    <w:rsid w:val="008B1D5D"/>
    <w:rsid w:val="008B1F6B"/>
    <w:rsid w:val="008B1F88"/>
    <w:rsid w:val="008B2168"/>
    <w:rsid w:val="008B2336"/>
    <w:rsid w:val="008B2891"/>
    <w:rsid w:val="008B2A0B"/>
    <w:rsid w:val="008B2A4F"/>
    <w:rsid w:val="008B2D72"/>
    <w:rsid w:val="008B2E49"/>
    <w:rsid w:val="008B2E8E"/>
    <w:rsid w:val="008B3038"/>
    <w:rsid w:val="008B31B9"/>
    <w:rsid w:val="008B331C"/>
    <w:rsid w:val="008B33EF"/>
    <w:rsid w:val="008B3642"/>
    <w:rsid w:val="008B380E"/>
    <w:rsid w:val="008B38BF"/>
    <w:rsid w:val="008B39C3"/>
    <w:rsid w:val="008B3AFE"/>
    <w:rsid w:val="008B3DB7"/>
    <w:rsid w:val="008B3E6B"/>
    <w:rsid w:val="008B4093"/>
    <w:rsid w:val="008B412A"/>
    <w:rsid w:val="008B415A"/>
    <w:rsid w:val="008B4302"/>
    <w:rsid w:val="008B45A5"/>
    <w:rsid w:val="008B464D"/>
    <w:rsid w:val="008B4966"/>
    <w:rsid w:val="008B4A14"/>
    <w:rsid w:val="008B4CC6"/>
    <w:rsid w:val="008B4CE1"/>
    <w:rsid w:val="008B5074"/>
    <w:rsid w:val="008B514E"/>
    <w:rsid w:val="008B54C0"/>
    <w:rsid w:val="008B54E7"/>
    <w:rsid w:val="008B5571"/>
    <w:rsid w:val="008B5731"/>
    <w:rsid w:val="008B59D1"/>
    <w:rsid w:val="008B5AB8"/>
    <w:rsid w:val="008B5D92"/>
    <w:rsid w:val="008B5EDD"/>
    <w:rsid w:val="008B66EA"/>
    <w:rsid w:val="008B676C"/>
    <w:rsid w:val="008B6771"/>
    <w:rsid w:val="008B678D"/>
    <w:rsid w:val="008B699E"/>
    <w:rsid w:val="008B6B45"/>
    <w:rsid w:val="008B6B89"/>
    <w:rsid w:val="008B6BCF"/>
    <w:rsid w:val="008B6DC2"/>
    <w:rsid w:val="008B6F8C"/>
    <w:rsid w:val="008B707B"/>
    <w:rsid w:val="008B71A4"/>
    <w:rsid w:val="008B7211"/>
    <w:rsid w:val="008B733B"/>
    <w:rsid w:val="008B7442"/>
    <w:rsid w:val="008B74A9"/>
    <w:rsid w:val="008B74E1"/>
    <w:rsid w:val="008B772A"/>
    <w:rsid w:val="008B77FD"/>
    <w:rsid w:val="008B7959"/>
    <w:rsid w:val="008B7A00"/>
    <w:rsid w:val="008B7A1E"/>
    <w:rsid w:val="008B7AC6"/>
    <w:rsid w:val="008B7C82"/>
    <w:rsid w:val="008C0285"/>
    <w:rsid w:val="008C0920"/>
    <w:rsid w:val="008C09AA"/>
    <w:rsid w:val="008C0A02"/>
    <w:rsid w:val="008C0B9D"/>
    <w:rsid w:val="008C0B9F"/>
    <w:rsid w:val="008C0C30"/>
    <w:rsid w:val="008C0D8B"/>
    <w:rsid w:val="008C0E05"/>
    <w:rsid w:val="008C0F3C"/>
    <w:rsid w:val="008C0F9F"/>
    <w:rsid w:val="008C1683"/>
    <w:rsid w:val="008C17EA"/>
    <w:rsid w:val="008C17FE"/>
    <w:rsid w:val="008C180A"/>
    <w:rsid w:val="008C199A"/>
    <w:rsid w:val="008C1EFD"/>
    <w:rsid w:val="008C1F88"/>
    <w:rsid w:val="008C2332"/>
    <w:rsid w:val="008C248E"/>
    <w:rsid w:val="008C257B"/>
    <w:rsid w:val="008C26AE"/>
    <w:rsid w:val="008C27E7"/>
    <w:rsid w:val="008C2896"/>
    <w:rsid w:val="008C2BD1"/>
    <w:rsid w:val="008C2DC3"/>
    <w:rsid w:val="008C2E2A"/>
    <w:rsid w:val="008C2E36"/>
    <w:rsid w:val="008C2E41"/>
    <w:rsid w:val="008C30A0"/>
    <w:rsid w:val="008C31E1"/>
    <w:rsid w:val="008C336D"/>
    <w:rsid w:val="008C3481"/>
    <w:rsid w:val="008C35BC"/>
    <w:rsid w:val="008C39CE"/>
    <w:rsid w:val="008C3A64"/>
    <w:rsid w:val="008C3AB1"/>
    <w:rsid w:val="008C3B72"/>
    <w:rsid w:val="008C3D10"/>
    <w:rsid w:val="008C3D1B"/>
    <w:rsid w:val="008C3E58"/>
    <w:rsid w:val="008C3EC0"/>
    <w:rsid w:val="008C4103"/>
    <w:rsid w:val="008C428A"/>
    <w:rsid w:val="008C44E5"/>
    <w:rsid w:val="008C45FB"/>
    <w:rsid w:val="008C467F"/>
    <w:rsid w:val="008C4867"/>
    <w:rsid w:val="008C4A2E"/>
    <w:rsid w:val="008C4AB8"/>
    <w:rsid w:val="008C4DFA"/>
    <w:rsid w:val="008C4E7E"/>
    <w:rsid w:val="008C4F1D"/>
    <w:rsid w:val="008C4FCF"/>
    <w:rsid w:val="008C5193"/>
    <w:rsid w:val="008C5279"/>
    <w:rsid w:val="008C52F1"/>
    <w:rsid w:val="008C53FA"/>
    <w:rsid w:val="008C54FA"/>
    <w:rsid w:val="008C56D4"/>
    <w:rsid w:val="008C579E"/>
    <w:rsid w:val="008C58FA"/>
    <w:rsid w:val="008C5ADD"/>
    <w:rsid w:val="008C5C40"/>
    <w:rsid w:val="008C5C48"/>
    <w:rsid w:val="008C5D8B"/>
    <w:rsid w:val="008C614B"/>
    <w:rsid w:val="008C6187"/>
    <w:rsid w:val="008C621E"/>
    <w:rsid w:val="008C62F3"/>
    <w:rsid w:val="008C6318"/>
    <w:rsid w:val="008C63BB"/>
    <w:rsid w:val="008C6658"/>
    <w:rsid w:val="008C66EF"/>
    <w:rsid w:val="008C673E"/>
    <w:rsid w:val="008C690F"/>
    <w:rsid w:val="008C6947"/>
    <w:rsid w:val="008C69E6"/>
    <w:rsid w:val="008C6BC5"/>
    <w:rsid w:val="008C6BC6"/>
    <w:rsid w:val="008C6C0A"/>
    <w:rsid w:val="008C6C1A"/>
    <w:rsid w:val="008C6D7E"/>
    <w:rsid w:val="008C6F32"/>
    <w:rsid w:val="008C7113"/>
    <w:rsid w:val="008C71F5"/>
    <w:rsid w:val="008C732C"/>
    <w:rsid w:val="008C7357"/>
    <w:rsid w:val="008C74B0"/>
    <w:rsid w:val="008C75BA"/>
    <w:rsid w:val="008C75E2"/>
    <w:rsid w:val="008C7674"/>
    <w:rsid w:val="008C7770"/>
    <w:rsid w:val="008C7A8D"/>
    <w:rsid w:val="008C7B9F"/>
    <w:rsid w:val="008C7D45"/>
    <w:rsid w:val="008C7E0E"/>
    <w:rsid w:val="008C97CA"/>
    <w:rsid w:val="008D01C7"/>
    <w:rsid w:val="008D01F6"/>
    <w:rsid w:val="008D0274"/>
    <w:rsid w:val="008D044B"/>
    <w:rsid w:val="008D055B"/>
    <w:rsid w:val="008D057D"/>
    <w:rsid w:val="008D05E8"/>
    <w:rsid w:val="008D06EA"/>
    <w:rsid w:val="008D06FF"/>
    <w:rsid w:val="008D07AC"/>
    <w:rsid w:val="008D0839"/>
    <w:rsid w:val="008D0849"/>
    <w:rsid w:val="008D0929"/>
    <w:rsid w:val="008D0B90"/>
    <w:rsid w:val="008D0D7F"/>
    <w:rsid w:val="008D0E4F"/>
    <w:rsid w:val="008D0EE7"/>
    <w:rsid w:val="008D0FCD"/>
    <w:rsid w:val="008D1278"/>
    <w:rsid w:val="008D16C6"/>
    <w:rsid w:val="008D17D6"/>
    <w:rsid w:val="008D180C"/>
    <w:rsid w:val="008D18A6"/>
    <w:rsid w:val="008D1958"/>
    <w:rsid w:val="008D1BD3"/>
    <w:rsid w:val="008D1C06"/>
    <w:rsid w:val="008D1C4B"/>
    <w:rsid w:val="008D1C6D"/>
    <w:rsid w:val="008D1D06"/>
    <w:rsid w:val="008D1DF0"/>
    <w:rsid w:val="008D1E7C"/>
    <w:rsid w:val="008D2107"/>
    <w:rsid w:val="008D2522"/>
    <w:rsid w:val="008D254D"/>
    <w:rsid w:val="008D2728"/>
    <w:rsid w:val="008D2763"/>
    <w:rsid w:val="008D2B55"/>
    <w:rsid w:val="008D2B6A"/>
    <w:rsid w:val="008D2E01"/>
    <w:rsid w:val="008D2E6E"/>
    <w:rsid w:val="008D2EAF"/>
    <w:rsid w:val="008D317C"/>
    <w:rsid w:val="008D324D"/>
    <w:rsid w:val="008D3412"/>
    <w:rsid w:val="008D3434"/>
    <w:rsid w:val="008D375A"/>
    <w:rsid w:val="008D37AD"/>
    <w:rsid w:val="008D3854"/>
    <w:rsid w:val="008D3AA7"/>
    <w:rsid w:val="008D3B9E"/>
    <w:rsid w:val="008D3BDF"/>
    <w:rsid w:val="008D3C75"/>
    <w:rsid w:val="008D3CB0"/>
    <w:rsid w:val="008D3D2C"/>
    <w:rsid w:val="008D3E3A"/>
    <w:rsid w:val="008D3F72"/>
    <w:rsid w:val="008D4002"/>
    <w:rsid w:val="008D4186"/>
    <w:rsid w:val="008D41A4"/>
    <w:rsid w:val="008D43E6"/>
    <w:rsid w:val="008D4425"/>
    <w:rsid w:val="008D447C"/>
    <w:rsid w:val="008D45FD"/>
    <w:rsid w:val="008D4604"/>
    <w:rsid w:val="008D4B0E"/>
    <w:rsid w:val="008D4B69"/>
    <w:rsid w:val="008D4D19"/>
    <w:rsid w:val="008D4D8F"/>
    <w:rsid w:val="008D4E6A"/>
    <w:rsid w:val="008D50A1"/>
    <w:rsid w:val="008D516E"/>
    <w:rsid w:val="008D51A9"/>
    <w:rsid w:val="008D52DC"/>
    <w:rsid w:val="008D54EA"/>
    <w:rsid w:val="008D557D"/>
    <w:rsid w:val="008D5643"/>
    <w:rsid w:val="008D592C"/>
    <w:rsid w:val="008D593E"/>
    <w:rsid w:val="008D5D19"/>
    <w:rsid w:val="008D6138"/>
    <w:rsid w:val="008D6333"/>
    <w:rsid w:val="008D63A6"/>
    <w:rsid w:val="008D65CF"/>
    <w:rsid w:val="008D667E"/>
    <w:rsid w:val="008D66BE"/>
    <w:rsid w:val="008D6702"/>
    <w:rsid w:val="008D67C8"/>
    <w:rsid w:val="008D689E"/>
    <w:rsid w:val="008D6B47"/>
    <w:rsid w:val="008D6BAE"/>
    <w:rsid w:val="008D6C01"/>
    <w:rsid w:val="008D6C42"/>
    <w:rsid w:val="008D6F3F"/>
    <w:rsid w:val="008D6F63"/>
    <w:rsid w:val="008D74DC"/>
    <w:rsid w:val="008D75E5"/>
    <w:rsid w:val="008D7677"/>
    <w:rsid w:val="008D7990"/>
    <w:rsid w:val="008D7A1A"/>
    <w:rsid w:val="008D7A88"/>
    <w:rsid w:val="008D7AC0"/>
    <w:rsid w:val="008D7B08"/>
    <w:rsid w:val="008D7B89"/>
    <w:rsid w:val="008D7EF5"/>
    <w:rsid w:val="008E011C"/>
    <w:rsid w:val="008E019F"/>
    <w:rsid w:val="008E04C8"/>
    <w:rsid w:val="008E07E0"/>
    <w:rsid w:val="008E0826"/>
    <w:rsid w:val="008E0859"/>
    <w:rsid w:val="008E0989"/>
    <w:rsid w:val="008E09AB"/>
    <w:rsid w:val="008E0A06"/>
    <w:rsid w:val="008E0A96"/>
    <w:rsid w:val="008E0D47"/>
    <w:rsid w:val="008E0D5E"/>
    <w:rsid w:val="008E0D73"/>
    <w:rsid w:val="008E0EBB"/>
    <w:rsid w:val="008E0FE3"/>
    <w:rsid w:val="008E102D"/>
    <w:rsid w:val="008E10B1"/>
    <w:rsid w:val="008E10D7"/>
    <w:rsid w:val="008E137A"/>
    <w:rsid w:val="008E1442"/>
    <w:rsid w:val="008E152B"/>
    <w:rsid w:val="008E1660"/>
    <w:rsid w:val="008E184F"/>
    <w:rsid w:val="008E18FC"/>
    <w:rsid w:val="008E194F"/>
    <w:rsid w:val="008E1AF0"/>
    <w:rsid w:val="008E1B46"/>
    <w:rsid w:val="008E1CE1"/>
    <w:rsid w:val="008E1E6B"/>
    <w:rsid w:val="008E20FF"/>
    <w:rsid w:val="008E2151"/>
    <w:rsid w:val="008E21A5"/>
    <w:rsid w:val="008E21FB"/>
    <w:rsid w:val="008E2282"/>
    <w:rsid w:val="008E23DF"/>
    <w:rsid w:val="008E267C"/>
    <w:rsid w:val="008E2904"/>
    <w:rsid w:val="008E2935"/>
    <w:rsid w:val="008E2BFD"/>
    <w:rsid w:val="008E2CD1"/>
    <w:rsid w:val="008E2D5F"/>
    <w:rsid w:val="008E2DE3"/>
    <w:rsid w:val="008E2E09"/>
    <w:rsid w:val="008E2FE1"/>
    <w:rsid w:val="008E3208"/>
    <w:rsid w:val="008E337F"/>
    <w:rsid w:val="008E33B4"/>
    <w:rsid w:val="008E3881"/>
    <w:rsid w:val="008E399C"/>
    <w:rsid w:val="008E3A17"/>
    <w:rsid w:val="008E3A43"/>
    <w:rsid w:val="008E3BB8"/>
    <w:rsid w:val="008E3D32"/>
    <w:rsid w:val="008E3D8C"/>
    <w:rsid w:val="008E3E51"/>
    <w:rsid w:val="008E4087"/>
    <w:rsid w:val="008E4134"/>
    <w:rsid w:val="008E415A"/>
    <w:rsid w:val="008E425B"/>
    <w:rsid w:val="008E42C2"/>
    <w:rsid w:val="008E45F6"/>
    <w:rsid w:val="008E46C1"/>
    <w:rsid w:val="008E48D1"/>
    <w:rsid w:val="008E4931"/>
    <w:rsid w:val="008E4A20"/>
    <w:rsid w:val="008E4A26"/>
    <w:rsid w:val="008E4D48"/>
    <w:rsid w:val="008E4E09"/>
    <w:rsid w:val="008E4FE7"/>
    <w:rsid w:val="008E5187"/>
    <w:rsid w:val="008E5463"/>
    <w:rsid w:val="008E547B"/>
    <w:rsid w:val="008E5519"/>
    <w:rsid w:val="008E5A82"/>
    <w:rsid w:val="008E5BBC"/>
    <w:rsid w:val="008E5E91"/>
    <w:rsid w:val="008E6282"/>
    <w:rsid w:val="008E634B"/>
    <w:rsid w:val="008E635A"/>
    <w:rsid w:val="008E6610"/>
    <w:rsid w:val="008E6624"/>
    <w:rsid w:val="008E6690"/>
    <w:rsid w:val="008E67D3"/>
    <w:rsid w:val="008E68BF"/>
    <w:rsid w:val="008E6C42"/>
    <w:rsid w:val="008E6C7B"/>
    <w:rsid w:val="008E6DC2"/>
    <w:rsid w:val="008E6F52"/>
    <w:rsid w:val="008E7014"/>
    <w:rsid w:val="008E70F3"/>
    <w:rsid w:val="008E7145"/>
    <w:rsid w:val="008E72D3"/>
    <w:rsid w:val="008E731B"/>
    <w:rsid w:val="008E75CA"/>
    <w:rsid w:val="008E76E9"/>
    <w:rsid w:val="008E781C"/>
    <w:rsid w:val="008E787D"/>
    <w:rsid w:val="008E7953"/>
    <w:rsid w:val="008E7A8E"/>
    <w:rsid w:val="008E7C65"/>
    <w:rsid w:val="008E7C9A"/>
    <w:rsid w:val="008E7DB3"/>
    <w:rsid w:val="008F010C"/>
    <w:rsid w:val="008F016C"/>
    <w:rsid w:val="008F01DA"/>
    <w:rsid w:val="008F02CC"/>
    <w:rsid w:val="008F0677"/>
    <w:rsid w:val="008F097E"/>
    <w:rsid w:val="008F0A69"/>
    <w:rsid w:val="008F0C15"/>
    <w:rsid w:val="008F0CA2"/>
    <w:rsid w:val="008F0EEC"/>
    <w:rsid w:val="008F10EF"/>
    <w:rsid w:val="008F1109"/>
    <w:rsid w:val="008F171B"/>
    <w:rsid w:val="008F1822"/>
    <w:rsid w:val="008F18FE"/>
    <w:rsid w:val="008F1A8C"/>
    <w:rsid w:val="008F1C23"/>
    <w:rsid w:val="008F1CA8"/>
    <w:rsid w:val="008F1D12"/>
    <w:rsid w:val="008F206A"/>
    <w:rsid w:val="008F212A"/>
    <w:rsid w:val="008F217B"/>
    <w:rsid w:val="008F228C"/>
    <w:rsid w:val="008F2293"/>
    <w:rsid w:val="008F233F"/>
    <w:rsid w:val="008F2437"/>
    <w:rsid w:val="008F2618"/>
    <w:rsid w:val="008F274B"/>
    <w:rsid w:val="008F2A5B"/>
    <w:rsid w:val="008F2ACD"/>
    <w:rsid w:val="008F2C38"/>
    <w:rsid w:val="008F2D8F"/>
    <w:rsid w:val="008F2E90"/>
    <w:rsid w:val="008F2FCA"/>
    <w:rsid w:val="008F3012"/>
    <w:rsid w:val="008F348F"/>
    <w:rsid w:val="008F3586"/>
    <w:rsid w:val="008F35BF"/>
    <w:rsid w:val="008F3696"/>
    <w:rsid w:val="008F37C7"/>
    <w:rsid w:val="008F3889"/>
    <w:rsid w:val="008F389F"/>
    <w:rsid w:val="008F394B"/>
    <w:rsid w:val="008F3A4F"/>
    <w:rsid w:val="008F3A53"/>
    <w:rsid w:val="008F3D19"/>
    <w:rsid w:val="008F3F1D"/>
    <w:rsid w:val="008F3F57"/>
    <w:rsid w:val="008F4073"/>
    <w:rsid w:val="008F41CE"/>
    <w:rsid w:val="008F4302"/>
    <w:rsid w:val="008F4304"/>
    <w:rsid w:val="008F46B5"/>
    <w:rsid w:val="008F4795"/>
    <w:rsid w:val="008F4803"/>
    <w:rsid w:val="008F4C40"/>
    <w:rsid w:val="008F4C56"/>
    <w:rsid w:val="008F4EF6"/>
    <w:rsid w:val="008F5115"/>
    <w:rsid w:val="008F5326"/>
    <w:rsid w:val="008F555E"/>
    <w:rsid w:val="008F56D1"/>
    <w:rsid w:val="008F5B3A"/>
    <w:rsid w:val="008F5B51"/>
    <w:rsid w:val="008F5CF5"/>
    <w:rsid w:val="008F5E54"/>
    <w:rsid w:val="008F5FE6"/>
    <w:rsid w:val="008F6468"/>
    <w:rsid w:val="008F64B1"/>
    <w:rsid w:val="008F65AF"/>
    <w:rsid w:val="008F684E"/>
    <w:rsid w:val="008F698B"/>
    <w:rsid w:val="008F6BA0"/>
    <w:rsid w:val="008F6C6E"/>
    <w:rsid w:val="008F6C88"/>
    <w:rsid w:val="008F6DA0"/>
    <w:rsid w:val="008F6F38"/>
    <w:rsid w:val="008F7176"/>
    <w:rsid w:val="008F71DE"/>
    <w:rsid w:val="008F72C4"/>
    <w:rsid w:val="008F72DF"/>
    <w:rsid w:val="008F73A0"/>
    <w:rsid w:val="008F73BC"/>
    <w:rsid w:val="008F7517"/>
    <w:rsid w:val="008F756B"/>
    <w:rsid w:val="008F75AB"/>
    <w:rsid w:val="008F7815"/>
    <w:rsid w:val="008F78D3"/>
    <w:rsid w:val="008F79B9"/>
    <w:rsid w:val="008F7A92"/>
    <w:rsid w:val="008F7AD4"/>
    <w:rsid w:val="008F7BB4"/>
    <w:rsid w:val="008F7C9D"/>
    <w:rsid w:val="008F7D7E"/>
    <w:rsid w:val="008F7DAF"/>
    <w:rsid w:val="008F7E89"/>
    <w:rsid w:val="008F7EDE"/>
    <w:rsid w:val="008FE6CF"/>
    <w:rsid w:val="00900072"/>
    <w:rsid w:val="0090017D"/>
    <w:rsid w:val="00900212"/>
    <w:rsid w:val="00900235"/>
    <w:rsid w:val="009002D9"/>
    <w:rsid w:val="00900417"/>
    <w:rsid w:val="0090063C"/>
    <w:rsid w:val="009006B4"/>
    <w:rsid w:val="009006E0"/>
    <w:rsid w:val="009007AA"/>
    <w:rsid w:val="009008F5"/>
    <w:rsid w:val="00900909"/>
    <w:rsid w:val="00900926"/>
    <w:rsid w:val="00900A67"/>
    <w:rsid w:val="00900C44"/>
    <w:rsid w:val="00900E03"/>
    <w:rsid w:val="00900E04"/>
    <w:rsid w:val="00900F2C"/>
    <w:rsid w:val="00901321"/>
    <w:rsid w:val="00901333"/>
    <w:rsid w:val="0090139F"/>
    <w:rsid w:val="0090149C"/>
    <w:rsid w:val="009015EC"/>
    <w:rsid w:val="0090161E"/>
    <w:rsid w:val="009016AD"/>
    <w:rsid w:val="009018F9"/>
    <w:rsid w:val="00901AE7"/>
    <w:rsid w:val="00901B55"/>
    <w:rsid w:val="00901C22"/>
    <w:rsid w:val="00901DCC"/>
    <w:rsid w:val="00901E6A"/>
    <w:rsid w:val="00901F7E"/>
    <w:rsid w:val="00902196"/>
    <w:rsid w:val="009021FF"/>
    <w:rsid w:val="00902248"/>
    <w:rsid w:val="009022DC"/>
    <w:rsid w:val="0090241B"/>
    <w:rsid w:val="00902489"/>
    <w:rsid w:val="009024BD"/>
    <w:rsid w:val="00902588"/>
    <w:rsid w:val="009026F6"/>
    <w:rsid w:val="009027C3"/>
    <w:rsid w:val="00902807"/>
    <w:rsid w:val="00902A05"/>
    <w:rsid w:val="00902B1F"/>
    <w:rsid w:val="00902B65"/>
    <w:rsid w:val="00902B99"/>
    <w:rsid w:val="00902BA8"/>
    <w:rsid w:val="00902CF3"/>
    <w:rsid w:val="00902D98"/>
    <w:rsid w:val="00902E12"/>
    <w:rsid w:val="00902E1F"/>
    <w:rsid w:val="00902E4D"/>
    <w:rsid w:val="00902FF9"/>
    <w:rsid w:val="00902FFC"/>
    <w:rsid w:val="00903039"/>
    <w:rsid w:val="009030A7"/>
    <w:rsid w:val="00903179"/>
    <w:rsid w:val="00903240"/>
    <w:rsid w:val="00903338"/>
    <w:rsid w:val="00903373"/>
    <w:rsid w:val="009033F1"/>
    <w:rsid w:val="00903403"/>
    <w:rsid w:val="00903812"/>
    <w:rsid w:val="009038E7"/>
    <w:rsid w:val="009038EF"/>
    <w:rsid w:val="009039BE"/>
    <w:rsid w:val="009039D9"/>
    <w:rsid w:val="009039E9"/>
    <w:rsid w:val="00903A5D"/>
    <w:rsid w:val="00903A66"/>
    <w:rsid w:val="00903BB2"/>
    <w:rsid w:val="00903CA1"/>
    <w:rsid w:val="00903D22"/>
    <w:rsid w:val="00903D5C"/>
    <w:rsid w:val="00903D88"/>
    <w:rsid w:val="00903DBD"/>
    <w:rsid w:val="00903E09"/>
    <w:rsid w:val="009040A0"/>
    <w:rsid w:val="00904136"/>
    <w:rsid w:val="0090424C"/>
    <w:rsid w:val="009043AA"/>
    <w:rsid w:val="009044A1"/>
    <w:rsid w:val="009044BD"/>
    <w:rsid w:val="00904512"/>
    <w:rsid w:val="00904522"/>
    <w:rsid w:val="0090497B"/>
    <w:rsid w:val="00904B6B"/>
    <w:rsid w:val="00904DCF"/>
    <w:rsid w:val="00904ECF"/>
    <w:rsid w:val="00904F35"/>
    <w:rsid w:val="00904F72"/>
    <w:rsid w:val="009050D9"/>
    <w:rsid w:val="0090525D"/>
    <w:rsid w:val="0090532F"/>
    <w:rsid w:val="0090563B"/>
    <w:rsid w:val="0090569F"/>
    <w:rsid w:val="00905772"/>
    <w:rsid w:val="00905781"/>
    <w:rsid w:val="009058C2"/>
    <w:rsid w:val="00905917"/>
    <w:rsid w:val="0090595E"/>
    <w:rsid w:val="00905C6F"/>
    <w:rsid w:val="00905D10"/>
    <w:rsid w:val="00905D4E"/>
    <w:rsid w:val="00905E40"/>
    <w:rsid w:val="00905F5E"/>
    <w:rsid w:val="009060D6"/>
    <w:rsid w:val="009061B2"/>
    <w:rsid w:val="009061FF"/>
    <w:rsid w:val="00906420"/>
    <w:rsid w:val="00906554"/>
    <w:rsid w:val="00906A93"/>
    <w:rsid w:val="00906ADE"/>
    <w:rsid w:val="00906BB6"/>
    <w:rsid w:val="00906C47"/>
    <w:rsid w:val="00906C66"/>
    <w:rsid w:val="00906CDF"/>
    <w:rsid w:val="00906F22"/>
    <w:rsid w:val="009070E3"/>
    <w:rsid w:val="009071D2"/>
    <w:rsid w:val="009072AC"/>
    <w:rsid w:val="0090733D"/>
    <w:rsid w:val="00907505"/>
    <w:rsid w:val="00907561"/>
    <w:rsid w:val="00907778"/>
    <w:rsid w:val="009077EE"/>
    <w:rsid w:val="00907815"/>
    <w:rsid w:val="0090784E"/>
    <w:rsid w:val="0090797F"/>
    <w:rsid w:val="00907AFC"/>
    <w:rsid w:val="00907D1A"/>
    <w:rsid w:val="00910102"/>
    <w:rsid w:val="00910238"/>
    <w:rsid w:val="009102CC"/>
    <w:rsid w:val="009102F9"/>
    <w:rsid w:val="00910376"/>
    <w:rsid w:val="009103A3"/>
    <w:rsid w:val="00910407"/>
    <w:rsid w:val="009104E0"/>
    <w:rsid w:val="00910667"/>
    <w:rsid w:val="00910702"/>
    <w:rsid w:val="00910767"/>
    <w:rsid w:val="00910833"/>
    <w:rsid w:val="0091087E"/>
    <w:rsid w:val="0091088F"/>
    <w:rsid w:val="00910997"/>
    <w:rsid w:val="00910A9A"/>
    <w:rsid w:val="00910B6C"/>
    <w:rsid w:val="00910E69"/>
    <w:rsid w:val="00910EBD"/>
    <w:rsid w:val="009110F8"/>
    <w:rsid w:val="0091123E"/>
    <w:rsid w:val="009115EF"/>
    <w:rsid w:val="00911650"/>
    <w:rsid w:val="00911665"/>
    <w:rsid w:val="00911669"/>
    <w:rsid w:val="00911713"/>
    <w:rsid w:val="00911868"/>
    <w:rsid w:val="0091196B"/>
    <w:rsid w:val="009119B7"/>
    <w:rsid w:val="009119F7"/>
    <w:rsid w:val="00911C70"/>
    <w:rsid w:val="00911DE3"/>
    <w:rsid w:val="00911F84"/>
    <w:rsid w:val="00911F9E"/>
    <w:rsid w:val="00912277"/>
    <w:rsid w:val="00912350"/>
    <w:rsid w:val="00912431"/>
    <w:rsid w:val="009124BD"/>
    <w:rsid w:val="00912593"/>
    <w:rsid w:val="00912C52"/>
    <w:rsid w:val="00912C62"/>
    <w:rsid w:val="00912CF0"/>
    <w:rsid w:val="00912DCE"/>
    <w:rsid w:val="00912F50"/>
    <w:rsid w:val="00912FF6"/>
    <w:rsid w:val="0091315E"/>
    <w:rsid w:val="009132A6"/>
    <w:rsid w:val="00913388"/>
    <w:rsid w:val="009133FD"/>
    <w:rsid w:val="00913698"/>
    <w:rsid w:val="009137EB"/>
    <w:rsid w:val="0091382F"/>
    <w:rsid w:val="00913889"/>
    <w:rsid w:val="00913AD2"/>
    <w:rsid w:val="00913B6F"/>
    <w:rsid w:val="009143F3"/>
    <w:rsid w:val="00914401"/>
    <w:rsid w:val="00914487"/>
    <w:rsid w:val="00914772"/>
    <w:rsid w:val="009147E1"/>
    <w:rsid w:val="009148E6"/>
    <w:rsid w:val="0091492D"/>
    <w:rsid w:val="00914D8C"/>
    <w:rsid w:val="00914ED6"/>
    <w:rsid w:val="00914EEE"/>
    <w:rsid w:val="00914EFA"/>
    <w:rsid w:val="00914F05"/>
    <w:rsid w:val="0091512E"/>
    <w:rsid w:val="009151E4"/>
    <w:rsid w:val="00915600"/>
    <w:rsid w:val="009156F1"/>
    <w:rsid w:val="009157C6"/>
    <w:rsid w:val="009158BD"/>
    <w:rsid w:val="009158FF"/>
    <w:rsid w:val="00915953"/>
    <w:rsid w:val="00915AC3"/>
    <w:rsid w:val="00915ADD"/>
    <w:rsid w:val="00915C2F"/>
    <w:rsid w:val="00915CCE"/>
    <w:rsid w:val="009161A6"/>
    <w:rsid w:val="00916221"/>
    <w:rsid w:val="00916475"/>
    <w:rsid w:val="0091681B"/>
    <w:rsid w:val="00916BEE"/>
    <w:rsid w:val="00916D40"/>
    <w:rsid w:val="00917053"/>
    <w:rsid w:val="00917104"/>
    <w:rsid w:val="009173A9"/>
    <w:rsid w:val="00917444"/>
    <w:rsid w:val="009174F9"/>
    <w:rsid w:val="00917537"/>
    <w:rsid w:val="0091779E"/>
    <w:rsid w:val="009177E9"/>
    <w:rsid w:val="0091783B"/>
    <w:rsid w:val="009178FF"/>
    <w:rsid w:val="00917A68"/>
    <w:rsid w:val="00920078"/>
    <w:rsid w:val="009200E2"/>
    <w:rsid w:val="009201BC"/>
    <w:rsid w:val="00920351"/>
    <w:rsid w:val="00920393"/>
    <w:rsid w:val="009203C2"/>
    <w:rsid w:val="00920466"/>
    <w:rsid w:val="0092046B"/>
    <w:rsid w:val="0092081A"/>
    <w:rsid w:val="00920885"/>
    <w:rsid w:val="009208EE"/>
    <w:rsid w:val="009208FF"/>
    <w:rsid w:val="0092092F"/>
    <w:rsid w:val="00920977"/>
    <w:rsid w:val="00920B47"/>
    <w:rsid w:val="00920EA8"/>
    <w:rsid w:val="00920FBC"/>
    <w:rsid w:val="009212DC"/>
    <w:rsid w:val="00921341"/>
    <w:rsid w:val="0092148D"/>
    <w:rsid w:val="009215A3"/>
    <w:rsid w:val="009216EB"/>
    <w:rsid w:val="0092176C"/>
    <w:rsid w:val="00921931"/>
    <w:rsid w:val="0092196D"/>
    <w:rsid w:val="00921979"/>
    <w:rsid w:val="00921A64"/>
    <w:rsid w:val="00921B79"/>
    <w:rsid w:val="00921E89"/>
    <w:rsid w:val="00921FC5"/>
    <w:rsid w:val="009221E6"/>
    <w:rsid w:val="00922371"/>
    <w:rsid w:val="00922567"/>
    <w:rsid w:val="00922A1F"/>
    <w:rsid w:val="00922A27"/>
    <w:rsid w:val="00922B2A"/>
    <w:rsid w:val="00922D0B"/>
    <w:rsid w:val="00922E22"/>
    <w:rsid w:val="00922EE3"/>
    <w:rsid w:val="00922EE6"/>
    <w:rsid w:val="00922F77"/>
    <w:rsid w:val="009230A5"/>
    <w:rsid w:val="009232A0"/>
    <w:rsid w:val="0092344A"/>
    <w:rsid w:val="00923641"/>
    <w:rsid w:val="00923803"/>
    <w:rsid w:val="00923AB7"/>
    <w:rsid w:val="00923C3F"/>
    <w:rsid w:val="00923C5C"/>
    <w:rsid w:val="00923D8C"/>
    <w:rsid w:val="00923F46"/>
    <w:rsid w:val="00923F7E"/>
    <w:rsid w:val="00923FEB"/>
    <w:rsid w:val="0092408F"/>
    <w:rsid w:val="009240DA"/>
    <w:rsid w:val="009240DB"/>
    <w:rsid w:val="009240F6"/>
    <w:rsid w:val="0092423C"/>
    <w:rsid w:val="00924347"/>
    <w:rsid w:val="00924547"/>
    <w:rsid w:val="0092493D"/>
    <w:rsid w:val="009249E1"/>
    <w:rsid w:val="00924A47"/>
    <w:rsid w:val="00924B0D"/>
    <w:rsid w:val="00924BBA"/>
    <w:rsid w:val="00924C20"/>
    <w:rsid w:val="00924D6E"/>
    <w:rsid w:val="00924EF5"/>
    <w:rsid w:val="00925116"/>
    <w:rsid w:val="009252AF"/>
    <w:rsid w:val="0092542A"/>
    <w:rsid w:val="0092545E"/>
    <w:rsid w:val="0092552A"/>
    <w:rsid w:val="009255E0"/>
    <w:rsid w:val="00925899"/>
    <w:rsid w:val="009258BC"/>
    <w:rsid w:val="00925906"/>
    <w:rsid w:val="00925AF1"/>
    <w:rsid w:val="00925CB5"/>
    <w:rsid w:val="00925CE1"/>
    <w:rsid w:val="00925D3F"/>
    <w:rsid w:val="00925E95"/>
    <w:rsid w:val="00925F2E"/>
    <w:rsid w:val="00925F65"/>
    <w:rsid w:val="009260F4"/>
    <w:rsid w:val="0092616D"/>
    <w:rsid w:val="0092621F"/>
    <w:rsid w:val="00926533"/>
    <w:rsid w:val="0092658D"/>
    <w:rsid w:val="009265C4"/>
    <w:rsid w:val="009266F9"/>
    <w:rsid w:val="009266FA"/>
    <w:rsid w:val="009269B6"/>
    <w:rsid w:val="009269D1"/>
    <w:rsid w:val="00926C74"/>
    <w:rsid w:val="009274A6"/>
    <w:rsid w:val="009275D3"/>
    <w:rsid w:val="0092762B"/>
    <w:rsid w:val="009276CE"/>
    <w:rsid w:val="00927726"/>
    <w:rsid w:val="00927794"/>
    <w:rsid w:val="009278C8"/>
    <w:rsid w:val="00927986"/>
    <w:rsid w:val="00927B9F"/>
    <w:rsid w:val="00927D76"/>
    <w:rsid w:val="00927EB3"/>
    <w:rsid w:val="00930020"/>
    <w:rsid w:val="009301E0"/>
    <w:rsid w:val="009302B5"/>
    <w:rsid w:val="0093056E"/>
    <w:rsid w:val="00930572"/>
    <w:rsid w:val="0093099B"/>
    <w:rsid w:val="00930EDC"/>
    <w:rsid w:val="0093112B"/>
    <w:rsid w:val="00931204"/>
    <w:rsid w:val="00931211"/>
    <w:rsid w:val="0093122C"/>
    <w:rsid w:val="009312A5"/>
    <w:rsid w:val="009313A6"/>
    <w:rsid w:val="009313DD"/>
    <w:rsid w:val="00931497"/>
    <w:rsid w:val="00931514"/>
    <w:rsid w:val="00931598"/>
    <w:rsid w:val="0093179C"/>
    <w:rsid w:val="009318AF"/>
    <w:rsid w:val="00931A5A"/>
    <w:rsid w:val="00931A7C"/>
    <w:rsid w:val="00931B00"/>
    <w:rsid w:val="00931CDC"/>
    <w:rsid w:val="0093200E"/>
    <w:rsid w:val="00932216"/>
    <w:rsid w:val="00932478"/>
    <w:rsid w:val="009327EE"/>
    <w:rsid w:val="00932A26"/>
    <w:rsid w:val="00932E9F"/>
    <w:rsid w:val="00932FC5"/>
    <w:rsid w:val="009330FD"/>
    <w:rsid w:val="00933146"/>
    <w:rsid w:val="00933260"/>
    <w:rsid w:val="0093336F"/>
    <w:rsid w:val="009336CA"/>
    <w:rsid w:val="00933741"/>
    <w:rsid w:val="00933821"/>
    <w:rsid w:val="00933A16"/>
    <w:rsid w:val="00933A1B"/>
    <w:rsid w:val="00933C21"/>
    <w:rsid w:val="00933CDD"/>
    <w:rsid w:val="009340C2"/>
    <w:rsid w:val="00934220"/>
    <w:rsid w:val="009343D8"/>
    <w:rsid w:val="00934441"/>
    <w:rsid w:val="00934570"/>
    <w:rsid w:val="009346A8"/>
    <w:rsid w:val="009346FB"/>
    <w:rsid w:val="00934726"/>
    <w:rsid w:val="009347FC"/>
    <w:rsid w:val="009348F2"/>
    <w:rsid w:val="009349D7"/>
    <w:rsid w:val="00934C15"/>
    <w:rsid w:val="00934FBB"/>
    <w:rsid w:val="009352D8"/>
    <w:rsid w:val="0093533F"/>
    <w:rsid w:val="00935544"/>
    <w:rsid w:val="0093595D"/>
    <w:rsid w:val="0093599E"/>
    <w:rsid w:val="00935AFB"/>
    <w:rsid w:val="00935B21"/>
    <w:rsid w:val="00935C8C"/>
    <w:rsid w:val="00935D40"/>
    <w:rsid w:val="00935EAB"/>
    <w:rsid w:val="00936008"/>
    <w:rsid w:val="0093643E"/>
    <w:rsid w:val="00936683"/>
    <w:rsid w:val="00936684"/>
    <w:rsid w:val="009367AB"/>
    <w:rsid w:val="00936947"/>
    <w:rsid w:val="00936963"/>
    <w:rsid w:val="00936990"/>
    <w:rsid w:val="00936993"/>
    <w:rsid w:val="00936AEA"/>
    <w:rsid w:val="00936CEF"/>
    <w:rsid w:val="00936E9B"/>
    <w:rsid w:val="00936EB7"/>
    <w:rsid w:val="00936FAA"/>
    <w:rsid w:val="00936FC1"/>
    <w:rsid w:val="009370A7"/>
    <w:rsid w:val="009371FC"/>
    <w:rsid w:val="0093736D"/>
    <w:rsid w:val="00937819"/>
    <w:rsid w:val="00937833"/>
    <w:rsid w:val="009378B0"/>
    <w:rsid w:val="00937F0B"/>
    <w:rsid w:val="009401BB"/>
    <w:rsid w:val="009402F3"/>
    <w:rsid w:val="00940369"/>
    <w:rsid w:val="009405BC"/>
    <w:rsid w:val="009406E1"/>
    <w:rsid w:val="00940740"/>
    <w:rsid w:val="009407AD"/>
    <w:rsid w:val="00940A16"/>
    <w:rsid w:val="00940C96"/>
    <w:rsid w:val="00940F74"/>
    <w:rsid w:val="00940FE4"/>
    <w:rsid w:val="00941035"/>
    <w:rsid w:val="0094123B"/>
    <w:rsid w:val="009412C3"/>
    <w:rsid w:val="00941322"/>
    <w:rsid w:val="00941497"/>
    <w:rsid w:val="009414FB"/>
    <w:rsid w:val="00941507"/>
    <w:rsid w:val="0094150E"/>
    <w:rsid w:val="00941706"/>
    <w:rsid w:val="009417A0"/>
    <w:rsid w:val="009417E6"/>
    <w:rsid w:val="009418A0"/>
    <w:rsid w:val="009418BD"/>
    <w:rsid w:val="00941AE8"/>
    <w:rsid w:val="00941C22"/>
    <w:rsid w:val="00941FFD"/>
    <w:rsid w:val="0094221F"/>
    <w:rsid w:val="0094224E"/>
    <w:rsid w:val="009422AE"/>
    <w:rsid w:val="00942330"/>
    <w:rsid w:val="009423C4"/>
    <w:rsid w:val="0094268E"/>
    <w:rsid w:val="00942931"/>
    <w:rsid w:val="00942991"/>
    <w:rsid w:val="00942F1C"/>
    <w:rsid w:val="00943227"/>
    <w:rsid w:val="009432AE"/>
    <w:rsid w:val="009433A1"/>
    <w:rsid w:val="009433C1"/>
    <w:rsid w:val="00943544"/>
    <w:rsid w:val="00943591"/>
    <w:rsid w:val="009435BA"/>
    <w:rsid w:val="009436F9"/>
    <w:rsid w:val="0094373B"/>
    <w:rsid w:val="009437A1"/>
    <w:rsid w:val="009437F1"/>
    <w:rsid w:val="009438AC"/>
    <w:rsid w:val="0094395B"/>
    <w:rsid w:val="009439B4"/>
    <w:rsid w:val="00943B1C"/>
    <w:rsid w:val="00943B3A"/>
    <w:rsid w:val="00943B76"/>
    <w:rsid w:val="00943D05"/>
    <w:rsid w:val="00943E00"/>
    <w:rsid w:val="00943E0F"/>
    <w:rsid w:val="00943E8D"/>
    <w:rsid w:val="00944063"/>
    <w:rsid w:val="009440A0"/>
    <w:rsid w:val="00944217"/>
    <w:rsid w:val="009443E2"/>
    <w:rsid w:val="009445D0"/>
    <w:rsid w:val="0094460D"/>
    <w:rsid w:val="0094480F"/>
    <w:rsid w:val="00944877"/>
    <w:rsid w:val="00944E86"/>
    <w:rsid w:val="00945316"/>
    <w:rsid w:val="00945824"/>
    <w:rsid w:val="00945972"/>
    <w:rsid w:val="00945B3F"/>
    <w:rsid w:val="00945B9B"/>
    <w:rsid w:val="00945C34"/>
    <w:rsid w:val="00945D1F"/>
    <w:rsid w:val="00945EF0"/>
    <w:rsid w:val="00946097"/>
    <w:rsid w:val="0094619D"/>
    <w:rsid w:val="00946422"/>
    <w:rsid w:val="009467E2"/>
    <w:rsid w:val="00946895"/>
    <w:rsid w:val="0094689E"/>
    <w:rsid w:val="00946A5A"/>
    <w:rsid w:val="00946AF7"/>
    <w:rsid w:val="00946C85"/>
    <w:rsid w:val="00946DFE"/>
    <w:rsid w:val="00947091"/>
    <w:rsid w:val="009471AB"/>
    <w:rsid w:val="0094734E"/>
    <w:rsid w:val="009473B3"/>
    <w:rsid w:val="009474EF"/>
    <w:rsid w:val="0094759E"/>
    <w:rsid w:val="00947614"/>
    <w:rsid w:val="00947767"/>
    <w:rsid w:val="00947774"/>
    <w:rsid w:val="009477F5"/>
    <w:rsid w:val="00947852"/>
    <w:rsid w:val="0094787B"/>
    <w:rsid w:val="00947966"/>
    <w:rsid w:val="00947C55"/>
    <w:rsid w:val="00950087"/>
    <w:rsid w:val="00950303"/>
    <w:rsid w:val="00950362"/>
    <w:rsid w:val="00950364"/>
    <w:rsid w:val="00950382"/>
    <w:rsid w:val="009504C0"/>
    <w:rsid w:val="009504D9"/>
    <w:rsid w:val="00950528"/>
    <w:rsid w:val="009507CD"/>
    <w:rsid w:val="009508AF"/>
    <w:rsid w:val="00950908"/>
    <w:rsid w:val="00950961"/>
    <w:rsid w:val="00950AE2"/>
    <w:rsid w:val="00950BAC"/>
    <w:rsid w:val="00950BB3"/>
    <w:rsid w:val="00950DA5"/>
    <w:rsid w:val="00950E5C"/>
    <w:rsid w:val="00950E67"/>
    <w:rsid w:val="009511BE"/>
    <w:rsid w:val="00951245"/>
    <w:rsid w:val="0095138E"/>
    <w:rsid w:val="009513ED"/>
    <w:rsid w:val="009516C6"/>
    <w:rsid w:val="009517D2"/>
    <w:rsid w:val="00951A32"/>
    <w:rsid w:val="00951A52"/>
    <w:rsid w:val="00951CDA"/>
    <w:rsid w:val="00951F85"/>
    <w:rsid w:val="0095214E"/>
    <w:rsid w:val="0095223D"/>
    <w:rsid w:val="00952265"/>
    <w:rsid w:val="00952397"/>
    <w:rsid w:val="0095259D"/>
    <w:rsid w:val="009525F9"/>
    <w:rsid w:val="00952BA3"/>
    <w:rsid w:val="00952BF1"/>
    <w:rsid w:val="00952DC4"/>
    <w:rsid w:val="00952E3F"/>
    <w:rsid w:val="00952F45"/>
    <w:rsid w:val="00952FA0"/>
    <w:rsid w:val="00953054"/>
    <w:rsid w:val="00953723"/>
    <w:rsid w:val="009537E4"/>
    <w:rsid w:val="00953A04"/>
    <w:rsid w:val="00953BEB"/>
    <w:rsid w:val="00953C76"/>
    <w:rsid w:val="00953D3C"/>
    <w:rsid w:val="00953E59"/>
    <w:rsid w:val="00954083"/>
    <w:rsid w:val="009540E4"/>
    <w:rsid w:val="0095428B"/>
    <w:rsid w:val="00954316"/>
    <w:rsid w:val="0095431D"/>
    <w:rsid w:val="0095435E"/>
    <w:rsid w:val="0095443E"/>
    <w:rsid w:val="00954464"/>
    <w:rsid w:val="00954475"/>
    <w:rsid w:val="00954702"/>
    <w:rsid w:val="00954977"/>
    <w:rsid w:val="00954AC3"/>
    <w:rsid w:val="00954B45"/>
    <w:rsid w:val="00954DCB"/>
    <w:rsid w:val="00954F8F"/>
    <w:rsid w:val="0095508D"/>
    <w:rsid w:val="00955107"/>
    <w:rsid w:val="0095529D"/>
    <w:rsid w:val="0095549C"/>
    <w:rsid w:val="009557C2"/>
    <w:rsid w:val="0095595B"/>
    <w:rsid w:val="00955A0C"/>
    <w:rsid w:val="00955AE3"/>
    <w:rsid w:val="00955C9E"/>
    <w:rsid w:val="00956344"/>
    <w:rsid w:val="0095639B"/>
    <w:rsid w:val="009563A4"/>
    <w:rsid w:val="00956642"/>
    <w:rsid w:val="00956A9C"/>
    <w:rsid w:val="00956B2B"/>
    <w:rsid w:val="00956E1C"/>
    <w:rsid w:val="00956FE9"/>
    <w:rsid w:val="0095708C"/>
    <w:rsid w:val="009570F9"/>
    <w:rsid w:val="0095729B"/>
    <w:rsid w:val="009572BC"/>
    <w:rsid w:val="00957414"/>
    <w:rsid w:val="009574E5"/>
    <w:rsid w:val="009575FF"/>
    <w:rsid w:val="00957A6B"/>
    <w:rsid w:val="00960587"/>
    <w:rsid w:val="00960A15"/>
    <w:rsid w:val="00960A30"/>
    <w:rsid w:val="00960C85"/>
    <w:rsid w:val="00960EEF"/>
    <w:rsid w:val="00960FEB"/>
    <w:rsid w:val="00960FF3"/>
    <w:rsid w:val="009610F2"/>
    <w:rsid w:val="0096124E"/>
    <w:rsid w:val="00961259"/>
    <w:rsid w:val="00961427"/>
    <w:rsid w:val="00961680"/>
    <w:rsid w:val="00961865"/>
    <w:rsid w:val="00961979"/>
    <w:rsid w:val="00961A36"/>
    <w:rsid w:val="00961C7D"/>
    <w:rsid w:val="00961DB8"/>
    <w:rsid w:val="00961E72"/>
    <w:rsid w:val="00961EF4"/>
    <w:rsid w:val="0096213F"/>
    <w:rsid w:val="0096227A"/>
    <w:rsid w:val="009622F2"/>
    <w:rsid w:val="009623E7"/>
    <w:rsid w:val="00962462"/>
    <w:rsid w:val="0096250E"/>
    <w:rsid w:val="00962543"/>
    <w:rsid w:val="00962564"/>
    <w:rsid w:val="009625F1"/>
    <w:rsid w:val="00962934"/>
    <w:rsid w:val="00962A13"/>
    <w:rsid w:val="00962A30"/>
    <w:rsid w:val="00962A3D"/>
    <w:rsid w:val="00962AD0"/>
    <w:rsid w:val="00962AE0"/>
    <w:rsid w:val="00962AFB"/>
    <w:rsid w:val="00962CB7"/>
    <w:rsid w:val="00962F49"/>
    <w:rsid w:val="00963002"/>
    <w:rsid w:val="00963138"/>
    <w:rsid w:val="009631E8"/>
    <w:rsid w:val="00963260"/>
    <w:rsid w:val="00963322"/>
    <w:rsid w:val="00963330"/>
    <w:rsid w:val="0096345E"/>
    <w:rsid w:val="009634D1"/>
    <w:rsid w:val="009635D5"/>
    <w:rsid w:val="009636CD"/>
    <w:rsid w:val="009636F4"/>
    <w:rsid w:val="00963A37"/>
    <w:rsid w:val="00963B8F"/>
    <w:rsid w:val="00963E2D"/>
    <w:rsid w:val="00963EA5"/>
    <w:rsid w:val="0096420D"/>
    <w:rsid w:val="00964361"/>
    <w:rsid w:val="00964522"/>
    <w:rsid w:val="0096475C"/>
    <w:rsid w:val="00964794"/>
    <w:rsid w:val="0096485E"/>
    <w:rsid w:val="00964956"/>
    <w:rsid w:val="009649B4"/>
    <w:rsid w:val="00964CDA"/>
    <w:rsid w:val="00964E5C"/>
    <w:rsid w:val="00964ED7"/>
    <w:rsid w:val="00964F33"/>
    <w:rsid w:val="00964FF6"/>
    <w:rsid w:val="009653D6"/>
    <w:rsid w:val="0096553D"/>
    <w:rsid w:val="00965658"/>
    <w:rsid w:val="00965668"/>
    <w:rsid w:val="0096576B"/>
    <w:rsid w:val="00965A5F"/>
    <w:rsid w:val="00965AD0"/>
    <w:rsid w:val="00965C90"/>
    <w:rsid w:val="00965D62"/>
    <w:rsid w:val="00965EB1"/>
    <w:rsid w:val="00965EBA"/>
    <w:rsid w:val="00965F13"/>
    <w:rsid w:val="00965F44"/>
    <w:rsid w:val="009661F5"/>
    <w:rsid w:val="00966322"/>
    <w:rsid w:val="00966498"/>
    <w:rsid w:val="009664A2"/>
    <w:rsid w:val="009665A9"/>
    <w:rsid w:val="009665D7"/>
    <w:rsid w:val="0096693C"/>
    <w:rsid w:val="009669D8"/>
    <w:rsid w:val="0096730A"/>
    <w:rsid w:val="009675FF"/>
    <w:rsid w:val="0096763A"/>
    <w:rsid w:val="0096763F"/>
    <w:rsid w:val="0096765C"/>
    <w:rsid w:val="009676C2"/>
    <w:rsid w:val="00967AAC"/>
    <w:rsid w:val="00967C43"/>
    <w:rsid w:val="00967CA5"/>
    <w:rsid w:val="00968D52"/>
    <w:rsid w:val="0097000E"/>
    <w:rsid w:val="00970027"/>
    <w:rsid w:val="00970029"/>
    <w:rsid w:val="009700B3"/>
    <w:rsid w:val="009701C3"/>
    <w:rsid w:val="0097031A"/>
    <w:rsid w:val="009703BF"/>
    <w:rsid w:val="009704AA"/>
    <w:rsid w:val="009704B2"/>
    <w:rsid w:val="009704B5"/>
    <w:rsid w:val="00970593"/>
    <w:rsid w:val="00970659"/>
    <w:rsid w:val="00970723"/>
    <w:rsid w:val="00970C61"/>
    <w:rsid w:val="00970C92"/>
    <w:rsid w:val="00970CC9"/>
    <w:rsid w:val="00970EB6"/>
    <w:rsid w:val="00971081"/>
    <w:rsid w:val="00971416"/>
    <w:rsid w:val="00971473"/>
    <w:rsid w:val="009716A8"/>
    <w:rsid w:val="009717B7"/>
    <w:rsid w:val="00971A4B"/>
    <w:rsid w:val="00971EC9"/>
    <w:rsid w:val="00971FBC"/>
    <w:rsid w:val="00972013"/>
    <w:rsid w:val="00972081"/>
    <w:rsid w:val="009720EA"/>
    <w:rsid w:val="00972320"/>
    <w:rsid w:val="00972345"/>
    <w:rsid w:val="009723D4"/>
    <w:rsid w:val="0097287C"/>
    <w:rsid w:val="00972983"/>
    <w:rsid w:val="00972AAE"/>
    <w:rsid w:val="00972AF4"/>
    <w:rsid w:val="00972CA9"/>
    <w:rsid w:val="00972D92"/>
    <w:rsid w:val="0097306B"/>
    <w:rsid w:val="0097324D"/>
    <w:rsid w:val="0097326A"/>
    <w:rsid w:val="009733C4"/>
    <w:rsid w:val="00973701"/>
    <w:rsid w:val="00973829"/>
    <w:rsid w:val="00973BF9"/>
    <w:rsid w:val="00973C5D"/>
    <w:rsid w:val="00973E10"/>
    <w:rsid w:val="00973E2F"/>
    <w:rsid w:val="00973F55"/>
    <w:rsid w:val="00974190"/>
    <w:rsid w:val="009741BA"/>
    <w:rsid w:val="00974345"/>
    <w:rsid w:val="009744FC"/>
    <w:rsid w:val="009745DD"/>
    <w:rsid w:val="009746AB"/>
    <w:rsid w:val="009747F5"/>
    <w:rsid w:val="00974978"/>
    <w:rsid w:val="00974D64"/>
    <w:rsid w:val="00974DE4"/>
    <w:rsid w:val="00974E1F"/>
    <w:rsid w:val="00974E5A"/>
    <w:rsid w:val="00974FD2"/>
    <w:rsid w:val="0097500C"/>
    <w:rsid w:val="0097504F"/>
    <w:rsid w:val="00975086"/>
    <w:rsid w:val="00975113"/>
    <w:rsid w:val="0097518D"/>
    <w:rsid w:val="0097526B"/>
    <w:rsid w:val="009752C0"/>
    <w:rsid w:val="009754A3"/>
    <w:rsid w:val="00975566"/>
    <w:rsid w:val="009755D3"/>
    <w:rsid w:val="00975A83"/>
    <w:rsid w:val="009766AB"/>
    <w:rsid w:val="009766C1"/>
    <w:rsid w:val="009767C9"/>
    <w:rsid w:val="009768F7"/>
    <w:rsid w:val="0097690E"/>
    <w:rsid w:val="009769B4"/>
    <w:rsid w:val="00976AD4"/>
    <w:rsid w:val="00976CC4"/>
    <w:rsid w:val="00976F81"/>
    <w:rsid w:val="00976FE3"/>
    <w:rsid w:val="0097714D"/>
    <w:rsid w:val="00977155"/>
    <w:rsid w:val="00977166"/>
    <w:rsid w:val="0097741F"/>
    <w:rsid w:val="00977573"/>
    <w:rsid w:val="009775B3"/>
    <w:rsid w:val="009776AC"/>
    <w:rsid w:val="009777D0"/>
    <w:rsid w:val="009777D7"/>
    <w:rsid w:val="009778EE"/>
    <w:rsid w:val="00977AD8"/>
    <w:rsid w:val="00977BCF"/>
    <w:rsid w:val="00977C00"/>
    <w:rsid w:val="00977CE4"/>
    <w:rsid w:val="00977E52"/>
    <w:rsid w:val="00977F60"/>
    <w:rsid w:val="00980037"/>
    <w:rsid w:val="00980044"/>
    <w:rsid w:val="0098011D"/>
    <w:rsid w:val="0098014C"/>
    <w:rsid w:val="00980402"/>
    <w:rsid w:val="009805E6"/>
    <w:rsid w:val="00980806"/>
    <w:rsid w:val="00980974"/>
    <w:rsid w:val="00980984"/>
    <w:rsid w:val="009809F6"/>
    <w:rsid w:val="00980BCA"/>
    <w:rsid w:val="00980D9D"/>
    <w:rsid w:val="00980F19"/>
    <w:rsid w:val="009810E6"/>
    <w:rsid w:val="009811E8"/>
    <w:rsid w:val="0098127B"/>
    <w:rsid w:val="00981611"/>
    <w:rsid w:val="00981679"/>
    <w:rsid w:val="009816EF"/>
    <w:rsid w:val="009818F4"/>
    <w:rsid w:val="00981D4D"/>
    <w:rsid w:val="00981D65"/>
    <w:rsid w:val="00981EAA"/>
    <w:rsid w:val="00981EE0"/>
    <w:rsid w:val="00981F59"/>
    <w:rsid w:val="0098206C"/>
    <w:rsid w:val="00982080"/>
    <w:rsid w:val="009820BB"/>
    <w:rsid w:val="009821FB"/>
    <w:rsid w:val="009822BC"/>
    <w:rsid w:val="0098259B"/>
    <w:rsid w:val="0098274E"/>
    <w:rsid w:val="009827AD"/>
    <w:rsid w:val="00982A1E"/>
    <w:rsid w:val="00982A27"/>
    <w:rsid w:val="00982B2D"/>
    <w:rsid w:val="00982B7C"/>
    <w:rsid w:val="00982BDF"/>
    <w:rsid w:val="00982C79"/>
    <w:rsid w:val="00982F52"/>
    <w:rsid w:val="00982FAD"/>
    <w:rsid w:val="00983059"/>
    <w:rsid w:val="009830D7"/>
    <w:rsid w:val="009831FA"/>
    <w:rsid w:val="0098348E"/>
    <w:rsid w:val="00983523"/>
    <w:rsid w:val="0098358A"/>
    <w:rsid w:val="009835D9"/>
    <w:rsid w:val="00983682"/>
    <w:rsid w:val="00983769"/>
    <w:rsid w:val="009838A1"/>
    <w:rsid w:val="009838AA"/>
    <w:rsid w:val="009839FE"/>
    <w:rsid w:val="00983A48"/>
    <w:rsid w:val="00983BE5"/>
    <w:rsid w:val="00983F66"/>
    <w:rsid w:val="00984276"/>
    <w:rsid w:val="0098485D"/>
    <w:rsid w:val="009848B0"/>
    <w:rsid w:val="00984B66"/>
    <w:rsid w:val="00984B71"/>
    <w:rsid w:val="00984C6A"/>
    <w:rsid w:val="00984ECD"/>
    <w:rsid w:val="00984F61"/>
    <w:rsid w:val="00984FC6"/>
    <w:rsid w:val="00985038"/>
    <w:rsid w:val="00985312"/>
    <w:rsid w:val="0098577A"/>
    <w:rsid w:val="009859E4"/>
    <w:rsid w:val="00985AF5"/>
    <w:rsid w:val="00985DA1"/>
    <w:rsid w:val="00985F84"/>
    <w:rsid w:val="00985FDA"/>
    <w:rsid w:val="00986119"/>
    <w:rsid w:val="00986446"/>
    <w:rsid w:val="0098648B"/>
    <w:rsid w:val="009865A5"/>
    <w:rsid w:val="00986764"/>
    <w:rsid w:val="00986AE2"/>
    <w:rsid w:val="00986C1E"/>
    <w:rsid w:val="00986DEA"/>
    <w:rsid w:val="00986E68"/>
    <w:rsid w:val="00986EBD"/>
    <w:rsid w:val="00986F77"/>
    <w:rsid w:val="00986FC9"/>
    <w:rsid w:val="0098734D"/>
    <w:rsid w:val="0098738A"/>
    <w:rsid w:val="009873C9"/>
    <w:rsid w:val="0098746B"/>
    <w:rsid w:val="0098746C"/>
    <w:rsid w:val="009878F4"/>
    <w:rsid w:val="00987A73"/>
    <w:rsid w:val="00987AD4"/>
    <w:rsid w:val="00987C57"/>
    <w:rsid w:val="00990023"/>
    <w:rsid w:val="009900AA"/>
    <w:rsid w:val="009900B2"/>
    <w:rsid w:val="009901DA"/>
    <w:rsid w:val="009903F4"/>
    <w:rsid w:val="009905DC"/>
    <w:rsid w:val="0099072A"/>
    <w:rsid w:val="00990807"/>
    <w:rsid w:val="009908E6"/>
    <w:rsid w:val="00990F67"/>
    <w:rsid w:val="00990FB6"/>
    <w:rsid w:val="00991009"/>
    <w:rsid w:val="0099107F"/>
    <w:rsid w:val="00991181"/>
    <w:rsid w:val="00991310"/>
    <w:rsid w:val="00991783"/>
    <w:rsid w:val="0099196D"/>
    <w:rsid w:val="00991B9C"/>
    <w:rsid w:val="00991C3D"/>
    <w:rsid w:val="00991D6D"/>
    <w:rsid w:val="009920E3"/>
    <w:rsid w:val="009921A5"/>
    <w:rsid w:val="00992478"/>
    <w:rsid w:val="0099265D"/>
    <w:rsid w:val="0099268A"/>
    <w:rsid w:val="009927CA"/>
    <w:rsid w:val="009928B3"/>
    <w:rsid w:val="00992C2A"/>
    <w:rsid w:val="00992E96"/>
    <w:rsid w:val="0099316C"/>
    <w:rsid w:val="00993295"/>
    <w:rsid w:val="009932E1"/>
    <w:rsid w:val="0099331E"/>
    <w:rsid w:val="00993ABA"/>
    <w:rsid w:val="00993B1E"/>
    <w:rsid w:val="00993C3A"/>
    <w:rsid w:val="00993CA4"/>
    <w:rsid w:val="00993E76"/>
    <w:rsid w:val="00993F91"/>
    <w:rsid w:val="00994251"/>
    <w:rsid w:val="00994271"/>
    <w:rsid w:val="0099434F"/>
    <w:rsid w:val="00994370"/>
    <w:rsid w:val="0099439B"/>
    <w:rsid w:val="009945A1"/>
    <w:rsid w:val="009945BB"/>
    <w:rsid w:val="009946C4"/>
    <w:rsid w:val="009946E9"/>
    <w:rsid w:val="00994850"/>
    <w:rsid w:val="0099485D"/>
    <w:rsid w:val="00994A06"/>
    <w:rsid w:val="00994C96"/>
    <w:rsid w:val="00994D47"/>
    <w:rsid w:val="00995213"/>
    <w:rsid w:val="0099530F"/>
    <w:rsid w:val="00995337"/>
    <w:rsid w:val="00995544"/>
    <w:rsid w:val="009957F0"/>
    <w:rsid w:val="00995A20"/>
    <w:rsid w:val="00995AEC"/>
    <w:rsid w:val="00995AEE"/>
    <w:rsid w:val="00995BA1"/>
    <w:rsid w:val="00995CAF"/>
    <w:rsid w:val="00995D3D"/>
    <w:rsid w:val="00995D80"/>
    <w:rsid w:val="00995EBA"/>
    <w:rsid w:val="00996222"/>
    <w:rsid w:val="009963E0"/>
    <w:rsid w:val="009963F0"/>
    <w:rsid w:val="0099647C"/>
    <w:rsid w:val="009965FB"/>
    <w:rsid w:val="0099664F"/>
    <w:rsid w:val="0099674C"/>
    <w:rsid w:val="0099698F"/>
    <w:rsid w:val="00996B42"/>
    <w:rsid w:val="00996C09"/>
    <w:rsid w:val="00996C7C"/>
    <w:rsid w:val="00996E23"/>
    <w:rsid w:val="00996E3A"/>
    <w:rsid w:val="00996FD6"/>
    <w:rsid w:val="0099707C"/>
    <w:rsid w:val="009970B2"/>
    <w:rsid w:val="009971D5"/>
    <w:rsid w:val="009973A1"/>
    <w:rsid w:val="009973FE"/>
    <w:rsid w:val="00997466"/>
    <w:rsid w:val="009975AB"/>
    <w:rsid w:val="009975B7"/>
    <w:rsid w:val="0099761D"/>
    <w:rsid w:val="009976C1"/>
    <w:rsid w:val="009976F9"/>
    <w:rsid w:val="00997762"/>
    <w:rsid w:val="009977B4"/>
    <w:rsid w:val="009978C4"/>
    <w:rsid w:val="009A007D"/>
    <w:rsid w:val="009A056A"/>
    <w:rsid w:val="009A0571"/>
    <w:rsid w:val="009A0589"/>
    <w:rsid w:val="009A061B"/>
    <w:rsid w:val="009A07A4"/>
    <w:rsid w:val="009A0950"/>
    <w:rsid w:val="009A0A99"/>
    <w:rsid w:val="009A0B58"/>
    <w:rsid w:val="009A0B6A"/>
    <w:rsid w:val="009A0BAD"/>
    <w:rsid w:val="009A0D42"/>
    <w:rsid w:val="009A0DC2"/>
    <w:rsid w:val="009A0E20"/>
    <w:rsid w:val="009A11E0"/>
    <w:rsid w:val="009A1322"/>
    <w:rsid w:val="009A1347"/>
    <w:rsid w:val="009A134A"/>
    <w:rsid w:val="009A134D"/>
    <w:rsid w:val="009A17AA"/>
    <w:rsid w:val="009A17FB"/>
    <w:rsid w:val="009A1899"/>
    <w:rsid w:val="009A1A3E"/>
    <w:rsid w:val="009A1B67"/>
    <w:rsid w:val="009A2150"/>
    <w:rsid w:val="009A2250"/>
    <w:rsid w:val="009A22C5"/>
    <w:rsid w:val="009A2398"/>
    <w:rsid w:val="009A2706"/>
    <w:rsid w:val="009A29EE"/>
    <w:rsid w:val="009A2A1A"/>
    <w:rsid w:val="009A2AE4"/>
    <w:rsid w:val="009A2B40"/>
    <w:rsid w:val="009A2D97"/>
    <w:rsid w:val="009A311B"/>
    <w:rsid w:val="009A312D"/>
    <w:rsid w:val="009A32CC"/>
    <w:rsid w:val="009A358C"/>
    <w:rsid w:val="009A375A"/>
    <w:rsid w:val="009A3793"/>
    <w:rsid w:val="009A3976"/>
    <w:rsid w:val="009A39DC"/>
    <w:rsid w:val="009A3B8C"/>
    <w:rsid w:val="009A3BED"/>
    <w:rsid w:val="009A3C73"/>
    <w:rsid w:val="009A3E44"/>
    <w:rsid w:val="009A4060"/>
    <w:rsid w:val="009A4290"/>
    <w:rsid w:val="009A462D"/>
    <w:rsid w:val="009A465E"/>
    <w:rsid w:val="009A4A2C"/>
    <w:rsid w:val="009A4A80"/>
    <w:rsid w:val="009A4B65"/>
    <w:rsid w:val="009A4BA1"/>
    <w:rsid w:val="009A4CD7"/>
    <w:rsid w:val="009A4EDB"/>
    <w:rsid w:val="009A4F90"/>
    <w:rsid w:val="009A5412"/>
    <w:rsid w:val="009A5588"/>
    <w:rsid w:val="009A5710"/>
    <w:rsid w:val="009A5749"/>
    <w:rsid w:val="009A584A"/>
    <w:rsid w:val="009A58BA"/>
    <w:rsid w:val="009A5B17"/>
    <w:rsid w:val="009A5BF3"/>
    <w:rsid w:val="009A5CBC"/>
    <w:rsid w:val="009A5D42"/>
    <w:rsid w:val="009A5DB4"/>
    <w:rsid w:val="009A5E65"/>
    <w:rsid w:val="009A607C"/>
    <w:rsid w:val="009A6160"/>
    <w:rsid w:val="009A619E"/>
    <w:rsid w:val="009A61A0"/>
    <w:rsid w:val="009A6246"/>
    <w:rsid w:val="009A633A"/>
    <w:rsid w:val="009A6574"/>
    <w:rsid w:val="009A6635"/>
    <w:rsid w:val="009A673F"/>
    <w:rsid w:val="009A6A6F"/>
    <w:rsid w:val="009A6DEC"/>
    <w:rsid w:val="009A6FD7"/>
    <w:rsid w:val="009A72E0"/>
    <w:rsid w:val="009A7568"/>
    <w:rsid w:val="009A7584"/>
    <w:rsid w:val="009A7724"/>
    <w:rsid w:val="009A7904"/>
    <w:rsid w:val="009A7C35"/>
    <w:rsid w:val="009A7F48"/>
    <w:rsid w:val="009A7F56"/>
    <w:rsid w:val="009A7FA0"/>
    <w:rsid w:val="009A7FD5"/>
    <w:rsid w:val="009B00B8"/>
    <w:rsid w:val="009B00EB"/>
    <w:rsid w:val="009B0213"/>
    <w:rsid w:val="009B033D"/>
    <w:rsid w:val="009B052F"/>
    <w:rsid w:val="009B060D"/>
    <w:rsid w:val="009B0654"/>
    <w:rsid w:val="009B0AB4"/>
    <w:rsid w:val="009B0AD0"/>
    <w:rsid w:val="009B0ADB"/>
    <w:rsid w:val="009B0B4D"/>
    <w:rsid w:val="009B0BDF"/>
    <w:rsid w:val="009B0C0B"/>
    <w:rsid w:val="009B0CEF"/>
    <w:rsid w:val="009B11E4"/>
    <w:rsid w:val="009B13B5"/>
    <w:rsid w:val="009B160F"/>
    <w:rsid w:val="009B1A1C"/>
    <w:rsid w:val="009B1BB2"/>
    <w:rsid w:val="009B1BBD"/>
    <w:rsid w:val="009B1BD5"/>
    <w:rsid w:val="009B1BE8"/>
    <w:rsid w:val="009B1D49"/>
    <w:rsid w:val="009B1E8C"/>
    <w:rsid w:val="009B2016"/>
    <w:rsid w:val="009B20BB"/>
    <w:rsid w:val="009B22BA"/>
    <w:rsid w:val="009B2368"/>
    <w:rsid w:val="009B25F5"/>
    <w:rsid w:val="009B27FE"/>
    <w:rsid w:val="009B2913"/>
    <w:rsid w:val="009B2A0C"/>
    <w:rsid w:val="009B2A18"/>
    <w:rsid w:val="009B2B17"/>
    <w:rsid w:val="009B2D34"/>
    <w:rsid w:val="009B2E5A"/>
    <w:rsid w:val="009B2EE8"/>
    <w:rsid w:val="009B32BC"/>
    <w:rsid w:val="009B3397"/>
    <w:rsid w:val="009B343E"/>
    <w:rsid w:val="009B346A"/>
    <w:rsid w:val="009B34BD"/>
    <w:rsid w:val="009B34E3"/>
    <w:rsid w:val="009B357E"/>
    <w:rsid w:val="009B3604"/>
    <w:rsid w:val="009B3779"/>
    <w:rsid w:val="009B3908"/>
    <w:rsid w:val="009B3A20"/>
    <w:rsid w:val="009B3BB1"/>
    <w:rsid w:val="009B3F13"/>
    <w:rsid w:val="009B415B"/>
    <w:rsid w:val="009B4251"/>
    <w:rsid w:val="009B430C"/>
    <w:rsid w:val="009B438B"/>
    <w:rsid w:val="009B45D7"/>
    <w:rsid w:val="009B46D7"/>
    <w:rsid w:val="009B4783"/>
    <w:rsid w:val="009B48B1"/>
    <w:rsid w:val="009B4C72"/>
    <w:rsid w:val="009B4EB9"/>
    <w:rsid w:val="009B4F75"/>
    <w:rsid w:val="009B4F8C"/>
    <w:rsid w:val="009B4FE2"/>
    <w:rsid w:val="009B513C"/>
    <w:rsid w:val="009B5153"/>
    <w:rsid w:val="009B5308"/>
    <w:rsid w:val="009B53A6"/>
    <w:rsid w:val="009B54CA"/>
    <w:rsid w:val="009B54F4"/>
    <w:rsid w:val="009B5520"/>
    <w:rsid w:val="009B559E"/>
    <w:rsid w:val="009B56A6"/>
    <w:rsid w:val="009B575F"/>
    <w:rsid w:val="009B588F"/>
    <w:rsid w:val="009B58C0"/>
    <w:rsid w:val="009B5A6F"/>
    <w:rsid w:val="009B5C50"/>
    <w:rsid w:val="009B5CED"/>
    <w:rsid w:val="009B5D0E"/>
    <w:rsid w:val="009B5D8C"/>
    <w:rsid w:val="009B60CB"/>
    <w:rsid w:val="009B618E"/>
    <w:rsid w:val="009B639F"/>
    <w:rsid w:val="009B6684"/>
    <w:rsid w:val="009B66C6"/>
    <w:rsid w:val="009B677A"/>
    <w:rsid w:val="009B6B1F"/>
    <w:rsid w:val="009B6BCB"/>
    <w:rsid w:val="009B6D8C"/>
    <w:rsid w:val="009B6FC2"/>
    <w:rsid w:val="009B71D1"/>
    <w:rsid w:val="009B74FF"/>
    <w:rsid w:val="009B7570"/>
    <w:rsid w:val="009B759B"/>
    <w:rsid w:val="009B76F7"/>
    <w:rsid w:val="009B7F86"/>
    <w:rsid w:val="009C004E"/>
    <w:rsid w:val="009C0084"/>
    <w:rsid w:val="009C02B7"/>
    <w:rsid w:val="009C0301"/>
    <w:rsid w:val="009C0486"/>
    <w:rsid w:val="009C049E"/>
    <w:rsid w:val="009C0840"/>
    <w:rsid w:val="009C0926"/>
    <w:rsid w:val="009C095D"/>
    <w:rsid w:val="009C09AB"/>
    <w:rsid w:val="009C0BE9"/>
    <w:rsid w:val="009C0F6C"/>
    <w:rsid w:val="009C100F"/>
    <w:rsid w:val="009C1039"/>
    <w:rsid w:val="009C10BD"/>
    <w:rsid w:val="009C12FC"/>
    <w:rsid w:val="009C130C"/>
    <w:rsid w:val="009C1377"/>
    <w:rsid w:val="009C139A"/>
    <w:rsid w:val="009C1474"/>
    <w:rsid w:val="009C147E"/>
    <w:rsid w:val="009C14CF"/>
    <w:rsid w:val="009C1501"/>
    <w:rsid w:val="009C1563"/>
    <w:rsid w:val="009C15CF"/>
    <w:rsid w:val="009C1681"/>
    <w:rsid w:val="009C1774"/>
    <w:rsid w:val="009C17A8"/>
    <w:rsid w:val="009C17C3"/>
    <w:rsid w:val="009C18AD"/>
    <w:rsid w:val="009C18B6"/>
    <w:rsid w:val="009C18C6"/>
    <w:rsid w:val="009C1C4C"/>
    <w:rsid w:val="009C1DD5"/>
    <w:rsid w:val="009C1E70"/>
    <w:rsid w:val="009C1F45"/>
    <w:rsid w:val="009C25C1"/>
    <w:rsid w:val="009C25FF"/>
    <w:rsid w:val="009C271A"/>
    <w:rsid w:val="009C27AC"/>
    <w:rsid w:val="009C27DF"/>
    <w:rsid w:val="009C2829"/>
    <w:rsid w:val="009C2C43"/>
    <w:rsid w:val="009C2C49"/>
    <w:rsid w:val="009C2C6F"/>
    <w:rsid w:val="009C2DA2"/>
    <w:rsid w:val="009C2EE4"/>
    <w:rsid w:val="009C2FD7"/>
    <w:rsid w:val="009C32BC"/>
    <w:rsid w:val="009C32CF"/>
    <w:rsid w:val="009C3336"/>
    <w:rsid w:val="009C339A"/>
    <w:rsid w:val="009C35C9"/>
    <w:rsid w:val="009C3628"/>
    <w:rsid w:val="009C38A9"/>
    <w:rsid w:val="009C3CC0"/>
    <w:rsid w:val="009C3DB0"/>
    <w:rsid w:val="009C407E"/>
    <w:rsid w:val="009C42C7"/>
    <w:rsid w:val="009C4305"/>
    <w:rsid w:val="009C455C"/>
    <w:rsid w:val="009C486B"/>
    <w:rsid w:val="009C4B4E"/>
    <w:rsid w:val="009C4BC0"/>
    <w:rsid w:val="009C4CBB"/>
    <w:rsid w:val="009C4D74"/>
    <w:rsid w:val="009C500C"/>
    <w:rsid w:val="009C5042"/>
    <w:rsid w:val="009C53B3"/>
    <w:rsid w:val="009C5516"/>
    <w:rsid w:val="009C569D"/>
    <w:rsid w:val="009C58C6"/>
    <w:rsid w:val="009C5920"/>
    <w:rsid w:val="009C594C"/>
    <w:rsid w:val="009C59B1"/>
    <w:rsid w:val="009C59E1"/>
    <w:rsid w:val="009C59F7"/>
    <w:rsid w:val="009C5AC5"/>
    <w:rsid w:val="009C5C61"/>
    <w:rsid w:val="009C5C83"/>
    <w:rsid w:val="009C5DFB"/>
    <w:rsid w:val="009C5EB3"/>
    <w:rsid w:val="009C5EED"/>
    <w:rsid w:val="009C6128"/>
    <w:rsid w:val="009C62FB"/>
    <w:rsid w:val="009C679A"/>
    <w:rsid w:val="009C67FD"/>
    <w:rsid w:val="009C6B8C"/>
    <w:rsid w:val="009C6C6A"/>
    <w:rsid w:val="009C6D1C"/>
    <w:rsid w:val="009C6D46"/>
    <w:rsid w:val="009C6E42"/>
    <w:rsid w:val="009C6E69"/>
    <w:rsid w:val="009C6F82"/>
    <w:rsid w:val="009C6FC3"/>
    <w:rsid w:val="009C752B"/>
    <w:rsid w:val="009C7595"/>
    <w:rsid w:val="009C766B"/>
    <w:rsid w:val="009C775C"/>
    <w:rsid w:val="009C7786"/>
    <w:rsid w:val="009C77A6"/>
    <w:rsid w:val="009C7958"/>
    <w:rsid w:val="009C7B07"/>
    <w:rsid w:val="009C7B2A"/>
    <w:rsid w:val="009C7CED"/>
    <w:rsid w:val="009C7D9F"/>
    <w:rsid w:val="009C7FA9"/>
    <w:rsid w:val="009D0293"/>
    <w:rsid w:val="009D0361"/>
    <w:rsid w:val="009D04FC"/>
    <w:rsid w:val="009D053D"/>
    <w:rsid w:val="009D0742"/>
    <w:rsid w:val="009D07A2"/>
    <w:rsid w:val="009D08D8"/>
    <w:rsid w:val="009D0C1E"/>
    <w:rsid w:val="009D0CA9"/>
    <w:rsid w:val="009D0D0F"/>
    <w:rsid w:val="009D0F62"/>
    <w:rsid w:val="009D10D8"/>
    <w:rsid w:val="009D11BD"/>
    <w:rsid w:val="009D1292"/>
    <w:rsid w:val="009D12BB"/>
    <w:rsid w:val="009D1398"/>
    <w:rsid w:val="009D17F4"/>
    <w:rsid w:val="009D18BE"/>
    <w:rsid w:val="009D193E"/>
    <w:rsid w:val="009D19FF"/>
    <w:rsid w:val="009D1AD9"/>
    <w:rsid w:val="009D1CCB"/>
    <w:rsid w:val="009D2438"/>
    <w:rsid w:val="009D2611"/>
    <w:rsid w:val="009D2889"/>
    <w:rsid w:val="009D28F1"/>
    <w:rsid w:val="009D2B8A"/>
    <w:rsid w:val="009D2C8D"/>
    <w:rsid w:val="009D2EE9"/>
    <w:rsid w:val="009D2FEB"/>
    <w:rsid w:val="009D331E"/>
    <w:rsid w:val="009D354E"/>
    <w:rsid w:val="009D384E"/>
    <w:rsid w:val="009D39AA"/>
    <w:rsid w:val="009D3A64"/>
    <w:rsid w:val="009D3BA7"/>
    <w:rsid w:val="009D421B"/>
    <w:rsid w:val="009D425E"/>
    <w:rsid w:val="009D42D1"/>
    <w:rsid w:val="009D4352"/>
    <w:rsid w:val="009D45B9"/>
    <w:rsid w:val="009D463C"/>
    <w:rsid w:val="009D48A9"/>
    <w:rsid w:val="009D4CD4"/>
    <w:rsid w:val="009D4DC3"/>
    <w:rsid w:val="009D4E19"/>
    <w:rsid w:val="009D4F67"/>
    <w:rsid w:val="009D5394"/>
    <w:rsid w:val="009D556B"/>
    <w:rsid w:val="009D56D4"/>
    <w:rsid w:val="009D577C"/>
    <w:rsid w:val="009D59C5"/>
    <w:rsid w:val="009D5A3F"/>
    <w:rsid w:val="009D5B92"/>
    <w:rsid w:val="009D5D01"/>
    <w:rsid w:val="009D5DB7"/>
    <w:rsid w:val="009D5EC2"/>
    <w:rsid w:val="009D5F32"/>
    <w:rsid w:val="009D61AE"/>
    <w:rsid w:val="009D627F"/>
    <w:rsid w:val="009D63A9"/>
    <w:rsid w:val="009D656B"/>
    <w:rsid w:val="009D65B4"/>
    <w:rsid w:val="009D673B"/>
    <w:rsid w:val="009D6773"/>
    <w:rsid w:val="009D6782"/>
    <w:rsid w:val="009D6813"/>
    <w:rsid w:val="009D6923"/>
    <w:rsid w:val="009D6AEE"/>
    <w:rsid w:val="009D6CBE"/>
    <w:rsid w:val="009D6CF4"/>
    <w:rsid w:val="009D6D8A"/>
    <w:rsid w:val="009D6E83"/>
    <w:rsid w:val="009D6E8D"/>
    <w:rsid w:val="009D710D"/>
    <w:rsid w:val="009D7254"/>
    <w:rsid w:val="009D74BD"/>
    <w:rsid w:val="009D758A"/>
    <w:rsid w:val="009D7649"/>
    <w:rsid w:val="009D79AC"/>
    <w:rsid w:val="009D79BF"/>
    <w:rsid w:val="009D7AAF"/>
    <w:rsid w:val="009D7AD3"/>
    <w:rsid w:val="009D7C29"/>
    <w:rsid w:val="009D7C80"/>
    <w:rsid w:val="009E0536"/>
    <w:rsid w:val="009E0841"/>
    <w:rsid w:val="009E08D3"/>
    <w:rsid w:val="009E0B3B"/>
    <w:rsid w:val="009E0B56"/>
    <w:rsid w:val="009E0BD1"/>
    <w:rsid w:val="009E0BF5"/>
    <w:rsid w:val="009E0EE7"/>
    <w:rsid w:val="009E0FB7"/>
    <w:rsid w:val="009E0FF8"/>
    <w:rsid w:val="009E1037"/>
    <w:rsid w:val="009E11C8"/>
    <w:rsid w:val="009E1570"/>
    <w:rsid w:val="009E15A5"/>
    <w:rsid w:val="009E15CB"/>
    <w:rsid w:val="009E17FC"/>
    <w:rsid w:val="009E18B5"/>
    <w:rsid w:val="009E198D"/>
    <w:rsid w:val="009E1A7F"/>
    <w:rsid w:val="009E1AE4"/>
    <w:rsid w:val="009E1DE8"/>
    <w:rsid w:val="009E1FD7"/>
    <w:rsid w:val="009E224F"/>
    <w:rsid w:val="009E22D7"/>
    <w:rsid w:val="009E25D0"/>
    <w:rsid w:val="009E2683"/>
    <w:rsid w:val="009E278A"/>
    <w:rsid w:val="009E27AB"/>
    <w:rsid w:val="009E2904"/>
    <w:rsid w:val="009E292C"/>
    <w:rsid w:val="009E2A23"/>
    <w:rsid w:val="009E2AF2"/>
    <w:rsid w:val="009E2BFF"/>
    <w:rsid w:val="009E2EAC"/>
    <w:rsid w:val="009E3194"/>
    <w:rsid w:val="009E3424"/>
    <w:rsid w:val="009E34E8"/>
    <w:rsid w:val="009E35AA"/>
    <w:rsid w:val="009E36B2"/>
    <w:rsid w:val="009E36D7"/>
    <w:rsid w:val="009E3866"/>
    <w:rsid w:val="009E386E"/>
    <w:rsid w:val="009E38A5"/>
    <w:rsid w:val="009E3970"/>
    <w:rsid w:val="009E397D"/>
    <w:rsid w:val="009E3B53"/>
    <w:rsid w:val="009E3C03"/>
    <w:rsid w:val="009E3C27"/>
    <w:rsid w:val="009E3C64"/>
    <w:rsid w:val="009E3CF4"/>
    <w:rsid w:val="009E3DFD"/>
    <w:rsid w:val="009E3E94"/>
    <w:rsid w:val="009E3EE3"/>
    <w:rsid w:val="009E3FBF"/>
    <w:rsid w:val="009E40D1"/>
    <w:rsid w:val="009E4448"/>
    <w:rsid w:val="009E4532"/>
    <w:rsid w:val="009E457E"/>
    <w:rsid w:val="009E4953"/>
    <w:rsid w:val="009E49BC"/>
    <w:rsid w:val="009E4C83"/>
    <w:rsid w:val="009E4D16"/>
    <w:rsid w:val="009E4E06"/>
    <w:rsid w:val="009E4E30"/>
    <w:rsid w:val="009E4F8E"/>
    <w:rsid w:val="009E4FB3"/>
    <w:rsid w:val="009E5056"/>
    <w:rsid w:val="009E51E3"/>
    <w:rsid w:val="009E5236"/>
    <w:rsid w:val="009E53A8"/>
    <w:rsid w:val="009E5440"/>
    <w:rsid w:val="009E54FD"/>
    <w:rsid w:val="009E558E"/>
    <w:rsid w:val="009E56D5"/>
    <w:rsid w:val="009E56F4"/>
    <w:rsid w:val="009E5904"/>
    <w:rsid w:val="009E59C1"/>
    <w:rsid w:val="009E5A34"/>
    <w:rsid w:val="009E5A4D"/>
    <w:rsid w:val="009E5B4D"/>
    <w:rsid w:val="009E5DB5"/>
    <w:rsid w:val="009E5E46"/>
    <w:rsid w:val="009E5F78"/>
    <w:rsid w:val="009E6063"/>
    <w:rsid w:val="009E607A"/>
    <w:rsid w:val="009E6224"/>
    <w:rsid w:val="009E63A1"/>
    <w:rsid w:val="009E6545"/>
    <w:rsid w:val="009E6692"/>
    <w:rsid w:val="009E66EA"/>
    <w:rsid w:val="009E6850"/>
    <w:rsid w:val="009E69E6"/>
    <w:rsid w:val="009E69FD"/>
    <w:rsid w:val="009E6E10"/>
    <w:rsid w:val="009E6E40"/>
    <w:rsid w:val="009E6EE5"/>
    <w:rsid w:val="009E6F88"/>
    <w:rsid w:val="009E705A"/>
    <w:rsid w:val="009E71E4"/>
    <w:rsid w:val="009E728C"/>
    <w:rsid w:val="009E7637"/>
    <w:rsid w:val="009E7774"/>
    <w:rsid w:val="009E7825"/>
    <w:rsid w:val="009E7AEA"/>
    <w:rsid w:val="009E7B14"/>
    <w:rsid w:val="009E7D22"/>
    <w:rsid w:val="009F00A7"/>
    <w:rsid w:val="009F0179"/>
    <w:rsid w:val="009F0334"/>
    <w:rsid w:val="009F0474"/>
    <w:rsid w:val="009F0505"/>
    <w:rsid w:val="009F0746"/>
    <w:rsid w:val="009F09C3"/>
    <w:rsid w:val="009F09CD"/>
    <w:rsid w:val="009F0A05"/>
    <w:rsid w:val="009F0A32"/>
    <w:rsid w:val="009F0E2B"/>
    <w:rsid w:val="009F0E98"/>
    <w:rsid w:val="009F0ECB"/>
    <w:rsid w:val="009F10E1"/>
    <w:rsid w:val="009F1309"/>
    <w:rsid w:val="009F18E2"/>
    <w:rsid w:val="009F1B91"/>
    <w:rsid w:val="009F1DCA"/>
    <w:rsid w:val="009F1E38"/>
    <w:rsid w:val="009F1F0D"/>
    <w:rsid w:val="009F2044"/>
    <w:rsid w:val="009F20C0"/>
    <w:rsid w:val="009F218B"/>
    <w:rsid w:val="009F221C"/>
    <w:rsid w:val="009F23CC"/>
    <w:rsid w:val="009F23DD"/>
    <w:rsid w:val="009F2482"/>
    <w:rsid w:val="009F24B7"/>
    <w:rsid w:val="009F2531"/>
    <w:rsid w:val="009F259E"/>
    <w:rsid w:val="009F281F"/>
    <w:rsid w:val="009F28BA"/>
    <w:rsid w:val="009F2ABB"/>
    <w:rsid w:val="009F2B1A"/>
    <w:rsid w:val="009F2D13"/>
    <w:rsid w:val="009F2F79"/>
    <w:rsid w:val="009F31BA"/>
    <w:rsid w:val="009F3364"/>
    <w:rsid w:val="009F3428"/>
    <w:rsid w:val="009F3449"/>
    <w:rsid w:val="009F37C1"/>
    <w:rsid w:val="009F380B"/>
    <w:rsid w:val="009F399A"/>
    <w:rsid w:val="009F39B1"/>
    <w:rsid w:val="009F3A04"/>
    <w:rsid w:val="009F3B6A"/>
    <w:rsid w:val="009F3B71"/>
    <w:rsid w:val="009F3EDB"/>
    <w:rsid w:val="009F3FEF"/>
    <w:rsid w:val="009F4313"/>
    <w:rsid w:val="009F451C"/>
    <w:rsid w:val="009F460F"/>
    <w:rsid w:val="009F4637"/>
    <w:rsid w:val="009F477A"/>
    <w:rsid w:val="009F4814"/>
    <w:rsid w:val="009F49D8"/>
    <w:rsid w:val="009F4C15"/>
    <w:rsid w:val="009F4C1A"/>
    <w:rsid w:val="009F4C4B"/>
    <w:rsid w:val="009F4E08"/>
    <w:rsid w:val="009F50BC"/>
    <w:rsid w:val="009F547B"/>
    <w:rsid w:val="009F55A0"/>
    <w:rsid w:val="009F5839"/>
    <w:rsid w:val="009F599E"/>
    <w:rsid w:val="009F5AA7"/>
    <w:rsid w:val="009F6059"/>
    <w:rsid w:val="009F6325"/>
    <w:rsid w:val="009F6379"/>
    <w:rsid w:val="009F6537"/>
    <w:rsid w:val="009F6707"/>
    <w:rsid w:val="009F6AEB"/>
    <w:rsid w:val="009F6B82"/>
    <w:rsid w:val="009F6B8B"/>
    <w:rsid w:val="009F6BB7"/>
    <w:rsid w:val="009F6C82"/>
    <w:rsid w:val="009F6DDC"/>
    <w:rsid w:val="009F7065"/>
    <w:rsid w:val="009F7075"/>
    <w:rsid w:val="009F7278"/>
    <w:rsid w:val="009F7321"/>
    <w:rsid w:val="009F7533"/>
    <w:rsid w:val="009F7546"/>
    <w:rsid w:val="009F78A3"/>
    <w:rsid w:val="009F7BAA"/>
    <w:rsid w:val="009F7C64"/>
    <w:rsid w:val="009F7C8D"/>
    <w:rsid w:val="009F7DCE"/>
    <w:rsid w:val="009F7EA3"/>
    <w:rsid w:val="00A001D5"/>
    <w:rsid w:val="00A00333"/>
    <w:rsid w:val="00A003BD"/>
    <w:rsid w:val="00A0051F"/>
    <w:rsid w:val="00A00607"/>
    <w:rsid w:val="00A00609"/>
    <w:rsid w:val="00A00675"/>
    <w:rsid w:val="00A00702"/>
    <w:rsid w:val="00A00746"/>
    <w:rsid w:val="00A00A8E"/>
    <w:rsid w:val="00A00DE6"/>
    <w:rsid w:val="00A00E33"/>
    <w:rsid w:val="00A00F7B"/>
    <w:rsid w:val="00A0111B"/>
    <w:rsid w:val="00A012E3"/>
    <w:rsid w:val="00A01459"/>
    <w:rsid w:val="00A01576"/>
    <w:rsid w:val="00A01681"/>
    <w:rsid w:val="00A016BF"/>
    <w:rsid w:val="00A0184B"/>
    <w:rsid w:val="00A01BC1"/>
    <w:rsid w:val="00A01D83"/>
    <w:rsid w:val="00A01DAF"/>
    <w:rsid w:val="00A02098"/>
    <w:rsid w:val="00A02363"/>
    <w:rsid w:val="00A023DE"/>
    <w:rsid w:val="00A025AA"/>
    <w:rsid w:val="00A0260B"/>
    <w:rsid w:val="00A02624"/>
    <w:rsid w:val="00A02777"/>
    <w:rsid w:val="00A027C0"/>
    <w:rsid w:val="00A02D00"/>
    <w:rsid w:val="00A02FB6"/>
    <w:rsid w:val="00A03036"/>
    <w:rsid w:val="00A034E6"/>
    <w:rsid w:val="00A0350A"/>
    <w:rsid w:val="00A035D3"/>
    <w:rsid w:val="00A0364F"/>
    <w:rsid w:val="00A0370E"/>
    <w:rsid w:val="00A039F1"/>
    <w:rsid w:val="00A03A1A"/>
    <w:rsid w:val="00A03C46"/>
    <w:rsid w:val="00A03C7E"/>
    <w:rsid w:val="00A03D1B"/>
    <w:rsid w:val="00A03E9E"/>
    <w:rsid w:val="00A041FD"/>
    <w:rsid w:val="00A04398"/>
    <w:rsid w:val="00A04479"/>
    <w:rsid w:val="00A046C0"/>
    <w:rsid w:val="00A0489D"/>
    <w:rsid w:val="00A04C76"/>
    <w:rsid w:val="00A04C99"/>
    <w:rsid w:val="00A04CC8"/>
    <w:rsid w:val="00A0508C"/>
    <w:rsid w:val="00A054F2"/>
    <w:rsid w:val="00A055DC"/>
    <w:rsid w:val="00A05652"/>
    <w:rsid w:val="00A056D9"/>
    <w:rsid w:val="00A05910"/>
    <w:rsid w:val="00A059FE"/>
    <w:rsid w:val="00A05D4C"/>
    <w:rsid w:val="00A05DE9"/>
    <w:rsid w:val="00A05EC3"/>
    <w:rsid w:val="00A06314"/>
    <w:rsid w:val="00A063E2"/>
    <w:rsid w:val="00A065D6"/>
    <w:rsid w:val="00A066E3"/>
    <w:rsid w:val="00A067DD"/>
    <w:rsid w:val="00A06928"/>
    <w:rsid w:val="00A0696D"/>
    <w:rsid w:val="00A06991"/>
    <w:rsid w:val="00A069B3"/>
    <w:rsid w:val="00A06B9F"/>
    <w:rsid w:val="00A06C19"/>
    <w:rsid w:val="00A06C89"/>
    <w:rsid w:val="00A06CDB"/>
    <w:rsid w:val="00A06FCF"/>
    <w:rsid w:val="00A0719A"/>
    <w:rsid w:val="00A073A0"/>
    <w:rsid w:val="00A07498"/>
    <w:rsid w:val="00A074BC"/>
    <w:rsid w:val="00A074E7"/>
    <w:rsid w:val="00A07658"/>
    <w:rsid w:val="00A0768F"/>
    <w:rsid w:val="00A07869"/>
    <w:rsid w:val="00A07CE8"/>
    <w:rsid w:val="00A101EF"/>
    <w:rsid w:val="00A102C9"/>
    <w:rsid w:val="00A103EB"/>
    <w:rsid w:val="00A10482"/>
    <w:rsid w:val="00A10561"/>
    <w:rsid w:val="00A10781"/>
    <w:rsid w:val="00A108BF"/>
    <w:rsid w:val="00A10918"/>
    <w:rsid w:val="00A10B51"/>
    <w:rsid w:val="00A10C01"/>
    <w:rsid w:val="00A10E4C"/>
    <w:rsid w:val="00A10E5C"/>
    <w:rsid w:val="00A110B4"/>
    <w:rsid w:val="00A11222"/>
    <w:rsid w:val="00A112A7"/>
    <w:rsid w:val="00A11488"/>
    <w:rsid w:val="00A115E5"/>
    <w:rsid w:val="00A1179C"/>
    <w:rsid w:val="00A11963"/>
    <w:rsid w:val="00A11CE9"/>
    <w:rsid w:val="00A120F4"/>
    <w:rsid w:val="00A12186"/>
    <w:rsid w:val="00A12630"/>
    <w:rsid w:val="00A1264E"/>
    <w:rsid w:val="00A12781"/>
    <w:rsid w:val="00A12902"/>
    <w:rsid w:val="00A12B58"/>
    <w:rsid w:val="00A12B68"/>
    <w:rsid w:val="00A12B74"/>
    <w:rsid w:val="00A12C3B"/>
    <w:rsid w:val="00A12EE5"/>
    <w:rsid w:val="00A130F0"/>
    <w:rsid w:val="00A1334A"/>
    <w:rsid w:val="00A134AA"/>
    <w:rsid w:val="00A135F6"/>
    <w:rsid w:val="00A13871"/>
    <w:rsid w:val="00A13A72"/>
    <w:rsid w:val="00A13BC5"/>
    <w:rsid w:val="00A13E24"/>
    <w:rsid w:val="00A13E50"/>
    <w:rsid w:val="00A13FB3"/>
    <w:rsid w:val="00A141A9"/>
    <w:rsid w:val="00A14210"/>
    <w:rsid w:val="00A14266"/>
    <w:rsid w:val="00A1426E"/>
    <w:rsid w:val="00A142BC"/>
    <w:rsid w:val="00A145B5"/>
    <w:rsid w:val="00A14825"/>
    <w:rsid w:val="00A14AD0"/>
    <w:rsid w:val="00A14C17"/>
    <w:rsid w:val="00A14F61"/>
    <w:rsid w:val="00A14F9F"/>
    <w:rsid w:val="00A14FD4"/>
    <w:rsid w:val="00A151C6"/>
    <w:rsid w:val="00A151E6"/>
    <w:rsid w:val="00A151F3"/>
    <w:rsid w:val="00A151FA"/>
    <w:rsid w:val="00A1520F"/>
    <w:rsid w:val="00A152B3"/>
    <w:rsid w:val="00A153E6"/>
    <w:rsid w:val="00A1545E"/>
    <w:rsid w:val="00A154D3"/>
    <w:rsid w:val="00A1573E"/>
    <w:rsid w:val="00A157D8"/>
    <w:rsid w:val="00A15871"/>
    <w:rsid w:val="00A15953"/>
    <w:rsid w:val="00A1596A"/>
    <w:rsid w:val="00A15C7A"/>
    <w:rsid w:val="00A15F25"/>
    <w:rsid w:val="00A15F30"/>
    <w:rsid w:val="00A16027"/>
    <w:rsid w:val="00A1609F"/>
    <w:rsid w:val="00A16131"/>
    <w:rsid w:val="00A16247"/>
    <w:rsid w:val="00A16349"/>
    <w:rsid w:val="00A1636F"/>
    <w:rsid w:val="00A1638F"/>
    <w:rsid w:val="00A163B0"/>
    <w:rsid w:val="00A1651C"/>
    <w:rsid w:val="00A166CE"/>
    <w:rsid w:val="00A167C7"/>
    <w:rsid w:val="00A168C2"/>
    <w:rsid w:val="00A16A91"/>
    <w:rsid w:val="00A16AAD"/>
    <w:rsid w:val="00A16AF0"/>
    <w:rsid w:val="00A16DCF"/>
    <w:rsid w:val="00A16E7E"/>
    <w:rsid w:val="00A16EDD"/>
    <w:rsid w:val="00A16F61"/>
    <w:rsid w:val="00A16F89"/>
    <w:rsid w:val="00A16F9C"/>
    <w:rsid w:val="00A17013"/>
    <w:rsid w:val="00A171F8"/>
    <w:rsid w:val="00A17549"/>
    <w:rsid w:val="00A1756B"/>
    <w:rsid w:val="00A17634"/>
    <w:rsid w:val="00A17776"/>
    <w:rsid w:val="00A177BC"/>
    <w:rsid w:val="00A17BDD"/>
    <w:rsid w:val="00A17E11"/>
    <w:rsid w:val="00A17F68"/>
    <w:rsid w:val="00A200C4"/>
    <w:rsid w:val="00A20204"/>
    <w:rsid w:val="00A202EE"/>
    <w:rsid w:val="00A204A7"/>
    <w:rsid w:val="00A2050D"/>
    <w:rsid w:val="00A20880"/>
    <w:rsid w:val="00A209E6"/>
    <w:rsid w:val="00A20AC4"/>
    <w:rsid w:val="00A2106B"/>
    <w:rsid w:val="00A210E2"/>
    <w:rsid w:val="00A210F6"/>
    <w:rsid w:val="00A21116"/>
    <w:rsid w:val="00A21337"/>
    <w:rsid w:val="00A2137A"/>
    <w:rsid w:val="00A213E3"/>
    <w:rsid w:val="00A21515"/>
    <w:rsid w:val="00A21552"/>
    <w:rsid w:val="00A215FE"/>
    <w:rsid w:val="00A219BE"/>
    <w:rsid w:val="00A21A21"/>
    <w:rsid w:val="00A21AF5"/>
    <w:rsid w:val="00A21B3B"/>
    <w:rsid w:val="00A21BB7"/>
    <w:rsid w:val="00A21CAA"/>
    <w:rsid w:val="00A21D20"/>
    <w:rsid w:val="00A21F75"/>
    <w:rsid w:val="00A21FDB"/>
    <w:rsid w:val="00A221A3"/>
    <w:rsid w:val="00A2221C"/>
    <w:rsid w:val="00A224FD"/>
    <w:rsid w:val="00A225E5"/>
    <w:rsid w:val="00A226EA"/>
    <w:rsid w:val="00A22C1B"/>
    <w:rsid w:val="00A22E34"/>
    <w:rsid w:val="00A23153"/>
    <w:rsid w:val="00A231E1"/>
    <w:rsid w:val="00A2324A"/>
    <w:rsid w:val="00A233B2"/>
    <w:rsid w:val="00A23432"/>
    <w:rsid w:val="00A23447"/>
    <w:rsid w:val="00A2346D"/>
    <w:rsid w:val="00A23472"/>
    <w:rsid w:val="00A237C6"/>
    <w:rsid w:val="00A2380E"/>
    <w:rsid w:val="00A23810"/>
    <w:rsid w:val="00A239AA"/>
    <w:rsid w:val="00A23AAB"/>
    <w:rsid w:val="00A23B16"/>
    <w:rsid w:val="00A23C14"/>
    <w:rsid w:val="00A24218"/>
    <w:rsid w:val="00A24365"/>
    <w:rsid w:val="00A243E5"/>
    <w:rsid w:val="00A24528"/>
    <w:rsid w:val="00A24AC3"/>
    <w:rsid w:val="00A24C72"/>
    <w:rsid w:val="00A24EB8"/>
    <w:rsid w:val="00A24F4E"/>
    <w:rsid w:val="00A24F87"/>
    <w:rsid w:val="00A250FA"/>
    <w:rsid w:val="00A25107"/>
    <w:rsid w:val="00A25131"/>
    <w:rsid w:val="00A2513A"/>
    <w:rsid w:val="00A25194"/>
    <w:rsid w:val="00A25456"/>
    <w:rsid w:val="00A2554F"/>
    <w:rsid w:val="00A25746"/>
    <w:rsid w:val="00A258D0"/>
    <w:rsid w:val="00A25969"/>
    <w:rsid w:val="00A259E8"/>
    <w:rsid w:val="00A25AF0"/>
    <w:rsid w:val="00A25BC3"/>
    <w:rsid w:val="00A25D72"/>
    <w:rsid w:val="00A25F27"/>
    <w:rsid w:val="00A26094"/>
    <w:rsid w:val="00A260DC"/>
    <w:rsid w:val="00A2614D"/>
    <w:rsid w:val="00A261CB"/>
    <w:rsid w:val="00A261EF"/>
    <w:rsid w:val="00A2641E"/>
    <w:rsid w:val="00A26508"/>
    <w:rsid w:val="00A2656F"/>
    <w:rsid w:val="00A265BF"/>
    <w:rsid w:val="00A26718"/>
    <w:rsid w:val="00A2673E"/>
    <w:rsid w:val="00A26B2E"/>
    <w:rsid w:val="00A26CD9"/>
    <w:rsid w:val="00A26CDC"/>
    <w:rsid w:val="00A26F1A"/>
    <w:rsid w:val="00A2712A"/>
    <w:rsid w:val="00A2721B"/>
    <w:rsid w:val="00A27240"/>
    <w:rsid w:val="00A273BF"/>
    <w:rsid w:val="00A27542"/>
    <w:rsid w:val="00A275B3"/>
    <w:rsid w:val="00A275D9"/>
    <w:rsid w:val="00A27635"/>
    <w:rsid w:val="00A27699"/>
    <w:rsid w:val="00A2775A"/>
    <w:rsid w:val="00A279E9"/>
    <w:rsid w:val="00A27C41"/>
    <w:rsid w:val="00A27D49"/>
    <w:rsid w:val="00A27DC2"/>
    <w:rsid w:val="00A27E82"/>
    <w:rsid w:val="00A27F68"/>
    <w:rsid w:val="00A30142"/>
    <w:rsid w:val="00A30422"/>
    <w:rsid w:val="00A305A5"/>
    <w:rsid w:val="00A3066D"/>
    <w:rsid w:val="00A307F7"/>
    <w:rsid w:val="00A3081F"/>
    <w:rsid w:val="00A30898"/>
    <w:rsid w:val="00A30917"/>
    <w:rsid w:val="00A30D66"/>
    <w:rsid w:val="00A3105D"/>
    <w:rsid w:val="00A31152"/>
    <w:rsid w:val="00A312B7"/>
    <w:rsid w:val="00A312EA"/>
    <w:rsid w:val="00A31308"/>
    <w:rsid w:val="00A31374"/>
    <w:rsid w:val="00A313CA"/>
    <w:rsid w:val="00A31618"/>
    <w:rsid w:val="00A316A9"/>
    <w:rsid w:val="00A317DC"/>
    <w:rsid w:val="00A31867"/>
    <w:rsid w:val="00A3191F"/>
    <w:rsid w:val="00A31C3B"/>
    <w:rsid w:val="00A31E66"/>
    <w:rsid w:val="00A31F4B"/>
    <w:rsid w:val="00A31F66"/>
    <w:rsid w:val="00A321AA"/>
    <w:rsid w:val="00A322C3"/>
    <w:rsid w:val="00A323F6"/>
    <w:rsid w:val="00A32421"/>
    <w:rsid w:val="00A32462"/>
    <w:rsid w:val="00A324C9"/>
    <w:rsid w:val="00A3266E"/>
    <w:rsid w:val="00A3267B"/>
    <w:rsid w:val="00A32831"/>
    <w:rsid w:val="00A3288B"/>
    <w:rsid w:val="00A329DD"/>
    <w:rsid w:val="00A32B5D"/>
    <w:rsid w:val="00A32C05"/>
    <w:rsid w:val="00A32C42"/>
    <w:rsid w:val="00A32C48"/>
    <w:rsid w:val="00A32E3C"/>
    <w:rsid w:val="00A32F0D"/>
    <w:rsid w:val="00A32FFB"/>
    <w:rsid w:val="00A33054"/>
    <w:rsid w:val="00A3341C"/>
    <w:rsid w:val="00A33484"/>
    <w:rsid w:val="00A334C0"/>
    <w:rsid w:val="00A3356D"/>
    <w:rsid w:val="00A33977"/>
    <w:rsid w:val="00A33D62"/>
    <w:rsid w:val="00A33FF0"/>
    <w:rsid w:val="00A3426A"/>
    <w:rsid w:val="00A34475"/>
    <w:rsid w:val="00A346D8"/>
    <w:rsid w:val="00A34891"/>
    <w:rsid w:val="00A34C69"/>
    <w:rsid w:val="00A34D64"/>
    <w:rsid w:val="00A34DAF"/>
    <w:rsid w:val="00A351B3"/>
    <w:rsid w:val="00A357A4"/>
    <w:rsid w:val="00A35936"/>
    <w:rsid w:val="00A35C6B"/>
    <w:rsid w:val="00A35DAC"/>
    <w:rsid w:val="00A35EFE"/>
    <w:rsid w:val="00A36057"/>
    <w:rsid w:val="00A3618C"/>
    <w:rsid w:val="00A3634F"/>
    <w:rsid w:val="00A36697"/>
    <w:rsid w:val="00A36C9A"/>
    <w:rsid w:val="00A36EB9"/>
    <w:rsid w:val="00A36FDE"/>
    <w:rsid w:val="00A37027"/>
    <w:rsid w:val="00A37237"/>
    <w:rsid w:val="00A37305"/>
    <w:rsid w:val="00A377D1"/>
    <w:rsid w:val="00A379F3"/>
    <w:rsid w:val="00A37A44"/>
    <w:rsid w:val="00A37BAB"/>
    <w:rsid w:val="00A37C9B"/>
    <w:rsid w:val="00A37EEB"/>
    <w:rsid w:val="00A37FBF"/>
    <w:rsid w:val="00A4009E"/>
    <w:rsid w:val="00A4042B"/>
    <w:rsid w:val="00A40439"/>
    <w:rsid w:val="00A40560"/>
    <w:rsid w:val="00A405C8"/>
    <w:rsid w:val="00A4071F"/>
    <w:rsid w:val="00A407FF"/>
    <w:rsid w:val="00A40A7A"/>
    <w:rsid w:val="00A40C4E"/>
    <w:rsid w:val="00A40C5B"/>
    <w:rsid w:val="00A40CF3"/>
    <w:rsid w:val="00A40DBB"/>
    <w:rsid w:val="00A40FBE"/>
    <w:rsid w:val="00A41050"/>
    <w:rsid w:val="00A41355"/>
    <w:rsid w:val="00A41441"/>
    <w:rsid w:val="00A4159D"/>
    <w:rsid w:val="00A4161A"/>
    <w:rsid w:val="00A41779"/>
    <w:rsid w:val="00A4189B"/>
    <w:rsid w:val="00A41926"/>
    <w:rsid w:val="00A419FC"/>
    <w:rsid w:val="00A41AE1"/>
    <w:rsid w:val="00A41CF4"/>
    <w:rsid w:val="00A41E0B"/>
    <w:rsid w:val="00A41EE7"/>
    <w:rsid w:val="00A41F06"/>
    <w:rsid w:val="00A4202B"/>
    <w:rsid w:val="00A42113"/>
    <w:rsid w:val="00A42135"/>
    <w:rsid w:val="00A421CD"/>
    <w:rsid w:val="00A421D0"/>
    <w:rsid w:val="00A42240"/>
    <w:rsid w:val="00A422DA"/>
    <w:rsid w:val="00A4277A"/>
    <w:rsid w:val="00A42795"/>
    <w:rsid w:val="00A42B4B"/>
    <w:rsid w:val="00A42C92"/>
    <w:rsid w:val="00A42FDA"/>
    <w:rsid w:val="00A42FEC"/>
    <w:rsid w:val="00A43215"/>
    <w:rsid w:val="00A43319"/>
    <w:rsid w:val="00A4354A"/>
    <w:rsid w:val="00A438F6"/>
    <w:rsid w:val="00A43939"/>
    <w:rsid w:val="00A439B7"/>
    <w:rsid w:val="00A43A21"/>
    <w:rsid w:val="00A43A35"/>
    <w:rsid w:val="00A43BAA"/>
    <w:rsid w:val="00A43C45"/>
    <w:rsid w:val="00A43C93"/>
    <w:rsid w:val="00A43CE1"/>
    <w:rsid w:val="00A43E01"/>
    <w:rsid w:val="00A44393"/>
    <w:rsid w:val="00A4455A"/>
    <w:rsid w:val="00A445D3"/>
    <w:rsid w:val="00A44706"/>
    <w:rsid w:val="00A447E6"/>
    <w:rsid w:val="00A4487F"/>
    <w:rsid w:val="00A448E3"/>
    <w:rsid w:val="00A44957"/>
    <w:rsid w:val="00A44986"/>
    <w:rsid w:val="00A44A81"/>
    <w:rsid w:val="00A44C24"/>
    <w:rsid w:val="00A44D37"/>
    <w:rsid w:val="00A44D3B"/>
    <w:rsid w:val="00A44DCF"/>
    <w:rsid w:val="00A44F37"/>
    <w:rsid w:val="00A45108"/>
    <w:rsid w:val="00A45347"/>
    <w:rsid w:val="00A45393"/>
    <w:rsid w:val="00A45460"/>
    <w:rsid w:val="00A45522"/>
    <w:rsid w:val="00A45724"/>
    <w:rsid w:val="00A4573D"/>
    <w:rsid w:val="00A45826"/>
    <w:rsid w:val="00A458A6"/>
    <w:rsid w:val="00A458E5"/>
    <w:rsid w:val="00A45A20"/>
    <w:rsid w:val="00A45B76"/>
    <w:rsid w:val="00A45D73"/>
    <w:rsid w:val="00A45F83"/>
    <w:rsid w:val="00A45FA3"/>
    <w:rsid w:val="00A46041"/>
    <w:rsid w:val="00A46193"/>
    <w:rsid w:val="00A46205"/>
    <w:rsid w:val="00A463C6"/>
    <w:rsid w:val="00A463F5"/>
    <w:rsid w:val="00A465B4"/>
    <w:rsid w:val="00A468C5"/>
    <w:rsid w:val="00A46C52"/>
    <w:rsid w:val="00A46CC4"/>
    <w:rsid w:val="00A46E6F"/>
    <w:rsid w:val="00A4700C"/>
    <w:rsid w:val="00A4731A"/>
    <w:rsid w:val="00A47487"/>
    <w:rsid w:val="00A47584"/>
    <w:rsid w:val="00A475B4"/>
    <w:rsid w:val="00A4788C"/>
    <w:rsid w:val="00A47992"/>
    <w:rsid w:val="00A47A20"/>
    <w:rsid w:val="00A47A39"/>
    <w:rsid w:val="00A47A81"/>
    <w:rsid w:val="00A47AEA"/>
    <w:rsid w:val="00A47D3E"/>
    <w:rsid w:val="00A47D90"/>
    <w:rsid w:val="00A47DF1"/>
    <w:rsid w:val="00A500C1"/>
    <w:rsid w:val="00A50282"/>
    <w:rsid w:val="00A50285"/>
    <w:rsid w:val="00A502C6"/>
    <w:rsid w:val="00A50327"/>
    <w:rsid w:val="00A503AC"/>
    <w:rsid w:val="00A503B9"/>
    <w:rsid w:val="00A506DA"/>
    <w:rsid w:val="00A5094B"/>
    <w:rsid w:val="00A509A1"/>
    <w:rsid w:val="00A50A12"/>
    <w:rsid w:val="00A50A4F"/>
    <w:rsid w:val="00A50B7E"/>
    <w:rsid w:val="00A50D54"/>
    <w:rsid w:val="00A50D55"/>
    <w:rsid w:val="00A50DD6"/>
    <w:rsid w:val="00A50F1B"/>
    <w:rsid w:val="00A51318"/>
    <w:rsid w:val="00A513D5"/>
    <w:rsid w:val="00A51869"/>
    <w:rsid w:val="00A51971"/>
    <w:rsid w:val="00A51B5B"/>
    <w:rsid w:val="00A51E88"/>
    <w:rsid w:val="00A52122"/>
    <w:rsid w:val="00A5222F"/>
    <w:rsid w:val="00A522B5"/>
    <w:rsid w:val="00A5243F"/>
    <w:rsid w:val="00A52526"/>
    <w:rsid w:val="00A5268B"/>
    <w:rsid w:val="00A52740"/>
    <w:rsid w:val="00A527BC"/>
    <w:rsid w:val="00A528DE"/>
    <w:rsid w:val="00A52AE8"/>
    <w:rsid w:val="00A52B0D"/>
    <w:rsid w:val="00A52D0B"/>
    <w:rsid w:val="00A52D11"/>
    <w:rsid w:val="00A52D15"/>
    <w:rsid w:val="00A52F60"/>
    <w:rsid w:val="00A52FAF"/>
    <w:rsid w:val="00A53093"/>
    <w:rsid w:val="00A531AA"/>
    <w:rsid w:val="00A53207"/>
    <w:rsid w:val="00A53524"/>
    <w:rsid w:val="00A53607"/>
    <w:rsid w:val="00A5367B"/>
    <w:rsid w:val="00A53683"/>
    <w:rsid w:val="00A53705"/>
    <w:rsid w:val="00A53790"/>
    <w:rsid w:val="00A53942"/>
    <w:rsid w:val="00A539B2"/>
    <w:rsid w:val="00A53A7E"/>
    <w:rsid w:val="00A53A98"/>
    <w:rsid w:val="00A53B88"/>
    <w:rsid w:val="00A53C33"/>
    <w:rsid w:val="00A53C66"/>
    <w:rsid w:val="00A53DF4"/>
    <w:rsid w:val="00A53DF7"/>
    <w:rsid w:val="00A53EC4"/>
    <w:rsid w:val="00A53F20"/>
    <w:rsid w:val="00A541F9"/>
    <w:rsid w:val="00A542D5"/>
    <w:rsid w:val="00A54323"/>
    <w:rsid w:val="00A54516"/>
    <w:rsid w:val="00A545A0"/>
    <w:rsid w:val="00A54663"/>
    <w:rsid w:val="00A5467C"/>
    <w:rsid w:val="00A547E9"/>
    <w:rsid w:val="00A547F3"/>
    <w:rsid w:val="00A54AC7"/>
    <w:rsid w:val="00A54BC9"/>
    <w:rsid w:val="00A54CA8"/>
    <w:rsid w:val="00A54CDA"/>
    <w:rsid w:val="00A54D2E"/>
    <w:rsid w:val="00A54DEB"/>
    <w:rsid w:val="00A54DED"/>
    <w:rsid w:val="00A54E6F"/>
    <w:rsid w:val="00A54EB3"/>
    <w:rsid w:val="00A54EC6"/>
    <w:rsid w:val="00A54ED4"/>
    <w:rsid w:val="00A54F99"/>
    <w:rsid w:val="00A5516F"/>
    <w:rsid w:val="00A5544B"/>
    <w:rsid w:val="00A55571"/>
    <w:rsid w:val="00A5557E"/>
    <w:rsid w:val="00A555D9"/>
    <w:rsid w:val="00A556BD"/>
    <w:rsid w:val="00A556FA"/>
    <w:rsid w:val="00A55967"/>
    <w:rsid w:val="00A559DE"/>
    <w:rsid w:val="00A55B46"/>
    <w:rsid w:val="00A55C19"/>
    <w:rsid w:val="00A55D20"/>
    <w:rsid w:val="00A55DC5"/>
    <w:rsid w:val="00A55E34"/>
    <w:rsid w:val="00A55E6A"/>
    <w:rsid w:val="00A55EAF"/>
    <w:rsid w:val="00A55F9D"/>
    <w:rsid w:val="00A564DF"/>
    <w:rsid w:val="00A564E3"/>
    <w:rsid w:val="00A564EC"/>
    <w:rsid w:val="00A56967"/>
    <w:rsid w:val="00A56AAD"/>
    <w:rsid w:val="00A56CD2"/>
    <w:rsid w:val="00A5701C"/>
    <w:rsid w:val="00A5707C"/>
    <w:rsid w:val="00A570FD"/>
    <w:rsid w:val="00A571FF"/>
    <w:rsid w:val="00A57222"/>
    <w:rsid w:val="00A5767D"/>
    <w:rsid w:val="00A576CE"/>
    <w:rsid w:val="00A5782A"/>
    <w:rsid w:val="00A578DE"/>
    <w:rsid w:val="00A57A04"/>
    <w:rsid w:val="00A57A09"/>
    <w:rsid w:val="00A57C09"/>
    <w:rsid w:val="00A57C82"/>
    <w:rsid w:val="00A57CB0"/>
    <w:rsid w:val="00A57E23"/>
    <w:rsid w:val="00A57E72"/>
    <w:rsid w:val="00A6008D"/>
    <w:rsid w:val="00A60151"/>
    <w:rsid w:val="00A6075E"/>
    <w:rsid w:val="00A6080C"/>
    <w:rsid w:val="00A60AD0"/>
    <w:rsid w:val="00A60F51"/>
    <w:rsid w:val="00A6131C"/>
    <w:rsid w:val="00A61373"/>
    <w:rsid w:val="00A613ED"/>
    <w:rsid w:val="00A614D8"/>
    <w:rsid w:val="00A6158A"/>
    <w:rsid w:val="00A6188F"/>
    <w:rsid w:val="00A61892"/>
    <w:rsid w:val="00A618EB"/>
    <w:rsid w:val="00A61B16"/>
    <w:rsid w:val="00A61C80"/>
    <w:rsid w:val="00A61C91"/>
    <w:rsid w:val="00A61D2B"/>
    <w:rsid w:val="00A61DF3"/>
    <w:rsid w:val="00A61F25"/>
    <w:rsid w:val="00A6201B"/>
    <w:rsid w:val="00A6202F"/>
    <w:rsid w:val="00A62212"/>
    <w:rsid w:val="00A6221F"/>
    <w:rsid w:val="00A62443"/>
    <w:rsid w:val="00A6266A"/>
    <w:rsid w:val="00A626DD"/>
    <w:rsid w:val="00A62726"/>
    <w:rsid w:val="00A62ADD"/>
    <w:rsid w:val="00A62B21"/>
    <w:rsid w:val="00A62B65"/>
    <w:rsid w:val="00A62BC8"/>
    <w:rsid w:val="00A62C44"/>
    <w:rsid w:val="00A62D69"/>
    <w:rsid w:val="00A63119"/>
    <w:rsid w:val="00A6359B"/>
    <w:rsid w:val="00A636C4"/>
    <w:rsid w:val="00A63A01"/>
    <w:rsid w:val="00A63A13"/>
    <w:rsid w:val="00A63A1A"/>
    <w:rsid w:val="00A63BDC"/>
    <w:rsid w:val="00A63BE9"/>
    <w:rsid w:val="00A63D52"/>
    <w:rsid w:val="00A63E14"/>
    <w:rsid w:val="00A63E77"/>
    <w:rsid w:val="00A63F42"/>
    <w:rsid w:val="00A641B0"/>
    <w:rsid w:val="00A641CA"/>
    <w:rsid w:val="00A6424E"/>
    <w:rsid w:val="00A64297"/>
    <w:rsid w:val="00A64578"/>
    <w:rsid w:val="00A64579"/>
    <w:rsid w:val="00A645DF"/>
    <w:rsid w:val="00A64664"/>
    <w:rsid w:val="00A64682"/>
    <w:rsid w:val="00A647FA"/>
    <w:rsid w:val="00A64907"/>
    <w:rsid w:val="00A64AD4"/>
    <w:rsid w:val="00A64BC1"/>
    <w:rsid w:val="00A64CAA"/>
    <w:rsid w:val="00A64DEC"/>
    <w:rsid w:val="00A6517A"/>
    <w:rsid w:val="00A6546D"/>
    <w:rsid w:val="00A654A6"/>
    <w:rsid w:val="00A6550A"/>
    <w:rsid w:val="00A657C7"/>
    <w:rsid w:val="00A6580E"/>
    <w:rsid w:val="00A65A94"/>
    <w:rsid w:val="00A65BD0"/>
    <w:rsid w:val="00A65CC1"/>
    <w:rsid w:val="00A65DF1"/>
    <w:rsid w:val="00A66185"/>
    <w:rsid w:val="00A662A2"/>
    <w:rsid w:val="00A662DC"/>
    <w:rsid w:val="00A6645B"/>
    <w:rsid w:val="00A664DA"/>
    <w:rsid w:val="00A665D1"/>
    <w:rsid w:val="00A66616"/>
    <w:rsid w:val="00A66917"/>
    <w:rsid w:val="00A6695E"/>
    <w:rsid w:val="00A66A31"/>
    <w:rsid w:val="00A66A66"/>
    <w:rsid w:val="00A66B13"/>
    <w:rsid w:val="00A66BC3"/>
    <w:rsid w:val="00A66BE2"/>
    <w:rsid w:val="00A66E09"/>
    <w:rsid w:val="00A66EA5"/>
    <w:rsid w:val="00A66EC1"/>
    <w:rsid w:val="00A6702E"/>
    <w:rsid w:val="00A67227"/>
    <w:rsid w:val="00A67394"/>
    <w:rsid w:val="00A67397"/>
    <w:rsid w:val="00A674BF"/>
    <w:rsid w:val="00A674C5"/>
    <w:rsid w:val="00A67607"/>
    <w:rsid w:val="00A676F1"/>
    <w:rsid w:val="00A67823"/>
    <w:rsid w:val="00A678F1"/>
    <w:rsid w:val="00A6797A"/>
    <w:rsid w:val="00A67AAE"/>
    <w:rsid w:val="00A67B77"/>
    <w:rsid w:val="00A67BFF"/>
    <w:rsid w:val="00A67C36"/>
    <w:rsid w:val="00A67C7A"/>
    <w:rsid w:val="00A700A6"/>
    <w:rsid w:val="00A7013A"/>
    <w:rsid w:val="00A702F1"/>
    <w:rsid w:val="00A702FC"/>
    <w:rsid w:val="00A70669"/>
    <w:rsid w:val="00A70781"/>
    <w:rsid w:val="00A7078B"/>
    <w:rsid w:val="00A70A13"/>
    <w:rsid w:val="00A70B53"/>
    <w:rsid w:val="00A70B96"/>
    <w:rsid w:val="00A70C19"/>
    <w:rsid w:val="00A70C2E"/>
    <w:rsid w:val="00A70C4A"/>
    <w:rsid w:val="00A70CE6"/>
    <w:rsid w:val="00A70D75"/>
    <w:rsid w:val="00A70DD3"/>
    <w:rsid w:val="00A70E64"/>
    <w:rsid w:val="00A71016"/>
    <w:rsid w:val="00A7101D"/>
    <w:rsid w:val="00A7126F"/>
    <w:rsid w:val="00A71298"/>
    <w:rsid w:val="00A712D0"/>
    <w:rsid w:val="00A713F9"/>
    <w:rsid w:val="00A71473"/>
    <w:rsid w:val="00A7151D"/>
    <w:rsid w:val="00A715E4"/>
    <w:rsid w:val="00A7181B"/>
    <w:rsid w:val="00A71823"/>
    <w:rsid w:val="00A7184E"/>
    <w:rsid w:val="00A718E5"/>
    <w:rsid w:val="00A719C7"/>
    <w:rsid w:val="00A71B90"/>
    <w:rsid w:val="00A71FC4"/>
    <w:rsid w:val="00A72071"/>
    <w:rsid w:val="00A721ED"/>
    <w:rsid w:val="00A72377"/>
    <w:rsid w:val="00A725D4"/>
    <w:rsid w:val="00A72BC1"/>
    <w:rsid w:val="00A72CAB"/>
    <w:rsid w:val="00A72EA1"/>
    <w:rsid w:val="00A72FF0"/>
    <w:rsid w:val="00A731DB"/>
    <w:rsid w:val="00A731DE"/>
    <w:rsid w:val="00A7331D"/>
    <w:rsid w:val="00A733A1"/>
    <w:rsid w:val="00A733DF"/>
    <w:rsid w:val="00A73450"/>
    <w:rsid w:val="00A734F5"/>
    <w:rsid w:val="00A736E6"/>
    <w:rsid w:val="00A73795"/>
    <w:rsid w:val="00A73AA4"/>
    <w:rsid w:val="00A73AAD"/>
    <w:rsid w:val="00A73B03"/>
    <w:rsid w:val="00A73BDF"/>
    <w:rsid w:val="00A73C21"/>
    <w:rsid w:val="00A73C2F"/>
    <w:rsid w:val="00A73E2E"/>
    <w:rsid w:val="00A74128"/>
    <w:rsid w:val="00A741D8"/>
    <w:rsid w:val="00A743EC"/>
    <w:rsid w:val="00A74437"/>
    <w:rsid w:val="00A74453"/>
    <w:rsid w:val="00A74656"/>
    <w:rsid w:val="00A747C1"/>
    <w:rsid w:val="00A748B2"/>
    <w:rsid w:val="00A74925"/>
    <w:rsid w:val="00A749A9"/>
    <w:rsid w:val="00A74A2C"/>
    <w:rsid w:val="00A74ABA"/>
    <w:rsid w:val="00A74BE6"/>
    <w:rsid w:val="00A74CDF"/>
    <w:rsid w:val="00A74D6B"/>
    <w:rsid w:val="00A74DDE"/>
    <w:rsid w:val="00A74E7F"/>
    <w:rsid w:val="00A74E96"/>
    <w:rsid w:val="00A74F33"/>
    <w:rsid w:val="00A74FF3"/>
    <w:rsid w:val="00A7505E"/>
    <w:rsid w:val="00A7536E"/>
    <w:rsid w:val="00A756DF"/>
    <w:rsid w:val="00A758D2"/>
    <w:rsid w:val="00A75AEE"/>
    <w:rsid w:val="00A75E84"/>
    <w:rsid w:val="00A75F17"/>
    <w:rsid w:val="00A76146"/>
    <w:rsid w:val="00A76370"/>
    <w:rsid w:val="00A763EC"/>
    <w:rsid w:val="00A76404"/>
    <w:rsid w:val="00A7651B"/>
    <w:rsid w:val="00A76526"/>
    <w:rsid w:val="00A765A9"/>
    <w:rsid w:val="00A76620"/>
    <w:rsid w:val="00A76A19"/>
    <w:rsid w:val="00A76B32"/>
    <w:rsid w:val="00A76FBD"/>
    <w:rsid w:val="00A771A0"/>
    <w:rsid w:val="00A771FD"/>
    <w:rsid w:val="00A7727F"/>
    <w:rsid w:val="00A77535"/>
    <w:rsid w:val="00A7783E"/>
    <w:rsid w:val="00A7792F"/>
    <w:rsid w:val="00A77A2E"/>
    <w:rsid w:val="00A77AB8"/>
    <w:rsid w:val="00A77BA9"/>
    <w:rsid w:val="00A77BD1"/>
    <w:rsid w:val="00A77F35"/>
    <w:rsid w:val="00A803BB"/>
    <w:rsid w:val="00A80597"/>
    <w:rsid w:val="00A80853"/>
    <w:rsid w:val="00A80883"/>
    <w:rsid w:val="00A8092A"/>
    <w:rsid w:val="00A809AE"/>
    <w:rsid w:val="00A809B1"/>
    <w:rsid w:val="00A80AD9"/>
    <w:rsid w:val="00A80BD3"/>
    <w:rsid w:val="00A80D7D"/>
    <w:rsid w:val="00A80D97"/>
    <w:rsid w:val="00A812AF"/>
    <w:rsid w:val="00A812BB"/>
    <w:rsid w:val="00A81340"/>
    <w:rsid w:val="00A81808"/>
    <w:rsid w:val="00A818D7"/>
    <w:rsid w:val="00A81AF4"/>
    <w:rsid w:val="00A81D2F"/>
    <w:rsid w:val="00A81D67"/>
    <w:rsid w:val="00A81DAA"/>
    <w:rsid w:val="00A81DF9"/>
    <w:rsid w:val="00A81E65"/>
    <w:rsid w:val="00A81EB0"/>
    <w:rsid w:val="00A81FBB"/>
    <w:rsid w:val="00A8230A"/>
    <w:rsid w:val="00A8236F"/>
    <w:rsid w:val="00A82374"/>
    <w:rsid w:val="00A8274F"/>
    <w:rsid w:val="00A82752"/>
    <w:rsid w:val="00A82755"/>
    <w:rsid w:val="00A8289E"/>
    <w:rsid w:val="00A8292C"/>
    <w:rsid w:val="00A829EE"/>
    <w:rsid w:val="00A831CF"/>
    <w:rsid w:val="00A833DA"/>
    <w:rsid w:val="00A834B9"/>
    <w:rsid w:val="00A834E2"/>
    <w:rsid w:val="00A83704"/>
    <w:rsid w:val="00A83975"/>
    <w:rsid w:val="00A83AC5"/>
    <w:rsid w:val="00A83E39"/>
    <w:rsid w:val="00A83E81"/>
    <w:rsid w:val="00A83EFF"/>
    <w:rsid w:val="00A83F28"/>
    <w:rsid w:val="00A83F6C"/>
    <w:rsid w:val="00A840E2"/>
    <w:rsid w:val="00A84103"/>
    <w:rsid w:val="00A8424A"/>
    <w:rsid w:val="00A842F1"/>
    <w:rsid w:val="00A84468"/>
    <w:rsid w:val="00A844A8"/>
    <w:rsid w:val="00A845FE"/>
    <w:rsid w:val="00A8482A"/>
    <w:rsid w:val="00A84AAF"/>
    <w:rsid w:val="00A84B07"/>
    <w:rsid w:val="00A84DD9"/>
    <w:rsid w:val="00A852AA"/>
    <w:rsid w:val="00A85340"/>
    <w:rsid w:val="00A85683"/>
    <w:rsid w:val="00A8576A"/>
    <w:rsid w:val="00A85881"/>
    <w:rsid w:val="00A85B07"/>
    <w:rsid w:val="00A85E10"/>
    <w:rsid w:val="00A85E18"/>
    <w:rsid w:val="00A85EB2"/>
    <w:rsid w:val="00A85F03"/>
    <w:rsid w:val="00A85F05"/>
    <w:rsid w:val="00A86131"/>
    <w:rsid w:val="00A86477"/>
    <w:rsid w:val="00A8661E"/>
    <w:rsid w:val="00A86A40"/>
    <w:rsid w:val="00A86AD8"/>
    <w:rsid w:val="00A86B03"/>
    <w:rsid w:val="00A86B7B"/>
    <w:rsid w:val="00A86D95"/>
    <w:rsid w:val="00A86DBE"/>
    <w:rsid w:val="00A86E75"/>
    <w:rsid w:val="00A87033"/>
    <w:rsid w:val="00A871AC"/>
    <w:rsid w:val="00A874A6"/>
    <w:rsid w:val="00A876B9"/>
    <w:rsid w:val="00A877A1"/>
    <w:rsid w:val="00A87982"/>
    <w:rsid w:val="00A879B6"/>
    <w:rsid w:val="00A879FE"/>
    <w:rsid w:val="00A87A45"/>
    <w:rsid w:val="00A87B0E"/>
    <w:rsid w:val="00A87BF6"/>
    <w:rsid w:val="00A87BFE"/>
    <w:rsid w:val="00A87E6B"/>
    <w:rsid w:val="00A9008C"/>
    <w:rsid w:val="00A90424"/>
    <w:rsid w:val="00A90436"/>
    <w:rsid w:val="00A90834"/>
    <w:rsid w:val="00A9091A"/>
    <w:rsid w:val="00A90974"/>
    <w:rsid w:val="00A90B62"/>
    <w:rsid w:val="00A90E8A"/>
    <w:rsid w:val="00A90F2F"/>
    <w:rsid w:val="00A90FA3"/>
    <w:rsid w:val="00A910C6"/>
    <w:rsid w:val="00A91116"/>
    <w:rsid w:val="00A914CD"/>
    <w:rsid w:val="00A91583"/>
    <w:rsid w:val="00A9160A"/>
    <w:rsid w:val="00A916A0"/>
    <w:rsid w:val="00A91709"/>
    <w:rsid w:val="00A918BD"/>
    <w:rsid w:val="00A91A6B"/>
    <w:rsid w:val="00A91B96"/>
    <w:rsid w:val="00A91C48"/>
    <w:rsid w:val="00A91CAF"/>
    <w:rsid w:val="00A91CF0"/>
    <w:rsid w:val="00A91E32"/>
    <w:rsid w:val="00A91EF2"/>
    <w:rsid w:val="00A920D6"/>
    <w:rsid w:val="00A921CA"/>
    <w:rsid w:val="00A9226B"/>
    <w:rsid w:val="00A922D3"/>
    <w:rsid w:val="00A924E9"/>
    <w:rsid w:val="00A925FE"/>
    <w:rsid w:val="00A9265D"/>
    <w:rsid w:val="00A92821"/>
    <w:rsid w:val="00A92929"/>
    <w:rsid w:val="00A929CF"/>
    <w:rsid w:val="00A92A41"/>
    <w:rsid w:val="00A92C27"/>
    <w:rsid w:val="00A9343E"/>
    <w:rsid w:val="00A93496"/>
    <w:rsid w:val="00A93514"/>
    <w:rsid w:val="00A936CE"/>
    <w:rsid w:val="00A93721"/>
    <w:rsid w:val="00A937DF"/>
    <w:rsid w:val="00A93856"/>
    <w:rsid w:val="00A939A6"/>
    <w:rsid w:val="00A939C2"/>
    <w:rsid w:val="00A939E7"/>
    <w:rsid w:val="00A93E4C"/>
    <w:rsid w:val="00A93F93"/>
    <w:rsid w:val="00A93FA9"/>
    <w:rsid w:val="00A941CE"/>
    <w:rsid w:val="00A942D4"/>
    <w:rsid w:val="00A945D2"/>
    <w:rsid w:val="00A9460A"/>
    <w:rsid w:val="00A946FD"/>
    <w:rsid w:val="00A94796"/>
    <w:rsid w:val="00A94962"/>
    <w:rsid w:val="00A949C9"/>
    <w:rsid w:val="00A94AD4"/>
    <w:rsid w:val="00A94B55"/>
    <w:rsid w:val="00A94C3A"/>
    <w:rsid w:val="00A94C4D"/>
    <w:rsid w:val="00A94CFF"/>
    <w:rsid w:val="00A94D14"/>
    <w:rsid w:val="00A94D50"/>
    <w:rsid w:val="00A94DCC"/>
    <w:rsid w:val="00A94DCE"/>
    <w:rsid w:val="00A94E11"/>
    <w:rsid w:val="00A94EB5"/>
    <w:rsid w:val="00A94F5D"/>
    <w:rsid w:val="00A95039"/>
    <w:rsid w:val="00A9507A"/>
    <w:rsid w:val="00A951DA"/>
    <w:rsid w:val="00A95418"/>
    <w:rsid w:val="00A955B8"/>
    <w:rsid w:val="00A95603"/>
    <w:rsid w:val="00A95605"/>
    <w:rsid w:val="00A959D5"/>
    <w:rsid w:val="00A95A64"/>
    <w:rsid w:val="00A95E79"/>
    <w:rsid w:val="00A96259"/>
    <w:rsid w:val="00A96402"/>
    <w:rsid w:val="00A964A0"/>
    <w:rsid w:val="00A964AA"/>
    <w:rsid w:val="00A96515"/>
    <w:rsid w:val="00A966C5"/>
    <w:rsid w:val="00A96799"/>
    <w:rsid w:val="00A967E7"/>
    <w:rsid w:val="00A96A23"/>
    <w:rsid w:val="00A96A7E"/>
    <w:rsid w:val="00A96BDB"/>
    <w:rsid w:val="00A96E22"/>
    <w:rsid w:val="00A96F64"/>
    <w:rsid w:val="00A97072"/>
    <w:rsid w:val="00A971E0"/>
    <w:rsid w:val="00A973AA"/>
    <w:rsid w:val="00A97428"/>
    <w:rsid w:val="00A975F6"/>
    <w:rsid w:val="00A9775B"/>
    <w:rsid w:val="00A9790F"/>
    <w:rsid w:val="00A979CF"/>
    <w:rsid w:val="00A97C64"/>
    <w:rsid w:val="00A97E69"/>
    <w:rsid w:val="00A97E85"/>
    <w:rsid w:val="00AA001B"/>
    <w:rsid w:val="00AA0086"/>
    <w:rsid w:val="00AA01B9"/>
    <w:rsid w:val="00AA01BD"/>
    <w:rsid w:val="00AA02C1"/>
    <w:rsid w:val="00AA031A"/>
    <w:rsid w:val="00AA0451"/>
    <w:rsid w:val="00AA05C4"/>
    <w:rsid w:val="00AA05DE"/>
    <w:rsid w:val="00AA0621"/>
    <w:rsid w:val="00AA06EC"/>
    <w:rsid w:val="00AA08E2"/>
    <w:rsid w:val="00AA0AE3"/>
    <w:rsid w:val="00AA0B35"/>
    <w:rsid w:val="00AA0EBC"/>
    <w:rsid w:val="00AA0FA0"/>
    <w:rsid w:val="00AA1190"/>
    <w:rsid w:val="00AA12F1"/>
    <w:rsid w:val="00AA1488"/>
    <w:rsid w:val="00AA15DB"/>
    <w:rsid w:val="00AA178A"/>
    <w:rsid w:val="00AA1A3B"/>
    <w:rsid w:val="00AA1B92"/>
    <w:rsid w:val="00AA1C4B"/>
    <w:rsid w:val="00AA1E6B"/>
    <w:rsid w:val="00AA1F76"/>
    <w:rsid w:val="00AA2297"/>
    <w:rsid w:val="00AA22DD"/>
    <w:rsid w:val="00AA2310"/>
    <w:rsid w:val="00AA2464"/>
    <w:rsid w:val="00AA2472"/>
    <w:rsid w:val="00AA2573"/>
    <w:rsid w:val="00AA2746"/>
    <w:rsid w:val="00AA2830"/>
    <w:rsid w:val="00AA2AA6"/>
    <w:rsid w:val="00AA2C1A"/>
    <w:rsid w:val="00AA2C35"/>
    <w:rsid w:val="00AA2C86"/>
    <w:rsid w:val="00AA3028"/>
    <w:rsid w:val="00AA304D"/>
    <w:rsid w:val="00AA308A"/>
    <w:rsid w:val="00AA308D"/>
    <w:rsid w:val="00AA30A6"/>
    <w:rsid w:val="00AA33DD"/>
    <w:rsid w:val="00AA3591"/>
    <w:rsid w:val="00AA364B"/>
    <w:rsid w:val="00AA36D4"/>
    <w:rsid w:val="00AA3813"/>
    <w:rsid w:val="00AA385C"/>
    <w:rsid w:val="00AA3886"/>
    <w:rsid w:val="00AA394A"/>
    <w:rsid w:val="00AA3AAF"/>
    <w:rsid w:val="00AA3B24"/>
    <w:rsid w:val="00AA3BE8"/>
    <w:rsid w:val="00AA3DEE"/>
    <w:rsid w:val="00AA3E12"/>
    <w:rsid w:val="00AA3E13"/>
    <w:rsid w:val="00AA3EBB"/>
    <w:rsid w:val="00AA3EEC"/>
    <w:rsid w:val="00AA418F"/>
    <w:rsid w:val="00AA4263"/>
    <w:rsid w:val="00AA4296"/>
    <w:rsid w:val="00AA4344"/>
    <w:rsid w:val="00AA457A"/>
    <w:rsid w:val="00AA4595"/>
    <w:rsid w:val="00AA45EA"/>
    <w:rsid w:val="00AA46EC"/>
    <w:rsid w:val="00AA4762"/>
    <w:rsid w:val="00AA485D"/>
    <w:rsid w:val="00AA48DF"/>
    <w:rsid w:val="00AA48E2"/>
    <w:rsid w:val="00AA48E4"/>
    <w:rsid w:val="00AA50D6"/>
    <w:rsid w:val="00AA52E9"/>
    <w:rsid w:val="00AA541A"/>
    <w:rsid w:val="00AA55CE"/>
    <w:rsid w:val="00AA57FF"/>
    <w:rsid w:val="00AA5D02"/>
    <w:rsid w:val="00AA5D81"/>
    <w:rsid w:val="00AA5F52"/>
    <w:rsid w:val="00AA5FAA"/>
    <w:rsid w:val="00AA6017"/>
    <w:rsid w:val="00AA6200"/>
    <w:rsid w:val="00AA62A2"/>
    <w:rsid w:val="00AA63D2"/>
    <w:rsid w:val="00AA6423"/>
    <w:rsid w:val="00AA64C2"/>
    <w:rsid w:val="00AA64C5"/>
    <w:rsid w:val="00AA68A1"/>
    <w:rsid w:val="00AA68B4"/>
    <w:rsid w:val="00AA6A5F"/>
    <w:rsid w:val="00AA6AE5"/>
    <w:rsid w:val="00AA6D4D"/>
    <w:rsid w:val="00AA6EF7"/>
    <w:rsid w:val="00AA6F87"/>
    <w:rsid w:val="00AA727F"/>
    <w:rsid w:val="00AA7325"/>
    <w:rsid w:val="00AA7341"/>
    <w:rsid w:val="00AA734B"/>
    <w:rsid w:val="00AA7551"/>
    <w:rsid w:val="00AA789D"/>
    <w:rsid w:val="00AA78A8"/>
    <w:rsid w:val="00AA78E4"/>
    <w:rsid w:val="00AA7AD5"/>
    <w:rsid w:val="00AA7B43"/>
    <w:rsid w:val="00AA7BC2"/>
    <w:rsid w:val="00AA7D59"/>
    <w:rsid w:val="00AA7D85"/>
    <w:rsid w:val="00AA7F20"/>
    <w:rsid w:val="00AB02D3"/>
    <w:rsid w:val="00AB0367"/>
    <w:rsid w:val="00AB07C1"/>
    <w:rsid w:val="00AB086D"/>
    <w:rsid w:val="00AB0951"/>
    <w:rsid w:val="00AB0C3A"/>
    <w:rsid w:val="00AB0E2A"/>
    <w:rsid w:val="00AB0E86"/>
    <w:rsid w:val="00AB10DC"/>
    <w:rsid w:val="00AB10F6"/>
    <w:rsid w:val="00AB1188"/>
    <w:rsid w:val="00AB11B6"/>
    <w:rsid w:val="00AB1228"/>
    <w:rsid w:val="00AB127F"/>
    <w:rsid w:val="00AB13CD"/>
    <w:rsid w:val="00AB14CC"/>
    <w:rsid w:val="00AB15F1"/>
    <w:rsid w:val="00AB1614"/>
    <w:rsid w:val="00AB17A6"/>
    <w:rsid w:val="00AB17AC"/>
    <w:rsid w:val="00AB17F7"/>
    <w:rsid w:val="00AB1ACE"/>
    <w:rsid w:val="00AB1B6F"/>
    <w:rsid w:val="00AB1C7C"/>
    <w:rsid w:val="00AB1DA7"/>
    <w:rsid w:val="00AB1E0B"/>
    <w:rsid w:val="00AB1EA8"/>
    <w:rsid w:val="00AB1EC5"/>
    <w:rsid w:val="00AB1EE2"/>
    <w:rsid w:val="00AB1F0A"/>
    <w:rsid w:val="00AB1FAC"/>
    <w:rsid w:val="00AB2085"/>
    <w:rsid w:val="00AB20D1"/>
    <w:rsid w:val="00AB20FF"/>
    <w:rsid w:val="00AB21F0"/>
    <w:rsid w:val="00AB244F"/>
    <w:rsid w:val="00AB24A5"/>
    <w:rsid w:val="00AB2638"/>
    <w:rsid w:val="00AB268C"/>
    <w:rsid w:val="00AB27D4"/>
    <w:rsid w:val="00AB2A31"/>
    <w:rsid w:val="00AB2B5F"/>
    <w:rsid w:val="00AB2C32"/>
    <w:rsid w:val="00AB2CA7"/>
    <w:rsid w:val="00AB2D01"/>
    <w:rsid w:val="00AB2D84"/>
    <w:rsid w:val="00AB2DE2"/>
    <w:rsid w:val="00AB2FED"/>
    <w:rsid w:val="00AB2FF9"/>
    <w:rsid w:val="00AB3025"/>
    <w:rsid w:val="00AB3076"/>
    <w:rsid w:val="00AB3083"/>
    <w:rsid w:val="00AB309D"/>
    <w:rsid w:val="00AB3396"/>
    <w:rsid w:val="00AB34AD"/>
    <w:rsid w:val="00AB34D8"/>
    <w:rsid w:val="00AB3597"/>
    <w:rsid w:val="00AB35B8"/>
    <w:rsid w:val="00AB3629"/>
    <w:rsid w:val="00AB36BE"/>
    <w:rsid w:val="00AB3889"/>
    <w:rsid w:val="00AB3A09"/>
    <w:rsid w:val="00AB3A47"/>
    <w:rsid w:val="00AB3EBC"/>
    <w:rsid w:val="00AB3EBE"/>
    <w:rsid w:val="00AB447D"/>
    <w:rsid w:val="00AB44B6"/>
    <w:rsid w:val="00AB4620"/>
    <w:rsid w:val="00AB47D5"/>
    <w:rsid w:val="00AB4AC0"/>
    <w:rsid w:val="00AB4B95"/>
    <w:rsid w:val="00AB4BB0"/>
    <w:rsid w:val="00AB4BB8"/>
    <w:rsid w:val="00AB4DFA"/>
    <w:rsid w:val="00AB4E02"/>
    <w:rsid w:val="00AB4E96"/>
    <w:rsid w:val="00AB4F65"/>
    <w:rsid w:val="00AB50BC"/>
    <w:rsid w:val="00AB5322"/>
    <w:rsid w:val="00AB53AB"/>
    <w:rsid w:val="00AB5712"/>
    <w:rsid w:val="00AB5B74"/>
    <w:rsid w:val="00AB5E70"/>
    <w:rsid w:val="00AB6002"/>
    <w:rsid w:val="00AB6010"/>
    <w:rsid w:val="00AB618A"/>
    <w:rsid w:val="00AB619C"/>
    <w:rsid w:val="00AB61A2"/>
    <w:rsid w:val="00AB61AF"/>
    <w:rsid w:val="00AB61C2"/>
    <w:rsid w:val="00AB62FD"/>
    <w:rsid w:val="00AB652D"/>
    <w:rsid w:val="00AB66F7"/>
    <w:rsid w:val="00AB680A"/>
    <w:rsid w:val="00AB6A2B"/>
    <w:rsid w:val="00AB6C31"/>
    <w:rsid w:val="00AB6E7E"/>
    <w:rsid w:val="00AB6F28"/>
    <w:rsid w:val="00AB6F50"/>
    <w:rsid w:val="00AB7018"/>
    <w:rsid w:val="00AB7163"/>
    <w:rsid w:val="00AB716B"/>
    <w:rsid w:val="00AB751B"/>
    <w:rsid w:val="00AB75C8"/>
    <w:rsid w:val="00AB766A"/>
    <w:rsid w:val="00AB7909"/>
    <w:rsid w:val="00AB7977"/>
    <w:rsid w:val="00AB7B4D"/>
    <w:rsid w:val="00AB7F97"/>
    <w:rsid w:val="00AB7F9F"/>
    <w:rsid w:val="00AB7FA6"/>
    <w:rsid w:val="00AB7FC8"/>
    <w:rsid w:val="00AC0256"/>
    <w:rsid w:val="00AC027A"/>
    <w:rsid w:val="00AC0690"/>
    <w:rsid w:val="00AC0692"/>
    <w:rsid w:val="00AC06E1"/>
    <w:rsid w:val="00AC093B"/>
    <w:rsid w:val="00AC0A2B"/>
    <w:rsid w:val="00AC0A82"/>
    <w:rsid w:val="00AC0BB2"/>
    <w:rsid w:val="00AC0BBE"/>
    <w:rsid w:val="00AC0C29"/>
    <w:rsid w:val="00AC0C57"/>
    <w:rsid w:val="00AC0C81"/>
    <w:rsid w:val="00AC0D14"/>
    <w:rsid w:val="00AC1321"/>
    <w:rsid w:val="00AC13B5"/>
    <w:rsid w:val="00AC13C3"/>
    <w:rsid w:val="00AC140F"/>
    <w:rsid w:val="00AC14A9"/>
    <w:rsid w:val="00AC1612"/>
    <w:rsid w:val="00AC165C"/>
    <w:rsid w:val="00AC19C6"/>
    <w:rsid w:val="00AC1B3F"/>
    <w:rsid w:val="00AC1FEF"/>
    <w:rsid w:val="00AC2049"/>
    <w:rsid w:val="00AC20CC"/>
    <w:rsid w:val="00AC2331"/>
    <w:rsid w:val="00AC24FC"/>
    <w:rsid w:val="00AC252E"/>
    <w:rsid w:val="00AC25AE"/>
    <w:rsid w:val="00AC26EE"/>
    <w:rsid w:val="00AC26F1"/>
    <w:rsid w:val="00AC2746"/>
    <w:rsid w:val="00AC2753"/>
    <w:rsid w:val="00AC284A"/>
    <w:rsid w:val="00AC2887"/>
    <w:rsid w:val="00AC2946"/>
    <w:rsid w:val="00AC3419"/>
    <w:rsid w:val="00AC34FC"/>
    <w:rsid w:val="00AC35E3"/>
    <w:rsid w:val="00AC37BE"/>
    <w:rsid w:val="00AC3852"/>
    <w:rsid w:val="00AC39A1"/>
    <w:rsid w:val="00AC3D79"/>
    <w:rsid w:val="00AC3EB3"/>
    <w:rsid w:val="00AC43DE"/>
    <w:rsid w:val="00AC47B7"/>
    <w:rsid w:val="00AC47B9"/>
    <w:rsid w:val="00AC4852"/>
    <w:rsid w:val="00AC4948"/>
    <w:rsid w:val="00AC4B87"/>
    <w:rsid w:val="00AC4C88"/>
    <w:rsid w:val="00AC4CEA"/>
    <w:rsid w:val="00AC4DC3"/>
    <w:rsid w:val="00AC4F0C"/>
    <w:rsid w:val="00AC4F5D"/>
    <w:rsid w:val="00AC503E"/>
    <w:rsid w:val="00AC5317"/>
    <w:rsid w:val="00AC5396"/>
    <w:rsid w:val="00AC5489"/>
    <w:rsid w:val="00AC5674"/>
    <w:rsid w:val="00AC589B"/>
    <w:rsid w:val="00AC5CEF"/>
    <w:rsid w:val="00AC5D54"/>
    <w:rsid w:val="00AC5E96"/>
    <w:rsid w:val="00AC60F7"/>
    <w:rsid w:val="00AC66BC"/>
    <w:rsid w:val="00AC67B4"/>
    <w:rsid w:val="00AC6912"/>
    <w:rsid w:val="00AC6964"/>
    <w:rsid w:val="00AC6A55"/>
    <w:rsid w:val="00AC6BF0"/>
    <w:rsid w:val="00AC6C93"/>
    <w:rsid w:val="00AC6D05"/>
    <w:rsid w:val="00AC6D2D"/>
    <w:rsid w:val="00AC6E2E"/>
    <w:rsid w:val="00AC6EBC"/>
    <w:rsid w:val="00AC7032"/>
    <w:rsid w:val="00AC7111"/>
    <w:rsid w:val="00AC7259"/>
    <w:rsid w:val="00AC7464"/>
    <w:rsid w:val="00AC7821"/>
    <w:rsid w:val="00AC7A82"/>
    <w:rsid w:val="00AC7B8D"/>
    <w:rsid w:val="00AC7D16"/>
    <w:rsid w:val="00AC7ED1"/>
    <w:rsid w:val="00AC7F3D"/>
    <w:rsid w:val="00AD0080"/>
    <w:rsid w:val="00AD01BD"/>
    <w:rsid w:val="00AD02F9"/>
    <w:rsid w:val="00AD037A"/>
    <w:rsid w:val="00AD0464"/>
    <w:rsid w:val="00AD0471"/>
    <w:rsid w:val="00AD05B2"/>
    <w:rsid w:val="00AD060A"/>
    <w:rsid w:val="00AD0779"/>
    <w:rsid w:val="00AD07AD"/>
    <w:rsid w:val="00AD0876"/>
    <w:rsid w:val="00AD0A1F"/>
    <w:rsid w:val="00AD0D28"/>
    <w:rsid w:val="00AD0E77"/>
    <w:rsid w:val="00AD0EBA"/>
    <w:rsid w:val="00AD1058"/>
    <w:rsid w:val="00AD1513"/>
    <w:rsid w:val="00AD151B"/>
    <w:rsid w:val="00AD1568"/>
    <w:rsid w:val="00AD165C"/>
    <w:rsid w:val="00AD16F0"/>
    <w:rsid w:val="00AD16F8"/>
    <w:rsid w:val="00AD179A"/>
    <w:rsid w:val="00AD1A7C"/>
    <w:rsid w:val="00AD1B0B"/>
    <w:rsid w:val="00AD1B2C"/>
    <w:rsid w:val="00AD1B32"/>
    <w:rsid w:val="00AD1B51"/>
    <w:rsid w:val="00AD1C00"/>
    <w:rsid w:val="00AD1D33"/>
    <w:rsid w:val="00AD20ED"/>
    <w:rsid w:val="00AD235A"/>
    <w:rsid w:val="00AD243E"/>
    <w:rsid w:val="00AD2BEB"/>
    <w:rsid w:val="00AD2C53"/>
    <w:rsid w:val="00AD2C85"/>
    <w:rsid w:val="00AD2CCA"/>
    <w:rsid w:val="00AD2CFE"/>
    <w:rsid w:val="00AD2D3E"/>
    <w:rsid w:val="00AD2D5A"/>
    <w:rsid w:val="00AD2E1D"/>
    <w:rsid w:val="00AD2E4C"/>
    <w:rsid w:val="00AD2EBC"/>
    <w:rsid w:val="00AD3615"/>
    <w:rsid w:val="00AD3634"/>
    <w:rsid w:val="00AD3835"/>
    <w:rsid w:val="00AD3D85"/>
    <w:rsid w:val="00AD4023"/>
    <w:rsid w:val="00AD405C"/>
    <w:rsid w:val="00AD40F9"/>
    <w:rsid w:val="00AD414D"/>
    <w:rsid w:val="00AD431E"/>
    <w:rsid w:val="00AD4357"/>
    <w:rsid w:val="00AD4561"/>
    <w:rsid w:val="00AD45A2"/>
    <w:rsid w:val="00AD4710"/>
    <w:rsid w:val="00AD4800"/>
    <w:rsid w:val="00AD48BB"/>
    <w:rsid w:val="00AD4A76"/>
    <w:rsid w:val="00AD4B82"/>
    <w:rsid w:val="00AD4C34"/>
    <w:rsid w:val="00AD4E18"/>
    <w:rsid w:val="00AD4F9B"/>
    <w:rsid w:val="00AD4FFE"/>
    <w:rsid w:val="00AD506C"/>
    <w:rsid w:val="00AD5125"/>
    <w:rsid w:val="00AD5179"/>
    <w:rsid w:val="00AD519A"/>
    <w:rsid w:val="00AD5212"/>
    <w:rsid w:val="00AD5337"/>
    <w:rsid w:val="00AD553A"/>
    <w:rsid w:val="00AD555E"/>
    <w:rsid w:val="00AD5622"/>
    <w:rsid w:val="00AD567A"/>
    <w:rsid w:val="00AD56A3"/>
    <w:rsid w:val="00AD57ED"/>
    <w:rsid w:val="00AD58F6"/>
    <w:rsid w:val="00AD593C"/>
    <w:rsid w:val="00AD5A40"/>
    <w:rsid w:val="00AD616B"/>
    <w:rsid w:val="00AD61BD"/>
    <w:rsid w:val="00AD6218"/>
    <w:rsid w:val="00AD62A8"/>
    <w:rsid w:val="00AD6316"/>
    <w:rsid w:val="00AD637C"/>
    <w:rsid w:val="00AD6464"/>
    <w:rsid w:val="00AD660D"/>
    <w:rsid w:val="00AD679E"/>
    <w:rsid w:val="00AD68A3"/>
    <w:rsid w:val="00AD6976"/>
    <w:rsid w:val="00AD69A7"/>
    <w:rsid w:val="00AD69E2"/>
    <w:rsid w:val="00AD6A74"/>
    <w:rsid w:val="00AD6AC1"/>
    <w:rsid w:val="00AD7155"/>
    <w:rsid w:val="00AD71BF"/>
    <w:rsid w:val="00AD7233"/>
    <w:rsid w:val="00AD73F4"/>
    <w:rsid w:val="00AD75E3"/>
    <w:rsid w:val="00AD7A13"/>
    <w:rsid w:val="00AD7AAA"/>
    <w:rsid w:val="00AD7C63"/>
    <w:rsid w:val="00AD7CF0"/>
    <w:rsid w:val="00AD7DB5"/>
    <w:rsid w:val="00AD7DDE"/>
    <w:rsid w:val="00AD7F1F"/>
    <w:rsid w:val="00AD7FB5"/>
    <w:rsid w:val="00AD7FE2"/>
    <w:rsid w:val="00AE018D"/>
    <w:rsid w:val="00AE021D"/>
    <w:rsid w:val="00AE032E"/>
    <w:rsid w:val="00AE04DC"/>
    <w:rsid w:val="00AE0528"/>
    <w:rsid w:val="00AE0629"/>
    <w:rsid w:val="00AE0677"/>
    <w:rsid w:val="00AE06AF"/>
    <w:rsid w:val="00AE07BE"/>
    <w:rsid w:val="00AE08FA"/>
    <w:rsid w:val="00AE0A9C"/>
    <w:rsid w:val="00AE0AB1"/>
    <w:rsid w:val="00AE0B0D"/>
    <w:rsid w:val="00AE0D75"/>
    <w:rsid w:val="00AE0F9A"/>
    <w:rsid w:val="00AE10EE"/>
    <w:rsid w:val="00AE1122"/>
    <w:rsid w:val="00AE133F"/>
    <w:rsid w:val="00AE147F"/>
    <w:rsid w:val="00AE14FF"/>
    <w:rsid w:val="00AE157C"/>
    <w:rsid w:val="00AE1635"/>
    <w:rsid w:val="00AE163F"/>
    <w:rsid w:val="00AE1996"/>
    <w:rsid w:val="00AE1ADE"/>
    <w:rsid w:val="00AE1BB6"/>
    <w:rsid w:val="00AE1CA2"/>
    <w:rsid w:val="00AE1D6B"/>
    <w:rsid w:val="00AE1D9C"/>
    <w:rsid w:val="00AE1F47"/>
    <w:rsid w:val="00AE233F"/>
    <w:rsid w:val="00AE23F5"/>
    <w:rsid w:val="00AE23F6"/>
    <w:rsid w:val="00AE24CF"/>
    <w:rsid w:val="00AE2503"/>
    <w:rsid w:val="00AE2543"/>
    <w:rsid w:val="00AE26AA"/>
    <w:rsid w:val="00AE2841"/>
    <w:rsid w:val="00AE2AAD"/>
    <w:rsid w:val="00AE2B49"/>
    <w:rsid w:val="00AE2C7F"/>
    <w:rsid w:val="00AE2D11"/>
    <w:rsid w:val="00AE2DF7"/>
    <w:rsid w:val="00AE2F4E"/>
    <w:rsid w:val="00AE2F86"/>
    <w:rsid w:val="00AE3116"/>
    <w:rsid w:val="00AE31AA"/>
    <w:rsid w:val="00AE3266"/>
    <w:rsid w:val="00AE3274"/>
    <w:rsid w:val="00AE3456"/>
    <w:rsid w:val="00AE34B2"/>
    <w:rsid w:val="00AE3565"/>
    <w:rsid w:val="00AE35FC"/>
    <w:rsid w:val="00AE3718"/>
    <w:rsid w:val="00AE3789"/>
    <w:rsid w:val="00AE383A"/>
    <w:rsid w:val="00AE3942"/>
    <w:rsid w:val="00AE3BFE"/>
    <w:rsid w:val="00AE3C9E"/>
    <w:rsid w:val="00AE3D62"/>
    <w:rsid w:val="00AE3DBB"/>
    <w:rsid w:val="00AE3FAB"/>
    <w:rsid w:val="00AE422C"/>
    <w:rsid w:val="00AE43CC"/>
    <w:rsid w:val="00AE453F"/>
    <w:rsid w:val="00AE4592"/>
    <w:rsid w:val="00AE466F"/>
    <w:rsid w:val="00AE4700"/>
    <w:rsid w:val="00AE4AD8"/>
    <w:rsid w:val="00AE4C82"/>
    <w:rsid w:val="00AE4D1D"/>
    <w:rsid w:val="00AE4DAD"/>
    <w:rsid w:val="00AE4E23"/>
    <w:rsid w:val="00AE51EE"/>
    <w:rsid w:val="00AE52D1"/>
    <w:rsid w:val="00AE54C9"/>
    <w:rsid w:val="00AE56DA"/>
    <w:rsid w:val="00AE5940"/>
    <w:rsid w:val="00AE5B99"/>
    <w:rsid w:val="00AE5E3D"/>
    <w:rsid w:val="00AE5F58"/>
    <w:rsid w:val="00AE5FCE"/>
    <w:rsid w:val="00AE6196"/>
    <w:rsid w:val="00AE619A"/>
    <w:rsid w:val="00AE621E"/>
    <w:rsid w:val="00AE63B3"/>
    <w:rsid w:val="00AE63D9"/>
    <w:rsid w:val="00AE64FC"/>
    <w:rsid w:val="00AE6539"/>
    <w:rsid w:val="00AE6739"/>
    <w:rsid w:val="00AE6A59"/>
    <w:rsid w:val="00AE6AAC"/>
    <w:rsid w:val="00AE6C39"/>
    <w:rsid w:val="00AE6FDA"/>
    <w:rsid w:val="00AE701C"/>
    <w:rsid w:val="00AE7202"/>
    <w:rsid w:val="00AE746C"/>
    <w:rsid w:val="00AE74E3"/>
    <w:rsid w:val="00AE75AB"/>
    <w:rsid w:val="00AE7742"/>
    <w:rsid w:val="00AE781A"/>
    <w:rsid w:val="00AE7920"/>
    <w:rsid w:val="00AE793A"/>
    <w:rsid w:val="00AE795C"/>
    <w:rsid w:val="00AE79C9"/>
    <w:rsid w:val="00AE7AF8"/>
    <w:rsid w:val="00AE7BC0"/>
    <w:rsid w:val="00AE7CA5"/>
    <w:rsid w:val="00AE7CEE"/>
    <w:rsid w:val="00AE7D83"/>
    <w:rsid w:val="00AE7D98"/>
    <w:rsid w:val="00AE7F08"/>
    <w:rsid w:val="00AE7F7A"/>
    <w:rsid w:val="00AF003B"/>
    <w:rsid w:val="00AF02CE"/>
    <w:rsid w:val="00AF0674"/>
    <w:rsid w:val="00AF0761"/>
    <w:rsid w:val="00AF07D9"/>
    <w:rsid w:val="00AF07E3"/>
    <w:rsid w:val="00AF083E"/>
    <w:rsid w:val="00AF0AE8"/>
    <w:rsid w:val="00AF0DB1"/>
    <w:rsid w:val="00AF120F"/>
    <w:rsid w:val="00AF1249"/>
    <w:rsid w:val="00AF1455"/>
    <w:rsid w:val="00AF1600"/>
    <w:rsid w:val="00AF17AD"/>
    <w:rsid w:val="00AF18A7"/>
    <w:rsid w:val="00AF1A40"/>
    <w:rsid w:val="00AF1A9C"/>
    <w:rsid w:val="00AF1AAE"/>
    <w:rsid w:val="00AF1BEC"/>
    <w:rsid w:val="00AF1CB2"/>
    <w:rsid w:val="00AF2036"/>
    <w:rsid w:val="00AF23B2"/>
    <w:rsid w:val="00AF246E"/>
    <w:rsid w:val="00AF247C"/>
    <w:rsid w:val="00AF26D5"/>
    <w:rsid w:val="00AF2939"/>
    <w:rsid w:val="00AF2BEA"/>
    <w:rsid w:val="00AF2D3C"/>
    <w:rsid w:val="00AF2F4B"/>
    <w:rsid w:val="00AF2F79"/>
    <w:rsid w:val="00AF30FB"/>
    <w:rsid w:val="00AF31DA"/>
    <w:rsid w:val="00AF321A"/>
    <w:rsid w:val="00AF36D5"/>
    <w:rsid w:val="00AF36D6"/>
    <w:rsid w:val="00AF3AF5"/>
    <w:rsid w:val="00AF3D8E"/>
    <w:rsid w:val="00AF3FA0"/>
    <w:rsid w:val="00AF40CF"/>
    <w:rsid w:val="00AF4151"/>
    <w:rsid w:val="00AF4216"/>
    <w:rsid w:val="00AF42B0"/>
    <w:rsid w:val="00AF43A2"/>
    <w:rsid w:val="00AF4616"/>
    <w:rsid w:val="00AF4761"/>
    <w:rsid w:val="00AF47A0"/>
    <w:rsid w:val="00AF4881"/>
    <w:rsid w:val="00AF48E9"/>
    <w:rsid w:val="00AF4C82"/>
    <w:rsid w:val="00AF4CD7"/>
    <w:rsid w:val="00AF4D49"/>
    <w:rsid w:val="00AF4D90"/>
    <w:rsid w:val="00AF4F82"/>
    <w:rsid w:val="00AF5009"/>
    <w:rsid w:val="00AF519E"/>
    <w:rsid w:val="00AF53BC"/>
    <w:rsid w:val="00AF5453"/>
    <w:rsid w:val="00AF55C1"/>
    <w:rsid w:val="00AF561A"/>
    <w:rsid w:val="00AF56EE"/>
    <w:rsid w:val="00AF5838"/>
    <w:rsid w:val="00AF5981"/>
    <w:rsid w:val="00AF5A3F"/>
    <w:rsid w:val="00AF5B24"/>
    <w:rsid w:val="00AF5C81"/>
    <w:rsid w:val="00AF5DDF"/>
    <w:rsid w:val="00AF5E44"/>
    <w:rsid w:val="00AF5E59"/>
    <w:rsid w:val="00AF5F16"/>
    <w:rsid w:val="00AF5F95"/>
    <w:rsid w:val="00AF5F9A"/>
    <w:rsid w:val="00AF5FD2"/>
    <w:rsid w:val="00AF60E7"/>
    <w:rsid w:val="00AF6138"/>
    <w:rsid w:val="00AF6169"/>
    <w:rsid w:val="00AF646A"/>
    <w:rsid w:val="00AF64A2"/>
    <w:rsid w:val="00AF64A7"/>
    <w:rsid w:val="00AF6536"/>
    <w:rsid w:val="00AF65C4"/>
    <w:rsid w:val="00AF68FC"/>
    <w:rsid w:val="00AF6B37"/>
    <w:rsid w:val="00AF6B65"/>
    <w:rsid w:val="00AF6D38"/>
    <w:rsid w:val="00AF6D9B"/>
    <w:rsid w:val="00AF6E49"/>
    <w:rsid w:val="00AF6F51"/>
    <w:rsid w:val="00AF6FA0"/>
    <w:rsid w:val="00AF701C"/>
    <w:rsid w:val="00AF7304"/>
    <w:rsid w:val="00AF75B7"/>
    <w:rsid w:val="00AF75C9"/>
    <w:rsid w:val="00AF76F2"/>
    <w:rsid w:val="00AF776A"/>
    <w:rsid w:val="00AF77D4"/>
    <w:rsid w:val="00AF79F8"/>
    <w:rsid w:val="00AF7CB2"/>
    <w:rsid w:val="00AF7D4B"/>
    <w:rsid w:val="00AF7E06"/>
    <w:rsid w:val="00AF7E5D"/>
    <w:rsid w:val="00AF7FC6"/>
    <w:rsid w:val="00B0009A"/>
    <w:rsid w:val="00B002C9"/>
    <w:rsid w:val="00B004B7"/>
    <w:rsid w:val="00B00502"/>
    <w:rsid w:val="00B0059C"/>
    <w:rsid w:val="00B00603"/>
    <w:rsid w:val="00B0071C"/>
    <w:rsid w:val="00B007D7"/>
    <w:rsid w:val="00B00868"/>
    <w:rsid w:val="00B00981"/>
    <w:rsid w:val="00B00A1F"/>
    <w:rsid w:val="00B00A22"/>
    <w:rsid w:val="00B00B4F"/>
    <w:rsid w:val="00B00C56"/>
    <w:rsid w:val="00B00E72"/>
    <w:rsid w:val="00B00E89"/>
    <w:rsid w:val="00B0102B"/>
    <w:rsid w:val="00B010DB"/>
    <w:rsid w:val="00B011F6"/>
    <w:rsid w:val="00B0125F"/>
    <w:rsid w:val="00B01305"/>
    <w:rsid w:val="00B014FA"/>
    <w:rsid w:val="00B0161F"/>
    <w:rsid w:val="00B01688"/>
    <w:rsid w:val="00B018A1"/>
    <w:rsid w:val="00B018EB"/>
    <w:rsid w:val="00B0192C"/>
    <w:rsid w:val="00B019E2"/>
    <w:rsid w:val="00B01BB1"/>
    <w:rsid w:val="00B01C43"/>
    <w:rsid w:val="00B01C63"/>
    <w:rsid w:val="00B01D6C"/>
    <w:rsid w:val="00B01F7B"/>
    <w:rsid w:val="00B02034"/>
    <w:rsid w:val="00B020BA"/>
    <w:rsid w:val="00B020ED"/>
    <w:rsid w:val="00B0220E"/>
    <w:rsid w:val="00B0228A"/>
    <w:rsid w:val="00B023DA"/>
    <w:rsid w:val="00B02637"/>
    <w:rsid w:val="00B02951"/>
    <w:rsid w:val="00B02994"/>
    <w:rsid w:val="00B0299D"/>
    <w:rsid w:val="00B02A23"/>
    <w:rsid w:val="00B02B0F"/>
    <w:rsid w:val="00B02D96"/>
    <w:rsid w:val="00B02D9A"/>
    <w:rsid w:val="00B02DD7"/>
    <w:rsid w:val="00B02EA1"/>
    <w:rsid w:val="00B0334A"/>
    <w:rsid w:val="00B03386"/>
    <w:rsid w:val="00B0339B"/>
    <w:rsid w:val="00B033CC"/>
    <w:rsid w:val="00B033F4"/>
    <w:rsid w:val="00B03498"/>
    <w:rsid w:val="00B034AC"/>
    <w:rsid w:val="00B034BF"/>
    <w:rsid w:val="00B035A1"/>
    <w:rsid w:val="00B03610"/>
    <w:rsid w:val="00B038F4"/>
    <w:rsid w:val="00B03AC1"/>
    <w:rsid w:val="00B03D00"/>
    <w:rsid w:val="00B03D1C"/>
    <w:rsid w:val="00B03E21"/>
    <w:rsid w:val="00B04061"/>
    <w:rsid w:val="00B04121"/>
    <w:rsid w:val="00B044E5"/>
    <w:rsid w:val="00B04515"/>
    <w:rsid w:val="00B0452F"/>
    <w:rsid w:val="00B048D3"/>
    <w:rsid w:val="00B04BC5"/>
    <w:rsid w:val="00B04F3F"/>
    <w:rsid w:val="00B04F7A"/>
    <w:rsid w:val="00B05067"/>
    <w:rsid w:val="00B05492"/>
    <w:rsid w:val="00B054EA"/>
    <w:rsid w:val="00B05558"/>
    <w:rsid w:val="00B0564D"/>
    <w:rsid w:val="00B05799"/>
    <w:rsid w:val="00B057CD"/>
    <w:rsid w:val="00B0598B"/>
    <w:rsid w:val="00B05A21"/>
    <w:rsid w:val="00B05AC0"/>
    <w:rsid w:val="00B05AEE"/>
    <w:rsid w:val="00B05B1F"/>
    <w:rsid w:val="00B05B50"/>
    <w:rsid w:val="00B05CE4"/>
    <w:rsid w:val="00B05F13"/>
    <w:rsid w:val="00B05F9B"/>
    <w:rsid w:val="00B061CD"/>
    <w:rsid w:val="00B06205"/>
    <w:rsid w:val="00B0635C"/>
    <w:rsid w:val="00B06401"/>
    <w:rsid w:val="00B06471"/>
    <w:rsid w:val="00B0656C"/>
    <w:rsid w:val="00B06573"/>
    <w:rsid w:val="00B06675"/>
    <w:rsid w:val="00B066E4"/>
    <w:rsid w:val="00B0672A"/>
    <w:rsid w:val="00B067A2"/>
    <w:rsid w:val="00B069B5"/>
    <w:rsid w:val="00B069C0"/>
    <w:rsid w:val="00B06A18"/>
    <w:rsid w:val="00B06C68"/>
    <w:rsid w:val="00B06D63"/>
    <w:rsid w:val="00B06E9A"/>
    <w:rsid w:val="00B06ECF"/>
    <w:rsid w:val="00B07038"/>
    <w:rsid w:val="00B071E0"/>
    <w:rsid w:val="00B07444"/>
    <w:rsid w:val="00B074CC"/>
    <w:rsid w:val="00B07575"/>
    <w:rsid w:val="00B075AA"/>
    <w:rsid w:val="00B075DD"/>
    <w:rsid w:val="00B075DE"/>
    <w:rsid w:val="00B076ED"/>
    <w:rsid w:val="00B0771D"/>
    <w:rsid w:val="00B07754"/>
    <w:rsid w:val="00B07755"/>
    <w:rsid w:val="00B0780A"/>
    <w:rsid w:val="00B07905"/>
    <w:rsid w:val="00B07920"/>
    <w:rsid w:val="00B079A3"/>
    <w:rsid w:val="00B07AFD"/>
    <w:rsid w:val="00B07BD7"/>
    <w:rsid w:val="00B07D43"/>
    <w:rsid w:val="00B07EF0"/>
    <w:rsid w:val="00B07F8F"/>
    <w:rsid w:val="00B07FF2"/>
    <w:rsid w:val="00B10064"/>
    <w:rsid w:val="00B10130"/>
    <w:rsid w:val="00B1018F"/>
    <w:rsid w:val="00B1023F"/>
    <w:rsid w:val="00B102B9"/>
    <w:rsid w:val="00B1030F"/>
    <w:rsid w:val="00B10453"/>
    <w:rsid w:val="00B1046E"/>
    <w:rsid w:val="00B1089D"/>
    <w:rsid w:val="00B10A39"/>
    <w:rsid w:val="00B10ACD"/>
    <w:rsid w:val="00B10C7F"/>
    <w:rsid w:val="00B10D65"/>
    <w:rsid w:val="00B113AC"/>
    <w:rsid w:val="00B11409"/>
    <w:rsid w:val="00B114B9"/>
    <w:rsid w:val="00B116A1"/>
    <w:rsid w:val="00B1171A"/>
    <w:rsid w:val="00B118C8"/>
    <w:rsid w:val="00B11AAA"/>
    <w:rsid w:val="00B11AB8"/>
    <w:rsid w:val="00B11EF6"/>
    <w:rsid w:val="00B11FD5"/>
    <w:rsid w:val="00B12041"/>
    <w:rsid w:val="00B12131"/>
    <w:rsid w:val="00B122B6"/>
    <w:rsid w:val="00B122CB"/>
    <w:rsid w:val="00B122E6"/>
    <w:rsid w:val="00B1241E"/>
    <w:rsid w:val="00B12606"/>
    <w:rsid w:val="00B126F2"/>
    <w:rsid w:val="00B12C0C"/>
    <w:rsid w:val="00B12D60"/>
    <w:rsid w:val="00B13013"/>
    <w:rsid w:val="00B130E8"/>
    <w:rsid w:val="00B13131"/>
    <w:rsid w:val="00B131FB"/>
    <w:rsid w:val="00B13227"/>
    <w:rsid w:val="00B132C7"/>
    <w:rsid w:val="00B1338D"/>
    <w:rsid w:val="00B1341C"/>
    <w:rsid w:val="00B1345B"/>
    <w:rsid w:val="00B1345D"/>
    <w:rsid w:val="00B13D10"/>
    <w:rsid w:val="00B13D50"/>
    <w:rsid w:val="00B13DD5"/>
    <w:rsid w:val="00B13FEE"/>
    <w:rsid w:val="00B14045"/>
    <w:rsid w:val="00B14306"/>
    <w:rsid w:val="00B14454"/>
    <w:rsid w:val="00B14741"/>
    <w:rsid w:val="00B14794"/>
    <w:rsid w:val="00B14AD8"/>
    <w:rsid w:val="00B14CEF"/>
    <w:rsid w:val="00B14CF6"/>
    <w:rsid w:val="00B14DF6"/>
    <w:rsid w:val="00B14F50"/>
    <w:rsid w:val="00B14FAB"/>
    <w:rsid w:val="00B14FB2"/>
    <w:rsid w:val="00B15100"/>
    <w:rsid w:val="00B15271"/>
    <w:rsid w:val="00B153FB"/>
    <w:rsid w:val="00B15432"/>
    <w:rsid w:val="00B15466"/>
    <w:rsid w:val="00B154F5"/>
    <w:rsid w:val="00B155DF"/>
    <w:rsid w:val="00B155FF"/>
    <w:rsid w:val="00B1567E"/>
    <w:rsid w:val="00B1572A"/>
    <w:rsid w:val="00B15927"/>
    <w:rsid w:val="00B15A2E"/>
    <w:rsid w:val="00B15B57"/>
    <w:rsid w:val="00B15EE4"/>
    <w:rsid w:val="00B1609E"/>
    <w:rsid w:val="00B16156"/>
    <w:rsid w:val="00B1637C"/>
    <w:rsid w:val="00B163FE"/>
    <w:rsid w:val="00B16505"/>
    <w:rsid w:val="00B16A00"/>
    <w:rsid w:val="00B16B16"/>
    <w:rsid w:val="00B16B2C"/>
    <w:rsid w:val="00B16BDB"/>
    <w:rsid w:val="00B16C44"/>
    <w:rsid w:val="00B172C5"/>
    <w:rsid w:val="00B17339"/>
    <w:rsid w:val="00B173F2"/>
    <w:rsid w:val="00B17490"/>
    <w:rsid w:val="00B17618"/>
    <w:rsid w:val="00B176B2"/>
    <w:rsid w:val="00B17972"/>
    <w:rsid w:val="00B17A7A"/>
    <w:rsid w:val="00B17AD3"/>
    <w:rsid w:val="00B17BD7"/>
    <w:rsid w:val="00B17C1C"/>
    <w:rsid w:val="00B17CE4"/>
    <w:rsid w:val="00B17D12"/>
    <w:rsid w:val="00B17D45"/>
    <w:rsid w:val="00B17E7F"/>
    <w:rsid w:val="00B17EAF"/>
    <w:rsid w:val="00B1E3E3"/>
    <w:rsid w:val="00B204BB"/>
    <w:rsid w:val="00B204BE"/>
    <w:rsid w:val="00B20502"/>
    <w:rsid w:val="00B2052E"/>
    <w:rsid w:val="00B20711"/>
    <w:rsid w:val="00B2074F"/>
    <w:rsid w:val="00B20765"/>
    <w:rsid w:val="00B20772"/>
    <w:rsid w:val="00B20855"/>
    <w:rsid w:val="00B20A5F"/>
    <w:rsid w:val="00B20B1F"/>
    <w:rsid w:val="00B20E42"/>
    <w:rsid w:val="00B21546"/>
    <w:rsid w:val="00B215B0"/>
    <w:rsid w:val="00B219D9"/>
    <w:rsid w:val="00B219EB"/>
    <w:rsid w:val="00B21B72"/>
    <w:rsid w:val="00B21BA0"/>
    <w:rsid w:val="00B21BCA"/>
    <w:rsid w:val="00B21BD3"/>
    <w:rsid w:val="00B21C2C"/>
    <w:rsid w:val="00B21CD1"/>
    <w:rsid w:val="00B21ED0"/>
    <w:rsid w:val="00B21F6E"/>
    <w:rsid w:val="00B21FA3"/>
    <w:rsid w:val="00B220A0"/>
    <w:rsid w:val="00B2229E"/>
    <w:rsid w:val="00B222A0"/>
    <w:rsid w:val="00B22386"/>
    <w:rsid w:val="00B223F3"/>
    <w:rsid w:val="00B22576"/>
    <w:rsid w:val="00B226D1"/>
    <w:rsid w:val="00B228EA"/>
    <w:rsid w:val="00B22C50"/>
    <w:rsid w:val="00B22E42"/>
    <w:rsid w:val="00B22EA6"/>
    <w:rsid w:val="00B22EED"/>
    <w:rsid w:val="00B22F04"/>
    <w:rsid w:val="00B22F60"/>
    <w:rsid w:val="00B23247"/>
    <w:rsid w:val="00B2334F"/>
    <w:rsid w:val="00B234C7"/>
    <w:rsid w:val="00B23569"/>
    <w:rsid w:val="00B2357F"/>
    <w:rsid w:val="00B237EE"/>
    <w:rsid w:val="00B23881"/>
    <w:rsid w:val="00B23992"/>
    <w:rsid w:val="00B2399F"/>
    <w:rsid w:val="00B23B29"/>
    <w:rsid w:val="00B23C0F"/>
    <w:rsid w:val="00B23EDB"/>
    <w:rsid w:val="00B23F46"/>
    <w:rsid w:val="00B23F76"/>
    <w:rsid w:val="00B2401A"/>
    <w:rsid w:val="00B240AA"/>
    <w:rsid w:val="00B2412D"/>
    <w:rsid w:val="00B241F4"/>
    <w:rsid w:val="00B2430C"/>
    <w:rsid w:val="00B24418"/>
    <w:rsid w:val="00B2443C"/>
    <w:rsid w:val="00B24669"/>
    <w:rsid w:val="00B24856"/>
    <w:rsid w:val="00B248EE"/>
    <w:rsid w:val="00B24A6E"/>
    <w:rsid w:val="00B24AAE"/>
    <w:rsid w:val="00B24C90"/>
    <w:rsid w:val="00B24D1D"/>
    <w:rsid w:val="00B24D41"/>
    <w:rsid w:val="00B24FFB"/>
    <w:rsid w:val="00B250CA"/>
    <w:rsid w:val="00B2516B"/>
    <w:rsid w:val="00B2530B"/>
    <w:rsid w:val="00B2550B"/>
    <w:rsid w:val="00B25797"/>
    <w:rsid w:val="00B257C0"/>
    <w:rsid w:val="00B2581C"/>
    <w:rsid w:val="00B25887"/>
    <w:rsid w:val="00B259B5"/>
    <w:rsid w:val="00B259E1"/>
    <w:rsid w:val="00B25D36"/>
    <w:rsid w:val="00B26356"/>
    <w:rsid w:val="00B2666F"/>
    <w:rsid w:val="00B26826"/>
    <w:rsid w:val="00B2692B"/>
    <w:rsid w:val="00B26947"/>
    <w:rsid w:val="00B26956"/>
    <w:rsid w:val="00B269D8"/>
    <w:rsid w:val="00B26C57"/>
    <w:rsid w:val="00B26CA3"/>
    <w:rsid w:val="00B26E05"/>
    <w:rsid w:val="00B26E28"/>
    <w:rsid w:val="00B27157"/>
    <w:rsid w:val="00B27349"/>
    <w:rsid w:val="00B273FD"/>
    <w:rsid w:val="00B27419"/>
    <w:rsid w:val="00B27422"/>
    <w:rsid w:val="00B276D3"/>
    <w:rsid w:val="00B27955"/>
    <w:rsid w:val="00B27A16"/>
    <w:rsid w:val="00B27A8F"/>
    <w:rsid w:val="00B27B67"/>
    <w:rsid w:val="00B27C70"/>
    <w:rsid w:val="00B27D27"/>
    <w:rsid w:val="00B27EA6"/>
    <w:rsid w:val="00B30040"/>
    <w:rsid w:val="00B30059"/>
    <w:rsid w:val="00B3009B"/>
    <w:rsid w:val="00B302D5"/>
    <w:rsid w:val="00B30500"/>
    <w:rsid w:val="00B3056B"/>
    <w:rsid w:val="00B30B1F"/>
    <w:rsid w:val="00B30C8B"/>
    <w:rsid w:val="00B30D92"/>
    <w:rsid w:val="00B30EC6"/>
    <w:rsid w:val="00B31695"/>
    <w:rsid w:val="00B31E82"/>
    <w:rsid w:val="00B31FF2"/>
    <w:rsid w:val="00B320DA"/>
    <w:rsid w:val="00B324AA"/>
    <w:rsid w:val="00B3278F"/>
    <w:rsid w:val="00B327B6"/>
    <w:rsid w:val="00B328FC"/>
    <w:rsid w:val="00B32BCF"/>
    <w:rsid w:val="00B32C1B"/>
    <w:rsid w:val="00B32D24"/>
    <w:rsid w:val="00B32D39"/>
    <w:rsid w:val="00B32FA6"/>
    <w:rsid w:val="00B3324C"/>
    <w:rsid w:val="00B337F5"/>
    <w:rsid w:val="00B33808"/>
    <w:rsid w:val="00B338F1"/>
    <w:rsid w:val="00B3392A"/>
    <w:rsid w:val="00B33AFB"/>
    <w:rsid w:val="00B33B50"/>
    <w:rsid w:val="00B33D12"/>
    <w:rsid w:val="00B33D91"/>
    <w:rsid w:val="00B33D97"/>
    <w:rsid w:val="00B33E1D"/>
    <w:rsid w:val="00B33E44"/>
    <w:rsid w:val="00B33FB2"/>
    <w:rsid w:val="00B3405E"/>
    <w:rsid w:val="00B34116"/>
    <w:rsid w:val="00B3413C"/>
    <w:rsid w:val="00B34374"/>
    <w:rsid w:val="00B344D3"/>
    <w:rsid w:val="00B34A5C"/>
    <w:rsid w:val="00B34AC5"/>
    <w:rsid w:val="00B34AD7"/>
    <w:rsid w:val="00B34D4F"/>
    <w:rsid w:val="00B34E69"/>
    <w:rsid w:val="00B35055"/>
    <w:rsid w:val="00B35071"/>
    <w:rsid w:val="00B35084"/>
    <w:rsid w:val="00B3519D"/>
    <w:rsid w:val="00B3554F"/>
    <w:rsid w:val="00B35706"/>
    <w:rsid w:val="00B35731"/>
    <w:rsid w:val="00B3578C"/>
    <w:rsid w:val="00B35873"/>
    <w:rsid w:val="00B35918"/>
    <w:rsid w:val="00B35994"/>
    <w:rsid w:val="00B359D9"/>
    <w:rsid w:val="00B35AEC"/>
    <w:rsid w:val="00B35B1B"/>
    <w:rsid w:val="00B35C35"/>
    <w:rsid w:val="00B35CB1"/>
    <w:rsid w:val="00B35D09"/>
    <w:rsid w:val="00B35E40"/>
    <w:rsid w:val="00B35EDC"/>
    <w:rsid w:val="00B35F5D"/>
    <w:rsid w:val="00B35F9A"/>
    <w:rsid w:val="00B36028"/>
    <w:rsid w:val="00B3618C"/>
    <w:rsid w:val="00B365AF"/>
    <w:rsid w:val="00B36614"/>
    <w:rsid w:val="00B367FD"/>
    <w:rsid w:val="00B36AE0"/>
    <w:rsid w:val="00B36B93"/>
    <w:rsid w:val="00B36E35"/>
    <w:rsid w:val="00B36E87"/>
    <w:rsid w:val="00B37300"/>
    <w:rsid w:val="00B37602"/>
    <w:rsid w:val="00B37669"/>
    <w:rsid w:val="00B3768D"/>
    <w:rsid w:val="00B376DB"/>
    <w:rsid w:val="00B377D0"/>
    <w:rsid w:val="00B378DD"/>
    <w:rsid w:val="00B379D8"/>
    <w:rsid w:val="00B379E9"/>
    <w:rsid w:val="00B37AEC"/>
    <w:rsid w:val="00B37B00"/>
    <w:rsid w:val="00B37BB7"/>
    <w:rsid w:val="00B37C89"/>
    <w:rsid w:val="00B37CA6"/>
    <w:rsid w:val="00B37D54"/>
    <w:rsid w:val="00B40338"/>
    <w:rsid w:val="00B40457"/>
    <w:rsid w:val="00B40570"/>
    <w:rsid w:val="00B40912"/>
    <w:rsid w:val="00B409E7"/>
    <w:rsid w:val="00B40A7F"/>
    <w:rsid w:val="00B40BC8"/>
    <w:rsid w:val="00B40D9F"/>
    <w:rsid w:val="00B40DE8"/>
    <w:rsid w:val="00B40E3F"/>
    <w:rsid w:val="00B40EB7"/>
    <w:rsid w:val="00B410CF"/>
    <w:rsid w:val="00B41242"/>
    <w:rsid w:val="00B4125A"/>
    <w:rsid w:val="00B4143D"/>
    <w:rsid w:val="00B41484"/>
    <w:rsid w:val="00B41593"/>
    <w:rsid w:val="00B416D4"/>
    <w:rsid w:val="00B41703"/>
    <w:rsid w:val="00B4190B"/>
    <w:rsid w:val="00B41A0A"/>
    <w:rsid w:val="00B41B68"/>
    <w:rsid w:val="00B41C79"/>
    <w:rsid w:val="00B41E06"/>
    <w:rsid w:val="00B41F48"/>
    <w:rsid w:val="00B41FD3"/>
    <w:rsid w:val="00B422CF"/>
    <w:rsid w:val="00B424F7"/>
    <w:rsid w:val="00B42AD7"/>
    <w:rsid w:val="00B42ADE"/>
    <w:rsid w:val="00B42BDA"/>
    <w:rsid w:val="00B42D75"/>
    <w:rsid w:val="00B42DDD"/>
    <w:rsid w:val="00B42F2B"/>
    <w:rsid w:val="00B4311A"/>
    <w:rsid w:val="00B439C8"/>
    <w:rsid w:val="00B439C9"/>
    <w:rsid w:val="00B43B46"/>
    <w:rsid w:val="00B43B69"/>
    <w:rsid w:val="00B43C29"/>
    <w:rsid w:val="00B43F2B"/>
    <w:rsid w:val="00B4438E"/>
    <w:rsid w:val="00B4441B"/>
    <w:rsid w:val="00B444EB"/>
    <w:rsid w:val="00B444EF"/>
    <w:rsid w:val="00B44571"/>
    <w:rsid w:val="00B44698"/>
    <w:rsid w:val="00B4476C"/>
    <w:rsid w:val="00B44AB3"/>
    <w:rsid w:val="00B44C41"/>
    <w:rsid w:val="00B44CD8"/>
    <w:rsid w:val="00B44F2C"/>
    <w:rsid w:val="00B44FAE"/>
    <w:rsid w:val="00B4503E"/>
    <w:rsid w:val="00B4507E"/>
    <w:rsid w:val="00B452A5"/>
    <w:rsid w:val="00B452BC"/>
    <w:rsid w:val="00B452BD"/>
    <w:rsid w:val="00B45390"/>
    <w:rsid w:val="00B4558A"/>
    <w:rsid w:val="00B4568B"/>
    <w:rsid w:val="00B45BF4"/>
    <w:rsid w:val="00B45D2D"/>
    <w:rsid w:val="00B45F0A"/>
    <w:rsid w:val="00B45F81"/>
    <w:rsid w:val="00B4607E"/>
    <w:rsid w:val="00B46164"/>
    <w:rsid w:val="00B46262"/>
    <w:rsid w:val="00B46472"/>
    <w:rsid w:val="00B46490"/>
    <w:rsid w:val="00B4649F"/>
    <w:rsid w:val="00B464FB"/>
    <w:rsid w:val="00B465BE"/>
    <w:rsid w:val="00B466ED"/>
    <w:rsid w:val="00B46855"/>
    <w:rsid w:val="00B46898"/>
    <w:rsid w:val="00B46C26"/>
    <w:rsid w:val="00B46C68"/>
    <w:rsid w:val="00B46C7E"/>
    <w:rsid w:val="00B46DEB"/>
    <w:rsid w:val="00B46FE0"/>
    <w:rsid w:val="00B471B5"/>
    <w:rsid w:val="00B472B1"/>
    <w:rsid w:val="00B47378"/>
    <w:rsid w:val="00B4749F"/>
    <w:rsid w:val="00B47646"/>
    <w:rsid w:val="00B476BA"/>
    <w:rsid w:val="00B47770"/>
    <w:rsid w:val="00B47A32"/>
    <w:rsid w:val="00B47E59"/>
    <w:rsid w:val="00B47F83"/>
    <w:rsid w:val="00B50129"/>
    <w:rsid w:val="00B50167"/>
    <w:rsid w:val="00B501BE"/>
    <w:rsid w:val="00B5032D"/>
    <w:rsid w:val="00B5034E"/>
    <w:rsid w:val="00B50474"/>
    <w:rsid w:val="00B50782"/>
    <w:rsid w:val="00B507FB"/>
    <w:rsid w:val="00B5096A"/>
    <w:rsid w:val="00B5096C"/>
    <w:rsid w:val="00B50AFE"/>
    <w:rsid w:val="00B50BCB"/>
    <w:rsid w:val="00B50D58"/>
    <w:rsid w:val="00B50DC1"/>
    <w:rsid w:val="00B50E8F"/>
    <w:rsid w:val="00B50FD3"/>
    <w:rsid w:val="00B50FE9"/>
    <w:rsid w:val="00B512E7"/>
    <w:rsid w:val="00B5154C"/>
    <w:rsid w:val="00B517BA"/>
    <w:rsid w:val="00B518AC"/>
    <w:rsid w:val="00B51A52"/>
    <w:rsid w:val="00B51A9B"/>
    <w:rsid w:val="00B51BB8"/>
    <w:rsid w:val="00B51BE2"/>
    <w:rsid w:val="00B51D3E"/>
    <w:rsid w:val="00B52506"/>
    <w:rsid w:val="00B52674"/>
    <w:rsid w:val="00B527CF"/>
    <w:rsid w:val="00B5288A"/>
    <w:rsid w:val="00B52A7D"/>
    <w:rsid w:val="00B52BA4"/>
    <w:rsid w:val="00B52CEB"/>
    <w:rsid w:val="00B52D21"/>
    <w:rsid w:val="00B52EB8"/>
    <w:rsid w:val="00B53112"/>
    <w:rsid w:val="00B53301"/>
    <w:rsid w:val="00B53490"/>
    <w:rsid w:val="00B5351A"/>
    <w:rsid w:val="00B5363F"/>
    <w:rsid w:val="00B536A4"/>
    <w:rsid w:val="00B537E4"/>
    <w:rsid w:val="00B53947"/>
    <w:rsid w:val="00B53A73"/>
    <w:rsid w:val="00B53A90"/>
    <w:rsid w:val="00B53B2F"/>
    <w:rsid w:val="00B53B86"/>
    <w:rsid w:val="00B53EAC"/>
    <w:rsid w:val="00B53F1F"/>
    <w:rsid w:val="00B5405D"/>
    <w:rsid w:val="00B541C1"/>
    <w:rsid w:val="00B54286"/>
    <w:rsid w:val="00B54316"/>
    <w:rsid w:val="00B5451E"/>
    <w:rsid w:val="00B54567"/>
    <w:rsid w:val="00B54609"/>
    <w:rsid w:val="00B5467D"/>
    <w:rsid w:val="00B548B5"/>
    <w:rsid w:val="00B54924"/>
    <w:rsid w:val="00B54966"/>
    <w:rsid w:val="00B54988"/>
    <w:rsid w:val="00B54A55"/>
    <w:rsid w:val="00B54D7C"/>
    <w:rsid w:val="00B54DD9"/>
    <w:rsid w:val="00B54E41"/>
    <w:rsid w:val="00B54E6A"/>
    <w:rsid w:val="00B54F51"/>
    <w:rsid w:val="00B551B4"/>
    <w:rsid w:val="00B553B7"/>
    <w:rsid w:val="00B553C6"/>
    <w:rsid w:val="00B555A1"/>
    <w:rsid w:val="00B5570D"/>
    <w:rsid w:val="00B5596E"/>
    <w:rsid w:val="00B559DC"/>
    <w:rsid w:val="00B559ED"/>
    <w:rsid w:val="00B55A35"/>
    <w:rsid w:val="00B55A79"/>
    <w:rsid w:val="00B55C83"/>
    <w:rsid w:val="00B55E40"/>
    <w:rsid w:val="00B55F23"/>
    <w:rsid w:val="00B55F65"/>
    <w:rsid w:val="00B56035"/>
    <w:rsid w:val="00B56094"/>
    <w:rsid w:val="00B560F3"/>
    <w:rsid w:val="00B561DA"/>
    <w:rsid w:val="00B56378"/>
    <w:rsid w:val="00B56429"/>
    <w:rsid w:val="00B564B6"/>
    <w:rsid w:val="00B56579"/>
    <w:rsid w:val="00B565BF"/>
    <w:rsid w:val="00B56636"/>
    <w:rsid w:val="00B566C4"/>
    <w:rsid w:val="00B566CB"/>
    <w:rsid w:val="00B56759"/>
    <w:rsid w:val="00B567B4"/>
    <w:rsid w:val="00B569F7"/>
    <w:rsid w:val="00B56AC9"/>
    <w:rsid w:val="00B56ACB"/>
    <w:rsid w:val="00B56AF4"/>
    <w:rsid w:val="00B56C18"/>
    <w:rsid w:val="00B56D0A"/>
    <w:rsid w:val="00B56E37"/>
    <w:rsid w:val="00B56E8A"/>
    <w:rsid w:val="00B56FC7"/>
    <w:rsid w:val="00B57213"/>
    <w:rsid w:val="00B57230"/>
    <w:rsid w:val="00B572B8"/>
    <w:rsid w:val="00B572FC"/>
    <w:rsid w:val="00B57415"/>
    <w:rsid w:val="00B57503"/>
    <w:rsid w:val="00B57715"/>
    <w:rsid w:val="00B5778E"/>
    <w:rsid w:val="00B57909"/>
    <w:rsid w:val="00B5795A"/>
    <w:rsid w:val="00B57A09"/>
    <w:rsid w:val="00B57B3D"/>
    <w:rsid w:val="00B57ED2"/>
    <w:rsid w:val="00B60010"/>
    <w:rsid w:val="00B602FB"/>
    <w:rsid w:val="00B60366"/>
    <w:rsid w:val="00B603CD"/>
    <w:rsid w:val="00B603DE"/>
    <w:rsid w:val="00B604D5"/>
    <w:rsid w:val="00B6051D"/>
    <w:rsid w:val="00B6063D"/>
    <w:rsid w:val="00B607D4"/>
    <w:rsid w:val="00B60874"/>
    <w:rsid w:val="00B608EF"/>
    <w:rsid w:val="00B60BA1"/>
    <w:rsid w:val="00B60DE4"/>
    <w:rsid w:val="00B60E69"/>
    <w:rsid w:val="00B60EBF"/>
    <w:rsid w:val="00B610E1"/>
    <w:rsid w:val="00B61121"/>
    <w:rsid w:val="00B61144"/>
    <w:rsid w:val="00B61339"/>
    <w:rsid w:val="00B613DF"/>
    <w:rsid w:val="00B61448"/>
    <w:rsid w:val="00B61473"/>
    <w:rsid w:val="00B61666"/>
    <w:rsid w:val="00B61808"/>
    <w:rsid w:val="00B619B5"/>
    <w:rsid w:val="00B61A7A"/>
    <w:rsid w:val="00B61AA0"/>
    <w:rsid w:val="00B61DC0"/>
    <w:rsid w:val="00B61E09"/>
    <w:rsid w:val="00B61F79"/>
    <w:rsid w:val="00B61F95"/>
    <w:rsid w:val="00B61F9C"/>
    <w:rsid w:val="00B62033"/>
    <w:rsid w:val="00B625FC"/>
    <w:rsid w:val="00B62606"/>
    <w:rsid w:val="00B6292D"/>
    <w:rsid w:val="00B62987"/>
    <w:rsid w:val="00B62A45"/>
    <w:rsid w:val="00B62FE3"/>
    <w:rsid w:val="00B63060"/>
    <w:rsid w:val="00B63110"/>
    <w:rsid w:val="00B6320B"/>
    <w:rsid w:val="00B634CD"/>
    <w:rsid w:val="00B6369E"/>
    <w:rsid w:val="00B6370C"/>
    <w:rsid w:val="00B6378C"/>
    <w:rsid w:val="00B63884"/>
    <w:rsid w:val="00B639AB"/>
    <w:rsid w:val="00B63A5F"/>
    <w:rsid w:val="00B63ADA"/>
    <w:rsid w:val="00B63B74"/>
    <w:rsid w:val="00B63C3F"/>
    <w:rsid w:val="00B63FD0"/>
    <w:rsid w:val="00B641E1"/>
    <w:rsid w:val="00B641F8"/>
    <w:rsid w:val="00B64220"/>
    <w:rsid w:val="00B64512"/>
    <w:rsid w:val="00B64616"/>
    <w:rsid w:val="00B64920"/>
    <w:rsid w:val="00B64A8F"/>
    <w:rsid w:val="00B64CBD"/>
    <w:rsid w:val="00B64CC8"/>
    <w:rsid w:val="00B64D6B"/>
    <w:rsid w:val="00B64DD4"/>
    <w:rsid w:val="00B64ECF"/>
    <w:rsid w:val="00B65038"/>
    <w:rsid w:val="00B650A4"/>
    <w:rsid w:val="00B65150"/>
    <w:rsid w:val="00B652FA"/>
    <w:rsid w:val="00B653DF"/>
    <w:rsid w:val="00B65403"/>
    <w:rsid w:val="00B65433"/>
    <w:rsid w:val="00B654C8"/>
    <w:rsid w:val="00B6562D"/>
    <w:rsid w:val="00B6570D"/>
    <w:rsid w:val="00B65872"/>
    <w:rsid w:val="00B65ACE"/>
    <w:rsid w:val="00B65B3F"/>
    <w:rsid w:val="00B65C69"/>
    <w:rsid w:val="00B65D1F"/>
    <w:rsid w:val="00B65E03"/>
    <w:rsid w:val="00B65F17"/>
    <w:rsid w:val="00B65F73"/>
    <w:rsid w:val="00B660A1"/>
    <w:rsid w:val="00B6616D"/>
    <w:rsid w:val="00B6631B"/>
    <w:rsid w:val="00B66335"/>
    <w:rsid w:val="00B66396"/>
    <w:rsid w:val="00B663B1"/>
    <w:rsid w:val="00B66630"/>
    <w:rsid w:val="00B6689A"/>
    <w:rsid w:val="00B66980"/>
    <w:rsid w:val="00B66AFA"/>
    <w:rsid w:val="00B66D91"/>
    <w:rsid w:val="00B66E1D"/>
    <w:rsid w:val="00B66F2A"/>
    <w:rsid w:val="00B66F64"/>
    <w:rsid w:val="00B670F8"/>
    <w:rsid w:val="00B67143"/>
    <w:rsid w:val="00B671A1"/>
    <w:rsid w:val="00B67291"/>
    <w:rsid w:val="00B6733A"/>
    <w:rsid w:val="00B67448"/>
    <w:rsid w:val="00B674D5"/>
    <w:rsid w:val="00B6767C"/>
    <w:rsid w:val="00B67BFE"/>
    <w:rsid w:val="00B67DF3"/>
    <w:rsid w:val="00B67E5C"/>
    <w:rsid w:val="00B700C5"/>
    <w:rsid w:val="00B7015C"/>
    <w:rsid w:val="00B70642"/>
    <w:rsid w:val="00B7080A"/>
    <w:rsid w:val="00B70827"/>
    <w:rsid w:val="00B70E04"/>
    <w:rsid w:val="00B70EF2"/>
    <w:rsid w:val="00B70F1E"/>
    <w:rsid w:val="00B7109C"/>
    <w:rsid w:val="00B71182"/>
    <w:rsid w:val="00B712A1"/>
    <w:rsid w:val="00B71474"/>
    <w:rsid w:val="00B71784"/>
    <w:rsid w:val="00B7191A"/>
    <w:rsid w:val="00B71BDA"/>
    <w:rsid w:val="00B71BE7"/>
    <w:rsid w:val="00B71EEF"/>
    <w:rsid w:val="00B71F05"/>
    <w:rsid w:val="00B72086"/>
    <w:rsid w:val="00B72164"/>
    <w:rsid w:val="00B72277"/>
    <w:rsid w:val="00B7262C"/>
    <w:rsid w:val="00B7271D"/>
    <w:rsid w:val="00B72876"/>
    <w:rsid w:val="00B7295A"/>
    <w:rsid w:val="00B72997"/>
    <w:rsid w:val="00B72CFC"/>
    <w:rsid w:val="00B72E05"/>
    <w:rsid w:val="00B72E0E"/>
    <w:rsid w:val="00B72E75"/>
    <w:rsid w:val="00B732B5"/>
    <w:rsid w:val="00B7361A"/>
    <w:rsid w:val="00B7363D"/>
    <w:rsid w:val="00B736C8"/>
    <w:rsid w:val="00B73902"/>
    <w:rsid w:val="00B73C03"/>
    <w:rsid w:val="00B73EA1"/>
    <w:rsid w:val="00B73EB7"/>
    <w:rsid w:val="00B73ED0"/>
    <w:rsid w:val="00B73EF7"/>
    <w:rsid w:val="00B740C5"/>
    <w:rsid w:val="00B74252"/>
    <w:rsid w:val="00B74268"/>
    <w:rsid w:val="00B742C4"/>
    <w:rsid w:val="00B74495"/>
    <w:rsid w:val="00B744C6"/>
    <w:rsid w:val="00B7479C"/>
    <w:rsid w:val="00B747C8"/>
    <w:rsid w:val="00B74851"/>
    <w:rsid w:val="00B748AC"/>
    <w:rsid w:val="00B7490C"/>
    <w:rsid w:val="00B74AA1"/>
    <w:rsid w:val="00B74CF6"/>
    <w:rsid w:val="00B74E5D"/>
    <w:rsid w:val="00B74FAF"/>
    <w:rsid w:val="00B7522C"/>
    <w:rsid w:val="00B7556C"/>
    <w:rsid w:val="00B7569D"/>
    <w:rsid w:val="00B75748"/>
    <w:rsid w:val="00B75CED"/>
    <w:rsid w:val="00B75D2F"/>
    <w:rsid w:val="00B75D92"/>
    <w:rsid w:val="00B75E58"/>
    <w:rsid w:val="00B75FA5"/>
    <w:rsid w:val="00B75FB0"/>
    <w:rsid w:val="00B7617E"/>
    <w:rsid w:val="00B7637F"/>
    <w:rsid w:val="00B76557"/>
    <w:rsid w:val="00B766F4"/>
    <w:rsid w:val="00B76738"/>
    <w:rsid w:val="00B76764"/>
    <w:rsid w:val="00B76B65"/>
    <w:rsid w:val="00B76C26"/>
    <w:rsid w:val="00B770F1"/>
    <w:rsid w:val="00B771E8"/>
    <w:rsid w:val="00B77321"/>
    <w:rsid w:val="00B77762"/>
    <w:rsid w:val="00B777C5"/>
    <w:rsid w:val="00B77848"/>
    <w:rsid w:val="00B77A37"/>
    <w:rsid w:val="00B77A7E"/>
    <w:rsid w:val="00B77ADC"/>
    <w:rsid w:val="00B77B1C"/>
    <w:rsid w:val="00B77BE9"/>
    <w:rsid w:val="00B77C26"/>
    <w:rsid w:val="00B77CE7"/>
    <w:rsid w:val="00B77D80"/>
    <w:rsid w:val="00B77DA7"/>
    <w:rsid w:val="00B77DBF"/>
    <w:rsid w:val="00B77F66"/>
    <w:rsid w:val="00B800AF"/>
    <w:rsid w:val="00B8022C"/>
    <w:rsid w:val="00B802D0"/>
    <w:rsid w:val="00B80392"/>
    <w:rsid w:val="00B803EB"/>
    <w:rsid w:val="00B80469"/>
    <w:rsid w:val="00B8049C"/>
    <w:rsid w:val="00B804D3"/>
    <w:rsid w:val="00B8053E"/>
    <w:rsid w:val="00B805C7"/>
    <w:rsid w:val="00B8062A"/>
    <w:rsid w:val="00B8099C"/>
    <w:rsid w:val="00B80A15"/>
    <w:rsid w:val="00B80A22"/>
    <w:rsid w:val="00B80AB2"/>
    <w:rsid w:val="00B80CD0"/>
    <w:rsid w:val="00B81091"/>
    <w:rsid w:val="00B811C5"/>
    <w:rsid w:val="00B81330"/>
    <w:rsid w:val="00B81472"/>
    <w:rsid w:val="00B81577"/>
    <w:rsid w:val="00B815C7"/>
    <w:rsid w:val="00B81701"/>
    <w:rsid w:val="00B81B88"/>
    <w:rsid w:val="00B81C69"/>
    <w:rsid w:val="00B81CDB"/>
    <w:rsid w:val="00B81D72"/>
    <w:rsid w:val="00B81E8C"/>
    <w:rsid w:val="00B82128"/>
    <w:rsid w:val="00B82249"/>
    <w:rsid w:val="00B8266A"/>
    <w:rsid w:val="00B82774"/>
    <w:rsid w:val="00B82873"/>
    <w:rsid w:val="00B8289B"/>
    <w:rsid w:val="00B82993"/>
    <w:rsid w:val="00B82E98"/>
    <w:rsid w:val="00B82FE7"/>
    <w:rsid w:val="00B830FF"/>
    <w:rsid w:val="00B83186"/>
    <w:rsid w:val="00B831FF"/>
    <w:rsid w:val="00B8329D"/>
    <w:rsid w:val="00B83786"/>
    <w:rsid w:val="00B8382E"/>
    <w:rsid w:val="00B8384E"/>
    <w:rsid w:val="00B838FF"/>
    <w:rsid w:val="00B839F7"/>
    <w:rsid w:val="00B83E09"/>
    <w:rsid w:val="00B83E40"/>
    <w:rsid w:val="00B83F0A"/>
    <w:rsid w:val="00B83FCB"/>
    <w:rsid w:val="00B83FF8"/>
    <w:rsid w:val="00B840A6"/>
    <w:rsid w:val="00B84193"/>
    <w:rsid w:val="00B84196"/>
    <w:rsid w:val="00B842BD"/>
    <w:rsid w:val="00B84410"/>
    <w:rsid w:val="00B84768"/>
    <w:rsid w:val="00B849A4"/>
    <w:rsid w:val="00B849DD"/>
    <w:rsid w:val="00B84D62"/>
    <w:rsid w:val="00B84F47"/>
    <w:rsid w:val="00B84F69"/>
    <w:rsid w:val="00B850D3"/>
    <w:rsid w:val="00B85198"/>
    <w:rsid w:val="00B85243"/>
    <w:rsid w:val="00B8543B"/>
    <w:rsid w:val="00B856EE"/>
    <w:rsid w:val="00B85727"/>
    <w:rsid w:val="00B8590C"/>
    <w:rsid w:val="00B859AF"/>
    <w:rsid w:val="00B85A58"/>
    <w:rsid w:val="00B85CE9"/>
    <w:rsid w:val="00B85E18"/>
    <w:rsid w:val="00B86120"/>
    <w:rsid w:val="00B861B0"/>
    <w:rsid w:val="00B86270"/>
    <w:rsid w:val="00B864A1"/>
    <w:rsid w:val="00B864B1"/>
    <w:rsid w:val="00B865C3"/>
    <w:rsid w:val="00B86666"/>
    <w:rsid w:val="00B86720"/>
    <w:rsid w:val="00B86986"/>
    <w:rsid w:val="00B86A2C"/>
    <w:rsid w:val="00B86D47"/>
    <w:rsid w:val="00B86DE0"/>
    <w:rsid w:val="00B870FA"/>
    <w:rsid w:val="00B8732C"/>
    <w:rsid w:val="00B87805"/>
    <w:rsid w:val="00B87A70"/>
    <w:rsid w:val="00B87ACA"/>
    <w:rsid w:val="00B900C2"/>
    <w:rsid w:val="00B9013E"/>
    <w:rsid w:val="00B901A8"/>
    <w:rsid w:val="00B901DC"/>
    <w:rsid w:val="00B90398"/>
    <w:rsid w:val="00B90460"/>
    <w:rsid w:val="00B9058C"/>
    <w:rsid w:val="00B906BF"/>
    <w:rsid w:val="00B90872"/>
    <w:rsid w:val="00B908A3"/>
    <w:rsid w:val="00B908C7"/>
    <w:rsid w:val="00B90A15"/>
    <w:rsid w:val="00B90BC5"/>
    <w:rsid w:val="00B90C9B"/>
    <w:rsid w:val="00B90E56"/>
    <w:rsid w:val="00B90F89"/>
    <w:rsid w:val="00B90FC8"/>
    <w:rsid w:val="00B91087"/>
    <w:rsid w:val="00B911B9"/>
    <w:rsid w:val="00B91421"/>
    <w:rsid w:val="00B914D6"/>
    <w:rsid w:val="00B91618"/>
    <w:rsid w:val="00B91642"/>
    <w:rsid w:val="00B916C9"/>
    <w:rsid w:val="00B9171E"/>
    <w:rsid w:val="00B91731"/>
    <w:rsid w:val="00B918D0"/>
    <w:rsid w:val="00B91AEA"/>
    <w:rsid w:val="00B91B74"/>
    <w:rsid w:val="00B91B7E"/>
    <w:rsid w:val="00B91BB4"/>
    <w:rsid w:val="00B91BC5"/>
    <w:rsid w:val="00B91D18"/>
    <w:rsid w:val="00B92070"/>
    <w:rsid w:val="00B92109"/>
    <w:rsid w:val="00B921E7"/>
    <w:rsid w:val="00B923F4"/>
    <w:rsid w:val="00B9244C"/>
    <w:rsid w:val="00B92465"/>
    <w:rsid w:val="00B924DB"/>
    <w:rsid w:val="00B926C5"/>
    <w:rsid w:val="00B92842"/>
    <w:rsid w:val="00B929B4"/>
    <w:rsid w:val="00B92A02"/>
    <w:rsid w:val="00B92BBF"/>
    <w:rsid w:val="00B92BC0"/>
    <w:rsid w:val="00B92D29"/>
    <w:rsid w:val="00B92E8E"/>
    <w:rsid w:val="00B92EEC"/>
    <w:rsid w:val="00B92F08"/>
    <w:rsid w:val="00B92F1E"/>
    <w:rsid w:val="00B93551"/>
    <w:rsid w:val="00B93641"/>
    <w:rsid w:val="00B936B5"/>
    <w:rsid w:val="00B9381C"/>
    <w:rsid w:val="00B939F7"/>
    <w:rsid w:val="00B93D83"/>
    <w:rsid w:val="00B93E32"/>
    <w:rsid w:val="00B93F81"/>
    <w:rsid w:val="00B93FBD"/>
    <w:rsid w:val="00B94059"/>
    <w:rsid w:val="00B940D2"/>
    <w:rsid w:val="00B943ED"/>
    <w:rsid w:val="00B9452D"/>
    <w:rsid w:val="00B94573"/>
    <w:rsid w:val="00B947CF"/>
    <w:rsid w:val="00B9499E"/>
    <w:rsid w:val="00B94A46"/>
    <w:rsid w:val="00B94CEA"/>
    <w:rsid w:val="00B952BE"/>
    <w:rsid w:val="00B9543B"/>
    <w:rsid w:val="00B95716"/>
    <w:rsid w:val="00B95756"/>
    <w:rsid w:val="00B95757"/>
    <w:rsid w:val="00B958D4"/>
    <w:rsid w:val="00B95A67"/>
    <w:rsid w:val="00B95B76"/>
    <w:rsid w:val="00B95C17"/>
    <w:rsid w:val="00B95D6C"/>
    <w:rsid w:val="00B9600B"/>
    <w:rsid w:val="00B96021"/>
    <w:rsid w:val="00B9611C"/>
    <w:rsid w:val="00B96140"/>
    <w:rsid w:val="00B96617"/>
    <w:rsid w:val="00B96627"/>
    <w:rsid w:val="00B96696"/>
    <w:rsid w:val="00B966B7"/>
    <w:rsid w:val="00B966B8"/>
    <w:rsid w:val="00B96780"/>
    <w:rsid w:val="00B967BB"/>
    <w:rsid w:val="00B967D3"/>
    <w:rsid w:val="00B96841"/>
    <w:rsid w:val="00B96947"/>
    <w:rsid w:val="00B96BD0"/>
    <w:rsid w:val="00B96CE1"/>
    <w:rsid w:val="00B96EE3"/>
    <w:rsid w:val="00B96FFA"/>
    <w:rsid w:val="00B971D0"/>
    <w:rsid w:val="00B97321"/>
    <w:rsid w:val="00B97329"/>
    <w:rsid w:val="00B9785E"/>
    <w:rsid w:val="00B97C75"/>
    <w:rsid w:val="00B97DE4"/>
    <w:rsid w:val="00B97EC0"/>
    <w:rsid w:val="00BA001A"/>
    <w:rsid w:val="00BA0309"/>
    <w:rsid w:val="00BA03B8"/>
    <w:rsid w:val="00BA0563"/>
    <w:rsid w:val="00BA062C"/>
    <w:rsid w:val="00BA0698"/>
    <w:rsid w:val="00BA0805"/>
    <w:rsid w:val="00BA080B"/>
    <w:rsid w:val="00BA0A04"/>
    <w:rsid w:val="00BA0C6A"/>
    <w:rsid w:val="00BA0C9E"/>
    <w:rsid w:val="00BA0DAE"/>
    <w:rsid w:val="00BA0E00"/>
    <w:rsid w:val="00BA0F04"/>
    <w:rsid w:val="00BA12F6"/>
    <w:rsid w:val="00BA1323"/>
    <w:rsid w:val="00BA134A"/>
    <w:rsid w:val="00BA154B"/>
    <w:rsid w:val="00BA1672"/>
    <w:rsid w:val="00BA174F"/>
    <w:rsid w:val="00BA186F"/>
    <w:rsid w:val="00BA1B81"/>
    <w:rsid w:val="00BA1CFB"/>
    <w:rsid w:val="00BA1D4B"/>
    <w:rsid w:val="00BA2088"/>
    <w:rsid w:val="00BA212C"/>
    <w:rsid w:val="00BA213B"/>
    <w:rsid w:val="00BA2242"/>
    <w:rsid w:val="00BA2267"/>
    <w:rsid w:val="00BA229F"/>
    <w:rsid w:val="00BA22F0"/>
    <w:rsid w:val="00BA24D1"/>
    <w:rsid w:val="00BA25B5"/>
    <w:rsid w:val="00BA2642"/>
    <w:rsid w:val="00BA2783"/>
    <w:rsid w:val="00BA2785"/>
    <w:rsid w:val="00BA27EF"/>
    <w:rsid w:val="00BA2A60"/>
    <w:rsid w:val="00BA2D08"/>
    <w:rsid w:val="00BA2E4C"/>
    <w:rsid w:val="00BA2E67"/>
    <w:rsid w:val="00BA32A0"/>
    <w:rsid w:val="00BA35D7"/>
    <w:rsid w:val="00BA35E2"/>
    <w:rsid w:val="00BA3667"/>
    <w:rsid w:val="00BA36F2"/>
    <w:rsid w:val="00BA37BA"/>
    <w:rsid w:val="00BA386B"/>
    <w:rsid w:val="00BA3974"/>
    <w:rsid w:val="00BA3A0B"/>
    <w:rsid w:val="00BA3DE0"/>
    <w:rsid w:val="00BA3E6D"/>
    <w:rsid w:val="00BA4023"/>
    <w:rsid w:val="00BA4099"/>
    <w:rsid w:val="00BA4115"/>
    <w:rsid w:val="00BA4127"/>
    <w:rsid w:val="00BA41D4"/>
    <w:rsid w:val="00BA42D1"/>
    <w:rsid w:val="00BA4654"/>
    <w:rsid w:val="00BA4882"/>
    <w:rsid w:val="00BA4913"/>
    <w:rsid w:val="00BA4BBF"/>
    <w:rsid w:val="00BA4BC2"/>
    <w:rsid w:val="00BA4DE9"/>
    <w:rsid w:val="00BA4EBC"/>
    <w:rsid w:val="00BA4FDA"/>
    <w:rsid w:val="00BA51CC"/>
    <w:rsid w:val="00BA5288"/>
    <w:rsid w:val="00BA52C4"/>
    <w:rsid w:val="00BA52FD"/>
    <w:rsid w:val="00BA5388"/>
    <w:rsid w:val="00BA5408"/>
    <w:rsid w:val="00BA5777"/>
    <w:rsid w:val="00BA5AC8"/>
    <w:rsid w:val="00BA5C13"/>
    <w:rsid w:val="00BA5F52"/>
    <w:rsid w:val="00BA5FA0"/>
    <w:rsid w:val="00BA62D6"/>
    <w:rsid w:val="00BA65DE"/>
    <w:rsid w:val="00BA66B2"/>
    <w:rsid w:val="00BA69E8"/>
    <w:rsid w:val="00BA6A0B"/>
    <w:rsid w:val="00BA6B54"/>
    <w:rsid w:val="00BA6C92"/>
    <w:rsid w:val="00BA6C99"/>
    <w:rsid w:val="00BA6DED"/>
    <w:rsid w:val="00BA6F27"/>
    <w:rsid w:val="00BA6F5E"/>
    <w:rsid w:val="00BA72FA"/>
    <w:rsid w:val="00BA7526"/>
    <w:rsid w:val="00BA7602"/>
    <w:rsid w:val="00BA7847"/>
    <w:rsid w:val="00BA7939"/>
    <w:rsid w:val="00BA7990"/>
    <w:rsid w:val="00BA7A31"/>
    <w:rsid w:val="00BA7ADC"/>
    <w:rsid w:val="00BA7B3F"/>
    <w:rsid w:val="00BA7B9A"/>
    <w:rsid w:val="00BA7C24"/>
    <w:rsid w:val="00BA7FBC"/>
    <w:rsid w:val="00BA7FC3"/>
    <w:rsid w:val="00BB0005"/>
    <w:rsid w:val="00BB0037"/>
    <w:rsid w:val="00BB008E"/>
    <w:rsid w:val="00BB00EE"/>
    <w:rsid w:val="00BB0489"/>
    <w:rsid w:val="00BB04C2"/>
    <w:rsid w:val="00BB04D4"/>
    <w:rsid w:val="00BB06FF"/>
    <w:rsid w:val="00BB09B3"/>
    <w:rsid w:val="00BB0A10"/>
    <w:rsid w:val="00BB0A73"/>
    <w:rsid w:val="00BB0AA5"/>
    <w:rsid w:val="00BB0AD0"/>
    <w:rsid w:val="00BB0DB8"/>
    <w:rsid w:val="00BB0E28"/>
    <w:rsid w:val="00BB0F78"/>
    <w:rsid w:val="00BB108C"/>
    <w:rsid w:val="00BB13E9"/>
    <w:rsid w:val="00BB1517"/>
    <w:rsid w:val="00BB1691"/>
    <w:rsid w:val="00BB1927"/>
    <w:rsid w:val="00BB1A96"/>
    <w:rsid w:val="00BB1AD7"/>
    <w:rsid w:val="00BB22E7"/>
    <w:rsid w:val="00BB232B"/>
    <w:rsid w:val="00BB23D2"/>
    <w:rsid w:val="00BB2439"/>
    <w:rsid w:val="00BB2503"/>
    <w:rsid w:val="00BB2601"/>
    <w:rsid w:val="00BB2755"/>
    <w:rsid w:val="00BB282E"/>
    <w:rsid w:val="00BB2B74"/>
    <w:rsid w:val="00BB2C3E"/>
    <w:rsid w:val="00BB2C49"/>
    <w:rsid w:val="00BB2CA6"/>
    <w:rsid w:val="00BB2CD0"/>
    <w:rsid w:val="00BB2DBA"/>
    <w:rsid w:val="00BB2E26"/>
    <w:rsid w:val="00BB2ED4"/>
    <w:rsid w:val="00BB2F41"/>
    <w:rsid w:val="00BB2F98"/>
    <w:rsid w:val="00BB306B"/>
    <w:rsid w:val="00BB311F"/>
    <w:rsid w:val="00BB31FF"/>
    <w:rsid w:val="00BB3380"/>
    <w:rsid w:val="00BB33BE"/>
    <w:rsid w:val="00BB3579"/>
    <w:rsid w:val="00BB384D"/>
    <w:rsid w:val="00BB3978"/>
    <w:rsid w:val="00BB3987"/>
    <w:rsid w:val="00BB3AA4"/>
    <w:rsid w:val="00BB3B32"/>
    <w:rsid w:val="00BB4137"/>
    <w:rsid w:val="00BB43C5"/>
    <w:rsid w:val="00BB44FA"/>
    <w:rsid w:val="00BB46CF"/>
    <w:rsid w:val="00BB49CB"/>
    <w:rsid w:val="00BB4C2C"/>
    <w:rsid w:val="00BB4EBE"/>
    <w:rsid w:val="00BB4F5B"/>
    <w:rsid w:val="00BB547B"/>
    <w:rsid w:val="00BB5559"/>
    <w:rsid w:val="00BB5571"/>
    <w:rsid w:val="00BB59C5"/>
    <w:rsid w:val="00BB5B75"/>
    <w:rsid w:val="00BB5BA7"/>
    <w:rsid w:val="00BB5E73"/>
    <w:rsid w:val="00BB5E98"/>
    <w:rsid w:val="00BB61FE"/>
    <w:rsid w:val="00BB6219"/>
    <w:rsid w:val="00BB6327"/>
    <w:rsid w:val="00BB644D"/>
    <w:rsid w:val="00BB6558"/>
    <w:rsid w:val="00BB6678"/>
    <w:rsid w:val="00BB66EB"/>
    <w:rsid w:val="00BB6715"/>
    <w:rsid w:val="00BB6B35"/>
    <w:rsid w:val="00BB6D15"/>
    <w:rsid w:val="00BB6D19"/>
    <w:rsid w:val="00BB6D43"/>
    <w:rsid w:val="00BB6DD3"/>
    <w:rsid w:val="00BB6EAB"/>
    <w:rsid w:val="00BB6EB4"/>
    <w:rsid w:val="00BB6F38"/>
    <w:rsid w:val="00BB6FE4"/>
    <w:rsid w:val="00BB74E2"/>
    <w:rsid w:val="00BB7587"/>
    <w:rsid w:val="00BB7638"/>
    <w:rsid w:val="00BB77D0"/>
    <w:rsid w:val="00BB78CA"/>
    <w:rsid w:val="00BB7B4E"/>
    <w:rsid w:val="00BB7B53"/>
    <w:rsid w:val="00BB7D3F"/>
    <w:rsid w:val="00BB7FBE"/>
    <w:rsid w:val="00BC0240"/>
    <w:rsid w:val="00BC0338"/>
    <w:rsid w:val="00BC03A8"/>
    <w:rsid w:val="00BC0415"/>
    <w:rsid w:val="00BC049A"/>
    <w:rsid w:val="00BC04CE"/>
    <w:rsid w:val="00BC051D"/>
    <w:rsid w:val="00BC0569"/>
    <w:rsid w:val="00BC0599"/>
    <w:rsid w:val="00BC0824"/>
    <w:rsid w:val="00BC0865"/>
    <w:rsid w:val="00BC08C2"/>
    <w:rsid w:val="00BC0A1C"/>
    <w:rsid w:val="00BC0A82"/>
    <w:rsid w:val="00BC0ABF"/>
    <w:rsid w:val="00BC0DBE"/>
    <w:rsid w:val="00BC0DED"/>
    <w:rsid w:val="00BC0E3D"/>
    <w:rsid w:val="00BC0F57"/>
    <w:rsid w:val="00BC105F"/>
    <w:rsid w:val="00BC10F7"/>
    <w:rsid w:val="00BC11EB"/>
    <w:rsid w:val="00BC1300"/>
    <w:rsid w:val="00BC134D"/>
    <w:rsid w:val="00BC13DC"/>
    <w:rsid w:val="00BC159E"/>
    <w:rsid w:val="00BC1655"/>
    <w:rsid w:val="00BC1921"/>
    <w:rsid w:val="00BC195B"/>
    <w:rsid w:val="00BC1C43"/>
    <w:rsid w:val="00BC1DC4"/>
    <w:rsid w:val="00BC1E46"/>
    <w:rsid w:val="00BC1E8B"/>
    <w:rsid w:val="00BC1F45"/>
    <w:rsid w:val="00BC1F6C"/>
    <w:rsid w:val="00BC1FA0"/>
    <w:rsid w:val="00BC223E"/>
    <w:rsid w:val="00BC273B"/>
    <w:rsid w:val="00BC2A2E"/>
    <w:rsid w:val="00BC2AC6"/>
    <w:rsid w:val="00BC2E5B"/>
    <w:rsid w:val="00BC30D0"/>
    <w:rsid w:val="00BC32E0"/>
    <w:rsid w:val="00BC3301"/>
    <w:rsid w:val="00BC3357"/>
    <w:rsid w:val="00BC33A5"/>
    <w:rsid w:val="00BC3435"/>
    <w:rsid w:val="00BC353B"/>
    <w:rsid w:val="00BC36B2"/>
    <w:rsid w:val="00BC36B7"/>
    <w:rsid w:val="00BC3A08"/>
    <w:rsid w:val="00BC3D65"/>
    <w:rsid w:val="00BC3D92"/>
    <w:rsid w:val="00BC3DEF"/>
    <w:rsid w:val="00BC3F19"/>
    <w:rsid w:val="00BC3F4F"/>
    <w:rsid w:val="00BC3F6B"/>
    <w:rsid w:val="00BC3F7F"/>
    <w:rsid w:val="00BC3FFF"/>
    <w:rsid w:val="00BC407A"/>
    <w:rsid w:val="00BC4333"/>
    <w:rsid w:val="00BC48C5"/>
    <w:rsid w:val="00BC4A61"/>
    <w:rsid w:val="00BC4A9A"/>
    <w:rsid w:val="00BC4B11"/>
    <w:rsid w:val="00BC4C03"/>
    <w:rsid w:val="00BC4C4C"/>
    <w:rsid w:val="00BC4CB7"/>
    <w:rsid w:val="00BC4CD9"/>
    <w:rsid w:val="00BC5160"/>
    <w:rsid w:val="00BC520B"/>
    <w:rsid w:val="00BC5368"/>
    <w:rsid w:val="00BC54BD"/>
    <w:rsid w:val="00BC553B"/>
    <w:rsid w:val="00BC5605"/>
    <w:rsid w:val="00BC57F6"/>
    <w:rsid w:val="00BC5813"/>
    <w:rsid w:val="00BC5B2C"/>
    <w:rsid w:val="00BC5B7A"/>
    <w:rsid w:val="00BC5D9A"/>
    <w:rsid w:val="00BC5F64"/>
    <w:rsid w:val="00BC5FCD"/>
    <w:rsid w:val="00BC5FD0"/>
    <w:rsid w:val="00BC61A6"/>
    <w:rsid w:val="00BC62E5"/>
    <w:rsid w:val="00BC636F"/>
    <w:rsid w:val="00BC6523"/>
    <w:rsid w:val="00BC65C7"/>
    <w:rsid w:val="00BC6613"/>
    <w:rsid w:val="00BC68D9"/>
    <w:rsid w:val="00BC698F"/>
    <w:rsid w:val="00BC699C"/>
    <w:rsid w:val="00BC6A1E"/>
    <w:rsid w:val="00BC6A6A"/>
    <w:rsid w:val="00BC6BFC"/>
    <w:rsid w:val="00BC6C30"/>
    <w:rsid w:val="00BC6EE6"/>
    <w:rsid w:val="00BC6FBD"/>
    <w:rsid w:val="00BC6FE6"/>
    <w:rsid w:val="00BC7013"/>
    <w:rsid w:val="00BC70C8"/>
    <w:rsid w:val="00BC710D"/>
    <w:rsid w:val="00BC724F"/>
    <w:rsid w:val="00BC727A"/>
    <w:rsid w:val="00BC7480"/>
    <w:rsid w:val="00BC77A2"/>
    <w:rsid w:val="00BC77AD"/>
    <w:rsid w:val="00BC7924"/>
    <w:rsid w:val="00BC79B5"/>
    <w:rsid w:val="00BC7C71"/>
    <w:rsid w:val="00BC7ED0"/>
    <w:rsid w:val="00BC7EF1"/>
    <w:rsid w:val="00BD013F"/>
    <w:rsid w:val="00BD018D"/>
    <w:rsid w:val="00BD01AD"/>
    <w:rsid w:val="00BD01DD"/>
    <w:rsid w:val="00BD036B"/>
    <w:rsid w:val="00BD0414"/>
    <w:rsid w:val="00BD04AC"/>
    <w:rsid w:val="00BD0525"/>
    <w:rsid w:val="00BD0567"/>
    <w:rsid w:val="00BD0727"/>
    <w:rsid w:val="00BD0A35"/>
    <w:rsid w:val="00BD0C11"/>
    <w:rsid w:val="00BD0E2B"/>
    <w:rsid w:val="00BD0E5F"/>
    <w:rsid w:val="00BD0EEF"/>
    <w:rsid w:val="00BD1048"/>
    <w:rsid w:val="00BD12F5"/>
    <w:rsid w:val="00BD1333"/>
    <w:rsid w:val="00BD135B"/>
    <w:rsid w:val="00BD13C3"/>
    <w:rsid w:val="00BD144F"/>
    <w:rsid w:val="00BD18AF"/>
    <w:rsid w:val="00BD18C6"/>
    <w:rsid w:val="00BD194B"/>
    <w:rsid w:val="00BD1A07"/>
    <w:rsid w:val="00BD1A27"/>
    <w:rsid w:val="00BD1C2C"/>
    <w:rsid w:val="00BD1D1C"/>
    <w:rsid w:val="00BD1F35"/>
    <w:rsid w:val="00BD20BF"/>
    <w:rsid w:val="00BD215E"/>
    <w:rsid w:val="00BD231E"/>
    <w:rsid w:val="00BD2425"/>
    <w:rsid w:val="00BD24F3"/>
    <w:rsid w:val="00BD261A"/>
    <w:rsid w:val="00BD27C2"/>
    <w:rsid w:val="00BD2933"/>
    <w:rsid w:val="00BD2A32"/>
    <w:rsid w:val="00BD2C27"/>
    <w:rsid w:val="00BD2DC7"/>
    <w:rsid w:val="00BD2E37"/>
    <w:rsid w:val="00BD3124"/>
    <w:rsid w:val="00BD31A3"/>
    <w:rsid w:val="00BD3330"/>
    <w:rsid w:val="00BD33FA"/>
    <w:rsid w:val="00BD33FC"/>
    <w:rsid w:val="00BD340F"/>
    <w:rsid w:val="00BD3568"/>
    <w:rsid w:val="00BD3625"/>
    <w:rsid w:val="00BD3892"/>
    <w:rsid w:val="00BD3BB5"/>
    <w:rsid w:val="00BD3E77"/>
    <w:rsid w:val="00BD3F70"/>
    <w:rsid w:val="00BD3F83"/>
    <w:rsid w:val="00BD3FF7"/>
    <w:rsid w:val="00BD40B3"/>
    <w:rsid w:val="00BD4133"/>
    <w:rsid w:val="00BD4140"/>
    <w:rsid w:val="00BD4368"/>
    <w:rsid w:val="00BD439A"/>
    <w:rsid w:val="00BD441B"/>
    <w:rsid w:val="00BD4461"/>
    <w:rsid w:val="00BD4650"/>
    <w:rsid w:val="00BD46B6"/>
    <w:rsid w:val="00BD46ED"/>
    <w:rsid w:val="00BD4797"/>
    <w:rsid w:val="00BD4869"/>
    <w:rsid w:val="00BD49E4"/>
    <w:rsid w:val="00BD4A13"/>
    <w:rsid w:val="00BD4AF5"/>
    <w:rsid w:val="00BD4CDD"/>
    <w:rsid w:val="00BD52E3"/>
    <w:rsid w:val="00BD53F8"/>
    <w:rsid w:val="00BD556E"/>
    <w:rsid w:val="00BD55E8"/>
    <w:rsid w:val="00BD563C"/>
    <w:rsid w:val="00BD5783"/>
    <w:rsid w:val="00BD57AC"/>
    <w:rsid w:val="00BD5816"/>
    <w:rsid w:val="00BD599B"/>
    <w:rsid w:val="00BD59B9"/>
    <w:rsid w:val="00BD5AEC"/>
    <w:rsid w:val="00BD5CB9"/>
    <w:rsid w:val="00BD5CFB"/>
    <w:rsid w:val="00BD5F8A"/>
    <w:rsid w:val="00BD5F92"/>
    <w:rsid w:val="00BD5FAC"/>
    <w:rsid w:val="00BD62C6"/>
    <w:rsid w:val="00BD62D5"/>
    <w:rsid w:val="00BD62E8"/>
    <w:rsid w:val="00BD63F9"/>
    <w:rsid w:val="00BD6417"/>
    <w:rsid w:val="00BD650C"/>
    <w:rsid w:val="00BD6550"/>
    <w:rsid w:val="00BD65A3"/>
    <w:rsid w:val="00BD65F3"/>
    <w:rsid w:val="00BD69A2"/>
    <w:rsid w:val="00BD6BF5"/>
    <w:rsid w:val="00BD6D05"/>
    <w:rsid w:val="00BD6DAB"/>
    <w:rsid w:val="00BD6E47"/>
    <w:rsid w:val="00BD6EA1"/>
    <w:rsid w:val="00BD72E0"/>
    <w:rsid w:val="00BD7325"/>
    <w:rsid w:val="00BD7391"/>
    <w:rsid w:val="00BD75DE"/>
    <w:rsid w:val="00BD75F6"/>
    <w:rsid w:val="00BD774A"/>
    <w:rsid w:val="00BD77AD"/>
    <w:rsid w:val="00BD77C3"/>
    <w:rsid w:val="00BD77DB"/>
    <w:rsid w:val="00BD790B"/>
    <w:rsid w:val="00BD791B"/>
    <w:rsid w:val="00BD7B48"/>
    <w:rsid w:val="00BD7E06"/>
    <w:rsid w:val="00BE008B"/>
    <w:rsid w:val="00BE0424"/>
    <w:rsid w:val="00BE0717"/>
    <w:rsid w:val="00BE0818"/>
    <w:rsid w:val="00BE08BF"/>
    <w:rsid w:val="00BE0A5B"/>
    <w:rsid w:val="00BE1060"/>
    <w:rsid w:val="00BE12E8"/>
    <w:rsid w:val="00BE14CA"/>
    <w:rsid w:val="00BE1517"/>
    <w:rsid w:val="00BE1576"/>
    <w:rsid w:val="00BE15A8"/>
    <w:rsid w:val="00BE1619"/>
    <w:rsid w:val="00BE161C"/>
    <w:rsid w:val="00BE1661"/>
    <w:rsid w:val="00BE17E9"/>
    <w:rsid w:val="00BE19C7"/>
    <w:rsid w:val="00BE1A7D"/>
    <w:rsid w:val="00BE1ACB"/>
    <w:rsid w:val="00BE1AFA"/>
    <w:rsid w:val="00BE1D0A"/>
    <w:rsid w:val="00BE1D10"/>
    <w:rsid w:val="00BE1D9C"/>
    <w:rsid w:val="00BE1DE8"/>
    <w:rsid w:val="00BE1FEA"/>
    <w:rsid w:val="00BE220A"/>
    <w:rsid w:val="00BE2254"/>
    <w:rsid w:val="00BE2575"/>
    <w:rsid w:val="00BE257A"/>
    <w:rsid w:val="00BE2622"/>
    <w:rsid w:val="00BE26B3"/>
    <w:rsid w:val="00BE2726"/>
    <w:rsid w:val="00BE27E2"/>
    <w:rsid w:val="00BE2863"/>
    <w:rsid w:val="00BE29C9"/>
    <w:rsid w:val="00BE2A1B"/>
    <w:rsid w:val="00BE2C9A"/>
    <w:rsid w:val="00BE2D21"/>
    <w:rsid w:val="00BE2EF4"/>
    <w:rsid w:val="00BE30B2"/>
    <w:rsid w:val="00BE30D4"/>
    <w:rsid w:val="00BE3164"/>
    <w:rsid w:val="00BE31A0"/>
    <w:rsid w:val="00BE31B6"/>
    <w:rsid w:val="00BE324A"/>
    <w:rsid w:val="00BE3292"/>
    <w:rsid w:val="00BE3594"/>
    <w:rsid w:val="00BE361C"/>
    <w:rsid w:val="00BE3682"/>
    <w:rsid w:val="00BE379A"/>
    <w:rsid w:val="00BE38A2"/>
    <w:rsid w:val="00BE3AA7"/>
    <w:rsid w:val="00BE3C16"/>
    <w:rsid w:val="00BE3CED"/>
    <w:rsid w:val="00BE3E60"/>
    <w:rsid w:val="00BE3E85"/>
    <w:rsid w:val="00BE3F90"/>
    <w:rsid w:val="00BE40D1"/>
    <w:rsid w:val="00BE42A3"/>
    <w:rsid w:val="00BE43C9"/>
    <w:rsid w:val="00BE4675"/>
    <w:rsid w:val="00BE4819"/>
    <w:rsid w:val="00BE4B43"/>
    <w:rsid w:val="00BE4D62"/>
    <w:rsid w:val="00BE4F17"/>
    <w:rsid w:val="00BE5172"/>
    <w:rsid w:val="00BE5269"/>
    <w:rsid w:val="00BE53C4"/>
    <w:rsid w:val="00BE5464"/>
    <w:rsid w:val="00BE54F3"/>
    <w:rsid w:val="00BE5607"/>
    <w:rsid w:val="00BE5690"/>
    <w:rsid w:val="00BE5762"/>
    <w:rsid w:val="00BE580E"/>
    <w:rsid w:val="00BE58E6"/>
    <w:rsid w:val="00BE59FA"/>
    <w:rsid w:val="00BE5AC2"/>
    <w:rsid w:val="00BE5B19"/>
    <w:rsid w:val="00BE5CFE"/>
    <w:rsid w:val="00BE5D18"/>
    <w:rsid w:val="00BE5ECC"/>
    <w:rsid w:val="00BE6043"/>
    <w:rsid w:val="00BE63E5"/>
    <w:rsid w:val="00BE677D"/>
    <w:rsid w:val="00BE6882"/>
    <w:rsid w:val="00BE69C9"/>
    <w:rsid w:val="00BE6A1D"/>
    <w:rsid w:val="00BE6A30"/>
    <w:rsid w:val="00BE6C9F"/>
    <w:rsid w:val="00BE6CFE"/>
    <w:rsid w:val="00BE70E8"/>
    <w:rsid w:val="00BE75B5"/>
    <w:rsid w:val="00BE76EE"/>
    <w:rsid w:val="00BE7756"/>
    <w:rsid w:val="00BE7829"/>
    <w:rsid w:val="00BE78D7"/>
    <w:rsid w:val="00BE7975"/>
    <w:rsid w:val="00BE7A96"/>
    <w:rsid w:val="00BF019B"/>
    <w:rsid w:val="00BF02C4"/>
    <w:rsid w:val="00BF03CE"/>
    <w:rsid w:val="00BF0439"/>
    <w:rsid w:val="00BF053A"/>
    <w:rsid w:val="00BF07F8"/>
    <w:rsid w:val="00BF0802"/>
    <w:rsid w:val="00BF08E5"/>
    <w:rsid w:val="00BF0E55"/>
    <w:rsid w:val="00BF0F2B"/>
    <w:rsid w:val="00BF0F93"/>
    <w:rsid w:val="00BF10DA"/>
    <w:rsid w:val="00BF130A"/>
    <w:rsid w:val="00BF1385"/>
    <w:rsid w:val="00BF13AF"/>
    <w:rsid w:val="00BF162E"/>
    <w:rsid w:val="00BF1671"/>
    <w:rsid w:val="00BF1712"/>
    <w:rsid w:val="00BF17B0"/>
    <w:rsid w:val="00BF18E4"/>
    <w:rsid w:val="00BF1C20"/>
    <w:rsid w:val="00BF1FC8"/>
    <w:rsid w:val="00BF2032"/>
    <w:rsid w:val="00BF218E"/>
    <w:rsid w:val="00BF2457"/>
    <w:rsid w:val="00BF257A"/>
    <w:rsid w:val="00BF25A3"/>
    <w:rsid w:val="00BF265A"/>
    <w:rsid w:val="00BF2692"/>
    <w:rsid w:val="00BF2866"/>
    <w:rsid w:val="00BF29B7"/>
    <w:rsid w:val="00BF2A1A"/>
    <w:rsid w:val="00BF2D8C"/>
    <w:rsid w:val="00BF2E83"/>
    <w:rsid w:val="00BF2F1D"/>
    <w:rsid w:val="00BF2F67"/>
    <w:rsid w:val="00BF30C7"/>
    <w:rsid w:val="00BF32B2"/>
    <w:rsid w:val="00BF37A4"/>
    <w:rsid w:val="00BF3A10"/>
    <w:rsid w:val="00BF3A90"/>
    <w:rsid w:val="00BF3C3C"/>
    <w:rsid w:val="00BF3CB0"/>
    <w:rsid w:val="00BF3CBB"/>
    <w:rsid w:val="00BF3CF3"/>
    <w:rsid w:val="00BF3D67"/>
    <w:rsid w:val="00BF3DBD"/>
    <w:rsid w:val="00BF3E02"/>
    <w:rsid w:val="00BF3E16"/>
    <w:rsid w:val="00BF3F44"/>
    <w:rsid w:val="00BF4020"/>
    <w:rsid w:val="00BF42C0"/>
    <w:rsid w:val="00BF430A"/>
    <w:rsid w:val="00BF432D"/>
    <w:rsid w:val="00BF4412"/>
    <w:rsid w:val="00BF4684"/>
    <w:rsid w:val="00BF4A73"/>
    <w:rsid w:val="00BF4B9F"/>
    <w:rsid w:val="00BF4D11"/>
    <w:rsid w:val="00BF5171"/>
    <w:rsid w:val="00BF51ED"/>
    <w:rsid w:val="00BF53D2"/>
    <w:rsid w:val="00BF5436"/>
    <w:rsid w:val="00BF54B4"/>
    <w:rsid w:val="00BF56CD"/>
    <w:rsid w:val="00BF5794"/>
    <w:rsid w:val="00BF5949"/>
    <w:rsid w:val="00BF5B14"/>
    <w:rsid w:val="00BF5B41"/>
    <w:rsid w:val="00BF5BB4"/>
    <w:rsid w:val="00BF5BEF"/>
    <w:rsid w:val="00BF5D74"/>
    <w:rsid w:val="00BF5E9E"/>
    <w:rsid w:val="00BF5FF8"/>
    <w:rsid w:val="00BF614A"/>
    <w:rsid w:val="00BF6173"/>
    <w:rsid w:val="00BF619C"/>
    <w:rsid w:val="00BF6297"/>
    <w:rsid w:val="00BF63BB"/>
    <w:rsid w:val="00BF6401"/>
    <w:rsid w:val="00BF64AC"/>
    <w:rsid w:val="00BF64ED"/>
    <w:rsid w:val="00BF6657"/>
    <w:rsid w:val="00BF6812"/>
    <w:rsid w:val="00BF6837"/>
    <w:rsid w:val="00BF6883"/>
    <w:rsid w:val="00BF68C4"/>
    <w:rsid w:val="00BF6BB8"/>
    <w:rsid w:val="00BF6C31"/>
    <w:rsid w:val="00BF6C8B"/>
    <w:rsid w:val="00BF6E51"/>
    <w:rsid w:val="00BF6EBA"/>
    <w:rsid w:val="00BF6F5A"/>
    <w:rsid w:val="00BF6F63"/>
    <w:rsid w:val="00BF6F7D"/>
    <w:rsid w:val="00BF73C0"/>
    <w:rsid w:val="00BF751C"/>
    <w:rsid w:val="00BF7649"/>
    <w:rsid w:val="00BF7729"/>
    <w:rsid w:val="00BF778B"/>
    <w:rsid w:val="00BF794C"/>
    <w:rsid w:val="00BF798D"/>
    <w:rsid w:val="00BF799B"/>
    <w:rsid w:val="00BF79C2"/>
    <w:rsid w:val="00BF7ADF"/>
    <w:rsid w:val="00BF7B37"/>
    <w:rsid w:val="00BF7C45"/>
    <w:rsid w:val="00BF7CC4"/>
    <w:rsid w:val="00BF7D84"/>
    <w:rsid w:val="00C003A2"/>
    <w:rsid w:val="00C004B0"/>
    <w:rsid w:val="00C0054F"/>
    <w:rsid w:val="00C00743"/>
    <w:rsid w:val="00C00802"/>
    <w:rsid w:val="00C00836"/>
    <w:rsid w:val="00C00894"/>
    <w:rsid w:val="00C009DD"/>
    <w:rsid w:val="00C00B13"/>
    <w:rsid w:val="00C00B31"/>
    <w:rsid w:val="00C00BF4"/>
    <w:rsid w:val="00C0104E"/>
    <w:rsid w:val="00C01148"/>
    <w:rsid w:val="00C013A1"/>
    <w:rsid w:val="00C01414"/>
    <w:rsid w:val="00C014D8"/>
    <w:rsid w:val="00C0187E"/>
    <w:rsid w:val="00C01A87"/>
    <w:rsid w:val="00C01AED"/>
    <w:rsid w:val="00C01B1B"/>
    <w:rsid w:val="00C01B86"/>
    <w:rsid w:val="00C01EBF"/>
    <w:rsid w:val="00C020AF"/>
    <w:rsid w:val="00C021A2"/>
    <w:rsid w:val="00C022DA"/>
    <w:rsid w:val="00C02400"/>
    <w:rsid w:val="00C0270A"/>
    <w:rsid w:val="00C02718"/>
    <w:rsid w:val="00C02AF2"/>
    <w:rsid w:val="00C02B07"/>
    <w:rsid w:val="00C02C43"/>
    <w:rsid w:val="00C02CDF"/>
    <w:rsid w:val="00C02DA4"/>
    <w:rsid w:val="00C02DE4"/>
    <w:rsid w:val="00C0336B"/>
    <w:rsid w:val="00C0339C"/>
    <w:rsid w:val="00C033FE"/>
    <w:rsid w:val="00C0349E"/>
    <w:rsid w:val="00C0352B"/>
    <w:rsid w:val="00C0360E"/>
    <w:rsid w:val="00C03803"/>
    <w:rsid w:val="00C03808"/>
    <w:rsid w:val="00C03A96"/>
    <w:rsid w:val="00C03C23"/>
    <w:rsid w:val="00C03C28"/>
    <w:rsid w:val="00C03D58"/>
    <w:rsid w:val="00C04362"/>
    <w:rsid w:val="00C0460F"/>
    <w:rsid w:val="00C047C7"/>
    <w:rsid w:val="00C047CF"/>
    <w:rsid w:val="00C04AC4"/>
    <w:rsid w:val="00C04CA0"/>
    <w:rsid w:val="00C04D73"/>
    <w:rsid w:val="00C04DC6"/>
    <w:rsid w:val="00C04E51"/>
    <w:rsid w:val="00C04E8B"/>
    <w:rsid w:val="00C04EAC"/>
    <w:rsid w:val="00C04F43"/>
    <w:rsid w:val="00C05063"/>
    <w:rsid w:val="00C0512C"/>
    <w:rsid w:val="00C05392"/>
    <w:rsid w:val="00C0558A"/>
    <w:rsid w:val="00C05622"/>
    <w:rsid w:val="00C059C0"/>
    <w:rsid w:val="00C05A21"/>
    <w:rsid w:val="00C05BC7"/>
    <w:rsid w:val="00C05D21"/>
    <w:rsid w:val="00C05F98"/>
    <w:rsid w:val="00C0616E"/>
    <w:rsid w:val="00C063D6"/>
    <w:rsid w:val="00C0644C"/>
    <w:rsid w:val="00C064CB"/>
    <w:rsid w:val="00C06617"/>
    <w:rsid w:val="00C06807"/>
    <w:rsid w:val="00C068C3"/>
    <w:rsid w:val="00C06911"/>
    <w:rsid w:val="00C06967"/>
    <w:rsid w:val="00C072E1"/>
    <w:rsid w:val="00C07571"/>
    <w:rsid w:val="00C07622"/>
    <w:rsid w:val="00C0763F"/>
    <w:rsid w:val="00C07682"/>
    <w:rsid w:val="00C077FF"/>
    <w:rsid w:val="00C07B4A"/>
    <w:rsid w:val="00C07C2B"/>
    <w:rsid w:val="00C07EE6"/>
    <w:rsid w:val="00C10091"/>
    <w:rsid w:val="00C10173"/>
    <w:rsid w:val="00C10476"/>
    <w:rsid w:val="00C10653"/>
    <w:rsid w:val="00C1066A"/>
    <w:rsid w:val="00C1096E"/>
    <w:rsid w:val="00C10A44"/>
    <w:rsid w:val="00C10A9E"/>
    <w:rsid w:val="00C10C65"/>
    <w:rsid w:val="00C10CB7"/>
    <w:rsid w:val="00C10D7B"/>
    <w:rsid w:val="00C11115"/>
    <w:rsid w:val="00C111A4"/>
    <w:rsid w:val="00C115AF"/>
    <w:rsid w:val="00C1163D"/>
    <w:rsid w:val="00C1169E"/>
    <w:rsid w:val="00C11785"/>
    <w:rsid w:val="00C1178C"/>
    <w:rsid w:val="00C1179B"/>
    <w:rsid w:val="00C119DA"/>
    <w:rsid w:val="00C11CA7"/>
    <w:rsid w:val="00C11D6C"/>
    <w:rsid w:val="00C12007"/>
    <w:rsid w:val="00C12185"/>
    <w:rsid w:val="00C1223D"/>
    <w:rsid w:val="00C124C5"/>
    <w:rsid w:val="00C12596"/>
    <w:rsid w:val="00C1268D"/>
    <w:rsid w:val="00C128B9"/>
    <w:rsid w:val="00C1293B"/>
    <w:rsid w:val="00C1294F"/>
    <w:rsid w:val="00C12A1E"/>
    <w:rsid w:val="00C12A2A"/>
    <w:rsid w:val="00C12B0E"/>
    <w:rsid w:val="00C12B68"/>
    <w:rsid w:val="00C12D03"/>
    <w:rsid w:val="00C12D37"/>
    <w:rsid w:val="00C12D5D"/>
    <w:rsid w:val="00C12E37"/>
    <w:rsid w:val="00C12EF5"/>
    <w:rsid w:val="00C12EFB"/>
    <w:rsid w:val="00C12F85"/>
    <w:rsid w:val="00C13046"/>
    <w:rsid w:val="00C1309A"/>
    <w:rsid w:val="00C13297"/>
    <w:rsid w:val="00C132B9"/>
    <w:rsid w:val="00C13399"/>
    <w:rsid w:val="00C13412"/>
    <w:rsid w:val="00C13533"/>
    <w:rsid w:val="00C13569"/>
    <w:rsid w:val="00C13708"/>
    <w:rsid w:val="00C1371D"/>
    <w:rsid w:val="00C13771"/>
    <w:rsid w:val="00C1396E"/>
    <w:rsid w:val="00C13B04"/>
    <w:rsid w:val="00C13B1C"/>
    <w:rsid w:val="00C13CD4"/>
    <w:rsid w:val="00C13F4A"/>
    <w:rsid w:val="00C13F5A"/>
    <w:rsid w:val="00C13FC0"/>
    <w:rsid w:val="00C145E4"/>
    <w:rsid w:val="00C145F3"/>
    <w:rsid w:val="00C14753"/>
    <w:rsid w:val="00C1485A"/>
    <w:rsid w:val="00C14B37"/>
    <w:rsid w:val="00C14C59"/>
    <w:rsid w:val="00C14D1E"/>
    <w:rsid w:val="00C14DA5"/>
    <w:rsid w:val="00C14E3F"/>
    <w:rsid w:val="00C14EB2"/>
    <w:rsid w:val="00C14EB9"/>
    <w:rsid w:val="00C14FCD"/>
    <w:rsid w:val="00C14FEE"/>
    <w:rsid w:val="00C1522B"/>
    <w:rsid w:val="00C1526A"/>
    <w:rsid w:val="00C154EB"/>
    <w:rsid w:val="00C1563F"/>
    <w:rsid w:val="00C15714"/>
    <w:rsid w:val="00C158DA"/>
    <w:rsid w:val="00C15CA5"/>
    <w:rsid w:val="00C15ED5"/>
    <w:rsid w:val="00C16010"/>
    <w:rsid w:val="00C1645C"/>
    <w:rsid w:val="00C16816"/>
    <w:rsid w:val="00C1689B"/>
    <w:rsid w:val="00C16903"/>
    <w:rsid w:val="00C169E6"/>
    <w:rsid w:val="00C16A0A"/>
    <w:rsid w:val="00C16A6B"/>
    <w:rsid w:val="00C16BA2"/>
    <w:rsid w:val="00C16CD4"/>
    <w:rsid w:val="00C16DC0"/>
    <w:rsid w:val="00C16EFB"/>
    <w:rsid w:val="00C17127"/>
    <w:rsid w:val="00C17143"/>
    <w:rsid w:val="00C17360"/>
    <w:rsid w:val="00C173AC"/>
    <w:rsid w:val="00C174A9"/>
    <w:rsid w:val="00C17555"/>
    <w:rsid w:val="00C17746"/>
    <w:rsid w:val="00C17810"/>
    <w:rsid w:val="00C1795D"/>
    <w:rsid w:val="00C17A1E"/>
    <w:rsid w:val="00C17B4A"/>
    <w:rsid w:val="00C17C02"/>
    <w:rsid w:val="00C17E77"/>
    <w:rsid w:val="00C17F8E"/>
    <w:rsid w:val="00C20153"/>
    <w:rsid w:val="00C203E7"/>
    <w:rsid w:val="00C20589"/>
    <w:rsid w:val="00C20618"/>
    <w:rsid w:val="00C2061D"/>
    <w:rsid w:val="00C2071D"/>
    <w:rsid w:val="00C20767"/>
    <w:rsid w:val="00C20869"/>
    <w:rsid w:val="00C20965"/>
    <w:rsid w:val="00C20A1F"/>
    <w:rsid w:val="00C20C4E"/>
    <w:rsid w:val="00C20E0E"/>
    <w:rsid w:val="00C20EC2"/>
    <w:rsid w:val="00C20F8D"/>
    <w:rsid w:val="00C21123"/>
    <w:rsid w:val="00C21735"/>
    <w:rsid w:val="00C21766"/>
    <w:rsid w:val="00C218C1"/>
    <w:rsid w:val="00C21A42"/>
    <w:rsid w:val="00C21A5E"/>
    <w:rsid w:val="00C21BBA"/>
    <w:rsid w:val="00C21D87"/>
    <w:rsid w:val="00C21DBF"/>
    <w:rsid w:val="00C21E59"/>
    <w:rsid w:val="00C21E5C"/>
    <w:rsid w:val="00C21F4A"/>
    <w:rsid w:val="00C223A4"/>
    <w:rsid w:val="00C225D2"/>
    <w:rsid w:val="00C22994"/>
    <w:rsid w:val="00C229C1"/>
    <w:rsid w:val="00C22AA9"/>
    <w:rsid w:val="00C22B21"/>
    <w:rsid w:val="00C22B99"/>
    <w:rsid w:val="00C22DF8"/>
    <w:rsid w:val="00C22E86"/>
    <w:rsid w:val="00C22EA4"/>
    <w:rsid w:val="00C22EED"/>
    <w:rsid w:val="00C22F13"/>
    <w:rsid w:val="00C22FF8"/>
    <w:rsid w:val="00C232D0"/>
    <w:rsid w:val="00C233FD"/>
    <w:rsid w:val="00C234C3"/>
    <w:rsid w:val="00C23576"/>
    <w:rsid w:val="00C2368D"/>
    <w:rsid w:val="00C236AA"/>
    <w:rsid w:val="00C2376C"/>
    <w:rsid w:val="00C23936"/>
    <w:rsid w:val="00C239E7"/>
    <w:rsid w:val="00C23A23"/>
    <w:rsid w:val="00C23A43"/>
    <w:rsid w:val="00C23B19"/>
    <w:rsid w:val="00C23E43"/>
    <w:rsid w:val="00C240A1"/>
    <w:rsid w:val="00C24325"/>
    <w:rsid w:val="00C24354"/>
    <w:rsid w:val="00C2446F"/>
    <w:rsid w:val="00C24558"/>
    <w:rsid w:val="00C245FA"/>
    <w:rsid w:val="00C249D1"/>
    <w:rsid w:val="00C24CF4"/>
    <w:rsid w:val="00C24DE2"/>
    <w:rsid w:val="00C24E0E"/>
    <w:rsid w:val="00C24E72"/>
    <w:rsid w:val="00C24FA3"/>
    <w:rsid w:val="00C251CF"/>
    <w:rsid w:val="00C251E2"/>
    <w:rsid w:val="00C25293"/>
    <w:rsid w:val="00C25448"/>
    <w:rsid w:val="00C25586"/>
    <w:rsid w:val="00C255F4"/>
    <w:rsid w:val="00C25661"/>
    <w:rsid w:val="00C258F3"/>
    <w:rsid w:val="00C25A9E"/>
    <w:rsid w:val="00C25B05"/>
    <w:rsid w:val="00C25B33"/>
    <w:rsid w:val="00C25C01"/>
    <w:rsid w:val="00C25C3A"/>
    <w:rsid w:val="00C25C73"/>
    <w:rsid w:val="00C25FE1"/>
    <w:rsid w:val="00C261C4"/>
    <w:rsid w:val="00C26412"/>
    <w:rsid w:val="00C26422"/>
    <w:rsid w:val="00C264CB"/>
    <w:rsid w:val="00C2690F"/>
    <w:rsid w:val="00C26B35"/>
    <w:rsid w:val="00C26B37"/>
    <w:rsid w:val="00C26D5F"/>
    <w:rsid w:val="00C26DE7"/>
    <w:rsid w:val="00C27336"/>
    <w:rsid w:val="00C2742B"/>
    <w:rsid w:val="00C27782"/>
    <w:rsid w:val="00C27870"/>
    <w:rsid w:val="00C27881"/>
    <w:rsid w:val="00C278B7"/>
    <w:rsid w:val="00C27994"/>
    <w:rsid w:val="00C27ABC"/>
    <w:rsid w:val="00C27B2E"/>
    <w:rsid w:val="00C27B8D"/>
    <w:rsid w:val="00C27D33"/>
    <w:rsid w:val="00C27E81"/>
    <w:rsid w:val="00C27F42"/>
    <w:rsid w:val="00C27F4D"/>
    <w:rsid w:val="00C30460"/>
    <w:rsid w:val="00C30479"/>
    <w:rsid w:val="00C3081F"/>
    <w:rsid w:val="00C30A28"/>
    <w:rsid w:val="00C30B11"/>
    <w:rsid w:val="00C30B25"/>
    <w:rsid w:val="00C30B97"/>
    <w:rsid w:val="00C30EEC"/>
    <w:rsid w:val="00C30FDD"/>
    <w:rsid w:val="00C3101B"/>
    <w:rsid w:val="00C31338"/>
    <w:rsid w:val="00C3145A"/>
    <w:rsid w:val="00C3148B"/>
    <w:rsid w:val="00C316B1"/>
    <w:rsid w:val="00C3175C"/>
    <w:rsid w:val="00C31797"/>
    <w:rsid w:val="00C3192B"/>
    <w:rsid w:val="00C31954"/>
    <w:rsid w:val="00C31974"/>
    <w:rsid w:val="00C31C8D"/>
    <w:rsid w:val="00C31CC2"/>
    <w:rsid w:val="00C31D88"/>
    <w:rsid w:val="00C31E78"/>
    <w:rsid w:val="00C31E8F"/>
    <w:rsid w:val="00C31F65"/>
    <w:rsid w:val="00C32014"/>
    <w:rsid w:val="00C32082"/>
    <w:rsid w:val="00C32513"/>
    <w:rsid w:val="00C325E4"/>
    <w:rsid w:val="00C325E6"/>
    <w:rsid w:val="00C328C7"/>
    <w:rsid w:val="00C32A92"/>
    <w:rsid w:val="00C32AB7"/>
    <w:rsid w:val="00C32CB0"/>
    <w:rsid w:val="00C32CBF"/>
    <w:rsid w:val="00C32EAB"/>
    <w:rsid w:val="00C333F6"/>
    <w:rsid w:val="00C33550"/>
    <w:rsid w:val="00C3361E"/>
    <w:rsid w:val="00C3372F"/>
    <w:rsid w:val="00C337D2"/>
    <w:rsid w:val="00C33A20"/>
    <w:rsid w:val="00C33A62"/>
    <w:rsid w:val="00C33AC5"/>
    <w:rsid w:val="00C33B3F"/>
    <w:rsid w:val="00C33BAE"/>
    <w:rsid w:val="00C33EAB"/>
    <w:rsid w:val="00C34347"/>
    <w:rsid w:val="00C34349"/>
    <w:rsid w:val="00C3439C"/>
    <w:rsid w:val="00C343A5"/>
    <w:rsid w:val="00C344A5"/>
    <w:rsid w:val="00C347EF"/>
    <w:rsid w:val="00C34808"/>
    <w:rsid w:val="00C34A0F"/>
    <w:rsid w:val="00C34E21"/>
    <w:rsid w:val="00C34F28"/>
    <w:rsid w:val="00C35010"/>
    <w:rsid w:val="00C3510E"/>
    <w:rsid w:val="00C352BC"/>
    <w:rsid w:val="00C352F6"/>
    <w:rsid w:val="00C35427"/>
    <w:rsid w:val="00C35733"/>
    <w:rsid w:val="00C359EC"/>
    <w:rsid w:val="00C35E94"/>
    <w:rsid w:val="00C361D1"/>
    <w:rsid w:val="00C36246"/>
    <w:rsid w:val="00C3638C"/>
    <w:rsid w:val="00C364CA"/>
    <w:rsid w:val="00C366FD"/>
    <w:rsid w:val="00C36754"/>
    <w:rsid w:val="00C367E6"/>
    <w:rsid w:val="00C36886"/>
    <w:rsid w:val="00C368BC"/>
    <w:rsid w:val="00C36A89"/>
    <w:rsid w:val="00C36B41"/>
    <w:rsid w:val="00C36C36"/>
    <w:rsid w:val="00C36C69"/>
    <w:rsid w:val="00C36C76"/>
    <w:rsid w:val="00C36CCF"/>
    <w:rsid w:val="00C36CE2"/>
    <w:rsid w:val="00C36D02"/>
    <w:rsid w:val="00C36D9D"/>
    <w:rsid w:val="00C36E6D"/>
    <w:rsid w:val="00C36EE1"/>
    <w:rsid w:val="00C36FF7"/>
    <w:rsid w:val="00C37131"/>
    <w:rsid w:val="00C3737E"/>
    <w:rsid w:val="00C37AB4"/>
    <w:rsid w:val="00C37D4F"/>
    <w:rsid w:val="00C37E87"/>
    <w:rsid w:val="00C37EFF"/>
    <w:rsid w:val="00C40008"/>
    <w:rsid w:val="00C400C7"/>
    <w:rsid w:val="00C40165"/>
    <w:rsid w:val="00C401D6"/>
    <w:rsid w:val="00C40219"/>
    <w:rsid w:val="00C40321"/>
    <w:rsid w:val="00C4056B"/>
    <w:rsid w:val="00C408B9"/>
    <w:rsid w:val="00C409A7"/>
    <w:rsid w:val="00C40BE1"/>
    <w:rsid w:val="00C40C6B"/>
    <w:rsid w:val="00C40D98"/>
    <w:rsid w:val="00C40EC2"/>
    <w:rsid w:val="00C4115E"/>
    <w:rsid w:val="00C411AB"/>
    <w:rsid w:val="00C41454"/>
    <w:rsid w:val="00C414C9"/>
    <w:rsid w:val="00C41695"/>
    <w:rsid w:val="00C416E6"/>
    <w:rsid w:val="00C4184A"/>
    <w:rsid w:val="00C419A8"/>
    <w:rsid w:val="00C41A5B"/>
    <w:rsid w:val="00C41D1A"/>
    <w:rsid w:val="00C41D3E"/>
    <w:rsid w:val="00C41D4B"/>
    <w:rsid w:val="00C41EFF"/>
    <w:rsid w:val="00C41F32"/>
    <w:rsid w:val="00C4208E"/>
    <w:rsid w:val="00C4214B"/>
    <w:rsid w:val="00C421AB"/>
    <w:rsid w:val="00C4225E"/>
    <w:rsid w:val="00C42310"/>
    <w:rsid w:val="00C4231C"/>
    <w:rsid w:val="00C4253C"/>
    <w:rsid w:val="00C425A2"/>
    <w:rsid w:val="00C425CC"/>
    <w:rsid w:val="00C427DC"/>
    <w:rsid w:val="00C428BC"/>
    <w:rsid w:val="00C42E74"/>
    <w:rsid w:val="00C43000"/>
    <w:rsid w:val="00C43064"/>
    <w:rsid w:val="00C4311E"/>
    <w:rsid w:val="00C43189"/>
    <w:rsid w:val="00C431ED"/>
    <w:rsid w:val="00C43257"/>
    <w:rsid w:val="00C432C5"/>
    <w:rsid w:val="00C43353"/>
    <w:rsid w:val="00C43377"/>
    <w:rsid w:val="00C434CA"/>
    <w:rsid w:val="00C43579"/>
    <w:rsid w:val="00C4371E"/>
    <w:rsid w:val="00C43874"/>
    <w:rsid w:val="00C43946"/>
    <w:rsid w:val="00C4395A"/>
    <w:rsid w:val="00C439ED"/>
    <w:rsid w:val="00C43A1E"/>
    <w:rsid w:val="00C43B2B"/>
    <w:rsid w:val="00C43C22"/>
    <w:rsid w:val="00C43F02"/>
    <w:rsid w:val="00C44046"/>
    <w:rsid w:val="00C4423C"/>
    <w:rsid w:val="00C44247"/>
    <w:rsid w:val="00C442E1"/>
    <w:rsid w:val="00C44544"/>
    <w:rsid w:val="00C44648"/>
    <w:rsid w:val="00C4485D"/>
    <w:rsid w:val="00C4487C"/>
    <w:rsid w:val="00C44AEF"/>
    <w:rsid w:val="00C44E59"/>
    <w:rsid w:val="00C44FDB"/>
    <w:rsid w:val="00C451CD"/>
    <w:rsid w:val="00C4534D"/>
    <w:rsid w:val="00C4538C"/>
    <w:rsid w:val="00C45832"/>
    <w:rsid w:val="00C4593D"/>
    <w:rsid w:val="00C45A2F"/>
    <w:rsid w:val="00C45C50"/>
    <w:rsid w:val="00C45CA0"/>
    <w:rsid w:val="00C46081"/>
    <w:rsid w:val="00C460D3"/>
    <w:rsid w:val="00C460F6"/>
    <w:rsid w:val="00C46375"/>
    <w:rsid w:val="00C46419"/>
    <w:rsid w:val="00C46520"/>
    <w:rsid w:val="00C4663D"/>
    <w:rsid w:val="00C468B5"/>
    <w:rsid w:val="00C468FC"/>
    <w:rsid w:val="00C4690A"/>
    <w:rsid w:val="00C46948"/>
    <w:rsid w:val="00C46A29"/>
    <w:rsid w:val="00C46B9F"/>
    <w:rsid w:val="00C46C9C"/>
    <w:rsid w:val="00C46D66"/>
    <w:rsid w:val="00C46ED8"/>
    <w:rsid w:val="00C46FF3"/>
    <w:rsid w:val="00C47010"/>
    <w:rsid w:val="00C4709A"/>
    <w:rsid w:val="00C47153"/>
    <w:rsid w:val="00C4719E"/>
    <w:rsid w:val="00C47331"/>
    <w:rsid w:val="00C473C9"/>
    <w:rsid w:val="00C47439"/>
    <w:rsid w:val="00C475FC"/>
    <w:rsid w:val="00C47626"/>
    <w:rsid w:val="00C47646"/>
    <w:rsid w:val="00C477C6"/>
    <w:rsid w:val="00C478B8"/>
    <w:rsid w:val="00C478C9"/>
    <w:rsid w:val="00C479A6"/>
    <w:rsid w:val="00C47A29"/>
    <w:rsid w:val="00C47A97"/>
    <w:rsid w:val="00C47ACA"/>
    <w:rsid w:val="00C47B27"/>
    <w:rsid w:val="00C47B41"/>
    <w:rsid w:val="00C47ED8"/>
    <w:rsid w:val="00C47F6D"/>
    <w:rsid w:val="00C50090"/>
    <w:rsid w:val="00C50165"/>
    <w:rsid w:val="00C5018F"/>
    <w:rsid w:val="00C504D5"/>
    <w:rsid w:val="00C5079F"/>
    <w:rsid w:val="00C50957"/>
    <w:rsid w:val="00C50D1A"/>
    <w:rsid w:val="00C50F1C"/>
    <w:rsid w:val="00C51478"/>
    <w:rsid w:val="00C51486"/>
    <w:rsid w:val="00C5165C"/>
    <w:rsid w:val="00C51719"/>
    <w:rsid w:val="00C51720"/>
    <w:rsid w:val="00C51909"/>
    <w:rsid w:val="00C51910"/>
    <w:rsid w:val="00C5191A"/>
    <w:rsid w:val="00C51B34"/>
    <w:rsid w:val="00C51C2E"/>
    <w:rsid w:val="00C51DE8"/>
    <w:rsid w:val="00C521B9"/>
    <w:rsid w:val="00C522CD"/>
    <w:rsid w:val="00C5234A"/>
    <w:rsid w:val="00C52475"/>
    <w:rsid w:val="00C52501"/>
    <w:rsid w:val="00C525AE"/>
    <w:rsid w:val="00C5270F"/>
    <w:rsid w:val="00C5273C"/>
    <w:rsid w:val="00C52A70"/>
    <w:rsid w:val="00C52CCF"/>
    <w:rsid w:val="00C52D5E"/>
    <w:rsid w:val="00C52E2C"/>
    <w:rsid w:val="00C53058"/>
    <w:rsid w:val="00C53623"/>
    <w:rsid w:val="00C53764"/>
    <w:rsid w:val="00C5378F"/>
    <w:rsid w:val="00C53976"/>
    <w:rsid w:val="00C53C04"/>
    <w:rsid w:val="00C53C27"/>
    <w:rsid w:val="00C53D9A"/>
    <w:rsid w:val="00C53E6F"/>
    <w:rsid w:val="00C53EDD"/>
    <w:rsid w:val="00C5419D"/>
    <w:rsid w:val="00C5452E"/>
    <w:rsid w:val="00C547BC"/>
    <w:rsid w:val="00C5496E"/>
    <w:rsid w:val="00C549B1"/>
    <w:rsid w:val="00C549C9"/>
    <w:rsid w:val="00C54AE9"/>
    <w:rsid w:val="00C54CC7"/>
    <w:rsid w:val="00C54DA3"/>
    <w:rsid w:val="00C54F41"/>
    <w:rsid w:val="00C55026"/>
    <w:rsid w:val="00C5515D"/>
    <w:rsid w:val="00C5516C"/>
    <w:rsid w:val="00C5517C"/>
    <w:rsid w:val="00C552E9"/>
    <w:rsid w:val="00C55559"/>
    <w:rsid w:val="00C5563F"/>
    <w:rsid w:val="00C556C4"/>
    <w:rsid w:val="00C55B61"/>
    <w:rsid w:val="00C55CFD"/>
    <w:rsid w:val="00C55D7B"/>
    <w:rsid w:val="00C55F7E"/>
    <w:rsid w:val="00C56123"/>
    <w:rsid w:val="00C56290"/>
    <w:rsid w:val="00C56389"/>
    <w:rsid w:val="00C5641B"/>
    <w:rsid w:val="00C56449"/>
    <w:rsid w:val="00C56500"/>
    <w:rsid w:val="00C56643"/>
    <w:rsid w:val="00C56752"/>
    <w:rsid w:val="00C5675E"/>
    <w:rsid w:val="00C56766"/>
    <w:rsid w:val="00C567DB"/>
    <w:rsid w:val="00C568F6"/>
    <w:rsid w:val="00C56A0B"/>
    <w:rsid w:val="00C56AA2"/>
    <w:rsid w:val="00C56CC8"/>
    <w:rsid w:val="00C56DD1"/>
    <w:rsid w:val="00C56F67"/>
    <w:rsid w:val="00C57221"/>
    <w:rsid w:val="00C574B0"/>
    <w:rsid w:val="00C574B6"/>
    <w:rsid w:val="00C575DD"/>
    <w:rsid w:val="00C578D5"/>
    <w:rsid w:val="00C57AE6"/>
    <w:rsid w:val="00C57AFF"/>
    <w:rsid w:val="00C57B03"/>
    <w:rsid w:val="00C57C61"/>
    <w:rsid w:val="00C57D00"/>
    <w:rsid w:val="00C57F0A"/>
    <w:rsid w:val="00C57F56"/>
    <w:rsid w:val="00C57F9E"/>
    <w:rsid w:val="00C600AF"/>
    <w:rsid w:val="00C601BE"/>
    <w:rsid w:val="00C60241"/>
    <w:rsid w:val="00C602AF"/>
    <w:rsid w:val="00C604EF"/>
    <w:rsid w:val="00C605AB"/>
    <w:rsid w:val="00C6064A"/>
    <w:rsid w:val="00C60AF8"/>
    <w:rsid w:val="00C60B0C"/>
    <w:rsid w:val="00C60CBB"/>
    <w:rsid w:val="00C60D6A"/>
    <w:rsid w:val="00C60E18"/>
    <w:rsid w:val="00C612D6"/>
    <w:rsid w:val="00C61388"/>
    <w:rsid w:val="00C61456"/>
    <w:rsid w:val="00C6151D"/>
    <w:rsid w:val="00C6170D"/>
    <w:rsid w:val="00C6171D"/>
    <w:rsid w:val="00C618C1"/>
    <w:rsid w:val="00C619BC"/>
    <w:rsid w:val="00C619C3"/>
    <w:rsid w:val="00C61D02"/>
    <w:rsid w:val="00C61E06"/>
    <w:rsid w:val="00C61E34"/>
    <w:rsid w:val="00C61FE8"/>
    <w:rsid w:val="00C61FFE"/>
    <w:rsid w:val="00C6215E"/>
    <w:rsid w:val="00C6235E"/>
    <w:rsid w:val="00C625C2"/>
    <w:rsid w:val="00C62723"/>
    <w:rsid w:val="00C62742"/>
    <w:rsid w:val="00C62806"/>
    <w:rsid w:val="00C628AA"/>
    <w:rsid w:val="00C628B4"/>
    <w:rsid w:val="00C628C3"/>
    <w:rsid w:val="00C62A55"/>
    <w:rsid w:val="00C62A7E"/>
    <w:rsid w:val="00C62B60"/>
    <w:rsid w:val="00C62B68"/>
    <w:rsid w:val="00C62B74"/>
    <w:rsid w:val="00C62C53"/>
    <w:rsid w:val="00C62D23"/>
    <w:rsid w:val="00C62DE4"/>
    <w:rsid w:val="00C62DED"/>
    <w:rsid w:val="00C62E0F"/>
    <w:rsid w:val="00C62FE9"/>
    <w:rsid w:val="00C630DF"/>
    <w:rsid w:val="00C63110"/>
    <w:rsid w:val="00C631B9"/>
    <w:rsid w:val="00C63432"/>
    <w:rsid w:val="00C63435"/>
    <w:rsid w:val="00C634A6"/>
    <w:rsid w:val="00C63657"/>
    <w:rsid w:val="00C6371C"/>
    <w:rsid w:val="00C63A86"/>
    <w:rsid w:val="00C63B19"/>
    <w:rsid w:val="00C63BC7"/>
    <w:rsid w:val="00C640B0"/>
    <w:rsid w:val="00C6424D"/>
    <w:rsid w:val="00C64259"/>
    <w:rsid w:val="00C64305"/>
    <w:rsid w:val="00C645A8"/>
    <w:rsid w:val="00C645CA"/>
    <w:rsid w:val="00C645FB"/>
    <w:rsid w:val="00C64928"/>
    <w:rsid w:val="00C64BDC"/>
    <w:rsid w:val="00C64D08"/>
    <w:rsid w:val="00C64EC1"/>
    <w:rsid w:val="00C64F8C"/>
    <w:rsid w:val="00C650A7"/>
    <w:rsid w:val="00C65128"/>
    <w:rsid w:val="00C652C5"/>
    <w:rsid w:val="00C65473"/>
    <w:rsid w:val="00C654E9"/>
    <w:rsid w:val="00C65626"/>
    <w:rsid w:val="00C6593E"/>
    <w:rsid w:val="00C65975"/>
    <w:rsid w:val="00C65A0B"/>
    <w:rsid w:val="00C65A6A"/>
    <w:rsid w:val="00C65BC2"/>
    <w:rsid w:val="00C65C3A"/>
    <w:rsid w:val="00C65DBD"/>
    <w:rsid w:val="00C6602B"/>
    <w:rsid w:val="00C661FE"/>
    <w:rsid w:val="00C66256"/>
    <w:rsid w:val="00C665B5"/>
    <w:rsid w:val="00C667D4"/>
    <w:rsid w:val="00C66826"/>
    <w:rsid w:val="00C66836"/>
    <w:rsid w:val="00C66986"/>
    <w:rsid w:val="00C66CAF"/>
    <w:rsid w:val="00C67041"/>
    <w:rsid w:val="00C6709C"/>
    <w:rsid w:val="00C6736A"/>
    <w:rsid w:val="00C6755D"/>
    <w:rsid w:val="00C67569"/>
    <w:rsid w:val="00C67765"/>
    <w:rsid w:val="00C6789D"/>
    <w:rsid w:val="00C679B0"/>
    <w:rsid w:val="00C67AF6"/>
    <w:rsid w:val="00C67B3C"/>
    <w:rsid w:val="00C67BDC"/>
    <w:rsid w:val="00C67C8D"/>
    <w:rsid w:val="00C67FF9"/>
    <w:rsid w:val="00C701A4"/>
    <w:rsid w:val="00C70331"/>
    <w:rsid w:val="00C7037E"/>
    <w:rsid w:val="00C7040A"/>
    <w:rsid w:val="00C70478"/>
    <w:rsid w:val="00C7068C"/>
    <w:rsid w:val="00C7068D"/>
    <w:rsid w:val="00C707ED"/>
    <w:rsid w:val="00C7093E"/>
    <w:rsid w:val="00C70962"/>
    <w:rsid w:val="00C71085"/>
    <w:rsid w:val="00C71165"/>
    <w:rsid w:val="00C71232"/>
    <w:rsid w:val="00C7148A"/>
    <w:rsid w:val="00C717B8"/>
    <w:rsid w:val="00C717D8"/>
    <w:rsid w:val="00C71866"/>
    <w:rsid w:val="00C71A0D"/>
    <w:rsid w:val="00C71B19"/>
    <w:rsid w:val="00C71C00"/>
    <w:rsid w:val="00C71C75"/>
    <w:rsid w:val="00C71DD7"/>
    <w:rsid w:val="00C71FAC"/>
    <w:rsid w:val="00C71FD7"/>
    <w:rsid w:val="00C72120"/>
    <w:rsid w:val="00C7229A"/>
    <w:rsid w:val="00C722AC"/>
    <w:rsid w:val="00C723FC"/>
    <w:rsid w:val="00C72428"/>
    <w:rsid w:val="00C72584"/>
    <w:rsid w:val="00C72704"/>
    <w:rsid w:val="00C72944"/>
    <w:rsid w:val="00C72951"/>
    <w:rsid w:val="00C729D9"/>
    <w:rsid w:val="00C729F9"/>
    <w:rsid w:val="00C72A60"/>
    <w:rsid w:val="00C72A9C"/>
    <w:rsid w:val="00C72B7B"/>
    <w:rsid w:val="00C72B81"/>
    <w:rsid w:val="00C72CA3"/>
    <w:rsid w:val="00C72CD7"/>
    <w:rsid w:val="00C72DD8"/>
    <w:rsid w:val="00C72F98"/>
    <w:rsid w:val="00C73125"/>
    <w:rsid w:val="00C732D9"/>
    <w:rsid w:val="00C73455"/>
    <w:rsid w:val="00C734A7"/>
    <w:rsid w:val="00C7352B"/>
    <w:rsid w:val="00C739BB"/>
    <w:rsid w:val="00C739BC"/>
    <w:rsid w:val="00C73AAA"/>
    <w:rsid w:val="00C73E10"/>
    <w:rsid w:val="00C740E6"/>
    <w:rsid w:val="00C7452F"/>
    <w:rsid w:val="00C745BF"/>
    <w:rsid w:val="00C74713"/>
    <w:rsid w:val="00C747CD"/>
    <w:rsid w:val="00C7497E"/>
    <w:rsid w:val="00C74985"/>
    <w:rsid w:val="00C7499C"/>
    <w:rsid w:val="00C74BEB"/>
    <w:rsid w:val="00C74C73"/>
    <w:rsid w:val="00C74E5E"/>
    <w:rsid w:val="00C74E7F"/>
    <w:rsid w:val="00C74E83"/>
    <w:rsid w:val="00C74F33"/>
    <w:rsid w:val="00C753AA"/>
    <w:rsid w:val="00C75490"/>
    <w:rsid w:val="00C754D0"/>
    <w:rsid w:val="00C75513"/>
    <w:rsid w:val="00C755EE"/>
    <w:rsid w:val="00C756B9"/>
    <w:rsid w:val="00C75833"/>
    <w:rsid w:val="00C7583F"/>
    <w:rsid w:val="00C75944"/>
    <w:rsid w:val="00C759AE"/>
    <w:rsid w:val="00C75B07"/>
    <w:rsid w:val="00C75B4C"/>
    <w:rsid w:val="00C75B53"/>
    <w:rsid w:val="00C75BE0"/>
    <w:rsid w:val="00C75CDD"/>
    <w:rsid w:val="00C75E5C"/>
    <w:rsid w:val="00C75F3A"/>
    <w:rsid w:val="00C761B4"/>
    <w:rsid w:val="00C76371"/>
    <w:rsid w:val="00C764A6"/>
    <w:rsid w:val="00C76545"/>
    <w:rsid w:val="00C7656D"/>
    <w:rsid w:val="00C765BC"/>
    <w:rsid w:val="00C765DF"/>
    <w:rsid w:val="00C767D6"/>
    <w:rsid w:val="00C767EF"/>
    <w:rsid w:val="00C7693A"/>
    <w:rsid w:val="00C76995"/>
    <w:rsid w:val="00C76A34"/>
    <w:rsid w:val="00C76AE3"/>
    <w:rsid w:val="00C76B6B"/>
    <w:rsid w:val="00C76B77"/>
    <w:rsid w:val="00C76E51"/>
    <w:rsid w:val="00C76EB1"/>
    <w:rsid w:val="00C77113"/>
    <w:rsid w:val="00C77152"/>
    <w:rsid w:val="00C774B0"/>
    <w:rsid w:val="00C774F6"/>
    <w:rsid w:val="00C7758A"/>
    <w:rsid w:val="00C77739"/>
    <w:rsid w:val="00C778D1"/>
    <w:rsid w:val="00C7791F"/>
    <w:rsid w:val="00C77CF7"/>
    <w:rsid w:val="00C77E29"/>
    <w:rsid w:val="00C77EDA"/>
    <w:rsid w:val="00C8006D"/>
    <w:rsid w:val="00C801D4"/>
    <w:rsid w:val="00C80236"/>
    <w:rsid w:val="00C8026D"/>
    <w:rsid w:val="00C80703"/>
    <w:rsid w:val="00C807BB"/>
    <w:rsid w:val="00C8081D"/>
    <w:rsid w:val="00C809FF"/>
    <w:rsid w:val="00C80ACE"/>
    <w:rsid w:val="00C80AE9"/>
    <w:rsid w:val="00C80F46"/>
    <w:rsid w:val="00C81031"/>
    <w:rsid w:val="00C81165"/>
    <w:rsid w:val="00C812C5"/>
    <w:rsid w:val="00C813D5"/>
    <w:rsid w:val="00C81427"/>
    <w:rsid w:val="00C815D8"/>
    <w:rsid w:val="00C81710"/>
    <w:rsid w:val="00C81933"/>
    <w:rsid w:val="00C8194D"/>
    <w:rsid w:val="00C819B8"/>
    <w:rsid w:val="00C81A7A"/>
    <w:rsid w:val="00C81A8F"/>
    <w:rsid w:val="00C82188"/>
    <w:rsid w:val="00C82266"/>
    <w:rsid w:val="00C8228D"/>
    <w:rsid w:val="00C825A1"/>
    <w:rsid w:val="00C825DA"/>
    <w:rsid w:val="00C82781"/>
    <w:rsid w:val="00C827A7"/>
    <w:rsid w:val="00C827EF"/>
    <w:rsid w:val="00C82A3B"/>
    <w:rsid w:val="00C82A66"/>
    <w:rsid w:val="00C82ACC"/>
    <w:rsid w:val="00C82B38"/>
    <w:rsid w:val="00C82C3A"/>
    <w:rsid w:val="00C82E61"/>
    <w:rsid w:val="00C82E76"/>
    <w:rsid w:val="00C82FC4"/>
    <w:rsid w:val="00C8311C"/>
    <w:rsid w:val="00C831A8"/>
    <w:rsid w:val="00C8323A"/>
    <w:rsid w:val="00C8326E"/>
    <w:rsid w:val="00C83433"/>
    <w:rsid w:val="00C835D9"/>
    <w:rsid w:val="00C83673"/>
    <w:rsid w:val="00C836C3"/>
    <w:rsid w:val="00C83777"/>
    <w:rsid w:val="00C8398A"/>
    <w:rsid w:val="00C83B47"/>
    <w:rsid w:val="00C83F3D"/>
    <w:rsid w:val="00C8416B"/>
    <w:rsid w:val="00C842A9"/>
    <w:rsid w:val="00C8444B"/>
    <w:rsid w:val="00C84487"/>
    <w:rsid w:val="00C8452F"/>
    <w:rsid w:val="00C84549"/>
    <w:rsid w:val="00C8458F"/>
    <w:rsid w:val="00C847B5"/>
    <w:rsid w:val="00C8497D"/>
    <w:rsid w:val="00C849A8"/>
    <w:rsid w:val="00C84CEA"/>
    <w:rsid w:val="00C84EB7"/>
    <w:rsid w:val="00C8500C"/>
    <w:rsid w:val="00C85086"/>
    <w:rsid w:val="00C853DD"/>
    <w:rsid w:val="00C8540B"/>
    <w:rsid w:val="00C854B7"/>
    <w:rsid w:val="00C85554"/>
    <w:rsid w:val="00C856FE"/>
    <w:rsid w:val="00C857F2"/>
    <w:rsid w:val="00C8584C"/>
    <w:rsid w:val="00C85910"/>
    <w:rsid w:val="00C85B92"/>
    <w:rsid w:val="00C85B99"/>
    <w:rsid w:val="00C85E47"/>
    <w:rsid w:val="00C85EE5"/>
    <w:rsid w:val="00C860DD"/>
    <w:rsid w:val="00C86559"/>
    <w:rsid w:val="00C8661F"/>
    <w:rsid w:val="00C86661"/>
    <w:rsid w:val="00C86980"/>
    <w:rsid w:val="00C86CED"/>
    <w:rsid w:val="00C86D65"/>
    <w:rsid w:val="00C87000"/>
    <w:rsid w:val="00C8720E"/>
    <w:rsid w:val="00C87252"/>
    <w:rsid w:val="00C873B9"/>
    <w:rsid w:val="00C875E4"/>
    <w:rsid w:val="00C8764A"/>
    <w:rsid w:val="00C876F3"/>
    <w:rsid w:val="00C8771F"/>
    <w:rsid w:val="00C878B3"/>
    <w:rsid w:val="00C87CA2"/>
    <w:rsid w:val="00C87D5B"/>
    <w:rsid w:val="00C87DDA"/>
    <w:rsid w:val="00C87F13"/>
    <w:rsid w:val="00C87F28"/>
    <w:rsid w:val="00C87F51"/>
    <w:rsid w:val="00C87FB6"/>
    <w:rsid w:val="00C90148"/>
    <w:rsid w:val="00C90471"/>
    <w:rsid w:val="00C90543"/>
    <w:rsid w:val="00C905B2"/>
    <w:rsid w:val="00C90AA5"/>
    <w:rsid w:val="00C90B59"/>
    <w:rsid w:val="00C90B8C"/>
    <w:rsid w:val="00C90C90"/>
    <w:rsid w:val="00C90C94"/>
    <w:rsid w:val="00C90D97"/>
    <w:rsid w:val="00C90DA2"/>
    <w:rsid w:val="00C90EFC"/>
    <w:rsid w:val="00C910BE"/>
    <w:rsid w:val="00C91362"/>
    <w:rsid w:val="00C91644"/>
    <w:rsid w:val="00C919DE"/>
    <w:rsid w:val="00C91AD2"/>
    <w:rsid w:val="00C91C90"/>
    <w:rsid w:val="00C92046"/>
    <w:rsid w:val="00C92075"/>
    <w:rsid w:val="00C922CF"/>
    <w:rsid w:val="00C922FC"/>
    <w:rsid w:val="00C92444"/>
    <w:rsid w:val="00C92609"/>
    <w:rsid w:val="00C926AE"/>
    <w:rsid w:val="00C926B1"/>
    <w:rsid w:val="00C926E9"/>
    <w:rsid w:val="00C92793"/>
    <w:rsid w:val="00C927A0"/>
    <w:rsid w:val="00C92888"/>
    <w:rsid w:val="00C92A11"/>
    <w:rsid w:val="00C92BE7"/>
    <w:rsid w:val="00C92C79"/>
    <w:rsid w:val="00C92C89"/>
    <w:rsid w:val="00C92DB5"/>
    <w:rsid w:val="00C92E56"/>
    <w:rsid w:val="00C92EDE"/>
    <w:rsid w:val="00C93007"/>
    <w:rsid w:val="00C93092"/>
    <w:rsid w:val="00C93179"/>
    <w:rsid w:val="00C931FE"/>
    <w:rsid w:val="00C93320"/>
    <w:rsid w:val="00C935E1"/>
    <w:rsid w:val="00C93761"/>
    <w:rsid w:val="00C93770"/>
    <w:rsid w:val="00C93A9A"/>
    <w:rsid w:val="00C93AE7"/>
    <w:rsid w:val="00C93CC0"/>
    <w:rsid w:val="00C93F69"/>
    <w:rsid w:val="00C9400B"/>
    <w:rsid w:val="00C94140"/>
    <w:rsid w:val="00C9415F"/>
    <w:rsid w:val="00C9420A"/>
    <w:rsid w:val="00C943AE"/>
    <w:rsid w:val="00C94499"/>
    <w:rsid w:val="00C94606"/>
    <w:rsid w:val="00C9465D"/>
    <w:rsid w:val="00C947DC"/>
    <w:rsid w:val="00C947E3"/>
    <w:rsid w:val="00C94809"/>
    <w:rsid w:val="00C948E9"/>
    <w:rsid w:val="00C9495D"/>
    <w:rsid w:val="00C94971"/>
    <w:rsid w:val="00C94980"/>
    <w:rsid w:val="00C94A1A"/>
    <w:rsid w:val="00C94BD8"/>
    <w:rsid w:val="00C94D05"/>
    <w:rsid w:val="00C94F4B"/>
    <w:rsid w:val="00C94F57"/>
    <w:rsid w:val="00C95290"/>
    <w:rsid w:val="00C9533D"/>
    <w:rsid w:val="00C954F7"/>
    <w:rsid w:val="00C9568A"/>
    <w:rsid w:val="00C956A5"/>
    <w:rsid w:val="00C95786"/>
    <w:rsid w:val="00C95B68"/>
    <w:rsid w:val="00C95CEA"/>
    <w:rsid w:val="00C95ED0"/>
    <w:rsid w:val="00C95F4F"/>
    <w:rsid w:val="00C95FE9"/>
    <w:rsid w:val="00C9603E"/>
    <w:rsid w:val="00C962E6"/>
    <w:rsid w:val="00C96320"/>
    <w:rsid w:val="00C96343"/>
    <w:rsid w:val="00C96438"/>
    <w:rsid w:val="00C964BD"/>
    <w:rsid w:val="00C96551"/>
    <w:rsid w:val="00C96615"/>
    <w:rsid w:val="00C96926"/>
    <w:rsid w:val="00C96945"/>
    <w:rsid w:val="00C96B3B"/>
    <w:rsid w:val="00C96B4E"/>
    <w:rsid w:val="00C96B97"/>
    <w:rsid w:val="00C96BDE"/>
    <w:rsid w:val="00C96C1B"/>
    <w:rsid w:val="00C96DCD"/>
    <w:rsid w:val="00C96DF5"/>
    <w:rsid w:val="00C972DA"/>
    <w:rsid w:val="00C972F1"/>
    <w:rsid w:val="00C97302"/>
    <w:rsid w:val="00C9755D"/>
    <w:rsid w:val="00C976AB"/>
    <w:rsid w:val="00C97768"/>
    <w:rsid w:val="00C977B7"/>
    <w:rsid w:val="00C9785D"/>
    <w:rsid w:val="00C97A59"/>
    <w:rsid w:val="00C97A70"/>
    <w:rsid w:val="00C97AEC"/>
    <w:rsid w:val="00C97B46"/>
    <w:rsid w:val="00C97C2A"/>
    <w:rsid w:val="00C97F21"/>
    <w:rsid w:val="00C97F22"/>
    <w:rsid w:val="00CA03E9"/>
    <w:rsid w:val="00CA05B1"/>
    <w:rsid w:val="00CA05CA"/>
    <w:rsid w:val="00CA0668"/>
    <w:rsid w:val="00CA06B0"/>
    <w:rsid w:val="00CA06D0"/>
    <w:rsid w:val="00CA07EE"/>
    <w:rsid w:val="00CA08C7"/>
    <w:rsid w:val="00CA0A66"/>
    <w:rsid w:val="00CA0BB5"/>
    <w:rsid w:val="00CA0BF6"/>
    <w:rsid w:val="00CA0DEC"/>
    <w:rsid w:val="00CA0DF9"/>
    <w:rsid w:val="00CA0EA5"/>
    <w:rsid w:val="00CA10B5"/>
    <w:rsid w:val="00CA11EF"/>
    <w:rsid w:val="00CA1564"/>
    <w:rsid w:val="00CA15FF"/>
    <w:rsid w:val="00CA16D5"/>
    <w:rsid w:val="00CA188B"/>
    <w:rsid w:val="00CA1A62"/>
    <w:rsid w:val="00CA1C17"/>
    <w:rsid w:val="00CA2368"/>
    <w:rsid w:val="00CA24B8"/>
    <w:rsid w:val="00CA25AC"/>
    <w:rsid w:val="00CA2AFE"/>
    <w:rsid w:val="00CA2B0D"/>
    <w:rsid w:val="00CA2B81"/>
    <w:rsid w:val="00CA2CFB"/>
    <w:rsid w:val="00CA2E75"/>
    <w:rsid w:val="00CA2F3A"/>
    <w:rsid w:val="00CA32AB"/>
    <w:rsid w:val="00CA33A5"/>
    <w:rsid w:val="00CA33FE"/>
    <w:rsid w:val="00CA36DA"/>
    <w:rsid w:val="00CA36E7"/>
    <w:rsid w:val="00CA385B"/>
    <w:rsid w:val="00CA38C7"/>
    <w:rsid w:val="00CA3979"/>
    <w:rsid w:val="00CA39A3"/>
    <w:rsid w:val="00CA3B93"/>
    <w:rsid w:val="00CA3CD1"/>
    <w:rsid w:val="00CA3E39"/>
    <w:rsid w:val="00CA3EB8"/>
    <w:rsid w:val="00CA3ED7"/>
    <w:rsid w:val="00CA3FD8"/>
    <w:rsid w:val="00CA4244"/>
    <w:rsid w:val="00CA42F9"/>
    <w:rsid w:val="00CA4309"/>
    <w:rsid w:val="00CA4315"/>
    <w:rsid w:val="00CA442D"/>
    <w:rsid w:val="00CA4562"/>
    <w:rsid w:val="00CA47D7"/>
    <w:rsid w:val="00CA4875"/>
    <w:rsid w:val="00CA493D"/>
    <w:rsid w:val="00CA4A48"/>
    <w:rsid w:val="00CA4CEC"/>
    <w:rsid w:val="00CA4D1C"/>
    <w:rsid w:val="00CA4D3A"/>
    <w:rsid w:val="00CA4DD6"/>
    <w:rsid w:val="00CA50D4"/>
    <w:rsid w:val="00CA51C4"/>
    <w:rsid w:val="00CA51E8"/>
    <w:rsid w:val="00CA5457"/>
    <w:rsid w:val="00CA586A"/>
    <w:rsid w:val="00CA59F9"/>
    <w:rsid w:val="00CA5A0C"/>
    <w:rsid w:val="00CA5C19"/>
    <w:rsid w:val="00CA5CD0"/>
    <w:rsid w:val="00CA5DB9"/>
    <w:rsid w:val="00CA5EE5"/>
    <w:rsid w:val="00CA5EFC"/>
    <w:rsid w:val="00CA619F"/>
    <w:rsid w:val="00CA61D9"/>
    <w:rsid w:val="00CA61FE"/>
    <w:rsid w:val="00CA6231"/>
    <w:rsid w:val="00CA627D"/>
    <w:rsid w:val="00CA62D8"/>
    <w:rsid w:val="00CA64A3"/>
    <w:rsid w:val="00CA6564"/>
    <w:rsid w:val="00CA676F"/>
    <w:rsid w:val="00CA681A"/>
    <w:rsid w:val="00CA688F"/>
    <w:rsid w:val="00CA6D6D"/>
    <w:rsid w:val="00CA6D73"/>
    <w:rsid w:val="00CA6E26"/>
    <w:rsid w:val="00CA711C"/>
    <w:rsid w:val="00CA7140"/>
    <w:rsid w:val="00CA7408"/>
    <w:rsid w:val="00CA741F"/>
    <w:rsid w:val="00CA74A4"/>
    <w:rsid w:val="00CA777F"/>
    <w:rsid w:val="00CA778D"/>
    <w:rsid w:val="00CA78A0"/>
    <w:rsid w:val="00CA79E7"/>
    <w:rsid w:val="00CA7D0E"/>
    <w:rsid w:val="00CA7E77"/>
    <w:rsid w:val="00CA7EA2"/>
    <w:rsid w:val="00CB0083"/>
    <w:rsid w:val="00CB0198"/>
    <w:rsid w:val="00CB01DD"/>
    <w:rsid w:val="00CB0263"/>
    <w:rsid w:val="00CB026F"/>
    <w:rsid w:val="00CB03FE"/>
    <w:rsid w:val="00CB0418"/>
    <w:rsid w:val="00CB0486"/>
    <w:rsid w:val="00CB0491"/>
    <w:rsid w:val="00CB05BE"/>
    <w:rsid w:val="00CB0605"/>
    <w:rsid w:val="00CB0A3E"/>
    <w:rsid w:val="00CB0B28"/>
    <w:rsid w:val="00CB0BAC"/>
    <w:rsid w:val="00CB0D4C"/>
    <w:rsid w:val="00CB0E0A"/>
    <w:rsid w:val="00CB0EFC"/>
    <w:rsid w:val="00CB0F56"/>
    <w:rsid w:val="00CB13A6"/>
    <w:rsid w:val="00CB147A"/>
    <w:rsid w:val="00CB1586"/>
    <w:rsid w:val="00CB16D2"/>
    <w:rsid w:val="00CB1E60"/>
    <w:rsid w:val="00CB1EB4"/>
    <w:rsid w:val="00CB1F46"/>
    <w:rsid w:val="00CB2047"/>
    <w:rsid w:val="00CB21DA"/>
    <w:rsid w:val="00CB22AA"/>
    <w:rsid w:val="00CB22AE"/>
    <w:rsid w:val="00CB22F0"/>
    <w:rsid w:val="00CB2316"/>
    <w:rsid w:val="00CB2322"/>
    <w:rsid w:val="00CB24FE"/>
    <w:rsid w:val="00CB2870"/>
    <w:rsid w:val="00CB2BEA"/>
    <w:rsid w:val="00CB2C6E"/>
    <w:rsid w:val="00CB2CDA"/>
    <w:rsid w:val="00CB2D1B"/>
    <w:rsid w:val="00CB3033"/>
    <w:rsid w:val="00CB303A"/>
    <w:rsid w:val="00CB30E5"/>
    <w:rsid w:val="00CB3531"/>
    <w:rsid w:val="00CB3631"/>
    <w:rsid w:val="00CB3747"/>
    <w:rsid w:val="00CB37EE"/>
    <w:rsid w:val="00CB3826"/>
    <w:rsid w:val="00CB38C7"/>
    <w:rsid w:val="00CB3B68"/>
    <w:rsid w:val="00CB3CD9"/>
    <w:rsid w:val="00CB3F1E"/>
    <w:rsid w:val="00CB3F94"/>
    <w:rsid w:val="00CB408B"/>
    <w:rsid w:val="00CB4240"/>
    <w:rsid w:val="00CB4315"/>
    <w:rsid w:val="00CB4377"/>
    <w:rsid w:val="00CB454F"/>
    <w:rsid w:val="00CB4720"/>
    <w:rsid w:val="00CB47E9"/>
    <w:rsid w:val="00CB4825"/>
    <w:rsid w:val="00CB4D3D"/>
    <w:rsid w:val="00CB4D5B"/>
    <w:rsid w:val="00CB4F9D"/>
    <w:rsid w:val="00CB5119"/>
    <w:rsid w:val="00CB519A"/>
    <w:rsid w:val="00CB531A"/>
    <w:rsid w:val="00CB5404"/>
    <w:rsid w:val="00CB5668"/>
    <w:rsid w:val="00CB588D"/>
    <w:rsid w:val="00CB5918"/>
    <w:rsid w:val="00CB5979"/>
    <w:rsid w:val="00CB5A59"/>
    <w:rsid w:val="00CB5B3E"/>
    <w:rsid w:val="00CB5BC1"/>
    <w:rsid w:val="00CB5BC4"/>
    <w:rsid w:val="00CB5CE4"/>
    <w:rsid w:val="00CB5CFB"/>
    <w:rsid w:val="00CB5D7A"/>
    <w:rsid w:val="00CB5F24"/>
    <w:rsid w:val="00CB5FE0"/>
    <w:rsid w:val="00CB6391"/>
    <w:rsid w:val="00CB640B"/>
    <w:rsid w:val="00CB644E"/>
    <w:rsid w:val="00CB64BC"/>
    <w:rsid w:val="00CB65C5"/>
    <w:rsid w:val="00CB693C"/>
    <w:rsid w:val="00CB6C8E"/>
    <w:rsid w:val="00CB6D76"/>
    <w:rsid w:val="00CB6F30"/>
    <w:rsid w:val="00CB70B3"/>
    <w:rsid w:val="00CB7133"/>
    <w:rsid w:val="00CB7204"/>
    <w:rsid w:val="00CB75B0"/>
    <w:rsid w:val="00CB7901"/>
    <w:rsid w:val="00CB791B"/>
    <w:rsid w:val="00CB7A73"/>
    <w:rsid w:val="00CB7B45"/>
    <w:rsid w:val="00CB7F63"/>
    <w:rsid w:val="00CB7F8B"/>
    <w:rsid w:val="00CB7F96"/>
    <w:rsid w:val="00CB7F9D"/>
    <w:rsid w:val="00CC04E2"/>
    <w:rsid w:val="00CC04ED"/>
    <w:rsid w:val="00CC05D4"/>
    <w:rsid w:val="00CC0761"/>
    <w:rsid w:val="00CC07FA"/>
    <w:rsid w:val="00CC0875"/>
    <w:rsid w:val="00CC0ACA"/>
    <w:rsid w:val="00CC0C3F"/>
    <w:rsid w:val="00CC0D76"/>
    <w:rsid w:val="00CC0E34"/>
    <w:rsid w:val="00CC0F81"/>
    <w:rsid w:val="00CC0F85"/>
    <w:rsid w:val="00CC0FE7"/>
    <w:rsid w:val="00CC1016"/>
    <w:rsid w:val="00CC106A"/>
    <w:rsid w:val="00CC10FE"/>
    <w:rsid w:val="00CC1114"/>
    <w:rsid w:val="00CC11B9"/>
    <w:rsid w:val="00CC1240"/>
    <w:rsid w:val="00CC14D1"/>
    <w:rsid w:val="00CC18AD"/>
    <w:rsid w:val="00CC18F2"/>
    <w:rsid w:val="00CC1C51"/>
    <w:rsid w:val="00CC1DC0"/>
    <w:rsid w:val="00CC1E02"/>
    <w:rsid w:val="00CC1E0F"/>
    <w:rsid w:val="00CC1E5D"/>
    <w:rsid w:val="00CC210B"/>
    <w:rsid w:val="00CC224E"/>
    <w:rsid w:val="00CC23FB"/>
    <w:rsid w:val="00CC2472"/>
    <w:rsid w:val="00CC24B5"/>
    <w:rsid w:val="00CC24EF"/>
    <w:rsid w:val="00CC24F9"/>
    <w:rsid w:val="00CC25A8"/>
    <w:rsid w:val="00CC294F"/>
    <w:rsid w:val="00CC2952"/>
    <w:rsid w:val="00CC2D00"/>
    <w:rsid w:val="00CC2D1D"/>
    <w:rsid w:val="00CC2EFB"/>
    <w:rsid w:val="00CC2F76"/>
    <w:rsid w:val="00CC30EB"/>
    <w:rsid w:val="00CC3271"/>
    <w:rsid w:val="00CC32A5"/>
    <w:rsid w:val="00CC3372"/>
    <w:rsid w:val="00CC3806"/>
    <w:rsid w:val="00CC3893"/>
    <w:rsid w:val="00CC3A28"/>
    <w:rsid w:val="00CC3ABA"/>
    <w:rsid w:val="00CC3D7A"/>
    <w:rsid w:val="00CC3DB3"/>
    <w:rsid w:val="00CC4136"/>
    <w:rsid w:val="00CC43A2"/>
    <w:rsid w:val="00CC4551"/>
    <w:rsid w:val="00CC455E"/>
    <w:rsid w:val="00CC477F"/>
    <w:rsid w:val="00CC4825"/>
    <w:rsid w:val="00CC485C"/>
    <w:rsid w:val="00CC4A2B"/>
    <w:rsid w:val="00CC4D02"/>
    <w:rsid w:val="00CC4D21"/>
    <w:rsid w:val="00CC4FF3"/>
    <w:rsid w:val="00CC501A"/>
    <w:rsid w:val="00CC505F"/>
    <w:rsid w:val="00CC5259"/>
    <w:rsid w:val="00CC52DA"/>
    <w:rsid w:val="00CC55D3"/>
    <w:rsid w:val="00CC5678"/>
    <w:rsid w:val="00CC568D"/>
    <w:rsid w:val="00CC5764"/>
    <w:rsid w:val="00CC596E"/>
    <w:rsid w:val="00CC5A43"/>
    <w:rsid w:val="00CC5B89"/>
    <w:rsid w:val="00CC5BA0"/>
    <w:rsid w:val="00CC5DB3"/>
    <w:rsid w:val="00CC5F17"/>
    <w:rsid w:val="00CC60F8"/>
    <w:rsid w:val="00CC611A"/>
    <w:rsid w:val="00CC612F"/>
    <w:rsid w:val="00CC617F"/>
    <w:rsid w:val="00CC6314"/>
    <w:rsid w:val="00CC633F"/>
    <w:rsid w:val="00CC672D"/>
    <w:rsid w:val="00CC67DD"/>
    <w:rsid w:val="00CC6894"/>
    <w:rsid w:val="00CC6963"/>
    <w:rsid w:val="00CC6AEA"/>
    <w:rsid w:val="00CC6C4B"/>
    <w:rsid w:val="00CC6CB6"/>
    <w:rsid w:val="00CC6CC2"/>
    <w:rsid w:val="00CC6F63"/>
    <w:rsid w:val="00CC6FC7"/>
    <w:rsid w:val="00CC700F"/>
    <w:rsid w:val="00CC739A"/>
    <w:rsid w:val="00CC73B5"/>
    <w:rsid w:val="00CC741B"/>
    <w:rsid w:val="00CC747F"/>
    <w:rsid w:val="00CC7726"/>
    <w:rsid w:val="00CC79F7"/>
    <w:rsid w:val="00CC7BF5"/>
    <w:rsid w:val="00CC7C0E"/>
    <w:rsid w:val="00CC7CB2"/>
    <w:rsid w:val="00CC7D52"/>
    <w:rsid w:val="00CC7DCC"/>
    <w:rsid w:val="00CC7EC3"/>
    <w:rsid w:val="00CC7F56"/>
    <w:rsid w:val="00CC7FF3"/>
    <w:rsid w:val="00CD001E"/>
    <w:rsid w:val="00CD010C"/>
    <w:rsid w:val="00CD0215"/>
    <w:rsid w:val="00CD021E"/>
    <w:rsid w:val="00CD0500"/>
    <w:rsid w:val="00CD058E"/>
    <w:rsid w:val="00CD077F"/>
    <w:rsid w:val="00CD088D"/>
    <w:rsid w:val="00CD0B97"/>
    <w:rsid w:val="00CD0D30"/>
    <w:rsid w:val="00CD0DF2"/>
    <w:rsid w:val="00CD0EDE"/>
    <w:rsid w:val="00CD0FB5"/>
    <w:rsid w:val="00CD1057"/>
    <w:rsid w:val="00CD112C"/>
    <w:rsid w:val="00CD11C6"/>
    <w:rsid w:val="00CD1221"/>
    <w:rsid w:val="00CD1BFE"/>
    <w:rsid w:val="00CD1D76"/>
    <w:rsid w:val="00CD1E81"/>
    <w:rsid w:val="00CD1F89"/>
    <w:rsid w:val="00CD1FFB"/>
    <w:rsid w:val="00CD20A8"/>
    <w:rsid w:val="00CD2157"/>
    <w:rsid w:val="00CD218D"/>
    <w:rsid w:val="00CD2253"/>
    <w:rsid w:val="00CD226E"/>
    <w:rsid w:val="00CD2478"/>
    <w:rsid w:val="00CD24B9"/>
    <w:rsid w:val="00CD24FD"/>
    <w:rsid w:val="00CD255A"/>
    <w:rsid w:val="00CD276E"/>
    <w:rsid w:val="00CD2ADF"/>
    <w:rsid w:val="00CD2B04"/>
    <w:rsid w:val="00CD2BC9"/>
    <w:rsid w:val="00CD2EFA"/>
    <w:rsid w:val="00CD327B"/>
    <w:rsid w:val="00CD3281"/>
    <w:rsid w:val="00CD329B"/>
    <w:rsid w:val="00CD32B6"/>
    <w:rsid w:val="00CD37FB"/>
    <w:rsid w:val="00CD385F"/>
    <w:rsid w:val="00CD3929"/>
    <w:rsid w:val="00CD3AA9"/>
    <w:rsid w:val="00CD3D6D"/>
    <w:rsid w:val="00CD3DE5"/>
    <w:rsid w:val="00CD3F29"/>
    <w:rsid w:val="00CD3F53"/>
    <w:rsid w:val="00CD3F93"/>
    <w:rsid w:val="00CD3FEE"/>
    <w:rsid w:val="00CD4167"/>
    <w:rsid w:val="00CD4174"/>
    <w:rsid w:val="00CD425C"/>
    <w:rsid w:val="00CD43E2"/>
    <w:rsid w:val="00CD4643"/>
    <w:rsid w:val="00CD46DA"/>
    <w:rsid w:val="00CD46E2"/>
    <w:rsid w:val="00CD4739"/>
    <w:rsid w:val="00CD4857"/>
    <w:rsid w:val="00CD4869"/>
    <w:rsid w:val="00CD4913"/>
    <w:rsid w:val="00CD49E3"/>
    <w:rsid w:val="00CD4A05"/>
    <w:rsid w:val="00CD4C9C"/>
    <w:rsid w:val="00CD4CAE"/>
    <w:rsid w:val="00CD4F10"/>
    <w:rsid w:val="00CD50D9"/>
    <w:rsid w:val="00CD522D"/>
    <w:rsid w:val="00CD5294"/>
    <w:rsid w:val="00CD52B5"/>
    <w:rsid w:val="00CD5368"/>
    <w:rsid w:val="00CD54DE"/>
    <w:rsid w:val="00CD554F"/>
    <w:rsid w:val="00CD59CC"/>
    <w:rsid w:val="00CD5AD2"/>
    <w:rsid w:val="00CD5B06"/>
    <w:rsid w:val="00CD5C91"/>
    <w:rsid w:val="00CD5F99"/>
    <w:rsid w:val="00CD5FA5"/>
    <w:rsid w:val="00CD5FFA"/>
    <w:rsid w:val="00CD616A"/>
    <w:rsid w:val="00CD617B"/>
    <w:rsid w:val="00CD62B5"/>
    <w:rsid w:val="00CD62CF"/>
    <w:rsid w:val="00CD6373"/>
    <w:rsid w:val="00CD6577"/>
    <w:rsid w:val="00CD65B6"/>
    <w:rsid w:val="00CD6692"/>
    <w:rsid w:val="00CD67CD"/>
    <w:rsid w:val="00CD6861"/>
    <w:rsid w:val="00CD6874"/>
    <w:rsid w:val="00CD69E8"/>
    <w:rsid w:val="00CD6B6F"/>
    <w:rsid w:val="00CD6BA3"/>
    <w:rsid w:val="00CD6C27"/>
    <w:rsid w:val="00CD6CBB"/>
    <w:rsid w:val="00CD6D9A"/>
    <w:rsid w:val="00CD6EEE"/>
    <w:rsid w:val="00CD7455"/>
    <w:rsid w:val="00CD7618"/>
    <w:rsid w:val="00CD774F"/>
    <w:rsid w:val="00CD7793"/>
    <w:rsid w:val="00CD7B35"/>
    <w:rsid w:val="00CD7B7F"/>
    <w:rsid w:val="00CD7BFA"/>
    <w:rsid w:val="00CD7C36"/>
    <w:rsid w:val="00CD7F19"/>
    <w:rsid w:val="00CD7FAC"/>
    <w:rsid w:val="00CE00D2"/>
    <w:rsid w:val="00CE01C2"/>
    <w:rsid w:val="00CE0389"/>
    <w:rsid w:val="00CE0433"/>
    <w:rsid w:val="00CE051A"/>
    <w:rsid w:val="00CE0642"/>
    <w:rsid w:val="00CE0751"/>
    <w:rsid w:val="00CE08E1"/>
    <w:rsid w:val="00CE095B"/>
    <w:rsid w:val="00CE0A08"/>
    <w:rsid w:val="00CE0BB1"/>
    <w:rsid w:val="00CE0BF5"/>
    <w:rsid w:val="00CE0CA9"/>
    <w:rsid w:val="00CE0E95"/>
    <w:rsid w:val="00CE0FE3"/>
    <w:rsid w:val="00CE12F9"/>
    <w:rsid w:val="00CE1355"/>
    <w:rsid w:val="00CE1450"/>
    <w:rsid w:val="00CE15C7"/>
    <w:rsid w:val="00CE15D1"/>
    <w:rsid w:val="00CE1743"/>
    <w:rsid w:val="00CE1902"/>
    <w:rsid w:val="00CE1939"/>
    <w:rsid w:val="00CE19EE"/>
    <w:rsid w:val="00CE1BD1"/>
    <w:rsid w:val="00CE1DDC"/>
    <w:rsid w:val="00CE1EE8"/>
    <w:rsid w:val="00CE230F"/>
    <w:rsid w:val="00CE2388"/>
    <w:rsid w:val="00CE2493"/>
    <w:rsid w:val="00CE29E4"/>
    <w:rsid w:val="00CE2A20"/>
    <w:rsid w:val="00CE2BDF"/>
    <w:rsid w:val="00CE2C61"/>
    <w:rsid w:val="00CE2C8D"/>
    <w:rsid w:val="00CE2F3A"/>
    <w:rsid w:val="00CE2FA6"/>
    <w:rsid w:val="00CE2FE1"/>
    <w:rsid w:val="00CE31F0"/>
    <w:rsid w:val="00CE3879"/>
    <w:rsid w:val="00CE3A69"/>
    <w:rsid w:val="00CE3AA7"/>
    <w:rsid w:val="00CE3B9F"/>
    <w:rsid w:val="00CE3D13"/>
    <w:rsid w:val="00CE3D20"/>
    <w:rsid w:val="00CE3F33"/>
    <w:rsid w:val="00CE3F51"/>
    <w:rsid w:val="00CE4058"/>
    <w:rsid w:val="00CE4085"/>
    <w:rsid w:val="00CE4186"/>
    <w:rsid w:val="00CE4297"/>
    <w:rsid w:val="00CE43F9"/>
    <w:rsid w:val="00CE443C"/>
    <w:rsid w:val="00CE4665"/>
    <w:rsid w:val="00CE4685"/>
    <w:rsid w:val="00CE473C"/>
    <w:rsid w:val="00CE4882"/>
    <w:rsid w:val="00CE490C"/>
    <w:rsid w:val="00CE4B67"/>
    <w:rsid w:val="00CE4C28"/>
    <w:rsid w:val="00CE505F"/>
    <w:rsid w:val="00CE514E"/>
    <w:rsid w:val="00CE5193"/>
    <w:rsid w:val="00CE5264"/>
    <w:rsid w:val="00CE5290"/>
    <w:rsid w:val="00CE52DE"/>
    <w:rsid w:val="00CE553C"/>
    <w:rsid w:val="00CE55B5"/>
    <w:rsid w:val="00CE5891"/>
    <w:rsid w:val="00CE5962"/>
    <w:rsid w:val="00CE5DEE"/>
    <w:rsid w:val="00CE6156"/>
    <w:rsid w:val="00CE6159"/>
    <w:rsid w:val="00CE6338"/>
    <w:rsid w:val="00CE6345"/>
    <w:rsid w:val="00CE63CA"/>
    <w:rsid w:val="00CE64C3"/>
    <w:rsid w:val="00CE6629"/>
    <w:rsid w:val="00CE665F"/>
    <w:rsid w:val="00CE6757"/>
    <w:rsid w:val="00CE6A21"/>
    <w:rsid w:val="00CE6A77"/>
    <w:rsid w:val="00CE6AAF"/>
    <w:rsid w:val="00CE6B46"/>
    <w:rsid w:val="00CE6D6C"/>
    <w:rsid w:val="00CE6DCF"/>
    <w:rsid w:val="00CE6E57"/>
    <w:rsid w:val="00CE702E"/>
    <w:rsid w:val="00CE713A"/>
    <w:rsid w:val="00CE71B9"/>
    <w:rsid w:val="00CE764A"/>
    <w:rsid w:val="00CE78BA"/>
    <w:rsid w:val="00CE7A48"/>
    <w:rsid w:val="00CE7B10"/>
    <w:rsid w:val="00CE7C60"/>
    <w:rsid w:val="00CE7CB4"/>
    <w:rsid w:val="00CE7D7D"/>
    <w:rsid w:val="00CE7E03"/>
    <w:rsid w:val="00CE7E85"/>
    <w:rsid w:val="00CE7F36"/>
    <w:rsid w:val="00CF00FA"/>
    <w:rsid w:val="00CF015A"/>
    <w:rsid w:val="00CF015D"/>
    <w:rsid w:val="00CF066B"/>
    <w:rsid w:val="00CF06EB"/>
    <w:rsid w:val="00CF079E"/>
    <w:rsid w:val="00CF0DA8"/>
    <w:rsid w:val="00CF0E93"/>
    <w:rsid w:val="00CF0EE0"/>
    <w:rsid w:val="00CF11EB"/>
    <w:rsid w:val="00CF1257"/>
    <w:rsid w:val="00CF12BB"/>
    <w:rsid w:val="00CF12D5"/>
    <w:rsid w:val="00CF1430"/>
    <w:rsid w:val="00CF151E"/>
    <w:rsid w:val="00CF15C0"/>
    <w:rsid w:val="00CF19DB"/>
    <w:rsid w:val="00CF1AB3"/>
    <w:rsid w:val="00CF1AF9"/>
    <w:rsid w:val="00CF1B2D"/>
    <w:rsid w:val="00CF1C43"/>
    <w:rsid w:val="00CF1D42"/>
    <w:rsid w:val="00CF1F1C"/>
    <w:rsid w:val="00CF2066"/>
    <w:rsid w:val="00CF23A7"/>
    <w:rsid w:val="00CF279B"/>
    <w:rsid w:val="00CF2908"/>
    <w:rsid w:val="00CF291C"/>
    <w:rsid w:val="00CF2BC2"/>
    <w:rsid w:val="00CF2BFF"/>
    <w:rsid w:val="00CF2C76"/>
    <w:rsid w:val="00CF2CE6"/>
    <w:rsid w:val="00CF386B"/>
    <w:rsid w:val="00CF3917"/>
    <w:rsid w:val="00CF3A8C"/>
    <w:rsid w:val="00CF3AF3"/>
    <w:rsid w:val="00CF3E46"/>
    <w:rsid w:val="00CF3FB4"/>
    <w:rsid w:val="00CF4102"/>
    <w:rsid w:val="00CF4180"/>
    <w:rsid w:val="00CF41A5"/>
    <w:rsid w:val="00CF4260"/>
    <w:rsid w:val="00CF42DC"/>
    <w:rsid w:val="00CF44E4"/>
    <w:rsid w:val="00CF450F"/>
    <w:rsid w:val="00CF461F"/>
    <w:rsid w:val="00CF469C"/>
    <w:rsid w:val="00CF46CD"/>
    <w:rsid w:val="00CF4B06"/>
    <w:rsid w:val="00CF4BB7"/>
    <w:rsid w:val="00CF4C04"/>
    <w:rsid w:val="00CF4ED2"/>
    <w:rsid w:val="00CF4EE5"/>
    <w:rsid w:val="00CF4F42"/>
    <w:rsid w:val="00CF500B"/>
    <w:rsid w:val="00CF537C"/>
    <w:rsid w:val="00CF542F"/>
    <w:rsid w:val="00CF5432"/>
    <w:rsid w:val="00CF546B"/>
    <w:rsid w:val="00CF5505"/>
    <w:rsid w:val="00CF5556"/>
    <w:rsid w:val="00CF555D"/>
    <w:rsid w:val="00CF57F5"/>
    <w:rsid w:val="00CF5A9E"/>
    <w:rsid w:val="00CF5ACF"/>
    <w:rsid w:val="00CF5CD0"/>
    <w:rsid w:val="00CF5D39"/>
    <w:rsid w:val="00CF5E85"/>
    <w:rsid w:val="00CF5F49"/>
    <w:rsid w:val="00CF615F"/>
    <w:rsid w:val="00CF6380"/>
    <w:rsid w:val="00CF6540"/>
    <w:rsid w:val="00CF655E"/>
    <w:rsid w:val="00CF657A"/>
    <w:rsid w:val="00CF65F3"/>
    <w:rsid w:val="00CF676E"/>
    <w:rsid w:val="00CF6785"/>
    <w:rsid w:val="00CF679C"/>
    <w:rsid w:val="00CF67E5"/>
    <w:rsid w:val="00CF67E6"/>
    <w:rsid w:val="00CF68DC"/>
    <w:rsid w:val="00CF71D8"/>
    <w:rsid w:val="00CF7200"/>
    <w:rsid w:val="00CF7203"/>
    <w:rsid w:val="00CF74C0"/>
    <w:rsid w:val="00CF74CF"/>
    <w:rsid w:val="00CF7AA6"/>
    <w:rsid w:val="00CF7C6C"/>
    <w:rsid w:val="00CF7D80"/>
    <w:rsid w:val="00CF7DD5"/>
    <w:rsid w:val="00CF7E78"/>
    <w:rsid w:val="00CF7E9C"/>
    <w:rsid w:val="00CF973E"/>
    <w:rsid w:val="00D0007A"/>
    <w:rsid w:val="00D000B8"/>
    <w:rsid w:val="00D00117"/>
    <w:rsid w:val="00D00405"/>
    <w:rsid w:val="00D00475"/>
    <w:rsid w:val="00D00511"/>
    <w:rsid w:val="00D006A6"/>
    <w:rsid w:val="00D006B1"/>
    <w:rsid w:val="00D007C2"/>
    <w:rsid w:val="00D0083B"/>
    <w:rsid w:val="00D00999"/>
    <w:rsid w:val="00D00A4F"/>
    <w:rsid w:val="00D00B0E"/>
    <w:rsid w:val="00D00BB3"/>
    <w:rsid w:val="00D00C4C"/>
    <w:rsid w:val="00D00D24"/>
    <w:rsid w:val="00D0148A"/>
    <w:rsid w:val="00D014D6"/>
    <w:rsid w:val="00D015EC"/>
    <w:rsid w:val="00D015FD"/>
    <w:rsid w:val="00D0161E"/>
    <w:rsid w:val="00D017D5"/>
    <w:rsid w:val="00D01A09"/>
    <w:rsid w:val="00D01ABE"/>
    <w:rsid w:val="00D01BDF"/>
    <w:rsid w:val="00D01BF8"/>
    <w:rsid w:val="00D01D4B"/>
    <w:rsid w:val="00D01DAB"/>
    <w:rsid w:val="00D01F4B"/>
    <w:rsid w:val="00D0203A"/>
    <w:rsid w:val="00D02046"/>
    <w:rsid w:val="00D020F4"/>
    <w:rsid w:val="00D02100"/>
    <w:rsid w:val="00D02111"/>
    <w:rsid w:val="00D02249"/>
    <w:rsid w:val="00D022A7"/>
    <w:rsid w:val="00D02398"/>
    <w:rsid w:val="00D023A3"/>
    <w:rsid w:val="00D023FE"/>
    <w:rsid w:val="00D0248E"/>
    <w:rsid w:val="00D025EF"/>
    <w:rsid w:val="00D02771"/>
    <w:rsid w:val="00D0279F"/>
    <w:rsid w:val="00D02828"/>
    <w:rsid w:val="00D028F3"/>
    <w:rsid w:val="00D02A34"/>
    <w:rsid w:val="00D02C6B"/>
    <w:rsid w:val="00D02D77"/>
    <w:rsid w:val="00D030B6"/>
    <w:rsid w:val="00D03106"/>
    <w:rsid w:val="00D03349"/>
    <w:rsid w:val="00D03556"/>
    <w:rsid w:val="00D03565"/>
    <w:rsid w:val="00D035E1"/>
    <w:rsid w:val="00D03665"/>
    <w:rsid w:val="00D03672"/>
    <w:rsid w:val="00D03798"/>
    <w:rsid w:val="00D03860"/>
    <w:rsid w:val="00D03B6D"/>
    <w:rsid w:val="00D03B79"/>
    <w:rsid w:val="00D03BAF"/>
    <w:rsid w:val="00D03BB0"/>
    <w:rsid w:val="00D03CC0"/>
    <w:rsid w:val="00D0400B"/>
    <w:rsid w:val="00D040C5"/>
    <w:rsid w:val="00D040CA"/>
    <w:rsid w:val="00D040E2"/>
    <w:rsid w:val="00D041AC"/>
    <w:rsid w:val="00D041B7"/>
    <w:rsid w:val="00D043A9"/>
    <w:rsid w:val="00D0445D"/>
    <w:rsid w:val="00D044EF"/>
    <w:rsid w:val="00D045A0"/>
    <w:rsid w:val="00D045B7"/>
    <w:rsid w:val="00D045C4"/>
    <w:rsid w:val="00D045F4"/>
    <w:rsid w:val="00D0462D"/>
    <w:rsid w:val="00D0496C"/>
    <w:rsid w:val="00D04EAD"/>
    <w:rsid w:val="00D04EDA"/>
    <w:rsid w:val="00D04F5A"/>
    <w:rsid w:val="00D0543B"/>
    <w:rsid w:val="00D057F6"/>
    <w:rsid w:val="00D05845"/>
    <w:rsid w:val="00D058A7"/>
    <w:rsid w:val="00D05983"/>
    <w:rsid w:val="00D059A7"/>
    <w:rsid w:val="00D05AA5"/>
    <w:rsid w:val="00D05B9B"/>
    <w:rsid w:val="00D05D05"/>
    <w:rsid w:val="00D05D52"/>
    <w:rsid w:val="00D05EB8"/>
    <w:rsid w:val="00D05F0B"/>
    <w:rsid w:val="00D05F79"/>
    <w:rsid w:val="00D0614D"/>
    <w:rsid w:val="00D0615F"/>
    <w:rsid w:val="00D06918"/>
    <w:rsid w:val="00D06941"/>
    <w:rsid w:val="00D069A3"/>
    <w:rsid w:val="00D06B2F"/>
    <w:rsid w:val="00D06C32"/>
    <w:rsid w:val="00D06D69"/>
    <w:rsid w:val="00D06F4B"/>
    <w:rsid w:val="00D06F71"/>
    <w:rsid w:val="00D07021"/>
    <w:rsid w:val="00D0713A"/>
    <w:rsid w:val="00D073A1"/>
    <w:rsid w:val="00D07473"/>
    <w:rsid w:val="00D07614"/>
    <w:rsid w:val="00D07630"/>
    <w:rsid w:val="00D076BA"/>
    <w:rsid w:val="00D07980"/>
    <w:rsid w:val="00D0798B"/>
    <w:rsid w:val="00D07AAE"/>
    <w:rsid w:val="00D07C44"/>
    <w:rsid w:val="00D07DA8"/>
    <w:rsid w:val="00D07F44"/>
    <w:rsid w:val="00D100AC"/>
    <w:rsid w:val="00D100D5"/>
    <w:rsid w:val="00D101DD"/>
    <w:rsid w:val="00D1068A"/>
    <w:rsid w:val="00D106AB"/>
    <w:rsid w:val="00D107E4"/>
    <w:rsid w:val="00D108CB"/>
    <w:rsid w:val="00D108F4"/>
    <w:rsid w:val="00D1093C"/>
    <w:rsid w:val="00D10CC6"/>
    <w:rsid w:val="00D10DAE"/>
    <w:rsid w:val="00D11102"/>
    <w:rsid w:val="00D1113A"/>
    <w:rsid w:val="00D11217"/>
    <w:rsid w:val="00D112AC"/>
    <w:rsid w:val="00D113C0"/>
    <w:rsid w:val="00D11514"/>
    <w:rsid w:val="00D11577"/>
    <w:rsid w:val="00D115F4"/>
    <w:rsid w:val="00D1178E"/>
    <w:rsid w:val="00D1182B"/>
    <w:rsid w:val="00D11B36"/>
    <w:rsid w:val="00D11B57"/>
    <w:rsid w:val="00D11CA8"/>
    <w:rsid w:val="00D11CE8"/>
    <w:rsid w:val="00D11EC3"/>
    <w:rsid w:val="00D11F2E"/>
    <w:rsid w:val="00D11FA1"/>
    <w:rsid w:val="00D121A7"/>
    <w:rsid w:val="00D121F0"/>
    <w:rsid w:val="00D123D1"/>
    <w:rsid w:val="00D123F7"/>
    <w:rsid w:val="00D125AD"/>
    <w:rsid w:val="00D126B6"/>
    <w:rsid w:val="00D126EB"/>
    <w:rsid w:val="00D126EE"/>
    <w:rsid w:val="00D12A38"/>
    <w:rsid w:val="00D12A89"/>
    <w:rsid w:val="00D12A9D"/>
    <w:rsid w:val="00D12C08"/>
    <w:rsid w:val="00D12D9B"/>
    <w:rsid w:val="00D12E12"/>
    <w:rsid w:val="00D12F3C"/>
    <w:rsid w:val="00D12F4E"/>
    <w:rsid w:val="00D12F9F"/>
    <w:rsid w:val="00D1303A"/>
    <w:rsid w:val="00D13629"/>
    <w:rsid w:val="00D1362F"/>
    <w:rsid w:val="00D13632"/>
    <w:rsid w:val="00D1364C"/>
    <w:rsid w:val="00D13781"/>
    <w:rsid w:val="00D13C94"/>
    <w:rsid w:val="00D13D06"/>
    <w:rsid w:val="00D13E41"/>
    <w:rsid w:val="00D140A7"/>
    <w:rsid w:val="00D140EE"/>
    <w:rsid w:val="00D14113"/>
    <w:rsid w:val="00D14211"/>
    <w:rsid w:val="00D14232"/>
    <w:rsid w:val="00D1445C"/>
    <w:rsid w:val="00D14476"/>
    <w:rsid w:val="00D144CF"/>
    <w:rsid w:val="00D14548"/>
    <w:rsid w:val="00D1454D"/>
    <w:rsid w:val="00D1472B"/>
    <w:rsid w:val="00D148B8"/>
    <w:rsid w:val="00D14A6E"/>
    <w:rsid w:val="00D14B0D"/>
    <w:rsid w:val="00D14BA6"/>
    <w:rsid w:val="00D14C51"/>
    <w:rsid w:val="00D14CF6"/>
    <w:rsid w:val="00D14D40"/>
    <w:rsid w:val="00D14E48"/>
    <w:rsid w:val="00D14F63"/>
    <w:rsid w:val="00D15083"/>
    <w:rsid w:val="00D15104"/>
    <w:rsid w:val="00D151FE"/>
    <w:rsid w:val="00D152CD"/>
    <w:rsid w:val="00D1537A"/>
    <w:rsid w:val="00D15481"/>
    <w:rsid w:val="00D156A3"/>
    <w:rsid w:val="00D1578C"/>
    <w:rsid w:val="00D157AF"/>
    <w:rsid w:val="00D157DF"/>
    <w:rsid w:val="00D158C3"/>
    <w:rsid w:val="00D15908"/>
    <w:rsid w:val="00D15A96"/>
    <w:rsid w:val="00D15AF4"/>
    <w:rsid w:val="00D15B58"/>
    <w:rsid w:val="00D15C60"/>
    <w:rsid w:val="00D15CFB"/>
    <w:rsid w:val="00D15F80"/>
    <w:rsid w:val="00D163B6"/>
    <w:rsid w:val="00D164D8"/>
    <w:rsid w:val="00D16586"/>
    <w:rsid w:val="00D165EB"/>
    <w:rsid w:val="00D1661C"/>
    <w:rsid w:val="00D16851"/>
    <w:rsid w:val="00D16B06"/>
    <w:rsid w:val="00D16B0E"/>
    <w:rsid w:val="00D16D27"/>
    <w:rsid w:val="00D16E6F"/>
    <w:rsid w:val="00D1711A"/>
    <w:rsid w:val="00D172C7"/>
    <w:rsid w:val="00D1732D"/>
    <w:rsid w:val="00D1757B"/>
    <w:rsid w:val="00D17966"/>
    <w:rsid w:val="00D17A84"/>
    <w:rsid w:val="00D17AC0"/>
    <w:rsid w:val="00D17D87"/>
    <w:rsid w:val="00D17DC6"/>
    <w:rsid w:val="00D17F64"/>
    <w:rsid w:val="00D17F9A"/>
    <w:rsid w:val="00D20319"/>
    <w:rsid w:val="00D2046D"/>
    <w:rsid w:val="00D207A6"/>
    <w:rsid w:val="00D20C53"/>
    <w:rsid w:val="00D20D54"/>
    <w:rsid w:val="00D20DFF"/>
    <w:rsid w:val="00D20EB4"/>
    <w:rsid w:val="00D20F12"/>
    <w:rsid w:val="00D2109B"/>
    <w:rsid w:val="00D210DE"/>
    <w:rsid w:val="00D212E7"/>
    <w:rsid w:val="00D21365"/>
    <w:rsid w:val="00D213B2"/>
    <w:rsid w:val="00D213E9"/>
    <w:rsid w:val="00D2152C"/>
    <w:rsid w:val="00D216A5"/>
    <w:rsid w:val="00D216AA"/>
    <w:rsid w:val="00D2176C"/>
    <w:rsid w:val="00D2177B"/>
    <w:rsid w:val="00D2192A"/>
    <w:rsid w:val="00D21D8D"/>
    <w:rsid w:val="00D21FDA"/>
    <w:rsid w:val="00D220EA"/>
    <w:rsid w:val="00D222B5"/>
    <w:rsid w:val="00D22543"/>
    <w:rsid w:val="00D226F0"/>
    <w:rsid w:val="00D22701"/>
    <w:rsid w:val="00D228FE"/>
    <w:rsid w:val="00D22B68"/>
    <w:rsid w:val="00D22BAA"/>
    <w:rsid w:val="00D22DE9"/>
    <w:rsid w:val="00D22EEE"/>
    <w:rsid w:val="00D22F3A"/>
    <w:rsid w:val="00D22FF9"/>
    <w:rsid w:val="00D23062"/>
    <w:rsid w:val="00D23288"/>
    <w:rsid w:val="00D232F5"/>
    <w:rsid w:val="00D23333"/>
    <w:rsid w:val="00D235D8"/>
    <w:rsid w:val="00D23694"/>
    <w:rsid w:val="00D2372B"/>
    <w:rsid w:val="00D237D8"/>
    <w:rsid w:val="00D2390E"/>
    <w:rsid w:val="00D239B3"/>
    <w:rsid w:val="00D239DA"/>
    <w:rsid w:val="00D23D67"/>
    <w:rsid w:val="00D23DF9"/>
    <w:rsid w:val="00D23FFB"/>
    <w:rsid w:val="00D2404A"/>
    <w:rsid w:val="00D240AB"/>
    <w:rsid w:val="00D24116"/>
    <w:rsid w:val="00D24237"/>
    <w:rsid w:val="00D2425A"/>
    <w:rsid w:val="00D24353"/>
    <w:rsid w:val="00D2473F"/>
    <w:rsid w:val="00D24BDE"/>
    <w:rsid w:val="00D24CE7"/>
    <w:rsid w:val="00D24D08"/>
    <w:rsid w:val="00D2502B"/>
    <w:rsid w:val="00D2510E"/>
    <w:rsid w:val="00D25200"/>
    <w:rsid w:val="00D25445"/>
    <w:rsid w:val="00D25520"/>
    <w:rsid w:val="00D2552F"/>
    <w:rsid w:val="00D25551"/>
    <w:rsid w:val="00D2578F"/>
    <w:rsid w:val="00D25BB1"/>
    <w:rsid w:val="00D25BC9"/>
    <w:rsid w:val="00D25C85"/>
    <w:rsid w:val="00D25D12"/>
    <w:rsid w:val="00D25D80"/>
    <w:rsid w:val="00D25D88"/>
    <w:rsid w:val="00D26022"/>
    <w:rsid w:val="00D26088"/>
    <w:rsid w:val="00D26163"/>
    <w:rsid w:val="00D26229"/>
    <w:rsid w:val="00D2636D"/>
    <w:rsid w:val="00D26383"/>
    <w:rsid w:val="00D26448"/>
    <w:rsid w:val="00D2656A"/>
    <w:rsid w:val="00D26665"/>
    <w:rsid w:val="00D26A52"/>
    <w:rsid w:val="00D26A9D"/>
    <w:rsid w:val="00D26B2C"/>
    <w:rsid w:val="00D26D98"/>
    <w:rsid w:val="00D26E12"/>
    <w:rsid w:val="00D26F9D"/>
    <w:rsid w:val="00D270FF"/>
    <w:rsid w:val="00D27325"/>
    <w:rsid w:val="00D2741D"/>
    <w:rsid w:val="00D274C0"/>
    <w:rsid w:val="00D27711"/>
    <w:rsid w:val="00D278A9"/>
    <w:rsid w:val="00D279AA"/>
    <w:rsid w:val="00D279DB"/>
    <w:rsid w:val="00D27B60"/>
    <w:rsid w:val="00D27E4B"/>
    <w:rsid w:val="00D27F88"/>
    <w:rsid w:val="00D27FE3"/>
    <w:rsid w:val="00D30255"/>
    <w:rsid w:val="00D3025C"/>
    <w:rsid w:val="00D303BC"/>
    <w:rsid w:val="00D30459"/>
    <w:rsid w:val="00D30471"/>
    <w:rsid w:val="00D30505"/>
    <w:rsid w:val="00D307C8"/>
    <w:rsid w:val="00D3084C"/>
    <w:rsid w:val="00D30D08"/>
    <w:rsid w:val="00D30D76"/>
    <w:rsid w:val="00D30DB3"/>
    <w:rsid w:val="00D30F73"/>
    <w:rsid w:val="00D30FF1"/>
    <w:rsid w:val="00D30FF3"/>
    <w:rsid w:val="00D30FFF"/>
    <w:rsid w:val="00D311E4"/>
    <w:rsid w:val="00D3129D"/>
    <w:rsid w:val="00D313EE"/>
    <w:rsid w:val="00D313F8"/>
    <w:rsid w:val="00D31701"/>
    <w:rsid w:val="00D31746"/>
    <w:rsid w:val="00D31808"/>
    <w:rsid w:val="00D31A59"/>
    <w:rsid w:val="00D31A9B"/>
    <w:rsid w:val="00D31BCE"/>
    <w:rsid w:val="00D31DB1"/>
    <w:rsid w:val="00D31DD2"/>
    <w:rsid w:val="00D31EB0"/>
    <w:rsid w:val="00D31F07"/>
    <w:rsid w:val="00D31F13"/>
    <w:rsid w:val="00D32057"/>
    <w:rsid w:val="00D32138"/>
    <w:rsid w:val="00D32188"/>
    <w:rsid w:val="00D32622"/>
    <w:rsid w:val="00D32822"/>
    <w:rsid w:val="00D3283A"/>
    <w:rsid w:val="00D328B3"/>
    <w:rsid w:val="00D3296E"/>
    <w:rsid w:val="00D32AED"/>
    <w:rsid w:val="00D32C25"/>
    <w:rsid w:val="00D32DBA"/>
    <w:rsid w:val="00D32FE0"/>
    <w:rsid w:val="00D3308A"/>
    <w:rsid w:val="00D33210"/>
    <w:rsid w:val="00D3338D"/>
    <w:rsid w:val="00D33450"/>
    <w:rsid w:val="00D33528"/>
    <w:rsid w:val="00D33550"/>
    <w:rsid w:val="00D33561"/>
    <w:rsid w:val="00D33596"/>
    <w:rsid w:val="00D33630"/>
    <w:rsid w:val="00D3363E"/>
    <w:rsid w:val="00D33762"/>
    <w:rsid w:val="00D3385B"/>
    <w:rsid w:val="00D3387B"/>
    <w:rsid w:val="00D33962"/>
    <w:rsid w:val="00D33AD6"/>
    <w:rsid w:val="00D33AD7"/>
    <w:rsid w:val="00D33B8C"/>
    <w:rsid w:val="00D33CD8"/>
    <w:rsid w:val="00D33DC3"/>
    <w:rsid w:val="00D33DDA"/>
    <w:rsid w:val="00D33E72"/>
    <w:rsid w:val="00D33FE2"/>
    <w:rsid w:val="00D3400B"/>
    <w:rsid w:val="00D34038"/>
    <w:rsid w:val="00D342F2"/>
    <w:rsid w:val="00D34453"/>
    <w:rsid w:val="00D344ED"/>
    <w:rsid w:val="00D34553"/>
    <w:rsid w:val="00D349E1"/>
    <w:rsid w:val="00D34C40"/>
    <w:rsid w:val="00D34CFE"/>
    <w:rsid w:val="00D34D7B"/>
    <w:rsid w:val="00D34DA7"/>
    <w:rsid w:val="00D34F8C"/>
    <w:rsid w:val="00D3524A"/>
    <w:rsid w:val="00D352D7"/>
    <w:rsid w:val="00D3544E"/>
    <w:rsid w:val="00D355DD"/>
    <w:rsid w:val="00D355ED"/>
    <w:rsid w:val="00D356BE"/>
    <w:rsid w:val="00D356DC"/>
    <w:rsid w:val="00D35814"/>
    <w:rsid w:val="00D3581B"/>
    <w:rsid w:val="00D35977"/>
    <w:rsid w:val="00D359FE"/>
    <w:rsid w:val="00D35AC7"/>
    <w:rsid w:val="00D35D1A"/>
    <w:rsid w:val="00D35DD4"/>
    <w:rsid w:val="00D35F2C"/>
    <w:rsid w:val="00D35F5C"/>
    <w:rsid w:val="00D36028"/>
    <w:rsid w:val="00D36130"/>
    <w:rsid w:val="00D361BF"/>
    <w:rsid w:val="00D361DB"/>
    <w:rsid w:val="00D362B4"/>
    <w:rsid w:val="00D366A1"/>
    <w:rsid w:val="00D368C3"/>
    <w:rsid w:val="00D368C9"/>
    <w:rsid w:val="00D36910"/>
    <w:rsid w:val="00D36AD8"/>
    <w:rsid w:val="00D36C48"/>
    <w:rsid w:val="00D36CBD"/>
    <w:rsid w:val="00D36CE8"/>
    <w:rsid w:val="00D36D16"/>
    <w:rsid w:val="00D3705B"/>
    <w:rsid w:val="00D3705C"/>
    <w:rsid w:val="00D371B3"/>
    <w:rsid w:val="00D373CF"/>
    <w:rsid w:val="00D37531"/>
    <w:rsid w:val="00D37586"/>
    <w:rsid w:val="00D37689"/>
    <w:rsid w:val="00D377AD"/>
    <w:rsid w:val="00D37880"/>
    <w:rsid w:val="00D37897"/>
    <w:rsid w:val="00D37EA6"/>
    <w:rsid w:val="00D37EEA"/>
    <w:rsid w:val="00D37FD3"/>
    <w:rsid w:val="00D4029D"/>
    <w:rsid w:val="00D405F0"/>
    <w:rsid w:val="00D406E7"/>
    <w:rsid w:val="00D40706"/>
    <w:rsid w:val="00D407BB"/>
    <w:rsid w:val="00D40809"/>
    <w:rsid w:val="00D4084A"/>
    <w:rsid w:val="00D40994"/>
    <w:rsid w:val="00D40A73"/>
    <w:rsid w:val="00D40C41"/>
    <w:rsid w:val="00D40C57"/>
    <w:rsid w:val="00D40D38"/>
    <w:rsid w:val="00D40E70"/>
    <w:rsid w:val="00D4108B"/>
    <w:rsid w:val="00D410F6"/>
    <w:rsid w:val="00D41193"/>
    <w:rsid w:val="00D41241"/>
    <w:rsid w:val="00D41362"/>
    <w:rsid w:val="00D41374"/>
    <w:rsid w:val="00D41401"/>
    <w:rsid w:val="00D415AF"/>
    <w:rsid w:val="00D416AA"/>
    <w:rsid w:val="00D419CB"/>
    <w:rsid w:val="00D41ADD"/>
    <w:rsid w:val="00D41B90"/>
    <w:rsid w:val="00D41BFF"/>
    <w:rsid w:val="00D41D42"/>
    <w:rsid w:val="00D41ED9"/>
    <w:rsid w:val="00D41EF6"/>
    <w:rsid w:val="00D420E0"/>
    <w:rsid w:val="00D4219A"/>
    <w:rsid w:val="00D421C5"/>
    <w:rsid w:val="00D42231"/>
    <w:rsid w:val="00D42237"/>
    <w:rsid w:val="00D42591"/>
    <w:rsid w:val="00D426B6"/>
    <w:rsid w:val="00D4278F"/>
    <w:rsid w:val="00D428E7"/>
    <w:rsid w:val="00D42A90"/>
    <w:rsid w:val="00D42DA6"/>
    <w:rsid w:val="00D42EA7"/>
    <w:rsid w:val="00D4324D"/>
    <w:rsid w:val="00D43317"/>
    <w:rsid w:val="00D433C9"/>
    <w:rsid w:val="00D4351D"/>
    <w:rsid w:val="00D43606"/>
    <w:rsid w:val="00D4376B"/>
    <w:rsid w:val="00D43790"/>
    <w:rsid w:val="00D43A9D"/>
    <w:rsid w:val="00D43B40"/>
    <w:rsid w:val="00D43B56"/>
    <w:rsid w:val="00D43E72"/>
    <w:rsid w:val="00D43EB2"/>
    <w:rsid w:val="00D43F09"/>
    <w:rsid w:val="00D440C6"/>
    <w:rsid w:val="00D4415F"/>
    <w:rsid w:val="00D44213"/>
    <w:rsid w:val="00D4465A"/>
    <w:rsid w:val="00D44768"/>
    <w:rsid w:val="00D447AC"/>
    <w:rsid w:val="00D44892"/>
    <w:rsid w:val="00D44940"/>
    <w:rsid w:val="00D449AA"/>
    <w:rsid w:val="00D449FF"/>
    <w:rsid w:val="00D44C36"/>
    <w:rsid w:val="00D44C6F"/>
    <w:rsid w:val="00D44DC5"/>
    <w:rsid w:val="00D44F63"/>
    <w:rsid w:val="00D4501A"/>
    <w:rsid w:val="00D451AC"/>
    <w:rsid w:val="00D45430"/>
    <w:rsid w:val="00D4559F"/>
    <w:rsid w:val="00D4564D"/>
    <w:rsid w:val="00D457C6"/>
    <w:rsid w:val="00D45BE8"/>
    <w:rsid w:val="00D45CC8"/>
    <w:rsid w:val="00D45CF4"/>
    <w:rsid w:val="00D45F57"/>
    <w:rsid w:val="00D45F7E"/>
    <w:rsid w:val="00D46164"/>
    <w:rsid w:val="00D461DA"/>
    <w:rsid w:val="00D4625D"/>
    <w:rsid w:val="00D46262"/>
    <w:rsid w:val="00D4628B"/>
    <w:rsid w:val="00D463A8"/>
    <w:rsid w:val="00D465AA"/>
    <w:rsid w:val="00D46611"/>
    <w:rsid w:val="00D467F8"/>
    <w:rsid w:val="00D468FB"/>
    <w:rsid w:val="00D46A21"/>
    <w:rsid w:val="00D46C7C"/>
    <w:rsid w:val="00D46CB3"/>
    <w:rsid w:val="00D46D70"/>
    <w:rsid w:val="00D46E1C"/>
    <w:rsid w:val="00D46EB4"/>
    <w:rsid w:val="00D46FEB"/>
    <w:rsid w:val="00D47121"/>
    <w:rsid w:val="00D47331"/>
    <w:rsid w:val="00D47399"/>
    <w:rsid w:val="00D475B6"/>
    <w:rsid w:val="00D47620"/>
    <w:rsid w:val="00D47861"/>
    <w:rsid w:val="00D478C7"/>
    <w:rsid w:val="00D47C69"/>
    <w:rsid w:val="00D47D89"/>
    <w:rsid w:val="00D47DDD"/>
    <w:rsid w:val="00D50025"/>
    <w:rsid w:val="00D50046"/>
    <w:rsid w:val="00D50100"/>
    <w:rsid w:val="00D50210"/>
    <w:rsid w:val="00D50219"/>
    <w:rsid w:val="00D502F2"/>
    <w:rsid w:val="00D5049C"/>
    <w:rsid w:val="00D505FF"/>
    <w:rsid w:val="00D50679"/>
    <w:rsid w:val="00D5069F"/>
    <w:rsid w:val="00D50807"/>
    <w:rsid w:val="00D5083E"/>
    <w:rsid w:val="00D50A24"/>
    <w:rsid w:val="00D50ABB"/>
    <w:rsid w:val="00D50AD3"/>
    <w:rsid w:val="00D50BA6"/>
    <w:rsid w:val="00D50BBE"/>
    <w:rsid w:val="00D50CC7"/>
    <w:rsid w:val="00D50D2F"/>
    <w:rsid w:val="00D50E13"/>
    <w:rsid w:val="00D50EF3"/>
    <w:rsid w:val="00D5101B"/>
    <w:rsid w:val="00D5102D"/>
    <w:rsid w:val="00D510E9"/>
    <w:rsid w:val="00D5147E"/>
    <w:rsid w:val="00D51704"/>
    <w:rsid w:val="00D5186B"/>
    <w:rsid w:val="00D5196B"/>
    <w:rsid w:val="00D51A99"/>
    <w:rsid w:val="00D51AB1"/>
    <w:rsid w:val="00D51C44"/>
    <w:rsid w:val="00D51C8B"/>
    <w:rsid w:val="00D51C99"/>
    <w:rsid w:val="00D5210E"/>
    <w:rsid w:val="00D5219B"/>
    <w:rsid w:val="00D524B2"/>
    <w:rsid w:val="00D524CC"/>
    <w:rsid w:val="00D52538"/>
    <w:rsid w:val="00D52914"/>
    <w:rsid w:val="00D52B51"/>
    <w:rsid w:val="00D52C85"/>
    <w:rsid w:val="00D53081"/>
    <w:rsid w:val="00D53190"/>
    <w:rsid w:val="00D531A1"/>
    <w:rsid w:val="00D53275"/>
    <w:rsid w:val="00D5334A"/>
    <w:rsid w:val="00D533B7"/>
    <w:rsid w:val="00D5365D"/>
    <w:rsid w:val="00D536E5"/>
    <w:rsid w:val="00D53E9B"/>
    <w:rsid w:val="00D5417C"/>
    <w:rsid w:val="00D5428B"/>
    <w:rsid w:val="00D5432C"/>
    <w:rsid w:val="00D54571"/>
    <w:rsid w:val="00D545A9"/>
    <w:rsid w:val="00D546B3"/>
    <w:rsid w:val="00D546F6"/>
    <w:rsid w:val="00D54889"/>
    <w:rsid w:val="00D54D38"/>
    <w:rsid w:val="00D54E91"/>
    <w:rsid w:val="00D54EE9"/>
    <w:rsid w:val="00D54F25"/>
    <w:rsid w:val="00D54F28"/>
    <w:rsid w:val="00D55114"/>
    <w:rsid w:val="00D5513A"/>
    <w:rsid w:val="00D55267"/>
    <w:rsid w:val="00D55A22"/>
    <w:rsid w:val="00D55C45"/>
    <w:rsid w:val="00D55DBF"/>
    <w:rsid w:val="00D55E6F"/>
    <w:rsid w:val="00D55E83"/>
    <w:rsid w:val="00D55E89"/>
    <w:rsid w:val="00D560FF"/>
    <w:rsid w:val="00D563C9"/>
    <w:rsid w:val="00D563F0"/>
    <w:rsid w:val="00D56405"/>
    <w:rsid w:val="00D56585"/>
    <w:rsid w:val="00D5661B"/>
    <w:rsid w:val="00D568E7"/>
    <w:rsid w:val="00D56A4A"/>
    <w:rsid w:val="00D56ADC"/>
    <w:rsid w:val="00D56BEB"/>
    <w:rsid w:val="00D56BEF"/>
    <w:rsid w:val="00D5719C"/>
    <w:rsid w:val="00D57211"/>
    <w:rsid w:val="00D577B9"/>
    <w:rsid w:val="00D57926"/>
    <w:rsid w:val="00D57A18"/>
    <w:rsid w:val="00D57C6A"/>
    <w:rsid w:val="00D57D17"/>
    <w:rsid w:val="00D57FD6"/>
    <w:rsid w:val="00D5FB56"/>
    <w:rsid w:val="00D601C3"/>
    <w:rsid w:val="00D601F8"/>
    <w:rsid w:val="00D60232"/>
    <w:rsid w:val="00D60251"/>
    <w:rsid w:val="00D604CC"/>
    <w:rsid w:val="00D6057D"/>
    <w:rsid w:val="00D6073B"/>
    <w:rsid w:val="00D60789"/>
    <w:rsid w:val="00D6080A"/>
    <w:rsid w:val="00D6087E"/>
    <w:rsid w:val="00D608C9"/>
    <w:rsid w:val="00D60A19"/>
    <w:rsid w:val="00D60AA6"/>
    <w:rsid w:val="00D60C38"/>
    <w:rsid w:val="00D60CD1"/>
    <w:rsid w:val="00D60EDF"/>
    <w:rsid w:val="00D60FBB"/>
    <w:rsid w:val="00D610DE"/>
    <w:rsid w:val="00D613E0"/>
    <w:rsid w:val="00D6166C"/>
    <w:rsid w:val="00D617E8"/>
    <w:rsid w:val="00D61800"/>
    <w:rsid w:val="00D61867"/>
    <w:rsid w:val="00D61894"/>
    <w:rsid w:val="00D61B80"/>
    <w:rsid w:val="00D61CBC"/>
    <w:rsid w:val="00D61DCE"/>
    <w:rsid w:val="00D61DD9"/>
    <w:rsid w:val="00D61F37"/>
    <w:rsid w:val="00D622FD"/>
    <w:rsid w:val="00D62337"/>
    <w:rsid w:val="00D62438"/>
    <w:rsid w:val="00D627C8"/>
    <w:rsid w:val="00D6297A"/>
    <w:rsid w:val="00D62BFC"/>
    <w:rsid w:val="00D62D5C"/>
    <w:rsid w:val="00D62D62"/>
    <w:rsid w:val="00D63029"/>
    <w:rsid w:val="00D632DB"/>
    <w:rsid w:val="00D634FA"/>
    <w:rsid w:val="00D63595"/>
    <w:rsid w:val="00D63724"/>
    <w:rsid w:val="00D6374A"/>
    <w:rsid w:val="00D638C1"/>
    <w:rsid w:val="00D638FC"/>
    <w:rsid w:val="00D6392E"/>
    <w:rsid w:val="00D63D0C"/>
    <w:rsid w:val="00D63DD8"/>
    <w:rsid w:val="00D63E90"/>
    <w:rsid w:val="00D6451C"/>
    <w:rsid w:val="00D646A6"/>
    <w:rsid w:val="00D646C4"/>
    <w:rsid w:val="00D64868"/>
    <w:rsid w:val="00D649C2"/>
    <w:rsid w:val="00D64E83"/>
    <w:rsid w:val="00D650A1"/>
    <w:rsid w:val="00D656CB"/>
    <w:rsid w:val="00D657F2"/>
    <w:rsid w:val="00D65854"/>
    <w:rsid w:val="00D65954"/>
    <w:rsid w:val="00D6599C"/>
    <w:rsid w:val="00D659EB"/>
    <w:rsid w:val="00D65BF7"/>
    <w:rsid w:val="00D65C93"/>
    <w:rsid w:val="00D65CF7"/>
    <w:rsid w:val="00D65D66"/>
    <w:rsid w:val="00D661B7"/>
    <w:rsid w:val="00D66209"/>
    <w:rsid w:val="00D662F6"/>
    <w:rsid w:val="00D664B6"/>
    <w:rsid w:val="00D666BB"/>
    <w:rsid w:val="00D6674B"/>
    <w:rsid w:val="00D66850"/>
    <w:rsid w:val="00D66859"/>
    <w:rsid w:val="00D66877"/>
    <w:rsid w:val="00D669DD"/>
    <w:rsid w:val="00D66AD2"/>
    <w:rsid w:val="00D66AE2"/>
    <w:rsid w:val="00D66C16"/>
    <w:rsid w:val="00D66FB9"/>
    <w:rsid w:val="00D67021"/>
    <w:rsid w:val="00D6703C"/>
    <w:rsid w:val="00D6714B"/>
    <w:rsid w:val="00D67589"/>
    <w:rsid w:val="00D675CE"/>
    <w:rsid w:val="00D67614"/>
    <w:rsid w:val="00D679E4"/>
    <w:rsid w:val="00D67BDF"/>
    <w:rsid w:val="00D67DC0"/>
    <w:rsid w:val="00D67F12"/>
    <w:rsid w:val="00D701F2"/>
    <w:rsid w:val="00D703B5"/>
    <w:rsid w:val="00D70409"/>
    <w:rsid w:val="00D70412"/>
    <w:rsid w:val="00D7044A"/>
    <w:rsid w:val="00D707FE"/>
    <w:rsid w:val="00D708B5"/>
    <w:rsid w:val="00D708B6"/>
    <w:rsid w:val="00D70D44"/>
    <w:rsid w:val="00D70EE5"/>
    <w:rsid w:val="00D710F8"/>
    <w:rsid w:val="00D7122B"/>
    <w:rsid w:val="00D7143F"/>
    <w:rsid w:val="00D7158A"/>
    <w:rsid w:val="00D71602"/>
    <w:rsid w:val="00D71708"/>
    <w:rsid w:val="00D71931"/>
    <w:rsid w:val="00D71994"/>
    <w:rsid w:val="00D719ED"/>
    <w:rsid w:val="00D71A46"/>
    <w:rsid w:val="00D71A7B"/>
    <w:rsid w:val="00D71BCB"/>
    <w:rsid w:val="00D71CCC"/>
    <w:rsid w:val="00D71DE7"/>
    <w:rsid w:val="00D71E53"/>
    <w:rsid w:val="00D71EE2"/>
    <w:rsid w:val="00D72009"/>
    <w:rsid w:val="00D721DF"/>
    <w:rsid w:val="00D722B3"/>
    <w:rsid w:val="00D72346"/>
    <w:rsid w:val="00D723E4"/>
    <w:rsid w:val="00D7280E"/>
    <w:rsid w:val="00D72C2D"/>
    <w:rsid w:val="00D72E18"/>
    <w:rsid w:val="00D72ECD"/>
    <w:rsid w:val="00D72FE8"/>
    <w:rsid w:val="00D73086"/>
    <w:rsid w:val="00D73642"/>
    <w:rsid w:val="00D73671"/>
    <w:rsid w:val="00D73A43"/>
    <w:rsid w:val="00D73D36"/>
    <w:rsid w:val="00D73DAB"/>
    <w:rsid w:val="00D73EB5"/>
    <w:rsid w:val="00D743F7"/>
    <w:rsid w:val="00D74685"/>
    <w:rsid w:val="00D747AA"/>
    <w:rsid w:val="00D748AF"/>
    <w:rsid w:val="00D74D8E"/>
    <w:rsid w:val="00D75029"/>
    <w:rsid w:val="00D75129"/>
    <w:rsid w:val="00D75194"/>
    <w:rsid w:val="00D75376"/>
    <w:rsid w:val="00D75999"/>
    <w:rsid w:val="00D759CC"/>
    <w:rsid w:val="00D759F0"/>
    <w:rsid w:val="00D75B3A"/>
    <w:rsid w:val="00D75CAA"/>
    <w:rsid w:val="00D75DAC"/>
    <w:rsid w:val="00D75EC6"/>
    <w:rsid w:val="00D75F4C"/>
    <w:rsid w:val="00D76015"/>
    <w:rsid w:val="00D760A3"/>
    <w:rsid w:val="00D760DD"/>
    <w:rsid w:val="00D76114"/>
    <w:rsid w:val="00D7618E"/>
    <w:rsid w:val="00D76364"/>
    <w:rsid w:val="00D763DE"/>
    <w:rsid w:val="00D766C9"/>
    <w:rsid w:val="00D76745"/>
    <w:rsid w:val="00D76A04"/>
    <w:rsid w:val="00D76AAD"/>
    <w:rsid w:val="00D76B05"/>
    <w:rsid w:val="00D76DF1"/>
    <w:rsid w:val="00D77071"/>
    <w:rsid w:val="00D77130"/>
    <w:rsid w:val="00D77139"/>
    <w:rsid w:val="00D77172"/>
    <w:rsid w:val="00D771CD"/>
    <w:rsid w:val="00D773C7"/>
    <w:rsid w:val="00D775B1"/>
    <w:rsid w:val="00D777F2"/>
    <w:rsid w:val="00D77811"/>
    <w:rsid w:val="00D779CF"/>
    <w:rsid w:val="00D77B2B"/>
    <w:rsid w:val="00D77DA1"/>
    <w:rsid w:val="00D77E06"/>
    <w:rsid w:val="00D77E6F"/>
    <w:rsid w:val="00D77EB2"/>
    <w:rsid w:val="00D77EF9"/>
    <w:rsid w:val="00D77F85"/>
    <w:rsid w:val="00D80117"/>
    <w:rsid w:val="00D801C5"/>
    <w:rsid w:val="00D802CC"/>
    <w:rsid w:val="00D802F4"/>
    <w:rsid w:val="00D8035F"/>
    <w:rsid w:val="00D80497"/>
    <w:rsid w:val="00D80B10"/>
    <w:rsid w:val="00D80C63"/>
    <w:rsid w:val="00D80FF7"/>
    <w:rsid w:val="00D811EF"/>
    <w:rsid w:val="00D8136D"/>
    <w:rsid w:val="00D815A8"/>
    <w:rsid w:val="00D81613"/>
    <w:rsid w:val="00D817AB"/>
    <w:rsid w:val="00D81843"/>
    <w:rsid w:val="00D81863"/>
    <w:rsid w:val="00D81982"/>
    <w:rsid w:val="00D8199D"/>
    <w:rsid w:val="00D819E3"/>
    <w:rsid w:val="00D81A45"/>
    <w:rsid w:val="00D81B7A"/>
    <w:rsid w:val="00D81EFA"/>
    <w:rsid w:val="00D82228"/>
    <w:rsid w:val="00D823C5"/>
    <w:rsid w:val="00D82795"/>
    <w:rsid w:val="00D8282F"/>
    <w:rsid w:val="00D828D4"/>
    <w:rsid w:val="00D82BFB"/>
    <w:rsid w:val="00D82C96"/>
    <w:rsid w:val="00D82D3E"/>
    <w:rsid w:val="00D82D74"/>
    <w:rsid w:val="00D82F78"/>
    <w:rsid w:val="00D82FC1"/>
    <w:rsid w:val="00D8315A"/>
    <w:rsid w:val="00D835D3"/>
    <w:rsid w:val="00D83763"/>
    <w:rsid w:val="00D837CC"/>
    <w:rsid w:val="00D838D1"/>
    <w:rsid w:val="00D8396D"/>
    <w:rsid w:val="00D83990"/>
    <w:rsid w:val="00D83998"/>
    <w:rsid w:val="00D839BF"/>
    <w:rsid w:val="00D839C4"/>
    <w:rsid w:val="00D83A0D"/>
    <w:rsid w:val="00D83BDC"/>
    <w:rsid w:val="00D83E22"/>
    <w:rsid w:val="00D83E67"/>
    <w:rsid w:val="00D8400C"/>
    <w:rsid w:val="00D840D8"/>
    <w:rsid w:val="00D8419B"/>
    <w:rsid w:val="00D844BF"/>
    <w:rsid w:val="00D8453B"/>
    <w:rsid w:val="00D847FB"/>
    <w:rsid w:val="00D848DE"/>
    <w:rsid w:val="00D8491A"/>
    <w:rsid w:val="00D84B14"/>
    <w:rsid w:val="00D84D38"/>
    <w:rsid w:val="00D851E9"/>
    <w:rsid w:val="00D8527F"/>
    <w:rsid w:val="00D85406"/>
    <w:rsid w:val="00D8574D"/>
    <w:rsid w:val="00D8582D"/>
    <w:rsid w:val="00D85904"/>
    <w:rsid w:val="00D85932"/>
    <w:rsid w:val="00D859E6"/>
    <w:rsid w:val="00D85A0B"/>
    <w:rsid w:val="00D85A99"/>
    <w:rsid w:val="00D85B83"/>
    <w:rsid w:val="00D85C97"/>
    <w:rsid w:val="00D86006"/>
    <w:rsid w:val="00D86028"/>
    <w:rsid w:val="00D86096"/>
    <w:rsid w:val="00D861F0"/>
    <w:rsid w:val="00D8624A"/>
    <w:rsid w:val="00D8634C"/>
    <w:rsid w:val="00D8666F"/>
    <w:rsid w:val="00D867C4"/>
    <w:rsid w:val="00D86BEC"/>
    <w:rsid w:val="00D86D7C"/>
    <w:rsid w:val="00D87002"/>
    <w:rsid w:val="00D871B1"/>
    <w:rsid w:val="00D87206"/>
    <w:rsid w:val="00D87347"/>
    <w:rsid w:val="00D873CD"/>
    <w:rsid w:val="00D87579"/>
    <w:rsid w:val="00D8762E"/>
    <w:rsid w:val="00D87889"/>
    <w:rsid w:val="00D87AFA"/>
    <w:rsid w:val="00D87B48"/>
    <w:rsid w:val="00D87D2C"/>
    <w:rsid w:val="00D87E86"/>
    <w:rsid w:val="00D87F4E"/>
    <w:rsid w:val="00D87F72"/>
    <w:rsid w:val="00D87F9C"/>
    <w:rsid w:val="00D90167"/>
    <w:rsid w:val="00D901B2"/>
    <w:rsid w:val="00D901BC"/>
    <w:rsid w:val="00D90389"/>
    <w:rsid w:val="00D905CE"/>
    <w:rsid w:val="00D90A72"/>
    <w:rsid w:val="00D90A79"/>
    <w:rsid w:val="00D90B09"/>
    <w:rsid w:val="00D90EC3"/>
    <w:rsid w:val="00D90ECD"/>
    <w:rsid w:val="00D90FC8"/>
    <w:rsid w:val="00D91153"/>
    <w:rsid w:val="00D9116B"/>
    <w:rsid w:val="00D911BF"/>
    <w:rsid w:val="00D911C8"/>
    <w:rsid w:val="00D912D3"/>
    <w:rsid w:val="00D91367"/>
    <w:rsid w:val="00D91493"/>
    <w:rsid w:val="00D91513"/>
    <w:rsid w:val="00D91581"/>
    <w:rsid w:val="00D916F3"/>
    <w:rsid w:val="00D91910"/>
    <w:rsid w:val="00D919FF"/>
    <w:rsid w:val="00D91A82"/>
    <w:rsid w:val="00D91B1C"/>
    <w:rsid w:val="00D91C0F"/>
    <w:rsid w:val="00D91F45"/>
    <w:rsid w:val="00D922E1"/>
    <w:rsid w:val="00D92319"/>
    <w:rsid w:val="00D923AF"/>
    <w:rsid w:val="00D9248C"/>
    <w:rsid w:val="00D924E5"/>
    <w:rsid w:val="00D92659"/>
    <w:rsid w:val="00D926B8"/>
    <w:rsid w:val="00D92731"/>
    <w:rsid w:val="00D92923"/>
    <w:rsid w:val="00D92CF9"/>
    <w:rsid w:val="00D92D1B"/>
    <w:rsid w:val="00D92F87"/>
    <w:rsid w:val="00D92FFF"/>
    <w:rsid w:val="00D932FF"/>
    <w:rsid w:val="00D93370"/>
    <w:rsid w:val="00D933D4"/>
    <w:rsid w:val="00D9349D"/>
    <w:rsid w:val="00D934C4"/>
    <w:rsid w:val="00D93743"/>
    <w:rsid w:val="00D93804"/>
    <w:rsid w:val="00D938E0"/>
    <w:rsid w:val="00D93A8B"/>
    <w:rsid w:val="00D93ABF"/>
    <w:rsid w:val="00D93AC3"/>
    <w:rsid w:val="00D93C4D"/>
    <w:rsid w:val="00D93C7A"/>
    <w:rsid w:val="00D93E1B"/>
    <w:rsid w:val="00D940B4"/>
    <w:rsid w:val="00D9427B"/>
    <w:rsid w:val="00D942E1"/>
    <w:rsid w:val="00D94311"/>
    <w:rsid w:val="00D94337"/>
    <w:rsid w:val="00D944F0"/>
    <w:rsid w:val="00D94856"/>
    <w:rsid w:val="00D94A5F"/>
    <w:rsid w:val="00D94B3F"/>
    <w:rsid w:val="00D94BC1"/>
    <w:rsid w:val="00D94CD1"/>
    <w:rsid w:val="00D94DB2"/>
    <w:rsid w:val="00D94EE2"/>
    <w:rsid w:val="00D94F7C"/>
    <w:rsid w:val="00D95044"/>
    <w:rsid w:val="00D951FA"/>
    <w:rsid w:val="00D95218"/>
    <w:rsid w:val="00D95282"/>
    <w:rsid w:val="00D9549F"/>
    <w:rsid w:val="00D954CB"/>
    <w:rsid w:val="00D956D9"/>
    <w:rsid w:val="00D95BA9"/>
    <w:rsid w:val="00D95D04"/>
    <w:rsid w:val="00D95D82"/>
    <w:rsid w:val="00D95DDA"/>
    <w:rsid w:val="00D9666A"/>
    <w:rsid w:val="00D96703"/>
    <w:rsid w:val="00D969CA"/>
    <w:rsid w:val="00D96AE7"/>
    <w:rsid w:val="00D96B83"/>
    <w:rsid w:val="00D96D36"/>
    <w:rsid w:val="00D96DCD"/>
    <w:rsid w:val="00D97006"/>
    <w:rsid w:val="00D97347"/>
    <w:rsid w:val="00D974A3"/>
    <w:rsid w:val="00D974E1"/>
    <w:rsid w:val="00D975A2"/>
    <w:rsid w:val="00D9770A"/>
    <w:rsid w:val="00D97714"/>
    <w:rsid w:val="00D97727"/>
    <w:rsid w:val="00D9784D"/>
    <w:rsid w:val="00D978FA"/>
    <w:rsid w:val="00D9790C"/>
    <w:rsid w:val="00D9793D"/>
    <w:rsid w:val="00D97EAC"/>
    <w:rsid w:val="00D97F15"/>
    <w:rsid w:val="00D97F2F"/>
    <w:rsid w:val="00DA004D"/>
    <w:rsid w:val="00DA0199"/>
    <w:rsid w:val="00DA0365"/>
    <w:rsid w:val="00DA066E"/>
    <w:rsid w:val="00DA0689"/>
    <w:rsid w:val="00DA0772"/>
    <w:rsid w:val="00DA0805"/>
    <w:rsid w:val="00DA0845"/>
    <w:rsid w:val="00DA0983"/>
    <w:rsid w:val="00DA0A7E"/>
    <w:rsid w:val="00DA0B24"/>
    <w:rsid w:val="00DA0B7E"/>
    <w:rsid w:val="00DA0BF5"/>
    <w:rsid w:val="00DA0C66"/>
    <w:rsid w:val="00DA0C6B"/>
    <w:rsid w:val="00DA0F3B"/>
    <w:rsid w:val="00DA1000"/>
    <w:rsid w:val="00DA1015"/>
    <w:rsid w:val="00DA1027"/>
    <w:rsid w:val="00DA119E"/>
    <w:rsid w:val="00DA1325"/>
    <w:rsid w:val="00DA1554"/>
    <w:rsid w:val="00DA1609"/>
    <w:rsid w:val="00DA1665"/>
    <w:rsid w:val="00DA16A7"/>
    <w:rsid w:val="00DA19BE"/>
    <w:rsid w:val="00DA19C6"/>
    <w:rsid w:val="00DA19D3"/>
    <w:rsid w:val="00DA19DE"/>
    <w:rsid w:val="00DA1A80"/>
    <w:rsid w:val="00DA1AD7"/>
    <w:rsid w:val="00DA1C3D"/>
    <w:rsid w:val="00DA1DD6"/>
    <w:rsid w:val="00DA1E36"/>
    <w:rsid w:val="00DA1E7F"/>
    <w:rsid w:val="00DA2323"/>
    <w:rsid w:val="00DA2361"/>
    <w:rsid w:val="00DA24A1"/>
    <w:rsid w:val="00DA255A"/>
    <w:rsid w:val="00DA256E"/>
    <w:rsid w:val="00DA25F5"/>
    <w:rsid w:val="00DA2693"/>
    <w:rsid w:val="00DA2747"/>
    <w:rsid w:val="00DA285A"/>
    <w:rsid w:val="00DA2A99"/>
    <w:rsid w:val="00DA2AAA"/>
    <w:rsid w:val="00DA2D51"/>
    <w:rsid w:val="00DA2DBD"/>
    <w:rsid w:val="00DA2FB7"/>
    <w:rsid w:val="00DA3174"/>
    <w:rsid w:val="00DA329B"/>
    <w:rsid w:val="00DA337C"/>
    <w:rsid w:val="00DA33F7"/>
    <w:rsid w:val="00DA34B6"/>
    <w:rsid w:val="00DA3551"/>
    <w:rsid w:val="00DA3570"/>
    <w:rsid w:val="00DA3597"/>
    <w:rsid w:val="00DA38CB"/>
    <w:rsid w:val="00DA3A8E"/>
    <w:rsid w:val="00DA3AEC"/>
    <w:rsid w:val="00DA3AF3"/>
    <w:rsid w:val="00DA3CC3"/>
    <w:rsid w:val="00DA3E70"/>
    <w:rsid w:val="00DA3FB8"/>
    <w:rsid w:val="00DA3FF5"/>
    <w:rsid w:val="00DA438F"/>
    <w:rsid w:val="00DA445E"/>
    <w:rsid w:val="00DA46BF"/>
    <w:rsid w:val="00DA4728"/>
    <w:rsid w:val="00DA4819"/>
    <w:rsid w:val="00DA4935"/>
    <w:rsid w:val="00DA4937"/>
    <w:rsid w:val="00DA4A45"/>
    <w:rsid w:val="00DA4A7E"/>
    <w:rsid w:val="00DA4A94"/>
    <w:rsid w:val="00DA4BF1"/>
    <w:rsid w:val="00DA4C13"/>
    <w:rsid w:val="00DA5094"/>
    <w:rsid w:val="00DA50CB"/>
    <w:rsid w:val="00DA51FB"/>
    <w:rsid w:val="00DA54D1"/>
    <w:rsid w:val="00DA5597"/>
    <w:rsid w:val="00DA5668"/>
    <w:rsid w:val="00DA59B1"/>
    <w:rsid w:val="00DA5E67"/>
    <w:rsid w:val="00DA5FFB"/>
    <w:rsid w:val="00DA6047"/>
    <w:rsid w:val="00DA6334"/>
    <w:rsid w:val="00DA636C"/>
    <w:rsid w:val="00DA6515"/>
    <w:rsid w:val="00DA68CE"/>
    <w:rsid w:val="00DA69C2"/>
    <w:rsid w:val="00DA6B85"/>
    <w:rsid w:val="00DA6D23"/>
    <w:rsid w:val="00DA703C"/>
    <w:rsid w:val="00DA703F"/>
    <w:rsid w:val="00DA7045"/>
    <w:rsid w:val="00DA70BE"/>
    <w:rsid w:val="00DA72DE"/>
    <w:rsid w:val="00DA73AA"/>
    <w:rsid w:val="00DA73DE"/>
    <w:rsid w:val="00DA75E9"/>
    <w:rsid w:val="00DA774D"/>
    <w:rsid w:val="00DA78CC"/>
    <w:rsid w:val="00DA78E1"/>
    <w:rsid w:val="00DA7A50"/>
    <w:rsid w:val="00DA7C04"/>
    <w:rsid w:val="00DA7D65"/>
    <w:rsid w:val="00DA7DA8"/>
    <w:rsid w:val="00DA7F3E"/>
    <w:rsid w:val="00DA7F4A"/>
    <w:rsid w:val="00DA7FB9"/>
    <w:rsid w:val="00DB01EB"/>
    <w:rsid w:val="00DB03C0"/>
    <w:rsid w:val="00DB04CA"/>
    <w:rsid w:val="00DB0514"/>
    <w:rsid w:val="00DB0670"/>
    <w:rsid w:val="00DB0712"/>
    <w:rsid w:val="00DB0873"/>
    <w:rsid w:val="00DB0922"/>
    <w:rsid w:val="00DB0970"/>
    <w:rsid w:val="00DB0D83"/>
    <w:rsid w:val="00DB0DFB"/>
    <w:rsid w:val="00DB0E14"/>
    <w:rsid w:val="00DB105E"/>
    <w:rsid w:val="00DB109F"/>
    <w:rsid w:val="00DB110D"/>
    <w:rsid w:val="00DB113A"/>
    <w:rsid w:val="00DB135C"/>
    <w:rsid w:val="00DB14C8"/>
    <w:rsid w:val="00DB160C"/>
    <w:rsid w:val="00DB1842"/>
    <w:rsid w:val="00DB1A47"/>
    <w:rsid w:val="00DB1E65"/>
    <w:rsid w:val="00DB1EBA"/>
    <w:rsid w:val="00DB1FC2"/>
    <w:rsid w:val="00DB22D8"/>
    <w:rsid w:val="00DB2461"/>
    <w:rsid w:val="00DB25F4"/>
    <w:rsid w:val="00DB27A4"/>
    <w:rsid w:val="00DB2853"/>
    <w:rsid w:val="00DB2926"/>
    <w:rsid w:val="00DB29B3"/>
    <w:rsid w:val="00DB2DDC"/>
    <w:rsid w:val="00DB3356"/>
    <w:rsid w:val="00DB3451"/>
    <w:rsid w:val="00DB35B9"/>
    <w:rsid w:val="00DB37F4"/>
    <w:rsid w:val="00DB3919"/>
    <w:rsid w:val="00DB395B"/>
    <w:rsid w:val="00DB39A5"/>
    <w:rsid w:val="00DB3A06"/>
    <w:rsid w:val="00DB3BC9"/>
    <w:rsid w:val="00DB3DA4"/>
    <w:rsid w:val="00DB3E44"/>
    <w:rsid w:val="00DB3ECA"/>
    <w:rsid w:val="00DB40BA"/>
    <w:rsid w:val="00DB4280"/>
    <w:rsid w:val="00DB4347"/>
    <w:rsid w:val="00DB434D"/>
    <w:rsid w:val="00DB44A7"/>
    <w:rsid w:val="00DB4526"/>
    <w:rsid w:val="00DB45B2"/>
    <w:rsid w:val="00DB46BA"/>
    <w:rsid w:val="00DB4820"/>
    <w:rsid w:val="00DB48DE"/>
    <w:rsid w:val="00DB4B48"/>
    <w:rsid w:val="00DB4B54"/>
    <w:rsid w:val="00DB4B88"/>
    <w:rsid w:val="00DB4B8F"/>
    <w:rsid w:val="00DB5127"/>
    <w:rsid w:val="00DB5150"/>
    <w:rsid w:val="00DB517C"/>
    <w:rsid w:val="00DB51A1"/>
    <w:rsid w:val="00DB53EC"/>
    <w:rsid w:val="00DB545D"/>
    <w:rsid w:val="00DB5541"/>
    <w:rsid w:val="00DB55BC"/>
    <w:rsid w:val="00DB5650"/>
    <w:rsid w:val="00DB587D"/>
    <w:rsid w:val="00DB5954"/>
    <w:rsid w:val="00DB59B2"/>
    <w:rsid w:val="00DB5B87"/>
    <w:rsid w:val="00DB5B88"/>
    <w:rsid w:val="00DB5BB8"/>
    <w:rsid w:val="00DB5BDD"/>
    <w:rsid w:val="00DB5C70"/>
    <w:rsid w:val="00DB5CAC"/>
    <w:rsid w:val="00DB5DC9"/>
    <w:rsid w:val="00DB5DF7"/>
    <w:rsid w:val="00DB5E42"/>
    <w:rsid w:val="00DB5EED"/>
    <w:rsid w:val="00DB5F52"/>
    <w:rsid w:val="00DB610D"/>
    <w:rsid w:val="00DB612A"/>
    <w:rsid w:val="00DB6267"/>
    <w:rsid w:val="00DB6353"/>
    <w:rsid w:val="00DB6537"/>
    <w:rsid w:val="00DB6591"/>
    <w:rsid w:val="00DB6600"/>
    <w:rsid w:val="00DB6766"/>
    <w:rsid w:val="00DB692D"/>
    <w:rsid w:val="00DB69EF"/>
    <w:rsid w:val="00DB6D23"/>
    <w:rsid w:val="00DB6D83"/>
    <w:rsid w:val="00DB70D1"/>
    <w:rsid w:val="00DB7273"/>
    <w:rsid w:val="00DB72FB"/>
    <w:rsid w:val="00DB735C"/>
    <w:rsid w:val="00DB766B"/>
    <w:rsid w:val="00DB7C74"/>
    <w:rsid w:val="00DB7C75"/>
    <w:rsid w:val="00DB7E95"/>
    <w:rsid w:val="00DB7F66"/>
    <w:rsid w:val="00DC0088"/>
    <w:rsid w:val="00DC036F"/>
    <w:rsid w:val="00DC05E6"/>
    <w:rsid w:val="00DC074F"/>
    <w:rsid w:val="00DC0A90"/>
    <w:rsid w:val="00DC0FC9"/>
    <w:rsid w:val="00DC104E"/>
    <w:rsid w:val="00DC10BE"/>
    <w:rsid w:val="00DC10E1"/>
    <w:rsid w:val="00DC1229"/>
    <w:rsid w:val="00DC1258"/>
    <w:rsid w:val="00DC1377"/>
    <w:rsid w:val="00DC154E"/>
    <w:rsid w:val="00DC159A"/>
    <w:rsid w:val="00DC15AA"/>
    <w:rsid w:val="00DC1691"/>
    <w:rsid w:val="00DC185D"/>
    <w:rsid w:val="00DC1FC5"/>
    <w:rsid w:val="00DC2086"/>
    <w:rsid w:val="00DC20F2"/>
    <w:rsid w:val="00DC21B3"/>
    <w:rsid w:val="00DC22F7"/>
    <w:rsid w:val="00DC2548"/>
    <w:rsid w:val="00DC2AD2"/>
    <w:rsid w:val="00DC2B6F"/>
    <w:rsid w:val="00DC2B71"/>
    <w:rsid w:val="00DC2E1E"/>
    <w:rsid w:val="00DC2EDA"/>
    <w:rsid w:val="00DC32BD"/>
    <w:rsid w:val="00DC32E2"/>
    <w:rsid w:val="00DC3320"/>
    <w:rsid w:val="00DC33E6"/>
    <w:rsid w:val="00DC34F3"/>
    <w:rsid w:val="00DC3522"/>
    <w:rsid w:val="00DC37E5"/>
    <w:rsid w:val="00DC39B6"/>
    <w:rsid w:val="00DC3A34"/>
    <w:rsid w:val="00DC3B27"/>
    <w:rsid w:val="00DC3BE2"/>
    <w:rsid w:val="00DC3D21"/>
    <w:rsid w:val="00DC3F66"/>
    <w:rsid w:val="00DC3FEE"/>
    <w:rsid w:val="00DC401F"/>
    <w:rsid w:val="00DC4214"/>
    <w:rsid w:val="00DC452F"/>
    <w:rsid w:val="00DC4533"/>
    <w:rsid w:val="00DC47B5"/>
    <w:rsid w:val="00DC4887"/>
    <w:rsid w:val="00DC4A9F"/>
    <w:rsid w:val="00DC4EB1"/>
    <w:rsid w:val="00DC4F09"/>
    <w:rsid w:val="00DC51FA"/>
    <w:rsid w:val="00DC5374"/>
    <w:rsid w:val="00DC53CC"/>
    <w:rsid w:val="00DC54D7"/>
    <w:rsid w:val="00DC571A"/>
    <w:rsid w:val="00DC58B6"/>
    <w:rsid w:val="00DC5ADD"/>
    <w:rsid w:val="00DC5B36"/>
    <w:rsid w:val="00DC5CC0"/>
    <w:rsid w:val="00DC61D6"/>
    <w:rsid w:val="00DC6236"/>
    <w:rsid w:val="00DC6379"/>
    <w:rsid w:val="00DC64C6"/>
    <w:rsid w:val="00DC654E"/>
    <w:rsid w:val="00DC6852"/>
    <w:rsid w:val="00DC689C"/>
    <w:rsid w:val="00DC6AF5"/>
    <w:rsid w:val="00DC6B0E"/>
    <w:rsid w:val="00DC6BA9"/>
    <w:rsid w:val="00DC6EB7"/>
    <w:rsid w:val="00DC6ED2"/>
    <w:rsid w:val="00DC6F14"/>
    <w:rsid w:val="00DC7097"/>
    <w:rsid w:val="00DC72F5"/>
    <w:rsid w:val="00DC73C4"/>
    <w:rsid w:val="00DC751B"/>
    <w:rsid w:val="00DC76B8"/>
    <w:rsid w:val="00DC798B"/>
    <w:rsid w:val="00DC79B7"/>
    <w:rsid w:val="00DC7DF4"/>
    <w:rsid w:val="00DD022F"/>
    <w:rsid w:val="00DD0459"/>
    <w:rsid w:val="00DD0601"/>
    <w:rsid w:val="00DD0989"/>
    <w:rsid w:val="00DD0A7A"/>
    <w:rsid w:val="00DD0AF5"/>
    <w:rsid w:val="00DD0BFA"/>
    <w:rsid w:val="00DD0C39"/>
    <w:rsid w:val="00DD0FCA"/>
    <w:rsid w:val="00DD0FE1"/>
    <w:rsid w:val="00DD1186"/>
    <w:rsid w:val="00DD119D"/>
    <w:rsid w:val="00DD12C2"/>
    <w:rsid w:val="00DD12D4"/>
    <w:rsid w:val="00DD13E8"/>
    <w:rsid w:val="00DD13F3"/>
    <w:rsid w:val="00DD1776"/>
    <w:rsid w:val="00DD179D"/>
    <w:rsid w:val="00DD1CE1"/>
    <w:rsid w:val="00DD22AC"/>
    <w:rsid w:val="00DD22BF"/>
    <w:rsid w:val="00DD2502"/>
    <w:rsid w:val="00DD2695"/>
    <w:rsid w:val="00DD279F"/>
    <w:rsid w:val="00DD2940"/>
    <w:rsid w:val="00DD2A40"/>
    <w:rsid w:val="00DD2B82"/>
    <w:rsid w:val="00DD2BB1"/>
    <w:rsid w:val="00DD2CE9"/>
    <w:rsid w:val="00DD2CF3"/>
    <w:rsid w:val="00DD2EEF"/>
    <w:rsid w:val="00DD2FED"/>
    <w:rsid w:val="00DD31B3"/>
    <w:rsid w:val="00DD331C"/>
    <w:rsid w:val="00DD3456"/>
    <w:rsid w:val="00DD3498"/>
    <w:rsid w:val="00DD35CC"/>
    <w:rsid w:val="00DD3613"/>
    <w:rsid w:val="00DD36EE"/>
    <w:rsid w:val="00DD3848"/>
    <w:rsid w:val="00DD3889"/>
    <w:rsid w:val="00DD3A28"/>
    <w:rsid w:val="00DD3BBF"/>
    <w:rsid w:val="00DD3C00"/>
    <w:rsid w:val="00DD3CA6"/>
    <w:rsid w:val="00DD3D54"/>
    <w:rsid w:val="00DD3E55"/>
    <w:rsid w:val="00DD3EF5"/>
    <w:rsid w:val="00DD3F1B"/>
    <w:rsid w:val="00DD3F21"/>
    <w:rsid w:val="00DD3F4F"/>
    <w:rsid w:val="00DD40C8"/>
    <w:rsid w:val="00DD413A"/>
    <w:rsid w:val="00DD4223"/>
    <w:rsid w:val="00DD425C"/>
    <w:rsid w:val="00DD42D4"/>
    <w:rsid w:val="00DD4324"/>
    <w:rsid w:val="00DD435D"/>
    <w:rsid w:val="00DD494F"/>
    <w:rsid w:val="00DD4F1B"/>
    <w:rsid w:val="00DD4FBE"/>
    <w:rsid w:val="00DD511D"/>
    <w:rsid w:val="00DD5150"/>
    <w:rsid w:val="00DD51BC"/>
    <w:rsid w:val="00DD526E"/>
    <w:rsid w:val="00DD55EE"/>
    <w:rsid w:val="00DD58B7"/>
    <w:rsid w:val="00DD58F0"/>
    <w:rsid w:val="00DD5943"/>
    <w:rsid w:val="00DD596A"/>
    <w:rsid w:val="00DD59D9"/>
    <w:rsid w:val="00DD5A4F"/>
    <w:rsid w:val="00DD5AD6"/>
    <w:rsid w:val="00DD5CEC"/>
    <w:rsid w:val="00DD5DDA"/>
    <w:rsid w:val="00DD5DFE"/>
    <w:rsid w:val="00DD5FC7"/>
    <w:rsid w:val="00DD602B"/>
    <w:rsid w:val="00DD61BE"/>
    <w:rsid w:val="00DD6317"/>
    <w:rsid w:val="00DD677B"/>
    <w:rsid w:val="00DD6A20"/>
    <w:rsid w:val="00DD6B89"/>
    <w:rsid w:val="00DD6BB5"/>
    <w:rsid w:val="00DD6C93"/>
    <w:rsid w:val="00DD6CA7"/>
    <w:rsid w:val="00DD6CD0"/>
    <w:rsid w:val="00DD6DEC"/>
    <w:rsid w:val="00DD6E3E"/>
    <w:rsid w:val="00DD6F7D"/>
    <w:rsid w:val="00DD70E1"/>
    <w:rsid w:val="00DD717C"/>
    <w:rsid w:val="00DD733E"/>
    <w:rsid w:val="00DD7522"/>
    <w:rsid w:val="00DD752F"/>
    <w:rsid w:val="00DD76CB"/>
    <w:rsid w:val="00DD7918"/>
    <w:rsid w:val="00DD7B5E"/>
    <w:rsid w:val="00DD7BD9"/>
    <w:rsid w:val="00DD7D72"/>
    <w:rsid w:val="00DD7EB6"/>
    <w:rsid w:val="00DD7FE5"/>
    <w:rsid w:val="00DE02E4"/>
    <w:rsid w:val="00DE0396"/>
    <w:rsid w:val="00DE0603"/>
    <w:rsid w:val="00DE066D"/>
    <w:rsid w:val="00DE06B4"/>
    <w:rsid w:val="00DE0735"/>
    <w:rsid w:val="00DE0744"/>
    <w:rsid w:val="00DE07F4"/>
    <w:rsid w:val="00DE0A16"/>
    <w:rsid w:val="00DE0B8C"/>
    <w:rsid w:val="00DE0BC2"/>
    <w:rsid w:val="00DE0CA5"/>
    <w:rsid w:val="00DE0D5F"/>
    <w:rsid w:val="00DE0E7D"/>
    <w:rsid w:val="00DE0E88"/>
    <w:rsid w:val="00DE122F"/>
    <w:rsid w:val="00DE1246"/>
    <w:rsid w:val="00DE1426"/>
    <w:rsid w:val="00DE14E5"/>
    <w:rsid w:val="00DE152A"/>
    <w:rsid w:val="00DE15F0"/>
    <w:rsid w:val="00DE1843"/>
    <w:rsid w:val="00DE1970"/>
    <w:rsid w:val="00DE1AC3"/>
    <w:rsid w:val="00DE1EA6"/>
    <w:rsid w:val="00DE1F04"/>
    <w:rsid w:val="00DE1F32"/>
    <w:rsid w:val="00DE20CC"/>
    <w:rsid w:val="00DE2176"/>
    <w:rsid w:val="00DE21BD"/>
    <w:rsid w:val="00DE2240"/>
    <w:rsid w:val="00DE2444"/>
    <w:rsid w:val="00DE2548"/>
    <w:rsid w:val="00DE2634"/>
    <w:rsid w:val="00DE2754"/>
    <w:rsid w:val="00DE28E5"/>
    <w:rsid w:val="00DE299E"/>
    <w:rsid w:val="00DE29A6"/>
    <w:rsid w:val="00DE2BEF"/>
    <w:rsid w:val="00DE2D5A"/>
    <w:rsid w:val="00DE2FA8"/>
    <w:rsid w:val="00DE309D"/>
    <w:rsid w:val="00DE31BA"/>
    <w:rsid w:val="00DE32ED"/>
    <w:rsid w:val="00DE332A"/>
    <w:rsid w:val="00DE350E"/>
    <w:rsid w:val="00DE3636"/>
    <w:rsid w:val="00DE3682"/>
    <w:rsid w:val="00DE36C1"/>
    <w:rsid w:val="00DE371F"/>
    <w:rsid w:val="00DE3919"/>
    <w:rsid w:val="00DE393C"/>
    <w:rsid w:val="00DE3A69"/>
    <w:rsid w:val="00DE3CEF"/>
    <w:rsid w:val="00DE3DB8"/>
    <w:rsid w:val="00DE3DCB"/>
    <w:rsid w:val="00DE3E90"/>
    <w:rsid w:val="00DE3E9A"/>
    <w:rsid w:val="00DE3EEB"/>
    <w:rsid w:val="00DE43B8"/>
    <w:rsid w:val="00DE4535"/>
    <w:rsid w:val="00DE4709"/>
    <w:rsid w:val="00DE4A94"/>
    <w:rsid w:val="00DE4B82"/>
    <w:rsid w:val="00DE4C85"/>
    <w:rsid w:val="00DE4FD9"/>
    <w:rsid w:val="00DE4FE3"/>
    <w:rsid w:val="00DE51E8"/>
    <w:rsid w:val="00DE5290"/>
    <w:rsid w:val="00DE53BD"/>
    <w:rsid w:val="00DE5445"/>
    <w:rsid w:val="00DE55CF"/>
    <w:rsid w:val="00DE56AB"/>
    <w:rsid w:val="00DE5773"/>
    <w:rsid w:val="00DE58EE"/>
    <w:rsid w:val="00DE5B07"/>
    <w:rsid w:val="00DE5FCB"/>
    <w:rsid w:val="00DE5FE1"/>
    <w:rsid w:val="00DE6178"/>
    <w:rsid w:val="00DE6183"/>
    <w:rsid w:val="00DE6677"/>
    <w:rsid w:val="00DE66A1"/>
    <w:rsid w:val="00DE66EA"/>
    <w:rsid w:val="00DE6BE3"/>
    <w:rsid w:val="00DE6C4C"/>
    <w:rsid w:val="00DE6DBC"/>
    <w:rsid w:val="00DE7007"/>
    <w:rsid w:val="00DE711B"/>
    <w:rsid w:val="00DE717A"/>
    <w:rsid w:val="00DE727D"/>
    <w:rsid w:val="00DE763B"/>
    <w:rsid w:val="00DE77DD"/>
    <w:rsid w:val="00DE7C5E"/>
    <w:rsid w:val="00DE7C8F"/>
    <w:rsid w:val="00DF037C"/>
    <w:rsid w:val="00DF040F"/>
    <w:rsid w:val="00DF046A"/>
    <w:rsid w:val="00DF0723"/>
    <w:rsid w:val="00DF0755"/>
    <w:rsid w:val="00DF07F2"/>
    <w:rsid w:val="00DF08EF"/>
    <w:rsid w:val="00DF0982"/>
    <w:rsid w:val="00DF0B0E"/>
    <w:rsid w:val="00DF0BA0"/>
    <w:rsid w:val="00DF0C8D"/>
    <w:rsid w:val="00DF0F2B"/>
    <w:rsid w:val="00DF0F34"/>
    <w:rsid w:val="00DF103D"/>
    <w:rsid w:val="00DF1117"/>
    <w:rsid w:val="00DF13A1"/>
    <w:rsid w:val="00DF15E4"/>
    <w:rsid w:val="00DF183B"/>
    <w:rsid w:val="00DF19BA"/>
    <w:rsid w:val="00DF19D3"/>
    <w:rsid w:val="00DF1B3E"/>
    <w:rsid w:val="00DF1BFE"/>
    <w:rsid w:val="00DF1C46"/>
    <w:rsid w:val="00DF1C8B"/>
    <w:rsid w:val="00DF1C93"/>
    <w:rsid w:val="00DF1D03"/>
    <w:rsid w:val="00DF1D3A"/>
    <w:rsid w:val="00DF1D44"/>
    <w:rsid w:val="00DF1EFE"/>
    <w:rsid w:val="00DF23CF"/>
    <w:rsid w:val="00DF24F5"/>
    <w:rsid w:val="00DF2502"/>
    <w:rsid w:val="00DF26ED"/>
    <w:rsid w:val="00DF298B"/>
    <w:rsid w:val="00DF2A86"/>
    <w:rsid w:val="00DF2AA4"/>
    <w:rsid w:val="00DF2AD3"/>
    <w:rsid w:val="00DF2CAD"/>
    <w:rsid w:val="00DF2DB2"/>
    <w:rsid w:val="00DF2E52"/>
    <w:rsid w:val="00DF2E94"/>
    <w:rsid w:val="00DF2FD5"/>
    <w:rsid w:val="00DF2FE9"/>
    <w:rsid w:val="00DF3057"/>
    <w:rsid w:val="00DF3105"/>
    <w:rsid w:val="00DF330F"/>
    <w:rsid w:val="00DF3427"/>
    <w:rsid w:val="00DF35FF"/>
    <w:rsid w:val="00DF3795"/>
    <w:rsid w:val="00DF37F4"/>
    <w:rsid w:val="00DF37FA"/>
    <w:rsid w:val="00DF3820"/>
    <w:rsid w:val="00DF3AE0"/>
    <w:rsid w:val="00DF3B37"/>
    <w:rsid w:val="00DF3BC2"/>
    <w:rsid w:val="00DF3C56"/>
    <w:rsid w:val="00DF3CA5"/>
    <w:rsid w:val="00DF3F96"/>
    <w:rsid w:val="00DF42B8"/>
    <w:rsid w:val="00DF4369"/>
    <w:rsid w:val="00DF4523"/>
    <w:rsid w:val="00DF45B2"/>
    <w:rsid w:val="00DF488E"/>
    <w:rsid w:val="00DF4A0A"/>
    <w:rsid w:val="00DF4DF3"/>
    <w:rsid w:val="00DF4E9A"/>
    <w:rsid w:val="00DF4F20"/>
    <w:rsid w:val="00DF5195"/>
    <w:rsid w:val="00DF51AD"/>
    <w:rsid w:val="00DF52B1"/>
    <w:rsid w:val="00DF53A7"/>
    <w:rsid w:val="00DF53EC"/>
    <w:rsid w:val="00DF541A"/>
    <w:rsid w:val="00DF5522"/>
    <w:rsid w:val="00DF5533"/>
    <w:rsid w:val="00DF55E2"/>
    <w:rsid w:val="00DF561F"/>
    <w:rsid w:val="00DF59B7"/>
    <w:rsid w:val="00DF5A07"/>
    <w:rsid w:val="00DF5C51"/>
    <w:rsid w:val="00DF5E21"/>
    <w:rsid w:val="00DF5E2C"/>
    <w:rsid w:val="00DF6023"/>
    <w:rsid w:val="00DF6175"/>
    <w:rsid w:val="00DF6179"/>
    <w:rsid w:val="00DF6180"/>
    <w:rsid w:val="00DF62C8"/>
    <w:rsid w:val="00DF6378"/>
    <w:rsid w:val="00DF63C2"/>
    <w:rsid w:val="00DF658F"/>
    <w:rsid w:val="00DF6659"/>
    <w:rsid w:val="00DF66CC"/>
    <w:rsid w:val="00DF6747"/>
    <w:rsid w:val="00DF679E"/>
    <w:rsid w:val="00DF67B3"/>
    <w:rsid w:val="00DF683E"/>
    <w:rsid w:val="00DF69AF"/>
    <w:rsid w:val="00DF6BAB"/>
    <w:rsid w:val="00DF6BD3"/>
    <w:rsid w:val="00DF6CE7"/>
    <w:rsid w:val="00DF6D88"/>
    <w:rsid w:val="00DF6E4B"/>
    <w:rsid w:val="00DF700B"/>
    <w:rsid w:val="00DF70AD"/>
    <w:rsid w:val="00DF7570"/>
    <w:rsid w:val="00DF780B"/>
    <w:rsid w:val="00DF78DA"/>
    <w:rsid w:val="00DF792D"/>
    <w:rsid w:val="00DF79C0"/>
    <w:rsid w:val="00DF7A82"/>
    <w:rsid w:val="00DF7D87"/>
    <w:rsid w:val="00DF7E01"/>
    <w:rsid w:val="00DF7E46"/>
    <w:rsid w:val="00DF7F36"/>
    <w:rsid w:val="00DF7F82"/>
    <w:rsid w:val="00DF7FB2"/>
    <w:rsid w:val="00E00069"/>
    <w:rsid w:val="00E0013B"/>
    <w:rsid w:val="00E00426"/>
    <w:rsid w:val="00E005C0"/>
    <w:rsid w:val="00E00792"/>
    <w:rsid w:val="00E007B8"/>
    <w:rsid w:val="00E00FA9"/>
    <w:rsid w:val="00E00FF0"/>
    <w:rsid w:val="00E010CE"/>
    <w:rsid w:val="00E010E0"/>
    <w:rsid w:val="00E012D4"/>
    <w:rsid w:val="00E01431"/>
    <w:rsid w:val="00E0151F"/>
    <w:rsid w:val="00E0167B"/>
    <w:rsid w:val="00E018C8"/>
    <w:rsid w:val="00E01A86"/>
    <w:rsid w:val="00E01B58"/>
    <w:rsid w:val="00E01B97"/>
    <w:rsid w:val="00E01DBA"/>
    <w:rsid w:val="00E01EED"/>
    <w:rsid w:val="00E02091"/>
    <w:rsid w:val="00E021C3"/>
    <w:rsid w:val="00E02422"/>
    <w:rsid w:val="00E024C3"/>
    <w:rsid w:val="00E024F9"/>
    <w:rsid w:val="00E02519"/>
    <w:rsid w:val="00E0257D"/>
    <w:rsid w:val="00E025D4"/>
    <w:rsid w:val="00E028C1"/>
    <w:rsid w:val="00E028FC"/>
    <w:rsid w:val="00E029C2"/>
    <w:rsid w:val="00E02CD6"/>
    <w:rsid w:val="00E02D5B"/>
    <w:rsid w:val="00E02DA8"/>
    <w:rsid w:val="00E02EB5"/>
    <w:rsid w:val="00E030F0"/>
    <w:rsid w:val="00E0312D"/>
    <w:rsid w:val="00E03157"/>
    <w:rsid w:val="00E032EF"/>
    <w:rsid w:val="00E03409"/>
    <w:rsid w:val="00E03A8D"/>
    <w:rsid w:val="00E03AEC"/>
    <w:rsid w:val="00E03B2D"/>
    <w:rsid w:val="00E03B90"/>
    <w:rsid w:val="00E03D56"/>
    <w:rsid w:val="00E03D69"/>
    <w:rsid w:val="00E04122"/>
    <w:rsid w:val="00E041DD"/>
    <w:rsid w:val="00E045F8"/>
    <w:rsid w:val="00E04756"/>
    <w:rsid w:val="00E0478C"/>
    <w:rsid w:val="00E047B6"/>
    <w:rsid w:val="00E04876"/>
    <w:rsid w:val="00E04878"/>
    <w:rsid w:val="00E0487B"/>
    <w:rsid w:val="00E04977"/>
    <w:rsid w:val="00E04A0E"/>
    <w:rsid w:val="00E04E4B"/>
    <w:rsid w:val="00E04EE7"/>
    <w:rsid w:val="00E052F2"/>
    <w:rsid w:val="00E0549A"/>
    <w:rsid w:val="00E054A3"/>
    <w:rsid w:val="00E0585E"/>
    <w:rsid w:val="00E05D00"/>
    <w:rsid w:val="00E05D3D"/>
    <w:rsid w:val="00E05FF5"/>
    <w:rsid w:val="00E05FFE"/>
    <w:rsid w:val="00E0602B"/>
    <w:rsid w:val="00E060FB"/>
    <w:rsid w:val="00E06118"/>
    <w:rsid w:val="00E06177"/>
    <w:rsid w:val="00E06288"/>
    <w:rsid w:val="00E063BB"/>
    <w:rsid w:val="00E06443"/>
    <w:rsid w:val="00E0646C"/>
    <w:rsid w:val="00E064F4"/>
    <w:rsid w:val="00E064F9"/>
    <w:rsid w:val="00E0660B"/>
    <w:rsid w:val="00E066A7"/>
    <w:rsid w:val="00E06889"/>
    <w:rsid w:val="00E06941"/>
    <w:rsid w:val="00E06981"/>
    <w:rsid w:val="00E06CF7"/>
    <w:rsid w:val="00E06D81"/>
    <w:rsid w:val="00E06EBE"/>
    <w:rsid w:val="00E06F90"/>
    <w:rsid w:val="00E06FB5"/>
    <w:rsid w:val="00E06FB9"/>
    <w:rsid w:val="00E0706D"/>
    <w:rsid w:val="00E0707B"/>
    <w:rsid w:val="00E07267"/>
    <w:rsid w:val="00E0733A"/>
    <w:rsid w:val="00E0743F"/>
    <w:rsid w:val="00E07539"/>
    <w:rsid w:val="00E0767D"/>
    <w:rsid w:val="00E078AC"/>
    <w:rsid w:val="00E079BA"/>
    <w:rsid w:val="00E07B27"/>
    <w:rsid w:val="00E07E5E"/>
    <w:rsid w:val="00E07EAC"/>
    <w:rsid w:val="00E07F5A"/>
    <w:rsid w:val="00E1002A"/>
    <w:rsid w:val="00E103A9"/>
    <w:rsid w:val="00E106F6"/>
    <w:rsid w:val="00E10797"/>
    <w:rsid w:val="00E10798"/>
    <w:rsid w:val="00E107D6"/>
    <w:rsid w:val="00E10827"/>
    <w:rsid w:val="00E108E2"/>
    <w:rsid w:val="00E108E9"/>
    <w:rsid w:val="00E10911"/>
    <w:rsid w:val="00E10977"/>
    <w:rsid w:val="00E10E3A"/>
    <w:rsid w:val="00E10ECD"/>
    <w:rsid w:val="00E10F73"/>
    <w:rsid w:val="00E11269"/>
    <w:rsid w:val="00E11629"/>
    <w:rsid w:val="00E1165C"/>
    <w:rsid w:val="00E11CCB"/>
    <w:rsid w:val="00E11D86"/>
    <w:rsid w:val="00E11F8C"/>
    <w:rsid w:val="00E12070"/>
    <w:rsid w:val="00E12090"/>
    <w:rsid w:val="00E1259A"/>
    <w:rsid w:val="00E125E6"/>
    <w:rsid w:val="00E12696"/>
    <w:rsid w:val="00E127E2"/>
    <w:rsid w:val="00E12895"/>
    <w:rsid w:val="00E12A73"/>
    <w:rsid w:val="00E12B25"/>
    <w:rsid w:val="00E12CA5"/>
    <w:rsid w:val="00E12CF5"/>
    <w:rsid w:val="00E12D29"/>
    <w:rsid w:val="00E12E2F"/>
    <w:rsid w:val="00E13019"/>
    <w:rsid w:val="00E130BA"/>
    <w:rsid w:val="00E1335E"/>
    <w:rsid w:val="00E133C5"/>
    <w:rsid w:val="00E13436"/>
    <w:rsid w:val="00E134D7"/>
    <w:rsid w:val="00E1384E"/>
    <w:rsid w:val="00E13856"/>
    <w:rsid w:val="00E13AB0"/>
    <w:rsid w:val="00E13D9E"/>
    <w:rsid w:val="00E13DBD"/>
    <w:rsid w:val="00E13F59"/>
    <w:rsid w:val="00E14029"/>
    <w:rsid w:val="00E141C0"/>
    <w:rsid w:val="00E141F2"/>
    <w:rsid w:val="00E14293"/>
    <w:rsid w:val="00E142D4"/>
    <w:rsid w:val="00E14398"/>
    <w:rsid w:val="00E145F7"/>
    <w:rsid w:val="00E14635"/>
    <w:rsid w:val="00E1465C"/>
    <w:rsid w:val="00E149FC"/>
    <w:rsid w:val="00E14AE7"/>
    <w:rsid w:val="00E14BF0"/>
    <w:rsid w:val="00E14C00"/>
    <w:rsid w:val="00E14DF5"/>
    <w:rsid w:val="00E152F4"/>
    <w:rsid w:val="00E15363"/>
    <w:rsid w:val="00E153DC"/>
    <w:rsid w:val="00E15552"/>
    <w:rsid w:val="00E155A1"/>
    <w:rsid w:val="00E15831"/>
    <w:rsid w:val="00E158CE"/>
    <w:rsid w:val="00E15A18"/>
    <w:rsid w:val="00E160E5"/>
    <w:rsid w:val="00E16296"/>
    <w:rsid w:val="00E165C3"/>
    <w:rsid w:val="00E167DA"/>
    <w:rsid w:val="00E168C8"/>
    <w:rsid w:val="00E16976"/>
    <w:rsid w:val="00E16B3D"/>
    <w:rsid w:val="00E16B87"/>
    <w:rsid w:val="00E16D37"/>
    <w:rsid w:val="00E16DB6"/>
    <w:rsid w:val="00E16F7B"/>
    <w:rsid w:val="00E1716F"/>
    <w:rsid w:val="00E171A3"/>
    <w:rsid w:val="00E172B0"/>
    <w:rsid w:val="00E172C8"/>
    <w:rsid w:val="00E17372"/>
    <w:rsid w:val="00E17445"/>
    <w:rsid w:val="00E17695"/>
    <w:rsid w:val="00E1786E"/>
    <w:rsid w:val="00E17ACD"/>
    <w:rsid w:val="00E17EB9"/>
    <w:rsid w:val="00E17F02"/>
    <w:rsid w:val="00E20133"/>
    <w:rsid w:val="00E20347"/>
    <w:rsid w:val="00E203A7"/>
    <w:rsid w:val="00E20419"/>
    <w:rsid w:val="00E2089D"/>
    <w:rsid w:val="00E20BFA"/>
    <w:rsid w:val="00E20FC8"/>
    <w:rsid w:val="00E2107C"/>
    <w:rsid w:val="00E211B5"/>
    <w:rsid w:val="00E214C2"/>
    <w:rsid w:val="00E21537"/>
    <w:rsid w:val="00E21558"/>
    <w:rsid w:val="00E2179F"/>
    <w:rsid w:val="00E219B2"/>
    <w:rsid w:val="00E21A25"/>
    <w:rsid w:val="00E21A2A"/>
    <w:rsid w:val="00E21EE3"/>
    <w:rsid w:val="00E2203A"/>
    <w:rsid w:val="00E2208E"/>
    <w:rsid w:val="00E221FE"/>
    <w:rsid w:val="00E22211"/>
    <w:rsid w:val="00E222CC"/>
    <w:rsid w:val="00E2231F"/>
    <w:rsid w:val="00E2252F"/>
    <w:rsid w:val="00E225A0"/>
    <w:rsid w:val="00E226DB"/>
    <w:rsid w:val="00E22764"/>
    <w:rsid w:val="00E22806"/>
    <w:rsid w:val="00E22BC2"/>
    <w:rsid w:val="00E22DFC"/>
    <w:rsid w:val="00E22FE3"/>
    <w:rsid w:val="00E231C8"/>
    <w:rsid w:val="00E23391"/>
    <w:rsid w:val="00E23485"/>
    <w:rsid w:val="00E23777"/>
    <w:rsid w:val="00E23A2F"/>
    <w:rsid w:val="00E23A5B"/>
    <w:rsid w:val="00E23BC5"/>
    <w:rsid w:val="00E23C19"/>
    <w:rsid w:val="00E23D76"/>
    <w:rsid w:val="00E23D92"/>
    <w:rsid w:val="00E23FF1"/>
    <w:rsid w:val="00E244F5"/>
    <w:rsid w:val="00E244F9"/>
    <w:rsid w:val="00E247B2"/>
    <w:rsid w:val="00E249FC"/>
    <w:rsid w:val="00E24A1D"/>
    <w:rsid w:val="00E24B8B"/>
    <w:rsid w:val="00E24C7F"/>
    <w:rsid w:val="00E24D37"/>
    <w:rsid w:val="00E24D5D"/>
    <w:rsid w:val="00E24DF5"/>
    <w:rsid w:val="00E24F26"/>
    <w:rsid w:val="00E24F45"/>
    <w:rsid w:val="00E25179"/>
    <w:rsid w:val="00E2518D"/>
    <w:rsid w:val="00E25258"/>
    <w:rsid w:val="00E25282"/>
    <w:rsid w:val="00E252C0"/>
    <w:rsid w:val="00E2531D"/>
    <w:rsid w:val="00E2541C"/>
    <w:rsid w:val="00E25511"/>
    <w:rsid w:val="00E25886"/>
    <w:rsid w:val="00E258BD"/>
    <w:rsid w:val="00E2595A"/>
    <w:rsid w:val="00E259D5"/>
    <w:rsid w:val="00E25AFF"/>
    <w:rsid w:val="00E25C1F"/>
    <w:rsid w:val="00E25CDC"/>
    <w:rsid w:val="00E25D51"/>
    <w:rsid w:val="00E26119"/>
    <w:rsid w:val="00E261F9"/>
    <w:rsid w:val="00E26342"/>
    <w:rsid w:val="00E2643F"/>
    <w:rsid w:val="00E2649D"/>
    <w:rsid w:val="00E265CD"/>
    <w:rsid w:val="00E26625"/>
    <w:rsid w:val="00E266C8"/>
    <w:rsid w:val="00E266FE"/>
    <w:rsid w:val="00E26754"/>
    <w:rsid w:val="00E2680E"/>
    <w:rsid w:val="00E268CA"/>
    <w:rsid w:val="00E26C53"/>
    <w:rsid w:val="00E26E3D"/>
    <w:rsid w:val="00E26F5C"/>
    <w:rsid w:val="00E27050"/>
    <w:rsid w:val="00E27072"/>
    <w:rsid w:val="00E2718C"/>
    <w:rsid w:val="00E271A2"/>
    <w:rsid w:val="00E271EE"/>
    <w:rsid w:val="00E27209"/>
    <w:rsid w:val="00E2736D"/>
    <w:rsid w:val="00E273F0"/>
    <w:rsid w:val="00E27404"/>
    <w:rsid w:val="00E2788D"/>
    <w:rsid w:val="00E27A2A"/>
    <w:rsid w:val="00E27BC9"/>
    <w:rsid w:val="00E27C26"/>
    <w:rsid w:val="00E27CB2"/>
    <w:rsid w:val="00E27D1D"/>
    <w:rsid w:val="00E27E7D"/>
    <w:rsid w:val="00E3004F"/>
    <w:rsid w:val="00E30050"/>
    <w:rsid w:val="00E3008D"/>
    <w:rsid w:val="00E301D4"/>
    <w:rsid w:val="00E30650"/>
    <w:rsid w:val="00E306B6"/>
    <w:rsid w:val="00E306EA"/>
    <w:rsid w:val="00E308AB"/>
    <w:rsid w:val="00E30AE0"/>
    <w:rsid w:val="00E30B12"/>
    <w:rsid w:val="00E30C01"/>
    <w:rsid w:val="00E30EA4"/>
    <w:rsid w:val="00E30EEA"/>
    <w:rsid w:val="00E30F4D"/>
    <w:rsid w:val="00E30F83"/>
    <w:rsid w:val="00E31010"/>
    <w:rsid w:val="00E31013"/>
    <w:rsid w:val="00E3117D"/>
    <w:rsid w:val="00E31212"/>
    <w:rsid w:val="00E31233"/>
    <w:rsid w:val="00E31279"/>
    <w:rsid w:val="00E3139B"/>
    <w:rsid w:val="00E3145E"/>
    <w:rsid w:val="00E31506"/>
    <w:rsid w:val="00E315A5"/>
    <w:rsid w:val="00E315DD"/>
    <w:rsid w:val="00E316BE"/>
    <w:rsid w:val="00E3176A"/>
    <w:rsid w:val="00E317AF"/>
    <w:rsid w:val="00E31898"/>
    <w:rsid w:val="00E3191D"/>
    <w:rsid w:val="00E31923"/>
    <w:rsid w:val="00E319AD"/>
    <w:rsid w:val="00E319B4"/>
    <w:rsid w:val="00E31A0D"/>
    <w:rsid w:val="00E31AF8"/>
    <w:rsid w:val="00E31B27"/>
    <w:rsid w:val="00E31C6C"/>
    <w:rsid w:val="00E31E37"/>
    <w:rsid w:val="00E31F62"/>
    <w:rsid w:val="00E31FC4"/>
    <w:rsid w:val="00E3215B"/>
    <w:rsid w:val="00E324CD"/>
    <w:rsid w:val="00E32647"/>
    <w:rsid w:val="00E3275D"/>
    <w:rsid w:val="00E329AA"/>
    <w:rsid w:val="00E32A63"/>
    <w:rsid w:val="00E32B3E"/>
    <w:rsid w:val="00E32BB9"/>
    <w:rsid w:val="00E32BBC"/>
    <w:rsid w:val="00E32D08"/>
    <w:rsid w:val="00E32D97"/>
    <w:rsid w:val="00E32DAA"/>
    <w:rsid w:val="00E32F65"/>
    <w:rsid w:val="00E3309F"/>
    <w:rsid w:val="00E330C5"/>
    <w:rsid w:val="00E33145"/>
    <w:rsid w:val="00E3314C"/>
    <w:rsid w:val="00E33448"/>
    <w:rsid w:val="00E33551"/>
    <w:rsid w:val="00E335CD"/>
    <w:rsid w:val="00E335EF"/>
    <w:rsid w:val="00E3381B"/>
    <w:rsid w:val="00E33AAE"/>
    <w:rsid w:val="00E33C2A"/>
    <w:rsid w:val="00E33D4E"/>
    <w:rsid w:val="00E33EE2"/>
    <w:rsid w:val="00E3412C"/>
    <w:rsid w:val="00E34234"/>
    <w:rsid w:val="00E34299"/>
    <w:rsid w:val="00E343F3"/>
    <w:rsid w:val="00E34777"/>
    <w:rsid w:val="00E3483F"/>
    <w:rsid w:val="00E34842"/>
    <w:rsid w:val="00E34E92"/>
    <w:rsid w:val="00E34EC7"/>
    <w:rsid w:val="00E34F2A"/>
    <w:rsid w:val="00E351A9"/>
    <w:rsid w:val="00E35316"/>
    <w:rsid w:val="00E354B0"/>
    <w:rsid w:val="00E354D4"/>
    <w:rsid w:val="00E354E5"/>
    <w:rsid w:val="00E35558"/>
    <w:rsid w:val="00E355AA"/>
    <w:rsid w:val="00E35624"/>
    <w:rsid w:val="00E35686"/>
    <w:rsid w:val="00E3571A"/>
    <w:rsid w:val="00E35A3A"/>
    <w:rsid w:val="00E35B00"/>
    <w:rsid w:val="00E35B27"/>
    <w:rsid w:val="00E35BEA"/>
    <w:rsid w:val="00E35C6A"/>
    <w:rsid w:val="00E35E33"/>
    <w:rsid w:val="00E35E50"/>
    <w:rsid w:val="00E35F2A"/>
    <w:rsid w:val="00E35F47"/>
    <w:rsid w:val="00E362DD"/>
    <w:rsid w:val="00E3654C"/>
    <w:rsid w:val="00E36BDF"/>
    <w:rsid w:val="00E36C56"/>
    <w:rsid w:val="00E36C99"/>
    <w:rsid w:val="00E36E2A"/>
    <w:rsid w:val="00E36F28"/>
    <w:rsid w:val="00E3706A"/>
    <w:rsid w:val="00E37099"/>
    <w:rsid w:val="00E370FA"/>
    <w:rsid w:val="00E3720B"/>
    <w:rsid w:val="00E374C2"/>
    <w:rsid w:val="00E375E8"/>
    <w:rsid w:val="00E3760E"/>
    <w:rsid w:val="00E3781D"/>
    <w:rsid w:val="00E37A49"/>
    <w:rsid w:val="00E37C07"/>
    <w:rsid w:val="00E37D3F"/>
    <w:rsid w:val="00E37EF1"/>
    <w:rsid w:val="00E37FE7"/>
    <w:rsid w:val="00E37FFE"/>
    <w:rsid w:val="00E401B4"/>
    <w:rsid w:val="00E40337"/>
    <w:rsid w:val="00E40435"/>
    <w:rsid w:val="00E404DC"/>
    <w:rsid w:val="00E404ED"/>
    <w:rsid w:val="00E405A6"/>
    <w:rsid w:val="00E406E0"/>
    <w:rsid w:val="00E40A6B"/>
    <w:rsid w:val="00E40A82"/>
    <w:rsid w:val="00E40AF9"/>
    <w:rsid w:val="00E40F11"/>
    <w:rsid w:val="00E40F4D"/>
    <w:rsid w:val="00E41361"/>
    <w:rsid w:val="00E41365"/>
    <w:rsid w:val="00E41460"/>
    <w:rsid w:val="00E417AC"/>
    <w:rsid w:val="00E417C2"/>
    <w:rsid w:val="00E418D9"/>
    <w:rsid w:val="00E41B1D"/>
    <w:rsid w:val="00E41B69"/>
    <w:rsid w:val="00E41C73"/>
    <w:rsid w:val="00E41D3F"/>
    <w:rsid w:val="00E41FB5"/>
    <w:rsid w:val="00E420BD"/>
    <w:rsid w:val="00E42266"/>
    <w:rsid w:val="00E42374"/>
    <w:rsid w:val="00E423B8"/>
    <w:rsid w:val="00E423EA"/>
    <w:rsid w:val="00E42416"/>
    <w:rsid w:val="00E424BF"/>
    <w:rsid w:val="00E425D9"/>
    <w:rsid w:val="00E42706"/>
    <w:rsid w:val="00E4278E"/>
    <w:rsid w:val="00E427D0"/>
    <w:rsid w:val="00E42912"/>
    <w:rsid w:val="00E42955"/>
    <w:rsid w:val="00E42989"/>
    <w:rsid w:val="00E42B88"/>
    <w:rsid w:val="00E42D63"/>
    <w:rsid w:val="00E42D9B"/>
    <w:rsid w:val="00E42E68"/>
    <w:rsid w:val="00E42E69"/>
    <w:rsid w:val="00E431D6"/>
    <w:rsid w:val="00E43300"/>
    <w:rsid w:val="00E43558"/>
    <w:rsid w:val="00E43668"/>
    <w:rsid w:val="00E43714"/>
    <w:rsid w:val="00E438A1"/>
    <w:rsid w:val="00E439B0"/>
    <w:rsid w:val="00E439BB"/>
    <w:rsid w:val="00E43AA9"/>
    <w:rsid w:val="00E43B92"/>
    <w:rsid w:val="00E43D85"/>
    <w:rsid w:val="00E43EF0"/>
    <w:rsid w:val="00E43F70"/>
    <w:rsid w:val="00E43F7B"/>
    <w:rsid w:val="00E440D2"/>
    <w:rsid w:val="00E441A5"/>
    <w:rsid w:val="00E44219"/>
    <w:rsid w:val="00E44359"/>
    <w:rsid w:val="00E4444F"/>
    <w:rsid w:val="00E444C1"/>
    <w:rsid w:val="00E444CB"/>
    <w:rsid w:val="00E44517"/>
    <w:rsid w:val="00E4495E"/>
    <w:rsid w:val="00E44B20"/>
    <w:rsid w:val="00E44C07"/>
    <w:rsid w:val="00E44CA2"/>
    <w:rsid w:val="00E44E0F"/>
    <w:rsid w:val="00E44EEA"/>
    <w:rsid w:val="00E44F4E"/>
    <w:rsid w:val="00E44F61"/>
    <w:rsid w:val="00E45196"/>
    <w:rsid w:val="00E453A5"/>
    <w:rsid w:val="00E457B0"/>
    <w:rsid w:val="00E45853"/>
    <w:rsid w:val="00E4588F"/>
    <w:rsid w:val="00E458BD"/>
    <w:rsid w:val="00E45D8B"/>
    <w:rsid w:val="00E45DE3"/>
    <w:rsid w:val="00E45F05"/>
    <w:rsid w:val="00E45F54"/>
    <w:rsid w:val="00E45F69"/>
    <w:rsid w:val="00E46047"/>
    <w:rsid w:val="00E46285"/>
    <w:rsid w:val="00E46393"/>
    <w:rsid w:val="00E463A0"/>
    <w:rsid w:val="00E463E2"/>
    <w:rsid w:val="00E463EB"/>
    <w:rsid w:val="00E46737"/>
    <w:rsid w:val="00E4675D"/>
    <w:rsid w:val="00E4678E"/>
    <w:rsid w:val="00E467C3"/>
    <w:rsid w:val="00E46A1A"/>
    <w:rsid w:val="00E46CC5"/>
    <w:rsid w:val="00E46D4C"/>
    <w:rsid w:val="00E46DCC"/>
    <w:rsid w:val="00E46ECB"/>
    <w:rsid w:val="00E46FBB"/>
    <w:rsid w:val="00E471B5"/>
    <w:rsid w:val="00E473F0"/>
    <w:rsid w:val="00E4745E"/>
    <w:rsid w:val="00E47488"/>
    <w:rsid w:val="00E47752"/>
    <w:rsid w:val="00E477B9"/>
    <w:rsid w:val="00E4788F"/>
    <w:rsid w:val="00E47D63"/>
    <w:rsid w:val="00E5014A"/>
    <w:rsid w:val="00E5018F"/>
    <w:rsid w:val="00E502AF"/>
    <w:rsid w:val="00E503E6"/>
    <w:rsid w:val="00E50407"/>
    <w:rsid w:val="00E50420"/>
    <w:rsid w:val="00E50464"/>
    <w:rsid w:val="00E505A2"/>
    <w:rsid w:val="00E50621"/>
    <w:rsid w:val="00E506D7"/>
    <w:rsid w:val="00E50707"/>
    <w:rsid w:val="00E507F4"/>
    <w:rsid w:val="00E5080C"/>
    <w:rsid w:val="00E50C9D"/>
    <w:rsid w:val="00E510AF"/>
    <w:rsid w:val="00E512BE"/>
    <w:rsid w:val="00E51643"/>
    <w:rsid w:val="00E51696"/>
    <w:rsid w:val="00E5169B"/>
    <w:rsid w:val="00E516E8"/>
    <w:rsid w:val="00E519CD"/>
    <w:rsid w:val="00E51BC4"/>
    <w:rsid w:val="00E51C60"/>
    <w:rsid w:val="00E51CD3"/>
    <w:rsid w:val="00E51DEE"/>
    <w:rsid w:val="00E51E7A"/>
    <w:rsid w:val="00E52149"/>
    <w:rsid w:val="00E52284"/>
    <w:rsid w:val="00E522A8"/>
    <w:rsid w:val="00E5236D"/>
    <w:rsid w:val="00E524FD"/>
    <w:rsid w:val="00E52591"/>
    <w:rsid w:val="00E52675"/>
    <w:rsid w:val="00E5272D"/>
    <w:rsid w:val="00E52914"/>
    <w:rsid w:val="00E52A59"/>
    <w:rsid w:val="00E52AEA"/>
    <w:rsid w:val="00E52B68"/>
    <w:rsid w:val="00E5302B"/>
    <w:rsid w:val="00E534A1"/>
    <w:rsid w:val="00E5354E"/>
    <w:rsid w:val="00E53B5B"/>
    <w:rsid w:val="00E53BDD"/>
    <w:rsid w:val="00E53E44"/>
    <w:rsid w:val="00E53FE3"/>
    <w:rsid w:val="00E54358"/>
    <w:rsid w:val="00E5438A"/>
    <w:rsid w:val="00E54622"/>
    <w:rsid w:val="00E54704"/>
    <w:rsid w:val="00E547A4"/>
    <w:rsid w:val="00E5480D"/>
    <w:rsid w:val="00E54824"/>
    <w:rsid w:val="00E54A67"/>
    <w:rsid w:val="00E54C71"/>
    <w:rsid w:val="00E54D00"/>
    <w:rsid w:val="00E54E5C"/>
    <w:rsid w:val="00E54F0D"/>
    <w:rsid w:val="00E551E0"/>
    <w:rsid w:val="00E551E8"/>
    <w:rsid w:val="00E554EE"/>
    <w:rsid w:val="00E55721"/>
    <w:rsid w:val="00E557A8"/>
    <w:rsid w:val="00E559A0"/>
    <w:rsid w:val="00E55A17"/>
    <w:rsid w:val="00E55AAC"/>
    <w:rsid w:val="00E55AD5"/>
    <w:rsid w:val="00E55DB1"/>
    <w:rsid w:val="00E55F39"/>
    <w:rsid w:val="00E56179"/>
    <w:rsid w:val="00E56207"/>
    <w:rsid w:val="00E562D3"/>
    <w:rsid w:val="00E56341"/>
    <w:rsid w:val="00E56347"/>
    <w:rsid w:val="00E56363"/>
    <w:rsid w:val="00E5648A"/>
    <w:rsid w:val="00E56541"/>
    <w:rsid w:val="00E5655F"/>
    <w:rsid w:val="00E56566"/>
    <w:rsid w:val="00E56683"/>
    <w:rsid w:val="00E56738"/>
    <w:rsid w:val="00E56854"/>
    <w:rsid w:val="00E569CF"/>
    <w:rsid w:val="00E56B2E"/>
    <w:rsid w:val="00E56C22"/>
    <w:rsid w:val="00E56E80"/>
    <w:rsid w:val="00E57407"/>
    <w:rsid w:val="00E5752B"/>
    <w:rsid w:val="00E5753F"/>
    <w:rsid w:val="00E5758C"/>
    <w:rsid w:val="00E57638"/>
    <w:rsid w:val="00E5799A"/>
    <w:rsid w:val="00E57C4A"/>
    <w:rsid w:val="00E57C64"/>
    <w:rsid w:val="00E57DFE"/>
    <w:rsid w:val="00E57FBE"/>
    <w:rsid w:val="00E600E0"/>
    <w:rsid w:val="00E60528"/>
    <w:rsid w:val="00E60549"/>
    <w:rsid w:val="00E60647"/>
    <w:rsid w:val="00E606A3"/>
    <w:rsid w:val="00E606DC"/>
    <w:rsid w:val="00E6079E"/>
    <w:rsid w:val="00E608A7"/>
    <w:rsid w:val="00E60912"/>
    <w:rsid w:val="00E609FD"/>
    <w:rsid w:val="00E60B23"/>
    <w:rsid w:val="00E60B2D"/>
    <w:rsid w:val="00E60C23"/>
    <w:rsid w:val="00E60DD5"/>
    <w:rsid w:val="00E60F67"/>
    <w:rsid w:val="00E61410"/>
    <w:rsid w:val="00E614D2"/>
    <w:rsid w:val="00E615EE"/>
    <w:rsid w:val="00E6160C"/>
    <w:rsid w:val="00E616CA"/>
    <w:rsid w:val="00E6199D"/>
    <w:rsid w:val="00E619C6"/>
    <w:rsid w:val="00E61A21"/>
    <w:rsid w:val="00E61A5D"/>
    <w:rsid w:val="00E61AB3"/>
    <w:rsid w:val="00E61C30"/>
    <w:rsid w:val="00E61E21"/>
    <w:rsid w:val="00E61FB2"/>
    <w:rsid w:val="00E61FC4"/>
    <w:rsid w:val="00E6219F"/>
    <w:rsid w:val="00E621FF"/>
    <w:rsid w:val="00E624DF"/>
    <w:rsid w:val="00E62656"/>
    <w:rsid w:val="00E626F4"/>
    <w:rsid w:val="00E626F9"/>
    <w:rsid w:val="00E62A51"/>
    <w:rsid w:val="00E62ACF"/>
    <w:rsid w:val="00E62B78"/>
    <w:rsid w:val="00E62D2A"/>
    <w:rsid w:val="00E63055"/>
    <w:rsid w:val="00E63221"/>
    <w:rsid w:val="00E63740"/>
    <w:rsid w:val="00E6388A"/>
    <w:rsid w:val="00E6398F"/>
    <w:rsid w:val="00E63B42"/>
    <w:rsid w:val="00E63B6E"/>
    <w:rsid w:val="00E63BFF"/>
    <w:rsid w:val="00E63C4C"/>
    <w:rsid w:val="00E63CC3"/>
    <w:rsid w:val="00E63CCB"/>
    <w:rsid w:val="00E63D2E"/>
    <w:rsid w:val="00E63EA9"/>
    <w:rsid w:val="00E63FB7"/>
    <w:rsid w:val="00E64489"/>
    <w:rsid w:val="00E6450E"/>
    <w:rsid w:val="00E6452F"/>
    <w:rsid w:val="00E646D5"/>
    <w:rsid w:val="00E646E1"/>
    <w:rsid w:val="00E64710"/>
    <w:rsid w:val="00E6473F"/>
    <w:rsid w:val="00E647CC"/>
    <w:rsid w:val="00E6489A"/>
    <w:rsid w:val="00E64902"/>
    <w:rsid w:val="00E64996"/>
    <w:rsid w:val="00E64CCE"/>
    <w:rsid w:val="00E64E81"/>
    <w:rsid w:val="00E64F15"/>
    <w:rsid w:val="00E64F1A"/>
    <w:rsid w:val="00E64F5A"/>
    <w:rsid w:val="00E64F70"/>
    <w:rsid w:val="00E64F98"/>
    <w:rsid w:val="00E65110"/>
    <w:rsid w:val="00E65159"/>
    <w:rsid w:val="00E6537D"/>
    <w:rsid w:val="00E654D0"/>
    <w:rsid w:val="00E655FE"/>
    <w:rsid w:val="00E6562C"/>
    <w:rsid w:val="00E65640"/>
    <w:rsid w:val="00E656E6"/>
    <w:rsid w:val="00E65754"/>
    <w:rsid w:val="00E657B2"/>
    <w:rsid w:val="00E65850"/>
    <w:rsid w:val="00E65857"/>
    <w:rsid w:val="00E6586B"/>
    <w:rsid w:val="00E65F32"/>
    <w:rsid w:val="00E660A9"/>
    <w:rsid w:val="00E6610F"/>
    <w:rsid w:val="00E66207"/>
    <w:rsid w:val="00E66240"/>
    <w:rsid w:val="00E6639C"/>
    <w:rsid w:val="00E6658D"/>
    <w:rsid w:val="00E667C5"/>
    <w:rsid w:val="00E668FF"/>
    <w:rsid w:val="00E66A45"/>
    <w:rsid w:val="00E66D80"/>
    <w:rsid w:val="00E66D91"/>
    <w:rsid w:val="00E66E3C"/>
    <w:rsid w:val="00E670C8"/>
    <w:rsid w:val="00E670F2"/>
    <w:rsid w:val="00E674E2"/>
    <w:rsid w:val="00E67586"/>
    <w:rsid w:val="00E6795E"/>
    <w:rsid w:val="00E67AA2"/>
    <w:rsid w:val="00E67B6C"/>
    <w:rsid w:val="00E67D25"/>
    <w:rsid w:val="00E67D46"/>
    <w:rsid w:val="00E70264"/>
    <w:rsid w:val="00E703A6"/>
    <w:rsid w:val="00E706F9"/>
    <w:rsid w:val="00E70818"/>
    <w:rsid w:val="00E70920"/>
    <w:rsid w:val="00E70BA2"/>
    <w:rsid w:val="00E70C91"/>
    <w:rsid w:val="00E70E38"/>
    <w:rsid w:val="00E70E6F"/>
    <w:rsid w:val="00E7104F"/>
    <w:rsid w:val="00E71074"/>
    <w:rsid w:val="00E713E4"/>
    <w:rsid w:val="00E71517"/>
    <w:rsid w:val="00E71527"/>
    <w:rsid w:val="00E715BF"/>
    <w:rsid w:val="00E716B6"/>
    <w:rsid w:val="00E7174A"/>
    <w:rsid w:val="00E71861"/>
    <w:rsid w:val="00E718C5"/>
    <w:rsid w:val="00E71A51"/>
    <w:rsid w:val="00E71C93"/>
    <w:rsid w:val="00E71E52"/>
    <w:rsid w:val="00E72023"/>
    <w:rsid w:val="00E720CD"/>
    <w:rsid w:val="00E720DC"/>
    <w:rsid w:val="00E721F1"/>
    <w:rsid w:val="00E72576"/>
    <w:rsid w:val="00E7258A"/>
    <w:rsid w:val="00E725CB"/>
    <w:rsid w:val="00E72916"/>
    <w:rsid w:val="00E7291E"/>
    <w:rsid w:val="00E72940"/>
    <w:rsid w:val="00E72960"/>
    <w:rsid w:val="00E729FF"/>
    <w:rsid w:val="00E72AB0"/>
    <w:rsid w:val="00E72AD8"/>
    <w:rsid w:val="00E72AFC"/>
    <w:rsid w:val="00E72B5D"/>
    <w:rsid w:val="00E72CE6"/>
    <w:rsid w:val="00E72E56"/>
    <w:rsid w:val="00E72E8B"/>
    <w:rsid w:val="00E73020"/>
    <w:rsid w:val="00E730E3"/>
    <w:rsid w:val="00E73198"/>
    <w:rsid w:val="00E7319E"/>
    <w:rsid w:val="00E731F0"/>
    <w:rsid w:val="00E732F5"/>
    <w:rsid w:val="00E733D1"/>
    <w:rsid w:val="00E734D8"/>
    <w:rsid w:val="00E736D2"/>
    <w:rsid w:val="00E736E9"/>
    <w:rsid w:val="00E7371E"/>
    <w:rsid w:val="00E7389D"/>
    <w:rsid w:val="00E738E0"/>
    <w:rsid w:val="00E73B53"/>
    <w:rsid w:val="00E73D16"/>
    <w:rsid w:val="00E73D1C"/>
    <w:rsid w:val="00E7400E"/>
    <w:rsid w:val="00E74011"/>
    <w:rsid w:val="00E7424B"/>
    <w:rsid w:val="00E745A9"/>
    <w:rsid w:val="00E74839"/>
    <w:rsid w:val="00E7483A"/>
    <w:rsid w:val="00E74929"/>
    <w:rsid w:val="00E74AE3"/>
    <w:rsid w:val="00E74E4C"/>
    <w:rsid w:val="00E74ED6"/>
    <w:rsid w:val="00E74F02"/>
    <w:rsid w:val="00E7502C"/>
    <w:rsid w:val="00E75197"/>
    <w:rsid w:val="00E75284"/>
    <w:rsid w:val="00E7532A"/>
    <w:rsid w:val="00E753DE"/>
    <w:rsid w:val="00E75435"/>
    <w:rsid w:val="00E754D0"/>
    <w:rsid w:val="00E755C2"/>
    <w:rsid w:val="00E75641"/>
    <w:rsid w:val="00E758E8"/>
    <w:rsid w:val="00E758FA"/>
    <w:rsid w:val="00E75A34"/>
    <w:rsid w:val="00E75AA2"/>
    <w:rsid w:val="00E75F63"/>
    <w:rsid w:val="00E76162"/>
    <w:rsid w:val="00E7617C"/>
    <w:rsid w:val="00E76321"/>
    <w:rsid w:val="00E764D9"/>
    <w:rsid w:val="00E76AB7"/>
    <w:rsid w:val="00E76B09"/>
    <w:rsid w:val="00E76D2B"/>
    <w:rsid w:val="00E76E34"/>
    <w:rsid w:val="00E770BD"/>
    <w:rsid w:val="00E7711C"/>
    <w:rsid w:val="00E7722C"/>
    <w:rsid w:val="00E7731B"/>
    <w:rsid w:val="00E773E5"/>
    <w:rsid w:val="00E773EA"/>
    <w:rsid w:val="00E77546"/>
    <w:rsid w:val="00E7758C"/>
    <w:rsid w:val="00E77627"/>
    <w:rsid w:val="00E77749"/>
    <w:rsid w:val="00E7777E"/>
    <w:rsid w:val="00E77957"/>
    <w:rsid w:val="00E77A6A"/>
    <w:rsid w:val="00E77AD4"/>
    <w:rsid w:val="00E77B44"/>
    <w:rsid w:val="00E77CA1"/>
    <w:rsid w:val="00E77D7A"/>
    <w:rsid w:val="00E77F1D"/>
    <w:rsid w:val="00E77F28"/>
    <w:rsid w:val="00E77FDD"/>
    <w:rsid w:val="00E77FF6"/>
    <w:rsid w:val="00E77FF9"/>
    <w:rsid w:val="00E8012F"/>
    <w:rsid w:val="00E8020C"/>
    <w:rsid w:val="00E803C5"/>
    <w:rsid w:val="00E80470"/>
    <w:rsid w:val="00E806C5"/>
    <w:rsid w:val="00E8071C"/>
    <w:rsid w:val="00E80822"/>
    <w:rsid w:val="00E80895"/>
    <w:rsid w:val="00E80909"/>
    <w:rsid w:val="00E80BCD"/>
    <w:rsid w:val="00E81314"/>
    <w:rsid w:val="00E81393"/>
    <w:rsid w:val="00E81461"/>
    <w:rsid w:val="00E81484"/>
    <w:rsid w:val="00E816EC"/>
    <w:rsid w:val="00E81CBF"/>
    <w:rsid w:val="00E821CF"/>
    <w:rsid w:val="00E822E9"/>
    <w:rsid w:val="00E8274B"/>
    <w:rsid w:val="00E8298E"/>
    <w:rsid w:val="00E82B23"/>
    <w:rsid w:val="00E82C57"/>
    <w:rsid w:val="00E82CFD"/>
    <w:rsid w:val="00E82E7C"/>
    <w:rsid w:val="00E82EFF"/>
    <w:rsid w:val="00E8304D"/>
    <w:rsid w:val="00E830BC"/>
    <w:rsid w:val="00E83300"/>
    <w:rsid w:val="00E8345C"/>
    <w:rsid w:val="00E83480"/>
    <w:rsid w:val="00E83503"/>
    <w:rsid w:val="00E8352A"/>
    <w:rsid w:val="00E8372A"/>
    <w:rsid w:val="00E837C7"/>
    <w:rsid w:val="00E83964"/>
    <w:rsid w:val="00E83C04"/>
    <w:rsid w:val="00E83FFF"/>
    <w:rsid w:val="00E84046"/>
    <w:rsid w:val="00E84247"/>
    <w:rsid w:val="00E842AC"/>
    <w:rsid w:val="00E843F7"/>
    <w:rsid w:val="00E8440F"/>
    <w:rsid w:val="00E84426"/>
    <w:rsid w:val="00E84482"/>
    <w:rsid w:val="00E845E6"/>
    <w:rsid w:val="00E846E0"/>
    <w:rsid w:val="00E8479A"/>
    <w:rsid w:val="00E84811"/>
    <w:rsid w:val="00E848D7"/>
    <w:rsid w:val="00E848F3"/>
    <w:rsid w:val="00E8494E"/>
    <w:rsid w:val="00E849B6"/>
    <w:rsid w:val="00E84BC0"/>
    <w:rsid w:val="00E84D8F"/>
    <w:rsid w:val="00E84DCE"/>
    <w:rsid w:val="00E84DEB"/>
    <w:rsid w:val="00E84F57"/>
    <w:rsid w:val="00E85165"/>
    <w:rsid w:val="00E8533F"/>
    <w:rsid w:val="00E85614"/>
    <w:rsid w:val="00E85824"/>
    <w:rsid w:val="00E8582D"/>
    <w:rsid w:val="00E8588C"/>
    <w:rsid w:val="00E85954"/>
    <w:rsid w:val="00E85A02"/>
    <w:rsid w:val="00E85A4A"/>
    <w:rsid w:val="00E85EDC"/>
    <w:rsid w:val="00E85FAF"/>
    <w:rsid w:val="00E86031"/>
    <w:rsid w:val="00E8603D"/>
    <w:rsid w:val="00E8616E"/>
    <w:rsid w:val="00E861E0"/>
    <w:rsid w:val="00E8648D"/>
    <w:rsid w:val="00E864F8"/>
    <w:rsid w:val="00E86533"/>
    <w:rsid w:val="00E86642"/>
    <w:rsid w:val="00E866A1"/>
    <w:rsid w:val="00E867AA"/>
    <w:rsid w:val="00E86E43"/>
    <w:rsid w:val="00E86EFE"/>
    <w:rsid w:val="00E86F6E"/>
    <w:rsid w:val="00E870BD"/>
    <w:rsid w:val="00E870F5"/>
    <w:rsid w:val="00E872F2"/>
    <w:rsid w:val="00E87327"/>
    <w:rsid w:val="00E8740C"/>
    <w:rsid w:val="00E87476"/>
    <w:rsid w:val="00E874A2"/>
    <w:rsid w:val="00E874F0"/>
    <w:rsid w:val="00E87913"/>
    <w:rsid w:val="00E87B3C"/>
    <w:rsid w:val="00E87B8D"/>
    <w:rsid w:val="00E87CC2"/>
    <w:rsid w:val="00E87CCE"/>
    <w:rsid w:val="00E90144"/>
    <w:rsid w:val="00E903A5"/>
    <w:rsid w:val="00E903DC"/>
    <w:rsid w:val="00E9048E"/>
    <w:rsid w:val="00E90493"/>
    <w:rsid w:val="00E908E4"/>
    <w:rsid w:val="00E90A69"/>
    <w:rsid w:val="00E90AA7"/>
    <w:rsid w:val="00E90B2B"/>
    <w:rsid w:val="00E90FD2"/>
    <w:rsid w:val="00E911EF"/>
    <w:rsid w:val="00E91248"/>
    <w:rsid w:val="00E91397"/>
    <w:rsid w:val="00E914A1"/>
    <w:rsid w:val="00E914C9"/>
    <w:rsid w:val="00E91661"/>
    <w:rsid w:val="00E916AA"/>
    <w:rsid w:val="00E91812"/>
    <w:rsid w:val="00E919B9"/>
    <w:rsid w:val="00E91A88"/>
    <w:rsid w:val="00E91B09"/>
    <w:rsid w:val="00E91BED"/>
    <w:rsid w:val="00E91D30"/>
    <w:rsid w:val="00E91D8C"/>
    <w:rsid w:val="00E91E90"/>
    <w:rsid w:val="00E91FB6"/>
    <w:rsid w:val="00E92071"/>
    <w:rsid w:val="00E920A1"/>
    <w:rsid w:val="00E92101"/>
    <w:rsid w:val="00E92177"/>
    <w:rsid w:val="00E92256"/>
    <w:rsid w:val="00E92271"/>
    <w:rsid w:val="00E925FB"/>
    <w:rsid w:val="00E92637"/>
    <w:rsid w:val="00E926DB"/>
    <w:rsid w:val="00E92735"/>
    <w:rsid w:val="00E92794"/>
    <w:rsid w:val="00E92805"/>
    <w:rsid w:val="00E92830"/>
    <w:rsid w:val="00E928A3"/>
    <w:rsid w:val="00E928E0"/>
    <w:rsid w:val="00E92BB1"/>
    <w:rsid w:val="00E92E85"/>
    <w:rsid w:val="00E92EEB"/>
    <w:rsid w:val="00E9308B"/>
    <w:rsid w:val="00E9317A"/>
    <w:rsid w:val="00E93293"/>
    <w:rsid w:val="00E93335"/>
    <w:rsid w:val="00E934FB"/>
    <w:rsid w:val="00E93604"/>
    <w:rsid w:val="00E93672"/>
    <w:rsid w:val="00E93993"/>
    <w:rsid w:val="00E93A97"/>
    <w:rsid w:val="00E93B17"/>
    <w:rsid w:val="00E940C5"/>
    <w:rsid w:val="00E94251"/>
    <w:rsid w:val="00E942E3"/>
    <w:rsid w:val="00E945E2"/>
    <w:rsid w:val="00E947DD"/>
    <w:rsid w:val="00E947E4"/>
    <w:rsid w:val="00E94989"/>
    <w:rsid w:val="00E94A94"/>
    <w:rsid w:val="00E94B78"/>
    <w:rsid w:val="00E94BA1"/>
    <w:rsid w:val="00E94CC0"/>
    <w:rsid w:val="00E94E11"/>
    <w:rsid w:val="00E94FCB"/>
    <w:rsid w:val="00E9505B"/>
    <w:rsid w:val="00E9508D"/>
    <w:rsid w:val="00E952D9"/>
    <w:rsid w:val="00E95454"/>
    <w:rsid w:val="00E954B9"/>
    <w:rsid w:val="00E9553A"/>
    <w:rsid w:val="00E95683"/>
    <w:rsid w:val="00E9569F"/>
    <w:rsid w:val="00E95726"/>
    <w:rsid w:val="00E957D3"/>
    <w:rsid w:val="00E95947"/>
    <w:rsid w:val="00E95CC3"/>
    <w:rsid w:val="00E95D95"/>
    <w:rsid w:val="00E95ED2"/>
    <w:rsid w:val="00E960AC"/>
    <w:rsid w:val="00E960D9"/>
    <w:rsid w:val="00E9615E"/>
    <w:rsid w:val="00E962C7"/>
    <w:rsid w:val="00E96437"/>
    <w:rsid w:val="00E96667"/>
    <w:rsid w:val="00E967CE"/>
    <w:rsid w:val="00E96A2B"/>
    <w:rsid w:val="00E96C9A"/>
    <w:rsid w:val="00E96DBF"/>
    <w:rsid w:val="00E96F46"/>
    <w:rsid w:val="00E96FA0"/>
    <w:rsid w:val="00E96FCF"/>
    <w:rsid w:val="00E970AA"/>
    <w:rsid w:val="00E970BE"/>
    <w:rsid w:val="00E97117"/>
    <w:rsid w:val="00E97158"/>
    <w:rsid w:val="00E973DC"/>
    <w:rsid w:val="00E973F1"/>
    <w:rsid w:val="00E97616"/>
    <w:rsid w:val="00E97699"/>
    <w:rsid w:val="00E97716"/>
    <w:rsid w:val="00E97749"/>
    <w:rsid w:val="00E977B8"/>
    <w:rsid w:val="00E977BD"/>
    <w:rsid w:val="00E9794A"/>
    <w:rsid w:val="00E97BFB"/>
    <w:rsid w:val="00E97C14"/>
    <w:rsid w:val="00E97CBE"/>
    <w:rsid w:val="00E97E02"/>
    <w:rsid w:val="00E97EAA"/>
    <w:rsid w:val="00EA0074"/>
    <w:rsid w:val="00EA0163"/>
    <w:rsid w:val="00EA0218"/>
    <w:rsid w:val="00EA0270"/>
    <w:rsid w:val="00EA05F3"/>
    <w:rsid w:val="00EA06EF"/>
    <w:rsid w:val="00EA08E0"/>
    <w:rsid w:val="00EA0940"/>
    <w:rsid w:val="00EA098F"/>
    <w:rsid w:val="00EA09F3"/>
    <w:rsid w:val="00EA0B35"/>
    <w:rsid w:val="00EA0EB5"/>
    <w:rsid w:val="00EA0F31"/>
    <w:rsid w:val="00EA0FDB"/>
    <w:rsid w:val="00EA11CE"/>
    <w:rsid w:val="00EA11D1"/>
    <w:rsid w:val="00EA1266"/>
    <w:rsid w:val="00EA153A"/>
    <w:rsid w:val="00EA15FB"/>
    <w:rsid w:val="00EA1653"/>
    <w:rsid w:val="00EA175B"/>
    <w:rsid w:val="00EA183D"/>
    <w:rsid w:val="00EA1861"/>
    <w:rsid w:val="00EA1924"/>
    <w:rsid w:val="00EA1960"/>
    <w:rsid w:val="00EA1C47"/>
    <w:rsid w:val="00EA1DC5"/>
    <w:rsid w:val="00EA1E52"/>
    <w:rsid w:val="00EA21EC"/>
    <w:rsid w:val="00EA2332"/>
    <w:rsid w:val="00EA28F2"/>
    <w:rsid w:val="00EA28FB"/>
    <w:rsid w:val="00EA2C59"/>
    <w:rsid w:val="00EA2C75"/>
    <w:rsid w:val="00EA309B"/>
    <w:rsid w:val="00EA30AE"/>
    <w:rsid w:val="00EA3211"/>
    <w:rsid w:val="00EA325C"/>
    <w:rsid w:val="00EA3310"/>
    <w:rsid w:val="00EA3382"/>
    <w:rsid w:val="00EA3396"/>
    <w:rsid w:val="00EA379F"/>
    <w:rsid w:val="00EA39A3"/>
    <w:rsid w:val="00EA3A1C"/>
    <w:rsid w:val="00EA3B74"/>
    <w:rsid w:val="00EA3ECF"/>
    <w:rsid w:val="00EA3FA5"/>
    <w:rsid w:val="00EA4163"/>
    <w:rsid w:val="00EA4191"/>
    <w:rsid w:val="00EA41A8"/>
    <w:rsid w:val="00EA4241"/>
    <w:rsid w:val="00EA4282"/>
    <w:rsid w:val="00EA4790"/>
    <w:rsid w:val="00EA4A47"/>
    <w:rsid w:val="00EA4C99"/>
    <w:rsid w:val="00EA5148"/>
    <w:rsid w:val="00EA5172"/>
    <w:rsid w:val="00EA51EC"/>
    <w:rsid w:val="00EA5239"/>
    <w:rsid w:val="00EA5311"/>
    <w:rsid w:val="00EA53A7"/>
    <w:rsid w:val="00EA5415"/>
    <w:rsid w:val="00EA55BA"/>
    <w:rsid w:val="00EA55CE"/>
    <w:rsid w:val="00EA5743"/>
    <w:rsid w:val="00EA5881"/>
    <w:rsid w:val="00EA5A00"/>
    <w:rsid w:val="00EA5A95"/>
    <w:rsid w:val="00EA5AC7"/>
    <w:rsid w:val="00EA5D9E"/>
    <w:rsid w:val="00EA5DE4"/>
    <w:rsid w:val="00EA5F08"/>
    <w:rsid w:val="00EA5FC7"/>
    <w:rsid w:val="00EA611B"/>
    <w:rsid w:val="00EA62AC"/>
    <w:rsid w:val="00EA663C"/>
    <w:rsid w:val="00EA687F"/>
    <w:rsid w:val="00EA6957"/>
    <w:rsid w:val="00EA69B1"/>
    <w:rsid w:val="00EA6B2C"/>
    <w:rsid w:val="00EA6D5C"/>
    <w:rsid w:val="00EA6D85"/>
    <w:rsid w:val="00EA737D"/>
    <w:rsid w:val="00EA7389"/>
    <w:rsid w:val="00EA74C6"/>
    <w:rsid w:val="00EA7537"/>
    <w:rsid w:val="00EA7865"/>
    <w:rsid w:val="00EA7887"/>
    <w:rsid w:val="00EA7B85"/>
    <w:rsid w:val="00EA7BAB"/>
    <w:rsid w:val="00EA7C87"/>
    <w:rsid w:val="00EA7CF2"/>
    <w:rsid w:val="00EA7CFB"/>
    <w:rsid w:val="00EA7D0D"/>
    <w:rsid w:val="00EA7EFC"/>
    <w:rsid w:val="00EA7F4B"/>
    <w:rsid w:val="00EB02A7"/>
    <w:rsid w:val="00EB0412"/>
    <w:rsid w:val="00EB051D"/>
    <w:rsid w:val="00EB054D"/>
    <w:rsid w:val="00EB0778"/>
    <w:rsid w:val="00EB0B3E"/>
    <w:rsid w:val="00EB0DFB"/>
    <w:rsid w:val="00EB0FCB"/>
    <w:rsid w:val="00EB139A"/>
    <w:rsid w:val="00EB14C6"/>
    <w:rsid w:val="00EB153A"/>
    <w:rsid w:val="00EB168F"/>
    <w:rsid w:val="00EB16F2"/>
    <w:rsid w:val="00EB1715"/>
    <w:rsid w:val="00EB172B"/>
    <w:rsid w:val="00EB1AC4"/>
    <w:rsid w:val="00EB1BC0"/>
    <w:rsid w:val="00EB1E08"/>
    <w:rsid w:val="00EB21C6"/>
    <w:rsid w:val="00EB2332"/>
    <w:rsid w:val="00EB2409"/>
    <w:rsid w:val="00EB277B"/>
    <w:rsid w:val="00EB287F"/>
    <w:rsid w:val="00EB289A"/>
    <w:rsid w:val="00EB2923"/>
    <w:rsid w:val="00EB2998"/>
    <w:rsid w:val="00EB2D3F"/>
    <w:rsid w:val="00EB2F66"/>
    <w:rsid w:val="00EB302B"/>
    <w:rsid w:val="00EB3243"/>
    <w:rsid w:val="00EB32CF"/>
    <w:rsid w:val="00EB32FD"/>
    <w:rsid w:val="00EB3717"/>
    <w:rsid w:val="00EB3731"/>
    <w:rsid w:val="00EB3859"/>
    <w:rsid w:val="00EB3CCF"/>
    <w:rsid w:val="00EB3CDC"/>
    <w:rsid w:val="00EB3D8E"/>
    <w:rsid w:val="00EB3DA4"/>
    <w:rsid w:val="00EB3E6F"/>
    <w:rsid w:val="00EB3F5F"/>
    <w:rsid w:val="00EB40EF"/>
    <w:rsid w:val="00EB41C4"/>
    <w:rsid w:val="00EB41EA"/>
    <w:rsid w:val="00EB423B"/>
    <w:rsid w:val="00EB42AC"/>
    <w:rsid w:val="00EB437D"/>
    <w:rsid w:val="00EB4397"/>
    <w:rsid w:val="00EB4507"/>
    <w:rsid w:val="00EB46EB"/>
    <w:rsid w:val="00EB47C6"/>
    <w:rsid w:val="00EB4887"/>
    <w:rsid w:val="00EB48EE"/>
    <w:rsid w:val="00EB4B72"/>
    <w:rsid w:val="00EB4C45"/>
    <w:rsid w:val="00EB4EEE"/>
    <w:rsid w:val="00EB50AE"/>
    <w:rsid w:val="00EB50CF"/>
    <w:rsid w:val="00EB51EB"/>
    <w:rsid w:val="00EB5616"/>
    <w:rsid w:val="00EB562D"/>
    <w:rsid w:val="00EB5667"/>
    <w:rsid w:val="00EB5A6F"/>
    <w:rsid w:val="00EB5D81"/>
    <w:rsid w:val="00EB5D9D"/>
    <w:rsid w:val="00EB5DCC"/>
    <w:rsid w:val="00EB5F4E"/>
    <w:rsid w:val="00EB6050"/>
    <w:rsid w:val="00EB60AA"/>
    <w:rsid w:val="00EB611B"/>
    <w:rsid w:val="00EB61E2"/>
    <w:rsid w:val="00EB61E4"/>
    <w:rsid w:val="00EB621B"/>
    <w:rsid w:val="00EB6314"/>
    <w:rsid w:val="00EB64BD"/>
    <w:rsid w:val="00EB650C"/>
    <w:rsid w:val="00EB6512"/>
    <w:rsid w:val="00EB668E"/>
    <w:rsid w:val="00EB6739"/>
    <w:rsid w:val="00EB685A"/>
    <w:rsid w:val="00EB68DC"/>
    <w:rsid w:val="00EB6D4D"/>
    <w:rsid w:val="00EB6F79"/>
    <w:rsid w:val="00EB7213"/>
    <w:rsid w:val="00EB72CD"/>
    <w:rsid w:val="00EB73BD"/>
    <w:rsid w:val="00EB7405"/>
    <w:rsid w:val="00EB7422"/>
    <w:rsid w:val="00EB7575"/>
    <w:rsid w:val="00EB76A3"/>
    <w:rsid w:val="00EB77A7"/>
    <w:rsid w:val="00EB77AA"/>
    <w:rsid w:val="00EB7833"/>
    <w:rsid w:val="00EB7902"/>
    <w:rsid w:val="00EB7922"/>
    <w:rsid w:val="00EB795D"/>
    <w:rsid w:val="00EB79A7"/>
    <w:rsid w:val="00EB7A74"/>
    <w:rsid w:val="00EB7B17"/>
    <w:rsid w:val="00EB7BB4"/>
    <w:rsid w:val="00EB7BD2"/>
    <w:rsid w:val="00EB7BE2"/>
    <w:rsid w:val="00EB7C4B"/>
    <w:rsid w:val="00EB7DC5"/>
    <w:rsid w:val="00EB7FAF"/>
    <w:rsid w:val="00EC0306"/>
    <w:rsid w:val="00EC03E1"/>
    <w:rsid w:val="00EC047A"/>
    <w:rsid w:val="00EC066A"/>
    <w:rsid w:val="00EC0717"/>
    <w:rsid w:val="00EC084E"/>
    <w:rsid w:val="00EC096D"/>
    <w:rsid w:val="00EC0B07"/>
    <w:rsid w:val="00EC0BFD"/>
    <w:rsid w:val="00EC0D29"/>
    <w:rsid w:val="00EC0DBB"/>
    <w:rsid w:val="00EC0FE5"/>
    <w:rsid w:val="00EC0FE9"/>
    <w:rsid w:val="00EC16B9"/>
    <w:rsid w:val="00EC1721"/>
    <w:rsid w:val="00EC1A19"/>
    <w:rsid w:val="00EC1ACC"/>
    <w:rsid w:val="00EC1AE7"/>
    <w:rsid w:val="00EC1B38"/>
    <w:rsid w:val="00EC1C75"/>
    <w:rsid w:val="00EC1E6C"/>
    <w:rsid w:val="00EC2042"/>
    <w:rsid w:val="00EC20D6"/>
    <w:rsid w:val="00EC2121"/>
    <w:rsid w:val="00EC229A"/>
    <w:rsid w:val="00EC232A"/>
    <w:rsid w:val="00EC2403"/>
    <w:rsid w:val="00EC2503"/>
    <w:rsid w:val="00EC2546"/>
    <w:rsid w:val="00EC27DE"/>
    <w:rsid w:val="00EC2896"/>
    <w:rsid w:val="00EC29EF"/>
    <w:rsid w:val="00EC2AF5"/>
    <w:rsid w:val="00EC2B51"/>
    <w:rsid w:val="00EC2B9B"/>
    <w:rsid w:val="00EC2BA9"/>
    <w:rsid w:val="00EC2C3A"/>
    <w:rsid w:val="00EC309E"/>
    <w:rsid w:val="00EC322E"/>
    <w:rsid w:val="00EC3236"/>
    <w:rsid w:val="00EC3324"/>
    <w:rsid w:val="00EC3426"/>
    <w:rsid w:val="00EC3583"/>
    <w:rsid w:val="00EC3677"/>
    <w:rsid w:val="00EC36D8"/>
    <w:rsid w:val="00EC37C4"/>
    <w:rsid w:val="00EC37CF"/>
    <w:rsid w:val="00EC383E"/>
    <w:rsid w:val="00EC38DD"/>
    <w:rsid w:val="00EC3C37"/>
    <w:rsid w:val="00EC3D62"/>
    <w:rsid w:val="00EC3F1A"/>
    <w:rsid w:val="00EC3F49"/>
    <w:rsid w:val="00EC3FFB"/>
    <w:rsid w:val="00EC42A8"/>
    <w:rsid w:val="00EC42B8"/>
    <w:rsid w:val="00EC4382"/>
    <w:rsid w:val="00EC4511"/>
    <w:rsid w:val="00EC4639"/>
    <w:rsid w:val="00EC4670"/>
    <w:rsid w:val="00EC4862"/>
    <w:rsid w:val="00EC4ABE"/>
    <w:rsid w:val="00EC4C6F"/>
    <w:rsid w:val="00EC4D9A"/>
    <w:rsid w:val="00EC4EBD"/>
    <w:rsid w:val="00EC511A"/>
    <w:rsid w:val="00EC51B3"/>
    <w:rsid w:val="00EC53B8"/>
    <w:rsid w:val="00EC5485"/>
    <w:rsid w:val="00EC5589"/>
    <w:rsid w:val="00EC589C"/>
    <w:rsid w:val="00EC5FB9"/>
    <w:rsid w:val="00EC610E"/>
    <w:rsid w:val="00EC61D8"/>
    <w:rsid w:val="00EC6223"/>
    <w:rsid w:val="00EC62B1"/>
    <w:rsid w:val="00EC65FA"/>
    <w:rsid w:val="00EC6604"/>
    <w:rsid w:val="00EC6E26"/>
    <w:rsid w:val="00EC704A"/>
    <w:rsid w:val="00EC70F1"/>
    <w:rsid w:val="00EC72DC"/>
    <w:rsid w:val="00EC7577"/>
    <w:rsid w:val="00EC7619"/>
    <w:rsid w:val="00EC7658"/>
    <w:rsid w:val="00EC78CF"/>
    <w:rsid w:val="00EC7940"/>
    <w:rsid w:val="00EC7959"/>
    <w:rsid w:val="00EC7B4D"/>
    <w:rsid w:val="00EC7BEF"/>
    <w:rsid w:val="00EC7D4D"/>
    <w:rsid w:val="00EC7EB8"/>
    <w:rsid w:val="00EC7FF2"/>
    <w:rsid w:val="00ED03BA"/>
    <w:rsid w:val="00ED03E8"/>
    <w:rsid w:val="00ED0968"/>
    <w:rsid w:val="00ED0A11"/>
    <w:rsid w:val="00ED0AFB"/>
    <w:rsid w:val="00ED0B7C"/>
    <w:rsid w:val="00ED0CD4"/>
    <w:rsid w:val="00ED0CED"/>
    <w:rsid w:val="00ED0D69"/>
    <w:rsid w:val="00ED0F05"/>
    <w:rsid w:val="00ED1077"/>
    <w:rsid w:val="00ED109C"/>
    <w:rsid w:val="00ED10C8"/>
    <w:rsid w:val="00ED1449"/>
    <w:rsid w:val="00ED1506"/>
    <w:rsid w:val="00ED156B"/>
    <w:rsid w:val="00ED1791"/>
    <w:rsid w:val="00ED17B5"/>
    <w:rsid w:val="00ED1A70"/>
    <w:rsid w:val="00ED1CE3"/>
    <w:rsid w:val="00ED1F81"/>
    <w:rsid w:val="00ED2393"/>
    <w:rsid w:val="00ED2412"/>
    <w:rsid w:val="00ED249D"/>
    <w:rsid w:val="00ED26B8"/>
    <w:rsid w:val="00ED273E"/>
    <w:rsid w:val="00ED2A51"/>
    <w:rsid w:val="00ED2B1E"/>
    <w:rsid w:val="00ED2BD6"/>
    <w:rsid w:val="00ED2D9C"/>
    <w:rsid w:val="00ED2EBF"/>
    <w:rsid w:val="00ED2EE7"/>
    <w:rsid w:val="00ED2F12"/>
    <w:rsid w:val="00ED31F6"/>
    <w:rsid w:val="00ED3289"/>
    <w:rsid w:val="00ED3570"/>
    <w:rsid w:val="00ED3711"/>
    <w:rsid w:val="00ED39B6"/>
    <w:rsid w:val="00ED3A92"/>
    <w:rsid w:val="00ED3B47"/>
    <w:rsid w:val="00ED3CF7"/>
    <w:rsid w:val="00ED3EC0"/>
    <w:rsid w:val="00ED3FE6"/>
    <w:rsid w:val="00ED4143"/>
    <w:rsid w:val="00ED42A5"/>
    <w:rsid w:val="00ED43E6"/>
    <w:rsid w:val="00ED4646"/>
    <w:rsid w:val="00ED47B2"/>
    <w:rsid w:val="00ED49F4"/>
    <w:rsid w:val="00ED4B85"/>
    <w:rsid w:val="00ED4D6E"/>
    <w:rsid w:val="00ED4D86"/>
    <w:rsid w:val="00ED5075"/>
    <w:rsid w:val="00ED52A0"/>
    <w:rsid w:val="00ED5377"/>
    <w:rsid w:val="00ED53EF"/>
    <w:rsid w:val="00ED5448"/>
    <w:rsid w:val="00ED566B"/>
    <w:rsid w:val="00ED5682"/>
    <w:rsid w:val="00ED5A0E"/>
    <w:rsid w:val="00ED5A70"/>
    <w:rsid w:val="00ED5C48"/>
    <w:rsid w:val="00ED5D01"/>
    <w:rsid w:val="00ED5D7C"/>
    <w:rsid w:val="00ED5E53"/>
    <w:rsid w:val="00ED5FCA"/>
    <w:rsid w:val="00ED5FE4"/>
    <w:rsid w:val="00ED64CC"/>
    <w:rsid w:val="00ED6514"/>
    <w:rsid w:val="00ED654D"/>
    <w:rsid w:val="00ED657A"/>
    <w:rsid w:val="00ED65EE"/>
    <w:rsid w:val="00ED6688"/>
    <w:rsid w:val="00ED66BF"/>
    <w:rsid w:val="00ED6B10"/>
    <w:rsid w:val="00ED6C24"/>
    <w:rsid w:val="00ED6E83"/>
    <w:rsid w:val="00ED71F1"/>
    <w:rsid w:val="00ED732E"/>
    <w:rsid w:val="00ED7330"/>
    <w:rsid w:val="00ED746D"/>
    <w:rsid w:val="00ED74DD"/>
    <w:rsid w:val="00ED7674"/>
    <w:rsid w:val="00ED76EE"/>
    <w:rsid w:val="00ED7806"/>
    <w:rsid w:val="00ED79A9"/>
    <w:rsid w:val="00ED79E4"/>
    <w:rsid w:val="00ED7B9A"/>
    <w:rsid w:val="00ED7C45"/>
    <w:rsid w:val="00ED7E79"/>
    <w:rsid w:val="00ED7F00"/>
    <w:rsid w:val="00ED9518"/>
    <w:rsid w:val="00EE0218"/>
    <w:rsid w:val="00EE0296"/>
    <w:rsid w:val="00EE0370"/>
    <w:rsid w:val="00EE0458"/>
    <w:rsid w:val="00EE056F"/>
    <w:rsid w:val="00EE069A"/>
    <w:rsid w:val="00EE07E2"/>
    <w:rsid w:val="00EE0A63"/>
    <w:rsid w:val="00EE0B1F"/>
    <w:rsid w:val="00EE0B8C"/>
    <w:rsid w:val="00EE0CD1"/>
    <w:rsid w:val="00EE0DFF"/>
    <w:rsid w:val="00EE0EB9"/>
    <w:rsid w:val="00EE0F7C"/>
    <w:rsid w:val="00EE1034"/>
    <w:rsid w:val="00EE1097"/>
    <w:rsid w:val="00EE114C"/>
    <w:rsid w:val="00EE1182"/>
    <w:rsid w:val="00EE14F0"/>
    <w:rsid w:val="00EE1514"/>
    <w:rsid w:val="00EE1590"/>
    <w:rsid w:val="00EE15CF"/>
    <w:rsid w:val="00EE16DF"/>
    <w:rsid w:val="00EE1773"/>
    <w:rsid w:val="00EE1ACB"/>
    <w:rsid w:val="00EE1B0C"/>
    <w:rsid w:val="00EE1C30"/>
    <w:rsid w:val="00EE1FDD"/>
    <w:rsid w:val="00EE21D0"/>
    <w:rsid w:val="00EE2210"/>
    <w:rsid w:val="00EE2234"/>
    <w:rsid w:val="00EE22F2"/>
    <w:rsid w:val="00EE237E"/>
    <w:rsid w:val="00EE2641"/>
    <w:rsid w:val="00EE2843"/>
    <w:rsid w:val="00EE2953"/>
    <w:rsid w:val="00EE2A03"/>
    <w:rsid w:val="00EE2B25"/>
    <w:rsid w:val="00EE2CB1"/>
    <w:rsid w:val="00EE2E65"/>
    <w:rsid w:val="00EE2F14"/>
    <w:rsid w:val="00EE2F72"/>
    <w:rsid w:val="00EE3249"/>
    <w:rsid w:val="00EE3550"/>
    <w:rsid w:val="00EE35B6"/>
    <w:rsid w:val="00EE38C4"/>
    <w:rsid w:val="00EE3B4A"/>
    <w:rsid w:val="00EE3FC1"/>
    <w:rsid w:val="00EE4288"/>
    <w:rsid w:val="00EE434C"/>
    <w:rsid w:val="00EE4920"/>
    <w:rsid w:val="00EE4D03"/>
    <w:rsid w:val="00EE50DF"/>
    <w:rsid w:val="00EE524B"/>
    <w:rsid w:val="00EE545A"/>
    <w:rsid w:val="00EE59EC"/>
    <w:rsid w:val="00EE5B60"/>
    <w:rsid w:val="00EE5DB5"/>
    <w:rsid w:val="00EE5F64"/>
    <w:rsid w:val="00EE5FC7"/>
    <w:rsid w:val="00EE609E"/>
    <w:rsid w:val="00EE60CB"/>
    <w:rsid w:val="00EE62B8"/>
    <w:rsid w:val="00EE62DA"/>
    <w:rsid w:val="00EE633A"/>
    <w:rsid w:val="00EE64EA"/>
    <w:rsid w:val="00EE656D"/>
    <w:rsid w:val="00EE6708"/>
    <w:rsid w:val="00EE6823"/>
    <w:rsid w:val="00EE6C58"/>
    <w:rsid w:val="00EE6D06"/>
    <w:rsid w:val="00EE6DAE"/>
    <w:rsid w:val="00EE6F22"/>
    <w:rsid w:val="00EE6FED"/>
    <w:rsid w:val="00EE7807"/>
    <w:rsid w:val="00EE7970"/>
    <w:rsid w:val="00EE79D7"/>
    <w:rsid w:val="00EE7A96"/>
    <w:rsid w:val="00EEBB2B"/>
    <w:rsid w:val="00EF003F"/>
    <w:rsid w:val="00EF03F2"/>
    <w:rsid w:val="00EF04F5"/>
    <w:rsid w:val="00EF05B0"/>
    <w:rsid w:val="00EF070A"/>
    <w:rsid w:val="00EF0C7C"/>
    <w:rsid w:val="00EF0C92"/>
    <w:rsid w:val="00EF122A"/>
    <w:rsid w:val="00EF16F1"/>
    <w:rsid w:val="00EF1979"/>
    <w:rsid w:val="00EF19C5"/>
    <w:rsid w:val="00EF19D6"/>
    <w:rsid w:val="00EF1B92"/>
    <w:rsid w:val="00EF1C0C"/>
    <w:rsid w:val="00EF1DF6"/>
    <w:rsid w:val="00EF1E57"/>
    <w:rsid w:val="00EF1F5A"/>
    <w:rsid w:val="00EF251F"/>
    <w:rsid w:val="00EF256D"/>
    <w:rsid w:val="00EF25F1"/>
    <w:rsid w:val="00EF2780"/>
    <w:rsid w:val="00EF2844"/>
    <w:rsid w:val="00EF28CE"/>
    <w:rsid w:val="00EF29E6"/>
    <w:rsid w:val="00EF2A3A"/>
    <w:rsid w:val="00EF2B8F"/>
    <w:rsid w:val="00EF2EF7"/>
    <w:rsid w:val="00EF2FCB"/>
    <w:rsid w:val="00EF3025"/>
    <w:rsid w:val="00EF3051"/>
    <w:rsid w:val="00EF340A"/>
    <w:rsid w:val="00EF37AD"/>
    <w:rsid w:val="00EF3821"/>
    <w:rsid w:val="00EF3B5E"/>
    <w:rsid w:val="00EF3BE8"/>
    <w:rsid w:val="00EF3CC5"/>
    <w:rsid w:val="00EF3D38"/>
    <w:rsid w:val="00EF3EE7"/>
    <w:rsid w:val="00EF3FF1"/>
    <w:rsid w:val="00EF40AB"/>
    <w:rsid w:val="00EF4216"/>
    <w:rsid w:val="00EF4237"/>
    <w:rsid w:val="00EF440E"/>
    <w:rsid w:val="00EF449A"/>
    <w:rsid w:val="00EF4501"/>
    <w:rsid w:val="00EF47BB"/>
    <w:rsid w:val="00EF4814"/>
    <w:rsid w:val="00EF49CA"/>
    <w:rsid w:val="00EF4AA0"/>
    <w:rsid w:val="00EF4ACF"/>
    <w:rsid w:val="00EF4C22"/>
    <w:rsid w:val="00EF4CCE"/>
    <w:rsid w:val="00EF4CDA"/>
    <w:rsid w:val="00EF4DC1"/>
    <w:rsid w:val="00EF4E02"/>
    <w:rsid w:val="00EF4E28"/>
    <w:rsid w:val="00EF4ED8"/>
    <w:rsid w:val="00EF4F16"/>
    <w:rsid w:val="00EF508A"/>
    <w:rsid w:val="00EF5210"/>
    <w:rsid w:val="00EF5322"/>
    <w:rsid w:val="00EF55AE"/>
    <w:rsid w:val="00EF55E7"/>
    <w:rsid w:val="00EF593A"/>
    <w:rsid w:val="00EF5D6F"/>
    <w:rsid w:val="00EF5E7C"/>
    <w:rsid w:val="00EF6131"/>
    <w:rsid w:val="00EF61A9"/>
    <w:rsid w:val="00EF61D3"/>
    <w:rsid w:val="00EF6209"/>
    <w:rsid w:val="00EF6226"/>
    <w:rsid w:val="00EF629F"/>
    <w:rsid w:val="00EF63B1"/>
    <w:rsid w:val="00EF6595"/>
    <w:rsid w:val="00EF65BD"/>
    <w:rsid w:val="00EF6829"/>
    <w:rsid w:val="00EF68A1"/>
    <w:rsid w:val="00EF6970"/>
    <w:rsid w:val="00EF6973"/>
    <w:rsid w:val="00EF6AD2"/>
    <w:rsid w:val="00EF6BD1"/>
    <w:rsid w:val="00EF6BDF"/>
    <w:rsid w:val="00EF6C1B"/>
    <w:rsid w:val="00EF6DEE"/>
    <w:rsid w:val="00EF6E44"/>
    <w:rsid w:val="00EF6EE9"/>
    <w:rsid w:val="00EF6FDB"/>
    <w:rsid w:val="00EF7556"/>
    <w:rsid w:val="00EF75F9"/>
    <w:rsid w:val="00EF766E"/>
    <w:rsid w:val="00EF7700"/>
    <w:rsid w:val="00EF781F"/>
    <w:rsid w:val="00EF7953"/>
    <w:rsid w:val="00EF7A4E"/>
    <w:rsid w:val="00EF7B1E"/>
    <w:rsid w:val="00EF7C3B"/>
    <w:rsid w:val="00EF7C9F"/>
    <w:rsid w:val="00EF7E50"/>
    <w:rsid w:val="00EF7E72"/>
    <w:rsid w:val="00EF7E9C"/>
    <w:rsid w:val="00EF7ECA"/>
    <w:rsid w:val="00F0042B"/>
    <w:rsid w:val="00F00734"/>
    <w:rsid w:val="00F007DC"/>
    <w:rsid w:val="00F008EA"/>
    <w:rsid w:val="00F0092A"/>
    <w:rsid w:val="00F00B86"/>
    <w:rsid w:val="00F00E98"/>
    <w:rsid w:val="00F00F53"/>
    <w:rsid w:val="00F00FEA"/>
    <w:rsid w:val="00F01449"/>
    <w:rsid w:val="00F014C0"/>
    <w:rsid w:val="00F014E4"/>
    <w:rsid w:val="00F014FE"/>
    <w:rsid w:val="00F0152D"/>
    <w:rsid w:val="00F0157A"/>
    <w:rsid w:val="00F01602"/>
    <w:rsid w:val="00F016D9"/>
    <w:rsid w:val="00F01879"/>
    <w:rsid w:val="00F0191A"/>
    <w:rsid w:val="00F019A9"/>
    <w:rsid w:val="00F01AB2"/>
    <w:rsid w:val="00F01BC5"/>
    <w:rsid w:val="00F01E37"/>
    <w:rsid w:val="00F01F00"/>
    <w:rsid w:val="00F01FC7"/>
    <w:rsid w:val="00F02028"/>
    <w:rsid w:val="00F02093"/>
    <w:rsid w:val="00F0217D"/>
    <w:rsid w:val="00F0230F"/>
    <w:rsid w:val="00F02469"/>
    <w:rsid w:val="00F024A0"/>
    <w:rsid w:val="00F026E3"/>
    <w:rsid w:val="00F02883"/>
    <w:rsid w:val="00F029DF"/>
    <w:rsid w:val="00F02AC0"/>
    <w:rsid w:val="00F02BB3"/>
    <w:rsid w:val="00F02BCB"/>
    <w:rsid w:val="00F02C09"/>
    <w:rsid w:val="00F02E3A"/>
    <w:rsid w:val="00F03492"/>
    <w:rsid w:val="00F034CF"/>
    <w:rsid w:val="00F0368E"/>
    <w:rsid w:val="00F03806"/>
    <w:rsid w:val="00F038B4"/>
    <w:rsid w:val="00F039AC"/>
    <w:rsid w:val="00F03A7D"/>
    <w:rsid w:val="00F03BCB"/>
    <w:rsid w:val="00F03DFC"/>
    <w:rsid w:val="00F0411A"/>
    <w:rsid w:val="00F04179"/>
    <w:rsid w:val="00F041FD"/>
    <w:rsid w:val="00F04262"/>
    <w:rsid w:val="00F0434E"/>
    <w:rsid w:val="00F04424"/>
    <w:rsid w:val="00F04714"/>
    <w:rsid w:val="00F0483C"/>
    <w:rsid w:val="00F04ACE"/>
    <w:rsid w:val="00F04DB1"/>
    <w:rsid w:val="00F04DB2"/>
    <w:rsid w:val="00F04DF2"/>
    <w:rsid w:val="00F04E50"/>
    <w:rsid w:val="00F05221"/>
    <w:rsid w:val="00F052B1"/>
    <w:rsid w:val="00F054F8"/>
    <w:rsid w:val="00F05525"/>
    <w:rsid w:val="00F056C0"/>
    <w:rsid w:val="00F0585F"/>
    <w:rsid w:val="00F058A2"/>
    <w:rsid w:val="00F059F6"/>
    <w:rsid w:val="00F05A1D"/>
    <w:rsid w:val="00F05ADA"/>
    <w:rsid w:val="00F05CA7"/>
    <w:rsid w:val="00F05CF6"/>
    <w:rsid w:val="00F05ED9"/>
    <w:rsid w:val="00F0601B"/>
    <w:rsid w:val="00F0606C"/>
    <w:rsid w:val="00F061C5"/>
    <w:rsid w:val="00F063BF"/>
    <w:rsid w:val="00F06468"/>
    <w:rsid w:val="00F06555"/>
    <w:rsid w:val="00F06596"/>
    <w:rsid w:val="00F06643"/>
    <w:rsid w:val="00F06710"/>
    <w:rsid w:val="00F06879"/>
    <w:rsid w:val="00F068F5"/>
    <w:rsid w:val="00F06997"/>
    <w:rsid w:val="00F06A30"/>
    <w:rsid w:val="00F06AA5"/>
    <w:rsid w:val="00F06CF4"/>
    <w:rsid w:val="00F06D64"/>
    <w:rsid w:val="00F06D8E"/>
    <w:rsid w:val="00F06D9E"/>
    <w:rsid w:val="00F06FA3"/>
    <w:rsid w:val="00F07030"/>
    <w:rsid w:val="00F07078"/>
    <w:rsid w:val="00F07115"/>
    <w:rsid w:val="00F07130"/>
    <w:rsid w:val="00F07279"/>
    <w:rsid w:val="00F073D7"/>
    <w:rsid w:val="00F0747A"/>
    <w:rsid w:val="00F07495"/>
    <w:rsid w:val="00F077B7"/>
    <w:rsid w:val="00F07811"/>
    <w:rsid w:val="00F07848"/>
    <w:rsid w:val="00F078DF"/>
    <w:rsid w:val="00F07A06"/>
    <w:rsid w:val="00F07A9A"/>
    <w:rsid w:val="00F07BE9"/>
    <w:rsid w:val="00F07C5A"/>
    <w:rsid w:val="00F07D10"/>
    <w:rsid w:val="00F07DA6"/>
    <w:rsid w:val="00F0D28C"/>
    <w:rsid w:val="00F10026"/>
    <w:rsid w:val="00F1030E"/>
    <w:rsid w:val="00F1049F"/>
    <w:rsid w:val="00F1053A"/>
    <w:rsid w:val="00F10A35"/>
    <w:rsid w:val="00F10CFD"/>
    <w:rsid w:val="00F1104A"/>
    <w:rsid w:val="00F1111E"/>
    <w:rsid w:val="00F112D7"/>
    <w:rsid w:val="00F11372"/>
    <w:rsid w:val="00F1148C"/>
    <w:rsid w:val="00F1167A"/>
    <w:rsid w:val="00F117E9"/>
    <w:rsid w:val="00F11A69"/>
    <w:rsid w:val="00F11B1E"/>
    <w:rsid w:val="00F11E75"/>
    <w:rsid w:val="00F11FC0"/>
    <w:rsid w:val="00F1203E"/>
    <w:rsid w:val="00F121AA"/>
    <w:rsid w:val="00F121D6"/>
    <w:rsid w:val="00F121F3"/>
    <w:rsid w:val="00F12430"/>
    <w:rsid w:val="00F124DE"/>
    <w:rsid w:val="00F12746"/>
    <w:rsid w:val="00F127DB"/>
    <w:rsid w:val="00F129FF"/>
    <w:rsid w:val="00F12A9D"/>
    <w:rsid w:val="00F12B38"/>
    <w:rsid w:val="00F12C2F"/>
    <w:rsid w:val="00F12C51"/>
    <w:rsid w:val="00F12DA7"/>
    <w:rsid w:val="00F12E3E"/>
    <w:rsid w:val="00F12EE1"/>
    <w:rsid w:val="00F135D8"/>
    <w:rsid w:val="00F135F9"/>
    <w:rsid w:val="00F136FA"/>
    <w:rsid w:val="00F137DC"/>
    <w:rsid w:val="00F13889"/>
    <w:rsid w:val="00F13890"/>
    <w:rsid w:val="00F13950"/>
    <w:rsid w:val="00F139A9"/>
    <w:rsid w:val="00F13A12"/>
    <w:rsid w:val="00F13A99"/>
    <w:rsid w:val="00F13C11"/>
    <w:rsid w:val="00F13C2F"/>
    <w:rsid w:val="00F13C3F"/>
    <w:rsid w:val="00F13F31"/>
    <w:rsid w:val="00F1403F"/>
    <w:rsid w:val="00F14052"/>
    <w:rsid w:val="00F140D0"/>
    <w:rsid w:val="00F14262"/>
    <w:rsid w:val="00F142AB"/>
    <w:rsid w:val="00F1433D"/>
    <w:rsid w:val="00F1435F"/>
    <w:rsid w:val="00F14671"/>
    <w:rsid w:val="00F14760"/>
    <w:rsid w:val="00F1476F"/>
    <w:rsid w:val="00F1486A"/>
    <w:rsid w:val="00F149B8"/>
    <w:rsid w:val="00F149D1"/>
    <w:rsid w:val="00F14A2F"/>
    <w:rsid w:val="00F14A3A"/>
    <w:rsid w:val="00F14A47"/>
    <w:rsid w:val="00F14AC3"/>
    <w:rsid w:val="00F14C9B"/>
    <w:rsid w:val="00F14C9F"/>
    <w:rsid w:val="00F14CF2"/>
    <w:rsid w:val="00F15633"/>
    <w:rsid w:val="00F1573C"/>
    <w:rsid w:val="00F1589E"/>
    <w:rsid w:val="00F158B3"/>
    <w:rsid w:val="00F15A17"/>
    <w:rsid w:val="00F15A45"/>
    <w:rsid w:val="00F15AB7"/>
    <w:rsid w:val="00F15B26"/>
    <w:rsid w:val="00F15CAA"/>
    <w:rsid w:val="00F15D3C"/>
    <w:rsid w:val="00F15DD3"/>
    <w:rsid w:val="00F15DE3"/>
    <w:rsid w:val="00F15E3A"/>
    <w:rsid w:val="00F16095"/>
    <w:rsid w:val="00F16148"/>
    <w:rsid w:val="00F16288"/>
    <w:rsid w:val="00F16665"/>
    <w:rsid w:val="00F166E0"/>
    <w:rsid w:val="00F16A30"/>
    <w:rsid w:val="00F16B68"/>
    <w:rsid w:val="00F16BAF"/>
    <w:rsid w:val="00F16BB8"/>
    <w:rsid w:val="00F16C8F"/>
    <w:rsid w:val="00F16D52"/>
    <w:rsid w:val="00F16E9F"/>
    <w:rsid w:val="00F1702B"/>
    <w:rsid w:val="00F1714F"/>
    <w:rsid w:val="00F1754D"/>
    <w:rsid w:val="00F17640"/>
    <w:rsid w:val="00F176BE"/>
    <w:rsid w:val="00F17854"/>
    <w:rsid w:val="00F17863"/>
    <w:rsid w:val="00F17B6B"/>
    <w:rsid w:val="00F17BBC"/>
    <w:rsid w:val="00F17F2F"/>
    <w:rsid w:val="00F17FFA"/>
    <w:rsid w:val="00F202BB"/>
    <w:rsid w:val="00F2072E"/>
    <w:rsid w:val="00F20735"/>
    <w:rsid w:val="00F2086C"/>
    <w:rsid w:val="00F20994"/>
    <w:rsid w:val="00F20997"/>
    <w:rsid w:val="00F20CE9"/>
    <w:rsid w:val="00F20CFE"/>
    <w:rsid w:val="00F20F35"/>
    <w:rsid w:val="00F20F95"/>
    <w:rsid w:val="00F211E4"/>
    <w:rsid w:val="00F21205"/>
    <w:rsid w:val="00F2138E"/>
    <w:rsid w:val="00F21405"/>
    <w:rsid w:val="00F217F9"/>
    <w:rsid w:val="00F218D5"/>
    <w:rsid w:val="00F21959"/>
    <w:rsid w:val="00F21A89"/>
    <w:rsid w:val="00F21BC0"/>
    <w:rsid w:val="00F21C69"/>
    <w:rsid w:val="00F21C98"/>
    <w:rsid w:val="00F21CF3"/>
    <w:rsid w:val="00F21EEA"/>
    <w:rsid w:val="00F21EFC"/>
    <w:rsid w:val="00F2250D"/>
    <w:rsid w:val="00F227B8"/>
    <w:rsid w:val="00F2288F"/>
    <w:rsid w:val="00F22D71"/>
    <w:rsid w:val="00F22FF2"/>
    <w:rsid w:val="00F23048"/>
    <w:rsid w:val="00F230C7"/>
    <w:rsid w:val="00F230C9"/>
    <w:rsid w:val="00F23267"/>
    <w:rsid w:val="00F2339A"/>
    <w:rsid w:val="00F23400"/>
    <w:rsid w:val="00F234AD"/>
    <w:rsid w:val="00F234D2"/>
    <w:rsid w:val="00F2380D"/>
    <w:rsid w:val="00F23A45"/>
    <w:rsid w:val="00F23A60"/>
    <w:rsid w:val="00F23B8B"/>
    <w:rsid w:val="00F23D19"/>
    <w:rsid w:val="00F23D4B"/>
    <w:rsid w:val="00F23F99"/>
    <w:rsid w:val="00F24026"/>
    <w:rsid w:val="00F24114"/>
    <w:rsid w:val="00F24196"/>
    <w:rsid w:val="00F2438D"/>
    <w:rsid w:val="00F243B3"/>
    <w:rsid w:val="00F24443"/>
    <w:rsid w:val="00F24613"/>
    <w:rsid w:val="00F24713"/>
    <w:rsid w:val="00F24883"/>
    <w:rsid w:val="00F249E4"/>
    <w:rsid w:val="00F24AC6"/>
    <w:rsid w:val="00F25193"/>
    <w:rsid w:val="00F251CF"/>
    <w:rsid w:val="00F25225"/>
    <w:rsid w:val="00F25240"/>
    <w:rsid w:val="00F25381"/>
    <w:rsid w:val="00F2539F"/>
    <w:rsid w:val="00F25409"/>
    <w:rsid w:val="00F254AC"/>
    <w:rsid w:val="00F25866"/>
    <w:rsid w:val="00F2593E"/>
    <w:rsid w:val="00F25A30"/>
    <w:rsid w:val="00F26111"/>
    <w:rsid w:val="00F261E4"/>
    <w:rsid w:val="00F262FB"/>
    <w:rsid w:val="00F2680C"/>
    <w:rsid w:val="00F26968"/>
    <w:rsid w:val="00F26B37"/>
    <w:rsid w:val="00F26B4F"/>
    <w:rsid w:val="00F26CA1"/>
    <w:rsid w:val="00F26F10"/>
    <w:rsid w:val="00F26F47"/>
    <w:rsid w:val="00F26FAF"/>
    <w:rsid w:val="00F26FD1"/>
    <w:rsid w:val="00F276F0"/>
    <w:rsid w:val="00F277DD"/>
    <w:rsid w:val="00F27B86"/>
    <w:rsid w:val="00F27D35"/>
    <w:rsid w:val="00F27DD0"/>
    <w:rsid w:val="00F27F72"/>
    <w:rsid w:val="00F27FBE"/>
    <w:rsid w:val="00F30009"/>
    <w:rsid w:val="00F3022C"/>
    <w:rsid w:val="00F30291"/>
    <w:rsid w:val="00F3033C"/>
    <w:rsid w:val="00F3053C"/>
    <w:rsid w:val="00F3053F"/>
    <w:rsid w:val="00F30558"/>
    <w:rsid w:val="00F305B4"/>
    <w:rsid w:val="00F305C1"/>
    <w:rsid w:val="00F30607"/>
    <w:rsid w:val="00F30A45"/>
    <w:rsid w:val="00F30AA8"/>
    <w:rsid w:val="00F30D5F"/>
    <w:rsid w:val="00F30E4C"/>
    <w:rsid w:val="00F3124F"/>
    <w:rsid w:val="00F312B3"/>
    <w:rsid w:val="00F312C3"/>
    <w:rsid w:val="00F3140B"/>
    <w:rsid w:val="00F31559"/>
    <w:rsid w:val="00F316CB"/>
    <w:rsid w:val="00F317A5"/>
    <w:rsid w:val="00F318AD"/>
    <w:rsid w:val="00F318F3"/>
    <w:rsid w:val="00F31AFC"/>
    <w:rsid w:val="00F31AFD"/>
    <w:rsid w:val="00F31BAC"/>
    <w:rsid w:val="00F31DFA"/>
    <w:rsid w:val="00F31FA3"/>
    <w:rsid w:val="00F32649"/>
    <w:rsid w:val="00F32751"/>
    <w:rsid w:val="00F3276D"/>
    <w:rsid w:val="00F327B6"/>
    <w:rsid w:val="00F327EA"/>
    <w:rsid w:val="00F3284A"/>
    <w:rsid w:val="00F329CF"/>
    <w:rsid w:val="00F32B67"/>
    <w:rsid w:val="00F32D6F"/>
    <w:rsid w:val="00F32DB7"/>
    <w:rsid w:val="00F330D3"/>
    <w:rsid w:val="00F330FC"/>
    <w:rsid w:val="00F33168"/>
    <w:rsid w:val="00F332BD"/>
    <w:rsid w:val="00F3342A"/>
    <w:rsid w:val="00F3348A"/>
    <w:rsid w:val="00F334FF"/>
    <w:rsid w:val="00F335F7"/>
    <w:rsid w:val="00F33698"/>
    <w:rsid w:val="00F337B2"/>
    <w:rsid w:val="00F338BA"/>
    <w:rsid w:val="00F33A04"/>
    <w:rsid w:val="00F33A82"/>
    <w:rsid w:val="00F33CB5"/>
    <w:rsid w:val="00F33D4B"/>
    <w:rsid w:val="00F33E30"/>
    <w:rsid w:val="00F33FB9"/>
    <w:rsid w:val="00F341EB"/>
    <w:rsid w:val="00F34249"/>
    <w:rsid w:val="00F34328"/>
    <w:rsid w:val="00F34392"/>
    <w:rsid w:val="00F343C3"/>
    <w:rsid w:val="00F346C3"/>
    <w:rsid w:val="00F34700"/>
    <w:rsid w:val="00F3478E"/>
    <w:rsid w:val="00F347BF"/>
    <w:rsid w:val="00F34A52"/>
    <w:rsid w:val="00F34C79"/>
    <w:rsid w:val="00F34D78"/>
    <w:rsid w:val="00F34E90"/>
    <w:rsid w:val="00F34EAE"/>
    <w:rsid w:val="00F34F4E"/>
    <w:rsid w:val="00F350B6"/>
    <w:rsid w:val="00F351BD"/>
    <w:rsid w:val="00F3522B"/>
    <w:rsid w:val="00F35393"/>
    <w:rsid w:val="00F3555B"/>
    <w:rsid w:val="00F3574B"/>
    <w:rsid w:val="00F3574E"/>
    <w:rsid w:val="00F357B8"/>
    <w:rsid w:val="00F35837"/>
    <w:rsid w:val="00F35909"/>
    <w:rsid w:val="00F361B6"/>
    <w:rsid w:val="00F3621D"/>
    <w:rsid w:val="00F36318"/>
    <w:rsid w:val="00F364E6"/>
    <w:rsid w:val="00F365E0"/>
    <w:rsid w:val="00F3663E"/>
    <w:rsid w:val="00F3668B"/>
    <w:rsid w:val="00F366D9"/>
    <w:rsid w:val="00F367BB"/>
    <w:rsid w:val="00F3681D"/>
    <w:rsid w:val="00F36AF8"/>
    <w:rsid w:val="00F36B1E"/>
    <w:rsid w:val="00F36BC7"/>
    <w:rsid w:val="00F36C60"/>
    <w:rsid w:val="00F36D84"/>
    <w:rsid w:val="00F36F08"/>
    <w:rsid w:val="00F3706C"/>
    <w:rsid w:val="00F37093"/>
    <w:rsid w:val="00F37222"/>
    <w:rsid w:val="00F373D8"/>
    <w:rsid w:val="00F37520"/>
    <w:rsid w:val="00F376CC"/>
    <w:rsid w:val="00F37764"/>
    <w:rsid w:val="00F377B8"/>
    <w:rsid w:val="00F37B86"/>
    <w:rsid w:val="00F37BAD"/>
    <w:rsid w:val="00F37CCE"/>
    <w:rsid w:val="00F4026A"/>
    <w:rsid w:val="00F40291"/>
    <w:rsid w:val="00F404FB"/>
    <w:rsid w:val="00F406E3"/>
    <w:rsid w:val="00F407CD"/>
    <w:rsid w:val="00F40820"/>
    <w:rsid w:val="00F40A26"/>
    <w:rsid w:val="00F40AD3"/>
    <w:rsid w:val="00F40AFB"/>
    <w:rsid w:val="00F40B66"/>
    <w:rsid w:val="00F40BA4"/>
    <w:rsid w:val="00F40C0A"/>
    <w:rsid w:val="00F40C0D"/>
    <w:rsid w:val="00F40C44"/>
    <w:rsid w:val="00F40EB9"/>
    <w:rsid w:val="00F40FA4"/>
    <w:rsid w:val="00F41045"/>
    <w:rsid w:val="00F41307"/>
    <w:rsid w:val="00F41405"/>
    <w:rsid w:val="00F41491"/>
    <w:rsid w:val="00F4149A"/>
    <w:rsid w:val="00F4155D"/>
    <w:rsid w:val="00F41749"/>
    <w:rsid w:val="00F4183C"/>
    <w:rsid w:val="00F41902"/>
    <w:rsid w:val="00F41929"/>
    <w:rsid w:val="00F41C56"/>
    <w:rsid w:val="00F41CD7"/>
    <w:rsid w:val="00F41CEE"/>
    <w:rsid w:val="00F41E44"/>
    <w:rsid w:val="00F41F82"/>
    <w:rsid w:val="00F4244B"/>
    <w:rsid w:val="00F4265C"/>
    <w:rsid w:val="00F42978"/>
    <w:rsid w:val="00F42D65"/>
    <w:rsid w:val="00F42D7E"/>
    <w:rsid w:val="00F42DA7"/>
    <w:rsid w:val="00F430A2"/>
    <w:rsid w:val="00F430A5"/>
    <w:rsid w:val="00F430C1"/>
    <w:rsid w:val="00F4314F"/>
    <w:rsid w:val="00F43369"/>
    <w:rsid w:val="00F43385"/>
    <w:rsid w:val="00F436EE"/>
    <w:rsid w:val="00F4372B"/>
    <w:rsid w:val="00F4373F"/>
    <w:rsid w:val="00F4378B"/>
    <w:rsid w:val="00F4394B"/>
    <w:rsid w:val="00F43A9C"/>
    <w:rsid w:val="00F43B67"/>
    <w:rsid w:val="00F43B71"/>
    <w:rsid w:val="00F43BDC"/>
    <w:rsid w:val="00F43D48"/>
    <w:rsid w:val="00F43DC4"/>
    <w:rsid w:val="00F43E9A"/>
    <w:rsid w:val="00F43F3A"/>
    <w:rsid w:val="00F44078"/>
    <w:rsid w:val="00F44126"/>
    <w:rsid w:val="00F4414E"/>
    <w:rsid w:val="00F441D4"/>
    <w:rsid w:val="00F441E7"/>
    <w:rsid w:val="00F44245"/>
    <w:rsid w:val="00F444AF"/>
    <w:rsid w:val="00F44502"/>
    <w:rsid w:val="00F44607"/>
    <w:rsid w:val="00F448A8"/>
    <w:rsid w:val="00F44A16"/>
    <w:rsid w:val="00F44A9E"/>
    <w:rsid w:val="00F44B6E"/>
    <w:rsid w:val="00F44B7B"/>
    <w:rsid w:val="00F44EFF"/>
    <w:rsid w:val="00F44F4B"/>
    <w:rsid w:val="00F4502A"/>
    <w:rsid w:val="00F4510A"/>
    <w:rsid w:val="00F451F6"/>
    <w:rsid w:val="00F452B6"/>
    <w:rsid w:val="00F45446"/>
    <w:rsid w:val="00F45723"/>
    <w:rsid w:val="00F45871"/>
    <w:rsid w:val="00F45D1B"/>
    <w:rsid w:val="00F45E06"/>
    <w:rsid w:val="00F45FCC"/>
    <w:rsid w:val="00F460AD"/>
    <w:rsid w:val="00F46147"/>
    <w:rsid w:val="00F46220"/>
    <w:rsid w:val="00F462C0"/>
    <w:rsid w:val="00F46317"/>
    <w:rsid w:val="00F46364"/>
    <w:rsid w:val="00F46413"/>
    <w:rsid w:val="00F4655B"/>
    <w:rsid w:val="00F46686"/>
    <w:rsid w:val="00F46B0F"/>
    <w:rsid w:val="00F46B10"/>
    <w:rsid w:val="00F46BAF"/>
    <w:rsid w:val="00F46BB3"/>
    <w:rsid w:val="00F46CBA"/>
    <w:rsid w:val="00F46D8C"/>
    <w:rsid w:val="00F46D8F"/>
    <w:rsid w:val="00F46DA1"/>
    <w:rsid w:val="00F46EA1"/>
    <w:rsid w:val="00F46FDA"/>
    <w:rsid w:val="00F46FEB"/>
    <w:rsid w:val="00F4707A"/>
    <w:rsid w:val="00F47099"/>
    <w:rsid w:val="00F47134"/>
    <w:rsid w:val="00F47556"/>
    <w:rsid w:val="00F47619"/>
    <w:rsid w:val="00F47672"/>
    <w:rsid w:val="00F4777D"/>
    <w:rsid w:val="00F477C9"/>
    <w:rsid w:val="00F47856"/>
    <w:rsid w:val="00F478FC"/>
    <w:rsid w:val="00F4793E"/>
    <w:rsid w:val="00F47A60"/>
    <w:rsid w:val="00F47A84"/>
    <w:rsid w:val="00F47B4F"/>
    <w:rsid w:val="00F47D77"/>
    <w:rsid w:val="00F47DCC"/>
    <w:rsid w:val="00F47E77"/>
    <w:rsid w:val="00F47F70"/>
    <w:rsid w:val="00F50227"/>
    <w:rsid w:val="00F50286"/>
    <w:rsid w:val="00F50329"/>
    <w:rsid w:val="00F505D8"/>
    <w:rsid w:val="00F508B4"/>
    <w:rsid w:val="00F50D28"/>
    <w:rsid w:val="00F50DAF"/>
    <w:rsid w:val="00F50E58"/>
    <w:rsid w:val="00F50EBE"/>
    <w:rsid w:val="00F51020"/>
    <w:rsid w:val="00F51120"/>
    <w:rsid w:val="00F51345"/>
    <w:rsid w:val="00F51532"/>
    <w:rsid w:val="00F515D2"/>
    <w:rsid w:val="00F5189A"/>
    <w:rsid w:val="00F518C4"/>
    <w:rsid w:val="00F519F9"/>
    <w:rsid w:val="00F51ADA"/>
    <w:rsid w:val="00F51BAA"/>
    <w:rsid w:val="00F51C3B"/>
    <w:rsid w:val="00F51F56"/>
    <w:rsid w:val="00F52063"/>
    <w:rsid w:val="00F520C9"/>
    <w:rsid w:val="00F524EB"/>
    <w:rsid w:val="00F52526"/>
    <w:rsid w:val="00F526C9"/>
    <w:rsid w:val="00F526D2"/>
    <w:rsid w:val="00F52977"/>
    <w:rsid w:val="00F5299E"/>
    <w:rsid w:val="00F52B1B"/>
    <w:rsid w:val="00F52B79"/>
    <w:rsid w:val="00F52BA4"/>
    <w:rsid w:val="00F52D5B"/>
    <w:rsid w:val="00F52F57"/>
    <w:rsid w:val="00F53060"/>
    <w:rsid w:val="00F53120"/>
    <w:rsid w:val="00F53147"/>
    <w:rsid w:val="00F53332"/>
    <w:rsid w:val="00F533FA"/>
    <w:rsid w:val="00F5348C"/>
    <w:rsid w:val="00F535FE"/>
    <w:rsid w:val="00F53735"/>
    <w:rsid w:val="00F5375C"/>
    <w:rsid w:val="00F5399B"/>
    <w:rsid w:val="00F53A7C"/>
    <w:rsid w:val="00F53B62"/>
    <w:rsid w:val="00F53C3A"/>
    <w:rsid w:val="00F53D03"/>
    <w:rsid w:val="00F53E28"/>
    <w:rsid w:val="00F542D3"/>
    <w:rsid w:val="00F5463D"/>
    <w:rsid w:val="00F54A18"/>
    <w:rsid w:val="00F54B54"/>
    <w:rsid w:val="00F54B5D"/>
    <w:rsid w:val="00F54C28"/>
    <w:rsid w:val="00F54CE4"/>
    <w:rsid w:val="00F54D42"/>
    <w:rsid w:val="00F54DBA"/>
    <w:rsid w:val="00F54E34"/>
    <w:rsid w:val="00F5504E"/>
    <w:rsid w:val="00F551A8"/>
    <w:rsid w:val="00F55639"/>
    <w:rsid w:val="00F55644"/>
    <w:rsid w:val="00F55685"/>
    <w:rsid w:val="00F55730"/>
    <w:rsid w:val="00F55AAF"/>
    <w:rsid w:val="00F55B81"/>
    <w:rsid w:val="00F56110"/>
    <w:rsid w:val="00F56269"/>
    <w:rsid w:val="00F562FD"/>
    <w:rsid w:val="00F5652F"/>
    <w:rsid w:val="00F56552"/>
    <w:rsid w:val="00F565C8"/>
    <w:rsid w:val="00F566C0"/>
    <w:rsid w:val="00F567AD"/>
    <w:rsid w:val="00F567FC"/>
    <w:rsid w:val="00F56894"/>
    <w:rsid w:val="00F568D4"/>
    <w:rsid w:val="00F56960"/>
    <w:rsid w:val="00F56C19"/>
    <w:rsid w:val="00F56C9F"/>
    <w:rsid w:val="00F56D9B"/>
    <w:rsid w:val="00F56DED"/>
    <w:rsid w:val="00F56E89"/>
    <w:rsid w:val="00F572B6"/>
    <w:rsid w:val="00F575C0"/>
    <w:rsid w:val="00F57623"/>
    <w:rsid w:val="00F576AD"/>
    <w:rsid w:val="00F5782E"/>
    <w:rsid w:val="00F57C07"/>
    <w:rsid w:val="00F57D05"/>
    <w:rsid w:val="00F57D24"/>
    <w:rsid w:val="00F57E2F"/>
    <w:rsid w:val="00F57F31"/>
    <w:rsid w:val="00F6006C"/>
    <w:rsid w:val="00F604A7"/>
    <w:rsid w:val="00F60538"/>
    <w:rsid w:val="00F6065E"/>
    <w:rsid w:val="00F606A4"/>
    <w:rsid w:val="00F606D1"/>
    <w:rsid w:val="00F6071F"/>
    <w:rsid w:val="00F60755"/>
    <w:rsid w:val="00F6096E"/>
    <w:rsid w:val="00F60B4C"/>
    <w:rsid w:val="00F60D77"/>
    <w:rsid w:val="00F60EBD"/>
    <w:rsid w:val="00F6107B"/>
    <w:rsid w:val="00F610CF"/>
    <w:rsid w:val="00F611E5"/>
    <w:rsid w:val="00F6128E"/>
    <w:rsid w:val="00F61329"/>
    <w:rsid w:val="00F61363"/>
    <w:rsid w:val="00F6147F"/>
    <w:rsid w:val="00F61482"/>
    <w:rsid w:val="00F616D6"/>
    <w:rsid w:val="00F61BA8"/>
    <w:rsid w:val="00F61C70"/>
    <w:rsid w:val="00F61CA5"/>
    <w:rsid w:val="00F61CDA"/>
    <w:rsid w:val="00F61E7D"/>
    <w:rsid w:val="00F61EA5"/>
    <w:rsid w:val="00F61EC9"/>
    <w:rsid w:val="00F620C0"/>
    <w:rsid w:val="00F62166"/>
    <w:rsid w:val="00F623D9"/>
    <w:rsid w:val="00F62578"/>
    <w:rsid w:val="00F625E2"/>
    <w:rsid w:val="00F6268C"/>
    <w:rsid w:val="00F626C3"/>
    <w:rsid w:val="00F627B9"/>
    <w:rsid w:val="00F627BA"/>
    <w:rsid w:val="00F627DB"/>
    <w:rsid w:val="00F62815"/>
    <w:rsid w:val="00F6286A"/>
    <w:rsid w:val="00F628D8"/>
    <w:rsid w:val="00F62942"/>
    <w:rsid w:val="00F629EC"/>
    <w:rsid w:val="00F62A5E"/>
    <w:rsid w:val="00F62A7F"/>
    <w:rsid w:val="00F62A81"/>
    <w:rsid w:val="00F62AE8"/>
    <w:rsid w:val="00F62B48"/>
    <w:rsid w:val="00F62BC9"/>
    <w:rsid w:val="00F62C5B"/>
    <w:rsid w:val="00F62D50"/>
    <w:rsid w:val="00F62D75"/>
    <w:rsid w:val="00F62E21"/>
    <w:rsid w:val="00F62FF5"/>
    <w:rsid w:val="00F6304B"/>
    <w:rsid w:val="00F630FF"/>
    <w:rsid w:val="00F631C4"/>
    <w:rsid w:val="00F631FA"/>
    <w:rsid w:val="00F63208"/>
    <w:rsid w:val="00F634AE"/>
    <w:rsid w:val="00F634D5"/>
    <w:rsid w:val="00F63633"/>
    <w:rsid w:val="00F63693"/>
    <w:rsid w:val="00F638B9"/>
    <w:rsid w:val="00F63A4E"/>
    <w:rsid w:val="00F63B53"/>
    <w:rsid w:val="00F63C20"/>
    <w:rsid w:val="00F63CCA"/>
    <w:rsid w:val="00F63D78"/>
    <w:rsid w:val="00F63E94"/>
    <w:rsid w:val="00F63EE7"/>
    <w:rsid w:val="00F63F81"/>
    <w:rsid w:val="00F6405A"/>
    <w:rsid w:val="00F642CE"/>
    <w:rsid w:val="00F644CD"/>
    <w:rsid w:val="00F646CE"/>
    <w:rsid w:val="00F64744"/>
    <w:rsid w:val="00F64801"/>
    <w:rsid w:val="00F6499D"/>
    <w:rsid w:val="00F649D5"/>
    <w:rsid w:val="00F64A42"/>
    <w:rsid w:val="00F64E22"/>
    <w:rsid w:val="00F65387"/>
    <w:rsid w:val="00F65454"/>
    <w:rsid w:val="00F655BF"/>
    <w:rsid w:val="00F6574D"/>
    <w:rsid w:val="00F658E6"/>
    <w:rsid w:val="00F6594F"/>
    <w:rsid w:val="00F65969"/>
    <w:rsid w:val="00F6597A"/>
    <w:rsid w:val="00F65B2D"/>
    <w:rsid w:val="00F65B47"/>
    <w:rsid w:val="00F65B50"/>
    <w:rsid w:val="00F65B94"/>
    <w:rsid w:val="00F65BD0"/>
    <w:rsid w:val="00F65E07"/>
    <w:rsid w:val="00F65EDF"/>
    <w:rsid w:val="00F6610A"/>
    <w:rsid w:val="00F66187"/>
    <w:rsid w:val="00F66357"/>
    <w:rsid w:val="00F66373"/>
    <w:rsid w:val="00F6655F"/>
    <w:rsid w:val="00F666A2"/>
    <w:rsid w:val="00F66775"/>
    <w:rsid w:val="00F66ABF"/>
    <w:rsid w:val="00F66B32"/>
    <w:rsid w:val="00F66B70"/>
    <w:rsid w:val="00F66C29"/>
    <w:rsid w:val="00F66F8E"/>
    <w:rsid w:val="00F67025"/>
    <w:rsid w:val="00F67086"/>
    <w:rsid w:val="00F67089"/>
    <w:rsid w:val="00F67204"/>
    <w:rsid w:val="00F67240"/>
    <w:rsid w:val="00F672D5"/>
    <w:rsid w:val="00F6738E"/>
    <w:rsid w:val="00F67592"/>
    <w:rsid w:val="00F67918"/>
    <w:rsid w:val="00F67959"/>
    <w:rsid w:val="00F679FB"/>
    <w:rsid w:val="00F67A63"/>
    <w:rsid w:val="00F700B3"/>
    <w:rsid w:val="00F702AD"/>
    <w:rsid w:val="00F70440"/>
    <w:rsid w:val="00F70589"/>
    <w:rsid w:val="00F705D5"/>
    <w:rsid w:val="00F706A8"/>
    <w:rsid w:val="00F70798"/>
    <w:rsid w:val="00F7079C"/>
    <w:rsid w:val="00F709D2"/>
    <w:rsid w:val="00F70B05"/>
    <w:rsid w:val="00F70B8D"/>
    <w:rsid w:val="00F70D4E"/>
    <w:rsid w:val="00F71084"/>
    <w:rsid w:val="00F710DE"/>
    <w:rsid w:val="00F711E7"/>
    <w:rsid w:val="00F7147D"/>
    <w:rsid w:val="00F71522"/>
    <w:rsid w:val="00F71655"/>
    <w:rsid w:val="00F7193C"/>
    <w:rsid w:val="00F71A36"/>
    <w:rsid w:val="00F71B21"/>
    <w:rsid w:val="00F71BED"/>
    <w:rsid w:val="00F71F7F"/>
    <w:rsid w:val="00F72045"/>
    <w:rsid w:val="00F7206A"/>
    <w:rsid w:val="00F72072"/>
    <w:rsid w:val="00F720BA"/>
    <w:rsid w:val="00F721F0"/>
    <w:rsid w:val="00F7225E"/>
    <w:rsid w:val="00F724B9"/>
    <w:rsid w:val="00F72BF4"/>
    <w:rsid w:val="00F72D5F"/>
    <w:rsid w:val="00F72E12"/>
    <w:rsid w:val="00F72F87"/>
    <w:rsid w:val="00F72FD6"/>
    <w:rsid w:val="00F73227"/>
    <w:rsid w:val="00F733C0"/>
    <w:rsid w:val="00F73403"/>
    <w:rsid w:val="00F73442"/>
    <w:rsid w:val="00F7349B"/>
    <w:rsid w:val="00F73769"/>
    <w:rsid w:val="00F739AF"/>
    <w:rsid w:val="00F73BBB"/>
    <w:rsid w:val="00F73C6B"/>
    <w:rsid w:val="00F73D4F"/>
    <w:rsid w:val="00F73D91"/>
    <w:rsid w:val="00F7416F"/>
    <w:rsid w:val="00F74195"/>
    <w:rsid w:val="00F742C5"/>
    <w:rsid w:val="00F74348"/>
    <w:rsid w:val="00F74349"/>
    <w:rsid w:val="00F743A9"/>
    <w:rsid w:val="00F7458F"/>
    <w:rsid w:val="00F74670"/>
    <w:rsid w:val="00F7472F"/>
    <w:rsid w:val="00F7487D"/>
    <w:rsid w:val="00F74897"/>
    <w:rsid w:val="00F748D1"/>
    <w:rsid w:val="00F74CD2"/>
    <w:rsid w:val="00F74D65"/>
    <w:rsid w:val="00F74F2A"/>
    <w:rsid w:val="00F75022"/>
    <w:rsid w:val="00F7505D"/>
    <w:rsid w:val="00F750F7"/>
    <w:rsid w:val="00F751AD"/>
    <w:rsid w:val="00F7521B"/>
    <w:rsid w:val="00F754C3"/>
    <w:rsid w:val="00F75503"/>
    <w:rsid w:val="00F757E1"/>
    <w:rsid w:val="00F758D3"/>
    <w:rsid w:val="00F75CCF"/>
    <w:rsid w:val="00F75F01"/>
    <w:rsid w:val="00F762D5"/>
    <w:rsid w:val="00F765F7"/>
    <w:rsid w:val="00F76623"/>
    <w:rsid w:val="00F76A1C"/>
    <w:rsid w:val="00F76A62"/>
    <w:rsid w:val="00F76AAE"/>
    <w:rsid w:val="00F76D3F"/>
    <w:rsid w:val="00F76DCD"/>
    <w:rsid w:val="00F76DEB"/>
    <w:rsid w:val="00F76F8C"/>
    <w:rsid w:val="00F76FFB"/>
    <w:rsid w:val="00F77187"/>
    <w:rsid w:val="00F772A0"/>
    <w:rsid w:val="00F77308"/>
    <w:rsid w:val="00F77339"/>
    <w:rsid w:val="00F773C1"/>
    <w:rsid w:val="00F77460"/>
    <w:rsid w:val="00F77676"/>
    <w:rsid w:val="00F7778C"/>
    <w:rsid w:val="00F77911"/>
    <w:rsid w:val="00F77C7B"/>
    <w:rsid w:val="00F77D3E"/>
    <w:rsid w:val="00F77E72"/>
    <w:rsid w:val="00F77EE5"/>
    <w:rsid w:val="00F77EF1"/>
    <w:rsid w:val="00F77EFD"/>
    <w:rsid w:val="00F77FF4"/>
    <w:rsid w:val="00F80056"/>
    <w:rsid w:val="00F800B0"/>
    <w:rsid w:val="00F800E3"/>
    <w:rsid w:val="00F80203"/>
    <w:rsid w:val="00F802AC"/>
    <w:rsid w:val="00F80357"/>
    <w:rsid w:val="00F8039A"/>
    <w:rsid w:val="00F803DA"/>
    <w:rsid w:val="00F8052F"/>
    <w:rsid w:val="00F805A8"/>
    <w:rsid w:val="00F80611"/>
    <w:rsid w:val="00F806A2"/>
    <w:rsid w:val="00F80A28"/>
    <w:rsid w:val="00F80BB7"/>
    <w:rsid w:val="00F80C07"/>
    <w:rsid w:val="00F80C6E"/>
    <w:rsid w:val="00F80E81"/>
    <w:rsid w:val="00F80F95"/>
    <w:rsid w:val="00F8111A"/>
    <w:rsid w:val="00F81191"/>
    <w:rsid w:val="00F8127A"/>
    <w:rsid w:val="00F812D4"/>
    <w:rsid w:val="00F81305"/>
    <w:rsid w:val="00F813C6"/>
    <w:rsid w:val="00F81577"/>
    <w:rsid w:val="00F81657"/>
    <w:rsid w:val="00F816BC"/>
    <w:rsid w:val="00F818CC"/>
    <w:rsid w:val="00F818CD"/>
    <w:rsid w:val="00F81ADC"/>
    <w:rsid w:val="00F81B09"/>
    <w:rsid w:val="00F81B10"/>
    <w:rsid w:val="00F81EF8"/>
    <w:rsid w:val="00F81FFB"/>
    <w:rsid w:val="00F8200A"/>
    <w:rsid w:val="00F82040"/>
    <w:rsid w:val="00F82072"/>
    <w:rsid w:val="00F822AA"/>
    <w:rsid w:val="00F8259F"/>
    <w:rsid w:val="00F82682"/>
    <w:rsid w:val="00F82755"/>
    <w:rsid w:val="00F82787"/>
    <w:rsid w:val="00F82CF3"/>
    <w:rsid w:val="00F82E60"/>
    <w:rsid w:val="00F82F89"/>
    <w:rsid w:val="00F831A2"/>
    <w:rsid w:val="00F834D9"/>
    <w:rsid w:val="00F83621"/>
    <w:rsid w:val="00F8373C"/>
    <w:rsid w:val="00F83A7B"/>
    <w:rsid w:val="00F83B1A"/>
    <w:rsid w:val="00F83BCF"/>
    <w:rsid w:val="00F841FA"/>
    <w:rsid w:val="00F843FB"/>
    <w:rsid w:val="00F84724"/>
    <w:rsid w:val="00F847A2"/>
    <w:rsid w:val="00F84E78"/>
    <w:rsid w:val="00F852E8"/>
    <w:rsid w:val="00F85321"/>
    <w:rsid w:val="00F85359"/>
    <w:rsid w:val="00F8535A"/>
    <w:rsid w:val="00F8556B"/>
    <w:rsid w:val="00F855C5"/>
    <w:rsid w:val="00F85862"/>
    <w:rsid w:val="00F8592D"/>
    <w:rsid w:val="00F8595F"/>
    <w:rsid w:val="00F85A07"/>
    <w:rsid w:val="00F85C4F"/>
    <w:rsid w:val="00F85C9A"/>
    <w:rsid w:val="00F85F66"/>
    <w:rsid w:val="00F85F74"/>
    <w:rsid w:val="00F85F9F"/>
    <w:rsid w:val="00F85FFC"/>
    <w:rsid w:val="00F86169"/>
    <w:rsid w:val="00F86204"/>
    <w:rsid w:val="00F86225"/>
    <w:rsid w:val="00F863DF"/>
    <w:rsid w:val="00F86479"/>
    <w:rsid w:val="00F86525"/>
    <w:rsid w:val="00F86653"/>
    <w:rsid w:val="00F869D7"/>
    <w:rsid w:val="00F86A4F"/>
    <w:rsid w:val="00F86D43"/>
    <w:rsid w:val="00F86DE2"/>
    <w:rsid w:val="00F86F1D"/>
    <w:rsid w:val="00F86F5D"/>
    <w:rsid w:val="00F87358"/>
    <w:rsid w:val="00F87705"/>
    <w:rsid w:val="00F877DA"/>
    <w:rsid w:val="00F87B9C"/>
    <w:rsid w:val="00F87C3A"/>
    <w:rsid w:val="00F87DCE"/>
    <w:rsid w:val="00F87E00"/>
    <w:rsid w:val="00F87EF5"/>
    <w:rsid w:val="00F90366"/>
    <w:rsid w:val="00F903AF"/>
    <w:rsid w:val="00F903E2"/>
    <w:rsid w:val="00F905E5"/>
    <w:rsid w:val="00F905EC"/>
    <w:rsid w:val="00F9066C"/>
    <w:rsid w:val="00F9075F"/>
    <w:rsid w:val="00F908D3"/>
    <w:rsid w:val="00F909C5"/>
    <w:rsid w:val="00F909E0"/>
    <w:rsid w:val="00F90A8A"/>
    <w:rsid w:val="00F90CD2"/>
    <w:rsid w:val="00F90E6A"/>
    <w:rsid w:val="00F90E85"/>
    <w:rsid w:val="00F90F01"/>
    <w:rsid w:val="00F90F98"/>
    <w:rsid w:val="00F91044"/>
    <w:rsid w:val="00F911AE"/>
    <w:rsid w:val="00F9127D"/>
    <w:rsid w:val="00F91342"/>
    <w:rsid w:val="00F91397"/>
    <w:rsid w:val="00F9150E"/>
    <w:rsid w:val="00F91906"/>
    <w:rsid w:val="00F9193B"/>
    <w:rsid w:val="00F91A79"/>
    <w:rsid w:val="00F91CF1"/>
    <w:rsid w:val="00F91DCA"/>
    <w:rsid w:val="00F91F8F"/>
    <w:rsid w:val="00F9218A"/>
    <w:rsid w:val="00F9229E"/>
    <w:rsid w:val="00F928A1"/>
    <w:rsid w:val="00F9294B"/>
    <w:rsid w:val="00F92992"/>
    <w:rsid w:val="00F92AC3"/>
    <w:rsid w:val="00F92CDD"/>
    <w:rsid w:val="00F92EE9"/>
    <w:rsid w:val="00F93052"/>
    <w:rsid w:val="00F930E5"/>
    <w:rsid w:val="00F93177"/>
    <w:rsid w:val="00F9322B"/>
    <w:rsid w:val="00F93404"/>
    <w:rsid w:val="00F935B7"/>
    <w:rsid w:val="00F935D8"/>
    <w:rsid w:val="00F936A2"/>
    <w:rsid w:val="00F936DC"/>
    <w:rsid w:val="00F9377D"/>
    <w:rsid w:val="00F93963"/>
    <w:rsid w:val="00F93A72"/>
    <w:rsid w:val="00F93AD1"/>
    <w:rsid w:val="00F93BF5"/>
    <w:rsid w:val="00F93DCA"/>
    <w:rsid w:val="00F93E7B"/>
    <w:rsid w:val="00F93E93"/>
    <w:rsid w:val="00F93F1F"/>
    <w:rsid w:val="00F93FD9"/>
    <w:rsid w:val="00F9401D"/>
    <w:rsid w:val="00F94173"/>
    <w:rsid w:val="00F9417B"/>
    <w:rsid w:val="00F94479"/>
    <w:rsid w:val="00F945E0"/>
    <w:rsid w:val="00F94715"/>
    <w:rsid w:val="00F947E5"/>
    <w:rsid w:val="00F94850"/>
    <w:rsid w:val="00F94965"/>
    <w:rsid w:val="00F94996"/>
    <w:rsid w:val="00F94A73"/>
    <w:rsid w:val="00F94B98"/>
    <w:rsid w:val="00F94D02"/>
    <w:rsid w:val="00F94DF6"/>
    <w:rsid w:val="00F94E2C"/>
    <w:rsid w:val="00F94FBA"/>
    <w:rsid w:val="00F9517E"/>
    <w:rsid w:val="00F9518A"/>
    <w:rsid w:val="00F95338"/>
    <w:rsid w:val="00F953F2"/>
    <w:rsid w:val="00F9547E"/>
    <w:rsid w:val="00F9562B"/>
    <w:rsid w:val="00F9586E"/>
    <w:rsid w:val="00F95CD3"/>
    <w:rsid w:val="00F95D7B"/>
    <w:rsid w:val="00F95E65"/>
    <w:rsid w:val="00F95EFE"/>
    <w:rsid w:val="00F9608D"/>
    <w:rsid w:val="00F96090"/>
    <w:rsid w:val="00F962C5"/>
    <w:rsid w:val="00F962F0"/>
    <w:rsid w:val="00F9685A"/>
    <w:rsid w:val="00F968E6"/>
    <w:rsid w:val="00F96A36"/>
    <w:rsid w:val="00F96B0D"/>
    <w:rsid w:val="00F96B83"/>
    <w:rsid w:val="00F96E3C"/>
    <w:rsid w:val="00F96EDF"/>
    <w:rsid w:val="00F96F14"/>
    <w:rsid w:val="00F97059"/>
    <w:rsid w:val="00F971C5"/>
    <w:rsid w:val="00F97378"/>
    <w:rsid w:val="00F97445"/>
    <w:rsid w:val="00F97552"/>
    <w:rsid w:val="00F97A89"/>
    <w:rsid w:val="00F97B41"/>
    <w:rsid w:val="00F97BDA"/>
    <w:rsid w:val="00F97D8B"/>
    <w:rsid w:val="00FA0139"/>
    <w:rsid w:val="00FA020C"/>
    <w:rsid w:val="00FA07D2"/>
    <w:rsid w:val="00FA0894"/>
    <w:rsid w:val="00FA095A"/>
    <w:rsid w:val="00FA0AEF"/>
    <w:rsid w:val="00FA0C81"/>
    <w:rsid w:val="00FA0C83"/>
    <w:rsid w:val="00FA0C93"/>
    <w:rsid w:val="00FA0EA5"/>
    <w:rsid w:val="00FA0EFD"/>
    <w:rsid w:val="00FA1577"/>
    <w:rsid w:val="00FA16D0"/>
    <w:rsid w:val="00FA16F6"/>
    <w:rsid w:val="00FA1825"/>
    <w:rsid w:val="00FA1831"/>
    <w:rsid w:val="00FA1BCE"/>
    <w:rsid w:val="00FA1CBB"/>
    <w:rsid w:val="00FA1D96"/>
    <w:rsid w:val="00FA1E19"/>
    <w:rsid w:val="00FA1F9F"/>
    <w:rsid w:val="00FA1FF4"/>
    <w:rsid w:val="00FA1FFA"/>
    <w:rsid w:val="00FA212D"/>
    <w:rsid w:val="00FA2271"/>
    <w:rsid w:val="00FA2274"/>
    <w:rsid w:val="00FA2295"/>
    <w:rsid w:val="00FA22E0"/>
    <w:rsid w:val="00FA2317"/>
    <w:rsid w:val="00FA23F8"/>
    <w:rsid w:val="00FA269D"/>
    <w:rsid w:val="00FA2A4C"/>
    <w:rsid w:val="00FA2BD2"/>
    <w:rsid w:val="00FA2C1A"/>
    <w:rsid w:val="00FA2CA6"/>
    <w:rsid w:val="00FA2D90"/>
    <w:rsid w:val="00FA2DF2"/>
    <w:rsid w:val="00FA2FE5"/>
    <w:rsid w:val="00FA331C"/>
    <w:rsid w:val="00FA34E4"/>
    <w:rsid w:val="00FA3523"/>
    <w:rsid w:val="00FA3972"/>
    <w:rsid w:val="00FA3A47"/>
    <w:rsid w:val="00FA3A5E"/>
    <w:rsid w:val="00FA3B88"/>
    <w:rsid w:val="00FA3C69"/>
    <w:rsid w:val="00FA3FB8"/>
    <w:rsid w:val="00FA3FCD"/>
    <w:rsid w:val="00FA407C"/>
    <w:rsid w:val="00FA40A4"/>
    <w:rsid w:val="00FA40DF"/>
    <w:rsid w:val="00FA4206"/>
    <w:rsid w:val="00FA4691"/>
    <w:rsid w:val="00FA46F9"/>
    <w:rsid w:val="00FA4720"/>
    <w:rsid w:val="00FA480F"/>
    <w:rsid w:val="00FA4869"/>
    <w:rsid w:val="00FA4935"/>
    <w:rsid w:val="00FA4C3D"/>
    <w:rsid w:val="00FA4CB6"/>
    <w:rsid w:val="00FA4F57"/>
    <w:rsid w:val="00FA50C6"/>
    <w:rsid w:val="00FA50E1"/>
    <w:rsid w:val="00FA5144"/>
    <w:rsid w:val="00FA523A"/>
    <w:rsid w:val="00FA52C5"/>
    <w:rsid w:val="00FA55EB"/>
    <w:rsid w:val="00FA58DB"/>
    <w:rsid w:val="00FA59D6"/>
    <w:rsid w:val="00FA5C1E"/>
    <w:rsid w:val="00FA5E1A"/>
    <w:rsid w:val="00FA6001"/>
    <w:rsid w:val="00FA61DC"/>
    <w:rsid w:val="00FA61DD"/>
    <w:rsid w:val="00FA624F"/>
    <w:rsid w:val="00FA62F2"/>
    <w:rsid w:val="00FA632D"/>
    <w:rsid w:val="00FA6563"/>
    <w:rsid w:val="00FA6628"/>
    <w:rsid w:val="00FA6BB9"/>
    <w:rsid w:val="00FA6C8B"/>
    <w:rsid w:val="00FA6D6D"/>
    <w:rsid w:val="00FA6FD8"/>
    <w:rsid w:val="00FA712A"/>
    <w:rsid w:val="00FA74A8"/>
    <w:rsid w:val="00FA753E"/>
    <w:rsid w:val="00FA75A6"/>
    <w:rsid w:val="00FA7649"/>
    <w:rsid w:val="00FA780F"/>
    <w:rsid w:val="00FA7816"/>
    <w:rsid w:val="00FA7889"/>
    <w:rsid w:val="00FA799E"/>
    <w:rsid w:val="00FA7B57"/>
    <w:rsid w:val="00FA7C72"/>
    <w:rsid w:val="00FA7F85"/>
    <w:rsid w:val="00FB0006"/>
    <w:rsid w:val="00FB021B"/>
    <w:rsid w:val="00FB02E3"/>
    <w:rsid w:val="00FB02F7"/>
    <w:rsid w:val="00FB0441"/>
    <w:rsid w:val="00FB04BF"/>
    <w:rsid w:val="00FB06A5"/>
    <w:rsid w:val="00FB0B04"/>
    <w:rsid w:val="00FB0B4D"/>
    <w:rsid w:val="00FB0C4D"/>
    <w:rsid w:val="00FB0EB5"/>
    <w:rsid w:val="00FB13AE"/>
    <w:rsid w:val="00FB1441"/>
    <w:rsid w:val="00FB1570"/>
    <w:rsid w:val="00FB15C2"/>
    <w:rsid w:val="00FB1616"/>
    <w:rsid w:val="00FB171F"/>
    <w:rsid w:val="00FB19B6"/>
    <w:rsid w:val="00FB1ABC"/>
    <w:rsid w:val="00FB1AF3"/>
    <w:rsid w:val="00FB1E2D"/>
    <w:rsid w:val="00FB2085"/>
    <w:rsid w:val="00FB2102"/>
    <w:rsid w:val="00FB2111"/>
    <w:rsid w:val="00FB2122"/>
    <w:rsid w:val="00FB22D9"/>
    <w:rsid w:val="00FB22FC"/>
    <w:rsid w:val="00FB2415"/>
    <w:rsid w:val="00FB242A"/>
    <w:rsid w:val="00FB24E2"/>
    <w:rsid w:val="00FB2510"/>
    <w:rsid w:val="00FB25F0"/>
    <w:rsid w:val="00FB26D6"/>
    <w:rsid w:val="00FB275E"/>
    <w:rsid w:val="00FB2832"/>
    <w:rsid w:val="00FB2942"/>
    <w:rsid w:val="00FB2A5E"/>
    <w:rsid w:val="00FB2FA4"/>
    <w:rsid w:val="00FB3026"/>
    <w:rsid w:val="00FB30AA"/>
    <w:rsid w:val="00FB30B0"/>
    <w:rsid w:val="00FB321B"/>
    <w:rsid w:val="00FB326E"/>
    <w:rsid w:val="00FB32F2"/>
    <w:rsid w:val="00FB3461"/>
    <w:rsid w:val="00FB347D"/>
    <w:rsid w:val="00FB356E"/>
    <w:rsid w:val="00FB3664"/>
    <w:rsid w:val="00FB36A9"/>
    <w:rsid w:val="00FB3968"/>
    <w:rsid w:val="00FB3C2C"/>
    <w:rsid w:val="00FB3DA2"/>
    <w:rsid w:val="00FB4042"/>
    <w:rsid w:val="00FB4075"/>
    <w:rsid w:val="00FB4131"/>
    <w:rsid w:val="00FB4187"/>
    <w:rsid w:val="00FB41A2"/>
    <w:rsid w:val="00FB4239"/>
    <w:rsid w:val="00FB447D"/>
    <w:rsid w:val="00FB45A3"/>
    <w:rsid w:val="00FB45B7"/>
    <w:rsid w:val="00FB45FA"/>
    <w:rsid w:val="00FB4616"/>
    <w:rsid w:val="00FB477C"/>
    <w:rsid w:val="00FB4840"/>
    <w:rsid w:val="00FB494F"/>
    <w:rsid w:val="00FB4CA6"/>
    <w:rsid w:val="00FB4D60"/>
    <w:rsid w:val="00FB4E1D"/>
    <w:rsid w:val="00FB5133"/>
    <w:rsid w:val="00FB51BF"/>
    <w:rsid w:val="00FB52C5"/>
    <w:rsid w:val="00FB5520"/>
    <w:rsid w:val="00FB5805"/>
    <w:rsid w:val="00FB582A"/>
    <w:rsid w:val="00FB5832"/>
    <w:rsid w:val="00FB5A5C"/>
    <w:rsid w:val="00FB5AF9"/>
    <w:rsid w:val="00FB5C4D"/>
    <w:rsid w:val="00FB5FFC"/>
    <w:rsid w:val="00FB6152"/>
    <w:rsid w:val="00FB6294"/>
    <w:rsid w:val="00FB629D"/>
    <w:rsid w:val="00FB639C"/>
    <w:rsid w:val="00FB6482"/>
    <w:rsid w:val="00FB66B4"/>
    <w:rsid w:val="00FB67F0"/>
    <w:rsid w:val="00FB6838"/>
    <w:rsid w:val="00FB6839"/>
    <w:rsid w:val="00FB6B79"/>
    <w:rsid w:val="00FB6DDE"/>
    <w:rsid w:val="00FB701E"/>
    <w:rsid w:val="00FB704C"/>
    <w:rsid w:val="00FB7461"/>
    <w:rsid w:val="00FB74C8"/>
    <w:rsid w:val="00FB767F"/>
    <w:rsid w:val="00FB76A7"/>
    <w:rsid w:val="00FB76B1"/>
    <w:rsid w:val="00FB76E6"/>
    <w:rsid w:val="00FB7761"/>
    <w:rsid w:val="00FB77F7"/>
    <w:rsid w:val="00FB7B41"/>
    <w:rsid w:val="00FB7D01"/>
    <w:rsid w:val="00FC030B"/>
    <w:rsid w:val="00FC03DC"/>
    <w:rsid w:val="00FC0491"/>
    <w:rsid w:val="00FC04EA"/>
    <w:rsid w:val="00FC0561"/>
    <w:rsid w:val="00FC058A"/>
    <w:rsid w:val="00FC06A0"/>
    <w:rsid w:val="00FC0807"/>
    <w:rsid w:val="00FC089D"/>
    <w:rsid w:val="00FC0A56"/>
    <w:rsid w:val="00FC0B2C"/>
    <w:rsid w:val="00FC0C80"/>
    <w:rsid w:val="00FC0FD2"/>
    <w:rsid w:val="00FC1035"/>
    <w:rsid w:val="00FC1138"/>
    <w:rsid w:val="00FC11C9"/>
    <w:rsid w:val="00FC1703"/>
    <w:rsid w:val="00FC1988"/>
    <w:rsid w:val="00FC19DB"/>
    <w:rsid w:val="00FC1AA4"/>
    <w:rsid w:val="00FC1C12"/>
    <w:rsid w:val="00FC1CD6"/>
    <w:rsid w:val="00FC1E51"/>
    <w:rsid w:val="00FC1F17"/>
    <w:rsid w:val="00FC20B6"/>
    <w:rsid w:val="00FC2392"/>
    <w:rsid w:val="00FC23A6"/>
    <w:rsid w:val="00FC242B"/>
    <w:rsid w:val="00FC26FE"/>
    <w:rsid w:val="00FC28AE"/>
    <w:rsid w:val="00FC2AB2"/>
    <w:rsid w:val="00FC2C58"/>
    <w:rsid w:val="00FC2DA1"/>
    <w:rsid w:val="00FC2E15"/>
    <w:rsid w:val="00FC2E4B"/>
    <w:rsid w:val="00FC2F34"/>
    <w:rsid w:val="00FC2F97"/>
    <w:rsid w:val="00FC2FEF"/>
    <w:rsid w:val="00FC306D"/>
    <w:rsid w:val="00FC307E"/>
    <w:rsid w:val="00FC33B5"/>
    <w:rsid w:val="00FC33D6"/>
    <w:rsid w:val="00FC351C"/>
    <w:rsid w:val="00FC3568"/>
    <w:rsid w:val="00FC366A"/>
    <w:rsid w:val="00FC37E5"/>
    <w:rsid w:val="00FC3B48"/>
    <w:rsid w:val="00FC3C94"/>
    <w:rsid w:val="00FC3CAC"/>
    <w:rsid w:val="00FC3CF9"/>
    <w:rsid w:val="00FC3E0E"/>
    <w:rsid w:val="00FC406F"/>
    <w:rsid w:val="00FC4085"/>
    <w:rsid w:val="00FC4096"/>
    <w:rsid w:val="00FC40FE"/>
    <w:rsid w:val="00FC4320"/>
    <w:rsid w:val="00FC49E4"/>
    <w:rsid w:val="00FC4C34"/>
    <w:rsid w:val="00FC5012"/>
    <w:rsid w:val="00FC5362"/>
    <w:rsid w:val="00FC5370"/>
    <w:rsid w:val="00FC55A6"/>
    <w:rsid w:val="00FC55EE"/>
    <w:rsid w:val="00FC562D"/>
    <w:rsid w:val="00FC56BB"/>
    <w:rsid w:val="00FC56F9"/>
    <w:rsid w:val="00FC59E9"/>
    <w:rsid w:val="00FC5A06"/>
    <w:rsid w:val="00FC5EF6"/>
    <w:rsid w:val="00FC5F90"/>
    <w:rsid w:val="00FC5F91"/>
    <w:rsid w:val="00FC5FA1"/>
    <w:rsid w:val="00FC6341"/>
    <w:rsid w:val="00FC63BC"/>
    <w:rsid w:val="00FC65B9"/>
    <w:rsid w:val="00FC65C9"/>
    <w:rsid w:val="00FC688C"/>
    <w:rsid w:val="00FC68B3"/>
    <w:rsid w:val="00FC6ACA"/>
    <w:rsid w:val="00FC6BBA"/>
    <w:rsid w:val="00FC6C7A"/>
    <w:rsid w:val="00FC6CBA"/>
    <w:rsid w:val="00FC6DFC"/>
    <w:rsid w:val="00FC6E0A"/>
    <w:rsid w:val="00FC6E26"/>
    <w:rsid w:val="00FC720F"/>
    <w:rsid w:val="00FC7343"/>
    <w:rsid w:val="00FC73CF"/>
    <w:rsid w:val="00FC77A4"/>
    <w:rsid w:val="00FC77FF"/>
    <w:rsid w:val="00FC788E"/>
    <w:rsid w:val="00FC7989"/>
    <w:rsid w:val="00FC79A1"/>
    <w:rsid w:val="00FC79E6"/>
    <w:rsid w:val="00FC7C00"/>
    <w:rsid w:val="00FC7C51"/>
    <w:rsid w:val="00FC7D7E"/>
    <w:rsid w:val="00FC7DF9"/>
    <w:rsid w:val="00FC7FC0"/>
    <w:rsid w:val="00FD003B"/>
    <w:rsid w:val="00FD0325"/>
    <w:rsid w:val="00FD04B9"/>
    <w:rsid w:val="00FD0566"/>
    <w:rsid w:val="00FD0710"/>
    <w:rsid w:val="00FD0719"/>
    <w:rsid w:val="00FD0740"/>
    <w:rsid w:val="00FD07EF"/>
    <w:rsid w:val="00FD0825"/>
    <w:rsid w:val="00FD09CF"/>
    <w:rsid w:val="00FD0C53"/>
    <w:rsid w:val="00FD0CDB"/>
    <w:rsid w:val="00FD0E8A"/>
    <w:rsid w:val="00FD10BD"/>
    <w:rsid w:val="00FD10BF"/>
    <w:rsid w:val="00FD10ED"/>
    <w:rsid w:val="00FD120A"/>
    <w:rsid w:val="00FD124B"/>
    <w:rsid w:val="00FD12D1"/>
    <w:rsid w:val="00FD1467"/>
    <w:rsid w:val="00FD14DE"/>
    <w:rsid w:val="00FD154A"/>
    <w:rsid w:val="00FD15CE"/>
    <w:rsid w:val="00FD1637"/>
    <w:rsid w:val="00FD1763"/>
    <w:rsid w:val="00FD18C6"/>
    <w:rsid w:val="00FD1AD0"/>
    <w:rsid w:val="00FD1B65"/>
    <w:rsid w:val="00FD1CCF"/>
    <w:rsid w:val="00FD1E48"/>
    <w:rsid w:val="00FD1FFB"/>
    <w:rsid w:val="00FD20C3"/>
    <w:rsid w:val="00FD229D"/>
    <w:rsid w:val="00FD23D5"/>
    <w:rsid w:val="00FD242C"/>
    <w:rsid w:val="00FD26F3"/>
    <w:rsid w:val="00FD27CB"/>
    <w:rsid w:val="00FD2983"/>
    <w:rsid w:val="00FD29B2"/>
    <w:rsid w:val="00FD2A2C"/>
    <w:rsid w:val="00FD2AC1"/>
    <w:rsid w:val="00FD2AD1"/>
    <w:rsid w:val="00FD2C00"/>
    <w:rsid w:val="00FD2C2A"/>
    <w:rsid w:val="00FD2E0D"/>
    <w:rsid w:val="00FD2E2D"/>
    <w:rsid w:val="00FD306C"/>
    <w:rsid w:val="00FD30A7"/>
    <w:rsid w:val="00FD30B4"/>
    <w:rsid w:val="00FD3272"/>
    <w:rsid w:val="00FD3458"/>
    <w:rsid w:val="00FD34C7"/>
    <w:rsid w:val="00FD36DC"/>
    <w:rsid w:val="00FD3771"/>
    <w:rsid w:val="00FD3774"/>
    <w:rsid w:val="00FD3A35"/>
    <w:rsid w:val="00FD3A4F"/>
    <w:rsid w:val="00FD3A5A"/>
    <w:rsid w:val="00FD3ACA"/>
    <w:rsid w:val="00FD3AEA"/>
    <w:rsid w:val="00FD3C44"/>
    <w:rsid w:val="00FD3DD3"/>
    <w:rsid w:val="00FD3FF9"/>
    <w:rsid w:val="00FD4011"/>
    <w:rsid w:val="00FD4158"/>
    <w:rsid w:val="00FD41D8"/>
    <w:rsid w:val="00FD4284"/>
    <w:rsid w:val="00FD443C"/>
    <w:rsid w:val="00FD48CA"/>
    <w:rsid w:val="00FD48DB"/>
    <w:rsid w:val="00FD48F6"/>
    <w:rsid w:val="00FD4CE3"/>
    <w:rsid w:val="00FD4D01"/>
    <w:rsid w:val="00FD4FD0"/>
    <w:rsid w:val="00FD50A8"/>
    <w:rsid w:val="00FD513A"/>
    <w:rsid w:val="00FD5371"/>
    <w:rsid w:val="00FD5650"/>
    <w:rsid w:val="00FD5705"/>
    <w:rsid w:val="00FD5737"/>
    <w:rsid w:val="00FD5883"/>
    <w:rsid w:val="00FD58A3"/>
    <w:rsid w:val="00FD58C9"/>
    <w:rsid w:val="00FD59E0"/>
    <w:rsid w:val="00FD5A22"/>
    <w:rsid w:val="00FD5C7F"/>
    <w:rsid w:val="00FD5C95"/>
    <w:rsid w:val="00FD5E8A"/>
    <w:rsid w:val="00FD638B"/>
    <w:rsid w:val="00FD6457"/>
    <w:rsid w:val="00FD6679"/>
    <w:rsid w:val="00FD66C5"/>
    <w:rsid w:val="00FD691B"/>
    <w:rsid w:val="00FD6934"/>
    <w:rsid w:val="00FD6946"/>
    <w:rsid w:val="00FD6A9F"/>
    <w:rsid w:val="00FD6C2A"/>
    <w:rsid w:val="00FD6CAE"/>
    <w:rsid w:val="00FD6DD0"/>
    <w:rsid w:val="00FD6EA9"/>
    <w:rsid w:val="00FD6F6F"/>
    <w:rsid w:val="00FD70EF"/>
    <w:rsid w:val="00FD71FD"/>
    <w:rsid w:val="00FD7205"/>
    <w:rsid w:val="00FD72EE"/>
    <w:rsid w:val="00FD747A"/>
    <w:rsid w:val="00FD77DA"/>
    <w:rsid w:val="00FD7837"/>
    <w:rsid w:val="00FD789C"/>
    <w:rsid w:val="00FD7B22"/>
    <w:rsid w:val="00FD7C2F"/>
    <w:rsid w:val="00FD7C30"/>
    <w:rsid w:val="00FD7C8A"/>
    <w:rsid w:val="00FD7CC4"/>
    <w:rsid w:val="00FD7D5E"/>
    <w:rsid w:val="00FD7F5C"/>
    <w:rsid w:val="00FE00BD"/>
    <w:rsid w:val="00FE01BF"/>
    <w:rsid w:val="00FE020D"/>
    <w:rsid w:val="00FE0384"/>
    <w:rsid w:val="00FE045D"/>
    <w:rsid w:val="00FE0544"/>
    <w:rsid w:val="00FE05FC"/>
    <w:rsid w:val="00FE0697"/>
    <w:rsid w:val="00FE06AA"/>
    <w:rsid w:val="00FE06E0"/>
    <w:rsid w:val="00FE071C"/>
    <w:rsid w:val="00FE073C"/>
    <w:rsid w:val="00FE0981"/>
    <w:rsid w:val="00FE0D84"/>
    <w:rsid w:val="00FE0E97"/>
    <w:rsid w:val="00FE0EFE"/>
    <w:rsid w:val="00FE0F04"/>
    <w:rsid w:val="00FE0FBA"/>
    <w:rsid w:val="00FE124D"/>
    <w:rsid w:val="00FE1263"/>
    <w:rsid w:val="00FE127C"/>
    <w:rsid w:val="00FE13D2"/>
    <w:rsid w:val="00FE1439"/>
    <w:rsid w:val="00FE14AB"/>
    <w:rsid w:val="00FE1536"/>
    <w:rsid w:val="00FE1563"/>
    <w:rsid w:val="00FE16E8"/>
    <w:rsid w:val="00FE17B8"/>
    <w:rsid w:val="00FE19CF"/>
    <w:rsid w:val="00FE19E2"/>
    <w:rsid w:val="00FE19E5"/>
    <w:rsid w:val="00FE1BA0"/>
    <w:rsid w:val="00FE1D26"/>
    <w:rsid w:val="00FE1F29"/>
    <w:rsid w:val="00FE1F63"/>
    <w:rsid w:val="00FE2168"/>
    <w:rsid w:val="00FE226E"/>
    <w:rsid w:val="00FE226F"/>
    <w:rsid w:val="00FE229B"/>
    <w:rsid w:val="00FE2311"/>
    <w:rsid w:val="00FE2533"/>
    <w:rsid w:val="00FE2560"/>
    <w:rsid w:val="00FE26A0"/>
    <w:rsid w:val="00FE26C3"/>
    <w:rsid w:val="00FE26E3"/>
    <w:rsid w:val="00FE2845"/>
    <w:rsid w:val="00FE2877"/>
    <w:rsid w:val="00FE28DC"/>
    <w:rsid w:val="00FE2A3A"/>
    <w:rsid w:val="00FE2A42"/>
    <w:rsid w:val="00FE2AE4"/>
    <w:rsid w:val="00FE2CC3"/>
    <w:rsid w:val="00FE30FB"/>
    <w:rsid w:val="00FE322E"/>
    <w:rsid w:val="00FE32A7"/>
    <w:rsid w:val="00FE3401"/>
    <w:rsid w:val="00FE3555"/>
    <w:rsid w:val="00FE35F5"/>
    <w:rsid w:val="00FE3656"/>
    <w:rsid w:val="00FE36F0"/>
    <w:rsid w:val="00FE3AB6"/>
    <w:rsid w:val="00FE3AFA"/>
    <w:rsid w:val="00FE3BDF"/>
    <w:rsid w:val="00FE3D24"/>
    <w:rsid w:val="00FE3DCF"/>
    <w:rsid w:val="00FE3F13"/>
    <w:rsid w:val="00FE421A"/>
    <w:rsid w:val="00FE4254"/>
    <w:rsid w:val="00FE42E1"/>
    <w:rsid w:val="00FE43B0"/>
    <w:rsid w:val="00FE43C7"/>
    <w:rsid w:val="00FE43F0"/>
    <w:rsid w:val="00FE453C"/>
    <w:rsid w:val="00FE4545"/>
    <w:rsid w:val="00FE45F9"/>
    <w:rsid w:val="00FE46D7"/>
    <w:rsid w:val="00FE473D"/>
    <w:rsid w:val="00FE47E7"/>
    <w:rsid w:val="00FE4B81"/>
    <w:rsid w:val="00FE4B94"/>
    <w:rsid w:val="00FE4BF8"/>
    <w:rsid w:val="00FE4DC0"/>
    <w:rsid w:val="00FE4E9D"/>
    <w:rsid w:val="00FE4F81"/>
    <w:rsid w:val="00FE5043"/>
    <w:rsid w:val="00FE504B"/>
    <w:rsid w:val="00FE5293"/>
    <w:rsid w:val="00FE52D0"/>
    <w:rsid w:val="00FE5363"/>
    <w:rsid w:val="00FE5408"/>
    <w:rsid w:val="00FE54CD"/>
    <w:rsid w:val="00FE55DC"/>
    <w:rsid w:val="00FE55EF"/>
    <w:rsid w:val="00FE5617"/>
    <w:rsid w:val="00FE5A3E"/>
    <w:rsid w:val="00FE5C14"/>
    <w:rsid w:val="00FE5D62"/>
    <w:rsid w:val="00FE5E88"/>
    <w:rsid w:val="00FE60A6"/>
    <w:rsid w:val="00FE612A"/>
    <w:rsid w:val="00FE63C4"/>
    <w:rsid w:val="00FE63DC"/>
    <w:rsid w:val="00FE6728"/>
    <w:rsid w:val="00FE6777"/>
    <w:rsid w:val="00FE67FD"/>
    <w:rsid w:val="00FE6802"/>
    <w:rsid w:val="00FE695C"/>
    <w:rsid w:val="00FE6BBE"/>
    <w:rsid w:val="00FE6CD2"/>
    <w:rsid w:val="00FE6CD5"/>
    <w:rsid w:val="00FE70B3"/>
    <w:rsid w:val="00FE7390"/>
    <w:rsid w:val="00FE7495"/>
    <w:rsid w:val="00FE75F3"/>
    <w:rsid w:val="00FE76AB"/>
    <w:rsid w:val="00FE772B"/>
    <w:rsid w:val="00FE7ABA"/>
    <w:rsid w:val="00FE7BD6"/>
    <w:rsid w:val="00FE7C2C"/>
    <w:rsid w:val="00FE7C9B"/>
    <w:rsid w:val="00FE7EC8"/>
    <w:rsid w:val="00FE7EFC"/>
    <w:rsid w:val="00FE7F5D"/>
    <w:rsid w:val="00FE7F7C"/>
    <w:rsid w:val="00FE7FD3"/>
    <w:rsid w:val="00FF00AD"/>
    <w:rsid w:val="00FF036D"/>
    <w:rsid w:val="00FF036E"/>
    <w:rsid w:val="00FF0455"/>
    <w:rsid w:val="00FF04C8"/>
    <w:rsid w:val="00FF0635"/>
    <w:rsid w:val="00FF06DD"/>
    <w:rsid w:val="00FF06F0"/>
    <w:rsid w:val="00FF08E1"/>
    <w:rsid w:val="00FF0ACA"/>
    <w:rsid w:val="00FF0CF7"/>
    <w:rsid w:val="00FF0DA5"/>
    <w:rsid w:val="00FF0E0B"/>
    <w:rsid w:val="00FF11F9"/>
    <w:rsid w:val="00FF123C"/>
    <w:rsid w:val="00FF12D1"/>
    <w:rsid w:val="00FF1302"/>
    <w:rsid w:val="00FF13DF"/>
    <w:rsid w:val="00FF13F1"/>
    <w:rsid w:val="00FF159D"/>
    <w:rsid w:val="00FF1BE5"/>
    <w:rsid w:val="00FF2133"/>
    <w:rsid w:val="00FF2160"/>
    <w:rsid w:val="00FF2199"/>
    <w:rsid w:val="00FF21A5"/>
    <w:rsid w:val="00FF244E"/>
    <w:rsid w:val="00FF2535"/>
    <w:rsid w:val="00FF25B1"/>
    <w:rsid w:val="00FF27B4"/>
    <w:rsid w:val="00FF28E1"/>
    <w:rsid w:val="00FF2D7D"/>
    <w:rsid w:val="00FF2EB7"/>
    <w:rsid w:val="00FF3191"/>
    <w:rsid w:val="00FF36ED"/>
    <w:rsid w:val="00FF3727"/>
    <w:rsid w:val="00FF37F4"/>
    <w:rsid w:val="00FF38E5"/>
    <w:rsid w:val="00FF3909"/>
    <w:rsid w:val="00FF3CF8"/>
    <w:rsid w:val="00FF3EB9"/>
    <w:rsid w:val="00FF41DF"/>
    <w:rsid w:val="00FF4485"/>
    <w:rsid w:val="00FF44FF"/>
    <w:rsid w:val="00FF4598"/>
    <w:rsid w:val="00FF470B"/>
    <w:rsid w:val="00FF47FC"/>
    <w:rsid w:val="00FF48C1"/>
    <w:rsid w:val="00FF493E"/>
    <w:rsid w:val="00FF4AB6"/>
    <w:rsid w:val="00FF4B55"/>
    <w:rsid w:val="00FF4BFB"/>
    <w:rsid w:val="00FF4BFE"/>
    <w:rsid w:val="00FF4C01"/>
    <w:rsid w:val="00FF4CC1"/>
    <w:rsid w:val="00FF4D84"/>
    <w:rsid w:val="00FF4E54"/>
    <w:rsid w:val="00FF50DA"/>
    <w:rsid w:val="00FF5105"/>
    <w:rsid w:val="00FF52C6"/>
    <w:rsid w:val="00FF53DF"/>
    <w:rsid w:val="00FF5862"/>
    <w:rsid w:val="00FF587D"/>
    <w:rsid w:val="00FF5893"/>
    <w:rsid w:val="00FF58D9"/>
    <w:rsid w:val="00FF5A5A"/>
    <w:rsid w:val="00FF5D0F"/>
    <w:rsid w:val="00FF5E14"/>
    <w:rsid w:val="00FF5E17"/>
    <w:rsid w:val="00FF5FAE"/>
    <w:rsid w:val="00FF6065"/>
    <w:rsid w:val="00FF62BD"/>
    <w:rsid w:val="00FF64BD"/>
    <w:rsid w:val="00FF6557"/>
    <w:rsid w:val="00FF655A"/>
    <w:rsid w:val="00FF65D5"/>
    <w:rsid w:val="00FF66B3"/>
    <w:rsid w:val="00FF69A4"/>
    <w:rsid w:val="00FF6A35"/>
    <w:rsid w:val="00FF6AFD"/>
    <w:rsid w:val="00FF6B28"/>
    <w:rsid w:val="00FF6C70"/>
    <w:rsid w:val="00FF6C9A"/>
    <w:rsid w:val="00FF6DC3"/>
    <w:rsid w:val="00FF6EF5"/>
    <w:rsid w:val="00FF7222"/>
    <w:rsid w:val="00FF723B"/>
    <w:rsid w:val="00FF7393"/>
    <w:rsid w:val="00FF745F"/>
    <w:rsid w:val="00FF74CE"/>
    <w:rsid w:val="00FF7627"/>
    <w:rsid w:val="00FF77A1"/>
    <w:rsid w:val="00FF7AAF"/>
    <w:rsid w:val="00FF7B8F"/>
    <w:rsid w:val="00FF7C71"/>
    <w:rsid w:val="00FF7DF9"/>
    <w:rsid w:val="00FF7F30"/>
    <w:rsid w:val="00FF7F6F"/>
    <w:rsid w:val="0102274A"/>
    <w:rsid w:val="01143C44"/>
    <w:rsid w:val="011EE7D1"/>
    <w:rsid w:val="012494B9"/>
    <w:rsid w:val="012CF49F"/>
    <w:rsid w:val="014B6E1F"/>
    <w:rsid w:val="014F4462"/>
    <w:rsid w:val="015C0E72"/>
    <w:rsid w:val="0163C521"/>
    <w:rsid w:val="018C64F5"/>
    <w:rsid w:val="019AC5B9"/>
    <w:rsid w:val="01A105B8"/>
    <w:rsid w:val="01AA1CE6"/>
    <w:rsid w:val="01AD29ED"/>
    <w:rsid w:val="01B0576C"/>
    <w:rsid w:val="01BBB7B0"/>
    <w:rsid w:val="01C47037"/>
    <w:rsid w:val="01C746D6"/>
    <w:rsid w:val="01CCC4E7"/>
    <w:rsid w:val="01D9A0EC"/>
    <w:rsid w:val="01F0194E"/>
    <w:rsid w:val="01F38AD0"/>
    <w:rsid w:val="01FB8AB4"/>
    <w:rsid w:val="02005ABF"/>
    <w:rsid w:val="02024223"/>
    <w:rsid w:val="02039315"/>
    <w:rsid w:val="02347C6C"/>
    <w:rsid w:val="0245A233"/>
    <w:rsid w:val="024C5541"/>
    <w:rsid w:val="0254B417"/>
    <w:rsid w:val="0256BFCB"/>
    <w:rsid w:val="025AE033"/>
    <w:rsid w:val="02608D18"/>
    <w:rsid w:val="0262444F"/>
    <w:rsid w:val="0263E4E8"/>
    <w:rsid w:val="0267C667"/>
    <w:rsid w:val="028CBBC4"/>
    <w:rsid w:val="02B1C1A7"/>
    <w:rsid w:val="02C73193"/>
    <w:rsid w:val="02CC8691"/>
    <w:rsid w:val="02CDE54E"/>
    <w:rsid w:val="02D107EE"/>
    <w:rsid w:val="02E0A5C7"/>
    <w:rsid w:val="02E78DB8"/>
    <w:rsid w:val="02E80B59"/>
    <w:rsid w:val="02EEF585"/>
    <w:rsid w:val="03201961"/>
    <w:rsid w:val="0326BCCC"/>
    <w:rsid w:val="03394AF6"/>
    <w:rsid w:val="033F7101"/>
    <w:rsid w:val="0344A676"/>
    <w:rsid w:val="034899DF"/>
    <w:rsid w:val="034DE7D2"/>
    <w:rsid w:val="0363C471"/>
    <w:rsid w:val="037509AB"/>
    <w:rsid w:val="03758A27"/>
    <w:rsid w:val="03781FB4"/>
    <w:rsid w:val="03821363"/>
    <w:rsid w:val="0392D7EF"/>
    <w:rsid w:val="039A30D4"/>
    <w:rsid w:val="03AD5A71"/>
    <w:rsid w:val="03BADF7B"/>
    <w:rsid w:val="03C8D536"/>
    <w:rsid w:val="03C8E913"/>
    <w:rsid w:val="03CD54E8"/>
    <w:rsid w:val="03E38047"/>
    <w:rsid w:val="03EB1B65"/>
    <w:rsid w:val="03F6E27F"/>
    <w:rsid w:val="04088436"/>
    <w:rsid w:val="040A87C0"/>
    <w:rsid w:val="040D63A5"/>
    <w:rsid w:val="0420CB58"/>
    <w:rsid w:val="0423DAD5"/>
    <w:rsid w:val="04247140"/>
    <w:rsid w:val="042F7C2D"/>
    <w:rsid w:val="04300FA5"/>
    <w:rsid w:val="043DEA53"/>
    <w:rsid w:val="046EABC1"/>
    <w:rsid w:val="0472CAB6"/>
    <w:rsid w:val="047FEE6E"/>
    <w:rsid w:val="0494472F"/>
    <w:rsid w:val="0496570D"/>
    <w:rsid w:val="04B15E40"/>
    <w:rsid w:val="04EE48DF"/>
    <w:rsid w:val="04EF2623"/>
    <w:rsid w:val="0508A72D"/>
    <w:rsid w:val="050B1836"/>
    <w:rsid w:val="051D497D"/>
    <w:rsid w:val="05241B3A"/>
    <w:rsid w:val="052EF590"/>
    <w:rsid w:val="0546870E"/>
    <w:rsid w:val="0548207C"/>
    <w:rsid w:val="05502498"/>
    <w:rsid w:val="05519A23"/>
    <w:rsid w:val="055D06F4"/>
    <w:rsid w:val="05606B04"/>
    <w:rsid w:val="05635443"/>
    <w:rsid w:val="056F0593"/>
    <w:rsid w:val="057BD05F"/>
    <w:rsid w:val="058DFBB5"/>
    <w:rsid w:val="059DE836"/>
    <w:rsid w:val="05AD9C85"/>
    <w:rsid w:val="05AFADFB"/>
    <w:rsid w:val="05CACB7C"/>
    <w:rsid w:val="05D78F67"/>
    <w:rsid w:val="05E9AB35"/>
    <w:rsid w:val="05F7E4F0"/>
    <w:rsid w:val="0605B674"/>
    <w:rsid w:val="060C2280"/>
    <w:rsid w:val="06129BA9"/>
    <w:rsid w:val="0616A713"/>
    <w:rsid w:val="063464B7"/>
    <w:rsid w:val="0634FBC8"/>
    <w:rsid w:val="063EE4B8"/>
    <w:rsid w:val="065BB6BE"/>
    <w:rsid w:val="06631296"/>
    <w:rsid w:val="0667D611"/>
    <w:rsid w:val="0683C7CB"/>
    <w:rsid w:val="068708C6"/>
    <w:rsid w:val="068CB1A9"/>
    <w:rsid w:val="068F3E2B"/>
    <w:rsid w:val="0695D818"/>
    <w:rsid w:val="069C5479"/>
    <w:rsid w:val="06ADC800"/>
    <w:rsid w:val="06C22553"/>
    <w:rsid w:val="06CD5333"/>
    <w:rsid w:val="06DEB3A0"/>
    <w:rsid w:val="06E37D98"/>
    <w:rsid w:val="07240F3D"/>
    <w:rsid w:val="072E0990"/>
    <w:rsid w:val="073A92F6"/>
    <w:rsid w:val="074F3EA2"/>
    <w:rsid w:val="0751A997"/>
    <w:rsid w:val="07763ADD"/>
    <w:rsid w:val="07A2AFE3"/>
    <w:rsid w:val="07B96120"/>
    <w:rsid w:val="07BD5E54"/>
    <w:rsid w:val="07EBD6E5"/>
    <w:rsid w:val="07F36159"/>
    <w:rsid w:val="07F98490"/>
    <w:rsid w:val="07FD1FD8"/>
    <w:rsid w:val="08106532"/>
    <w:rsid w:val="0817EE13"/>
    <w:rsid w:val="084FA3D0"/>
    <w:rsid w:val="0862938B"/>
    <w:rsid w:val="086EC7C2"/>
    <w:rsid w:val="08780DFF"/>
    <w:rsid w:val="087AC485"/>
    <w:rsid w:val="0882BD19"/>
    <w:rsid w:val="088D1A52"/>
    <w:rsid w:val="088F60B9"/>
    <w:rsid w:val="089784D3"/>
    <w:rsid w:val="089FC8AF"/>
    <w:rsid w:val="08A01008"/>
    <w:rsid w:val="08B09CE4"/>
    <w:rsid w:val="08B7D2AA"/>
    <w:rsid w:val="08CDC42D"/>
    <w:rsid w:val="08DE22BC"/>
    <w:rsid w:val="08F4522C"/>
    <w:rsid w:val="08FB92AB"/>
    <w:rsid w:val="08FD54C2"/>
    <w:rsid w:val="08FFE84D"/>
    <w:rsid w:val="090A4D60"/>
    <w:rsid w:val="09104BF6"/>
    <w:rsid w:val="0913799A"/>
    <w:rsid w:val="0916CC0A"/>
    <w:rsid w:val="091D137D"/>
    <w:rsid w:val="091D7063"/>
    <w:rsid w:val="09237002"/>
    <w:rsid w:val="09288A65"/>
    <w:rsid w:val="092C2AE3"/>
    <w:rsid w:val="093B38B3"/>
    <w:rsid w:val="0945AF98"/>
    <w:rsid w:val="0946D1E3"/>
    <w:rsid w:val="09538A39"/>
    <w:rsid w:val="09566669"/>
    <w:rsid w:val="095B950C"/>
    <w:rsid w:val="095C068C"/>
    <w:rsid w:val="096AE3BA"/>
    <w:rsid w:val="096F4A7B"/>
    <w:rsid w:val="09744457"/>
    <w:rsid w:val="098C7DF6"/>
    <w:rsid w:val="098EBF65"/>
    <w:rsid w:val="09AC67DC"/>
    <w:rsid w:val="09C7AB93"/>
    <w:rsid w:val="09DBD129"/>
    <w:rsid w:val="09E76EC6"/>
    <w:rsid w:val="09E7B3D0"/>
    <w:rsid w:val="09E89069"/>
    <w:rsid w:val="0A01DB36"/>
    <w:rsid w:val="0A11B021"/>
    <w:rsid w:val="0A178F44"/>
    <w:rsid w:val="0A1A1C98"/>
    <w:rsid w:val="0A413050"/>
    <w:rsid w:val="0A719EDB"/>
    <w:rsid w:val="0A74FEBA"/>
    <w:rsid w:val="0A77BC35"/>
    <w:rsid w:val="0A81DB5F"/>
    <w:rsid w:val="0A8B0217"/>
    <w:rsid w:val="0ABA1359"/>
    <w:rsid w:val="0ABBFEF2"/>
    <w:rsid w:val="0AC6997E"/>
    <w:rsid w:val="0ACBC4D5"/>
    <w:rsid w:val="0ACD1E2C"/>
    <w:rsid w:val="0AD8A1F4"/>
    <w:rsid w:val="0AE84060"/>
    <w:rsid w:val="0AFEE74F"/>
    <w:rsid w:val="0B04BD33"/>
    <w:rsid w:val="0B08FAD8"/>
    <w:rsid w:val="0B0A6F5C"/>
    <w:rsid w:val="0B1881C8"/>
    <w:rsid w:val="0B3D667A"/>
    <w:rsid w:val="0B513C64"/>
    <w:rsid w:val="0B619A1C"/>
    <w:rsid w:val="0B95F69A"/>
    <w:rsid w:val="0B9C3721"/>
    <w:rsid w:val="0B9CD9DE"/>
    <w:rsid w:val="0B9D9EE7"/>
    <w:rsid w:val="0BA763C8"/>
    <w:rsid w:val="0BA8F4B3"/>
    <w:rsid w:val="0BC2C803"/>
    <w:rsid w:val="0BC90ABF"/>
    <w:rsid w:val="0BCF9772"/>
    <w:rsid w:val="0BDE5221"/>
    <w:rsid w:val="0C10E5B5"/>
    <w:rsid w:val="0C19C8CC"/>
    <w:rsid w:val="0C28F7E7"/>
    <w:rsid w:val="0C44D41B"/>
    <w:rsid w:val="0C510F0E"/>
    <w:rsid w:val="0C56D741"/>
    <w:rsid w:val="0C6A3FAF"/>
    <w:rsid w:val="0C6B4DBB"/>
    <w:rsid w:val="0C87BD19"/>
    <w:rsid w:val="0C8A7A8C"/>
    <w:rsid w:val="0C8DFC0B"/>
    <w:rsid w:val="0CCC8A5F"/>
    <w:rsid w:val="0CD10FCA"/>
    <w:rsid w:val="0CF02BA8"/>
    <w:rsid w:val="0CF572DB"/>
    <w:rsid w:val="0D3156C1"/>
    <w:rsid w:val="0D3A443A"/>
    <w:rsid w:val="0D4C6E56"/>
    <w:rsid w:val="0D52D215"/>
    <w:rsid w:val="0D5747A8"/>
    <w:rsid w:val="0D6623BD"/>
    <w:rsid w:val="0D738BE8"/>
    <w:rsid w:val="0D772216"/>
    <w:rsid w:val="0DA8E9AE"/>
    <w:rsid w:val="0DB779F4"/>
    <w:rsid w:val="0DBF761D"/>
    <w:rsid w:val="0DC68BD3"/>
    <w:rsid w:val="0DC9F0C5"/>
    <w:rsid w:val="0DE24DF1"/>
    <w:rsid w:val="0DE785F2"/>
    <w:rsid w:val="0DFA41B2"/>
    <w:rsid w:val="0DFC1359"/>
    <w:rsid w:val="0E01FD64"/>
    <w:rsid w:val="0E0907B4"/>
    <w:rsid w:val="0E1DD4C8"/>
    <w:rsid w:val="0E311813"/>
    <w:rsid w:val="0E337B15"/>
    <w:rsid w:val="0E40F8AA"/>
    <w:rsid w:val="0E4FBDE3"/>
    <w:rsid w:val="0E591C72"/>
    <w:rsid w:val="0E60CFBC"/>
    <w:rsid w:val="0E662861"/>
    <w:rsid w:val="0E6D06F8"/>
    <w:rsid w:val="0E788CB5"/>
    <w:rsid w:val="0E7A8CF9"/>
    <w:rsid w:val="0E80CDBE"/>
    <w:rsid w:val="0E8E3913"/>
    <w:rsid w:val="0E99B43E"/>
    <w:rsid w:val="0E9A9F2D"/>
    <w:rsid w:val="0E9C33A9"/>
    <w:rsid w:val="0E9C4688"/>
    <w:rsid w:val="0E9D2021"/>
    <w:rsid w:val="0EC4CE2C"/>
    <w:rsid w:val="0EC73159"/>
    <w:rsid w:val="0ED830FF"/>
    <w:rsid w:val="0EDA16D3"/>
    <w:rsid w:val="0EF39831"/>
    <w:rsid w:val="0EF43A48"/>
    <w:rsid w:val="0F1BB6D8"/>
    <w:rsid w:val="0F2075E0"/>
    <w:rsid w:val="0F47B8B8"/>
    <w:rsid w:val="0F5D8A22"/>
    <w:rsid w:val="0F5F16F4"/>
    <w:rsid w:val="0F6527FB"/>
    <w:rsid w:val="0F6BFFA4"/>
    <w:rsid w:val="0F740233"/>
    <w:rsid w:val="0F74FE73"/>
    <w:rsid w:val="0F7BFE5B"/>
    <w:rsid w:val="0F7F01BA"/>
    <w:rsid w:val="0F81A572"/>
    <w:rsid w:val="0F8317A2"/>
    <w:rsid w:val="0FA164FE"/>
    <w:rsid w:val="0FAF7AF9"/>
    <w:rsid w:val="0FBAB56F"/>
    <w:rsid w:val="0FC65A93"/>
    <w:rsid w:val="0FDEF4A8"/>
    <w:rsid w:val="0FEE1186"/>
    <w:rsid w:val="0FF2996A"/>
    <w:rsid w:val="1010D91C"/>
    <w:rsid w:val="1017A401"/>
    <w:rsid w:val="101E5A77"/>
    <w:rsid w:val="102D2EFB"/>
    <w:rsid w:val="10320A0B"/>
    <w:rsid w:val="105594C7"/>
    <w:rsid w:val="10600853"/>
    <w:rsid w:val="1073DF0C"/>
    <w:rsid w:val="10B92390"/>
    <w:rsid w:val="10C0F441"/>
    <w:rsid w:val="10CD5F9A"/>
    <w:rsid w:val="10D786CD"/>
    <w:rsid w:val="10DE302C"/>
    <w:rsid w:val="10F46F71"/>
    <w:rsid w:val="110315B9"/>
    <w:rsid w:val="11076DD2"/>
    <w:rsid w:val="110CEF88"/>
    <w:rsid w:val="112D0DF6"/>
    <w:rsid w:val="114AE816"/>
    <w:rsid w:val="114B01B2"/>
    <w:rsid w:val="11562265"/>
    <w:rsid w:val="1163D941"/>
    <w:rsid w:val="116B9F43"/>
    <w:rsid w:val="11777A44"/>
    <w:rsid w:val="11AE5E4A"/>
    <w:rsid w:val="11C44474"/>
    <w:rsid w:val="11D52507"/>
    <w:rsid w:val="11F81ADF"/>
    <w:rsid w:val="1204F943"/>
    <w:rsid w:val="1210E542"/>
    <w:rsid w:val="121C6855"/>
    <w:rsid w:val="121CE704"/>
    <w:rsid w:val="12325C46"/>
    <w:rsid w:val="12344FAF"/>
    <w:rsid w:val="123640DA"/>
    <w:rsid w:val="123CCEAD"/>
    <w:rsid w:val="12482B04"/>
    <w:rsid w:val="125CA7E6"/>
    <w:rsid w:val="125E74AD"/>
    <w:rsid w:val="126E6A12"/>
    <w:rsid w:val="127F73ED"/>
    <w:rsid w:val="128CCE94"/>
    <w:rsid w:val="1297800A"/>
    <w:rsid w:val="129E1237"/>
    <w:rsid w:val="12AAA389"/>
    <w:rsid w:val="12AB1727"/>
    <w:rsid w:val="12C44826"/>
    <w:rsid w:val="12CCFEF2"/>
    <w:rsid w:val="12CF0B93"/>
    <w:rsid w:val="12E7EF5F"/>
    <w:rsid w:val="12EF634B"/>
    <w:rsid w:val="130D2C1B"/>
    <w:rsid w:val="130DA669"/>
    <w:rsid w:val="1315E8CE"/>
    <w:rsid w:val="1324F5BE"/>
    <w:rsid w:val="132FA028"/>
    <w:rsid w:val="133A458A"/>
    <w:rsid w:val="1349A0CB"/>
    <w:rsid w:val="13627965"/>
    <w:rsid w:val="13699A40"/>
    <w:rsid w:val="136C45FB"/>
    <w:rsid w:val="13717E4F"/>
    <w:rsid w:val="137E7043"/>
    <w:rsid w:val="13876E6F"/>
    <w:rsid w:val="13919EAD"/>
    <w:rsid w:val="1391ECDE"/>
    <w:rsid w:val="13926681"/>
    <w:rsid w:val="1398B32D"/>
    <w:rsid w:val="139CF8BE"/>
    <w:rsid w:val="13A28B54"/>
    <w:rsid w:val="13AD63CC"/>
    <w:rsid w:val="13B75F22"/>
    <w:rsid w:val="13CC2B17"/>
    <w:rsid w:val="13EF0630"/>
    <w:rsid w:val="1405BF54"/>
    <w:rsid w:val="141B4150"/>
    <w:rsid w:val="141C0297"/>
    <w:rsid w:val="143621A9"/>
    <w:rsid w:val="14391CC0"/>
    <w:rsid w:val="143CFAF1"/>
    <w:rsid w:val="1442C7C2"/>
    <w:rsid w:val="144FDF6C"/>
    <w:rsid w:val="145E74B6"/>
    <w:rsid w:val="146279A0"/>
    <w:rsid w:val="14881646"/>
    <w:rsid w:val="149417E5"/>
    <w:rsid w:val="14A409C7"/>
    <w:rsid w:val="14B4BEAB"/>
    <w:rsid w:val="14C2565C"/>
    <w:rsid w:val="14CEDEEE"/>
    <w:rsid w:val="14DBF748"/>
    <w:rsid w:val="14E6BA2B"/>
    <w:rsid w:val="14E8A33F"/>
    <w:rsid w:val="14F0B7E9"/>
    <w:rsid w:val="15024699"/>
    <w:rsid w:val="15025E40"/>
    <w:rsid w:val="15032D27"/>
    <w:rsid w:val="1516BE0E"/>
    <w:rsid w:val="15224491"/>
    <w:rsid w:val="1526B670"/>
    <w:rsid w:val="153048A2"/>
    <w:rsid w:val="1539E083"/>
    <w:rsid w:val="1556BFBF"/>
    <w:rsid w:val="15591C78"/>
    <w:rsid w:val="1584F17C"/>
    <w:rsid w:val="15850061"/>
    <w:rsid w:val="158E1830"/>
    <w:rsid w:val="15A491C4"/>
    <w:rsid w:val="15A9BE19"/>
    <w:rsid w:val="15B4FB8C"/>
    <w:rsid w:val="15C0D286"/>
    <w:rsid w:val="15C3AA99"/>
    <w:rsid w:val="15CC02C3"/>
    <w:rsid w:val="15CEC0A1"/>
    <w:rsid w:val="15E159EC"/>
    <w:rsid w:val="15ED8322"/>
    <w:rsid w:val="16044769"/>
    <w:rsid w:val="16083121"/>
    <w:rsid w:val="161E5547"/>
    <w:rsid w:val="163FB612"/>
    <w:rsid w:val="16590D58"/>
    <w:rsid w:val="168B360F"/>
    <w:rsid w:val="1699728A"/>
    <w:rsid w:val="16B373CC"/>
    <w:rsid w:val="16BAEDE5"/>
    <w:rsid w:val="16BDAB21"/>
    <w:rsid w:val="16C911D3"/>
    <w:rsid w:val="16E0F4AB"/>
    <w:rsid w:val="16E37689"/>
    <w:rsid w:val="16F05B7D"/>
    <w:rsid w:val="16F50B01"/>
    <w:rsid w:val="17100FBA"/>
    <w:rsid w:val="1722BD3E"/>
    <w:rsid w:val="17344A1C"/>
    <w:rsid w:val="1748F98B"/>
    <w:rsid w:val="174E45F7"/>
    <w:rsid w:val="175BDA3B"/>
    <w:rsid w:val="17604750"/>
    <w:rsid w:val="1763601F"/>
    <w:rsid w:val="176DA2F9"/>
    <w:rsid w:val="17934245"/>
    <w:rsid w:val="17ACF339"/>
    <w:rsid w:val="17B91498"/>
    <w:rsid w:val="17C00A1A"/>
    <w:rsid w:val="18015347"/>
    <w:rsid w:val="1811CDCE"/>
    <w:rsid w:val="1814E799"/>
    <w:rsid w:val="1820CF99"/>
    <w:rsid w:val="1824D759"/>
    <w:rsid w:val="1858EC94"/>
    <w:rsid w:val="185988A9"/>
    <w:rsid w:val="1865C389"/>
    <w:rsid w:val="186CEC9A"/>
    <w:rsid w:val="187F7A05"/>
    <w:rsid w:val="188C0084"/>
    <w:rsid w:val="18C28212"/>
    <w:rsid w:val="18E93EDC"/>
    <w:rsid w:val="18F1C156"/>
    <w:rsid w:val="191B9630"/>
    <w:rsid w:val="192C949E"/>
    <w:rsid w:val="193A74AF"/>
    <w:rsid w:val="1940839D"/>
    <w:rsid w:val="1958FDA6"/>
    <w:rsid w:val="195B2C30"/>
    <w:rsid w:val="195B2FFE"/>
    <w:rsid w:val="195BC3DB"/>
    <w:rsid w:val="195D16CC"/>
    <w:rsid w:val="1960F064"/>
    <w:rsid w:val="196FD1F6"/>
    <w:rsid w:val="1976A35D"/>
    <w:rsid w:val="1983CF9F"/>
    <w:rsid w:val="19866E26"/>
    <w:rsid w:val="1998167F"/>
    <w:rsid w:val="199DFE50"/>
    <w:rsid w:val="19A4936E"/>
    <w:rsid w:val="19ADF92B"/>
    <w:rsid w:val="19D82B17"/>
    <w:rsid w:val="19DBFF26"/>
    <w:rsid w:val="19EDA0B5"/>
    <w:rsid w:val="19F4652B"/>
    <w:rsid w:val="19F538B9"/>
    <w:rsid w:val="19F6E616"/>
    <w:rsid w:val="19F855F2"/>
    <w:rsid w:val="1A083FB4"/>
    <w:rsid w:val="1A0AFD94"/>
    <w:rsid w:val="1A35AD96"/>
    <w:rsid w:val="1A59F233"/>
    <w:rsid w:val="1A5D4A7B"/>
    <w:rsid w:val="1A60ED2C"/>
    <w:rsid w:val="1A7588A7"/>
    <w:rsid w:val="1A861564"/>
    <w:rsid w:val="1A891A58"/>
    <w:rsid w:val="1A8C0129"/>
    <w:rsid w:val="1AACFA94"/>
    <w:rsid w:val="1AAE05FD"/>
    <w:rsid w:val="1ADD52CC"/>
    <w:rsid w:val="1AE32470"/>
    <w:rsid w:val="1B037C20"/>
    <w:rsid w:val="1B146AAA"/>
    <w:rsid w:val="1B1A2DD1"/>
    <w:rsid w:val="1B446879"/>
    <w:rsid w:val="1B50E1B9"/>
    <w:rsid w:val="1B528352"/>
    <w:rsid w:val="1B6361F2"/>
    <w:rsid w:val="1B72107B"/>
    <w:rsid w:val="1B741BDC"/>
    <w:rsid w:val="1B7B030F"/>
    <w:rsid w:val="1B7E40B0"/>
    <w:rsid w:val="1BA7A0BC"/>
    <w:rsid w:val="1BC5DF83"/>
    <w:rsid w:val="1BCA29BD"/>
    <w:rsid w:val="1BD8B336"/>
    <w:rsid w:val="1BDB3F7F"/>
    <w:rsid w:val="1BE3A972"/>
    <w:rsid w:val="1BE780F4"/>
    <w:rsid w:val="1BEF3FEF"/>
    <w:rsid w:val="1C01C2C4"/>
    <w:rsid w:val="1C12F431"/>
    <w:rsid w:val="1C18D5EA"/>
    <w:rsid w:val="1C2F2AAB"/>
    <w:rsid w:val="1C354E2A"/>
    <w:rsid w:val="1C4F5886"/>
    <w:rsid w:val="1C5E3EA5"/>
    <w:rsid w:val="1C74BA88"/>
    <w:rsid w:val="1CA62EE0"/>
    <w:rsid w:val="1CB09AC6"/>
    <w:rsid w:val="1CC10E2A"/>
    <w:rsid w:val="1CD835D9"/>
    <w:rsid w:val="1CDDBEEC"/>
    <w:rsid w:val="1CEFA761"/>
    <w:rsid w:val="1CF70A85"/>
    <w:rsid w:val="1CFCAF02"/>
    <w:rsid w:val="1CFD0487"/>
    <w:rsid w:val="1D286057"/>
    <w:rsid w:val="1D288F7F"/>
    <w:rsid w:val="1D36C1AF"/>
    <w:rsid w:val="1D3B21D9"/>
    <w:rsid w:val="1D493633"/>
    <w:rsid w:val="1D4EB60E"/>
    <w:rsid w:val="1D502419"/>
    <w:rsid w:val="1D56F599"/>
    <w:rsid w:val="1D65369A"/>
    <w:rsid w:val="1D6BBD02"/>
    <w:rsid w:val="1D8957CD"/>
    <w:rsid w:val="1D8D6D67"/>
    <w:rsid w:val="1D942DF5"/>
    <w:rsid w:val="1DB442D0"/>
    <w:rsid w:val="1DE832C1"/>
    <w:rsid w:val="1DF27F24"/>
    <w:rsid w:val="1DF4AE5A"/>
    <w:rsid w:val="1DF6E20A"/>
    <w:rsid w:val="1DFBEE30"/>
    <w:rsid w:val="1DFC120A"/>
    <w:rsid w:val="1E01866C"/>
    <w:rsid w:val="1E037B04"/>
    <w:rsid w:val="1E20295F"/>
    <w:rsid w:val="1E212BAC"/>
    <w:rsid w:val="1E22C162"/>
    <w:rsid w:val="1E237EB5"/>
    <w:rsid w:val="1E36786D"/>
    <w:rsid w:val="1E3F5C7D"/>
    <w:rsid w:val="1E5A5490"/>
    <w:rsid w:val="1E670812"/>
    <w:rsid w:val="1E88CE09"/>
    <w:rsid w:val="1E8ACFF9"/>
    <w:rsid w:val="1EA39E7E"/>
    <w:rsid w:val="1EC6614A"/>
    <w:rsid w:val="1ED44311"/>
    <w:rsid w:val="1EDB8A0B"/>
    <w:rsid w:val="1EEE51A3"/>
    <w:rsid w:val="1EFB2E4D"/>
    <w:rsid w:val="1F101AD1"/>
    <w:rsid w:val="1F46381F"/>
    <w:rsid w:val="1F4760C4"/>
    <w:rsid w:val="1F4B1D1E"/>
    <w:rsid w:val="1F513C09"/>
    <w:rsid w:val="1F59CAA4"/>
    <w:rsid w:val="1F5FE566"/>
    <w:rsid w:val="1F816022"/>
    <w:rsid w:val="1F91825A"/>
    <w:rsid w:val="1FA93437"/>
    <w:rsid w:val="1FB5F935"/>
    <w:rsid w:val="1FB76537"/>
    <w:rsid w:val="1FCBD459"/>
    <w:rsid w:val="1FCD6444"/>
    <w:rsid w:val="1FDB09F1"/>
    <w:rsid w:val="1FF99A2E"/>
    <w:rsid w:val="2008D288"/>
    <w:rsid w:val="200D0D02"/>
    <w:rsid w:val="2014D18C"/>
    <w:rsid w:val="201866EF"/>
    <w:rsid w:val="2032046C"/>
    <w:rsid w:val="20348E46"/>
    <w:rsid w:val="2034E99A"/>
    <w:rsid w:val="203D52D6"/>
    <w:rsid w:val="2047A7D1"/>
    <w:rsid w:val="204B2F05"/>
    <w:rsid w:val="207295E8"/>
    <w:rsid w:val="2077787E"/>
    <w:rsid w:val="2086744F"/>
    <w:rsid w:val="20955CF6"/>
    <w:rsid w:val="209D8B4A"/>
    <w:rsid w:val="20A315FB"/>
    <w:rsid w:val="20A91401"/>
    <w:rsid w:val="20B0B176"/>
    <w:rsid w:val="20B1C1E5"/>
    <w:rsid w:val="20B5E9BB"/>
    <w:rsid w:val="20C1F2DC"/>
    <w:rsid w:val="20CFC265"/>
    <w:rsid w:val="20D4B962"/>
    <w:rsid w:val="20FEDD49"/>
    <w:rsid w:val="21071B60"/>
    <w:rsid w:val="210BC790"/>
    <w:rsid w:val="2113012B"/>
    <w:rsid w:val="212D27A0"/>
    <w:rsid w:val="2132A7E8"/>
    <w:rsid w:val="21346DD8"/>
    <w:rsid w:val="2136CAF7"/>
    <w:rsid w:val="213DBE0F"/>
    <w:rsid w:val="21402D8D"/>
    <w:rsid w:val="214C613E"/>
    <w:rsid w:val="214FF87B"/>
    <w:rsid w:val="21506835"/>
    <w:rsid w:val="216015E1"/>
    <w:rsid w:val="21C53774"/>
    <w:rsid w:val="21E288EA"/>
    <w:rsid w:val="21EA5EB4"/>
    <w:rsid w:val="21F5FD23"/>
    <w:rsid w:val="21F9C0CD"/>
    <w:rsid w:val="21FF7469"/>
    <w:rsid w:val="222286E8"/>
    <w:rsid w:val="222F4395"/>
    <w:rsid w:val="22373A27"/>
    <w:rsid w:val="2238ACA7"/>
    <w:rsid w:val="2244BA94"/>
    <w:rsid w:val="225D1979"/>
    <w:rsid w:val="225DA13E"/>
    <w:rsid w:val="225E69D1"/>
    <w:rsid w:val="225F1E76"/>
    <w:rsid w:val="226C9DFE"/>
    <w:rsid w:val="2270F30F"/>
    <w:rsid w:val="2277D486"/>
    <w:rsid w:val="227893DE"/>
    <w:rsid w:val="227DA403"/>
    <w:rsid w:val="228606AF"/>
    <w:rsid w:val="22930F6B"/>
    <w:rsid w:val="22A25F43"/>
    <w:rsid w:val="22C3BB12"/>
    <w:rsid w:val="22D5DB19"/>
    <w:rsid w:val="22FA76AC"/>
    <w:rsid w:val="230308E6"/>
    <w:rsid w:val="23049F94"/>
    <w:rsid w:val="230DCB4A"/>
    <w:rsid w:val="230F3E6E"/>
    <w:rsid w:val="23189FE6"/>
    <w:rsid w:val="232246BC"/>
    <w:rsid w:val="232C45D8"/>
    <w:rsid w:val="2335DEFF"/>
    <w:rsid w:val="23424A58"/>
    <w:rsid w:val="234EFA3B"/>
    <w:rsid w:val="235443F9"/>
    <w:rsid w:val="23544E14"/>
    <w:rsid w:val="23621EDF"/>
    <w:rsid w:val="239B8768"/>
    <w:rsid w:val="23A59865"/>
    <w:rsid w:val="23A9D39E"/>
    <w:rsid w:val="23B8658D"/>
    <w:rsid w:val="23D70F42"/>
    <w:rsid w:val="23EBA17F"/>
    <w:rsid w:val="2429E9B0"/>
    <w:rsid w:val="247032A6"/>
    <w:rsid w:val="247F8256"/>
    <w:rsid w:val="248C9691"/>
    <w:rsid w:val="248E1BC1"/>
    <w:rsid w:val="24DDD97C"/>
    <w:rsid w:val="24DED369"/>
    <w:rsid w:val="24E2E4E6"/>
    <w:rsid w:val="24E47A0A"/>
    <w:rsid w:val="2516FD9B"/>
    <w:rsid w:val="251B6A1D"/>
    <w:rsid w:val="252A96D5"/>
    <w:rsid w:val="25352035"/>
    <w:rsid w:val="253D519D"/>
    <w:rsid w:val="253F3646"/>
    <w:rsid w:val="2540201A"/>
    <w:rsid w:val="25650B33"/>
    <w:rsid w:val="2566BA5C"/>
    <w:rsid w:val="25B108A6"/>
    <w:rsid w:val="25C4C586"/>
    <w:rsid w:val="25CC6D4A"/>
    <w:rsid w:val="25DE28A3"/>
    <w:rsid w:val="2605B8D9"/>
    <w:rsid w:val="261C67B9"/>
    <w:rsid w:val="261E03B2"/>
    <w:rsid w:val="2648B78A"/>
    <w:rsid w:val="266A2768"/>
    <w:rsid w:val="2680F52C"/>
    <w:rsid w:val="26B0CA1A"/>
    <w:rsid w:val="26B5FA45"/>
    <w:rsid w:val="26CD38DC"/>
    <w:rsid w:val="26CE376A"/>
    <w:rsid w:val="26CFA4CD"/>
    <w:rsid w:val="26DA3AC6"/>
    <w:rsid w:val="26DC89EF"/>
    <w:rsid w:val="2706A5BF"/>
    <w:rsid w:val="2709387C"/>
    <w:rsid w:val="270D2696"/>
    <w:rsid w:val="2710C321"/>
    <w:rsid w:val="2721A5FD"/>
    <w:rsid w:val="27224EE2"/>
    <w:rsid w:val="2724D938"/>
    <w:rsid w:val="272D6DFB"/>
    <w:rsid w:val="27493CBE"/>
    <w:rsid w:val="27534984"/>
    <w:rsid w:val="275F154F"/>
    <w:rsid w:val="2766B168"/>
    <w:rsid w:val="276EC654"/>
    <w:rsid w:val="278AC5E0"/>
    <w:rsid w:val="27B7E256"/>
    <w:rsid w:val="27BC73E2"/>
    <w:rsid w:val="27C99DD3"/>
    <w:rsid w:val="27D4A1F2"/>
    <w:rsid w:val="27D4C1C3"/>
    <w:rsid w:val="27D628A9"/>
    <w:rsid w:val="27E8016A"/>
    <w:rsid w:val="27F6061A"/>
    <w:rsid w:val="27FCB0FF"/>
    <w:rsid w:val="280EBF0A"/>
    <w:rsid w:val="281AAB19"/>
    <w:rsid w:val="281D81A9"/>
    <w:rsid w:val="282D1749"/>
    <w:rsid w:val="28325AC8"/>
    <w:rsid w:val="283A1593"/>
    <w:rsid w:val="2843A3D4"/>
    <w:rsid w:val="285461A2"/>
    <w:rsid w:val="286113A8"/>
    <w:rsid w:val="286ECFD7"/>
    <w:rsid w:val="28929956"/>
    <w:rsid w:val="28B26972"/>
    <w:rsid w:val="28C86EE9"/>
    <w:rsid w:val="28C905BF"/>
    <w:rsid w:val="28DD6311"/>
    <w:rsid w:val="28DD92D8"/>
    <w:rsid w:val="29225D49"/>
    <w:rsid w:val="29307777"/>
    <w:rsid w:val="2945504B"/>
    <w:rsid w:val="2948AA96"/>
    <w:rsid w:val="295D2C5F"/>
    <w:rsid w:val="296B7276"/>
    <w:rsid w:val="2978FF45"/>
    <w:rsid w:val="297E5028"/>
    <w:rsid w:val="29827749"/>
    <w:rsid w:val="298BFEEF"/>
    <w:rsid w:val="2993F4A6"/>
    <w:rsid w:val="2995B209"/>
    <w:rsid w:val="29A86E49"/>
    <w:rsid w:val="29AF3CF1"/>
    <w:rsid w:val="29B1FB56"/>
    <w:rsid w:val="29C73F3F"/>
    <w:rsid w:val="29CA5350"/>
    <w:rsid w:val="29F5C4B2"/>
    <w:rsid w:val="2A01AA16"/>
    <w:rsid w:val="2A03E55D"/>
    <w:rsid w:val="2A1DC9A3"/>
    <w:rsid w:val="2A39C2FE"/>
    <w:rsid w:val="2A5DB4AD"/>
    <w:rsid w:val="2A62CEDC"/>
    <w:rsid w:val="2A6FE14A"/>
    <w:rsid w:val="2A777156"/>
    <w:rsid w:val="2A7B4BEC"/>
    <w:rsid w:val="2A7FAEEA"/>
    <w:rsid w:val="2A9C83E7"/>
    <w:rsid w:val="2ABFE1AD"/>
    <w:rsid w:val="2AC33825"/>
    <w:rsid w:val="2ACD6AF9"/>
    <w:rsid w:val="2ACED7B3"/>
    <w:rsid w:val="2AD3F6BB"/>
    <w:rsid w:val="2AEB9352"/>
    <w:rsid w:val="2AFE2261"/>
    <w:rsid w:val="2B058993"/>
    <w:rsid w:val="2B05AA15"/>
    <w:rsid w:val="2B1F0208"/>
    <w:rsid w:val="2B278B57"/>
    <w:rsid w:val="2B526906"/>
    <w:rsid w:val="2B70072C"/>
    <w:rsid w:val="2B776EF7"/>
    <w:rsid w:val="2B8066CF"/>
    <w:rsid w:val="2B896D48"/>
    <w:rsid w:val="2BADC7A7"/>
    <w:rsid w:val="2BBA0924"/>
    <w:rsid w:val="2BC69E6D"/>
    <w:rsid w:val="2BCA7BA6"/>
    <w:rsid w:val="2BD59C7E"/>
    <w:rsid w:val="2BDB9190"/>
    <w:rsid w:val="2BE1E29C"/>
    <w:rsid w:val="2BE5046C"/>
    <w:rsid w:val="2C098959"/>
    <w:rsid w:val="2C1539C2"/>
    <w:rsid w:val="2C387476"/>
    <w:rsid w:val="2C63A663"/>
    <w:rsid w:val="2C6CCB60"/>
    <w:rsid w:val="2C6E2F4B"/>
    <w:rsid w:val="2C7173C9"/>
    <w:rsid w:val="2C7854DD"/>
    <w:rsid w:val="2C98C23A"/>
    <w:rsid w:val="2C99AFA0"/>
    <w:rsid w:val="2CA28AFD"/>
    <w:rsid w:val="2D0916E5"/>
    <w:rsid w:val="2D1376AF"/>
    <w:rsid w:val="2D1DC417"/>
    <w:rsid w:val="2D2124C5"/>
    <w:rsid w:val="2D36B351"/>
    <w:rsid w:val="2D4201D6"/>
    <w:rsid w:val="2D5DB5CD"/>
    <w:rsid w:val="2D787DC3"/>
    <w:rsid w:val="2D7BA2BE"/>
    <w:rsid w:val="2D918039"/>
    <w:rsid w:val="2DA9151B"/>
    <w:rsid w:val="2DAF32E2"/>
    <w:rsid w:val="2DB0EA1D"/>
    <w:rsid w:val="2DCAEB50"/>
    <w:rsid w:val="2DEA8A19"/>
    <w:rsid w:val="2E15422C"/>
    <w:rsid w:val="2E39292B"/>
    <w:rsid w:val="2E3A837A"/>
    <w:rsid w:val="2E4CC254"/>
    <w:rsid w:val="2E797253"/>
    <w:rsid w:val="2E896BFC"/>
    <w:rsid w:val="2E98615B"/>
    <w:rsid w:val="2EAAC1C5"/>
    <w:rsid w:val="2EC9A3EC"/>
    <w:rsid w:val="2F04B1F8"/>
    <w:rsid w:val="2F13FD0B"/>
    <w:rsid w:val="2F15A041"/>
    <w:rsid w:val="2F1BF062"/>
    <w:rsid w:val="2F2D8089"/>
    <w:rsid w:val="2F2E6E09"/>
    <w:rsid w:val="2F6B27FB"/>
    <w:rsid w:val="2F71D146"/>
    <w:rsid w:val="2F7EADFC"/>
    <w:rsid w:val="2F8FA139"/>
    <w:rsid w:val="2F922AFA"/>
    <w:rsid w:val="2FAA8B9A"/>
    <w:rsid w:val="2FAE95DC"/>
    <w:rsid w:val="2FC0BD50"/>
    <w:rsid w:val="2FC38686"/>
    <w:rsid w:val="2FC72011"/>
    <w:rsid w:val="2FC7834B"/>
    <w:rsid w:val="2FD82C4E"/>
    <w:rsid w:val="2FFC6B02"/>
    <w:rsid w:val="3000E3BF"/>
    <w:rsid w:val="3009168A"/>
    <w:rsid w:val="300B8358"/>
    <w:rsid w:val="301321C8"/>
    <w:rsid w:val="30234280"/>
    <w:rsid w:val="3051022D"/>
    <w:rsid w:val="3077EB59"/>
    <w:rsid w:val="307AB9AA"/>
    <w:rsid w:val="3088A9F0"/>
    <w:rsid w:val="3093A97D"/>
    <w:rsid w:val="3096EB38"/>
    <w:rsid w:val="30AEA6F7"/>
    <w:rsid w:val="30BFEBE9"/>
    <w:rsid w:val="30C42931"/>
    <w:rsid w:val="30DE5B29"/>
    <w:rsid w:val="30F4C961"/>
    <w:rsid w:val="3112593C"/>
    <w:rsid w:val="31169530"/>
    <w:rsid w:val="3117C869"/>
    <w:rsid w:val="311FBC46"/>
    <w:rsid w:val="312E1F63"/>
    <w:rsid w:val="313B7260"/>
    <w:rsid w:val="31418C42"/>
    <w:rsid w:val="31479D73"/>
    <w:rsid w:val="3155D6A3"/>
    <w:rsid w:val="3163C976"/>
    <w:rsid w:val="3169BCDB"/>
    <w:rsid w:val="3175B6D5"/>
    <w:rsid w:val="317662D5"/>
    <w:rsid w:val="317B7660"/>
    <w:rsid w:val="318634B3"/>
    <w:rsid w:val="318B1482"/>
    <w:rsid w:val="319E31AD"/>
    <w:rsid w:val="31A11A07"/>
    <w:rsid w:val="31AF25CC"/>
    <w:rsid w:val="31B42091"/>
    <w:rsid w:val="31B7A8DA"/>
    <w:rsid w:val="31BBF4ED"/>
    <w:rsid w:val="31C35D80"/>
    <w:rsid w:val="31CA566E"/>
    <w:rsid w:val="31CAD543"/>
    <w:rsid w:val="31D3DECF"/>
    <w:rsid w:val="31F3D86E"/>
    <w:rsid w:val="320952A1"/>
    <w:rsid w:val="321451A6"/>
    <w:rsid w:val="321E9B56"/>
    <w:rsid w:val="322218AF"/>
    <w:rsid w:val="32236446"/>
    <w:rsid w:val="323761D5"/>
    <w:rsid w:val="32441F06"/>
    <w:rsid w:val="32530565"/>
    <w:rsid w:val="325A4EEF"/>
    <w:rsid w:val="325E0043"/>
    <w:rsid w:val="325E3FE7"/>
    <w:rsid w:val="326C4903"/>
    <w:rsid w:val="32749206"/>
    <w:rsid w:val="327618FB"/>
    <w:rsid w:val="327EBD56"/>
    <w:rsid w:val="3296F686"/>
    <w:rsid w:val="32974C7C"/>
    <w:rsid w:val="32A2FACE"/>
    <w:rsid w:val="32AB588C"/>
    <w:rsid w:val="32B551F5"/>
    <w:rsid w:val="32BCD6AE"/>
    <w:rsid w:val="32C6F710"/>
    <w:rsid w:val="32CF6C56"/>
    <w:rsid w:val="32DDD449"/>
    <w:rsid w:val="32E5059E"/>
    <w:rsid w:val="32EA0C7D"/>
    <w:rsid w:val="32F56D36"/>
    <w:rsid w:val="33087E75"/>
    <w:rsid w:val="330F0FB7"/>
    <w:rsid w:val="330F46E8"/>
    <w:rsid w:val="33551255"/>
    <w:rsid w:val="335A1FD3"/>
    <w:rsid w:val="335D0DA4"/>
    <w:rsid w:val="336815AC"/>
    <w:rsid w:val="337D3937"/>
    <w:rsid w:val="33837146"/>
    <w:rsid w:val="3384D9AD"/>
    <w:rsid w:val="3388DF63"/>
    <w:rsid w:val="338B084A"/>
    <w:rsid w:val="33913F95"/>
    <w:rsid w:val="33BD2A00"/>
    <w:rsid w:val="33BFF70D"/>
    <w:rsid w:val="33CC5689"/>
    <w:rsid w:val="33DDE2E4"/>
    <w:rsid w:val="33E78EB2"/>
    <w:rsid w:val="33E8DF9B"/>
    <w:rsid w:val="33EBF7B8"/>
    <w:rsid w:val="33F0DBBB"/>
    <w:rsid w:val="33F70D2E"/>
    <w:rsid w:val="33FAF7C2"/>
    <w:rsid w:val="341005D4"/>
    <w:rsid w:val="34139A7D"/>
    <w:rsid w:val="341BD9E7"/>
    <w:rsid w:val="34322753"/>
    <w:rsid w:val="3432FA50"/>
    <w:rsid w:val="345A9CB3"/>
    <w:rsid w:val="345C9DD7"/>
    <w:rsid w:val="345E1E97"/>
    <w:rsid w:val="34A5A083"/>
    <w:rsid w:val="34B4F36A"/>
    <w:rsid w:val="34C1445E"/>
    <w:rsid w:val="34C504C9"/>
    <w:rsid w:val="34CC14A1"/>
    <w:rsid w:val="34CC2BB4"/>
    <w:rsid w:val="34E3EE70"/>
    <w:rsid w:val="34F268B9"/>
    <w:rsid w:val="34FC03A5"/>
    <w:rsid w:val="34FCEA7C"/>
    <w:rsid w:val="34FD66FE"/>
    <w:rsid w:val="34FE5A31"/>
    <w:rsid w:val="35063D92"/>
    <w:rsid w:val="3513C6B1"/>
    <w:rsid w:val="35335C2B"/>
    <w:rsid w:val="3567FDFC"/>
    <w:rsid w:val="357B1EB4"/>
    <w:rsid w:val="357C2147"/>
    <w:rsid w:val="358EE02E"/>
    <w:rsid w:val="3598BA32"/>
    <w:rsid w:val="35B89366"/>
    <w:rsid w:val="35CAE032"/>
    <w:rsid w:val="35D27EFD"/>
    <w:rsid w:val="35E89C30"/>
    <w:rsid w:val="35FA810E"/>
    <w:rsid w:val="35FE23C1"/>
    <w:rsid w:val="36126F06"/>
    <w:rsid w:val="3616ED60"/>
    <w:rsid w:val="361BC4CC"/>
    <w:rsid w:val="3663B600"/>
    <w:rsid w:val="36644BD0"/>
    <w:rsid w:val="367C2A1F"/>
    <w:rsid w:val="36921FA8"/>
    <w:rsid w:val="36A20FB4"/>
    <w:rsid w:val="36A655B6"/>
    <w:rsid w:val="36B7A9AD"/>
    <w:rsid w:val="36CFAC87"/>
    <w:rsid w:val="36D75885"/>
    <w:rsid w:val="36E46940"/>
    <w:rsid w:val="36E5A109"/>
    <w:rsid w:val="36EA44C9"/>
    <w:rsid w:val="36EA7F12"/>
    <w:rsid w:val="36FA8897"/>
    <w:rsid w:val="372AF2FD"/>
    <w:rsid w:val="3732BAC4"/>
    <w:rsid w:val="373BBE5C"/>
    <w:rsid w:val="373EAE1E"/>
    <w:rsid w:val="3741A6AD"/>
    <w:rsid w:val="37508236"/>
    <w:rsid w:val="376EAB44"/>
    <w:rsid w:val="378A5707"/>
    <w:rsid w:val="378C35F0"/>
    <w:rsid w:val="378C92D1"/>
    <w:rsid w:val="37955EA2"/>
    <w:rsid w:val="379BC552"/>
    <w:rsid w:val="37A159E3"/>
    <w:rsid w:val="37A7C813"/>
    <w:rsid w:val="37B605DD"/>
    <w:rsid w:val="37BCC0DC"/>
    <w:rsid w:val="37C2228A"/>
    <w:rsid w:val="37F9258C"/>
    <w:rsid w:val="381885A3"/>
    <w:rsid w:val="38229BF9"/>
    <w:rsid w:val="382CACAD"/>
    <w:rsid w:val="3838E143"/>
    <w:rsid w:val="383D9C13"/>
    <w:rsid w:val="384369B2"/>
    <w:rsid w:val="3845D6B7"/>
    <w:rsid w:val="38561829"/>
    <w:rsid w:val="386BA2F6"/>
    <w:rsid w:val="3871CE7F"/>
    <w:rsid w:val="38999D79"/>
    <w:rsid w:val="38B2C4A3"/>
    <w:rsid w:val="38B59F05"/>
    <w:rsid w:val="38CB2D04"/>
    <w:rsid w:val="38E05125"/>
    <w:rsid w:val="38E2141D"/>
    <w:rsid w:val="38E3D9F8"/>
    <w:rsid w:val="38F0900B"/>
    <w:rsid w:val="38FCF467"/>
    <w:rsid w:val="3908B876"/>
    <w:rsid w:val="3912A4FA"/>
    <w:rsid w:val="3913A32E"/>
    <w:rsid w:val="391C1547"/>
    <w:rsid w:val="3920CA20"/>
    <w:rsid w:val="392816EE"/>
    <w:rsid w:val="3937AC31"/>
    <w:rsid w:val="393D7754"/>
    <w:rsid w:val="39453EA9"/>
    <w:rsid w:val="394AB0B7"/>
    <w:rsid w:val="39626B69"/>
    <w:rsid w:val="396C1B62"/>
    <w:rsid w:val="3979FDAB"/>
    <w:rsid w:val="397FC7D6"/>
    <w:rsid w:val="398504A2"/>
    <w:rsid w:val="3986B4ED"/>
    <w:rsid w:val="39B39FB8"/>
    <w:rsid w:val="39BF7643"/>
    <w:rsid w:val="39C8283B"/>
    <w:rsid w:val="39CB54CA"/>
    <w:rsid w:val="39F444A8"/>
    <w:rsid w:val="3A07D5B2"/>
    <w:rsid w:val="3A0C85AD"/>
    <w:rsid w:val="3A0D6D5E"/>
    <w:rsid w:val="3A1CC2A5"/>
    <w:rsid w:val="3A3248A1"/>
    <w:rsid w:val="3A392033"/>
    <w:rsid w:val="3A3D1BFB"/>
    <w:rsid w:val="3A3D2D20"/>
    <w:rsid w:val="3A41E51C"/>
    <w:rsid w:val="3A45616C"/>
    <w:rsid w:val="3A591F1B"/>
    <w:rsid w:val="3A81D8B6"/>
    <w:rsid w:val="3A841477"/>
    <w:rsid w:val="3A874344"/>
    <w:rsid w:val="3A9C283E"/>
    <w:rsid w:val="3AA8CC44"/>
    <w:rsid w:val="3AB58513"/>
    <w:rsid w:val="3AB902AA"/>
    <w:rsid w:val="3ADAB5BF"/>
    <w:rsid w:val="3B2A03AD"/>
    <w:rsid w:val="3B2E93C4"/>
    <w:rsid w:val="3B3D1382"/>
    <w:rsid w:val="3B4F40BE"/>
    <w:rsid w:val="3B53009D"/>
    <w:rsid w:val="3B609111"/>
    <w:rsid w:val="3B673F75"/>
    <w:rsid w:val="3B76F666"/>
    <w:rsid w:val="3B8FB3AC"/>
    <w:rsid w:val="3BB7AA4A"/>
    <w:rsid w:val="3BBE68AF"/>
    <w:rsid w:val="3BC04C93"/>
    <w:rsid w:val="3BC2FB09"/>
    <w:rsid w:val="3BCFB8EF"/>
    <w:rsid w:val="3BF37A89"/>
    <w:rsid w:val="3C096AEA"/>
    <w:rsid w:val="3C098728"/>
    <w:rsid w:val="3C265C63"/>
    <w:rsid w:val="3C2E34A7"/>
    <w:rsid w:val="3C3310A9"/>
    <w:rsid w:val="3C3586C9"/>
    <w:rsid w:val="3C35DE8A"/>
    <w:rsid w:val="3C3AC955"/>
    <w:rsid w:val="3C4B22AA"/>
    <w:rsid w:val="3C536ADE"/>
    <w:rsid w:val="3C627467"/>
    <w:rsid w:val="3C67094F"/>
    <w:rsid w:val="3C68D51D"/>
    <w:rsid w:val="3C7F54DC"/>
    <w:rsid w:val="3C858BE1"/>
    <w:rsid w:val="3C8FA46D"/>
    <w:rsid w:val="3C9F0F06"/>
    <w:rsid w:val="3CA0561E"/>
    <w:rsid w:val="3CA19AB7"/>
    <w:rsid w:val="3CB995FD"/>
    <w:rsid w:val="3CC5325C"/>
    <w:rsid w:val="3CC97165"/>
    <w:rsid w:val="3CD864F1"/>
    <w:rsid w:val="3CE4FAD8"/>
    <w:rsid w:val="3CEF1099"/>
    <w:rsid w:val="3D00EDDF"/>
    <w:rsid w:val="3D01F4F2"/>
    <w:rsid w:val="3D109FCA"/>
    <w:rsid w:val="3D2D9F2D"/>
    <w:rsid w:val="3D3766C3"/>
    <w:rsid w:val="3D3CD3EA"/>
    <w:rsid w:val="3D588934"/>
    <w:rsid w:val="3D5937EC"/>
    <w:rsid w:val="3D67FC6F"/>
    <w:rsid w:val="3D7C7C56"/>
    <w:rsid w:val="3D86ADD8"/>
    <w:rsid w:val="3D8F2A33"/>
    <w:rsid w:val="3D92EA2F"/>
    <w:rsid w:val="3D96BD4E"/>
    <w:rsid w:val="3D9C5E6F"/>
    <w:rsid w:val="3D9EFEAB"/>
    <w:rsid w:val="3DA063DA"/>
    <w:rsid w:val="3DA18140"/>
    <w:rsid w:val="3DC9B8C4"/>
    <w:rsid w:val="3DCAD85E"/>
    <w:rsid w:val="3DD22C7E"/>
    <w:rsid w:val="3DD2F699"/>
    <w:rsid w:val="3DD7CC01"/>
    <w:rsid w:val="3DF09084"/>
    <w:rsid w:val="3DF2DB4C"/>
    <w:rsid w:val="3DF6C3B7"/>
    <w:rsid w:val="3DF7B162"/>
    <w:rsid w:val="3DFC6879"/>
    <w:rsid w:val="3E2F9FD5"/>
    <w:rsid w:val="3E4A4FEA"/>
    <w:rsid w:val="3E520092"/>
    <w:rsid w:val="3E58BBE5"/>
    <w:rsid w:val="3E61189D"/>
    <w:rsid w:val="3E6AFB6D"/>
    <w:rsid w:val="3E72DD93"/>
    <w:rsid w:val="3E74594B"/>
    <w:rsid w:val="3E8FC0AB"/>
    <w:rsid w:val="3E903A39"/>
    <w:rsid w:val="3E9EA1CD"/>
    <w:rsid w:val="3EA01480"/>
    <w:rsid w:val="3EA4F313"/>
    <w:rsid w:val="3EB334BA"/>
    <w:rsid w:val="3EC61F65"/>
    <w:rsid w:val="3EC9A4F8"/>
    <w:rsid w:val="3ED5A6F7"/>
    <w:rsid w:val="3EE29EC4"/>
    <w:rsid w:val="3EF97A8E"/>
    <w:rsid w:val="3F073F04"/>
    <w:rsid w:val="3F1B6430"/>
    <w:rsid w:val="3F2C07A8"/>
    <w:rsid w:val="3F3F9BFC"/>
    <w:rsid w:val="3F55B3E3"/>
    <w:rsid w:val="3F55F6EB"/>
    <w:rsid w:val="3F59209E"/>
    <w:rsid w:val="3F67ADE5"/>
    <w:rsid w:val="3F7D909A"/>
    <w:rsid w:val="3F8ED59D"/>
    <w:rsid w:val="3F9E1A3B"/>
    <w:rsid w:val="3FA57DD3"/>
    <w:rsid w:val="3FBBC889"/>
    <w:rsid w:val="3FC55FC4"/>
    <w:rsid w:val="3FF279A4"/>
    <w:rsid w:val="400924D8"/>
    <w:rsid w:val="401E4F60"/>
    <w:rsid w:val="40217636"/>
    <w:rsid w:val="4021C483"/>
    <w:rsid w:val="402AF13F"/>
    <w:rsid w:val="40306BF3"/>
    <w:rsid w:val="403E338E"/>
    <w:rsid w:val="405D84EB"/>
    <w:rsid w:val="406C1D49"/>
    <w:rsid w:val="40854893"/>
    <w:rsid w:val="40AA813C"/>
    <w:rsid w:val="40E52FD2"/>
    <w:rsid w:val="40EE3707"/>
    <w:rsid w:val="40F8188A"/>
    <w:rsid w:val="40FD191F"/>
    <w:rsid w:val="410C450B"/>
    <w:rsid w:val="410FF92A"/>
    <w:rsid w:val="4115781D"/>
    <w:rsid w:val="41224365"/>
    <w:rsid w:val="4145C5D6"/>
    <w:rsid w:val="41529D29"/>
    <w:rsid w:val="416187A4"/>
    <w:rsid w:val="416325BA"/>
    <w:rsid w:val="41793C55"/>
    <w:rsid w:val="418D19A8"/>
    <w:rsid w:val="4198A5B7"/>
    <w:rsid w:val="41AB5A1A"/>
    <w:rsid w:val="41C17551"/>
    <w:rsid w:val="41C7AD5E"/>
    <w:rsid w:val="41D0577E"/>
    <w:rsid w:val="41EB7C81"/>
    <w:rsid w:val="41F22182"/>
    <w:rsid w:val="41FABF75"/>
    <w:rsid w:val="4227A7AC"/>
    <w:rsid w:val="42325481"/>
    <w:rsid w:val="4232CB5C"/>
    <w:rsid w:val="423DEF1B"/>
    <w:rsid w:val="4244A7A2"/>
    <w:rsid w:val="424DBC8C"/>
    <w:rsid w:val="426213E3"/>
    <w:rsid w:val="428B6B77"/>
    <w:rsid w:val="42B10A7F"/>
    <w:rsid w:val="42C1B5A0"/>
    <w:rsid w:val="42C574AD"/>
    <w:rsid w:val="42E07805"/>
    <w:rsid w:val="42E68460"/>
    <w:rsid w:val="42E71BFB"/>
    <w:rsid w:val="42E96756"/>
    <w:rsid w:val="42E9BBF6"/>
    <w:rsid w:val="42EF0A32"/>
    <w:rsid w:val="42EF6572"/>
    <w:rsid w:val="42FCA23F"/>
    <w:rsid w:val="43087A19"/>
    <w:rsid w:val="43207C89"/>
    <w:rsid w:val="432123FD"/>
    <w:rsid w:val="43232295"/>
    <w:rsid w:val="43283A88"/>
    <w:rsid w:val="432E50A3"/>
    <w:rsid w:val="433F84A1"/>
    <w:rsid w:val="436D49DE"/>
    <w:rsid w:val="436DC670"/>
    <w:rsid w:val="438F6804"/>
    <w:rsid w:val="439469C5"/>
    <w:rsid w:val="43A19B65"/>
    <w:rsid w:val="43A64677"/>
    <w:rsid w:val="43B328E8"/>
    <w:rsid w:val="43BB2417"/>
    <w:rsid w:val="43BF919B"/>
    <w:rsid w:val="43C7E0DD"/>
    <w:rsid w:val="43D13922"/>
    <w:rsid w:val="43E4C6A6"/>
    <w:rsid w:val="43ECFC1A"/>
    <w:rsid w:val="441C86CB"/>
    <w:rsid w:val="441E615C"/>
    <w:rsid w:val="44223B35"/>
    <w:rsid w:val="44292138"/>
    <w:rsid w:val="4437C4A8"/>
    <w:rsid w:val="444DB883"/>
    <w:rsid w:val="4451FE67"/>
    <w:rsid w:val="4461530B"/>
    <w:rsid w:val="44635EC8"/>
    <w:rsid w:val="44653A87"/>
    <w:rsid w:val="44771D95"/>
    <w:rsid w:val="447740D1"/>
    <w:rsid w:val="4484BC81"/>
    <w:rsid w:val="44860EA6"/>
    <w:rsid w:val="44945093"/>
    <w:rsid w:val="4497B8CE"/>
    <w:rsid w:val="449B7FEB"/>
    <w:rsid w:val="44A05FD3"/>
    <w:rsid w:val="44A9B2FD"/>
    <w:rsid w:val="44BAF763"/>
    <w:rsid w:val="44BB1F2D"/>
    <w:rsid w:val="44BB9AB5"/>
    <w:rsid w:val="44BD5CC9"/>
    <w:rsid w:val="44C076C0"/>
    <w:rsid w:val="44D033BB"/>
    <w:rsid w:val="44D0D979"/>
    <w:rsid w:val="44EC030D"/>
    <w:rsid w:val="44EED537"/>
    <w:rsid w:val="44F6A2BC"/>
    <w:rsid w:val="44FDBD2E"/>
    <w:rsid w:val="451D07B0"/>
    <w:rsid w:val="452505CE"/>
    <w:rsid w:val="4525ED07"/>
    <w:rsid w:val="45342F2B"/>
    <w:rsid w:val="456CA826"/>
    <w:rsid w:val="457C828E"/>
    <w:rsid w:val="4580C25C"/>
    <w:rsid w:val="4590EAB7"/>
    <w:rsid w:val="459465B5"/>
    <w:rsid w:val="45B250BD"/>
    <w:rsid w:val="45B290D2"/>
    <w:rsid w:val="45D259A1"/>
    <w:rsid w:val="45ED2F82"/>
    <w:rsid w:val="45EDB303"/>
    <w:rsid w:val="45FB0853"/>
    <w:rsid w:val="45FB0D02"/>
    <w:rsid w:val="460B4F26"/>
    <w:rsid w:val="460C5D3B"/>
    <w:rsid w:val="46174817"/>
    <w:rsid w:val="4621BFED"/>
    <w:rsid w:val="46444027"/>
    <w:rsid w:val="4652F121"/>
    <w:rsid w:val="465F0547"/>
    <w:rsid w:val="46838708"/>
    <w:rsid w:val="4689E198"/>
    <w:rsid w:val="469AC1FC"/>
    <w:rsid w:val="46A2F98D"/>
    <w:rsid w:val="46AC1F3F"/>
    <w:rsid w:val="46B9BFA7"/>
    <w:rsid w:val="46C6EB98"/>
    <w:rsid w:val="46CE295A"/>
    <w:rsid w:val="46CFE184"/>
    <w:rsid w:val="46DBCEDF"/>
    <w:rsid w:val="46DF8264"/>
    <w:rsid w:val="46E47E43"/>
    <w:rsid w:val="46F1BA03"/>
    <w:rsid w:val="46F78E2D"/>
    <w:rsid w:val="4708BB9F"/>
    <w:rsid w:val="476488EF"/>
    <w:rsid w:val="4764B35E"/>
    <w:rsid w:val="4785760E"/>
    <w:rsid w:val="47876945"/>
    <w:rsid w:val="4799A291"/>
    <w:rsid w:val="47ABA889"/>
    <w:rsid w:val="47AF6F21"/>
    <w:rsid w:val="47B5D066"/>
    <w:rsid w:val="47B6EF22"/>
    <w:rsid w:val="47BA0144"/>
    <w:rsid w:val="47BFA4F8"/>
    <w:rsid w:val="47D96C6A"/>
    <w:rsid w:val="47DEB618"/>
    <w:rsid w:val="4805D41D"/>
    <w:rsid w:val="4806E09D"/>
    <w:rsid w:val="4808C8DC"/>
    <w:rsid w:val="480BB347"/>
    <w:rsid w:val="480D2C1F"/>
    <w:rsid w:val="4812E660"/>
    <w:rsid w:val="48204A97"/>
    <w:rsid w:val="482FF774"/>
    <w:rsid w:val="483BD73E"/>
    <w:rsid w:val="48440C80"/>
    <w:rsid w:val="48597C00"/>
    <w:rsid w:val="48738E94"/>
    <w:rsid w:val="48787AC3"/>
    <w:rsid w:val="4896054B"/>
    <w:rsid w:val="489FF759"/>
    <w:rsid w:val="48AA24E4"/>
    <w:rsid w:val="48B13B6B"/>
    <w:rsid w:val="48B3C366"/>
    <w:rsid w:val="48C5BC8F"/>
    <w:rsid w:val="48EA6B2D"/>
    <w:rsid w:val="48EB346D"/>
    <w:rsid w:val="48F4D523"/>
    <w:rsid w:val="48F52B95"/>
    <w:rsid w:val="48F99825"/>
    <w:rsid w:val="48FACE99"/>
    <w:rsid w:val="4923A741"/>
    <w:rsid w:val="493046F5"/>
    <w:rsid w:val="4937DB40"/>
    <w:rsid w:val="494D2B45"/>
    <w:rsid w:val="4957B377"/>
    <w:rsid w:val="4962CA15"/>
    <w:rsid w:val="49C4DF91"/>
    <w:rsid w:val="49C8E231"/>
    <w:rsid w:val="49DB2CBC"/>
    <w:rsid w:val="49DEF231"/>
    <w:rsid w:val="49E84A44"/>
    <w:rsid w:val="49EE40B8"/>
    <w:rsid w:val="49EF6ECA"/>
    <w:rsid w:val="49F5481B"/>
    <w:rsid w:val="4A021013"/>
    <w:rsid w:val="4A02CEF3"/>
    <w:rsid w:val="4A0616E8"/>
    <w:rsid w:val="4A1B0B11"/>
    <w:rsid w:val="4A1DFD6C"/>
    <w:rsid w:val="4A43925E"/>
    <w:rsid w:val="4A516522"/>
    <w:rsid w:val="4A54B3BC"/>
    <w:rsid w:val="4A615DDB"/>
    <w:rsid w:val="4A68E4CC"/>
    <w:rsid w:val="4A984C5D"/>
    <w:rsid w:val="4A9CC10A"/>
    <w:rsid w:val="4AA775C7"/>
    <w:rsid w:val="4AA8380A"/>
    <w:rsid w:val="4AA8658D"/>
    <w:rsid w:val="4AAE9640"/>
    <w:rsid w:val="4AC299C7"/>
    <w:rsid w:val="4AC2E336"/>
    <w:rsid w:val="4AC6C5B7"/>
    <w:rsid w:val="4ACF1E38"/>
    <w:rsid w:val="4ADF8643"/>
    <w:rsid w:val="4AE8E434"/>
    <w:rsid w:val="4AEE39F1"/>
    <w:rsid w:val="4AF8567B"/>
    <w:rsid w:val="4AFF86F6"/>
    <w:rsid w:val="4B2E40B2"/>
    <w:rsid w:val="4B4BBC2B"/>
    <w:rsid w:val="4B591300"/>
    <w:rsid w:val="4B64C647"/>
    <w:rsid w:val="4B7A7422"/>
    <w:rsid w:val="4B83FE2A"/>
    <w:rsid w:val="4BA84D23"/>
    <w:rsid w:val="4BBAC0AA"/>
    <w:rsid w:val="4BC7D6CE"/>
    <w:rsid w:val="4BCA4E6C"/>
    <w:rsid w:val="4BE4FB35"/>
    <w:rsid w:val="4C212A2A"/>
    <w:rsid w:val="4C473825"/>
    <w:rsid w:val="4C4FA9EF"/>
    <w:rsid w:val="4C70A325"/>
    <w:rsid w:val="4C909522"/>
    <w:rsid w:val="4C930015"/>
    <w:rsid w:val="4C95B7B6"/>
    <w:rsid w:val="4CA66390"/>
    <w:rsid w:val="4CA86F90"/>
    <w:rsid w:val="4CB139A5"/>
    <w:rsid w:val="4CB903DE"/>
    <w:rsid w:val="4CDD0DE9"/>
    <w:rsid w:val="4CF8CF0A"/>
    <w:rsid w:val="4CFA706C"/>
    <w:rsid w:val="4D03E6A7"/>
    <w:rsid w:val="4D0E303C"/>
    <w:rsid w:val="4D0EE32C"/>
    <w:rsid w:val="4D0FEDAC"/>
    <w:rsid w:val="4D14D72B"/>
    <w:rsid w:val="4D204F12"/>
    <w:rsid w:val="4D29AD29"/>
    <w:rsid w:val="4D3825A4"/>
    <w:rsid w:val="4D528B78"/>
    <w:rsid w:val="4D533C12"/>
    <w:rsid w:val="4D5E35AC"/>
    <w:rsid w:val="4D61885C"/>
    <w:rsid w:val="4D73F05F"/>
    <w:rsid w:val="4D786607"/>
    <w:rsid w:val="4D7B5F0F"/>
    <w:rsid w:val="4D7FF26D"/>
    <w:rsid w:val="4DA0781C"/>
    <w:rsid w:val="4DA3C86D"/>
    <w:rsid w:val="4DAF80BF"/>
    <w:rsid w:val="4DB91A4B"/>
    <w:rsid w:val="4DBD3849"/>
    <w:rsid w:val="4DC01D70"/>
    <w:rsid w:val="4DDC7F03"/>
    <w:rsid w:val="4E1779E0"/>
    <w:rsid w:val="4E1D4EC8"/>
    <w:rsid w:val="4E35211E"/>
    <w:rsid w:val="4E364FE9"/>
    <w:rsid w:val="4E458420"/>
    <w:rsid w:val="4E5199A5"/>
    <w:rsid w:val="4E54515E"/>
    <w:rsid w:val="4E55AFE4"/>
    <w:rsid w:val="4E6270CE"/>
    <w:rsid w:val="4E69D54A"/>
    <w:rsid w:val="4E8DBC15"/>
    <w:rsid w:val="4E9D5B1C"/>
    <w:rsid w:val="4E9DA23C"/>
    <w:rsid w:val="4EA94B3F"/>
    <w:rsid w:val="4ED1507E"/>
    <w:rsid w:val="4ED36681"/>
    <w:rsid w:val="4ED367C9"/>
    <w:rsid w:val="4ED5CC2C"/>
    <w:rsid w:val="4ED90246"/>
    <w:rsid w:val="4EDB2E19"/>
    <w:rsid w:val="4EE5C8FF"/>
    <w:rsid w:val="4EE6B30D"/>
    <w:rsid w:val="4EF1ADC0"/>
    <w:rsid w:val="4EF27130"/>
    <w:rsid w:val="4F15BE4E"/>
    <w:rsid w:val="4F163177"/>
    <w:rsid w:val="4F290AF5"/>
    <w:rsid w:val="4F2D44C0"/>
    <w:rsid w:val="4F3E9279"/>
    <w:rsid w:val="4F3F800D"/>
    <w:rsid w:val="4F51E224"/>
    <w:rsid w:val="4F52D03C"/>
    <w:rsid w:val="4F56F0D2"/>
    <w:rsid w:val="4F59C044"/>
    <w:rsid w:val="4F5A8ADD"/>
    <w:rsid w:val="4F5D1319"/>
    <w:rsid w:val="4F6ED2CF"/>
    <w:rsid w:val="4F84EF30"/>
    <w:rsid w:val="4F87323C"/>
    <w:rsid w:val="4F8EF2B3"/>
    <w:rsid w:val="4F90E92D"/>
    <w:rsid w:val="4F99F22D"/>
    <w:rsid w:val="4F9CC5E6"/>
    <w:rsid w:val="4FAF14B8"/>
    <w:rsid w:val="4FB59D4C"/>
    <w:rsid w:val="4FB94037"/>
    <w:rsid w:val="4FBE796E"/>
    <w:rsid w:val="4FC208E4"/>
    <w:rsid w:val="4FCE067B"/>
    <w:rsid w:val="4FD63464"/>
    <w:rsid w:val="4FD83112"/>
    <w:rsid w:val="4FE4A7C2"/>
    <w:rsid w:val="4FE75F1C"/>
    <w:rsid w:val="4FEC70F4"/>
    <w:rsid w:val="4FF19217"/>
    <w:rsid w:val="4FFAFED1"/>
    <w:rsid w:val="5021716A"/>
    <w:rsid w:val="5027CF89"/>
    <w:rsid w:val="50492FD6"/>
    <w:rsid w:val="50591C6C"/>
    <w:rsid w:val="50695479"/>
    <w:rsid w:val="507BF2FD"/>
    <w:rsid w:val="50807994"/>
    <w:rsid w:val="508449F9"/>
    <w:rsid w:val="508CB2A7"/>
    <w:rsid w:val="5093B182"/>
    <w:rsid w:val="50A54E5E"/>
    <w:rsid w:val="50A8B129"/>
    <w:rsid w:val="50AC4165"/>
    <w:rsid w:val="50F6A510"/>
    <w:rsid w:val="50FB4254"/>
    <w:rsid w:val="511B8090"/>
    <w:rsid w:val="514883B7"/>
    <w:rsid w:val="5171A4DE"/>
    <w:rsid w:val="517FD55E"/>
    <w:rsid w:val="518DA588"/>
    <w:rsid w:val="51995EB9"/>
    <w:rsid w:val="51A07ADF"/>
    <w:rsid w:val="51A34347"/>
    <w:rsid w:val="51ABEF12"/>
    <w:rsid w:val="51ACC1F9"/>
    <w:rsid w:val="51B1FD2B"/>
    <w:rsid w:val="51DE8BCC"/>
    <w:rsid w:val="51FA4281"/>
    <w:rsid w:val="51FAC319"/>
    <w:rsid w:val="51FB48EE"/>
    <w:rsid w:val="5206F44B"/>
    <w:rsid w:val="522A5761"/>
    <w:rsid w:val="523C9175"/>
    <w:rsid w:val="52487EEF"/>
    <w:rsid w:val="524E3518"/>
    <w:rsid w:val="525CC97C"/>
    <w:rsid w:val="526E3114"/>
    <w:rsid w:val="526F8465"/>
    <w:rsid w:val="5284C13C"/>
    <w:rsid w:val="5293FB5B"/>
    <w:rsid w:val="529675A6"/>
    <w:rsid w:val="52A7914B"/>
    <w:rsid w:val="52A7E0D6"/>
    <w:rsid w:val="52B54E36"/>
    <w:rsid w:val="52C0B0C8"/>
    <w:rsid w:val="52C5EDFF"/>
    <w:rsid w:val="52C64BAC"/>
    <w:rsid w:val="52CA5A10"/>
    <w:rsid w:val="52DA81CA"/>
    <w:rsid w:val="52EBA1BD"/>
    <w:rsid w:val="52EEC378"/>
    <w:rsid w:val="52FD8994"/>
    <w:rsid w:val="53069CD1"/>
    <w:rsid w:val="5321BB94"/>
    <w:rsid w:val="532911F8"/>
    <w:rsid w:val="5355C4D8"/>
    <w:rsid w:val="53600ED9"/>
    <w:rsid w:val="53802A13"/>
    <w:rsid w:val="53876822"/>
    <w:rsid w:val="539D0767"/>
    <w:rsid w:val="53B51554"/>
    <w:rsid w:val="53B60D40"/>
    <w:rsid w:val="53BA1438"/>
    <w:rsid w:val="53DE74B4"/>
    <w:rsid w:val="53E337CA"/>
    <w:rsid w:val="53E4363E"/>
    <w:rsid w:val="53EE5AFB"/>
    <w:rsid w:val="53FB05D2"/>
    <w:rsid w:val="54018EBF"/>
    <w:rsid w:val="5402B4D7"/>
    <w:rsid w:val="5409052A"/>
    <w:rsid w:val="54183855"/>
    <w:rsid w:val="541BDA0A"/>
    <w:rsid w:val="541E0F16"/>
    <w:rsid w:val="541F3FD0"/>
    <w:rsid w:val="541F5264"/>
    <w:rsid w:val="54298A43"/>
    <w:rsid w:val="5436D62A"/>
    <w:rsid w:val="54506366"/>
    <w:rsid w:val="546DD2FE"/>
    <w:rsid w:val="547C4721"/>
    <w:rsid w:val="548D68E5"/>
    <w:rsid w:val="54937DF7"/>
    <w:rsid w:val="54BE7B3C"/>
    <w:rsid w:val="54D3D393"/>
    <w:rsid w:val="54DBEF5D"/>
    <w:rsid w:val="54E7280A"/>
    <w:rsid w:val="54EB5912"/>
    <w:rsid w:val="5514B64B"/>
    <w:rsid w:val="552D8521"/>
    <w:rsid w:val="55398B85"/>
    <w:rsid w:val="5547E8E6"/>
    <w:rsid w:val="5552553A"/>
    <w:rsid w:val="5557482A"/>
    <w:rsid w:val="55706218"/>
    <w:rsid w:val="557AF9C2"/>
    <w:rsid w:val="5580C038"/>
    <w:rsid w:val="55823945"/>
    <w:rsid w:val="5587F4B5"/>
    <w:rsid w:val="55959942"/>
    <w:rsid w:val="559C2887"/>
    <w:rsid w:val="55E53E99"/>
    <w:rsid w:val="55F3CFC3"/>
    <w:rsid w:val="5600C1F7"/>
    <w:rsid w:val="5604B32F"/>
    <w:rsid w:val="56236FFE"/>
    <w:rsid w:val="5625BB3E"/>
    <w:rsid w:val="564AACB2"/>
    <w:rsid w:val="56540850"/>
    <w:rsid w:val="56551F3D"/>
    <w:rsid w:val="565DBBFA"/>
    <w:rsid w:val="5663281A"/>
    <w:rsid w:val="5668837E"/>
    <w:rsid w:val="56731954"/>
    <w:rsid w:val="567B1226"/>
    <w:rsid w:val="567D2D2B"/>
    <w:rsid w:val="5684198C"/>
    <w:rsid w:val="569ACEBC"/>
    <w:rsid w:val="56C84775"/>
    <w:rsid w:val="56CEB7BB"/>
    <w:rsid w:val="56FB2D0E"/>
    <w:rsid w:val="570145A5"/>
    <w:rsid w:val="572215AD"/>
    <w:rsid w:val="57388B52"/>
    <w:rsid w:val="57499C08"/>
    <w:rsid w:val="576359AF"/>
    <w:rsid w:val="576F4D8D"/>
    <w:rsid w:val="576F6FC2"/>
    <w:rsid w:val="5787FAE2"/>
    <w:rsid w:val="578AC199"/>
    <w:rsid w:val="57A35861"/>
    <w:rsid w:val="57C44429"/>
    <w:rsid w:val="57DDA111"/>
    <w:rsid w:val="57DFC2A0"/>
    <w:rsid w:val="57EA7EAF"/>
    <w:rsid w:val="57ED8508"/>
    <w:rsid w:val="57F9C916"/>
    <w:rsid w:val="5806BC0F"/>
    <w:rsid w:val="58166BF5"/>
    <w:rsid w:val="582BBA14"/>
    <w:rsid w:val="5854E2E6"/>
    <w:rsid w:val="5855A5DE"/>
    <w:rsid w:val="58569130"/>
    <w:rsid w:val="58690C0A"/>
    <w:rsid w:val="586CAB7B"/>
    <w:rsid w:val="586D3E0D"/>
    <w:rsid w:val="58738059"/>
    <w:rsid w:val="58779723"/>
    <w:rsid w:val="589E0D20"/>
    <w:rsid w:val="58A0118A"/>
    <w:rsid w:val="58A78960"/>
    <w:rsid w:val="58B266EB"/>
    <w:rsid w:val="58CAD27B"/>
    <w:rsid w:val="58E8AE65"/>
    <w:rsid w:val="58EB893D"/>
    <w:rsid w:val="58F3E625"/>
    <w:rsid w:val="58FF9E61"/>
    <w:rsid w:val="5904141F"/>
    <w:rsid w:val="5907794A"/>
    <w:rsid w:val="5910FDCE"/>
    <w:rsid w:val="591AA371"/>
    <w:rsid w:val="5925CF30"/>
    <w:rsid w:val="59351AEF"/>
    <w:rsid w:val="594AC4B1"/>
    <w:rsid w:val="595CF48C"/>
    <w:rsid w:val="595D372E"/>
    <w:rsid w:val="595E6A56"/>
    <w:rsid w:val="59607D24"/>
    <w:rsid w:val="59670FC2"/>
    <w:rsid w:val="597C2B9F"/>
    <w:rsid w:val="5984DA58"/>
    <w:rsid w:val="5994A79F"/>
    <w:rsid w:val="59B2D081"/>
    <w:rsid w:val="59B9EA99"/>
    <w:rsid w:val="59C3317C"/>
    <w:rsid w:val="59C69710"/>
    <w:rsid w:val="59EF2DFE"/>
    <w:rsid w:val="5A0A5681"/>
    <w:rsid w:val="5A0A9049"/>
    <w:rsid w:val="5A11848E"/>
    <w:rsid w:val="5A176E8D"/>
    <w:rsid w:val="5A19E9E6"/>
    <w:rsid w:val="5A2E1E68"/>
    <w:rsid w:val="5A38066A"/>
    <w:rsid w:val="5A4E74DF"/>
    <w:rsid w:val="5A5AC442"/>
    <w:rsid w:val="5A6C353C"/>
    <w:rsid w:val="5A85FEFC"/>
    <w:rsid w:val="5A88ABE7"/>
    <w:rsid w:val="5A89009F"/>
    <w:rsid w:val="5A973D42"/>
    <w:rsid w:val="5AA26BF3"/>
    <w:rsid w:val="5AB11C99"/>
    <w:rsid w:val="5AB1CECC"/>
    <w:rsid w:val="5AB642A6"/>
    <w:rsid w:val="5ACDC3E1"/>
    <w:rsid w:val="5AD0BDA7"/>
    <w:rsid w:val="5AEBE6BE"/>
    <w:rsid w:val="5AEEEDFE"/>
    <w:rsid w:val="5AF66136"/>
    <w:rsid w:val="5AFA51F4"/>
    <w:rsid w:val="5B060F82"/>
    <w:rsid w:val="5B369F66"/>
    <w:rsid w:val="5B5B9CEB"/>
    <w:rsid w:val="5B5C06FA"/>
    <w:rsid w:val="5B698E96"/>
    <w:rsid w:val="5B6A5C2E"/>
    <w:rsid w:val="5B81E704"/>
    <w:rsid w:val="5B8E30D3"/>
    <w:rsid w:val="5BAE003D"/>
    <w:rsid w:val="5BB1AFF1"/>
    <w:rsid w:val="5BB37339"/>
    <w:rsid w:val="5BB95DDF"/>
    <w:rsid w:val="5BC06273"/>
    <w:rsid w:val="5BECEC7B"/>
    <w:rsid w:val="5BF36C17"/>
    <w:rsid w:val="5BFB9522"/>
    <w:rsid w:val="5C184133"/>
    <w:rsid w:val="5C2F6EF1"/>
    <w:rsid w:val="5C396893"/>
    <w:rsid w:val="5C3D78CF"/>
    <w:rsid w:val="5C44891D"/>
    <w:rsid w:val="5C56F512"/>
    <w:rsid w:val="5C62F8C9"/>
    <w:rsid w:val="5C6BF6FD"/>
    <w:rsid w:val="5C744E08"/>
    <w:rsid w:val="5C8F7120"/>
    <w:rsid w:val="5CC1C5BD"/>
    <w:rsid w:val="5CCF5B89"/>
    <w:rsid w:val="5CD6E40C"/>
    <w:rsid w:val="5CDBF00C"/>
    <w:rsid w:val="5CE9B22D"/>
    <w:rsid w:val="5CEA59F1"/>
    <w:rsid w:val="5CEDA95A"/>
    <w:rsid w:val="5CF2031A"/>
    <w:rsid w:val="5CFBD52A"/>
    <w:rsid w:val="5D1A5A68"/>
    <w:rsid w:val="5D44D634"/>
    <w:rsid w:val="5D4DE575"/>
    <w:rsid w:val="5D5CBF41"/>
    <w:rsid w:val="5D6210EA"/>
    <w:rsid w:val="5D6257B3"/>
    <w:rsid w:val="5D8AAEB7"/>
    <w:rsid w:val="5DA944AC"/>
    <w:rsid w:val="5DBB1966"/>
    <w:rsid w:val="5DBDC705"/>
    <w:rsid w:val="5DD127AC"/>
    <w:rsid w:val="5DDD9D4D"/>
    <w:rsid w:val="5DF8DAB4"/>
    <w:rsid w:val="5E1744B0"/>
    <w:rsid w:val="5E1D3582"/>
    <w:rsid w:val="5E201D82"/>
    <w:rsid w:val="5E242948"/>
    <w:rsid w:val="5E26BA12"/>
    <w:rsid w:val="5E488826"/>
    <w:rsid w:val="5E4C0ADE"/>
    <w:rsid w:val="5E633679"/>
    <w:rsid w:val="5E77ED3F"/>
    <w:rsid w:val="5E8BF883"/>
    <w:rsid w:val="5E941942"/>
    <w:rsid w:val="5EA79F4F"/>
    <w:rsid w:val="5EB1AA02"/>
    <w:rsid w:val="5EBE2589"/>
    <w:rsid w:val="5ECB0799"/>
    <w:rsid w:val="5ECE7DA4"/>
    <w:rsid w:val="5F2AD5B5"/>
    <w:rsid w:val="5F4B6108"/>
    <w:rsid w:val="5F7348EF"/>
    <w:rsid w:val="5F7464DE"/>
    <w:rsid w:val="5F836FA2"/>
    <w:rsid w:val="5F88208A"/>
    <w:rsid w:val="5F9CE614"/>
    <w:rsid w:val="5F9F429A"/>
    <w:rsid w:val="5FBE18D6"/>
    <w:rsid w:val="5FC4A58A"/>
    <w:rsid w:val="5FC809EE"/>
    <w:rsid w:val="5FD67890"/>
    <w:rsid w:val="5FDE1939"/>
    <w:rsid w:val="5FDF3ADD"/>
    <w:rsid w:val="5FF997F3"/>
    <w:rsid w:val="6002F31F"/>
    <w:rsid w:val="6004DCC0"/>
    <w:rsid w:val="601D9DEE"/>
    <w:rsid w:val="603FDC66"/>
    <w:rsid w:val="6042577D"/>
    <w:rsid w:val="605D6145"/>
    <w:rsid w:val="606102BC"/>
    <w:rsid w:val="607BF7A0"/>
    <w:rsid w:val="608B0AC0"/>
    <w:rsid w:val="60971E0F"/>
    <w:rsid w:val="6099A529"/>
    <w:rsid w:val="60BACC05"/>
    <w:rsid w:val="60D79EDB"/>
    <w:rsid w:val="60D9013B"/>
    <w:rsid w:val="60D9AC5B"/>
    <w:rsid w:val="60E060B8"/>
    <w:rsid w:val="60F2EFC9"/>
    <w:rsid w:val="60F4738B"/>
    <w:rsid w:val="61108B33"/>
    <w:rsid w:val="6117560A"/>
    <w:rsid w:val="611919D5"/>
    <w:rsid w:val="6121201D"/>
    <w:rsid w:val="61297683"/>
    <w:rsid w:val="6140C835"/>
    <w:rsid w:val="615CF78E"/>
    <w:rsid w:val="616D008C"/>
    <w:rsid w:val="61911887"/>
    <w:rsid w:val="61A121A6"/>
    <w:rsid w:val="61B55B57"/>
    <w:rsid w:val="61BC37E4"/>
    <w:rsid w:val="61D62B95"/>
    <w:rsid w:val="61D7F724"/>
    <w:rsid w:val="61D9076E"/>
    <w:rsid w:val="61E01308"/>
    <w:rsid w:val="61F6743F"/>
    <w:rsid w:val="621B1868"/>
    <w:rsid w:val="62393E06"/>
    <w:rsid w:val="62576756"/>
    <w:rsid w:val="6258396C"/>
    <w:rsid w:val="625A4195"/>
    <w:rsid w:val="627500D8"/>
    <w:rsid w:val="62807F12"/>
    <w:rsid w:val="6285D7F6"/>
    <w:rsid w:val="628876CF"/>
    <w:rsid w:val="6295F73E"/>
    <w:rsid w:val="62A2DE63"/>
    <w:rsid w:val="62B2E11E"/>
    <w:rsid w:val="62B3FF9B"/>
    <w:rsid w:val="62B711F3"/>
    <w:rsid w:val="62B87B71"/>
    <w:rsid w:val="62CEA554"/>
    <w:rsid w:val="62E0D6DA"/>
    <w:rsid w:val="62E4F65F"/>
    <w:rsid w:val="62ECEB17"/>
    <w:rsid w:val="62FC8CF3"/>
    <w:rsid w:val="63045C79"/>
    <w:rsid w:val="630A5FF0"/>
    <w:rsid w:val="630B7DE2"/>
    <w:rsid w:val="6328F8FB"/>
    <w:rsid w:val="6330E6DA"/>
    <w:rsid w:val="634A1969"/>
    <w:rsid w:val="634A7F5D"/>
    <w:rsid w:val="634D26D6"/>
    <w:rsid w:val="63502CC6"/>
    <w:rsid w:val="63508BFC"/>
    <w:rsid w:val="63630A43"/>
    <w:rsid w:val="63821ABC"/>
    <w:rsid w:val="63A4559A"/>
    <w:rsid w:val="63A725B6"/>
    <w:rsid w:val="63CB7FA9"/>
    <w:rsid w:val="63E2AD70"/>
    <w:rsid w:val="64100261"/>
    <w:rsid w:val="641EB943"/>
    <w:rsid w:val="6423A13F"/>
    <w:rsid w:val="64397E99"/>
    <w:rsid w:val="643E8CD3"/>
    <w:rsid w:val="644F87CA"/>
    <w:rsid w:val="6459843B"/>
    <w:rsid w:val="64672718"/>
    <w:rsid w:val="6468529E"/>
    <w:rsid w:val="648213B2"/>
    <w:rsid w:val="64ABE1BE"/>
    <w:rsid w:val="64AF86A0"/>
    <w:rsid w:val="64DBAFC9"/>
    <w:rsid w:val="64F5C311"/>
    <w:rsid w:val="64F89043"/>
    <w:rsid w:val="6511A229"/>
    <w:rsid w:val="65327C70"/>
    <w:rsid w:val="65355703"/>
    <w:rsid w:val="6540407F"/>
    <w:rsid w:val="6542BD96"/>
    <w:rsid w:val="6543EA66"/>
    <w:rsid w:val="65492C56"/>
    <w:rsid w:val="654C0468"/>
    <w:rsid w:val="6552455C"/>
    <w:rsid w:val="6554A5C9"/>
    <w:rsid w:val="655EE7A7"/>
    <w:rsid w:val="6565E68A"/>
    <w:rsid w:val="656AE02C"/>
    <w:rsid w:val="6579D320"/>
    <w:rsid w:val="657B0CA3"/>
    <w:rsid w:val="658384B5"/>
    <w:rsid w:val="6584F96F"/>
    <w:rsid w:val="65966451"/>
    <w:rsid w:val="6596D0F5"/>
    <w:rsid w:val="6597474D"/>
    <w:rsid w:val="65B1E5DC"/>
    <w:rsid w:val="65B8A563"/>
    <w:rsid w:val="65BEE3C6"/>
    <w:rsid w:val="65BF6475"/>
    <w:rsid w:val="65C679AE"/>
    <w:rsid w:val="65C8F633"/>
    <w:rsid w:val="65CA1554"/>
    <w:rsid w:val="65CDAA4D"/>
    <w:rsid w:val="65D554C7"/>
    <w:rsid w:val="65E1A30E"/>
    <w:rsid w:val="65E36E1F"/>
    <w:rsid w:val="65EC14CC"/>
    <w:rsid w:val="65F38840"/>
    <w:rsid w:val="65F41E6A"/>
    <w:rsid w:val="6603A589"/>
    <w:rsid w:val="660953CB"/>
    <w:rsid w:val="66100B14"/>
    <w:rsid w:val="661C3F60"/>
    <w:rsid w:val="663AB537"/>
    <w:rsid w:val="6658D535"/>
    <w:rsid w:val="6661A4A4"/>
    <w:rsid w:val="666D9529"/>
    <w:rsid w:val="666E65E9"/>
    <w:rsid w:val="6672D6EA"/>
    <w:rsid w:val="6687EA8C"/>
    <w:rsid w:val="668961F4"/>
    <w:rsid w:val="668C1CFF"/>
    <w:rsid w:val="66B1FE50"/>
    <w:rsid w:val="66B3E69A"/>
    <w:rsid w:val="66BA534A"/>
    <w:rsid w:val="66BAFAAA"/>
    <w:rsid w:val="66D3347C"/>
    <w:rsid w:val="66E59C4E"/>
    <w:rsid w:val="66E7B8F1"/>
    <w:rsid w:val="66FD1493"/>
    <w:rsid w:val="6708CF88"/>
    <w:rsid w:val="6720ED94"/>
    <w:rsid w:val="67241EE7"/>
    <w:rsid w:val="672BED1D"/>
    <w:rsid w:val="673E64BA"/>
    <w:rsid w:val="67437491"/>
    <w:rsid w:val="6755823A"/>
    <w:rsid w:val="675A2FC7"/>
    <w:rsid w:val="6772EBB9"/>
    <w:rsid w:val="677F497B"/>
    <w:rsid w:val="678B108B"/>
    <w:rsid w:val="6796747B"/>
    <w:rsid w:val="679A6742"/>
    <w:rsid w:val="67A2E5A3"/>
    <w:rsid w:val="67AC72B1"/>
    <w:rsid w:val="67CFB668"/>
    <w:rsid w:val="67DBE517"/>
    <w:rsid w:val="67E042AD"/>
    <w:rsid w:val="67FD1F0B"/>
    <w:rsid w:val="68075DBB"/>
    <w:rsid w:val="681B2C0B"/>
    <w:rsid w:val="68273296"/>
    <w:rsid w:val="68310F48"/>
    <w:rsid w:val="68524F85"/>
    <w:rsid w:val="68544BF1"/>
    <w:rsid w:val="685551F8"/>
    <w:rsid w:val="6857E301"/>
    <w:rsid w:val="685CF25C"/>
    <w:rsid w:val="687B8A03"/>
    <w:rsid w:val="689C4A47"/>
    <w:rsid w:val="68C422B7"/>
    <w:rsid w:val="68C42AC2"/>
    <w:rsid w:val="68D55943"/>
    <w:rsid w:val="68DD89FF"/>
    <w:rsid w:val="68E6B5EB"/>
    <w:rsid w:val="68E9CA16"/>
    <w:rsid w:val="68EA726E"/>
    <w:rsid w:val="68ED5D39"/>
    <w:rsid w:val="68F26724"/>
    <w:rsid w:val="68FBD636"/>
    <w:rsid w:val="6934BEDA"/>
    <w:rsid w:val="695D1E38"/>
    <w:rsid w:val="698AA4E9"/>
    <w:rsid w:val="699543FC"/>
    <w:rsid w:val="69A972FC"/>
    <w:rsid w:val="69AAA7FE"/>
    <w:rsid w:val="69D2E2AA"/>
    <w:rsid w:val="69D460BA"/>
    <w:rsid w:val="69FF8298"/>
    <w:rsid w:val="6A12AD7C"/>
    <w:rsid w:val="6A157738"/>
    <w:rsid w:val="6A1CD5FC"/>
    <w:rsid w:val="6A391297"/>
    <w:rsid w:val="6A39B51C"/>
    <w:rsid w:val="6A3EB463"/>
    <w:rsid w:val="6A5B8024"/>
    <w:rsid w:val="6A653274"/>
    <w:rsid w:val="6A7E8EC2"/>
    <w:rsid w:val="6A7F8A0F"/>
    <w:rsid w:val="6A8636C8"/>
    <w:rsid w:val="6A8B4866"/>
    <w:rsid w:val="6A8D61E4"/>
    <w:rsid w:val="6A9CCAAF"/>
    <w:rsid w:val="6AB0CAC5"/>
    <w:rsid w:val="6ABEDFB8"/>
    <w:rsid w:val="6ADCE3A8"/>
    <w:rsid w:val="6AE330A0"/>
    <w:rsid w:val="6AFDFC71"/>
    <w:rsid w:val="6B0B1325"/>
    <w:rsid w:val="6B0C3E68"/>
    <w:rsid w:val="6B1710E0"/>
    <w:rsid w:val="6B2A550E"/>
    <w:rsid w:val="6B4BA3E1"/>
    <w:rsid w:val="6B4D2519"/>
    <w:rsid w:val="6B514DBD"/>
    <w:rsid w:val="6B5D5523"/>
    <w:rsid w:val="6B8C0C6A"/>
    <w:rsid w:val="6B94883F"/>
    <w:rsid w:val="6BBFBE8C"/>
    <w:rsid w:val="6BE86A4F"/>
    <w:rsid w:val="6C0840FC"/>
    <w:rsid w:val="6C1809B6"/>
    <w:rsid w:val="6C2EBB10"/>
    <w:rsid w:val="6C4080CD"/>
    <w:rsid w:val="6C449E4C"/>
    <w:rsid w:val="6C55E57A"/>
    <w:rsid w:val="6C58874C"/>
    <w:rsid w:val="6C60AFC5"/>
    <w:rsid w:val="6C613B89"/>
    <w:rsid w:val="6C66BAE9"/>
    <w:rsid w:val="6C6B34CE"/>
    <w:rsid w:val="6C6E15A0"/>
    <w:rsid w:val="6C848DEB"/>
    <w:rsid w:val="6C881DB7"/>
    <w:rsid w:val="6C88EE55"/>
    <w:rsid w:val="6C8D5DF1"/>
    <w:rsid w:val="6C8EC3D6"/>
    <w:rsid w:val="6CB401D4"/>
    <w:rsid w:val="6CBB7945"/>
    <w:rsid w:val="6CCF34CC"/>
    <w:rsid w:val="6CD0978C"/>
    <w:rsid w:val="6CD249B9"/>
    <w:rsid w:val="6CD5B99A"/>
    <w:rsid w:val="6CD9B9D8"/>
    <w:rsid w:val="6CDAF31C"/>
    <w:rsid w:val="6CF94D6B"/>
    <w:rsid w:val="6CFDE445"/>
    <w:rsid w:val="6D020819"/>
    <w:rsid w:val="6D02DAF2"/>
    <w:rsid w:val="6D0A5A99"/>
    <w:rsid w:val="6D2A8106"/>
    <w:rsid w:val="6D2BFD31"/>
    <w:rsid w:val="6D2ED59D"/>
    <w:rsid w:val="6D32048F"/>
    <w:rsid w:val="6D3422F7"/>
    <w:rsid w:val="6D3C543D"/>
    <w:rsid w:val="6D49CB63"/>
    <w:rsid w:val="6D4FD8A2"/>
    <w:rsid w:val="6D516B71"/>
    <w:rsid w:val="6D5EFB00"/>
    <w:rsid w:val="6D61D2DE"/>
    <w:rsid w:val="6D653005"/>
    <w:rsid w:val="6D812EE4"/>
    <w:rsid w:val="6D86AE46"/>
    <w:rsid w:val="6D8D076F"/>
    <w:rsid w:val="6D8DBE82"/>
    <w:rsid w:val="6D960798"/>
    <w:rsid w:val="6DA4C518"/>
    <w:rsid w:val="6DC2470B"/>
    <w:rsid w:val="6DC9DB9F"/>
    <w:rsid w:val="6DDD6DF9"/>
    <w:rsid w:val="6DE32204"/>
    <w:rsid w:val="6DEA74BF"/>
    <w:rsid w:val="6DFCBC2A"/>
    <w:rsid w:val="6E1B28E3"/>
    <w:rsid w:val="6E38161D"/>
    <w:rsid w:val="6E3CFDB8"/>
    <w:rsid w:val="6E3DEA28"/>
    <w:rsid w:val="6E49711B"/>
    <w:rsid w:val="6E4BE0B2"/>
    <w:rsid w:val="6E4F5717"/>
    <w:rsid w:val="6E62B2E0"/>
    <w:rsid w:val="6E730D83"/>
    <w:rsid w:val="6E8936AE"/>
    <w:rsid w:val="6E982F61"/>
    <w:rsid w:val="6E9C4187"/>
    <w:rsid w:val="6EA7AC08"/>
    <w:rsid w:val="6EA89E96"/>
    <w:rsid w:val="6EAC9F30"/>
    <w:rsid w:val="6EB426CE"/>
    <w:rsid w:val="6EC595E8"/>
    <w:rsid w:val="6ECB32A5"/>
    <w:rsid w:val="6EECE619"/>
    <w:rsid w:val="6F0D8707"/>
    <w:rsid w:val="6F192B2E"/>
    <w:rsid w:val="6F1A2D7C"/>
    <w:rsid w:val="6F1F98F9"/>
    <w:rsid w:val="6F214966"/>
    <w:rsid w:val="6F28D2EB"/>
    <w:rsid w:val="6F2CBB4A"/>
    <w:rsid w:val="6F30604B"/>
    <w:rsid w:val="6F3E79C7"/>
    <w:rsid w:val="6F406E3B"/>
    <w:rsid w:val="6F51C6E1"/>
    <w:rsid w:val="6F584367"/>
    <w:rsid w:val="6F7147FD"/>
    <w:rsid w:val="6F82A320"/>
    <w:rsid w:val="6F8A3534"/>
    <w:rsid w:val="6F9E9F84"/>
    <w:rsid w:val="6F9EF2F5"/>
    <w:rsid w:val="6FA3C989"/>
    <w:rsid w:val="6FA740EF"/>
    <w:rsid w:val="6FA8501A"/>
    <w:rsid w:val="6FB83E45"/>
    <w:rsid w:val="6FDE8B6E"/>
    <w:rsid w:val="6FE56330"/>
    <w:rsid w:val="6FE782FB"/>
    <w:rsid w:val="6FF12024"/>
    <w:rsid w:val="6FF5E57B"/>
    <w:rsid w:val="7013A418"/>
    <w:rsid w:val="70217495"/>
    <w:rsid w:val="7044C99C"/>
    <w:rsid w:val="704BFDB1"/>
    <w:rsid w:val="7068253B"/>
    <w:rsid w:val="7074CF2D"/>
    <w:rsid w:val="708F5F69"/>
    <w:rsid w:val="709B23F2"/>
    <w:rsid w:val="70A20444"/>
    <w:rsid w:val="70AA0B71"/>
    <w:rsid w:val="70AD3CDB"/>
    <w:rsid w:val="70D45BF4"/>
    <w:rsid w:val="70D543AC"/>
    <w:rsid w:val="70E8C739"/>
    <w:rsid w:val="70EE2BFC"/>
    <w:rsid w:val="70FBC3B7"/>
    <w:rsid w:val="71500A2E"/>
    <w:rsid w:val="71557DF5"/>
    <w:rsid w:val="715752D4"/>
    <w:rsid w:val="716A782B"/>
    <w:rsid w:val="71729323"/>
    <w:rsid w:val="71802E6B"/>
    <w:rsid w:val="719B4652"/>
    <w:rsid w:val="71BCE611"/>
    <w:rsid w:val="71D74699"/>
    <w:rsid w:val="71E1E18B"/>
    <w:rsid w:val="71E8EF27"/>
    <w:rsid w:val="71F52F98"/>
    <w:rsid w:val="7209888A"/>
    <w:rsid w:val="72246164"/>
    <w:rsid w:val="722C656C"/>
    <w:rsid w:val="723406F5"/>
    <w:rsid w:val="72789DE0"/>
    <w:rsid w:val="72881EEC"/>
    <w:rsid w:val="72889B73"/>
    <w:rsid w:val="728EE21C"/>
    <w:rsid w:val="7291024C"/>
    <w:rsid w:val="72916C2D"/>
    <w:rsid w:val="72952473"/>
    <w:rsid w:val="72990297"/>
    <w:rsid w:val="72A03104"/>
    <w:rsid w:val="72A3C631"/>
    <w:rsid w:val="72A60593"/>
    <w:rsid w:val="72A8BDAD"/>
    <w:rsid w:val="72AB5829"/>
    <w:rsid w:val="72ABBE0D"/>
    <w:rsid w:val="72B052DD"/>
    <w:rsid w:val="72C5C4F0"/>
    <w:rsid w:val="72EBE96E"/>
    <w:rsid w:val="72F4D7F9"/>
    <w:rsid w:val="72F63154"/>
    <w:rsid w:val="72FC7529"/>
    <w:rsid w:val="73018000"/>
    <w:rsid w:val="73082DD3"/>
    <w:rsid w:val="73099CC2"/>
    <w:rsid w:val="730EF36D"/>
    <w:rsid w:val="730FEF39"/>
    <w:rsid w:val="73294BE6"/>
    <w:rsid w:val="732B0204"/>
    <w:rsid w:val="732F5E9D"/>
    <w:rsid w:val="733214FB"/>
    <w:rsid w:val="7337DA7B"/>
    <w:rsid w:val="734F6AD2"/>
    <w:rsid w:val="735C2AEE"/>
    <w:rsid w:val="73662AD8"/>
    <w:rsid w:val="7369D9A1"/>
    <w:rsid w:val="737EB59B"/>
    <w:rsid w:val="7384FB3D"/>
    <w:rsid w:val="738ADA2F"/>
    <w:rsid w:val="73A2815F"/>
    <w:rsid w:val="73B64900"/>
    <w:rsid w:val="73BEEC8E"/>
    <w:rsid w:val="73CCB0C4"/>
    <w:rsid w:val="73E44F85"/>
    <w:rsid w:val="740ECBDD"/>
    <w:rsid w:val="7411DC3C"/>
    <w:rsid w:val="742AABCC"/>
    <w:rsid w:val="742C09D1"/>
    <w:rsid w:val="744887B6"/>
    <w:rsid w:val="744E3655"/>
    <w:rsid w:val="7472EEFC"/>
    <w:rsid w:val="747A3F86"/>
    <w:rsid w:val="74858072"/>
    <w:rsid w:val="748EAEC9"/>
    <w:rsid w:val="749B7F23"/>
    <w:rsid w:val="74A09744"/>
    <w:rsid w:val="74A3527F"/>
    <w:rsid w:val="74AE8978"/>
    <w:rsid w:val="74C60FC1"/>
    <w:rsid w:val="74D20656"/>
    <w:rsid w:val="74DDA4D4"/>
    <w:rsid w:val="74E114B4"/>
    <w:rsid w:val="74E3A47F"/>
    <w:rsid w:val="74E7E41E"/>
    <w:rsid w:val="74F4E495"/>
    <w:rsid w:val="74F56011"/>
    <w:rsid w:val="74FCC9B5"/>
    <w:rsid w:val="75116485"/>
    <w:rsid w:val="753399C1"/>
    <w:rsid w:val="755A2E35"/>
    <w:rsid w:val="755E5319"/>
    <w:rsid w:val="7564774A"/>
    <w:rsid w:val="757C2759"/>
    <w:rsid w:val="757F2731"/>
    <w:rsid w:val="7581F2A9"/>
    <w:rsid w:val="7590C860"/>
    <w:rsid w:val="7591F9E1"/>
    <w:rsid w:val="75C30C72"/>
    <w:rsid w:val="75CFE680"/>
    <w:rsid w:val="75D02983"/>
    <w:rsid w:val="75E12A95"/>
    <w:rsid w:val="75E7966A"/>
    <w:rsid w:val="75E7ECD1"/>
    <w:rsid w:val="75EB4E27"/>
    <w:rsid w:val="75F5DA97"/>
    <w:rsid w:val="75F71241"/>
    <w:rsid w:val="75F91D5A"/>
    <w:rsid w:val="75FE8AAA"/>
    <w:rsid w:val="760422F8"/>
    <w:rsid w:val="76073E23"/>
    <w:rsid w:val="762097FA"/>
    <w:rsid w:val="7642B286"/>
    <w:rsid w:val="764AB0C5"/>
    <w:rsid w:val="765977D5"/>
    <w:rsid w:val="76680F52"/>
    <w:rsid w:val="766DBB8A"/>
    <w:rsid w:val="76759A26"/>
    <w:rsid w:val="76B92601"/>
    <w:rsid w:val="76CDAA45"/>
    <w:rsid w:val="76DDC593"/>
    <w:rsid w:val="76EFC8B9"/>
    <w:rsid w:val="76F8E5CD"/>
    <w:rsid w:val="7713EC92"/>
    <w:rsid w:val="7715ABB2"/>
    <w:rsid w:val="77307DCF"/>
    <w:rsid w:val="7731D87D"/>
    <w:rsid w:val="7740A6BC"/>
    <w:rsid w:val="77459A59"/>
    <w:rsid w:val="774B2529"/>
    <w:rsid w:val="775AF9E0"/>
    <w:rsid w:val="776AD47D"/>
    <w:rsid w:val="77737F67"/>
    <w:rsid w:val="7777E230"/>
    <w:rsid w:val="7795CBE6"/>
    <w:rsid w:val="77AA8E6D"/>
    <w:rsid w:val="77B53561"/>
    <w:rsid w:val="77BB38C1"/>
    <w:rsid w:val="77CDAF80"/>
    <w:rsid w:val="77D782C8"/>
    <w:rsid w:val="77DDDB35"/>
    <w:rsid w:val="77FACB3F"/>
    <w:rsid w:val="780D85AE"/>
    <w:rsid w:val="78260E84"/>
    <w:rsid w:val="784CD8FF"/>
    <w:rsid w:val="786CA095"/>
    <w:rsid w:val="7887E703"/>
    <w:rsid w:val="788F51BE"/>
    <w:rsid w:val="78934098"/>
    <w:rsid w:val="78AFABF5"/>
    <w:rsid w:val="78C12E35"/>
    <w:rsid w:val="78D853D7"/>
    <w:rsid w:val="78E5F6A8"/>
    <w:rsid w:val="78F33A18"/>
    <w:rsid w:val="78F4AE16"/>
    <w:rsid w:val="78FB28DD"/>
    <w:rsid w:val="79072CC4"/>
    <w:rsid w:val="793532DD"/>
    <w:rsid w:val="79383386"/>
    <w:rsid w:val="7938A8CF"/>
    <w:rsid w:val="795931D1"/>
    <w:rsid w:val="795EE884"/>
    <w:rsid w:val="797612FF"/>
    <w:rsid w:val="79848825"/>
    <w:rsid w:val="798763A4"/>
    <w:rsid w:val="798CA5A6"/>
    <w:rsid w:val="7991341C"/>
    <w:rsid w:val="7994174B"/>
    <w:rsid w:val="79B7F15B"/>
    <w:rsid w:val="79C07A56"/>
    <w:rsid w:val="79CD93C0"/>
    <w:rsid w:val="79D46379"/>
    <w:rsid w:val="79D6ED32"/>
    <w:rsid w:val="79E047E1"/>
    <w:rsid w:val="79EAB966"/>
    <w:rsid w:val="79F91D31"/>
    <w:rsid w:val="79FACE5B"/>
    <w:rsid w:val="7A024147"/>
    <w:rsid w:val="7A1E5511"/>
    <w:rsid w:val="7A32AD04"/>
    <w:rsid w:val="7A4CE3CF"/>
    <w:rsid w:val="7A51D310"/>
    <w:rsid w:val="7A69F123"/>
    <w:rsid w:val="7A711335"/>
    <w:rsid w:val="7A85F3D7"/>
    <w:rsid w:val="7A8AC5BB"/>
    <w:rsid w:val="7AA10486"/>
    <w:rsid w:val="7AA4868A"/>
    <w:rsid w:val="7AA941C2"/>
    <w:rsid w:val="7AB3A363"/>
    <w:rsid w:val="7ABD5CC1"/>
    <w:rsid w:val="7ABDD281"/>
    <w:rsid w:val="7ACDC846"/>
    <w:rsid w:val="7AD76DA4"/>
    <w:rsid w:val="7AE2CEE8"/>
    <w:rsid w:val="7AF6A27B"/>
    <w:rsid w:val="7B0215A9"/>
    <w:rsid w:val="7B0BDF81"/>
    <w:rsid w:val="7B5C6EF1"/>
    <w:rsid w:val="7B6B6565"/>
    <w:rsid w:val="7B7A1506"/>
    <w:rsid w:val="7B8013A9"/>
    <w:rsid w:val="7B9F16FA"/>
    <w:rsid w:val="7BB0E9CF"/>
    <w:rsid w:val="7BE79F26"/>
    <w:rsid w:val="7BEA6360"/>
    <w:rsid w:val="7BFC3135"/>
    <w:rsid w:val="7C03FD99"/>
    <w:rsid w:val="7C060D47"/>
    <w:rsid w:val="7C217909"/>
    <w:rsid w:val="7C4436BE"/>
    <w:rsid w:val="7C5337C3"/>
    <w:rsid w:val="7C5A2BF1"/>
    <w:rsid w:val="7C67029D"/>
    <w:rsid w:val="7C68D2BE"/>
    <w:rsid w:val="7C9577DB"/>
    <w:rsid w:val="7CA3FE93"/>
    <w:rsid w:val="7CA7E12B"/>
    <w:rsid w:val="7CBEC13A"/>
    <w:rsid w:val="7CC7CDF2"/>
    <w:rsid w:val="7CCCD049"/>
    <w:rsid w:val="7CD2B8C8"/>
    <w:rsid w:val="7CF279F6"/>
    <w:rsid w:val="7CF6082A"/>
    <w:rsid w:val="7CFAD5FA"/>
    <w:rsid w:val="7D09A0EE"/>
    <w:rsid w:val="7D10C548"/>
    <w:rsid w:val="7D11C3AE"/>
    <w:rsid w:val="7D16A11E"/>
    <w:rsid w:val="7D176E57"/>
    <w:rsid w:val="7D27297A"/>
    <w:rsid w:val="7D2AF58F"/>
    <w:rsid w:val="7D329E58"/>
    <w:rsid w:val="7D3BF9BD"/>
    <w:rsid w:val="7D3F1C64"/>
    <w:rsid w:val="7D412C06"/>
    <w:rsid w:val="7D502B06"/>
    <w:rsid w:val="7D50F9BD"/>
    <w:rsid w:val="7D64F3FE"/>
    <w:rsid w:val="7D77C033"/>
    <w:rsid w:val="7DA4C6DF"/>
    <w:rsid w:val="7DAEC5DA"/>
    <w:rsid w:val="7DC2EFA2"/>
    <w:rsid w:val="7DC4DEBD"/>
    <w:rsid w:val="7DC8A54E"/>
    <w:rsid w:val="7DD470A8"/>
    <w:rsid w:val="7DD8ECEB"/>
    <w:rsid w:val="7DDA561D"/>
    <w:rsid w:val="7DE363F4"/>
    <w:rsid w:val="7DE37FEC"/>
    <w:rsid w:val="7DECFADC"/>
    <w:rsid w:val="7DF3FDED"/>
    <w:rsid w:val="7E01D151"/>
    <w:rsid w:val="7E148019"/>
    <w:rsid w:val="7E1499A5"/>
    <w:rsid w:val="7E1BE513"/>
    <w:rsid w:val="7E391AF6"/>
    <w:rsid w:val="7E3C0D49"/>
    <w:rsid w:val="7E445E67"/>
    <w:rsid w:val="7E4868C7"/>
    <w:rsid w:val="7E48D0CB"/>
    <w:rsid w:val="7E67CAD6"/>
    <w:rsid w:val="7E6C5E5A"/>
    <w:rsid w:val="7E739310"/>
    <w:rsid w:val="7E77E3D8"/>
    <w:rsid w:val="7E9566A5"/>
    <w:rsid w:val="7E9B6076"/>
    <w:rsid w:val="7EA1B148"/>
    <w:rsid w:val="7EAC5DE5"/>
    <w:rsid w:val="7ECE7FF2"/>
    <w:rsid w:val="7ED3B981"/>
    <w:rsid w:val="7ED52CFB"/>
    <w:rsid w:val="7EDD4684"/>
    <w:rsid w:val="7EECFEFF"/>
    <w:rsid w:val="7EF6AF30"/>
    <w:rsid w:val="7EFCF436"/>
    <w:rsid w:val="7F0F175E"/>
    <w:rsid w:val="7F122C0D"/>
    <w:rsid w:val="7F243020"/>
    <w:rsid w:val="7F29E1D1"/>
    <w:rsid w:val="7F2F1259"/>
    <w:rsid w:val="7F41B276"/>
    <w:rsid w:val="7F764C3F"/>
    <w:rsid w:val="7F947D44"/>
    <w:rsid w:val="7F9D8864"/>
    <w:rsid w:val="7FAAC3E7"/>
    <w:rsid w:val="7FAB4807"/>
    <w:rsid w:val="7FAED5C6"/>
    <w:rsid w:val="7FB1BB20"/>
    <w:rsid w:val="7FC66630"/>
    <w:rsid w:val="7FF1BD5B"/>
    <w:rsid w:val="7FF2224C"/>
    <w:rsid w:val="7FFE7A63"/>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CAE146"/>
  <w15:chartTrackingRefBased/>
  <w15:docId w15:val="{B0E43340-FC98-4C22-9ADB-F020E4D673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Segoe UI" w:hAnsi="Segoe UI" w:eastAsiaTheme="minorHAnsi" w:cstheme="minorBidi"/>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qFormat="1"/>
    <w:lsdException w:name="heading 3" w:uiPriority="1" w:semiHidden="1" w:qFormat="1"/>
    <w:lsdException w:name="heading 4" w:uiPriority="1" w:semiHidden="1" w:qFormat="1"/>
    <w:lsdException w:name="heading 5" w:uiPriority="1" w:semiHidden="1" w:qFormat="1"/>
    <w:lsdException w:name="heading 6" w:uiPriority="1" w:semiHidden="1" w:qFormat="1"/>
    <w:lsdException w:name="heading 7" w:uiPriority="1" w:semiHidden="1"/>
    <w:lsdException w:name="heading 8" w:uiPriority="1" w:semiHidden="1"/>
    <w:lsdException w:name="heading 9" w:uiPriority="1"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semiHidden="1" w:qFormat="1"/>
    <w:lsdException w:name="annotation text" w:semiHidden="1"/>
    <w:lsdException w:name="header" w:semiHidden="1"/>
    <w:lsdException w:name="footer" w:semiHidden="1"/>
    <w:lsdException w:name="index heading" w:semiHidden="1"/>
    <w:lsdException w:name="caption" w:uiPriority="3" w:semiHidden="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lsdException w:name="endnote reference" w:semiHidden="1"/>
    <w:lsdException w:name="endnote text" w:uiPriority="8" w:semiHidden="1" w:qFormat="1"/>
    <w:lsdException w:name="table of authorities" w:semiHidden="1"/>
    <w:lsdException w:name="macro" w:semiHidden="1"/>
    <w:lsdException w:name="toa heading" w:semiHidden="1"/>
    <w:lsdException w:name="List" w:semiHidden="1"/>
    <w:lsdException w:name="List Bullet" w:semiHidden="1" w:qFormat="1"/>
    <w:lsdException w:name="List Number" w:uiPriority="2" w:semiHidden="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uiPriority="39" w:semiHidden="1"/>
    <w:lsdException w:name="Grid Table 1 Light" w:uiPriority="46"/>
    <w:lsdException w:name="Grid Table 4 Accent 1" w:uiPriority="49"/>
    <w:lsdException w:name="Mention" w:semiHidden="1"/>
    <w:lsdException w:name="Smart Hyperlink" w:semiHidden="1"/>
    <w:lsdException w:name="Hashtag" w:semiHidden="1"/>
    <w:lsdException w:name="Unresolved Mention" w:semiHidden="1"/>
    <w:lsdException w:name="Smart Link" w:semiHidden="1"/>
  </w:latentStyles>
  <w:style w:type="paragraph" w:styleId="Normal" w:default="1">
    <w:name w:val="Normal"/>
    <w:qFormat/>
    <w:rsid w:val="00FC5362"/>
    <w:pPr>
      <w:spacing w:after="240"/>
      <w:jc w:val="both"/>
    </w:pPr>
    <w:rPr>
      <w:lang w:val="en-GB"/>
    </w:rPr>
  </w:style>
  <w:style w:type="paragraph" w:styleId="Heading1">
    <w:name w:val="heading 1"/>
    <w:basedOn w:val="Normal"/>
    <w:next w:val="Normal"/>
    <w:link w:val="Heading1Char"/>
    <w:uiPriority w:val="1"/>
    <w:qFormat/>
    <w:rsid w:val="004B13A3"/>
    <w:pPr>
      <w:keepNext/>
      <w:keepLines/>
      <w:numPr>
        <w:numId w:val="10"/>
      </w:numPr>
      <w:suppressAutoHyphens/>
      <w:spacing w:before="480" w:line="360" w:lineRule="atLeast"/>
      <w:outlineLvl w:val="0"/>
    </w:pPr>
    <w:rPr>
      <w:rFonts w:cs="Arial" w:eastAsiaTheme="majorEastAsia"/>
      <w:b/>
      <w:sz w:val="28"/>
      <w:szCs w:val="32"/>
    </w:rPr>
  </w:style>
  <w:style w:type="paragraph" w:styleId="Heading2">
    <w:name w:val="heading 2"/>
    <w:basedOn w:val="Normal"/>
    <w:next w:val="Normal"/>
    <w:link w:val="Heading2Char"/>
    <w:uiPriority w:val="1"/>
    <w:qFormat/>
    <w:rsid w:val="004B13A3"/>
    <w:pPr>
      <w:keepNext/>
      <w:keepLines/>
      <w:numPr>
        <w:ilvl w:val="1"/>
        <w:numId w:val="10"/>
      </w:numPr>
      <w:suppressAutoHyphens/>
      <w:spacing w:before="180" w:after="0" w:line="320" w:lineRule="atLeast"/>
      <w:outlineLvl w:val="1"/>
    </w:pPr>
    <w:rPr>
      <w:rFonts w:cs="Arial" w:eastAsiaTheme="majorEastAsia"/>
      <w:b/>
      <w:sz w:val="24"/>
      <w:szCs w:val="26"/>
    </w:rPr>
  </w:style>
  <w:style w:type="paragraph" w:styleId="Heading3">
    <w:name w:val="heading 3"/>
    <w:basedOn w:val="Normal"/>
    <w:next w:val="Normal"/>
    <w:link w:val="Heading3Char"/>
    <w:uiPriority w:val="1"/>
    <w:qFormat/>
    <w:rsid w:val="004B13A3"/>
    <w:pPr>
      <w:keepNext/>
      <w:keepLines/>
      <w:numPr>
        <w:ilvl w:val="2"/>
        <w:numId w:val="10"/>
      </w:numPr>
      <w:suppressAutoHyphens/>
      <w:spacing w:before="180" w:after="0"/>
      <w:outlineLvl w:val="2"/>
    </w:pPr>
    <w:rPr>
      <w:rFonts w:cs="Arial" w:eastAsiaTheme="majorEastAsia"/>
      <w:b/>
      <w:szCs w:val="24"/>
    </w:rPr>
  </w:style>
  <w:style w:type="paragraph" w:styleId="Heading4">
    <w:name w:val="heading 4"/>
    <w:basedOn w:val="Normal"/>
    <w:next w:val="Normal"/>
    <w:link w:val="Heading4Char"/>
    <w:uiPriority w:val="1"/>
    <w:qFormat/>
    <w:rsid w:val="004B13A3"/>
    <w:pPr>
      <w:keepNext/>
      <w:keepLines/>
      <w:numPr>
        <w:ilvl w:val="3"/>
        <w:numId w:val="10"/>
      </w:numPr>
      <w:suppressAutoHyphens/>
      <w:spacing w:before="180" w:after="0"/>
      <w:outlineLvl w:val="3"/>
    </w:pPr>
    <w:rPr>
      <w:rFonts w:cs="Arial" w:eastAsiaTheme="majorEastAsia"/>
      <w:i/>
      <w:iCs/>
    </w:rPr>
  </w:style>
  <w:style w:type="paragraph" w:styleId="Heading5">
    <w:name w:val="heading 5"/>
    <w:basedOn w:val="Normal"/>
    <w:next w:val="Normal"/>
    <w:link w:val="Heading5Char"/>
    <w:uiPriority w:val="1"/>
    <w:qFormat/>
    <w:rsid w:val="004B13A3"/>
    <w:pPr>
      <w:keepNext/>
      <w:keepLines/>
      <w:numPr>
        <w:ilvl w:val="4"/>
        <w:numId w:val="10"/>
      </w:numPr>
      <w:suppressAutoHyphens/>
      <w:spacing w:before="180" w:after="0"/>
      <w:outlineLvl w:val="4"/>
    </w:pPr>
    <w:rPr>
      <w:rFonts w:cs="Segoe UI" w:eastAsiaTheme="majorEastAsia"/>
      <w:u w:val="single"/>
    </w:rPr>
  </w:style>
  <w:style w:type="paragraph" w:styleId="Heading6">
    <w:name w:val="heading 6"/>
    <w:basedOn w:val="Normal"/>
    <w:next w:val="Normal"/>
    <w:link w:val="Heading6Char"/>
    <w:uiPriority w:val="1"/>
    <w:qFormat/>
    <w:rsid w:val="004B13A3"/>
    <w:pPr>
      <w:keepNext/>
      <w:keepLines/>
      <w:numPr>
        <w:ilvl w:val="5"/>
        <w:numId w:val="10"/>
      </w:numPr>
      <w:suppressAutoHyphens/>
      <w:spacing w:before="180" w:after="0"/>
      <w:outlineLvl w:val="5"/>
    </w:pPr>
    <w:rPr>
      <w:rFonts w:cs="Segoe UI" w:eastAsiaTheme="majorEastAsia"/>
    </w:rPr>
  </w:style>
  <w:style w:type="paragraph" w:styleId="Heading7">
    <w:name w:val="heading 7"/>
    <w:basedOn w:val="Normal"/>
    <w:next w:val="Normal"/>
    <w:link w:val="Heading7Char"/>
    <w:uiPriority w:val="1"/>
    <w:rsid w:val="004B13A3"/>
    <w:pPr>
      <w:keepNext/>
      <w:keepLines/>
      <w:numPr>
        <w:ilvl w:val="6"/>
        <w:numId w:val="10"/>
      </w:numPr>
      <w:suppressAutoHyphens/>
      <w:spacing w:after="0"/>
      <w:outlineLvl w:val="6"/>
    </w:pPr>
    <w:rPr>
      <w:rFonts w:cs="Segoe UI" w:eastAsiaTheme="majorEastAsia"/>
      <w:iCs/>
    </w:rPr>
  </w:style>
  <w:style w:type="paragraph" w:styleId="Heading8">
    <w:name w:val="heading 8"/>
    <w:basedOn w:val="Normal"/>
    <w:next w:val="Normal"/>
    <w:link w:val="Heading8Char"/>
    <w:uiPriority w:val="1"/>
    <w:rsid w:val="004B13A3"/>
    <w:pPr>
      <w:keepNext/>
      <w:keepLines/>
      <w:numPr>
        <w:ilvl w:val="7"/>
        <w:numId w:val="10"/>
      </w:numPr>
      <w:suppressAutoHyphens/>
      <w:spacing w:after="0"/>
      <w:outlineLvl w:val="7"/>
    </w:pPr>
    <w:rPr>
      <w:rFonts w:cs="Segoe UI" w:eastAsiaTheme="majorEastAsia"/>
      <w:szCs w:val="21"/>
    </w:rPr>
  </w:style>
  <w:style w:type="paragraph" w:styleId="Heading9">
    <w:name w:val="heading 9"/>
    <w:basedOn w:val="Normal"/>
    <w:next w:val="Normal"/>
    <w:link w:val="Heading9Char"/>
    <w:uiPriority w:val="1"/>
    <w:rsid w:val="00B76738"/>
    <w:pPr>
      <w:keepNext/>
      <w:keepLines/>
      <w:numPr>
        <w:ilvl w:val="8"/>
        <w:numId w:val="10"/>
      </w:numPr>
      <w:suppressAutoHyphens/>
      <w:spacing w:before="480" w:after="300" w:line="880" w:lineRule="atLeast"/>
      <w:jc w:val="right"/>
      <w:outlineLvl w:val="8"/>
    </w:pPr>
    <w:rPr>
      <w:rFonts w:ascii="Segoe UI Light" w:hAnsi="Segoe UI Light" w:cs="Segoe UI" w:eastAsiaTheme="majorEastAsia"/>
      <w:iCs/>
      <w:color w:val="5EC1A0" w:themeColor="accent6"/>
      <w:sz w:val="80"/>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111111">
    <w:name w:val="Outline List 2"/>
    <w:basedOn w:val="NoList"/>
    <w:uiPriority w:val="99"/>
    <w:semiHidden/>
    <w:rsid w:val="00B76738"/>
    <w:pPr>
      <w:numPr>
        <w:numId w:val="12"/>
      </w:numPr>
    </w:pPr>
  </w:style>
  <w:style w:type="numbering" w:styleId="1ai">
    <w:name w:val="Outline List 1"/>
    <w:basedOn w:val="NoList"/>
    <w:uiPriority w:val="99"/>
    <w:semiHidden/>
    <w:rsid w:val="00B76738"/>
    <w:pPr>
      <w:numPr>
        <w:numId w:val="13"/>
      </w:numPr>
    </w:pPr>
  </w:style>
  <w:style w:type="paragraph" w:styleId="BalloonText">
    <w:name w:val="Balloon Text"/>
    <w:basedOn w:val="Normal"/>
    <w:link w:val="BalloonTextChar"/>
    <w:uiPriority w:val="99"/>
    <w:semiHidden/>
    <w:rsid w:val="00911DE3"/>
    <w:pPr>
      <w:spacing w:after="0" w:line="240" w:lineRule="auto"/>
    </w:pPr>
    <w:rPr>
      <w:rFonts w:cs="Arial"/>
    </w:rPr>
  </w:style>
  <w:style w:type="character" w:styleId="BalloonTextChar" w:customStyle="1">
    <w:name w:val="Balloon Text Char"/>
    <w:basedOn w:val="DefaultParagraphFont"/>
    <w:link w:val="BalloonText"/>
    <w:uiPriority w:val="99"/>
    <w:semiHidden/>
    <w:rsid w:val="00911DE3"/>
    <w:rPr>
      <w:rFonts w:cs="Arial"/>
      <w:lang w:val="en-GB"/>
    </w:rPr>
  </w:style>
  <w:style w:type="paragraph" w:styleId="Bibliography">
    <w:name w:val="Bibliography"/>
    <w:basedOn w:val="Normal"/>
    <w:next w:val="Normal"/>
    <w:uiPriority w:val="99"/>
    <w:semiHidden/>
    <w:rsid w:val="00911DE3"/>
    <w:pPr>
      <w:spacing w:after="0"/>
    </w:pPr>
  </w:style>
  <w:style w:type="paragraph" w:styleId="BlockText">
    <w:name w:val="Block Text"/>
    <w:basedOn w:val="Normal"/>
    <w:uiPriority w:val="99"/>
    <w:semiHidden/>
    <w:rsid w:val="00911DE3"/>
    <w:pPr>
      <w:pBdr>
        <w:top w:val="single" w:color="C4D5D3" w:themeColor="accent1" w:sz="2" w:space="10"/>
        <w:left w:val="single" w:color="C4D5D3" w:themeColor="accent1" w:sz="2" w:space="10"/>
        <w:bottom w:val="single" w:color="C4D5D3" w:themeColor="accent1" w:sz="2" w:space="10"/>
        <w:right w:val="single" w:color="C4D5D3" w:themeColor="accent1" w:sz="2" w:space="10"/>
      </w:pBdr>
      <w:spacing w:after="0"/>
      <w:ind w:left="1152" w:right="1152"/>
    </w:pPr>
    <w:rPr>
      <w:rFonts w:cs="Arial" w:eastAsiaTheme="minorEastAsia"/>
      <w:i/>
      <w:iCs/>
      <w:color w:val="C4D5D3" w:themeColor="accent1"/>
    </w:rPr>
  </w:style>
  <w:style w:type="paragraph" w:styleId="BodyText">
    <w:name w:val="Body Text"/>
    <w:basedOn w:val="Normal"/>
    <w:link w:val="BodyTextChar"/>
    <w:uiPriority w:val="99"/>
    <w:semiHidden/>
    <w:rsid w:val="00911DE3"/>
    <w:pPr>
      <w:spacing w:after="120"/>
    </w:pPr>
  </w:style>
  <w:style w:type="character" w:styleId="BodyTextChar" w:customStyle="1">
    <w:name w:val="Body Text Char"/>
    <w:basedOn w:val="DefaultParagraphFont"/>
    <w:link w:val="BodyText"/>
    <w:uiPriority w:val="99"/>
    <w:semiHidden/>
    <w:rsid w:val="00911DE3"/>
    <w:rPr>
      <w:lang w:val="en-GB"/>
    </w:rPr>
  </w:style>
  <w:style w:type="paragraph" w:styleId="BodyText2">
    <w:name w:val="Body Text 2"/>
    <w:basedOn w:val="Normal"/>
    <w:link w:val="BodyText2Char"/>
    <w:uiPriority w:val="99"/>
    <w:semiHidden/>
    <w:rsid w:val="00911DE3"/>
    <w:pPr>
      <w:spacing w:after="120" w:line="480" w:lineRule="auto"/>
    </w:pPr>
  </w:style>
  <w:style w:type="character" w:styleId="BodyText2Char" w:customStyle="1">
    <w:name w:val="Body Text 2 Char"/>
    <w:basedOn w:val="DefaultParagraphFont"/>
    <w:link w:val="BodyText2"/>
    <w:uiPriority w:val="99"/>
    <w:semiHidden/>
    <w:rsid w:val="00911DE3"/>
    <w:rPr>
      <w:lang w:val="en-GB"/>
    </w:rPr>
  </w:style>
  <w:style w:type="paragraph" w:styleId="BodyText3">
    <w:name w:val="Body Text 3"/>
    <w:basedOn w:val="Normal"/>
    <w:link w:val="BodyText3Char"/>
    <w:uiPriority w:val="99"/>
    <w:semiHidden/>
    <w:rsid w:val="00911DE3"/>
    <w:pPr>
      <w:spacing w:after="120"/>
    </w:pPr>
    <w:rPr>
      <w:sz w:val="16"/>
      <w:szCs w:val="16"/>
    </w:rPr>
  </w:style>
  <w:style w:type="character" w:styleId="BodyText3Char" w:customStyle="1">
    <w:name w:val="Body Text 3 Char"/>
    <w:basedOn w:val="DefaultParagraphFont"/>
    <w:link w:val="BodyText3"/>
    <w:uiPriority w:val="99"/>
    <w:semiHidden/>
    <w:rsid w:val="00911DE3"/>
    <w:rPr>
      <w:sz w:val="16"/>
      <w:szCs w:val="16"/>
      <w:lang w:val="en-GB"/>
    </w:rPr>
  </w:style>
  <w:style w:type="paragraph" w:styleId="BodyTextFirstIndent">
    <w:name w:val="Body Text First Indent"/>
    <w:basedOn w:val="BodyText"/>
    <w:link w:val="BodyTextFirstIndentChar"/>
    <w:uiPriority w:val="99"/>
    <w:semiHidden/>
    <w:rsid w:val="00911DE3"/>
    <w:pPr>
      <w:spacing w:after="0"/>
      <w:ind w:firstLine="360"/>
    </w:pPr>
  </w:style>
  <w:style w:type="character" w:styleId="BodyTextFirstIndentChar" w:customStyle="1">
    <w:name w:val="Body Text First Indent Char"/>
    <w:basedOn w:val="BodyTextChar"/>
    <w:link w:val="BodyTextFirstIndent"/>
    <w:uiPriority w:val="99"/>
    <w:semiHidden/>
    <w:rsid w:val="00911DE3"/>
    <w:rPr>
      <w:lang w:val="en-GB"/>
    </w:rPr>
  </w:style>
  <w:style w:type="paragraph" w:styleId="BodyTextIndent">
    <w:name w:val="Body Text Indent"/>
    <w:basedOn w:val="Normal"/>
    <w:link w:val="BodyTextIndentChar"/>
    <w:uiPriority w:val="99"/>
    <w:semiHidden/>
    <w:rsid w:val="00911DE3"/>
    <w:pPr>
      <w:spacing w:after="120"/>
      <w:ind w:left="283"/>
    </w:pPr>
  </w:style>
  <w:style w:type="character" w:styleId="BodyTextIndentChar" w:customStyle="1">
    <w:name w:val="Body Text Indent Char"/>
    <w:basedOn w:val="DefaultParagraphFont"/>
    <w:link w:val="BodyTextIndent"/>
    <w:uiPriority w:val="99"/>
    <w:semiHidden/>
    <w:rsid w:val="00911DE3"/>
    <w:rPr>
      <w:lang w:val="en-GB"/>
    </w:rPr>
  </w:style>
  <w:style w:type="paragraph" w:styleId="BodyTextFirstIndent2">
    <w:name w:val="Body Text First Indent 2"/>
    <w:basedOn w:val="BodyTextIndent"/>
    <w:link w:val="BodyTextFirstIndent2Char"/>
    <w:uiPriority w:val="99"/>
    <w:semiHidden/>
    <w:rsid w:val="00911DE3"/>
    <w:pPr>
      <w:spacing w:after="0"/>
      <w:ind w:left="360" w:firstLine="360"/>
    </w:pPr>
  </w:style>
  <w:style w:type="character" w:styleId="BodyTextFirstIndent2Char" w:customStyle="1">
    <w:name w:val="Body Text First Indent 2 Char"/>
    <w:basedOn w:val="BodyTextIndentChar"/>
    <w:link w:val="BodyTextFirstIndent2"/>
    <w:uiPriority w:val="99"/>
    <w:semiHidden/>
    <w:rsid w:val="00911DE3"/>
    <w:rPr>
      <w:lang w:val="en-GB"/>
    </w:rPr>
  </w:style>
  <w:style w:type="paragraph" w:styleId="BodyTextIndent2">
    <w:name w:val="Body Text Indent 2"/>
    <w:basedOn w:val="Normal"/>
    <w:link w:val="BodyTextIndent2Char"/>
    <w:uiPriority w:val="99"/>
    <w:semiHidden/>
    <w:rsid w:val="00911DE3"/>
    <w:pPr>
      <w:spacing w:after="120" w:line="480" w:lineRule="auto"/>
      <w:ind w:left="283"/>
    </w:pPr>
  </w:style>
  <w:style w:type="character" w:styleId="BodyTextIndent2Char" w:customStyle="1">
    <w:name w:val="Body Text Indent 2 Char"/>
    <w:basedOn w:val="DefaultParagraphFont"/>
    <w:link w:val="BodyTextIndent2"/>
    <w:uiPriority w:val="99"/>
    <w:semiHidden/>
    <w:rsid w:val="00911DE3"/>
    <w:rPr>
      <w:lang w:val="en-GB"/>
    </w:rPr>
  </w:style>
  <w:style w:type="paragraph" w:styleId="BodyTextIndent3">
    <w:name w:val="Body Text Indent 3"/>
    <w:basedOn w:val="Normal"/>
    <w:link w:val="BodyTextIndent3Char"/>
    <w:uiPriority w:val="99"/>
    <w:semiHidden/>
    <w:rsid w:val="00911DE3"/>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911DE3"/>
    <w:rPr>
      <w:sz w:val="16"/>
      <w:szCs w:val="16"/>
      <w:lang w:val="en-GB"/>
    </w:rPr>
  </w:style>
  <w:style w:type="character" w:styleId="BookTitle">
    <w:name w:val="Book Title"/>
    <w:basedOn w:val="DefaultParagraphFont"/>
    <w:uiPriority w:val="99"/>
    <w:semiHidden/>
    <w:qFormat/>
    <w:rsid w:val="00901321"/>
    <w:rPr>
      <w:b/>
      <w:bCs/>
      <w:i/>
      <w:iCs/>
      <w:spacing w:val="5"/>
      <w:lang w:val="en-GB"/>
    </w:rPr>
  </w:style>
  <w:style w:type="paragraph" w:styleId="Caption">
    <w:name w:val="caption"/>
    <w:basedOn w:val="Normal"/>
    <w:next w:val="Normal"/>
    <w:uiPriority w:val="3"/>
    <w:rsid w:val="003C6923"/>
    <w:pPr>
      <w:spacing w:before="60" w:after="60" w:line="260" w:lineRule="atLeast"/>
      <w:contextualSpacing/>
    </w:pPr>
    <w:rPr>
      <w:i/>
      <w:iCs/>
      <w:sz w:val="18"/>
    </w:rPr>
  </w:style>
  <w:style w:type="paragraph" w:styleId="Closing">
    <w:name w:val="Closing"/>
    <w:basedOn w:val="Normal"/>
    <w:link w:val="ClosingChar"/>
    <w:uiPriority w:val="99"/>
    <w:semiHidden/>
    <w:rsid w:val="00911DE3"/>
    <w:pPr>
      <w:spacing w:after="0" w:line="240" w:lineRule="auto"/>
      <w:ind w:left="4252"/>
    </w:pPr>
  </w:style>
  <w:style w:type="character" w:styleId="ClosingChar" w:customStyle="1">
    <w:name w:val="Closing Char"/>
    <w:basedOn w:val="DefaultParagraphFont"/>
    <w:link w:val="Closing"/>
    <w:uiPriority w:val="99"/>
    <w:semiHidden/>
    <w:rsid w:val="00911DE3"/>
    <w:rPr>
      <w:lang w:val="en-GB"/>
    </w:rPr>
  </w:style>
  <w:style w:type="table" w:styleId="ColourfulGrid">
    <w:name w:val="Colorful Grid"/>
    <w:basedOn w:val="TableNormal"/>
    <w:uiPriority w:val="99"/>
    <w:semiHidden/>
    <w:unhideWhenUsed/>
    <w:rsid w:val="00911DE3"/>
    <w:pPr>
      <w:spacing w:line="240" w:lineRule="auto"/>
    </w:pPr>
    <w:rPr>
      <w:color w:val="303030" w:themeColor="text1"/>
    </w:rPr>
    <w:tblPr>
      <w:tblStyleRowBandSize w:val="1"/>
      <w:tblStyleColBandSize w:val="1"/>
      <w:tblBorders>
        <w:insideH w:val="single" w:color="FFFFFF" w:themeColor="background1" w:sz="4" w:space="0"/>
      </w:tblBorders>
    </w:tblPr>
    <w:tcPr>
      <w:shd w:val="clear" w:color="auto" w:fill="D5D5D5" w:themeFill="text1" w:themeFillTint="33"/>
    </w:tcPr>
    <w:tblStylePr w:type="firstRow">
      <w:rPr>
        <w:b/>
        <w:bCs/>
      </w:rPr>
      <w:tblPr/>
      <w:tcPr>
        <w:shd w:val="clear" w:color="auto" w:fill="ACACAC" w:themeFill="text1" w:themeFillTint="66"/>
      </w:tcPr>
    </w:tblStylePr>
    <w:tblStylePr w:type="lastRow">
      <w:rPr>
        <w:b/>
        <w:bCs/>
        <w:color w:val="303030" w:themeColor="text1"/>
      </w:rPr>
      <w:tblPr/>
      <w:tcPr>
        <w:shd w:val="clear" w:color="auto" w:fill="ACACAC" w:themeFill="text1" w:themeFillTint="66"/>
      </w:tcPr>
    </w:tblStylePr>
    <w:tblStylePr w:type="firstCol">
      <w:rPr>
        <w:color w:val="FFFFFF" w:themeColor="background1"/>
      </w:rPr>
      <w:tblPr/>
      <w:tcPr>
        <w:shd w:val="clear" w:color="auto" w:fill="232323" w:themeFill="text1" w:themeFillShade="BF"/>
      </w:tcPr>
    </w:tblStylePr>
    <w:tblStylePr w:type="lastCol">
      <w:rPr>
        <w:color w:val="FFFFFF" w:themeColor="background1"/>
      </w:rPr>
      <w:tblPr/>
      <w:tcPr>
        <w:shd w:val="clear" w:color="auto" w:fill="232323" w:themeFill="text1" w:themeFillShade="BF"/>
      </w:tcPr>
    </w:tblStylePr>
    <w:tblStylePr w:type="band1Vert">
      <w:tblPr/>
      <w:tcPr>
        <w:shd w:val="clear" w:color="auto" w:fill="979797" w:themeFill="text1" w:themeFillTint="7F"/>
      </w:tcPr>
    </w:tblStylePr>
    <w:tblStylePr w:type="band1Horz">
      <w:tblPr/>
      <w:tcPr>
        <w:shd w:val="clear" w:color="auto" w:fill="979797" w:themeFill="text1" w:themeFillTint="7F"/>
      </w:tcPr>
    </w:tblStylePr>
  </w:style>
  <w:style w:type="table" w:styleId="ColourfulGridAccent1">
    <w:name w:val="Colorful Grid Accent 1"/>
    <w:basedOn w:val="TableNormal"/>
    <w:uiPriority w:val="99"/>
    <w:semiHidden/>
    <w:unhideWhenUsed/>
    <w:rsid w:val="00911DE3"/>
    <w:pPr>
      <w:spacing w:line="240" w:lineRule="auto"/>
    </w:pPr>
    <w:rPr>
      <w:color w:val="303030" w:themeColor="text1"/>
    </w:rPr>
    <w:tblPr>
      <w:tblStyleRowBandSize w:val="1"/>
      <w:tblStyleColBandSize w:val="1"/>
      <w:tblBorders>
        <w:insideH w:val="single" w:color="FFFFFF" w:themeColor="background1" w:sz="4" w:space="0"/>
      </w:tblBorders>
    </w:tblPr>
    <w:tcPr>
      <w:shd w:val="clear" w:color="auto" w:fill="F3F6F6" w:themeFill="accent1" w:themeFillTint="33"/>
    </w:tcPr>
    <w:tblStylePr w:type="firstRow">
      <w:rPr>
        <w:b/>
        <w:bCs/>
      </w:rPr>
      <w:tblPr/>
      <w:tcPr>
        <w:shd w:val="clear" w:color="auto" w:fill="E7EEED" w:themeFill="accent1" w:themeFillTint="66"/>
      </w:tcPr>
    </w:tblStylePr>
    <w:tblStylePr w:type="lastRow">
      <w:rPr>
        <w:b/>
        <w:bCs/>
        <w:color w:val="303030" w:themeColor="text1"/>
      </w:rPr>
      <w:tblPr/>
      <w:tcPr>
        <w:shd w:val="clear" w:color="auto" w:fill="E7EEED" w:themeFill="accent1" w:themeFillTint="66"/>
      </w:tcPr>
    </w:tblStylePr>
    <w:tblStylePr w:type="firstCol">
      <w:rPr>
        <w:color w:val="FFFFFF" w:themeColor="background1"/>
      </w:rPr>
      <w:tblPr/>
      <w:tcPr>
        <w:shd w:val="clear" w:color="auto" w:fill="88AAA6" w:themeFill="accent1" w:themeFillShade="BF"/>
      </w:tcPr>
    </w:tblStylePr>
    <w:tblStylePr w:type="lastCol">
      <w:rPr>
        <w:color w:val="FFFFFF" w:themeColor="background1"/>
      </w:rPr>
      <w:tblPr/>
      <w:tcPr>
        <w:shd w:val="clear" w:color="auto" w:fill="88AAA6" w:themeFill="accent1" w:themeFillShade="BF"/>
      </w:tcPr>
    </w:tblStylePr>
    <w:tblStylePr w:type="band1Vert">
      <w:tblPr/>
      <w:tcPr>
        <w:shd w:val="clear" w:color="auto" w:fill="E1EAE9" w:themeFill="accent1" w:themeFillTint="7F"/>
      </w:tcPr>
    </w:tblStylePr>
    <w:tblStylePr w:type="band1Horz">
      <w:tblPr/>
      <w:tcPr>
        <w:shd w:val="clear" w:color="auto" w:fill="E1EAE9" w:themeFill="accent1" w:themeFillTint="7F"/>
      </w:tcPr>
    </w:tblStylePr>
  </w:style>
  <w:style w:type="table" w:styleId="ColourfulGridAccent2">
    <w:name w:val="Colorful Grid Accent 2"/>
    <w:basedOn w:val="TableNormal"/>
    <w:uiPriority w:val="99"/>
    <w:semiHidden/>
    <w:unhideWhenUsed/>
    <w:rsid w:val="00911DE3"/>
    <w:pPr>
      <w:spacing w:line="240" w:lineRule="auto"/>
    </w:pPr>
    <w:rPr>
      <w:color w:val="303030" w:themeColor="text1"/>
    </w:rPr>
    <w:tblPr>
      <w:tblStyleRowBandSize w:val="1"/>
      <w:tblStyleColBandSize w:val="1"/>
      <w:tblBorders>
        <w:insideH w:val="single" w:color="FFFFFF" w:themeColor="background1" w:sz="4" w:space="0"/>
      </w:tblBorders>
    </w:tblPr>
    <w:tcPr>
      <w:shd w:val="clear" w:color="auto" w:fill="E6EDED" w:themeFill="accent2" w:themeFillTint="33"/>
    </w:tcPr>
    <w:tblStylePr w:type="firstRow">
      <w:rPr>
        <w:b/>
        <w:bCs/>
      </w:rPr>
      <w:tblPr/>
      <w:tcPr>
        <w:shd w:val="clear" w:color="auto" w:fill="CEDCDB" w:themeFill="accent2" w:themeFillTint="66"/>
      </w:tcPr>
    </w:tblStylePr>
    <w:tblStylePr w:type="lastRow">
      <w:rPr>
        <w:b/>
        <w:bCs/>
        <w:color w:val="303030" w:themeColor="text1"/>
      </w:rPr>
      <w:tblPr/>
      <w:tcPr>
        <w:shd w:val="clear" w:color="auto" w:fill="CEDCDB" w:themeFill="accent2" w:themeFillTint="66"/>
      </w:tcPr>
    </w:tblStylePr>
    <w:tblStylePr w:type="firstCol">
      <w:rPr>
        <w:color w:val="FFFFFF" w:themeColor="background1"/>
      </w:rPr>
      <w:tblPr/>
      <w:tcPr>
        <w:shd w:val="clear" w:color="auto" w:fill="5E8481" w:themeFill="accent2" w:themeFillShade="BF"/>
      </w:tcPr>
    </w:tblStylePr>
    <w:tblStylePr w:type="lastCol">
      <w:rPr>
        <w:color w:val="FFFFFF" w:themeColor="background1"/>
      </w:rPr>
      <w:tblPr/>
      <w:tcPr>
        <w:shd w:val="clear" w:color="auto" w:fill="5E8481" w:themeFill="accent2" w:themeFillShade="BF"/>
      </w:tcPr>
    </w:tblStylePr>
    <w:tblStylePr w:type="band1Vert">
      <w:tblPr/>
      <w:tcPr>
        <w:shd w:val="clear" w:color="auto" w:fill="C2D4D2" w:themeFill="accent2" w:themeFillTint="7F"/>
      </w:tcPr>
    </w:tblStylePr>
    <w:tblStylePr w:type="band1Horz">
      <w:tblPr/>
      <w:tcPr>
        <w:shd w:val="clear" w:color="auto" w:fill="C2D4D2" w:themeFill="accent2" w:themeFillTint="7F"/>
      </w:tcPr>
    </w:tblStylePr>
  </w:style>
  <w:style w:type="table" w:styleId="ColourfulGridAccent3">
    <w:name w:val="Colorful Grid Accent 3"/>
    <w:basedOn w:val="TableNormal"/>
    <w:uiPriority w:val="99"/>
    <w:semiHidden/>
    <w:unhideWhenUsed/>
    <w:rsid w:val="00911DE3"/>
    <w:pPr>
      <w:spacing w:line="240" w:lineRule="auto"/>
    </w:pPr>
    <w:rPr>
      <w:color w:val="303030" w:themeColor="text1"/>
    </w:rPr>
    <w:tblPr>
      <w:tblStyleRowBandSize w:val="1"/>
      <w:tblStyleColBandSize w:val="1"/>
      <w:tblBorders>
        <w:insideH w:val="single" w:color="FFFFFF" w:themeColor="background1" w:sz="4" w:space="0"/>
      </w:tblBorders>
    </w:tblPr>
    <w:tcPr>
      <w:shd w:val="clear" w:color="auto" w:fill="DEE9E8" w:themeFill="accent3" w:themeFillTint="33"/>
    </w:tcPr>
    <w:tblStylePr w:type="firstRow">
      <w:rPr>
        <w:b/>
        <w:bCs/>
      </w:rPr>
      <w:tblPr/>
      <w:tcPr>
        <w:shd w:val="clear" w:color="auto" w:fill="BDD3D1" w:themeFill="accent3" w:themeFillTint="66"/>
      </w:tcPr>
    </w:tblStylePr>
    <w:tblStylePr w:type="lastRow">
      <w:rPr>
        <w:b/>
        <w:bCs/>
        <w:color w:val="303030" w:themeColor="text1"/>
      </w:rPr>
      <w:tblPr/>
      <w:tcPr>
        <w:shd w:val="clear" w:color="auto" w:fill="BDD3D1" w:themeFill="accent3" w:themeFillTint="66"/>
      </w:tcPr>
    </w:tblStylePr>
    <w:tblStylePr w:type="firstCol">
      <w:rPr>
        <w:color w:val="FFFFFF" w:themeColor="background1"/>
      </w:rPr>
      <w:tblPr/>
      <w:tcPr>
        <w:shd w:val="clear" w:color="auto" w:fill="466966" w:themeFill="accent3" w:themeFillShade="BF"/>
      </w:tcPr>
    </w:tblStylePr>
    <w:tblStylePr w:type="lastCol">
      <w:rPr>
        <w:color w:val="FFFFFF" w:themeColor="background1"/>
      </w:rPr>
      <w:tblPr/>
      <w:tcPr>
        <w:shd w:val="clear" w:color="auto" w:fill="466966" w:themeFill="accent3" w:themeFillShade="BF"/>
      </w:tcPr>
    </w:tblStylePr>
    <w:tblStylePr w:type="band1Vert">
      <w:tblPr/>
      <w:tcPr>
        <w:shd w:val="clear" w:color="auto" w:fill="ACC8C5" w:themeFill="accent3" w:themeFillTint="7F"/>
      </w:tcPr>
    </w:tblStylePr>
    <w:tblStylePr w:type="band1Horz">
      <w:tblPr/>
      <w:tcPr>
        <w:shd w:val="clear" w:color="auto" w:fill="ACC8C5" w:themeFill="accent3" w:themeFillTint="7F"/>
      </w:tcPr>
    </w:tblStylePr>
  </w:style>
  <w:style w:type="table" w:styleId="ColourfulGridAccent4">
    <w:name w:val="Colorful Grid Accent 4"/>
    <w:basedOn w:val="TableNormal"/>
    <w:uiPriority w:val="99"/>
    <w:semiHidden/>
    <w:unhideWhenUsed/>
    <w:rsid w:val="00911DE3"/>
    <w:pPr>
      <w:spacing w:line="240" w:lineRule="auto"/>
    </w:pPr>
    <w:rPr>
      <w:color w:val="303030" w:themeColor="text1"/>
    </w:rPr>
    <w:tblPr>
      <w:tblStyleRowBandSize w:val="1"/>
      <w:tblStyleColBandSize w:val="1"/>
      <w:tblBorders>
        <w:insideH w:val="single" w:color="FFFFFF" w:themeColor="background1" w:sz="4" w:space="0"/>
      </w:tblBorders>
    </w:tblPr>
    <w:tcPr>
      <w:shd w:val="clear" w:color="auto" w:fill="D0E8E6" w:themeFill="accent4" w:themeFillTint="33"/>
    </w:tcPr>
    <w:tblStylePr w:type="firstRow">
      <w:rPr>
        <w:b/>
        <w:bCs/>
      </w:rPr>
      <w:tblPr/>
      <w:tcPr>
        <w:shd w:val="clear" w:color="auto" w:fill="A2D2CE" w:themeFill="accent4" w:themeFillTint="66"/>
      </w:tcPr>
    </w:tblStylePr>
    <w:tblStylePr w:type="lastRow">
      <w:rPr>
        <w:b/>
        <w:bCs/>
        <w:color w:val="303030" w:themeColor="text1"/>
      </w:rPr>
      <w:tblPr/>
      <w:tcPr>
        <w:shd w:val="clear" w:color="auto" w:fill="A2D2CE" w:themeFill="accent4" w:themeFillTint="66"/>
      </w:tcPr>
    </w:tblStylePr>
    <w:tblStylePr w:type="firstCol">
      <w:rPr>
        <w:color w:val="FFFFFF" w:themeColor="background1"/>
      </w:rPr>
      <w:tblPr/>
      <w:tcPr>
        <w:shd w:val="clear" w:color="auto" w:fill="285350" w:themeFill="accent4" w:themeFillShade="BF"/>
      </w:tcPr>
    </w:tblStylePr>
    <w:tblStylePr w:type="lastCol">
      <w:rPr>
        <w:color w:val="FFFFFF" w:themeColor="background1"/>
      </w:rPr>
      <w:tblPr/>
      <w:tcPr>
        <w:shd w:val="clear" w:color="auto" w:fill="285350" w:themeFill="accent4" w:themeFillShade="BF"/>
      </w:tcPr>
    </w:tblStylePr>
    <w:tblStylePr w:type="band1Vert">
      <w:tblPr/>
      <w:tcPr>
        <w:shd w:val="clear" w:color="auto" w:fill="8BC7C2" w:themeFill="accent4" w:themeFillTint="7F"/>
      </w:tcPr>
    </w:tblStylePr>
    <w:tblStylePr w:type="band1Horz">
      <w:tblPr/>
      <w:tcPr>
        <w:shd w:val="clear" w:color="auto" w:fill="8BC7C2" w:themeFill="accent4" w:themeFillTint="7F"/>
      </w:tcPr>
    </w:tblStylePr>
  </w:style>
  <w:style w:type="table" w:styleId="ColourfulGridAccent5">
    <w:name w:val="Colorful Grid Accent 5"/>
    <w:basedOn w:val="TableNormal"/>
    <w:uiPriority w:val="99"/>
    <w:semiHidden/>
    <w:unhideWhenUsed/>
    <w:rsid w:val="00911DE3"/>
    <w:pPr>
      <w:spacing w:line="240" w:lineRule="auto"/>
    </w:pPr>
    <w:rPr>
      <w:color w:val="303030" w:themeColor="text1"/>
    </w:rPr>
    <w:tblPr>
      <w:tblStyleRowBandSize w:val="1"/>
      <w:tblStyleColBandSize w:val="1"/>
      <w:tblBorders>
        <w:insideH w:val="single" w:color="FFFFFF" w:themeColor="background1" w:sz="4" w:space="0"/>
      </w:tblBorders>
    </w:tblPr>
    <w:tcPr>
      <w:shd w:val="clear" w:color="auto" w:fill="CBE6E4" w:themeFill="accent5" w:themeFillTint="33"/>
    </w:tcPr>
    <w:tblStylePr w:type="firstRow">
      <w:rPr>
        <w:b/>
        <w:bCs/>
      </w:rPr>
      <w:tblPr/>
      <w:tcPr>
        <w:shd w:val="clear" w:color="auto" w:fill="98CEC9" w:themeFill="accent5" w:themeFillTint="66"/>
      </w:tcPr>
    </w:tblStylePr>
    <w:tblStylePr w:type="lastRow">
      <w:rPr>
        <w:b/>
        <w:bCs/>
        <w:color w:val="303030" w:themeColor="text1"/>
      </w:rPr>
      <w:tblPr/>
      <w:tcPr>
        <w:shd w:val="clear" w:color="auto" w:fill="98CEC9" w:themeFill="accent5" w:themeFillTint="66"/>
      </w:tcPr>
    </w:tblStylePr>
    <w:tblStylePr w:type="firstCol">
      <w:rPr>
        <w:color w:val="FFFFFF" w:themeColor="background1"/>
      </w:rPr>
      <w:tblPr/>
      <w:tcPr>
        <w:shd w:val="clear" w:color="auto" w:fill="204340" w:themeFill="accent5" w:themeFillShade="BF"/>
      </w:tcPr>
    </w:tblStylePr>
    <w:tblStylePr w:type="lastCol">
      <w:rPr>
        <w:color w:val="FFFFFF" w:themeColor="background1"/>
      </w:rPr>
      <w:tblPr/>
      <w:tcPr>
        <w:shd w:val="clear" w:color="auto" w:fill="204340" w:themeFill="accent5" w:themeFillShade="BF"/>
      </w:tcPr>
    </w:tblStylePr>
    <w:tblStylePr w:type="band1Vert">
      <w:tblPr/>
      <w:tcPr>
        <w:shd w:val="clear" w:color="auto" w:fill="7FC2BC" w:themeFill="accent5" w:themeFillTint="7F"/>
      </w:tcPr>
    </w:tblStylePr>
    <w:tblStylePr w:type="band1Horz">
      <w:tblPr/>
      <w:tcPr>
        <w:shd w:val="clear" w:color="auto" w:fill="7FC2BC" w:themeFill="accent5" w:themeFillTint="7F"/>
      </w:tcPr>
    </w:tblStylePr>
  </w:style>
  <w:style w:type="table" w:styleId="ColourfulGridAccent6">
    <w:name w:val="Colorful Grid Accent 6"/>
    <w:basedOn w:val="TableNormal"/>
    <w:uiPriority w:val="99"/>
    <w:semiHidden/>
    <w:unhideWhenUsed/>
    <w:rsid w:val="00911DE3"/>
    <w:pPr>
      <w:spacing w:line="240" w:lineRule="auto"/>
    </w:pPr>
    <w:rPr>
      <w:color w:val="303030" w:themeColor="text1"/>
    </w:rPr>
    <w:tblPr>
      <w:tblStyleRowBandSize w:val="1"/>
      <w:tblStyleColBandSize w:val="1"/>
      <w:tblBorders>
        <w:insideH w:val="single" w:color="FFFFFF" w:themeColor="background1" w:sz="4" w:space="0"/>
      </w:tblBorders>
    </w:tblPr>
    <w:tcPr>
      <w:shd w:val="clear" w:color="auto" w:fill="DEF2EC" w:themeFill="accent6" w:themeFillTint="33"/>
    </w:tcPr>
    <w:tblStylePr w:type="firstRow">
      <w:rPr>
        <w:b/>
        <w:bCs/>
      </w:rPr>
      <w:tblPr/>
      <w:tcPr>
        <w:shd w:val="clear" w:color="auto" w:fill="BEE6D8" w:themeFill="accent6" w:themeFillTint="66"/>
      </w:tcPr>
    </w:tblStylePr>
    <w:tblStylePr w:type="lastRow">
      <w:rPr>
        <w:b/>
        <w:bCs/>
        <w:color w:val="303030" w:themeColor="text1"/>
      </w:rPr>
      <w:tblPr/>
      <w:tcPr>
        <w:shd w:val="clear" w:color="auto" w:fill="BEE6D8" w:themeFill="accent6" w:themeFillTint="66"/>
      </w:tcPr>
    </w:tblStylePr>
    <w:tblStylePr w:type="firstCol">
      <w:rPr>
        <w:color w:val="FFFFFF" w:themeColor="background1"/>
      </w:rPr>
      <w:tblPr/>
      <w:tcPr>
        <w:shd w:val="clear" w:color="auto" w:fill="3B9A7B" w:themeFill="accent6" w:themeFillShade="BF"/>
      </w:tcPr>
    </w:tblStylePr>
    <w:tblStylePr w:type="lastCol">
      <w:rPr>
        <w:color w:val="FFFFFF" w:themeColor="background1"/>
      </w:rPr>
      <w:tblPr/>
      <w:tcPr>
        <w:shd w:val="clear" w:color="auto" w:fill="3B9A7B" w:themeFill="accent6" w:themeFillShade="BF"/>
      </w:tcPr>
    </w:tblStylePr>
    <w:tblStylePr w:type="band1Vert">
      <w:tblPr/>
      <w:tcPr>
        <w:shd w:val="clear" w:color="auto" w:fill="AEE0CF" w:themeFill="accent6" w:themeFillTint="7F"/>
      </w:tcPr>
    </w:tblStylePr>
    <w:tblStylePr w:type="band1Horz">
      <w:tblPr/>
      <w:tcPr>
        <w:shd w:val="clear" w:color="auto" w:fill="AEE0CF" w:themeFill="accent6" w:themeFillTint="7F"/>
      </w:tcPr>
    </w:tblStylePr>
  </w:style>
  <w:style w:type="table" w:styleId="ColourfulList">
    <w:name w:val="Colorful List"/>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AEAEA" w:themeFill="text1" w:themeFillTint="19"/>
    </w:tcPr>
    <w:tblStylePr w:type="firstRow">
      <w:rPr>
        <w:b/>
        <w:bCs/>
        <w:color w:val="FFFFFF" w:themeColor="background1"/>
      </w:rPr>
      <w:tblPr/>
      <w:tcPr>
        <w:tcBorders>
          <w:bottom w:val="single" w:color="FFFFFF" w:themeColor="background1" w:sz="12" w:space="0"/>
        </w:tcBorders>
        <w:shd w:val="clear" w:color="auto" w:fill="648D89" w:themeFill="accent2" w:themeFillShade="CC"/>
      </w:tcPr>
    </w:tblStylePr>
    <w:tblStylePr w:type="lastRow">
      <w:rPr>
        <w:b/>
        <w:bCs/>
        <w:color w:val="648D89" w:themeColor="accent2" w:themeShade="CC"/>
      </w:rPr>
      <w:tblPr/>
      <w:tcPr>
        <w:tcBorders>
          <w:top w:val="single" w:color="30303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BCB" w:themeFill="text1" w:themeFillTint="3F"/>
      </w:tcPr>
    </w:tblStylePr>
    <w:tblStylePr w:type="band1Horz">
      <w:tblPr/>
      <w:tcPr>
        <w:shd w:val="clear" w:color="auto" w:fill="D5D5D5" w:themeFill="text1" w:themeFillTint="33"/>
      </w:tcPr>
    </w:tblStylePr>
  </w:style>
  <w:style w:type="table" w:styleId="ColourfulListAccent1">
    <w:name w:val="Colorful List Accent 1"/>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F9FBFA" w:themeFill="accent1" w:themeFillTint="19"/>
    </w:tcPr>
    <w:tblStylePr w:type="firstRow">
      <w:rPr>
        <w:b/>
        <w:bCs/>
        <w:color w:val="FFFFFF" w:themeColor="background1"/>
      </w:rPr>
      <w:tblPr/>
      <w:tcPr>
        <w:tcBorders>
          <w:bottom w:val="single" w:color="FFFFFF" w:themeColor="background1" w:sz="12" w:space="0"/>
        </w:tcBorders>
        <w:shd w:val="clear" w:color="auto" w:fill="648D89" w:themeFill="accent2" w:themeFillShade="CC"/>
      </w:tcPr>
    </w:tblStylePr>
    <w:tblStylePr w:type="lastRow">
      <w:rPr>
        <w:b/>
        <w:bCs/>
        <w:color w:val="648D89" w:themeColor="accent2" w:themeShade="CC"/>
      </w:rPr>
      <w:tblPr/>
      <w:tcPr>
        <w:tcBorders>
          <w:top w:val="single" w:color="30303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4F4" w:themeFill="accent1" w:themeFillTint="3F"/>
      </w:tcPr>
    </w:tblStylePr>
    <w:tblStylePr w:type="band1Horz">
      <w:tblPr/>
      <w:tcPr>
        <w:shd w:val="clear" w:color="auto" w:fill="F3F6F6" w:themeFill="accent1" w:themeFillTint="33"/>
      </w:tcPr>
    </w:tblStylePr>
  </w:style>
  <w:style w:type="table" w:styleId="ColourfulListAccent2">
    <w:name w:val="Colorful List Accent 2"/>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F3F6F6" w:themeFill="accent2" w:themeFillTint="19"/>
    </w:tcPr>
    <w:tblStylePr w:type="firstRow">
      <w:rPr>
        <w:b/>
        <w:bCs/>
        <w:color w:val="FFFFFF" w:themeColor="background1"/>
      </w:rPr>
      <w:tblPr/>
      <w:tcPr>
        <w:tcBorders>
          <w:bottom w:val="single" w:color="FFFFFF" w:themeColor="background1" w:sz="12" w:space="0"/>
        </w:tcBorders>
        <w:shd w:val="clear" w:color="auto" w:fill="648D89" w:themeFill="accent2" w:themeFillShade="CC"/>
      </w:tcPr>
    </w:tblStylePr>
    <w:tblStylePr w:type="lastRow">
      <w:rPr>
        <w:b/>
        <w:bCs/>
        <w:color w:val="648D89" w:themeColor="accent2" w:themeShade="CC"/>
      </w:rPr>
      <w:tblPr/>
      <w:tcPr>
        <w:tcBorders>
          <w:top w:val="single" w:color="30303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9E8" w:themeFill="accent2" w:themeFillTint="3F"/>
      </w:tcPr>
    </w:tblStylePr>
    <w:tblStylePr w:type="band1Horz">
      <w:tblPr/>
      <w:tcPr>
        <w:shd w:val="clear" w:color="auto" w:fill="E6EDED" w:themeFill="accent2" w:themeFillTint="33"/>
      </w:tcPr>
    </w:tblStylePr>
  </w:style>
  <w:style w:type="table" w:styleId="ColourfulListAccent3">
    <w:name w:val="Colorful List Accent 3"/>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EF4F3" w:themeFill="accent3" w:themeFillTint="19"/>
    </w:tcPr>
    <w:tblStylePr w:type="firstRow">
      <w:rPr>
        <w:b/>
        <w:bCs/>
        <w:color w:val="FFFFFF" w:themeColor="background1"/>
      </w:rPr>
      <w:tblPr/>
      <w:tcPr>
        <w:tcBorders>
          <w:bottom w:val="single" w:color="FFFFFF" w:themeColor="background1" w:sz="12" w:space="0"/>
        </w:tcBorders>
        <w:shd w:val="clear" w:color="auto" w:fill="2B5955" w:themeFill="accent4" w:themeFillShade="CC"/>
      </w:tcPr>
    </w:tblStylePr>
    <w:tblStylePr w:type="lastRow">
      <w:rPr>
        <w:b/>
        <w:bCs/>
        <w:color w:val="2B5955" w:themeColor="accent4" w:themeShade="CC"/>
      </w:rPr>
      <w:tblPr/>
      <w:tcPr>
        <w:tcBorders>
          <w:top w:val="single" w:color="30303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3E2" w:themeFill="accent3" w:themeFillTint="3F"/>
      </w:tcPr>
    </w:tblStylePr>
    <w:tblStylePr w:type="band1Horz">
      <w:tblPr/>
      <w:tcPr>
        <w:shd w:val="clear" w:color="auto" w:fill="DEE9E8" w:themeFill="accent3" w:themeFillTint="33"/>
      </w:tcPr>
    </w:tblStylePr>
  </w:style>
  <w:style w:type="table" w:styleId="ColourfulListAccent4">
    <w:name w:val="Colorful List Accent 4"/>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8F4F2" w:themeFill="accent4" w:themeFillTint="19"/>
    </w:tcPr>
    <w:tblStylePr w:type="firstRow">
      <w:rPr>
        <w:b/>
        <w:bCs/>
        <w:color w:val="FFFFFF" w:themeColor="background1"/>
      </w:rPr>
      <w:tblPr/>
      <w:tcPr>
        <w:tcBorders>
          <w:bottom w:val="single" w:color="FFFFFF" w:themeColor="background1" w:sz="12" w:space="0"/>
        </w:tcBorders>
        <w:shd w:val="clear" w:color="auto" w:fill="4B706D" w:themeFill="accent3" w:themeFillShade="CC"/>
      </w:tcPr>
    </w:tblStylePr>
    <w:tblStylePr w:type="lastRow">
      <w:rPr>
        <w:b/>
        <w:bCs/>
        <w:color w:val="4B706D" w:themeColor="accent3" w:themeShade="CC"/>
      </w:rPr>
      <w:tblPr/>
      <w:tcPr>
        <w:tcBorders>
          <w:top w:val="single" w:color="30303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3E0" w:themeFill="accent4" w:themeFillTint="3F"/>
      </w:tcPr>
    </w:tblStylePr>
    <w:tblStylePr w:type="band1Horz">
      <w:tblPr/>
      <w:tcPr>
        <w:shd w:val="clear" w:color="auto" w:fill="D0E8E6" w:themeFill="accent4" w:themeFillTint="33"/>
      </w:tcPr>
    </w:tblStylePr>
  </w:style>
  <w:style w:type="table" w:styleId="ColourfulListAccent5">
    <w:name w:val="Colorful List Accent 5"/>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5F3F2" w:themeFill="accent5" w:themeFillTint="19"/>
    </w:tcPr>
    <w:tblStylePr w:type="firstRow">
      <w:rPr>
        <w:b/>
        <w:bCs/>
        <w:color w:val="FFFFFF" w:themeColor="background1"/>
      </w:rPr>
      <w:tblPr/>
      <w:tcPr>
        <w:tcBorders>
          <w:bottom w:val="single" w:color="FFFFFF" w:themeColor="background1" w:sz="12" w:space="0"/>
        </w:tcBorders>
        <w:shd w:val="clear" w:color="auto" w:fill="3FA583" w:themeFill="accent6" w:themeFillShade="CC"/>
      </w:tcPr>
    </w:tblStylePr>
    <w:tblStylePr w:type="lastRow">
      <w:rPr>
        <w:b/>
        <w:bCs/>
        <w:color w:val="3FA583" w:themeColor="accent6" w:themeShade="CC"/>
      </w:rPr>
      <w:tblPr/>
      <w:tcPr>
        <w:tcBorders>
          <w:top w:val="single" w:color="30303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DD" w:themeFill="accent5" w:themeFillTint="3F"/>
      </w:tcPr>
    </w:tblStylePr>
    <w:tblStylePr w:type="band1Horz">
      <w:tblPr/>
      <w:tcPr>
        <w:shd w:val="clear" w:color="auto" w:fill="CBE6E4" w:themeFill="accent5" w:themeFillTint="33"/>
      </w:tcPr>
    </w:tblStylePr>
  </w:style>
  <w:style w:type="table" w:styleId="ColourfulListAccent6">
    <w:name w:val="Colorful List Accent 6"/>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FF9F5" w:themeFill="accent6" w:themeFillTint="19"/>
    </w:tcPr>
    <w:tblStylePr w:type="firstRow">
      <w:rPr>
        <w:b/>
        <w:bCs/>
        <w:color w:val="FFFFFF" w:themeColor="background1"/>
      </w:rPr>
      <w:tblPr/>
      <w:tcPr>
        <w:tcBorders>
          <w:bottom w:val="single" w:color="FFFFFF" w:themeColor="background1" w:sz="12" w:space="0"/>
        </w:tcBorders>
        <w:shd w:val="clear" w:color="auto" w:fill="224744" w:themeFill="accent5" w:themeFillShade="CC"/>
      </w:tcPr>
    </w:tblStylePr>
    <w:tblStylePr w:type="lastRow">
      <w:rPr>
        <w:b/>
        <w:bCs/>
        <w:color w:val="224744" w:themeColor="accent5" w:themeShade="CC"/>
      </w:rPr>
      <w:tblPr/>
      <w:tcPr>
        <w:tcBorders>
          <w:top w:val="single" w:color="30303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FE7" w:themeFill="accent6" w:themeFillTint="3F"/>
      </w:tcPr>
    </w:tblStylePr>
    <w:tblStylePr w:type="band1Horz">
      <w:tblPr/>
      <w:tcPr>
        <w:shd w:val="clear" w:color="auto" w:fill="DEF2EC" w:themeFill="accent6" w:themeFillTint="33"/>
      </w:tcPr>
    </w:tblStylePr>
  </w:style>
  <w:style w:type="table" w:styleId="ColourfulShading">
    <w:name w:val="Colorful Shading"/>
    <w:basedOn w:val="TableNormal"/>
    <w:uiPriority w:val="99"/>
    <w:semiHidden/>
    <w:unhideWhenUsed/>
    <w:rsid w:val="00911DE3"/>
    <w:pPr>
      <w:spacing w:line="240" w:lineRule="auto"/>
    </w:pPr>
    <w:rPr>
      <w:color w:val="303030" w:themeColor="text1"/>
    </w:rPr>
    <w:tblPr>
      <w:tblStyleRowBandSize w:val="1"/>
      <w:tblStyleColBandSize w:val="1"/>
      <w:tblBorders>
        <w:top w:val="single" w:color="86A9A6" w:themeColor="accent2" w:sz="24" w:space="0"/>
        <w:left w:val="single" w:color="303030" w:themeColor="text1" w:sz="4" w:space="0"/>
        <w:bottom w:val="single" w:color="303030" w:themeColor="text1" w:sz="4" w:space="0"/>
        <w:right w:val="single" w:color="303030" w:themeColor="text1" w:sz="4" w:space="0"/>
        <w:insideH w:val="single" w:color="FFFFFF" w:themeColor="background1" w:sz="4" w:space="0"/>
        <w:insideV w:val="single" w:color="FFFFFF" w:themeColor="background1" w:sz="4" w:space="0"/>
      </w:tblBorders>
    </w:tblPr>
    <w:tcPr>
      <w:shd w:val="clear" w:color="auto" w:fill="EAEAEA" w:themeFill="text1" w:themeFillTint="19"/>
    </w:tcPr>
    <w:tblStylePr w:type="firstRow">
      <w:rPr>
        <w:b/>
        <w:bCs/>
      </w:rPr>
      <w:tblPr/>
      <w:tcPr>
        <w:tcBorders>
          <w:top w:val="nil"/>
          <w:left w:val="nil"/>
          <w:bottom w:val="single" w:color="86A9A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C1C1C" w:themeFill="text1" w:themeFillShade="99"/>
      </w:tcPr>
    </w:tblStylePr>
    <w:tblStylePr w:type="firstCol">
      <w:rPr>
        <w:color w:val="FFFFFF" w:themeColor="background1"/>
      </w:rPr>
      <w:tblPr/>
      <w:tcPr>
        <w:tcBorders>
          <w:top w:val="nil"/>
          <w:left w:val="nil"/>
          <w:bottom w:val="nil"/>
          <w:right w:val="nil"/>
          <w:insideH w:val="single" w:color="1C1C1C" w:themeColor="text1" w:themeShade="99" w:sz="4" w:space="0"/>
          <w:insideV w:val="nil"/>
        </w:tcBorders>
        <w:shd w:val="clear" w:color="auto" w:fill="1C1C1C"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32323" w:themeFill="text1" w:themeFillShade="BF"/>
      </w:tcPr>
    </w:tblStylePr>
    <w:tblStylePr w:type="band1Vert">
      <w:tblPr/>
      <w:tcPr>
        <w:shd w:val="clear" w:color="auto" w:fill="ACACAC" w:themeFill="text1" w:themeFillTint="66"/>
      </w:tcPr>
    </w:tblStylePr>
    <w:tblStylePr w:type="band1Horz">
      <w:tblPr/>
      <w:tcPr>
        <w:shd w:val="clear" w:color="auto" w:fill="979797" w:themeFill="text1" w:themeFillTint="7F"/>
      </w:tcPr>
    </w:tblStylePr>
    <w:tblStylePr w:type="neCell">
      <w:rPr>
        <w:color w:val="303030" w:themeColor="text1"/>
      </w:rPr>
    </w:tblStylePr>
    <w:tblStylePr w:type="nwCell">
      <w:rPr>
        <w:color w:val="303030" w:themeColor="text1"/>
      </w:rPr>
    </w:tblStylePr>
  </w:style>
  <w:style w:type="table" w:styleId="ColourfulShadingAccent1">
    <w:name w:val="Colorful Shading Accent 1"/>
    <w:basedOn w:val="TableNormal"/>
    <w:uiPriority w:val="99"/>
    <w:semiHidden/>
    <w:unhideWhenUsed/>
    <w:rsid w:val="00911DE3"/>
    <w:pPr>
      <w:spacing w:line="240" w:lineRule="auto"/>
    </w:pPr>
    <w:rPr>
      <w:color w:val="303030" w:themeColor="text1"/>
    </w:rPr>
    <w:tblPr>
      <w:tblStyleRowBandSize w:val="1"/>
      <w:tblStyleColBandSize w:val="1"/>
      <w:tblBorders>
        <w:top w:val="single" w:color="86A9A6" w:themeColor="accent2" w:sz="24" w:space="0"/>
        <w:left w:val="single" w:color="C4D5D3" w:themeColor="accent1" w:sz="4" w:space="0"/>
        <w:bottom w:val="single" w:color="C4D5D3" w:themeColor="accent1" w:sz="4" w:space="0"/>
        <w:right w:val="single" w:color="C4D5D3" w:themeColor="accent1" w:sz="4" w:space="0"/>
        <w:insideH w:val="single" w:color="FFFFFF" w:themeColor="background1" w:sz="4" w:space="0"/>
        <w:insideV w:val="single" w:color="FFFFFF" w:themeColor="background1" w:sz="4" w:space="0"/>
      </w:tblBorders>
    </w:tblPr>
    <w:tcPr>
      <w:shd w:val="clear" w:color="auto" w:fill="F9FBFA" w:themeFill="accent1" w:themeFillTint="19"/>
    </w:tcPr>
    <w:tblStylePr w:type="firstRow">
      <w:rPr>
        <w:b/>
        <w:bCs/>
      </w:rPr>
      <w:tblPr/>
      <w:tcPr>
        <w:tcBorders>
          <w:top w:val="nil"/>
          <w:left w:val="nil"/>
          <w:bottom w:val="single" w:color="86A9A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68F8A" w:themeFill="accent1" w:themeFillShade="99"/>
      </w:tcPr>
    </w:tblStylePr>
    <w:tblStylePr w:type="firstCol">
      <w:rPr>
        <w:color w:val="FFFFFF" w:themeColor="background1"/>
      </w:rPr>
      <w:tblPr/>
      <w:tcPr>
        <w:tcBorders>
          <w:top w:val="nil"/>
          <w:left w:val="nil"/>
          <w:bottom w:val="nil"/>
          <w:right w:val="nil"/>
          <w:insideH w:val="single" w:color="668F8A" w:themeColor="accent1" w:themeShade="99" w:sz="4" w:space="0"/>
          <w:insideV w:val="nil"/>
        </w:tcBorders>
        <w:shd w:val="clear" w:color="auto" w:fill="668F8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68F8A" w:themeFill="accent1" w:themeFillShade="99"/>
      </w:tcPr>
    </w:tblStylePr>
    <w:tblStylePr w:type="band1Vert">
      <w:tblPr/>
      <w:tcPr>
        <w:shd w:val="clear" w:color="auto" w:fill="E7EEED" w:themeFill="accent1" w:themeFillTint="66"/>
      </w:tcPr>
    </w:tblStylePr>
    <w:tblStylePr w:type="band1Horz">
      <w:tblPr/>
      <w:tcPr>
        <w:shd w:val="clear" w:color="auto" w:fill="E1EAE9" w:themeFill="accent1" w:themeFillTint="7F"/>
      </w:tcPr>
    </w:tblStylePr>
    <w:tblStylePr w:type="neCell">
      <w:rPr>
        <w:color w:val="303030" w:themeColor="text1"/>
      </w:rPr>
    </w:tblStylePr>
    <w:tblStylePr w:type="nwCell">
      <w:rPr>
        <w:color w:val="303030" w:themeColor="text1"/>
      </w:rPr>
    </w:tblStylePr>
  </w:style>
  <w:style w:type="table" w:styleId="ColourfulShadingAccent2">
    <w:name w:val="Colorful Shading Accent 2"/>
    <w:basedOn w:val="TableNormal"/>
    <w:uiPriority w:val="99"/>
    <w:semiHidden/>
    <w:unhideWhenUsed/>
    <w:rsid w:val="00911DE3"/>
    <w:pPr>
      <w:spacing w:line="240" w:lineRule="auto"/>
    </w:pPr>
    <w:rPr>
      <w:color w:val="303030" w:themeColor="text1"/>
    </w:rPr>
    <w:tblPr>
      <w:tblStyleRowBandSize w:val="1"/>
      <w:tblStyleColBandSize w:val="1"/>
      <w:tblBorders>
        <w:top w:val="single" w:color="86A9A6" w:themeColor="accent2" w:sz="24" w:space="0"/>
        <w:left w:val="single" w:color="86A9A6" w:themeColor="accent2" w:sz="4" w:space="0"/>
        <w:bottom w:val="single" w:color="86A9A6" w:themeColor="accent2" w:sz="4" w:space="0"/>
        <w:right w:val="single" w:color="86A9A6" w:themeColor="accent2" w:sz="4" w:space="0"/>
        <w:insideH w:val="single" w:color="FFFFFF" w:themeColor="background1" w:sz="4" w:space="0"/>
        <w:insideV w:val="single" w:color="FFFFFF" w:themeColor="background1" w:sz="4" w:space="0"/>
      </w:tblBorders>
    </w:tblPr>
    <w:tcPr>
      <w:shd w:val="clear" w:color="auto" w:fill="F3F6F6" w:themeFill="accent2" w:themeFillTint="19"/>
    </w:tcPr>
    <w:tblStylePr w:type="firstRow">
      <w:rPr>
        <w:b/>
        <w:bCs/>
      </w:rPr>
      <w:tblPr/>
      <w:tcPr>
        <w:tcBorders>
          <w:top w:val="nil"/>
          <w:left w:val="nil"/>
          <w:bottom w:val="single" w:color="86A9A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B6A67" w:themeFill="accent2" w:themeFillShade="99"/>
      </w:tcPr>
    </w:tblStylePr>
    <w:tblStylePr w:type="firstCol">
      <w:rPr>
        <w:color w:val="FFFFFF" w:themeColor="background1"/>
      </w:rPr>
      <w:tblPr/>
      <w:tcPr>
        <w:tcBorders>
          <w:top w:val="nil"/>
          <w:left w:val="nil"/>
          <w:bottom w:val="nil"/>
          <w:right w:val="nil"/>
          <w:insideH w:val="single" w:color="4B6A67" w:themeColor="accent2" w:themeShade="99" w:sz="4" w:space="0"/>
          <w:insideV w:val="nil"/>
        </w:tcBorders>
        <w:shd w:val="clear" w:color="auto" w:fill="4B6A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6A67" w:themeFill="accent2" w:themeFillShade="99"/>
      </w:tcPr>
    </w:tblStylePr>
    <w:tblStylePr w:type="band1Vert">
      <w:tblPr/>
      <w:tcPr>
        <w:shd w:val="clear" w:color="auto" w:fill="CEDCDB" w:themeFill="accent2" w:themeFillTint="66"/>
      </w:tcPr>
    </w:tblStylePr>
    <w:tblStylePr w:type="band1Horz">
      <w:tblPr/>
      <w:tcPr>
        <w:shd w:val="clear" w:color="auto" w:fill="C2D4D2" w:themeFill="accent2" w:themeFillTint="7F"/>
      </w:tcPr>
    </w:tblStylePr>
    <w:tblStylePr w:type="neCell">
      <w:rPr>
        <w:color w:val="303030" w:themeColor="text1"/>
      </w:rPr>
    </w:tblStylePr>
    <w:tblStylePr w:type="nwCell">
      <w:rPr>
        <w:color w:val="303030" w:themeColor="text1"/>
      </w:rPr>
    </w:tblStylePr>
  </w:style>
  <w:style w:type="table" w:styleId="ColourfulShadingAccent3">
    <w:name w:val="Colorful Shading Accent 3"/>
    <w:basedOn w:val="TableNormal"/>
    <w:uiPriority w:val="99"/>
    <w:semiHidden/>
    <w:unhideWhenUsed/>
    <w:rsid w:val="00911DE3"/>
    <w:pPr>
      <w:spacing w:line="240" w:lineRule="auto"/>
    </w:pPr>
    <w:rPr>
      <w:color w:val="303030" w:themeColor="text1"/>
    </w:rPr>
    <w:tblPr>
      <w:tblStyleRowBandSize w:val="1"/>
      <w:tblStyleColBandSize w:val="1"/>
      <w:tblBorders>
        <w:top w:val="single" w:color="36706B" w:themeColor="accent4" w:sz="24" w:space="0"/>
        <w:left w:val="single" w:color="5E8D89" w:themeColor="accent3" w:sz="4" w:space="0"/>
        <w:bottom w:val="single" w:color="5E8D89" w:themeColor="accent3" w:sz="4" w:space="0"/>
        <w:right w:val="single" w:color="5E8D89" w:themeColor="accent3" w:sz="4" w:space="0"/>
        <w:insideH w:val="single" w:color="FFFFFF" w:themeColor="background1" w:sz="4" w:space="0"/>
        <w:insideV w:val="single" w:color="FFFFFF" w:themeColor="background1" w:sz="4" w:space="0"/>
      </w:tblBorders>
    </w:tblPr>
    <w:tcPr>
      <w:shd w:val="clear" w:color="auto" w:fill="EEF4F3" w:themeFill="accent3" w:themeFillTint="19"/>
    </w:tcPr>
    <w:tblStylePr w:type="firstRow">
      <w:rPr>
        <w:b/>
        <w:bCs/>
      </w:rPr>
      <w:tblPr/>
      <w:tcPr>
        <w:tcBorders>
          <w:top w:val="nil"/>
          <w:left w:val="nil"/>
          <w:bottom w:val="single" w:color="36706B"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85452" w:themeFill="accent3" w:themeFillShade="99"/>
      </w:tcPr>
    </w:tblStylePr>
    <w:tblStylePr w:type="firstCol">
      <w:rPr>
        <w:color w:val="FFFFFF" w:themeColor="background1"/>
      </w:rPr>
      <w:tblPr/>
      <w:tcPr>
        <w:tcBorders>
          <w:top w:val="nil"/>
          <w:left w:val="nil"/>
          <w:bottom w:val="nil"/>
          <w:right w:val="nil"/>
          <w:insideH w:val="single" w:color="385452" w:themeColor="accent3" w:themeShade="99" w:sz="4" w:space="0"/>
          <w:insideV w:val="nil"/>
        </w:tcBorders>
        <w:shd w:val="clear" w:color="auto" w:fill="38545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85452" w:themeFill="accent3" w:themeFillShade="99"/>
      </w:tcPr>
    </w:tblStylePr>
    <w:tblStylePr w:type="band1Vert">
      <w:tblPr/>
      <w:tcPr>
        <w:shd w:val="clear" w:color="auto" w:fill="BDD3D1" w:themeFill="accent3" w:themeFillTint="66"/>
      </w:tcPr>
    </w:tblStylePr>
    <w:tblStylePr w:type="band1Horz">
      <w:tblPr/>
      <w:tcPr>
        <w:shd w:val="clear" w:color="auto" w:fill="ACC8C5" w:themeFill="accent3" w:themeFillTint="7F"/>
      </w:tcPr>
    </w:tblStylePr>
  </w:style>
  <w:style w:type="table" w:styleId="ColourfulShadingAccent4">
    <w:name w:val="Colorful Shading Accent 4"/>
    <w:basedOn w:val="TableNormal"/>
    <w:uiPriority w:val="99"/>
    <w:semiHidden/>
    <w:unhideWhenUsed/>
    <w:rsid w:val="00911DE3"/>
    <w:pPr>
      <w:spacing w:line="240" w:lineRule="auto"/>
    </w:pPr>
    <w:rPr>
      <w:color w:val="303030" w:themeColor="text1"/>
    </w:rPr>
    <w:tblPr>
      <w:tblStyleRowBandSize w:val="1"/>
      <w:tblStyleColBandSize w:val="1"/>
      <w:tblBorders>
        <w:top w:val="single" w:color="5E8D89" w:themeColor="accent3" w:sz="24" w:space="0"/>
        <w:left w:val="single" w:color="36706B" w:themeColor="accent4" w:sz="4" w:space="0"/>
        <w:bottom w:val="single" w:color="36706B" w:themeColor="accent4" w:sz="4" w:space="0"/>
        <w:right w:val="single" w:color="36706B" w:themeColor="accent4" w:sz="4" w:space="0"/>
        <w:insideH w:val="single" w:color="FFFFFF" w:themeColor="background1" w:sz="4" w:space="0"/>
        <w:insideV w:val="single" w:color="FFFFFF" w:themeColor="background1" w:sz="4" w:space="0"/>
      </w:tblBorders>
    </w:tblPr>
    <w:tcPr>
      <w:shd w:val="clear" w:color="auto" w:fill="E8F4F2" w:themeFill="accent4" w:themeFillTint="19"/>
    </w:tcPr>
    <w:tblStylePr w:type="firstRow">
      <w:rPr>
        <w:b/>
        <w:bCs/>
      </w:rPr>
      <w:tblPr/>
      <w:tcPr>
        <w:tcBorders>
          <w:top w:val="nil"/>
          <w:left w:val="nil"/>
          <w:bottom w:val="single" w:color="5E8D8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04340" w:themeFill="accent4" w:themeFillShade="99"/>
      </w:tcPr>
    </w:tblStylePr>
    <w:tblStylePr w:type="firstCol">
      <w:rPr>
        <w:color w:val="FFFFFF" w:themeColor="background1"/>
      </w:rPr>
      <w:tblPr/>
      <w:tcPr>
        <w:tcBorders>
          <w:top w:val="nil"/>
          <w:left w:val="nil"/>
          <w:bottom w:val="nil"/>
          <w:right w:val="nil"/>
          <w:insideH w:val="single" w:color="204340" w:themeColor="accent4" w:themeShade="99" w:sz="4" w:space="0"/>
          <w:insideV w:val="nil"/>
        </w:tcBorders>
        <w:shd w:val="clear" w:color="auto" w:fill="20434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04340" w:themeFill="accent4" w:themeFillShade="99"/>
      </w:tcPr>
    </w:tblStylePr>
    <w:tblStylePr w:type="band1Vert">
      <w:tblPr/>
      <w:tcPr>
        <w:shd w:val="clear" w:color="auto" w:fill="A2D2CE" w:themeFill="accent4" w:themeFillTint="66"/>
      </w:tcPr>
    </w:tblStylePr>
    <w:tblStylePr w:type="band1Horz">
      <w:tblPr/>
      <w:tcPr>
        <w:shd w:val="clear" w:color="auto" w:fill="8BC7C2" w:themeFill="accent4" w:themeFillTint="7F"/>
      </w:tcPr>
    </w:tblStylePr>
    <w:tblStylePr w:type="neCell">
      <w:rPr>
        <w:color w:val="303030" w:themeColor="text1"/>
      </w:rPr>
    </w:tblStylePr>
    <w:tblStylePr w:type="nwCell">
      <w:rPr>
        <w:color w:val="303030" w:themeColor="text1"/>
      </w:rPr>
    </w:tblStylePr>
  </w:style>
  <w:style w:type="table" w:styleId="ColourfulShadingAccent5">
    <w:name w:val="Colorful Shading Accent 5"/>
    <w:basedOn w:val="TableNormal"/>
    <w:uiPriority w:val="99"/>
    <w:semiHidden/>
    <w:unhideWhenUsed/>
    <w:rsid w:val="00911DE3"/>
    <w:pPr>
      <w:spacing w:line="240" w:lineRule="auto"/>
    </w:pPr>
    <w:rPr>
      <w:color w:val="303030" w:themeColor="text1"/>
    </w:rPr>
    <w:tblPr>
      <w:tblStyleRowBandSize w:val="1"/>
      <w:tblStyleColBandSize w:val="1"/>
      <w:tblBorders>
        <w:top w:val="single" w:color="5EC1A0" w:themeColor="accent6" w:sz="24" w:space="0"/>
        <w:left w:val="single" w:color="2B5A56" w:themeColor="accent5" w:sz="4" w:space="0"/>
        <w:bottom w:val="single" w:color="2B5A56" w:themeColor="accent5" w:sz="4" w:space="0"/>
        <w:right w:val="single" w:color="2B5A56" w:themeColor="accent5" w:sz="4" w:space="0"/>
        <w:insideH w:val="single" w:color="FFFFFF" w:themeColor="background1" w:sz="4" w:space="0"/>
        <w:insideV w:val="single" w:color="FFFFFF" w:themeColor="background1" w:sz="4" w:space="0"/>
      </w:tblBorders>
    </w:tblPr>
    <w:tcPr>
      <w:shd w:val="clear" w:color="auto" w:fill="E5F3F2" w:themeFill="accent5" w:themeFillTint="19"/>
    </w:tcPr>
    <w:tblStylePr w:type="firstRow">
      <w:rPr>
        <w:b/>
        <w:bCs/>
      </w:rPr>
      <w:tblPr/>
      <w:tcPr>
        <w:tcBorders>
          <w:top w:val="nil"/>
          <w:left w:val="nil"/>
          <w:bottom w:val="single" w:color="5EC1A0"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93533" w:themeFill="accent5" w:themeFillShade="99"/>
      </w:tcPr>
    </w:tblStylePr>
    <w:tblStylePr w:type="firstCol">
      <w:rPr>
        <w:color w:val="FFFFFF" w:themeColor="background1"/>
      </w:rPr>
      <w:tblPr/>
      <w:tcPr>
        <w:tcBorders>
          <w:top w:val="nil"/>
          <w:left w:val="nil"/>
          <w:bottom w:val="nil"/>
          <w:right w:val="nil"/>
          <w:insideH w:val="single" w:color="193533" w:themeColor="accent5" w:themeShade="99" w:sz="4" w:space="0"/>
          <w:insideV w:val="nil"/>
        </w:tcBorders>
        <w:shd w:val="clear" w:color="auto" w:fill="1935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533" w:themeFill="accent5" w:themeFillShade="99"/>
      </w:tcPr>
    </w:tblStylePr>
    <w:tblStylePr w:type="band1Vert">
      <w:tblPr/>
      <w:tcPr>
        <w:shd w:val="clear" w:color="auto" w:fill="98CEC9" w:themeFill="accent5" w:themeFillTint="66"/>
      </w:tcPr>
    </w:tblStylePr>
    <w:tblStylePr w:type="band1Horz">
      <w:tblPr/>
      <w:tcPr>
        <w:shd w:val="clear" w:color="auto" w:fill="7FC2BC" w:themeFill="accent5" w:themeFillTint="7F"/>
      </w:tcPr>
    </w:tblStylePr>
    <w:tblStylePr w:type="neCell">
      <w:rPr>
        <w:color w:val="303030" w:themeColor="text1"/>
      </w:rPr>
    </w:tblStylePr>
    <w:tblStylePr w:type="nwCell">
      <w:rPr>
        <w:color w:val="303030" w:themeColor="text1"/>
      </w:rPr>
    </w:tblStylePr>
  </w:style>
  <w:style w:type="table" w:styleId="ColourfulShadingAccent6">
    <w:name w:val="Colorful Shading Accent 6"/>
    <w:basedOn w:val="TableNormal"/>
    <w:uiPriority w:val="99"/>
    <w:semiHidden/>
    <w:unhideWhenUsed/>
    <w:rsid w:val="00911DE3"/>
    <w:pPr>
      <w:spacing w:line="240" w:lineRule="auto"/>
    </w:pPr>
    <w:rPr>
      <w:color w:val="303030" w:themeColor="text1"/>
    </w:rPr>
    <w:tblPr>
      <w:tblStyleRowBandSize w:val="1"/>
      <w:tblStyleColBandSize w:val="1"/>
      <w:tblBorders>
        <w:top w:val="single" w:color="2B5A56" w:themeColor="accent5" w:sz="24" w:space="0"/>
        <w:left w:val="single" w:color="5EC1A0" w:themeColor="accent6" w:sz="4" w:space="0"/>
        <w:bottom w:val="single" w:color="5EC1A0" w:themeColor="accent6" w:sz="4" w:space="0"/>
        <w:right w:val="single" w:color="5EC1A0" w:themeColor="accent6" w:sz="4" w:space="0"/>
        <w:insideH w:val="single" w:color="FFFFFF" w:themeColor="background1" w:sz="4" w:space="0"/>
        <w:insideV w:val="single" w:color="FFFFFF" w:themeColor="background1" w:sz="4" w:space="0"/>
      </w:tblBorders>
    </w:tblPr>
    <w:tcPr>
      <w:shd w:val="clear" w:color="auto" w:fill="EFF9F5" w:themeFill="accent6" w:themeFillTint="19"/>
    </w:tcPr>
    <w:tblStylePr w:type="firstRow">
      <w:rPr>
        <w:b/>
        <w:bCs/>
      </w:rPr>
      <w:tblPr/>
      <w:tcPr>
        <w:tcBorders>
          <w:top w:val="nil"/>
          <w:left w:val="nil"/>
          <w:bottom w:val="single" w:color="2B5A5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07C62" w:themeFill="accent6" w:themeFillShade="99"/>
      </w:tcPr>
    </w:tblStylePr>
    <w:tblStylePr w:type="firstCol">
      <w:rPr>
        <w:color w:val="FFFFFF" w:themeColor="background1"/>
      </w:rPr>
      <w:tblPr/>
      <w:tcPr>
        <w:tcBorders>
          <w:top w:val="nil"/>
          <w:left w:val="nil"/>
          <w:bottom w:val="nil"/>
          <w:right w:val="nil"/>
          <w:insideH w:val="single" w:color="307C62" w:themeColor="accent6" w:themeShade="99" w:sz="4" w:space="0"/>
          <w:insideV w:val="nil"/>
        </w:tcBorders>
        <w:shd w:val="clear" w:color="auto" w:fill="307C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7C62" w:themeFill="accent6" w:themeFillShade="99"/>
      </w:tcPr>
    </w:tblStylePr>
    <w:tblStylePr w:type="band1Vert">
      <w:tblPr/>
      <w:tcPr>
        <w:shd w:val="clear" w:color="auto" w:fill="BEE6D8" w:themeFill="accent6" w:themeFillTint="66"/>
      </w:tcPr>
    </w:tblStylePr>
    <w:tblStylePr w:type="band1Horz">
      <w:tblPr/>
      <w:tcPr>
        <w:shd w:val="clear" w:color="auto" w:fill="AEE0CF" w:themeFill="accent6" w:themeFillTint="7F"/>
      </w:tcPr>
    </w:tblStylePr>
    <w:tblStylePr w:type="neCell">
      <w:rPr>
        <w:color w:val="303030" w:themeColor="text1"/>
      </w:rPr>
    </w:tblStylePr>
    <w:tblStylePr w:type="nwCell">
      <w:rPr>
        <w:color w:val="303030" w:themeColor="text1"/>
      </w:rPr>
    </w:tblStylePr>
  </w:style>
  <w:style w:type="character" w:styleId="CommentReference">
    <w:name w:val="Comment Reference"/>
    <w:basedOn w:val="DefaultParagraphFont"/>
    <w:uiPriority w:val="99"/>
    <w:semiHidden/>
    <w:rsid w:val="00911DE3"/>
    <w:rPr>
      <w:sz w:val="16"/>
      <w:szCs w:val="16"/>
      <w:lang w:val="en-GB"/>
    </w:rPr>
  </w:style>
  <w:style w:type="paragraph" w:styleId="CommentText">
    <w:name w:val="Comment Text"/>
    <w:basedOn w:val="Normal"/>
    <w:link w:val="CommentTextChar"/>
    <w:uiPriority w:val="99"/>
    <w:rsid w:val="00911DE3"/>
    <w:pPr>
      <w:spacing w:after="0" w:line="240" w:lineRule="auto"/>
    </w:pPr>
  </w:style>
  <w:style w:type="character" w:styleId="CommentTextChar" w:customStyle="1">
    <w:name w:val="Comment Text Char"/>
    <w:basedOn w:val="DefaultParagraphFont"/>
    <w:link w:val="CommentText"/>
    <w:uiPriority w:val="99"/>
    <w:rsid w:val="00911DE3"/>
    <w:rPr>
      <w:lang w:val="en-GB"/>
    </w:rPr>
  </w:style>
  <w:style w:type="paragraph" w:styleId="CommentSubject">
    <w:name w:val="Comment Subject"/>
    <w:basedOn w:val="CommentText"/>
    <w:next w:val="CommentText"/>
    <w:link w:val="CommentSubjectChar"/>
    <w:uiPriority w:val="99"/>
    <w:semiHidden/>
    <w:rsid w:val="00911DE3"/>
    <w:rPr>
      <w:b/>
      <w:bCs/>
    </w:rPr>
  </w:style>
  <w:style w:type="character" w:styleId="CommentSubjectChar" w:customStyle="1">
    <w:name w:val="Comment Subject Char"/>
    <w:basedOn w:val="CommentTextChar"/>
    <w:link w:val="CommentSubject"/>
    <w:uiPriority w:val="99"/>
    <w:semiHidden/>
    <w:rsid w:val="00911DE3"/>
    <w:rPr>
      <w:b/>
      <w:bCs/>
      <w:lang w:val="en-GB"/>
    </w:rPr>
  </w:style>
  <w:style w:type="table" w:styleId="DarkList">
    <w:name w:val="Dark List"/>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303030" w:themeFill="text1"/>
    </w:tcPr>
    <w:tblStylePr w:type="firstRow">
      <w:rPr>
        <w:b/>
        <w:bCs/>
      </w:rPr>
      <w:tblPr/>
      <w:tcPr>
        <w:tcBorders>
          <w:top w:val="nil"/>
          <w:left w:val="nil"/>
          <w:bottom w:val="single" w:color="FFFFFF" w:themeColor="background1" w:sz="18" w:space="0"/>
          <w:right w:val="nil"/>
          <w:insideH w:val="nil"/>
          <w:insideV w:val="nil"/>
        </w:tcBorders>
        <w:shd w:val="clear" w:color="auto" w:fill="303030" w:themeFill="text1"/>
      </w:tcPr>
    </w:tblStylePr>
    <w:tblStylePr w:type="lastRow">
      <w:tblPr/>
      <w:tcPr>
        <w:tcBorders>
          <w:top w:val="single" w:color="FFFFFF" w:themeColor="background1" w:sz="18" w:space="0"/>
          <w:left w:val="nil"/>
          <w:bottom w:val="nil"/>
          <w:right w:val="nil"/>
          <w:insideH w:val="nil"/>
          <w:insideV w:val="nil"/>
        </w:tcBorders>
        <w:shd w:val="clear" w:color="auto" w:fill="171717"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232323"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232323" w:themeFill="text1" w:themeFillShade="BF"/>
      </w:tcPr>
    </w:tblStylePr>
    <w:tblStylePr w:type="band1Vert">
      <w:tblPr/>
      <w:tcPr>
        <w:tcBorders>
          <w:top w:val="nil"/>
          <w:left w:val="nil"/>
          <w:bottom w:val="nil"/>
          <w:right w:val="nil"/>
          <w:insideH w:val="nil"/>
          <w:insideV w:val="nil"/>
        </w:tcBorders>
        <w:shd w:val="clear" w:color="auto" w:fill="232323" w:themeFill="text1" w:themeFillShade="BF"/>
      </w:tcPr>
    </w:tblStylePr>
    <w:tblStylePr w:type="band1Horz">
      <w:tblPr/>
      <w:tcPr>
        <w:tcBorders>
          <w:top w:val="nil"/>
          <w:left w:val="nil"/>
          <w:bottom w:val="nil"/>
          <w:right w:val="nil"/>
          <w:insideH w:val="nil"/>
          <w:insideV w:val="nil"/>
        </w:tcBorders>
        <w:shd w:val="clear" w:color="auto" w:fill="232323" w:themeFill="text1" w:themeFillShade="BF"/>
      </w:tcPr>
    </w:tblStylePr>
  </w:style>
  <w:style w:type="table" w:styleId="DarkList-Accent1">
    <w:name w:val="Dark List Accent 1"/>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C4D5D3"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303030" w:themeFill="text1"/>
      </w:tcPr>
    </w:tblStylePr>
    <w:tblStylePr w:type="lastRow">
      <w:tblPr/>
      <w:tcPr>
        <w:tcBorders>
          <w:top w:val="single" w:color="FFFFFF" w:themeColor="background1" w:sz="18" w:space="0"/>
          <w:left w:val="nil"/>
          <w:bottom w:val="nil"/>
          <w:right w:val="nil"/>
          <w:insideH w:val="nil"/>
          <w:insideV w:val="nil"/>
        </w:tcBorders>
        <w:shd w:val="clear" w:color="auto" w:fill="547672"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88AAA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88AAA6" w:themeFill="accent1" w:themeFillShade="BF"/>
      </w:tcPr>
    </w:tblStylePr>
    <w:tblStylePr w:type="band1Vert">
      <w:tblPr/>
      <w:tcPr>
        <w:tcBorders>
          <w:top w:val="nil"/>
          <w:left w:val="nil"/>
          <w:bottom w:val="nil"/>
          <w:right w:val="nil"/>
          <w:insideH w:val="nil"/>
          <w:insideV w:val="nil"/>
        </w:tcBorders>
        <w:shd w:val="clear" w:color="auto" w:fill="88AAA6" w:themeFill="accent1" w:themeFillShade="BF"/>
      </w:tcPr>
    </w:tblStylePr>
    <w:tblStylePr w:type="band1Horz">
      <w:tblPr/>
      <w:tcPr>
        <w:tcBorders>
          <w:top w:val="nil"/>
          <w:left w:val="nil"/>
          <w:bottom w:val="nil"/>
          <w:right w:val="nil"/>
          <w:insideH w:val="nil"/>
          <w:insideV w:val="nil"/>
        </w:tcBorders>
        <w:shd w:val="clear" w:color="auto" w:fill="88AAA6" w:themeFill="accent1" w:themeFillShade="BF"/>
      </w:tcPr>
    </w:tblStylePr>
  </w:style>
  <w:style w:type="table" w:styleId="DarkList-Accent2">
    <w:name w:val="Dark List Accent 2"/>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86A9A6"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303030" w:themeFill="text1"/>
      </w:tcPr>
    </w:tblStylePr>
    <w:tblStylePr w:type="lastRow">
      <w:tblPr/>
      <w:tcPr>
        <w:tcBorders>
          <w:top w:val="single" w:color="FFFFFF" w:themeColor="background1" w:sz="18" w:space="0"/>
          <w:left w:val="nil"/>
          <w:bottom w:val="nil"/>
          <w:right w:val="nil"/>
          <w:insideH w:val="nil"/>
          <w:insideV w:val="nil"/>
        </w:tcBorders>
        <w:shd w:val="clear" w:color="auto" w:fill="3E5855"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5E848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5E8481" w:themeFill="accent2" w:themeFillShade="BF"/>
      </w:tcPr>
    </w:tblStylePr>
    <w:tblStylePr w:type="band1Vert">
      <w:tblPr/>
      <w:tcPr>
        <w:tcBorders>
          <w:top w:val="nil"/>
          <w:left w:val="nil"/>
          <w:bottom w:val="nil"/>
          <w:right w:val="nil"/>
          <w:insideH w:val="nil"/>
          <w:insideV w:val="nil"/>
        </w:tcBorders>
        <w:shd w:val="clear" w:color="auto" w:fill="5E8481" w:themeFill="accent2" w:themeFillShade="BF"/>
      </w:tcPr>
    </w:tblStylePr>
    <w:tblStylePr w:type="band1Horz">
      <w:tblPr/>
      <w:tcPr>
        <w:tcBorders>
          <w:top w:val="nil"/>
          <w:left w:val="nil"/>
          <w:bottom w:val="nil"/>
          <w:right w:val="nil"/>
          <w:insideH w:val="nil"/>
          <w:insideV w:val="nil"/>
        </w:tcBorders>
        <w:shd w:val="clear" w:color="auto" w:fill="5E8481" w:themeFill="accent2" w:themeFillShade="BF"/>
      </w:tcPr>
    </w:tblStylePr>
  </w:style>
  <w:style w:type="table" w:styleId="DarkList-Accent3">
    <w:name w:val="Dark List Accent 3"/>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5E8D8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303030" w:themeFill="text1"/>
      </w:tcPr>
    </w:tblStylePr>
    <w:tblStylePr w:type="lastRow">
      <w:tblPr/>
      <w:tcPr>
        <w:tcBorders>
          <w:top w:val="single" w:color="FFFFFF" w:themeColor="background1" w:sz="18" w:space="0"/>
          <w:left w:val="nil"/>
          <w:bottom w:val="nil"/>
          <w:right w:val="nil"/>
          <w:insideH w:val="nil"/>
          <w:insideV w:val="nil"/>
        </w:tcBorders>
        <w:shd w:val="clear" w:color="auto" w:fill="2E4644"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466966"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466966" w:themeFill="accent3" w:themeFillShade="BF"/>
      </w:tcPr>
    </w:tblStylePr>
    <w:tblStylePr w:type="band1Vert">
      <w:tblPr/>
      <w:tcPr>
        <w:tcBorders>
          <w:top w:val="nil"/>
          <w:left w:val="nil"/>
          <w:bottom w:val="nil"/>
          <w:right w:val="nil"/>
          <w:insideH w:val="nil"/>
          <w:insideV w:val="nil"/>
        </w:tcBorders>
        <w:shd w:val="clear" w:color="auto" w:fill="466966" w:themeFill="accent3" w:themeFillShade="BF"/>
      </w:tcPr>
    </w:tblStylePr>
    <w:tblStylePr w:type="band1Horz">
      <w:tblPr/>
      <w:tcPr>
        <w:tcBorders>
          <w:top w:val="nil"/>
          <w:left w:val="nil"/>
          <w:bottom w:val="nil"/>
          <w:right w:val="nil"/>
          <w:insideH w:val="nil"/>
          <w:insideV w:val="nil"/>
        </w:tcBorders>
        <w:shd w:val="clear" w:color="auto" w:fill="466966" w:themeFill="accent3" w:themeFillShade="BF"/>
      </w:tcPr>
    </w:tblStylePr>
  </w:style>
  <w:style w:type="table" w:styleId="DarkList-Accent4">
    <w:name w:val="Dark List Accent 4"/>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36706B"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303030" w:themeFill="text1"/>
      </w:tcPr>
    </w:tblStylePr>
    <w:tblStylePr w:type="lastRow">
      <w:tblPr/>
      <w:tcPr>
        <w:tcBorders>
          <w:top w:val="single" w:color="FFFFFF" w:themeColor="background1" w:sz="18" w:space="0"/>
          <w:left w:val="nil"/>
          <w:bottom w:val="nil"/>
          <w:right w:val="nil"/>
          <w:insideH w:val="nil"/>
          <w:insideV w:val="nil"/>
        </w:tcBorders>
        <w:shd w:val="clear" w:color="auto" w:fill="1B3735"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28535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285350" w:themeFill="accent4" w:themeFillShade="BF"/>
      </w:tcPr>
    </w:tblStylePr>
    <w:tblStylePr w:type="band1Vert">
      <w:tblPr/>
      <w:tcPr>
        <w:tcBorders>
          <w:top w:val="nil"/>
          <w:left w:val="nil"/>
          <w:bottom w:val="nil"/>
          <w:right w:val="nil"/>
          <w:insideH w:val="nil"/>
          <w:insideV w:val="nil"/>
        </w:tcBorders>
        <w:shd w:val="clear" w:color="auto" w:fill="285350" w:themeFill="accent4" w:themeFillShade="BF"/>
      </w:tcPr>
    </w:tblStylePr>
    <w:tblStylePr w:type="band1Horz">
      <w:tblPr/>
      <w:tcPr>
        <w:tcBorders>
          <w:top w:val="nil"/>
          <w:left w:val="nil"/>
          <w:bottom w:val="nil"/>
          <w:right w:val="nil"/>
          <w:insideH w:val="nil"/>
          <w:insideV w:val="nil"/>
        </w:tcBorders>
        <w:shd w:val="clear" w:color="auto" w:fill="285350" w:themeFill="accent4" w:themeFillShade="BF"/>
      </w:tcPr>
    </w:tblStylePr>
  </w:style>
  <w:style w:type="table" w:styleId="DarkList-Accent5">
    <w:name w:val="Dark List Accent 5"/>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2B5A5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303030" w:themeFill="text1"/>
      </w:tcPr>
    </w:tblStylePr>
    <w:tblStylePr w:type="lastRow">
      <w:tblPr/>
      <w:tcPr>
        <w:tcBorders>
          <w:top w:val="single" w:color="FFFFFF" w:themeColor="background1" w:sz="18" w:space="0"/>
          <w:left w:val="nil"/>
          <w:bottom w:val="nil"/>
          <w:right w:val="nil"/>
          <w:insideH w:val="nil"/>
          <w:insideV w:val="nil"/>
        </w:tcBorders>
        <w:shd w:val="clear" w:color="auto" w:fill="152C2A"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04340"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04340" w:themeFill="accent5" w:themeFillShade="BF"/>
      </w:tcPr>
    </w:tblStylePr>
    <w:tblStylePr w:type="band1Vert">
      <w:tblPr/>
      <w:tcPr>
        <w:tcBorders>
          <w:top w:val="nil"/>
          <w:left w:val="nil"/>
          <w:bottom w:val="nil"/>
          <w:right w:val="nil"/>
          <w:insideH w:val="nil"/>
          <w:insideV w:val="nil"/>
        </w:tcBorders>
        <w:shd w:val="clear" w:color="auto" w:fill="204340" w:themeFill="accent5" w:themeFillShade="BF"/>
      </w:tcPr>
    </w:tblStylePr>
    <w:tblStylePr w:type="band1Horz">
      <w:tblPr/>
      <w:tcPr>
        <w:tcBorders>
          <w:top w:val="nil"/>
          <w:left w:val="nil"/>
          <w:bottom w:val="nil"/>
          <w:right w:val="nil"/>
          <w:insideH w:val="nil"/>
          <w:insideV w:val="nil"/>
        </w:tcBorders>
        <w:shd w:val="clear" w:color="auto" w:fill="204340" w:themeFill="accent5" w:themeFillShade="BF"/>
      </w:tcPr>
    </w:tblStylePr>
  </w:style>
  <w:style w:type="table" w:styleId="DarkList-Accent6">
    <w:name w:val="Dark List Accent 6"/>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5EC1A0"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303030" w:themeFill="text1"/>
      </w:tcPr>
    </w:tblStylePr>
    <w:tblStylePr w:type="lastRow">
      <w:tblPr/>
      <w:tcPr>
        <w:tcBorders>
          <w:top w:val="single" w:color="FFFFFF" w:themeColor="background1" w:sz="18" w:space="0"/>
          <w:left w:val="nil"/>
          <w:bottom w:val="nil"/>
          <w:right w:val="nil"/>
          <w:insideH w:val="nil"/>
          <w:insideV w:val="nil"/>
        </w:tcBorders>
        <w:shd w:val="clear" w:color="auto" w:fill="276651"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3B9A7B"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3B9A7B" w:themeFill="accent6" w:themeFillShade="BF"/>
      </w:tcPr>
    </w:tblStylePr>
    <w:tblStylePr w:type="band1Vert">
      <w:tblPr/>
      <w:tcPr>
        <w:tcBorders>
          <w:top w:val="nil"/>
          <w:left w:val="nil"/>
          <w:bottom w:val="nil"/>
          <w:right w:val="nil"/>
          <w:insideH w:val="nil"/>
          <w:insideV w:val="nil"/>
        </w:tcBorders>
        <w:shd w:val="clear" w:color="auto" w:fill="3B9A7B" w:themeFill="accent6" w:themeFillShade="BF"/>
      </w:tcPr>
    </w:tblStylePr>
    <w:tblStylePr w:type="band1Horz">
      <w:tblPr/>
      <w:tcPr>
        <w:tcBorders>
          <w:top w:val="nil"/>
          <w:left w:val="nil"/>
          <w:bottom w:val="nil"/>
          <w:right w:val="nil"/>
          <w:insideH w:val="nil"/>
          <w:insideV w:val="nil"/>
        </w:tcBorders>
        <w:shd w:val="clear" w:color="auto" w:fill="3B9A7B" w:themeFill="accent6" w:themeFillShade="BF"/>
      </w:tcPr>
    </w:tblStylePr>
  </w:style>
  <w:style w:type="paragraph" w:styleId="Date">
    <w:name w:val="Date"/>
    <w:basedOn w:val="Normal"/>
    <w:next w:val="Normal"/>
    <w:link w:val="DateChar"/>
    <w:uiPriority w:val="99"/>
    <w:semiHidden/>
    <w:rsid w:val="00911DE3"/>
    <w:pPr>
      <w:spacing w:after="0"/>
    </w:pPr>
  </w:style>
  <w:style w:type="character" w:styleId="DateChar" w:customStyle="1">
    <w:name w:val="Date Char"/>
    <w:basedOn w:val="DefaultParagraphFont"/>
    <w:link w:val="Date"/>
    <w:uiPriority w:val="99"/>
    <w:semiHidden/>
    <w:rsid w:val="00911DE3"/>
    <w:rPr>
      <w:lang w:val="en-GB"/>
    </w:rPr>
  </w:style>
  <w:style w:type="paragraph" w:styleId="DocumentMap">
    <w:name w:val="Document Map"/>
    <w:basedOn w:val="Normal"/>
    <w:link w:val="DocumentMapChar"/>
    <w:uiPriority w:val="99"/>
    <w:semiHidden/>
    <w:rsid w:val="00911DE3"/>
    <w:pPr>
      <w:spacing w:after="0" w:line="240" w:lineRule="auto"/>
    </w:pPr>
    <w:rPr>
      <w:rFonts w:cs="Arial"/>
      <w:sz w:val="16"/>
      <w:szCs w:val="16"/>
    </w:rPr>
  </w:style>
  <w:style w:type="character" w:styleId="DocumentMapChar" w:customStyle="1">
    <w:name w:val="Document Map Char"/>
    <w:basedOn w:val="DefaultParagraphFont"/>
    <w:link w:val="DocumentMap"/>
    <w:uiPriority w:val="99"/>
    <w:semiHidden/>
    <w:rsid w:val="00911DE3"/>
    <w:rPr>
      <w:rFonts w:cs="Arial"/>
      <w:sz w:val="16"/>
      <w:szCs w:val="16"/>
      <w:lang w:val="en-GB"/>
    </w:rPr>
  </w:style>
  <w:style w:type="paragraph" w:styleId="EmailSignature">
    <w:name w:val="E-mail Signature"/>
    <w:basedOn w:val="Normal"/>
    <w:link w:val="EmailSignatureChar"/>
    <w:uiPriority w:val="99"/>
    <w:semiHidden/>
    <w:rsid w:val="00911DE3"/>
    <w:pPr>
      <w:spacing w:after="0" w:line="240" w:lineRule="auto"/>
    </w:pPr>
  </w:style>
  <w:style w:type="character" w:styleId="EmailSignatureChar" w:customStyle="1">
    <w:name w:val="Email Signature Char"/>
    <w:basedOn w:val="DefaultParagraphFont"/>
    <w:link w:val="EmailSignature"/>
    <w:uiPriority w:val="99"/>
    <w:semiHidden/>
    <w:rsid w:val="00911DE3"/>
    <w:rPr>
      <w:lang w:val="en-GB"/>
    </w:rPr>
  </w:style>
  <w:style w:type="character" w:styleId="Emphasis">
    <w:name w:val="Emphasis"/>
    <w:basedOn w:val="DefaultParagraphFont"/>
    <w:uiPriority w:val="8"/>
    <w:semiHidden/>
    <w:rsid w:val="001C49EE"/>
    <w:rPr>
      <w:i/>
      <w:iCs/>
      <w:lang w:val="en-GB"/>
    </w:rPr>
  </w:style>
  <w:style w:type="character" w:styleId="EndnoteReference">
    <w:name w:val="endnote reference"/>
    <w:basedOn w:val="DefaultParagraphFont"/>
    <w:uiPriority w:val="13"/>
    <w:semiHidden/>
    <w:rsid w:val="00911DE3"/>
    <w:rPr>
      <w:vertAlign w:val="superscript"/>
      <w:lang w:val="en-GB"/>
    </w:rPr>
  </w:style>
  <w:style w:type="paragraph" w:styleId="EndnoteText">
    <w:name w:val="endnote text"/>
    <w:basedOn w:val="Normal"/>
    <w:link w:val="EndnoteTextChar"/>
    <w:uiPriority w:val="13"/>
    <w:semiHidden/>
    <w:qFormat/>
    <w:rsid w:val="00901321"/>
    <w:pPr>
      <w:spacing w:after="0" w:line="240" w:lineRule="auto"/>
      <w:ind w:left="113" w:hanging="113"/>
    </w:pPr>
  </w:style>
  <w:style w:type="character" w:styleId="EndnoteTextChar" w:customStyle="1">
    <w:name w:val="Endnote Text Char"/>
    <w:basedOn w:val="DefaultParagraphFont"/>
    <w:link w:val="EndnoteText"/>
    <w:uiPriority w:val="13"/>
    <w:semiHidden/>
    <w:rsid w:val="00901321"/>
    <w:rPr>
      <w:lang w:val="en-GB"/>
    </w:rPr>
  </w:style>
  <w:style w:type="paragraph" w:styleId="EnvelopeAddress">
    <w:name w:val="envelope address"/>
    <w:basedOn w:val="Normal"/>
    <w:uiPriority w:val="99"/>
    <w:semiHidden/>
    <w:rsid w:val="00911DE3"/>
    <w:pPr>
      <w:framePr w:w="7920" w:h="1980" w:hSpace="141" w:wrap="auto" w:hAnchor="page" w:xAlign="center" w:yAlign="bottom" w:hRule="exact"/>
      <w:spacing w:after="0" w:line="240" w:lineRule="auto"/>
      <w:ind w:left="2880"/>
    </w:pPr>
    <w:rPr>
      <w:rFonts w:cs="Arial" w:eastAsiaTheme="majorEastAsia"/>
      <w:sz w:val="24"/>
      <w:szCs w:val="24"/>
    </w:rPr>
  </w:style>
  <w:style w:type="paragraph" w:styleId="EnvelopeReturn">
    <w:name w:val="envelope return"/>
    <w:basedOn w:val="Normal"/>
    <w:uiPriority w:val="99"/>
    <w:semiHidden/>
    <w:rsid w:val="00911DE3"/>
    <w:pPr>
      <w:spacing w:after="0" w:line="240" w:lineRule="auto"/>
    </w:pPr>
    <w:rPr>
      <w:rFonts w:cs="Arial" w:eastAsiaTheme="majorEastAsia"/>
    </w:rPr>
  </w:style>
  <w:style w:type="character" w:styleId="FollowedHyperlink">
    <w:name w:val="FollowedHyperlink"/>
    <w:basedOn w:val="DefaultParagraphFont"/>
    <w:uiPriority w:val="14"/>
    <w:semiHidden/>
    <w:rsid w:val="00911DE3"/>
    <w:rPr>
      <w:color w:val="800080" w:themeColor="followedHyperlink"/>
      <w:u w:val="single"/>
      <w:lang w:val="en-GB"/>
    </w:rPr>
  </w:style>
  <w:style w:type="paragraph" w:styleId="Footer">
    <w:name w:val="footer"/>
    <w:basedOn w:val="Normal"/>
    <w:link w:val="FooterChar"/>
    <w:uiPriority w:val="99"/>
    <w:rsid w:val="00AF0AE8"/>
    <w:pPr>
      <w:spacing w:after="0" w:line="200" w:lineRule="atLeast"/>
    </w:pPr>
    <w:rPr>
      <w:color w:val="636466"/>
      <w:sz w:val="16"/>
    </w:rPr>
  </w:style>
  <w:style w:type="character" w:styleId="FooterChar" w:customStyle="1">
    <w:name w:val="Footer Char"/>
    <w:basedOn w:val="DefaultParagraphFont"/>
    <w:link w:val="Footer"/>
    <w:uiPriority w:val="99"/>
    <w:rsid w:val="00AF0AE8"/>
    <w:rPr>
      <w:color w:val="636466"/>
      <w:sz w:val="16"/>
      <w:lang w:val="en-GB"/>
    </w:rPr>
  </w:style>
  <w:style w:type="character" w:styleId="FootnoteReference">
    <w:name w:val="footnote reference"/>
    <w:aliases w:val="ftref,16 Point,Superscript 6 Point,Знак сноски-FN,Normal + Font:9 Point,Superscript 3 Point Times,BVI fnr, BVI fnr,Footnote,Footnote Reference Number,Footnote Reference_LVL6,Footnote Reference_LVL61,Footnote Reference_LVL62,SUPERS,Ref"/>
    <w:basedOn w:val="DefaultParagraphFont"/>
    <w:link w:val="BVIfnrCharCar1CarChar"/>
    <w:uiPriority w:val="99"/>
    <w:qFormat/>
    <w:rsid w:val="00911DE3"/>
    <w:rPr>
      <w:vertAlign w:val="superscript"/>
      <w:lang w:val="en-GB"/>
    </w:rPr>
  </w:style>
  <w:style w:type="paragraph" w:styleId="FootnoteText">
    <w:name w:val="footnote text"/>
    <w:aliases w:val="fn,Footnote Text Char1 Char1,Footnote Text Char Char Char1,Footnote Text Char1 Char Char,Footnote Text Char Char Char Char,Footnote Text Char Char Char Char Char Char Char,Footnote Text1,Footnote Text1 Char,Footnote Text2,FOOTNOTES"/>
    <w:basedOn w:val="Normal"/>
    <w:link w:val="FootnoteTextChar"/>
    <w:uiPriority w:val="99"/>
    <w:qFormat/>
    <w:rsid w:val="00D1661C"/>
    <w:pPr>
      <w:spacing w:after="0" w:line="200" w:lineRule="atLeast"/>
      <w:ind w:left="113" w:hanging="113"/>
    </w:pPr>
    <w:rPr>
      <w:sz w:val="16"/>
    </w:rPr>
  </w:style>
  <w:style w:type="character" w:styleId="FootnoteTextChar" w:customStyle="1">
    <w:name w:val="Footnote Text Char"/>
    <w:aliases w:val="fn Char,Footnote Text Char1 Char1 Char,Footnote Text Char Char Char1 Char,Footnote Text Char1 Char Char Char,Footnote Text Char Char Char Char Char,Footnote Text Char Char Char Char Char Char Char Char,Footnote Text1 Char1"/>
    <w:basedOn w:val="DefaultParagraphFont"/>
    <w:link w:val="FootnoteText"/>
    <w:uiPriority w:val="99"/>
    <w:rsid w:val="00F1702B"/>
    <w:rPr>
      <w:sz w:val="16"/>
      <w:lang w:val="en-GB"/>
    </w:rPr>
  </w:style>
  <w:style w:type="table" w:styleId="GridTable1Light">
    <w:name w:val="Grid Table 1 Light"/>
    <w:basedOn w:val="TableNormal"/>
    <w:uiPriority w:val="46"/>
    <w:rsid w:val="00911DE3"/>
    <w:pPr>
      <w:spacing w:line="240" w:lineRule="auto"/>
    </w:pPr>
    <w:tblPr>
      <w:tblStyleRowBandSize w:val="1"/>
      <w:tblStyleColBandSize w:val="1"/>
      <w:tblBorders>
        <w:top w:val="single" w:color="ACACAC" w:themeColor="text1" w:themeTint="66" w:sz="4" w:space="0"/>
        <w:left w:val="single" w:color="ACACAC" w:themeColor="text1" w:themeTint="66" w:sz="4" w:space="0"/>
        <w:bottom w:val="single" w:color="ACACAC" w:themeColor="text1" w:themeTint="66" w:sz="4" w:space="0"/>
        <w:right w:val="single" w:color="ACACAC" w:themeColor="text1" w:themeTint="66" w:sz="4" w:space="0"/>
        <w:insideH w:val="single" w:color="ACACAC" w:themeColor="text1" w:themeTint="66" w:sz="4" w:space="0"/>
        <w:insideV w:val="single" w:color="ACACAC" w:themeColor="text1" w:themeTint="66" w:sz="4" w:space="0"/>
      </w:tblBorders>
    </w:tblPr>
    <w:tblStylePr w:type="firstRow">
      <w:rPr>
        <w:b/>
        <w:bCs/>
      </w:rPr>
      <w:tblPr/>
      <w:tcPr>
        <w:tcBorders>
          <w:bottom w:val="single" w:color="828282" w:themeColor="text1" w:themeTint="99" w:sz="12" w:space="0"/>
        </w:tcBorders>
      </w:tcPr>
    </w:tblStylePr>
    <w:tblStylePr w:type="lastRow">
      <w:rPr>
        <w:b/>
        <w:bCs/>
      </w:rPr>
      <w:tblPr/>
      <w:tcPr>
        <w:tcBorders>
          <w:top w:val="double" w:color="828282"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11DE3"/>
    <w:pPr>
      <w:spacing w:line="240" w:lineRule="auto"/>
    </w:pPr>
    <w:tblPr>
      <w:tblStyleRowBandSize w:val="1"/>
      <w:tblStyleColBandSize w:val="1"/>
      <w:tblBorders>
        <w:top w:val="single" w:color="E7EEED" w:themeColor="accent1" w:themeTint="66" w:sz="4" w:space="0"/>
        <w:left w:val="single" w:color="E7EEED" w:themeColor="accent1" w:themeTint="66" w:sz="4" w:space="0"/>
        <w:bottom w:val="single" w:color="E7EEED" w:themeColor="accent1" w:themeTint="66" w:sz="4" w:space="0"/>
        <w:right w:val="single" w:color="E7EEED" w:themeColor="accent1" w:themeTint="66" w:sz="4" w:space="0"/>
        <w:insideH w:val="single" w:color="E7EEED" w:themeColor="accent1" w:themeTint="66" w:sz="4" w:space="0"/>
        <w:insideV w:val="single" w:color="E7EEED" w:themeColor="accent1" w:themeTint="66" w:sz="4" w:space="0"/>
      </w:tblBorders>
    </w:tblPr>
    <w:tblStylePr w:type="firstRow">
      <w:rPr>
        <w:b/>
        <w:bCs/>
      </w:rPr>
      <w:tblPr/>
      <w:tcPr>
        <w:tcBorders>
          <w:bottom w:val="single" w:color="DBE5E4" w:themeColor="accent1" w:themeTint="99" w:sz="12" w:space="0"/>
        </w:tcBorders>
      </w:tcPr>
    </w:tblStylePr>
    <w:tblStylePr w:type="lastRow">
      <w:rPr>
        <w:b/>
        <w:bCs/>
      </w:rPr>
      <w:tblPr/>
      <w:tcPr>
        <w:tcBorders>
          <w:top w:val="double" w:color="DBE5E4"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11DE3"/>
    <w:pPr>
      <w:spacing w:line="240" w:lineRule="auto"/>
    </w:pPr>
    <w:tblPr>
      <w:tblStyleRowBandSize w:val="1"/>
      <w:tblStyleColBandSize w:val="1"/>
      <w:tblBorders>
        <w:top w:val="single" w:color="CEDCDB" w:themeColor="accent2" w:themeTint="66" w:sz="4" w:space="0"/>
        <w:left w:val="single" w:color="CEDCDB" w:themeColor="accent2" w:themeTint="66" w:sz="4" w:space="0"/>
        <w:bottom w:val="single" w:color="CEDCDB" w:themeColor="accent2" w:themeTint="66" w:sz="4" w:space="0"/>
        <w:right w:val="single" w:color="CEDCDB" w:themeColor="accent2" w:themeTint="66" w:sz="4" w:space="0"/>
        <w:insideH w:val="single" w:color="CEDCDB" w:themeColor="accent2" w:themeTint="66" w:sz="4" w:space="0"/>
        <w:insideV w:val="single" w:color="CEDCDB" w:themeColor="accent2" w:themeTint="66" w:sz="4" w:space="0"/>
      </w:tblBorders>
    </w:tblPr>
    <w:tblStylePr w:type="firstRow">
      <w:rPr>
        <w:b/>
        <w:bCs/>
      </w:rPr>
      <w:tblPr/>
      <w:tcPr>
        <w:tcBorders>
          <w:bottom w:val="single" w:color="B6CBC9" w:themeColor="accent2" w:themeTint="99" w:sz="12" w:space="0"/>
        </w:tcBorders>
      </w:tcPr>
    </w:tblStylePr>
    <w:tblStylePr w:type="lastRow">
      <w:rPr>
        <w:b/>
        <w:bCs/>
      </w:rPr>
      <w:tblPr/>
      <w:tcPr>
        <w:tcBorders>
          <w:top w:val="double" w:color="B6CBC9"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11DE3"/>
    <w:pPr>
      <w:spacing w:line="240" w:lineRule="auto"/>
    </w:pPr>
    <w:tblPr>
      <w:tblStyleRowBandSize w:val="1"/>
      <w:tblStyleColBandSize w:val="1"/>
      <w:tblBorders>
        <w:top w:val="single" w:color="BDD3D1" w:themeColor="accent3" w:themeTint="66" w:sz="4" w:space="0"/>
        <w:left w:val="single" w:color="BDD3D1" w:themeColor="accent3" w:themeTint="66" w:sz="4" w:space="0"/>
        <w:bottom w:val="single" w:color="BDD3D1" w:themeColor="accent3" w:themeTint="66" w:sz="4" w:space="0"/>
        <w:right w:val="single" w:color="BDD3D1" w:themeColor="accent3" w:themeTint="66" w:sz="4" w:space="0"/>
        <w:insideH w:val="single" w:color="BDD3D1" w:themeColor="accent3" w:themeTint="66" w:sz="4" w:space="0"/>
        <w:insideV w:val="single" w:color="BDD3D1" w:themeColor="accent3" w:themeTint="66" w:sz="4" w:space="0"/>
      </w:tblBorders>
    </w:tblPr>
    <w:tblStylePr w:type="firstRow">
      <w:rPr>
        <w:b/>
        <w:bCs/>
      </w:rPr>
      <w:tblPr/>
      <w:tcPr>
        <w:tcBorders>
          <w:bottom w:val="single" w:color="9CBDBA" w:themeColor="accent3" w:themeTint="99" w:sz="12" w:space="0"/>
        </w:tcBorders>
      </w:tcPr>
    </w:tblStylePr>
    <w:tblStylePr w:type="lastRow">
      <w:rPr>
        <w:b/>
        <w:bCs/>
      </w:rPr>
      <w:tblPr/>
      <w:tcPr>
        <w:tcBorders>
          <w:top w:val="double" w:color="9CBDBA"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11DE3"/>
    <w:pPr>
      <w:spacing w:line="240" w:lineRule="auto"/>
    </w:pPr>
    <w:tblPr>
      <w:tblStyleRowBandSize w:val="1"/>
      <w:tblStyleColBandSize w:val="1"/>
      <w:tblBorders>
        <w:top w:val="single" w:color="A2D2CE" w:themeColor="accent4" w:themeTint="66" w:sz="4" w:space="0"/>
        <w:left w:val="single" w:color="A2D2CE" w:themeColor="accent4" w:themeTint="66" w:sz="4" w:space="0"/>
        <w:bottom w:val="single" w:color="A2D2CE" w:themeColor="accent4" w:themeTint="66" w:sz="4" w:space="0"/>
        <w:right w:val="single" w:color="A2D2CE" w:themeColor="accent4" w:themeTint="66" w:sz="4" w:space="0"/>
        <w:insideH w:val="single" w:color="A2D2CE" w:themeColor="accent4" w:themeTint="66" w:sz="4" w:space="0"/>
        <w:insideV w:val="single" w:color="A2D2CE" w:themeColor="accent4" w:themeTint="66" w:sz="4" w:space="0"/>
      </w:tblBorders>
    </w:tblPr>
    <w:tblStylePr w:type="firstRow">
      <w:rPr>
        <w:b/>
        <w:bCs/>
      </w:rPr>
      <w:tblPr/>
      <w:tcPr>
        <w:tcBorders>
          <w:bottom w:val="single" w:color="73BBB5" w:themeColor="accent4" w:themeTint="99" w:sz="12" w:space="0"/>
        </w:tcBorders>
      </w:tcPr>
    </w:tblStylePr>
    <w:tblStylePr w:type="lastRow">
      <w:rPr>
        <w:b/>
        <w:bCs/>
      </w:rPr>
      <w:tblPr/>
      <w:tcPr>
        <w:tcBorders>
          <w:top w:val="double" w:color="73BBB5"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11DE3"/>
    <w:pPr>
      <w:spacing w:line="240" w:lineRule="auto"/>
    </w:pPr>
    <w:tblPr>
      <w:tblStyleRowBandSize w:val="1"/>
      <w:tblStyleColBandSize w:val="1"/>
      <w:tblBorders>
        <w:top w:val="single" w:color="98CEC9" w:themeColor="accent5" w:themeTint="66" w:sz="4" w:space="0"/>
        <w:left w:val="single" w:color="98CEC9" w:themeColor="accent5" w:themeTint="66" w:sz="4" w:space="0"/>
        <w:bottom w:val="single" w:color="98CEC9" w:themeColor="accent5" w:themeTint="66" w:sz="4" w:space="0"/>
        <w:right w:val="single" w:color="98CEC9" w:themeColor="accent5" w:themeTint="66" w:sz="4" w:space="0"/>
        <w:insideH w:val="single" w:color="98CEC9" w:themeColor="accent5" w:themeTint="66" w:sz="4" w:space="0"/>
        <w:insideV w:val="single" w:color="98CEC9" w:themeColor="accent5" w:themeTint="66" w:sz="4" w:space="0"/>
      </w:tblBorders>
    </w:tblPr>
    <w:tblStylePr w:type="firstRow">
      <w:rPr>
        <w:b/>
        <w:bCs/>
      </w:rPr>
      <w:tblPr/>
      <w:tcPr>
        <w:tcBorders>
          <w:bottom w:val="single" w:color="65B5AE" w:themeColor="accent5" w:themeTint="99" w:sz="12" w:space="0"/>
        </w:tcBorders>
      </w:tcPr>
    </w:tblStylePr>
    <w:tblStylePr w:type="lastRow">
      <w:rPr>
        <w:b/>
        <w:bCs/>
      </w:rPr>
      <w:tblPr/>
      <w:tcPr>
        <w:tcBorders>
          <w:top w:val="double" w:color="65B5AE"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11DE3"/>
    <w:pPr>
      <w:spacing w:line="240" w:lineRule="auto"/>
    </w:pPr>
    <w:tblPr>
      <w:tblStyleRowBandSize w:val="1"/>
      <w:tblStyleColBandSize w:val="1"/>
      <w:tblBorders>
        <w:top w:val="single" w:color="BEE6D8" w:themeColor="accent6" w:themeTint="66" w:sz="4" w:space="0"/>
        <w:left w:val="single" w:color="BEE6D8" w:themeColor="accent6" w:themeTint="66" w:sz="4" w:space="0"/>
        <w:bottom w:val="single" w:color="BEE6D8" w:themeColor="accent6" w:themeTint="66" w:sz="4" w:space="0"/>
        <w:right w:val="single" w:color="BEE6D8" w:themeColor="accent6" w:themeTint="66" w:sz="4" w:space="0"/>
        <w:insideH w:val="single" w:color="BEE6D8" w:themeColor="accent6" w:themeTint="66" w:sz="4" w:space="0"/>
        <w:insideV w:val="single" w:color="BEE6D8" w:themeColor="accent6" w:themeTint="66" w:sz="4" w:space="0"/>
      </w:tblBorders>
    </w:tblPr>
    <w:tblStylePr w:type="firstRow">
      <w:rPr>
        <w:b/>
        <w:bCs/>
      </w:rPr>
      <w:tblPr/>
      <w:tcPr>
        <w:tcBorders>
          <w:bottom w:val="single" w:color="9ED9C5" w:themeColor="accent6" w:themeTint="99" w:sz="12" w:space="0"/>
        </w:tcBorders>
      </w:tcPr>
    </w:tblStylePr>
    <w:tblStylePr w:type="lastRow">
      <w:rPr>
        <w:b/>
        <w:bCs/>
      </w:rPr>
      <w:tblPr/>
      <w:tcPr>
        <w:tcBorders>
          <w:top w:val="double" w:color="9ED9C5"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99"/>
    <w:rsid w:val="00911DE3"/>
    <w:pPr>
      <w:spacing w:line="240" w:lineRule="auto"/>
    </w:pPr>
    <w:tblPr>
      <w:tblStyleRowBandSize w:val="1"/>
      <w:tblStyleColBandSize w:val="1"/>
      <w:tblBorders>
        <w:top w:val="single" w:color="828282" w:themeColor="text1" w:themeTint="99" w:sz="2" w:space="0"/>
        <w:bottom w:val="single" w:color="828282" w:themeColor="text1" w:themeTint="99" w:sz="2" w:space="0"/>
        <w:insideH w:val="single" w:color="828282" w:themeColor="text1" w:themeTint="99" w:sz="2" w:space="0"/>
        <w:insideV w:val="single" w:color="828282" w:themeColor="text1" w:themeTint="99" w:sz="2" w:space="0"/>
      </w:tblBorders>
    </w:tblPr>
    <w:tblStylePr w:type="firstRow">
      <w:rPr>
        <w:b/>
        <w:bCs/>
      </w:rPr>
      <w:tblPr/>
      <w:tcPr>
        <w:tcBorders>
          <w:top w:val="nil"/>
          <w:bottom w:val="single" w:color="828282" w:themeColor="text1" w:themeTint="99" w:sz="12" w:space="0"/>
          <w:insideH w:val="nil"/>
          <w:insideV w:val="nil"/>
        </w:tcBorders>
        <w:shd w:val="clear" w:color="auto" w:fill="FFFFFF" w:themeFill="background1"/>
      </w:tcPr>
    </w:tblStylePr>
    <w:tblStylePr w:type="lastRow">
      <w:rPr>
        <w:b/>
        <w:bCs/>
      </w:rPr>
      <w:tblPr/>
      <w:tcPr>
        <w:tcBorders>
          <w:top w:val="double" w:color="828282"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GridTable2-Accent1">
    <w:name w:val="Grid Table 2 Accent 1"/>
    <w:basedOn w:val="TableNormal"/>
    <w:uiPriority w:val="99"/>
    <w:rsid w:val="00911DE3"/>
    <w:pPr>
      <w:spacing w:line="240" w:lineRule="auto"/>
    </w:pPr>
    <w:tblPr>
      <w:tblStyleRowBandSize w:val="1"/>
      <w:tblStyleColBandSize w:val="1"/>
      <w:tblBorders>
        <w:top w:val="single" w:color="DBE5E4" w:themeColor="accent1" w:themeTint="99" w:sz="2" w:space="0"/>
        <w:bottom w:val="single" w:color="DBE5E4" w:themeColor="accent1" w:themeTint="99" w:sz="2" w:space="0"/>
        <w:insideH w:val="single" w:color="DBE5E4" w:themeColor="accent1" w:themeTint="99" w:sz="2" w:space="0"/>
        <w:insideV w:val="single" w:color="DBE5E4" w:themeColor="accent1" w:themeTint="99" w:sz="2" w:space="0"/>
      </w:tblBorders>
    </w:tblPr>
    <w:tblStylePr w:type="firstRow">
      <w:rPr>
        <w:b/>
        <w:bCs/>
      </w:rPr>
      <w:tblPr/>
      <w:tcPr>
        <w:tcBorders>
          <w:top w:val="nil"/>
          <w:bottom w:val="single" w:color="DBE5E4" w:themeColor="accent1" w:themeTint="99" w:sz="12" w:space="0"/>
          <w:insideH w:val="nil"/>
          <w:insideV w:val="nil"/>
        </w:tcBorders>
        <w:shd w:val="clear" w:color="auto" w:fill="FFFFFF" w:themeFill="background1"/>
      </w:tcPr>
    </w:tblStylePr>
    <w:tblStylePr w:type="lastRow">
      <w:rPr>
        <w:b/>
        <w:bCs/>
      </w:rPr>
      <w:tblPr/>
      <w:tcPr>
        <w:tcBorders>
          <w:top w:val="double" w:color="DBE5E4"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GridTable2-Accent2">
    <w:name w:val="Grid Table 2 Accent 2"/>
    <w:basedOn w:val="TableNormal"/>
    <w:uiPriority w:val="99"/>
    <w:rsid w:val="00911DE3"/>
    <w:pPr>
      <w:spacing w:line="240" w:lineRule="auto"/>
    </w:pPr>
    <w:tblPr>
      <w:tblStyleRowBandSize w:val="1"/>
      <w:tblStyleColBandSize w:val="1"/>
      <w:tblBorders>
        <w:top w:val="single" w:color="B6CBC9" w:themeColor="accent2" w:themeTint="99" w:sz="2" w:space="0"/>
        <w:bottom w:val="single" w:color="B6CBC9" w:themeColor="accent2" w:themeTint="99" w:sz="2" w:space="0"/>
        <w:insideH w:val="single" w:color="B6CBC9" w:themeColor="accent2" w:themeTint="99" w:sz="2" w:space="0"/>
        <w:insideV w:val="single" w:color="B6CBC9" w:themeColor="accent2" w:themeTint="99" w:sz="2" w:space="0"/>
      </w:tblBorders>
    </w:tblPr>
    <w:tblStylePr w:type="firstRow">
      <w:rPr>
        <w:b/>
        <w:bCs/>
      </w:rPr>
      <w:tblPr/>
      <w:tcPr>
        <w:tcBorders>
          <w:top w:val="nil"/>
          <w:bottom w:val="single" w:color="B6CBC9" w:themeColor="accent2" w:themeTint="99" w:sz="12" w:space="0"/>
          <w:insideH w:val="nil"/>
          <w:insideV w:val="nil"/>
        </w:tcBorders>
        <w:shd w:val="clear" w:color="auto" w:fill="FFFFFF" w:themeFill="background1"/>
      </w:tcPr>
    </w:tblStylePr>
    <w:tblStylePr w:type="lastRow">
      <w:rPr>
        <w:b/>
        <w:bCs/>
      </w:rPr>
      <w:tblPr/>
      <w:tcPr>
        <w:tcBorders>
          <w:top w:val="double" w:color="B6CBC9"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GridTable2-Accent3">
    <w:name w:val="Grid Table 2 Accent 3"/>
    <w:basedOn w:val="TableNormal"/>
    <w:uiPriority w:val="99"/>
    <w:rsid w:val="00911DE3"/>
    <w:pPr>
      <w:spacing w:line="240" w:lineRule="auto"/>
    </w:pPr>
    <w:tblPr>
      <w:tblStyleRowBandSize w:val="1"/>
      <w:tblStyleColBandSize w:val="1"/>
      <w:tblBorders>
        <w:top w:val="single" w:color="9CBDBA" w:themeColor="accent3" w:themeTint="99" w:sz="2" w:space="0"/>
        <w:bottom w:val="single" w:color="9CBDBA" w:themeColor="accent3" w:themeTint="99" w:sz="2" w:space="0"/>
        <w:insideH w:val="single" w:color="9CBDBA" w:themeColor="accent3" w:themeTint="99" w:sz="2" w:space="0"/>
        <w:insideV w:val="single" w:color="9CBDBA" w:themeColor="accent3" w:themeTint="99" w:sz="2" w:space="0"/>
      </w:tblBorders>
    </w:tblPr>
    <w:tblStylePr w:type="firstRow">
      <w:rPr>
        <w:b/>
        <w:bCs/>
      </w:rPr>
      <w:tblPr/>
      <w:tcPr>
        <w:tcBorders>
          <w:top w:val="nil"/>
          <w:bottom w:val="single" w:color="9CBDBA" w:themeColor="accent3" w:themeTint="99" w:sz="12" w:space="0"/>
          <w:insideH w:val="nil"/>
          <w:insideV w:val="nil"/>
        </w:tcBorders>
        <w:shd w:val="clear" w:color="auto" w:fill="FFFFFF" w:themeFill="background1"/>
      </w:tcPr>
    </w:tblStylePr>
    <w:tblStylePr w:type="lastRow">
      <w:rPr>
        <w:b/>
        <w:bCs/>
      </w:rPr>
      <w:tblPr/>
      <w:tcPr>
        <w:tcBorders>
          <w:top w:val="double" w:color="9CBDBA"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GridTable2-Accent4">
    <w:name w:val="Grid Table 2 Accent 4"/>
    <w:basedOn w:val="TableNormal"/>
    <w:uiPriority w:val="99"/>
    <w:rsid w:val="00911DE3"/>
    <w:pPr>
      <w:spacing w:line="240" w:lineRule="auto"/>
    </w:pPr>
    <w:tblPr>
      <w:tblStyleRowBandSize w:val="1"/>
      <w:tblStyleColBandSize w:val="1"/>
      <w:tblBorders>
        <w:top w:val="single" w:color="73BBB5" w:themeColor="accent4" w:themeTint="99" w:sz="2" w:space="0"/>
        <w:bottom w:val="single" w:color="73BBB5" w:themeColor="accent4" w:themeTint="99" w:sz="2" w:space="0"/>
        <w:insideH w:val="single" w:color="73BBB5" w:themeColor="accent4" w:themeTint="99" w:sz="2" w:space="0"/>
        <w:insideV w:val="single" w:color="73BBB5" w:themeColor="accent4" w:themeTint="99" w:sz="2" w:space="0"/>
      </w:tblBorders>
    </w:tblPr>
    <w:tblStylePr w:type="firstRow">
      <w:rPr>
        <w:b/>
        <w:bCs/>
      </w:rPr>
      <w:tblPr/>
      <w:tcPr>
        <w:tcBorders>
          <w:top w:val="nil"/>
          <w:bottom w:val="single" w:color="73BBB5" w:themeColor="accent4" w:themeTint="99" w:sz="12" w:space="0"/>
          <w:insideH w:val="nil"/>
          <w:insideV w:val="nil"/>
        </w:tcBorders>
        <w:shd w:val="clear" w:color="auto" w:fill="FFFFFF" w:themeFill="background1"/>
      </w:tcPr>
    </w:tblStylePr>
    <w:tblStylePr w:type="lastRow">
      <w:rPr>
        <w:b/>
        <w:bCs/>
      </w:rPr>
      <w:tblPr/>
      <w:tcPr>
        <w:tcBorders>
          <w:top w:val="double" w:color="73BBB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GridTable2-Accent5">
    <w:name w:val="Grid Table 2 Accent 5"/>
    <w:basedOn w:val="TableNormal"/>
    <w:uiPriority w:val="99"/>
    <w:rsid w:val="00911DE3"/>
    <w:pPr>
      <w:spacing w:line="240" w:lineRule="auto"/>
    </w:pPr>
    <w:tblPr>
      <w:tblStyleRowBandSize w:val="1"/>
      <w:tblStyleColBandSize w:val="1"/>
      <w:tblBorders>
        <w:top w:val="single" w:color="65B5AE" w:themeColor="accent5" w:themeTint="99" w:sz="2" w:space="0"/>
        <w:bottom w:val="single" w:color="65B5AE" w:themeColor="accent5" w:themeTint="99" w:sz="2" w:space="0"/>
        <w:insideH w:val="single" w:color="65B5AE" w:themeColor="accent5" w:themeTint="99" w:sz="2" w:space="0"/>
        <w:insideV w:val="single" w:color="65B5AE" w:themeColor="accent5" w:themeTint="99" w:sz="2" w:space="0"/>
      </w:tblBorders>
    </w:tblPr>
    <w:tblStylePr w:type="firstRow">
      <w:rPr>
        <w:b/>
        <w:bCs/>
      </w:rPr>
      <w:tblPr/>
      <w:tcPr>
        <w:tcBorders>
          <w:top w:val="nil"/>
          <w:bottom w:val="single" w:color="65B5AE" w:themeColor="accent5" w:themeTint="99" w:sz="12" w:space="0"/>
          <w:insideH w:val="nil"/>
          <w:insideV w:val="nil"/>
        </w:tcBorders>
        <w:shd w:val="clear" w:color="auto" w:fill="FFFFFF" w:themeFill="background1"/>
      </w:tcPr>
    </w:tblStylePr>
    <w:tblStylePr w:type="lastRow">
      <w:rPr>
        <w:b/>
        <w:bCs/>
      </w:rPr>
      <w:tblPr/>
      <w:tcPr>
        <w:tcBorders>
          <w:top w:val="double" w:color="65B5AE"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GridTable2-Accent6">
    <w:name w:val="Grid Table 2 Accent 6"/>
    <w:basedOn w:val="TableNormal"/>
    <w:uiPriority w:val="99"/>
    <w:rsid w:val="00911DE3"/>
    <w:pPr>
      <w:spacing w:line="240" w:lineRule="auto"/>
    </w:pPr>
    <w:tblPr>
      <w:tblStyleRowBandSize w:val="1"/>
      <w:tblStyleColBandSize w:val="1"/>
      <w:tblBorders>
        <w:top w:val="single" w:color="9ED9C5" w:themeColor="accent6" w:themeTint="99" w:sz="2" w:space="0"/>
        <w:bottom w:val="single" w:color="9ED9C5" w:themeColor="accent6" w:themeTint="99" w:sz="2" w:space="0"/>
        <w:insideH w:val="single" w:color="9ED9C5" w:themeColor="accent6" w:themeTint="99" w:sz="2" w:space="0"/>
        <w:insideV w:val="single" w:color="9ED9C5" w:themeColor="accent6" w:themeTint="99" w:sz="2" w:space="0"/>
      </w:tblBorders>
    </w:tblPr>
    <w:tblStylePr w:type="firstRow">
      <w:rPr>
        <w:b/>
        <w:bCs/>
      </w:rPr>
      <w:tblPr/>
      <w:tcPr>
        <w:tcBorders>
          <w:top w:val="nil"/>
          <w:bottom w:val="single" w:color="9ED9C5" w:themeColor="accent6" w:themeTint="99" w:sz="12" w:space="0"/>
          <w:insideH w:val="nil"/>
          <w:insideV w:val="nil"/>
        </w:tcBorders>
        <w:shd w:val="clear" w:color="auto" w:fill="FFFFFF" w:themeFill="background1"/>
      </w:tcPr>
    </w:tblStylePr>
    <w:tblStylePr w:type="lastRow">
      <w:rPr>
        <w:b/>
        <w:bCs/>
      </w:rPr>
      <w:tblPr/>
      <w:tcPr>
        <w:tcBorders>
          <w:top w:val="double" w:color="9ED9C5"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GridTable3">
    <w:name w:val="Grid Table 3"/>
    <w:basedOn w:val="TableNormal"/>
    <w:uiPriority w:val="99"/>
    <w:rsid w:val="00911DE3"/>
    <w:pPr>
      <w:spacing w:line="240" w:lineRule="auto"/>
    </w:pPr>
    <w:tblPr>
      <w:tblStyleRowBandSize w:val="1"/>
      <w:tblStyleColBandSize w:val="1"/>
      <w:tblBorders>
        <w:top w:val="single" w:color="828282" w:themeColor="text1" w:themeTint="99" w:sz="4" w:space="0"/>
        <w:left w:val="single" w:color="828282" w:themeColor="text1" w:themeTint="99" w:sz="4" w:space="0"/>
        <w:bottom w:val="single" w:color="828282" w:themeColor="text1" w:themeTint="99" w:sz="4" w:space="0"/>
        <w:right w:val="single" w:color="828282" w:themeColor="text1" w:themeTint="99" w:sz="4" w:space="0"/>
        <w:insideH w:val="single" w:color="828282" w:themeColor="text1" w:themeTint="99" w:sz="4" w:space="0"/>
        <w:insideV w:val="single" w:color="828282"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5D5" w:themeFill="text1" w:themeFillTint="33"/>
      </w:tcPr>
    </w:tblStylePr>
    <w:tblStylePr w:type="band1Horz">
      <w:tblPr/>
      <w:tcPr>
        <w:shd w:val="clear" w:color="auto" w:fill="D5D5D5" w:themeFill="text1" w:themeFillTint="33"/>
      </w:tcPr>
    </w:tblStylePr>
    <w:tblStylePr w:type="neCell">
      <w:tblPr/>
      <w:tcPr>
        <w:tcBorders>
          <w:bottom w:val="single" w:color="828282" w:themeColor="text1" w:themeTint="99" w:sz="4" w:space="0"/>
        </w:tcBorders>
      </w:tcPr>
    </w:tblStylePr>
    <w:tblStylePr w:type="nwCell">
      <w:tblPr/>
      <w:tcPr>
        <w:tcBorders>
          <w:bottom w:val="single" w:color="828282" w:themeColor="text1" w:themeTint="99" w:sz="4" w:space="0"/>
        </w:tcBorders>
      </w:tcPr>
    </w:tblStylePr>
    <w:tblStylePr w:type="seCell">
      <w:tblPr/>
      <w:tcPr>
        <w:tcBorders>
          <w:top w:val="single" w:color="828282" w:themeColor="text1" w:themeTint="99" w:sz="4" w:space="0"/>
        </w:tcBorders>
      </w:tcPr>
    </w:tblStylePr>
    <w:tblStylePr w:type="swCell">
      <w:tblPr/>
      <w:tcPr>
        <w:tcBorders>
          <w:top w:val="single" w:color="828282" w:themeColor="text1" w:themeTint="99" w:sz="4" w:space="0"/>
        </w:tcBorders>
      </w:tcPr>
    </w:tblStylePr>
  </w:style>
  <w:style w:type="table" w:styleId="GridTable3-Accent1">
    <w:name w:val="Grid Table 3 Accent 1"/>
    <w:basedOn w:val="TableNormal"/>
    <w:uiPriority w:val="99"/>
    <w:rsid w:val="00911DE3"/>
    <w:pPr>
      <w:spacing w:line="240" w:lineRule="auto"/>
    </w:pPr>
    <w:tblPr>
      <w:tblStyleRowBandSize w:val="1"/>
      <w:tblStyleColBandSize w:val="1"/>
      <w:tblBorders>
        <w:top w:val="single" w:color="DBE5E4" w:themeColor="accent1" w:themeTint="99" w:sz="4" w:space="0"/>
        <w:left w:val="single" w:color="DBE5E4" w:themeColor="accent1" w:themeTint="99" w:sz="4" w:space="0"/>
        <w:bottom w:val="single" w:color="DBE5E4" w:themeColor="accent1" w:themeTint="99" w:sz="4" w:space="0"/>
        <w:right w:val="single" w:color="DBE5E4" w:themeColor="accent1" w:themeTint="99" w:sz="4" w:space="0"/>
        <w:insideH w:val="single" w:color="DBE5E4" w:themeColor="accent1" w:themeTint="99" w:sz="4" w:space="0"/>
        <w:insideV w:val="single" w:color="DBE5E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6F6" w:themeFill="accent1" w:themeFillTint="33"/>
      </w:tcPr>
    </w:tblStylePr>
    <w:tblStylePr w:type="band1Horz">
      <w:tblPr/>
      <w:tcPr>
        <w:shd w:val="clear" w:color="auto" w:fill="F3F6F6" w:themeFill="accent1" w:themeFillTint="33"/>
      </w:tcPr>
    </w:tblStylePr>
    <w:tblStylePr w:type="neCell">
      <w:tblPr/>
      <w:tcPr>
        <w:tcBorders>
          <w:bottom w:val="single" w:color="DBE5E4" w:themeColor="accent1" w:themeTint="99" w:sz="4" w:space="0"/>
        </w:tcBorders>
      </w:tcPr>
    </w:tblStylePr>
    <w:tblStylePr w:type="nwCell">
      <w:tblPr/>
      <w:tcPr>
        <w:tcBorders>
          <w:bottom w:val="single" w:color="DBE5E4" w:themeColor="accent1" w:themeTint="99" w:sz="4" w:space="0"/>
        </w:tcBorders>
      </w:tcPr>
    </w:tblStylePr>
    <w:tblStylePr w:type="seCell">
      <w:tblPr/>
      <w:tcPr>
        <w:tcBorders>
          <w:top w:val="single" w:color="DBE5E4" w:themeColor="accent1" w:themeTint="99" w:sz="4" w:space="0"/>
        </w:tcBorders>
      </w:tcPr>
    </w:tblStylePr>
    <w:tblStylePr w:type="swCell">
      <w:tblPr/>
      <w:tcPr>
        <w:tcBorders>
          <w:top w:val="single" w:color="DBE5E4" w:themeColor="accent1" w:themeTint="99" w:sz="4" w:space="0"/>
        </w:tcBorders>
      </w:tcPr>
    </w:tblStylePr>
  </w:style>
  <w:style w:type="table" w:styleId="GridTable3-Accent2">
    <w:name w:val="Grid Table 3 Accent 2"/>
    <w:basedOn w:val="TableNormal"/>
    <w:uiPriority w:val="99"/>
    <w:rsid w:val="00911DE3"/>
    <w:pPr>
      <w:spacing w:line="240" w:lineRule="auto"/>
    </w:pPr>
    <w:tblPr>
      <w:tblStyleRowBandSize w:val="1"/>
      <w:tblStyleColBandSize w:val="1"/>
      <w:tblBorders>
        <w:top w:val="single" w:color="B6CBC9" w:themeColor="accent2" w:themeTint="99" w:sz="4" w:space="0"/>
        <w:left w:val="single" w:color="B6CBC9" w:themeColor="accent2" w:themeTint="99" w:sz="4" w:space="0"/>
        <w:bottom w:val="single" w:color="B6CBC9" w:themeColor="accent2" w:themeTint="99" w:sz="4" w:space="0"/>
        <w:right w:val="single" w:color="B6CBC9" w:themeColor="accent2" w:themeTint="99" w:sz="4" w:space="0"/>
        <w:insideH w:val="single" w:color="B6CBC9" w:themeColor="accent2" w:themeTint="99" w:sz="4" w:space="0"/>
        <w:insideV w:val="single" w:color="B6CBC9"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DED" w:themeFill="accent2" w:themeFillTint="33"/>
      </w:tcPr>
    </w:tblStylePr>
    <w:tblStylePr w:type="band1Horz">
      <w:tblPr/>
      <w:tcPr>
        <w:shd w:val="clear" w:color="auto" w:fill="E6EDED" w:themeFill="accent2" w:themeFillTint="33"/>
      </w:tcPr>
    </w:tblStylePr>
    <w:tblStylePr w:type="neCell">
      <w:tblPr/>
      <w:tcPr>
        <w:tcBorders>
          <w:bottom w:val="single" w:color="B6CBC9" w:themeColor="accent2" w:themeTint="99" w:sz="4" w:space="0"/>
        </w:tcBorders>
      </w:tcPr>
    </w:tblStylePr>
    <w:tblStylePr w:type="nwCell">
      <w:tblPr/>
      <w:tcPr>
        <w:tcBorders>
          <w:bottom w:val="single" w:color="B6CBC9" w:themeColor="accent2" w:themeTint="99" w:sz="4" w:space="0"/>
        </w:tcBorders>
      </w:tcPr>
    </w:tblStylePr>
    <w:tblStylePr w:type="seCell">
      <w:tblPr/>
      <w:tcPr>
        <w:tcBorders>
          <w:top w:val="single" w:color="B6CBC9" w:themeColor="accent2" w:themeTint="99" w:sz="4" w:space="0"/>
        </w:tcBorders>
      </w:tcPr>
    </w:tblStylePr>
    <w:tblStylePr w:type="swCell">
      <w:tblPr/>
      <w:tcPr>
        <w:tcBorders>
          <w:top w:val="single" w:color="B6CBC9" w:themeColor="accent2" w:themeTint="99" w:sz="4" w:space="0"/>
        </w:tcBorders>
      </w:tcPr>
    </w:tblStylePr>
  </w:style>
  <w:style w:type="table" w:styleId="GridTable3-Accent3">
    <w:name w:val="Grid Table 3 Accent 3"/>
    <w:basedOn w:val="TableNormal"/>
    <w:uiPriority w:val="99"/>
    <w:rsid w:val="00911DE3"/>
    <w:pPr>
      <w:spacing w:line="240" w:lineRule="auto"/>
    </w:pPr>
    <w:tblPr>
      <w:tblStyleRowBandSize w:val="1"/>
      <w:tblStyleColBandSize w:val="1"/>
      <w:tblBorders>
        <w:top w:val="single" w:color="9CBDBA" w:themeColor="accent3" w:themeTint="99" w:sz="4" w:space="0"/>
        <w:left w:val="single" w:color="9CBDBA" w:themeColor="accent3" w:themeTint="99" w:sz="4" w:space="0"/>
        <w:bottom w:val="single" w:color="9CBDBA" w:themeColor="accent3" w:themeTint="99" w:sz="4" w:space="0"/>
        <w:right w:val="single" w:color="9CBDBA" w:themeColor="accent3" w:themeTint="99" w:sz="4" w:space="0"/>
        <w:insideH w:val="single" w:color="9CBDBA" w:themeColor="accent3" w:themeTint="99" w:sz="4" w:space="0"/>
        <w:insideV w:val="single" w:color="9CBDBA"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9E8" w:themeFill="accent3" w:themeFillTint="33"/>
      </w:tcPr>
    </w:tblStylePr>
    <w:tblStylePr w:type="band1Horz">
      <w:tblPr/>
      <w:tcPr>
        <w:shd w:val="clear" w:color="auto" w:fill="DEE9E8" w:themeFill="accent3" w:themeFillTint="33"/>
      </w:tcPr>
    </w:tblStylePr>
    <w:tblStylePr w:type="neCell">
      <w:tblPr/>
      <w:tcPr>
        <w:tcBorders>
          <w:bottom w:val="single" w:color="9CBDBA" w:themeColor="accent3" w:themeTint="99" w:sz="4" w:space="0"/>
        </w:tcBorders>
      </w:tcPr>
    </w:tblStylePr>
    <w:tblStylePr w:type="nwCell">
      <w:tblPr/>
      <w:tcPr>
        <w:tcBorders>
          <w:bottom w:val="single" w:color="9CBDBA" w:themeColor="accent3" w:themeTint="99" w:sz="4" w:space="0"/>
        </w:tcBorders>
      </w:tcPr>
    </w:tblStylePr>
    <w:tblStylePr w:type="seCell">
      <w:tblPr/>
      <w:tcPr>
        <w:tcBorders>
          <w:top w:val="single" w:color="9CBDBA" w:themeColor="accent3" w:themeTint="99" w:sz="4" w:space="0"/>
        </w:tcBorders>
      </w:tcPr>
    </w:tblStylePr>
    <w:tblStylePr w:type="swCell">
      <w:tblPr/>
      <w:tcPr>
        <w:tcBorders>
          <w:top w:val="single" w:color="9CBDBA" w:themeColor="accent3" w:themeTint="99" w:sz="4" w:space="0"/>
        </w:tcBorders>
      </w:tcPr>
    </w:tblStylePr>
  </w:style>
  <w:style w:type="table" w:styleId="GridTable3-Accent4">
    <w:name w:val="Grid Table 3 Accent 4"/>
    <w:basedOn w:val="TableNormal"/>
    <w:uiPriority w:val="99"/>
    <w:rsid w:val="00911DE3"/>
    <w:pPr>
      <w:spacing w:line="240" w:lineRule="auto"/>
    </w:pPr>
    <w:tblPr>
      <w:tblStyleRowBandSize w:val="1"/>
      <w:tblStyleColBandSize w:val="1"/>
      <w:tblBorders>
        <w:top w:val="single" w:color="73BBB5" w:themeColor="accent4" w:themeTint="99" w:sz="4" w:space="0"/>
        <w:left w:val="single" w:color="73BBB5" w:themeColor="accent4" w:themeTint="99" w:sz="4" w:space="0"/>
        <w:bottom w:val="single" w:color="73BBB5" w:themeColor="accent4" w:themeTint="99" w:sz="4" w:space="0"/>
        <w:right w:val="single" w:color="73BBB5" w:themeColor="accent4" w:themeTint="99" w:sz="4" w:space="0"/>
        <w:insideH w:val="single" w:color="73BBB5" w:themeColor="accent4" w:themeTint="99" w:sz="4" w:space="0"/>
        <w:insideV w:val="single" w:color="73BBB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8E6" w:themeFill="accent4" w:themeFillTint="33"/>
      </w:tcPr>
    </w:tblStylePr>
    <w:tblStylePr w:type="band1Horz">
      <w:tblPr/>
      <w:tcPr>
        <w:shd w:val="clear" w:color="auto" w:fill="D0E8E6" w:themeFill="accent4" w:themeFillTint="33"/>
      </w:tcPr>
    </w:tblStylePr>
    <w:tblStylePr w:type="neCell">
      <w:tblPr/>
      <w:tcPr>
        <w:tcBorders>
          <w:bottom w:val="single" w:color="73BBB5" w:themeColor="accent4" w:themeTint="99" w:sz="4" w:space="0"/>
        </w:tcBorders>
      </w:tcPr>
    </w:tblStylePr>
    <w:tblStylePr w:type="nwCell">
      <w:tblPr/>
      <w:tcPr>
        <w:tcBorders>
          <w:bottom w:val="single" w:color="73BBB5" w:themeColor="accent4" w:themeTint="99" w:sz="4" w:space="0"/>
        </w:tcBorders>
      </w:tcPr>
    </w:tblStylePr>
    <w:tblStylePr w:type="seCell">
      <w:tblPr/>
      <w:tcPr>
        <w:tcBorders>
          <w:top w:val="single" w:color="73BBB5" w:themeColor="accent4" w:themeTint="99" w:sz="4" w:space="0"/>
        </w:tcBorders>
      </w:tcPr>
    </w:tblStylePr>
    <w:tblStylePr w:type="swCell">
      <w:tblPr/>
      <w:tcPr>
        <w:tcBorders>
          <w:top w:val="single" w:color="73BBB5" w:themeColor="accent4" w:themeTint="99" w:sz="4" w:space="0"/>
        </w:tcBorders>
      </w:tcPr>
    </w:tblStylePr>
  </w:style>
  <w:style w:type="table" w:styleId="GridTable3-Accent5">
    <w:name w:val="Grid Table 3 Accent 5"/>
    <w:basedOn w:val="TableNormal"/>
    <w:uiPriority w:val="99"/>
    <w:rsid w:val="00911DE3"/>
    <w:pPr>
      <w:spacing w:line="240" w:lineRule="auto"/>
    </w:pPr>
    <w:tblPr>
      <w:tblStyleRowBandSize w:val="1"/>
      <w:tblStyleColBandSize w:val="1"/>
      <w:tblBorders>
        <w:top w:val="single" w:color="65B5AE" w:themeColor="accent5" w:themeTint="99" w:sz="4" w:space="0"/>
        <w:left w:val="single" w:color="65B5AE" w:themeColor="accent5" w:themeTint="99" w:sz="4" w:space="0"/>
        <w:bottom w:val="single" w:color="65B5AE" w:themeColor="accent5" w:themeTint="99" w:sz="4" w:space="0"/>
        <w:right w:val="single" w:color="65B5AE" w:themeColor="accent5" w:themeTint="99" w:sz="4" w:space="0"/>
        <w:insideH w:val="single" w:color="65B5AE" w:themeColor="accent5" w:themeTint="99" w:sz="4" w:space="0"/>
        <w:insideV w:val="single" w:color="65B5AE"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E4" w:themeFill="accent5" w:themeFillTint="33"/>
      </w:tcPr>
    </w:tblStylePr>
    <w:tblStylePr w:type="band1Horz">
      <w:tblPr/>
      <w:tcPr>
        <w:shd w:val="clear" w:color="auto" w:fill="CBE6E4" w:themeFill="accent5" w:themeFillTint="33"/>
      </w:tcPr>
    </w:tblStylePr>
    <w:tblStylePr w:type="neCell">
      <w:tblPr/>
      <w:tcPr>
        <w:tcBorders>
          <w:bottom w:val="single" w:color="65B5AE" w:themeColor="accent5" w:themeTint="99" w:sz="4" w:space="0"/>
        </w:tcBorders>
      </w:tcPr>
    </w:tblStylePr>
    <w:tblStylePr w:type="nwCell">
      <w:tblPr/>
      <w:tcPr>
        <w:tcBorders>
          <w:bottom w:val="single" w:color="65B5AE" w:themeColor="accent5" w:themeTint="99" w:sz="4" w:space="0"/>
        </w:tcBorders>
      </w:tcPr>
    </w:tblStylePr>
    <w:tblStylePr w:type="seCell">
      <w:tblPr/>
      <w:tcPr>
        <w:tcBorders>
          <w:top w:val="single" w:color="65B5AE" w:themeColor="accent5" w:themeTint="99" w:sz="4" w:space="0"/>
        </w:tcBorders>
      </w:tcPr>
    </w:tblStylePr>
    <w:tblStylePr w:type="swCell">
      <w:tblPr/>
      <w:tcPr>
        <w:tcBorders>
          <w:top w:val="single" w:color="65B5AE" w:themeColor="accent5" w:themeTint="99" w:sz="4" w:space="0"/>
        </w:tcBorders>
      </w:tcPr>
    </w:tblStylePr>
  </w:style>
  <w:style w:type="table" w:styleId="GridTable3-Accent6">
    <w:name w:val="Grid Table 3 Accent 6"/>
    <w:basedOn w:val="TableNormal"/>
    <w:uiPriority w:val="99"/>
    <w:rsid w:val="00911DE3"/>
    <w:pPr>
      <w:spacing w:line="240" w:lineRule="auto"/>
    </w:pPr>
    <w:tblPr>
      <w:tblStyleRowBandSize w:val="1"/>
      <w:tblStyleColBandSize w:val="1"/>
      <w:tblBorders>
        <w:top w:val="single" w:color="9ED9C5" w:themeColor="accent6" w:themeTint="99" w:sz="4" w:space="0"/>
        <w:left w:val="single" w:color="9ED9C5" w:themeColor="accent6" w:themeTint="99" w:sz="4" w:space="0"/>
        <w:bottom w:val="single" w:color="9ED9C5" w:themeColor="accent6" w:themeTint="99" w:sz="4" w:space="0"/>
        <w:right w:val="single" w:color="9ED9C5" w:themeColor="accent6" w:themeTint="99" w:sz="4" w:space="0"/>
        <w:insideH w:val="single" w:color="9ED9C5" w:themeColor="accent6" w:themeTint="99" w:sz="4" w:space="0"/>
        <w:insideV w:val="single" w:color="9ED9C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2EC" w:themeFill="accent6" w:themeFillTint="33"/>
      </w:tcPr>
    </w:tblStylePr>
    <w:tblStylePr w:type="band1Horz">
      <w:tblPr/>
      <w:tcPr>
        <w:shd w:val="clear" w:color="auto" w:fill="DEF2EC" w:themeFill="accent6" w:themeFillTint="33"/>
      </w:tcPr>
    </w:tblStylePr>
    <w:tblStylePr w:type="neCell">
      <w:tblPr/>
      <w:tcPr>
        <w:tcBorders>
          <w:bottom w:val="single" w:color="9ED9C5" w:themeColor="accent6" w:themeTint="99" w:sz="4" w:space="0"/>
        </w:tcBorders>
      </w:tcPr>
    </w:tblStylePr>
    <w:tblStylePr w:type="nwCell">
      <w:tblPr/>
      <w:tcPr>
        <w:tcBorders>
          <w:bottom w:val="single" w:color="9ED9C5" w:themeColor="accent6" w:themeTint="99" w:sz="4" w:space="0"/>
        </w:tcBorders>
      </w:tcPr>
    </w:tblStylePr>
    <w:tblStylePr w:type="seCell">
      <w:tblPr/>
      <w:tcPr>
        <w:tcBorders>
          <w:top w:val="single" w:color="9ED9C5" w:themeColor="accent6" w:themeTint="99" w:sz="4" w:space="0"/>
        </w:tcBorders>
      </w:tcPr>
    </w:tblStylePr>
    <w:tblStylePr w:type="swCell">
      <w:tblPr/>
      <w:tcPr>
        <w:tcBorders>
          <w:top w:val="single" w:color="9ED9C5" w:themeColor="accent6" w:themeTint="99" w:sz="4" w:space="0"/>
        </w:tcBorders>
      </w:tcPr>
    </w:tblStylePr>
  </w:style>
  <w:style w:type="table" w:styleId="GridTable4">
    <w:name w:val="Grid Table 4"/>
    <w:basedOn w:val="TableNormal"/>
    <w:uiPriority w:val="99"/>
    <w:rsid w:val="00911DE3"/>
    <w:pPr>
      <w:spacing w:line="240" w:lineRule="auto"/>
    </w:pPr>
    <w:tblPr>
      <w:tblStyleRowBandSize w:val="1"/>
      <w:tblStyleColBandSize w:val="1"/>
      <w:tblBorders>
        <w:top w:val="single" w:color="828282" w:themeColor="text1" w:themeTint="99" w:sz="4" w:space="0"/>
        <w:left w:val="single" w:color="828282" w:themeColor="text1" w:themeTint="99" w:sz="4" w:space="0"/>
        <w:bottom w:val="single" w:color="828282" w:themeColor="text1" w:themeTint="99" w:sz="4" w:space="0"/>
        <w:right w:val="single" w:color="828282" w:themeColor="text1" w:themeTint="99" w:sz="4" w:space="0"/>
        <w:insideH w:val="single" w:color="828282" w:themeColor="text1" w:themeTint="99" w:sz="4" w:space="0"/>
        <w:insideV w:val="single" w:color="828282" w:themeColor="text1" w:themeTint="99" w:sz="4" w:space="0"/>
      </w:tblBorders>
    </w:tblPr>
    <w:tblStylePr w:type="firstRow">
      <w:rPr>
        <w:b/>
        <w:bCs/>
        <w:color w:val="FFFFFF" w:themeColor="background1"/>
      </w:rPr>
      <w:tblPr/>
      <w:tcPr>
        <w:tcBorders>
          <w:top w:val="single" w:color="303030" w:themeColor="text1" w:sz="4" w:space="0"/>
          <w:left w:val="single" w:color="303030" w:themeColor="text1" w:sz="4" w:space="0"/>
          <w:bottom w:val="single" w:color="303030" w:themeColor="text1" w:sz="4" w:space="0"/>
          <w:right w:val="single" w:color="303030" w:themeColor="text1" w:sz="4" w:space="0"/>
          <w:insideH w:val="nil"/>
          <w:insideV w:val="nil"/>
        </w:tcBorders>
        <w:shd w:val="clear" w:color="auto" w:fill="303030" w:themeFill="text1"/>
      </w:tcPr>
    </w:tblStylePr>
    <w:tblStylePr w:type="lastRow">
      <w:rPr>
        <w:b/>
        <w:bCs/>
      </w:rPr>
      <w:tblPr/>
      <w:tcPr>
        <w:tcBorders>
          <w:top w:val="double" w:color="303030" w:themeColor="text1" w:sz="4" w:space="0"/>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GridTable4-Accent1">
    <w:name w:val="Grid Table 4 Accent 1"/>
    <w:basedOn w:val="TableNormal"/>
    <w:uiPriority w:val="49"/>
    <w:rsid w:val="00911DE3"/>
    <w:pPr>
      <w:spacing w:line="240" w:lineRule="auto"/>
    </w:pPr>
    <w:tblPr>
      <w:tblStyleRowBandSize w:val="1"/>
      <w:tblStyleColBandSize w:val="1"/>
      <w:tblBorders>
        <w:top w:val="single" w:color="DBE5E4" w:themeColor="accent1" w:themeTint="99" w:sz="4" w:space="0"/>
        <w:left w:val="single" w:color="DBE5E4" w:themeColor="accent1" w:themeTint="99" w:sz="4" w:space="0"/>
        <w:bottom w:val="single" w:color="DBE5E4" w:themeColor="accent1" w:themeTint="99" w:sz="4" w:space="0"/>
        <w:right w:val="single" w:color="DBE5E4" w:themeColor="accent1" w:themeTint="99" w:sz="4" w:space="0"/>
        <w:insideH w:val="single" w:color="DBE5E4" w:themeColor="accent1" w:themeTint="99" w:sz="4" w:space="0"/>
        <w:insideV w:val="single" w:color="DBE5E4" w:themeColor="accent1" w:themeTint="99" w:sz="4" w:space="0"/>
      </w:tblBorders>
    </w:tblPr>
    <w:tblStylePr w:type="firstRow">
      <w:rPr>
        <w:b/>
        <w:bCs/>
        <w:color w:val="FFFFFF" w:themeColor="background1"/>
      </w:rPr>
      <w:tblPr/>
      <w:tcPr>
        <w:tcBorders>
          <w:top w:val="single" w:color="C4D5D3" w:themeColor="accent1" w:sz="4" w:space="0"/>
          <w:left w:val="single" w:color="C4D5D3" w:themeColor="accent1" w:sz="4" w:space="0"/>
          <w:bottom w:val="single" w:color="C4D5D3" w:themeColor="accent1" w:sz="4" w:space="0"/>
          <w:right w:val="single" w:color="C4D5D3" w:themeColor="accent1" w:sz="4" w:space="0"/>
          <w:insideH w:val="nil"/>
          <w:insideV w:val="nil"/>
        </w:tcBorders>
        <w:shd w:val="clear" w:color="auto" w:fill="C4D5D3" w:themeFill="accent1"/>
      </w:tcPr>
    </w:tblStylePr>
    <w:tblStylePr w:type="lastRow">
      <w:rPr>
        <w:b/>
        <w:bCs/>
      </w:rPr>
      <w:tblPr/>
      <w:tcPr>
        <w:tcBorders>
          <w:top w:val="double" w:color="C4D5D3" w:themeColor="accent1" w:sz="4" w:space="0"/>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GridTable4-Accent2">
    <w:name w:val="Grid Table 4 Accent 2"/>
    <w:basedOn w:val="TableNormal"/>
    <w:uiPriority w:val="99"/>
    <w:rsid w:val="00911DE3"/>
    <w:pPr>
      <w:spacing w:line="240" w:lineRule="auto"/>
    </w:pPr>
    <w:tblPr>
      <w:tblStyleRowBandSize w:val="1"/>
      <w:tblStyleColBandSize w:val="1"/>
      <w:tblBorders>
        <w:top w:val="single" w:color="B6CBC9" w:themeColor="accent2" w:themeTint="99" w:sz="4" w:space="0"/>
        <w:left w:val="single" w:color="B6CBC9" w:themeColor="accent2" w:themeTint="99" w:sz="4" w:space="0"/>
        <w:bottom w:val="single" w:color="B6CBC9" w:themeColor="accent2" w:themeTint="99" w:sz="4" w:space="0"/>
        <w:right w:val="single" w:color="B6CBC9" w:themeColor="accent2" w:themeTint="99" w:sz="4" w:space="0"/>
        <w:insideH w:val="single" w:color="B6CBC9" w:themeColor="accent2" w:themeTint="99" w:sz="4" w:space="0"/>
        <w:insideV w:val="single" w:color="B6CBC9" w:themeColor="accent2" w:themeTint="99" w:sz="4" w:space="0"/>
      </w:tblBorders>
    </w:tblPr>
    <w:tblStylePr w:type="firstRow">
      <w:rPr>
        <w:b/>
        <w:bCs/>
        <w:color w:val="FFFFFF" w:themeColor="background1"/>
      </w:rPr>
      <w:tblPr/>
      <w:tcPr>
        <w:tcBorders>
          <w:top w:val="single" w:color="86A9A6" w:themeColor="accent2" w:sz="4" w:space="0"/>
          <w:left w:val="single" w:color="86A9A6" w:themeColor="accent2" w:sz="4" w:space="0"/>
          <w:bottom w:val="single" w:color="86A9A6" w:themeColor="accent2" w:sz="4" w:space="0"/>
          <w:right w:val="single" w:color="86A9A6" w:themeColor="accent2" w:sz="4" w:space="0"/>
          <w:insideH w:val="nil"/>
          <w:insideV w:val="nil"/>
        </w:tcBorders>
        <w:shd w:val="clear" w:color="auto" w:fill="86A9A6" w:themeFill="accent2"/>
      </w:tcPr>
    </w:tblStylePr>
    <w:tblStylePr w:type="lastRow">
      <w:rPr>
        <w:b/>
        <w:bCs/>
      </w:rPr>
      <w:tblPr/>
      <w:tcPr>
        <w:tcBorders>
          <w:top w:val="double" w:color="86A9A6" w:themeColor="accent2" w:sz="4" w:space="0"/>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GridTable4-Accent3">
    <w:name w:val="Grid Table 4 Accent 3"/>
    <w:basedOn w:val="TableNormal"/>
    <w:uiPriority w:val="99"/>
    <w:rsid w:val="00911DE3"/>
    <w:pPr>
      <w:spacing w:line="240" w:lineRule="auto"/>
    </w:pPr>
    <w:tblPr>
      <w:tblStyleRowBandSize w:val="1"/>
      <w:tblStyleColBandSize w:val="1"/>
      <w:tblBorders>
        <w:top w:val="single" w:color="9CBDBA" w:themeColor="accent3" w:themeTint="99" w:sz="4" w:space="0"/>
        <w:left w:val="single" w:color="9CBDBA" w:themeColor="accent3" w:themeTint="99" w:sz="4" w:space="0"/>
        <w:bottom w:val="single" w:color="9CBDBA" w:themeColor="accent3" w:themeTint="99" w:sz="4" w:space="0"/>
        <w:right w:val="single" w:color="9CBDBA" w:themeColor="accent3" w:themeTint="99" w:sz="4" w:space="0"/>
        <w:insideH w:val="single" w:color="9CBDBA" w:themeColor="accent3" w:themeTint="99" w:sz="4" w:space="0"/>
        <w:insideV w:val="single" w:color="9CBDBA" w:themeColor="accent3" w:themeTint="99" w:sz="4" w:space="0"/>
      </w:tblBorders>
    </w:tblPr>
    <w:tblStylePr w:type="firstRow">
      <w:rPr>
        <w:b/>
        <w:bCs/>
        <w:color w:val="FFFFFF" w:themeColor="background1"/>
      </w:rPr>
      <w:tblPr/>
      <w:tcPr>
        <w:tcBorders>
          <w:top w:val="single" w:color="5E8D89" w:themeColor="accent3" w:sz="4" w:space="0"/>
          <w:left w:val="single" w:color="5E8D89" w:themeColor="accent3" w:sz="4" w:space="0"/>
          <w:bottom w:val="single" w:color="5E8D89" w:themeColor="accent3" w:sz="4" w:space="0"/>
          <w:right w:val="single" w:color="5E8D89" w:themeColor="accent3" w:sz="4" w:space="0"/>
          <w:insideH w:val="nil"/>
          <w:insideV w:val="nil"/>
        </w:tcBorders>
        <w:shd w:val="clear" w:color="auto" w:fill="5E8D89" w:themeFill="accent3"/>
      </w:tcPr>
    </w:tblStylePr>
    <w:tblStylePr w:type="lastRow">
      <w:rPr>
        <w:b/>
        <w:bCs/>
      </w:rPr>
      <w:tblPr/>
      <w:tcPr>
        <w:tcBorders>
          <w:top w:val="double" w:color="5E8D89" w:themeColor="accent3" w:sz="4" w:space="0"/>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GridTable4-Accent4">
    <w:name w:val="Grid Table 4 Accent 4"/>
    <w:basedOn w:val="TableNormal"/>
    <w:uiPriority w:val="99"/>
    <w:rsid w:val="00911DE3"/>
    <w:pPr>
      <w:spacing w:line="240" w:lineRule="auto"/>
    </w:pPr>
    <w:tblPr>
      <w:tblStyleRowBandSize w:val="1"/>
      <w:tblStyleColBandSize w:val="1"/>
      <w:tblBorders>
        <w:top w:val="single" w:color="73BBB5" w:themeColor="accent4" w:themeTint="99" w:sz="4" w:space="0"/>
        <w:left w:val="single" w:color="73BBB5" w:themeColor="accent4" w:themeTint="99" w:sz="4" w:space="0"/>
        <w:bottom w:val="single" w:color="73BBB5" w:themeColor="accent4" w:themeTint="99" w:sz="4" w:space="0"/>
        <w:right w:val="single" w:color="73BBB5" w:themeColor="accent4" w:themeTint="99" w:sz="4" w:space="0"/>
        <w:insideH w:val="single" w:color="73BBB5" w:themeColor="accent4" w:themeTint="99" w:sz="4" w:space="0"/>
        <w:insideV w:val="single" w:color="73BBB5" w:themeColor="accent4" w:themeTint="99" w:sz="4" w:space="0"/>
      </w:tblBorders>
    </w:tblPr>
    <w:tblStylePr w:type="firstRow">
      <w:rPr>
        <w:b/>
        <w:bCs/>
        <w:color w:val="FFFFFF" w:themeColor="background1"/>
      </w:rPr>
      <w:tblPr/>
      <w:tcPr>
        <w:tcBorders>
          <w:top w:val="single" w:color="36706B" w:themeColor="accent4" w:sz="4" w:space="0"/>
          <w:left w:val="single" w:color="36706B" w:themeColor="accent4" w:sz="4" w:space="0"/>
          <w:bottom w:val="single" w:color="36706B" w:themeColor="accent4" w:sz="4" w:space="0"/>
          <w:right w:val="single" w:color="36706B" w:themeColor="accent4" w:sz="4" w:space="0"/>
          <w:insideH w:val="nil"/>
          <w:insideV w:val="nil"/>
        </w:tcBorders>
        <w:shd w:val="clear" w:color="auto" w:fill="36706B" w:themeFill="accent4"/>
      </w:tcPr>
    </w:tblStylePr>
    <w:tblStylePr w:type="lastRow">
      <w:rPr>
        <w:b/>
        <w:bCs/>
      </w:rPr>
      <w:tblPr/>
      <w:tcPr>
        <w:tcBorders>
          <w:top w:val="double" w:color="36706B" w:themeColor="accent4" w:sz="4" w:space="0"/>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GridTable4-Accent5">
    <w:name w:val="Grid Table 4 Accent 5"/>
    <w:basedOn w:val="TableNormal"/>
    <w:uiPriority w:val="99"/>
    <w:rsid w:val="00911DE3"/>
    <w:pPr>
      <w:spacing w:line="240" w:lineRule="auto"/>
    </w:pPr>
    <w:tblPr>
      <w:tblStyleRowBandSize w:val="1"/>
      <w:tblStyleColBandSize w:val="1"/>
      <w:tblBorders>
        <w:top w:val="single" w:color="65B5AE" w:themeColor="accent5" w:themeTint="99" w:sz="4" w:space="0"/>
        <w:left w:val="single" w:color="65B5AE" w:themeColor="accent5" w:themeTint="99" w:sz="4" w:space="0"/>
        <w:bottom w:val="single" w:color="65B5AE" w:themeColor="accent5" w:themeTint="99" w:sz="4" w:space="0"/>
        <w:right w:val="single" w:color="65B5AE" w:themeColor="accent5" w:themeTint="99" w:sz="4" w:space="0"/>
        <w:insideH w:val="single" w:color="65B5AE" w:themeColor="accent5" w:themeTint="99" w:sz="4" w:space="0"/>
        <w:insideV w:val="single" w:color="65B5AE" w:themeColor="accent5" w:themeTint="99" w:sz="4" w:space="0"/>
      </w:tblBorders>
    </w:tblPr>
    <w:tblStylePr w:type="firstRow">
      <w:rPr>
        <w:b/>
        <w:bCs/>
        <w:color w:val="FFFFFF" w:themeColor="background1"/>
      </w:rPr>
      <w:tblPr/>
      <w:tcPr>
        <w:tcBorders>
          <w:top w:val="single" w:color="2B5A56" w:themeColor="accent5" w:sz="4" w:space="0"/>
          <w:left w:val="single" w:color="2B5A56" w:themeColor="accent5" w:sz="4" w:space="0"/>
          <w:bottom w:val="single" w:color="2B5A56" w:themeColor="accent5" w:sz="4" w:space="0"/>
          <w:right w:val="single" w:color="2B5A56" w:themeColor="accent5" w:sz="4" w:space="0"/>
          <w:insideH w:val="nil"/>
          <w:insideV w:val="nil"/>
        </w:tcBorders>
        <w:shd w:val="clear" w:color="auto" w:fill="2B5A56" w:themeFill="accent5"/>
      </w:tcPr>
    </w:tblStylePr>
    <w:tblStylePr w:type="lastRow">
      <w:rPr>
        <w:b/>
        <w:bCs/>
      </w:rPr>
      <w:tblPr/>
      <w:tcPr>
        <w:tcBorders>
          <w:top w:val="double" w:color="2B5A56" w:themeColor="accent5" w:sz="4" w:space="0"/>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GridTable4-Accent6">
    <w:name w:val="Grid Table 4 Accent 6"/>
    <w:basedOn w:val="TableNormal"/>
    <w:uiPriority w:val="99"/>
    <w:rsid w:val="00911DE3"/>
    <w:pPr>
      <w:spacing w:line="240" w:lineRule="auto"/>
    </w:pPr>
    <w:tblPr>
      <w:tblStyleRowBandSize w:val="1"/>
      <w:tblStyleColBandSize w:val="1"/>
      <w:tblBorders>
        <w:top w:val="single" w:color="9ED9C5" w:themeColor="accent6" w:themeTint="99" w:sz="4" w:space="0"/>
        <w:left w:val="single" w:color="9ED9C5" w:themeColor="accent6" w:themeTint="99" w:sz="4" w:space="0"/>
        <w:bottom w:val="single" w:color="9ED9C5" w:themeColor="accent6" w:themeTint="99" w:sz="4" w:space="0"/>
        <w:right w:val="single" w:color="9ED9C5" w:themeColor="accent6" w:themeTint="99" w:sz="4" w:space="0"/>
        <w:insideH w:val="single" w:color="9ED9C5" w:themeColor="accent6" w:themeTint="99" w:sz="4" w:space="0"/>
        <w:insideV w:val="single" w:color="9ED9C5" w:themeColor="accent6" w:themeTint="99" w:sz="4" w:space="0"/>
      </w:tblBorders>
    </w:tblPr>
    <w:tblStylePr w:type="firstRow">
      <w:rPr>
        <w:b/>
        <w:bCs/>
        <w:color w:val="FFFFFF" w:themeColor="background1"/>
      </w:rPr>
      <w:tblPr/>
      <w:tcPr>
        <w:tcBorders>
          <w:top w:val="single" w:color="5EC1A0" w:themeColor="accent6" w:sz="4" w:space="0"/>
          <w:left w:val="single" w:color="5EC1A0" w:themeColor="accent6" w:sz="4" w:space="0"/>
          <w:bottom w:val="single" w:color="5EC1A0" w:themeColor="accent6" w:sz="4" w:space="0"/>
          <w:right w:val="single" w:color="5EC1A0" w:themeColor="accent6" w:sz="4" w:space="0"/>
          <w:insideH w:val="nil"/>
          <w:insideV w:val="nil"/>
        </w:tcBorders>
        <w:shd w:val="clear" w:color="auto" w:fill="5EC1A0" w:themeFill="accent6"/>
      </w:tcPr>
    </w:tblStylePr>
    <w:tblStylePr w:type="lastRow">
      <w:rPr>
        <w:b/>
        <w:bCs/>
      </w:rPr>
      <w:tblPr/>
      <w:tcPr>
        <w:tcBorders>
          <w:top w:val="double" w:color="5EC1A0" w:themeColor="accent6" w:sz="4" w:space="0"/>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GridTable5Dark">
    <w:name w:val="Grid Table 5 Dark"/>
    <w:basedOn w:val="TableNormal"/>
    <w:uiPriority w:val="99"/>
    <w:rsid w:val="00911DE3"/>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5D5D5"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0303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0303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0303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03030" w:themeFill="text1"/>
      </w:tcPr>
    </w:tblStylePr>
    <w:tblStylePr w:type="band1Vert">
      <w:tblPr/>
      <w:tcPr>
        <w:shd w:val="clear" w:color="auto" w:fill="ACACAC" w:themeFill="text1" w:themeFillTint="66"/>
      </w:tcPr>
    </w:tblStylePr>
    <w:tblStylePr w:type="band1Horz">
      <w:tblPr/>
      <w:tcPr>
        <w:shd w:val="clear" w:color="auto" w:fill="ACACAC" w:themeFill="text1" w:themeFillTint="66"/>
      </w:tcPr>
    </w:tblStylePr>
  </w:style>
  <w:style w:type="table" w:styleId="GridTable5Dark-Accent1">
    <w:name w:val="Grid Table 5 Dark Accent 1"/>
    <w:basedOn w:val="TableNormal"/>
    <w:uiPriority w:val="99"/>
    <w:rsid w:val="00911DE3"/>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3F6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4D5D3"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4D5D3"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4D5D3"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4D5D3" w:themeFill="accent1"/>
      </w:tcPr>
    </w:tblStylePr>
    <w:tblStylePr w:type="band1Vert">
      <w:tblPr/>
      <w:tcPr>
        <w:shd w:val="clear" w:color="auto" w:fill="E7EEED" w:themeFill="accent1" w:themeFillTint="66"/>
      </w:tcPr>
    </w:tblStylePr>
    <w:tblStylePr w:type="band1Horz">
      <w:tblPr/>
      <w:tcPr>
        <w:shd w:val="clear" w:color="auto" w:fill="E7EEED" w:themeFill="accent1" w:themeFillTint="66"/>
      </w:tcPr>
    </w:tblStylePr>
  </w:style>
  <w:style w:type="table" w:styleId="GridTable5Dark-Accent2">
    <w:name w:val="Grid Table 5 Dark Accent 2"/>
    <w:basedOn w:val="TableNormal"/>
    <w:uiPriority w:val="99"/>
    <w:rsid w:val="00911DE3"/>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6EDED"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6A9A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6A9A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6A9A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6A9A6" w:themeFill="accent2"/>
      </w:tcPr>
    </w:tblStylePr>
    <w:tblStylePr w:type="band1Vert">
      <w:tblPr/>
      <w:tcPr>
        <w:shd w:val="clear" w:color="auto" w:fill="CEDCDB" w:themeFill="accent2" w:themeFillTint="66"/>
      </w:tcPr>
    </w:tblStylePr>
    <w:tblStylePr w:type="band1Horz">
      <w:tblPr/>
      <w:tcPr>
        <w:shd w:val="clear" w:color="auto" w:fill="CEDCDB" w:themeFill="accent2" w:themeFillTint="66"/>
      </w:tcPr>
    </w:tblStylePr>
  </w:style>
  <w:style w:type="table" w:styleId="GridTable5Dark-Accent3">
    <w:name w:val="Grid Table 5 Dark Accent 3"/>
    <w:basedOn w:val="TableNormal"/>
    <w:uiPriority w:val="99"/>
    <w:rsid w:val="00911DE3"/>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9E8"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E8D8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E8D8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E8D8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E8D89" w:themeFill="accent3"/>
      </w:tcPr>
    </w:tblStylePr>
    <w:tblStylePr w:type="band1Vert">
      <w:tblPr/>
      <w:tcPr>
        <w:shd w:val="clear" w:color="auto" w:fill="BDD3D1" w:themeFill="accent3" w:themeFillTint="66"/>
      </w:tcPr>
    </w:tblStylePr>
    <w:tblStylePr w:type="band1Horz">
      <w:tblPr/>
      <w:tcPr>
        <w:shd w:val="clear" w:color="auto" w:fill="BDD3D1" w:themeFill="accent3" w:themeFillTint="66"/>
      </w:tcPr>
    </w:tblStylePr>
  </w:style>
  <w:style w:type="table" w:styleId="GridTable5Dark-Accent4">
    <w:name w:val="Grid Table 5 Dark Accent 4"/>
    <w:basedOn w:val="TableNormal"/>
    <w:uiPriority w:val="99"/>
    <w:rsid w:val="00911DE3"/>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0E8E6"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6706B"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6706B"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6706B"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6706B" w:themeFill="accent4"/>
      </w:tcPr>
    </w:tblStylePr>
    <w:tblStylePr w:type="band1Vert">
      <w:tblPr/>
      <w:tcPr>
        <w:shd w:val="clear" w:color="auto" w:fill="A2D2CE" w:themeFill="accent4" w:themeFillTint="66"/>
      </w:tcPr>
    </w:tblStylePr>
    <w:tblStylePr w:type="band1Horz">
      <w:tblPr/>
      <w:tcPr>
        <w:shd w:val="clear" w:color="auto" w:fill="A2D2CE" w:themeFill="accent4" w:themeFillTint="66"/>
      </w:tcPr>
    </w:tblStylePr>
  </w:style>
  <w:style w:type="table" w:styleId="GridTable5Dark-Accent5">
    <w:name w:val="Grid Table 5 Dark Accent 5"/>
    <w:basedOn w:val="TableNormal"/>
    <w:uiPriority w:val="99"/>
    <w:rsid w:val="00911DE3"/>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BE6E4"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B5A5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B5A5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B5A5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B5A56" w:themeFill="accent5"/>
      </w:tcPr>
    </w:tblStylePr>
    <w:tblStylePr w:type="band1Vert">
      <w:tblPr/>
      <w:tcPr>
        <w:shd w:val="clear" w:color="auto" w:fill="98CEC9" w:themeFill="accent5" w:themeFillTint="66"/>
      </w:tcPr>
    </w:tblStylePr>
    <w:tblStylePr w:type="band1Horz">
      <w:tblPr/>
      <w:tcPr>
        <w:shd w:val="clear" w:color="auto" w:fill="98CEC9" w:themeFill="accent5" w:themeFillTint="66"/>
      </w:tcPr>
    </w:tblStylePr>
  </w:style>
  <w:style w:type="table" w:styleId="GridTable5Dark-Accent6">
    <w:name w:val="Grid Table 5 Dark Accent 6"/>
    <w:basedOn w:val="TableNormal"/>
    <w:uiPriority w:val="99"/>
    <w:rsid w:val="00911DE3"/>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F2EC"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EC1A0"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EC1A0"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EC1A0"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EC1A0" w:themeFill="accent6"/>
      </w:tcPr>
    </w:tblStylePr>
    <w:tblStylePr w:type="band1Vert">
      <w:tblPr/>
      <w:tcPr>
        <w:shd w:val="clear" w:color="auto" w:fill="BEE6D8" w:themeFill="accent6" w:themeFillTint="66"/>
      </w:tcPr>
    </w:tblStylePr>
    <w:tblStylePr w:type="band1Horz">
      <w:tblPr/>
      <w:tcPr>
        <w:shd w:val="clear" w:color="auto" w:fill="BEE6D8" w:themeFill="accent6" w:themeFillTint="66"/>
      </w:tcPr>
    </w:tblStylePr>
  </w:style>
  <w:style w:type="table" w:styleId="GridTable6Colourful">
    <w:name w:val="Grid Table 6 Colorful"/>
    <w:basedOn w:val="TableNormal"/>
    <w:uiPriority w:val="99"/>
    <w:rsid w:val="00911DE3"/>
    <w:pPr>
      <w:spacing w:line="240" w:lineRule="auto"/>
    </w:pPr>
    <w:rPr>
      <w:color w:val="303030" w:themeColor="text1"/>
    </w:rPr>
    <w:tblPr>
      <w:tblStyleRowBandSize w:val="1"/>
      <w:tblStyleColBandSize w:val="1"/>
      <w:tblBorders>
        <w:top w:val="single" w:color="828282" w:themeColor="text1" w:themeTint="99" w:sz="4" w:space="0"/>
        <w:left w:val="single" w:color="828282" w:themeColor="text1" w:themeTint="99" w:sz="4" w:space="0"/>
        <w:bottom w:val="single" w:color="828282" w:themeColor="text1" w:themeTint="99" w:sz="4" w:space="0"/>
        <w:right w:val="single" w:color="828282" w:themeColor="text1" w:themeTint="99" w:sz="4" w:space="0"/>
        <w:insideH w:val="single" w:color="828282" w:themeColor="text1" w:themeTint="99" w:sz="4" w:space="0"/>
        <w:insideV w:val="single" w:color="828282" w:themeColor="text1" w:themeTint="99" w:sz="4" w:space="0"/>
      </w:tblBorders>
    </w:tblPr>
    <w:tblStylePr w:type="firstRow">
      <w:rPr>
        <w:b/>
        <w:bCs/>
      </w:rPr>
      <w:tblPr/>
      <w:tcPr>
        <w:tcBorders>
          <w:bottom w:val="single" w:color="828282" w:themeColor="text1" w:themeTint="99" w:sz="12" w:space="0"/>
        </w:tcBorders>
      </w:tcPr>
    </w:tblStylePr>
    <w:tblStylePr w:type="lastRow">
      <w:rPr>
        <w:b/>
        <w:bCs/>
      </w:rPr>
      <w:tblPr/>
      <w:tcPr>
        <w:tcBorders>
          <w:top w:val="double" w:color="828282" w:themeColor="text1" w:themeTint="99" w:sz="4" w:space="0"/>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GridTable6ColourfulAccent1">
    <w:name w:val="Grid Table 6 Colorful Accent 1"/>
    <w:basedOn w:val="TableNormal"/>
    <w:uiPriority w:val="99"/>
    <w:rsid w:val="00911DE3"/>
    <w:pPr>
      <w:spacing w:line="240" w:lineRule="auto"/>
    </w:pPr>
    <w:rPr>
      <w:color w:val="88AAA6" w:themeColor="accent1" w:themeShade="BF"/>
    </w:rPr>
    <w:tblPr>
      <w:tblStyleRowBandSize w:val="1"/>
      <w:tblStyleColBandSize w:val="1"/>
      <w:tblBorders>
        <w:top w:val="single" w:color="DBE5E4" w:themeColor="accent1" w:themeTint="99" w:sz="4" w:space="0"/>
        <w:left w:val="single" w:color="DBE5E4" w:themeColor="accent1" w:themeTint="99" w:sz="4" w:space="0"/>
        <w:bottom w:val="single" w:color="DBE5E4" w:themeColor="accent1" w:themeTint="99" w:sz="4" w:space="0"/>
        <w:right w:val="single" w:color="DBE5E4" w:themeColor="accent1" w:themeTint="99" w:sz="4" w:space="0"/>
        <w:insideH w:val="single" w:color="DBE5E4" w:themeColor="accent1" w:themeTint="99" w:sz="4" w:space="0"/>
        <w:insideV w:val="single" w:color="DBE5E4" w:themeColor="accent1" w:themeTint="99" w:sz="4" w:space="0"/>
      </w:tblBorders>
    </w:tblPr>
    <w:tblStylePr w:type="firstRow">
      <w:rPr>
        <w:b/>
        <w:bCs/>
      </w:rPr>
      <w:tblPr/>
      <w:tcPr>
        <w:tcBorders>
          <w:bottom w:val="single" w:color="DBE5E4" w:themeColor="accent1" w:themeTint="99" w:sz="12" w:space="0"/>
        </w:tcBorders>
      </w:tcPr>
    </w:tblStylePr>
    <w:tblStylePr w:type="lastRow">
      <w:rPr>
        <w:b/>
        <w:bCs/>
      </w:rPr>
      <w:tblPr/>
      <w:tcPr>
        <w:tcBorders>
          <w:top w:val="double" w:color="DBE5E4" w:themeColor="accent1" w:themeTint="99" w:sz="4" w:space="0"/>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GridTable6ColourfulAccent2">
    <w:name w:val="Grid Table 6 Colorful Accent 2"/>
    <w:basedOn w:val="TableNormal"/>
    <w:uiPriority w:val="99"/>
    <w:rsid w:val="00911DE3"/>
    <w:pPr>
      <w:spacing w:line="240" w:lineRule="auto"/>
    </w:pPr>
    <w:rPr>
      <w:color w:val="5E8481" w:themeColor="accent2" w:themeShade="BF"/>
    </w:rPr>
    <w:tblPr>
      <w:tblStyleRowBandSize w:val="1"/>
      <w:tblStyleColBandSize w:val="1"/>
      <w:tblBorders>
        <w:top w:val="single" w:color="B6CBC9" w:themeColor="accent2" w:themeTint="99" w:sz="4" w:space="0"/>
        <w:left w:val="single" w:color="B6CBC9" w:themeColor="accent2" w:themeTint="99" w:sz="4" w:space="0"/>
        <w:bottom w:val="single" w:color="B6CBC9" w:themeColor="accent2" w:themeTint="99" w:sz="4" w:space="0"/>
        <w:right w:val="single" w:color="B6CBC9" w:themeColor="accent2" w:themeTint="99" w:sz="4" w:space="0"/>
        <w:insideH w:val="single" w:color="B6CBC9" w:themeColor="accent2" w:themeTint="99" w:sz="4" w:space="0"/>
        <w:insideV w:val="single" w:color="B6CBC9" w:themeColor="accent2" w:themeTint="99" w:sz="4" w:space="0"/>
      </w:tblBorders>
    </w:tblPr>
    <w:tblStylePr w:type="firstRow">
      <w:rPr>
        <w:b/>
        <w:bCs/>
      </w:rPr>
      <w:tblPr/>
      <w:tcPr>
        <w:tcBorders>
          <w:bottom w:val="single" w:color="B6CBC9" w:themeColor="accent2" w:themeTint="99" w:sz="12" w:space="0"/>
        </w:tcBorders>
      </w:tcPr>
    </w:tblStylePr>
    <w:tblStylePr w:type="lastRow">
      <w:rPr>
        <w:b/>
        <w:bCs/>
      </w:rPr>
      <w:tblPr/>
      <w:tcPr>
        <w:tcBorders>
          <w:top w:val="double" w:color="B6CBC9" w:themeColor="accent2" w:themeTint="99" w:sz="4" w:space="0"/>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GridTable6ColourfulAccent3">
    <w:name w:val="Grid Table 6 Colorful Accent 3"/>
    <w:basedOn w:val="TableNormal"/>
    <w:uiPriority w:val="99"/>
    <w:rsid w:val="00911DE3"/>
    <w:pPr>
      <w:spacing w:line="240" w:lineRule="auto"/>
    </w:pPr>
    <w:rPr>
      <w:color w:val="466966" w:themeColor="accent3" w:themeShade="BF"/>
    </w:rPr>
    <w:tblPr>
      <w:tblStyleRowBandSize w:val="1"/>
      <w:tblStyleColBandSize w:val="1"/>
      <w:tblBorders>
        <w:top w:val="single" w:color="9CBDBA" w:themeColor="accent3" w:themeTint="99" w:sz="4" w:space="0"/>
        <w:left w:val="single" w:color="9CBDBA" w:themeColor="accent3" w:themeTint="99" w:sz="4" w:space="0"/>
        <w:bottom w:val="single" w:color="9CBDBA" w:themeColor="accent3" w:themeTint="99" w:sz="4" w:space="0"/>
        <w:right w:val="single" w:color="9CBDBA" w:themeColor="accent3" w:themeTint="99" w:sz="4" w:space="0"/>
        <w:insideH w:val="single" w:color="9CBDBA" w:themeColor="accent3" w:themeTint="99" w:sz="4" w:space="0"/>
        <w:insideV w:val="single" w:color="9CBDBA" w:themeColor="accent3" w:themeTint="99" w:sz="4" w:space="0"/>
      </w:tblBorders>
    </w:tblPr>
    <w:tblStylePr w:type="firstRow">
      <w:rPr>
        <w:b/>
        <w:bCs/>
      </w:rPr>
      <w:tblPr/>
      <w:tcPr>
        <w:tcBorders>
          <w:bottom w:val="single" w:color="9CBDBA" w:themeColor="accent3" w:themeTint="99" w:sz="12" w:space="0"/>
        </w:tcBorders>
      </w:tcPr>
    </w:tblStylePr>
    <w:tblStylePr w:type="lastRow">
      <w:rPr>
        <w:b/>
        <w:bCs/>
      </w:rPr>
      <w:tblPr/>
      <w:tcPr>
        <w:tcBorders>
          <w:top w:val="double" w:color="9CBDBA" w:themeColor="accent3" w:themeTint="99" w:sz="4" w:space="0"/>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GridTable6ColourfulAccent4">
    <w:name w:val="Grid Table 6 Colorful Accent 4"/>
    <w:basedOn w:val="TableNormal"/>
    <w:uiPriority w:val="99"/>
    <w:rsid w:val="00911DE3"/>
    <w:pPr>
      <w:spacing w:line="240" w:lineRule="auto"/>
    </w:pPr>
    <w:rPr>
      <w:color w:val="285350" w:themeColor="accent4" w:themeShade="BF"/>
    </w:rPr>
    <w:tblPr>
      <w:tblStyleRowBandSize w:val="1"/>
      <w:tblStyleColBandSize w:val="1"/>
      <w:tblBorders>
        <w:top w:val="single" w:color="73BBB5" w:themeColor="accent4" w:themeTint="99" w:sz="4" w:space="0"/>
        <w:left w:val="single" w:color="73BBB5" w:themeColor="accent4" w:themeTint="99" w:sz="4" w:space="0"/>
        <w:bottom w:val="single" w:color="73BBB5" w:themeColor="accent4" w:themeTint="99" w:sz="4" w:space="0"/>
        <w:right w:val="single" w:color="73BBB5" w:themeColor="accent4" w:themeTint="99" w:sz="4" w:space="0"/>
        <w:insideH w:val="single" w:color="73BBB5" w:themeColor="accent4" w:themeTint="99" w:sz="4" w:space="0"/>
        <w:insideV w:val="single" w:color="73BBB5" w:themeColor="accent4" w:themeTint="99" w:sz="4" w:space="0"/>
      </w:tblBorders>
    </w:tblPr>
    <w:tblStylePr w:type="firstRow">
      <w:rPr>
        <w:b/>
        <w:bCs/>
      </w:rPr>
      <w:tblPr/>
      <w:tcPr>
        <w:tcBorders>
          <w:bottom w:val="single" w:color="73BBB5" w:themeColor="accent4" w:themeTint="99" w:sz="12" w:space="0"/>
        </w:tcBorders>
      </w:tcPr>
    </w:tblStylePr>
    <w:tblStylePr w:type="lastRow">
      <w:rPr>
        <w:b/>
        <w:bCs/>
      </w:rPr>
      <w:tblPr/>
      <w:tcPr>
        <w:tcBorders>
          <w:top w:val="double" w:color="73BBB5" w:themeColor="accent4" w:themeTint="99" w:sz="4" w:space="0"/>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GridTable6ColourfulAccent5">
    <w:name w:val="Grid Table 6 Colorful Accent 5"/>
    <w:basedOn w:val="TableNormal"/>
    <w:uiPriority w:val="99"/>
    <w:rsid w:val="00911DE3"/>
    <w:pPr>
      <w:spacing w:line="240" w:lineRule="auto"/>
    </w:pPr>
    <w:rPr>
      <w:color w:val="204340" w:themeColor="accent5" w:themeShade="BF"/>
    </w:rPr>
    <w:tblPr>
      <w:tblStyleRowBandSize w:val="1"/>
      <w:tblStyleColBandSize w:val="1"/>
      <w:tblBorders>
        <w:top w:val="single" w:color="65B5AE" w:themeColor="accent5" w:themeTint="99" w:sz="4" w:space="0"/>
        <w:left w:val="single" w:color="65B5AE" w:themeColor="accent5" w:themeTint="99" w:sz="4" w:space="0"/>
        <w:bottom w:val="single" w:color="65B5AE" w:themeColor="accent5" w:themeTint="99" w:sz="4" w:space="0"/>
        <w:right w:val="single" w:color="65B5AE" w:themeColor="accent5" w:themeTint="99" w:sz="4" w:space="0"/>
        <w:insideH w:val="single" w:color="65B5AE" w:themeColor="accent5" w:themeTint="99" w:sz="4" w:space="0"/>
        <w:insideV w:val="single" w:color="65B5AE" w:themeColor="accent5" w:themeTint="99" w:sz="4" w:space="0"/>
      </w:tblBorders>
    </w:tblPr>
    <w:tblStylePr w:type="firstRow">
      <w:rPr>
        <w:b/>
        <w:bCs/>
      </w:rPr>
      <w:tblPr/>
      <w:tcPr>
        <w:tcBorders>
          <w:bottom w:val="single" w:color="65B5AE" w:themeColor="accent5" w:themeTint="99" w:sz="12" w:space="0"/>
        </w:tcBorders>
      </w:tcPr>
    </w:tblStylePr>
    <w:tblStylePr w:type="lastRow">
      <w:rPr>
        <w:b/>
        <w:bCs/>
      </w:rPr>
      <w:tblPr/>
      <w:tcPr>
        <w:tcBorders>
          <w:top w:val="double" w:color="65B5AE" w:themeColor="accent5" w:themeTint="99" w:sz="4" w:space="0"/>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GridTable6ColourfulAccent6">
    <w:name w:val="Grid Table 6 Colorful Accent 6"/>
    <w:basedOn w:val="TableNormal"/>
    <w:uiPriority w:val="99"/>
    <w:rsid w:val="00911DE3"/>
    <w:pPr>
      <w:spacing w:line="240" w:lineRule="auto"/>
    </w:pPr>
    <w:rPr>
      <w:color w:val="3B9A7B" w:themeColor="accent6" w:themeShade="BF"/>
    </w:rPr>
    <w:tblPr>
      <w:tblStyleRowBandSize w:val="1"/>
      <w:tblStyleColBandSize w:val="1"/>
      <w:tblBorders>
        <w:top w:val="single" w:color="9ED9C5" w:themeColor="accent6" w:themeTint="99" w:sz="4" w:space="0"/>
        <w:left w:val="single" w:color="9ED9C5" w:themeColor="accent6" w:themeTint="99" w:sz="4" w:space="0"/>
        <w:bottom w:val="single" w:color="9ED9C5" w:themeColor="accent6" w:themeTint="99" w:sz="4" w:space="0"/>
        <w:right w:val="single" w:color="9ED9C5" w:themeColor="accent6" w:themeTint="99" w:sz="4" w:space="0"/>
        <w:insideH w:val="single" w:color="9ED9C5" w:themeColor="accent6" w:themeTint="99" w:sz="4" w:space="0"/>
        <w:insideV w:val="single" w:color="9ED9C5" w:themeColor="accent6" w:themeTint="99" w:sz="4" w:space="0"/>
      </w:tblBorders>
    </w:tblPr>
    <w:tblStylePr w:type="firstRow">
      <w:rPr>
        <w:b/>
        <w:bCs/>
      </w:rPr>
      <w:tblPr/>
      <w:tcPr>
        <w:tcBorders>
          <w:bottom w:val="single" w:color="9ED9C5" w:themeColor="accent6" w:themeTint="99" w:sz="12" w:space="0"/>
        </w:tcBorders>
      </w:tcPr>
    </w:tblStylePr>
    <w:tblStylePr w:type="lastRow">
      <w:rPr>
        <w:b/>
        <w:bCs/>
      </w:rPr>
      <w:tblPr/>
      <w:tcPr>
        <w:tcBorders>
          <w:top w:val="double" w:color="9ED9C5" w:themeColor="accent6" w:themeTint="99" w:sz="4" w:space="0"/>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GridTable7Colourful">
    <w:name w:val="Grid Table 7 Colorful"/>
    <w:basedOn w:val="TableNormal"/>
    <w:uiPriority w:val="99"/>
    <w:rsid w:val="00911DE3"/>
    <w:pPr>
      <w:spacing w:line="240" w:lineRule="auto"/>
    </w:pPr>
    <w:rPr>
      <w:color w:val="303030" w:themeColor="text1"/>
    </w:rPr>
    <w:tblPr>
      <w:tblStyleRowBandSize w:val="1"/>
      <w:tblStyleColBandSize w:val="1"/>
      <w:tblBorders>
        <w:top w:val="single" w:color="828282" w:themeColor="text1" w:themeTint="99" w:sz="4" w:space="0"/>
        <w:left w:val="single" w:color="828282" w:themeColor="text1" w:themeTint="99" w:sz="4" w:space="0"/>
        <w:bottom w:val="single" w:color="828282" w:themeColor="text1" w:themeTint="99" w:sz="4" w:space="0"/>
        <w:right w:val="single" w:color="828282" w:themeColor="text1" w:themeTint="99" w:sz="4" w:space="0"/>
        <w:insideH w:val="single" w:color="828282" w:themeColor="text1" w:themeTint="99" w:sz="4" w:space="0"/>
        <w:insideV w:val="single" w:color="828282"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5D5" w:themeFill="text1" w:themeFillTint="33"/>
      </w:tcPr>
    </w:tblStylePr>
    <w:tblStylePr w:type="band1Horz">
      <w:tblPr/>
      <w:tcPr>
        <w:shd w:val="clear" w:color="auto" w:fill="D5D5D5" w:themeFill="text1" w:themeFillTint="33"/>
      </w:tcPr>
    </w:tblStylePr>
    <w:tblStylePr w:type="neCell">
      <w:tblPr/>
      <w:tcPr>
        <w:tcBorders>
          <w:bottom w:val="single" w:color="828282" w:themeColor="text1" w:themeTint="99" w:sz="4" w:space="0"/>
        </w:tcBorders>
      </w:tcPr>
    </w:tblStylePr>
    <w:tblStylePr w:type="nwCell">
      <w:tblPr/>
      <w:tcPr>
        <w:tcBorders>
          <w:bottom w:val="single" w:color="828282" w:themeColor="text1" w:themeTint="99" w:sz="4" w:space="0"/>
        </w:tcBorders>
      </w:tcPr>
    </w:tblStylePr>
    <w:tblStylePr w:type="seCell">
      <w:tblPr/>
      <w:tcPr>
        <w:tcBorders>
          <w:top w:val="single" w:color="828282" w:themeColor="text1" w:themeTint="99" w:sz="4" w:space="0"/>
        </w:tcBorders>
      </w:tcPr>
    </w:tblStylePr>
    <w:tblStylePr w:type="swCell">
      <w:tblPr/>
      <w:tcPr>
        <w:tcBorders>
          <w:top w:val="single" w:color="828282" w:themeColor="text1" w:themeTint="99" w:sz="4" w:space="0"/>
        </w:tcBorders>
      </w:tcPr>
    </w:tblStylePr>
  </w:style>
  <w:style w:type="table" w:styleId="GridTable7ColourfulAccent1">
    <w:name w:val="Grid Table 7 Colorful Accent 1"/>
    <w:basedOn w:val="TableNormal"/>
    <w:uiPriority w:val="99"/>
    <w:rsid w:val="00911DE3"/>
    <w:pPr>
      <w:spacing w:line="240" w:lineRule="auto"/>
    </w:pPr>
    <w:rPr>
      <w:color w:val="88AAA6" w:themeColor="accent1" w:themeShade="BF"/>
    </w:rPr>
    <w:tblPr>
      <w:tblStyleRowBandSize w:val="1"/>
      <w:tblStyleColBandSize w:val="1"/>
      <w:tblBorders>
        <w:top w:val="single" w:color="DBE5E4" w:themeColor="accent1" w:themeTint="99" w:sz="4" w:space="0"/>
        <w:left w:val="single" w:color="DBE5E4" w:themeColor="accent1" w:themeTint="99" w:sz="4" w:space="0"/>
        <w:bottom w:val="single" w:color="DBE5E4" w:themeColor="accent1" w:themeTint="99" w:sz="4" w:space="0"/>
        <w:right w:val="single" w:color="DBE5E4" w:themeColor="accent1" w:themeTint="99" w:sz="4" w:space="0"/>
        <w:insideH w:val="single" w:color="DBE5E4" w:themeColor="accent1" w:themeTint="99" w:sz="4" w:space="0"/>
        <w:insideV w:val="single" w:color="DBE5E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6F6" w:themeFill="accent1" w:themeFillTint="33"/>
      </w:tcPr>
    </w:tblStylePr>
    <w:tblStylePr w:type="band1Horz">
      <w:tblPr/>
      <w:tcPr>
        <w:shd w:val="clear" w:color="auto" w:fill="F3F6F6" w:themeFill="accent1" w:themeFillTint="33"/>
      </w:tcPr>
    </w:tblStylePr>
    <w:tblStylePr w:type="neCell">
      <w:tblPr/>
      <w:tcPr>
        <w:tcBorders>
          <w:bottom w:val="single" w:color="DBE5E4" w:themeColor="accent1" w:themeTint="99" w:sz="4" w:space="0"/>
        </w:tcBorders>
      </w:tcPr>
    </w:tblStylePr>
    <w:tblStylePr w:type="nwCell">
      <w:tblPr/>
      <w:tcPr>
        <w:tcBorders>
          <w:bottom w:val="single" w:color="DBE5E4" w:themeColor="accent1" w:themeTint="99" w:sz="4" w:space="0"/>
        </w:tcBorders>
      </w:tcPr>
    </w:tblStylePr>
    <w:tblStylePr w:type="seCell">
      <w:tblPr/>
      <w:tcPr>
        <w:tcBorders>
          <w:top w:val="single" w:color="DBE5E4" w:themeColor="accent1" w:themeTint="99" w:sz="4" w:space="0"/>
        </w:tcBorders>
      </w:tcPr>
    </w:tblStylePr>
    <w:tblStylePr w:type="swCell">
      <w:tblPr/>
      <w:tcPr>
        <w:tcBorders>
          <w:top w:val="single" w:color="DBE5E4" w:themeColor="accent1" w:themeTint="99" w:sz="4" w:space="0"/>
        </w:tcBorders>
      </w:tcPr>
    </w:tblStylePr>
  </w:style>
  <w:style w:type="table" w:styleId="GridTable7ColourfulAccent2">
    <w:name w:val="Grid Table 7 Colorful Accent 2"/>
    <w:basedOn w:val="TableNormal"/>
    <w:uiPriority w:val="99"/>
    <w:rsid w:val="00911DE3"/>
    <w:pPr>
      <w:spacing w:line="240" w:lineRule="auto"/>
    </w:pPr>
    <w:rPr>
      <w:color w:val="5E8481" w:themeColor="accent2" w:themeShade="BF"/>
    </w:rPr>
    <w:tblPr>
      <w:tblStyleRowBandSize w:val="1"/>
      <w:tblStyleColBandSize w:val="1"/>
      <w:tblBorders>
        <w:top w:val="single" w:color="B6CBC9" w:themeColor="accent2" w:themeTint="99" w:sz="4" w:space="0"/>
        <w:left w:val="single" w:color="B6CBC9" w:themeColor="accent2" w:themeTint="99" w:sz="4" w:space="0"/>
        <w:bottom w:val="single" w:color="B6CBC9" w:themeColor="accent2" w:themeTint="99" w:sz="4" w:space="0"/>
        <w:right w:val="single" w:color="B6CBC9" w:themeColor="accent2" w:themeTint="99" w:sz="4" w:space="0"/>
        <w:insideH w:val="single" w:color="B6CBC9" w:themeColor="accent2" w:themeTint="99" w:sz="4" w:space="0"/>
        <w:insideV w:val="single" w:color="B6CBC9"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DED" w:themeFill="accent2" w:themeFillTint="33"/>
      </w:tcPr>
    </w:tblStylePr>
    <w:tblStylePr w:type="band1Horz">
      <w:tblPr/>
      <w:tcPr>
        <w:shd w:val="clear" w:color="auto" w:fill="E6EDED" w:themeFill="accent2" w:themeFillTint="33"/>
      </w:tcPr>
    </w:tblStylePr>
    <w:tblStylePr w:type="neCell">
      <w:tblPr/>
      <w:tcPr>
        <w:tcBorders>
          <w:bottom w:val="single" w:color="B6CBC9" w:themeColor="accent2" w:themeTint="99" w:sz="4" w:space="0"/>
        </w:tcBorders>
      </w:tcPr>
    </w:tblStylePr>
    <w:tblStylePr w:type="nwCell">
      <w:tblPr/>
      <w:tcPr>
        <w:tcBorders>
          <w:bottom w:val="single" w:color="B6CBC9" w:themeColor="accent2" w:themeTint="99" w:sz="4" w:space="0"/>
        </w:tcBorders>
      </w:tcPr>
    </w:tblStylePr>
    <w:tblStylePr w:type="seCell">
      <w:tblPr/>
      <w:tcPr>
        <w:tcBorders>
          <w:top w:val="single" w:color="B6CBC9" w:themeColor="accent2" w:themeTint="99" w:sz="4" w:space="0"/>
        </w:tcBorders>
      </w:tcPr>
    </w:tblStylePr>
    <w:tblStylePr w:type="swCell">
      <w:tblPr/>
      <w:tcPr>
        <w:tcBorders>
          <w:top w:val="single" w:color="B6CBC9" w:themeColor="accent2" w:themeTint="99" w:sz="4" w:space="0"/>
        </w:tcBorders>
      </w:tcPr>
    </w:tblStylePr>
  </w:style>
  <w:style w:type="table" w:styleId="GridTable7ColourfulAccent3">
    <w:name w:val="Grid Table 7 Colorful Accent 3"/>
    <w:basedOn w:val="TableNormal"/>
    <w:uiPriority w:val="99"/>
    <w:rsid w:val="00911DE3"/>
    <w:pPr>
      <w:spacing w:line="240" w:lineRule="auto"/>
    </w:pPr>
    <w:rPr>
      <w:color w:val="466966" w:themeColor="accent3" w:themeShade="BF"/>
    </w:rPr>
    <w:tblPr>
      <w:tblStyleRowBandSize w:val="1"/>
      <w:tblStyleColBandSize w:val="1"/>
      <w:tblBorders>
        <w:top w:val="single" w:color="9CBDBA" w:themeColor="accent3" w:themeTint="99" w:sz="4" w:space="0"/>
        <w:left w:val="single" w:color="9CBDBA" w:themeColor="accent3" w:themeTint="99" w:sz="4" w:space="0"/>
        <w:bottom w:val="single" w:color="9CBDBA" w:themeColor="accent3" w:themeTint="99" w:sz="4" w:space="0"/>
        <w:right w:val="single" w:color="9CBDBA" w:themeColor="accent3" w:themeTint="99" w:sz="4" w:space="0"/>
        <w:insideH w:val="single" w:color="9CBDBA" w:themeColor="accent3" w:themeTint="99" w:sz="4" w:space="0"/>
        <w:insideV w:val="single" w:color="9CBDBA"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9E8" w:themeFill="accent3" w:themeFillTint="33"/>
      </w:tcPr>
    </w:tblStylePr>
    <w:tblStylePr w:type="band1Horz">
      <w:tblPr/>
      <w:tcPr>
        <w:shd w:val="clear" w:color="auto" w:fill="DEE9E8" w:themeFill="accent3" w:themeFillTint="33"/>
      </w:tcPr>
    </w:tblStylePr>
    <w:tblStylePr w:type="neCell">
      <w:tblPr/>
      <w:tcPr>
        <w:tcBorders>
          <w:bottom w:val="single" w:color="9CBDBA" w:themeColor="accent3" w:themeTint="99" w:sz="4" w:space="0"/>
        </w:tcBorders>
      </w:tcPr>
    </w:tblStylePr>
    <w:tblStylePr w:type="nwCell">
      <w:tblPr/>
      <w:tcPr>
        <w:tcBorders>
          <w:bottom w:val="single" w:color="9CBDBA" w:themeColor="accent3" w:themeTint="99" w:sz="4" w:space="0"/>
        </w:tcBorders>
      </w:tcPr>
    </w:tblStylePr>
    <w:tblStylePr w:type="seCell">
      <w:tblPr/>
      <w:tcPr>
        <w:tcBorders>
          <w:top w:val="single" w:color="9CBDBA" w:themeColor="accent3" w:themeTint="99" w:sz="4" w:space="0"/>
        </w:tcBorders>
      </w:tcPr>
    </w:tblStylePr>
    <w:tblStylePr w:type="swCell">
      <w:tblPr/>
      <w:tcPr>
        <w:tcBorders>
          <w:top w:val="single" w:color="9CBDBA" w:themeColor="accent3" w:themeTint="99" w:sz="4" w:space="0"/>
        </w:tcBorders>
      </w:tcPr>
    </w:tblStylePr>
  </w:style>
  <w:style w:type="table" w:styleId="GridTable7ColourfulAccent4">
    <w:name w:val="Grid Table 7 Colorful Accent 4"/>
    <w:basedOn w:val="TableNormal"/>
    <w:uiPriority w:val="99"/>
    <w:rsid w:val="00911DE3"/>
    <w:pPr>
      <w:spacing w:line="240" w:lineRule="auto"/>
    </w:pPr>
    <w:rPr>
      <w:color w:val="285350" w:themeColor="accent4" w:themeShade="BF"/>
    </w:rPr>
    <w:tblPr>
      <w:tblStyleRowBandSize w:val="1"/>
      <w:tblStyleColBandSize w:val="1"/>
      <w:tblBorders>
        <w:top w:val="single" w:color="73BBB5" w:themeColor="accent4" w:themeTint="99" w:sz="4" w:space="0"/>
        <w:left w:val="single" w:color="73BBB5" w:themeColor="accent4" w:themeTint="99" w:sz="4" w:space="0"/>
        <w:bottom w:val="single" w:color="73BBB5" w:themeColor="accent4" w:themeTint="99" w:sz="4" w:space="0"/>
        <w:right w:val="single" w:color="73BBB5" w:themeColor="accent4" w:themeTint="99" w:sz="4" w:space="0"/>
        <w:insideH w:val="single" w:color="73BBB5" w:themeColor="accent4" w:themeTint="99" w:sz="4" w:space="0"/>
        <w:insideV w:val="single" w:color="73BBB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8E6" w:themeFill="accent4" w:themeFillTint="33"/>
      </w:tcPr>
    </w:tblStylePr>
    <w:tblStylePr w:type="band1Horz">
      <w:tblPr/>
      <w:tcPr>
        <w:shd w:val="clear" w:color="auto" w:fill="D0E8E6" w:themeFill="accent4" w:themeFillTint="33"/>
      </w:tcPr>
    </w:tblStylePr>
    <w:tblStylePr w:type="neCell">
      <w:tblPr/>
      <w:tcPr>
        <w:tcBorders>
          <w:bottom w:val="single" w:color="73BBB5" w:themeColor="accent4" w:themeTint="99" w:sz="4" w:space="0"/>
        </w:tcBorders>
      </w:tcPr>
    </w:tblStylePr>
    <w:tblStylePr w:type="nwCell">
      <w:tblPr/>
      <w:tcPr>
        <w:tcBorders>
          <w:bottom w:val="single" w:color="73BBB5" w:themeColor="accent4" w:themeTint="99" w:sz="4" w:space="0"/>
        </w:tcBorders>
      </w:tcPr>
    </w:tblStylePr>
    <w:tblStylePr w:type="seCell">
      <w:tblPr/>
      <w:tcPr>
        <w:tcBorders>
          <w:top w:val="single" w:color="73BBB5" w:themeColor="accent4" w:themeTint="99" w:sz="4" w:space="0"/>
        </w:tcBorders>
      </w:tcPr>
    </w:tblStylePr>
    <w:tblStylePr w:type="swCell">
      <w:tblPr/>
      <w:tcPr>
        <w:tcBorders>
          <w:top w:val="single" w:color="73BBB5" w:themeColor="accent4" w:themeTint="99" w:sz="4" w:space="0"/>
        </w:tcBorders>
      </w:tcPr>
    </w:tblStylePr>
  </w:style>
  <w:style w:type="table" w:styleId="GridTable7ColourfulAccent5">
    <w:name w:val="Grid Table 7 Colorful Accent 5"/>
    <w:basedOn w:val="TableNormal"/>
    <w:uiPriority w:val="99"/>
    <w:rsid w:val="00911DE3"/>
    <w:pPr>
      <w:spacing w:line="240" w:lineRule="auto"/>
    </w:pPr>
    <w:rPr>
      <w:color w:val="204340" w:themeColor="accent5" w:themeShade="BF"/>
    </w:rPr>
    <w:tblPr>
      <w:tblStyleRowBandSize w:val="1"/>
      <w:tblStyleColBandSize w:val="1"/>
      <w:tblBorders>
        <w:top w:val="single" w:color="65B5AE" w:themeColor="accent5" w:themeTint="99" w:sz="4" w:space="0"/>
        <w:left w:val="single" w:color="65B5AE" w:themeColor="accent5" w:themeTint="99" w:sz="4" w:space="0"/>
        <w:bottom w:val="single" w:color="65B5AE" w:themeColor="accent5" w:themeTint="99" w:sz="4" w:space="0"/>
        <w:right w:val="single" w:color="65B5AE" w:themeColor="accent5" w:themeTint="99" w:sz="4" w:space="0"/>
        <w:insideH w:val="single" w:color="65B5AE" w:themeColor="accent5" w:themeTint="99" w:sz="4" w:space="0"/>
        <w:insideV w:val="single" w:color="65B5AE"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E4" w:themeFill="accent5" w:themeFillTint="33"/>
      </w:tcPr>
    </w:tblStylePr>
    <w:tblStylePr w:type="band1Horz">
      <w:tblPr/>
      <w:tcPr>
        <w:shd w:val="clear" w:color="auto" w:fill="CBE6E4" w:themeFill="accent5" w:themeFillTint="33"/>
      </w:tcPr>
    </w:tblStylePr>
    <w:tblStylePr w:type="neCell">
      <w:tblPr/>
      <w:tcPr>
        <w:tcBorders>
          <w:bottom w:val="single" w:color="65B5AE" w:themeColor="accent5" w:themeTint="99" w:sz="4" w:space="0"/>
        </w:tcBorders>
      </w:tcPr>
    </w:tblStylePr>
    <w:tblStylePr w:type="nwCell">
      <w:tblPr/>
      <w:tcPr>
        <w:tcBorders>
          <w:bottom w:val="single" w:color="65B5AE" w:themeColor="accent5" w:themeTint="99" w:sz="4" w:space="0"/>
        </w:tcBorders>
      </w:tcPr>
    </w:tblStylePr>
    <w:tblStylePr w:type="seCell">
      <w:tblPr/>
      <w:tcPr>
        <w:tcBorders>
          <w:top w:val="single" w:color="65B5AE" w:themeColor="accent5" w:themeTint="99" w:sz="4" w:space="0"/>
        </w:tcBorders>
      </w:tcPr>
    </w:tblStylePr>
    <w:tblStylePr w:type="swCell">
      <w:tblPr/>
      <w:tcPr>
        <w:tcBorders>
          <w:top w:val="single" w:color="65B5AE" w:themeColor="accent5" w:themeTint="99" w:sz="4" w:space="0"/>
        </w:tcBorders>
      </w:tcPr>
    </w:tblStylePr>
  </w:style>
  <w:style w:type="table" w:styleId="GridTable7ColourfulAccent6">
    <w:name w:val="Grid Table 7 Colorful Accent 6"/>
    <w:basedOn w:val="TableNormal"/>
    <w:uiPriority w:val="99"/>
    <w:rsid w:val="00911DE3"/>
    <w:pPr>
      <w:spacing w:line="240" w:lineRule="auto"/>
    </w:pPr>
    <w:rPr>
      <w:color w:val="3B9A7B" w:themeColor="accent6" w:themeShade="BF"/>
    </w:rPr>
    <w:tblPr>
      <w:tblStyleRowBandSize w:val="1"/>
      <w:tblStyleColBandSize w:val="1"/>
      <w:tblBorders>
        <w:top w:val="single" w:color="9ED9C5" w:themeColor="accent6" w:themeTint="99" w:sz="4" w:space="0"/>
        <w:left w:val="single" w:color="9ED9C5" w:themeColor="accent6" w:themeTint="99" w:sz="4" w:space="0"/>
        <w:bottom w:val="single" w:color="9ED9C5" w:themeColor="accent6" w:themeTint="99" w:sz="4" w:space="0"/>
        <w:right w:val="single" w:color="9ED9C5" w:themeColor="accent6" w:themeTint="99" w:sz="4" w:space="0"/>
        <w:insideH w:val="single" w:color="9ED9C5" w:themeColor="accent6" w:themeTint="99" w:sz="4" w:space="0"/>
        <w:insideV w:val="single" w:color="9ED9C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2EC" w:themeFill="accent6" w:themeFillTint="33"/>
      </w:tcPr>
    </w:tblStylePr>
    <w:tblStylePr w:type="band1Horz">
      <w:tblPr/>
      <w:tcPr>
        <w:shd w:val="clear" w:color="auto" w:fill="DEF2EC" w:themeFill="accent6" w:themeFillTint="33"/>
      </w:tcPr>
    </w:tblStylePr>
    <w:tblStylePr w:type="neCell">
      <w:tblPr/>
      <w:tcPr>
        <w:tcBorders>
          <w:bottom w:val="single" w:color="9ED9C5" w:themeColor="accent6" w:themeTint="99" w:sz="4" w:space="0"/>
        </w:tcBorders>
      </w:tcPr>
    </w:tblStylePr>
    <w:tblStylePr w:type="nwCell">
      <w:tblPr/>
      <w:tcPr>
        <w:tcBorders>
          <w:bottom w:val="single" w:color="9ED9C5" w:themeColor="accent6" w:themeTint="99" w:sz="4" w:space="0"/>
        </w:tcBorders>
      </w:tcPr>
    </w:tblStylePr>
    <w:tblStylePr w:type="seCell">
      <w:tblPr/>
      <w:tcPr>
        <w:tcBorders>
          <w:top w:val="single" w:color="9ED9C5" w:themeColor="accent6" w:themeTint="99" w:sz="4" w:space="0"/>
        </w:tcBorders>
      </w:tcPr>
    </w:tblStylePr>
    <w:tblStylePr w:type="swCell">
      <w:tblPr/>
      <w:tcPr>
        <w:tcBorders>
          <w:top w:val="single" w:color="9ED9C5" w:themeColor="accent6" w:themeTint="99" w:sz="4" w:space="0"/>
        </w:tcBorders>
      </w:tcPr>
    </w:tblStylePr>
  </w:style>
  <w:style w:type="character" w:styleId="Hashtag">
    <w:name w:val="Hashtag"/>
    <w:basedOn w:val="DefaultParagraphFont"/>
    <w:uiPriority w:val="99"/>
    <w:semiHidden/>
    <w:rsid w:val="00911DE3"/>
    <w:rPr>
      <w:color w:val="2B579A"/>
      <w:shd w:val="clear" w:color="auto" w:fill="E1DFDD"/>
      <w:lang w:val="en-GB"/>
    </w:rPr>
  </w:style>
  <w:style w:type="paragraph" w:styleId="Header">
    <w:name w:val="header"/>
    <w:basedOn w:val="Normal"/>
    <w:link w:val="HeaderChar"/>
    <w:uiPriority w:val="13"/>
    <w:semiHidden/>
    <w:rsid w:val="00F12746"/>
    <w:pPr>
      <w:spacing w:after="0" w:line="200" w:lineRule="atLeast"/>
    </w:pPr>
    <w:rPr>
      <w:sz w:val="16"/>
    </w:rPr>
  </w:style>
  <w:style w:type="character" w:styleId="HeaderChar" w:customStyle="1">
    <w:name w:val="Header Char"/>
    <w:basedOn w:val="DefaultParagraphFont"/>
    <w:link w:val="Header"/>
    <w:uiPriority w:val="13"/>
    <w:semiHidden/>
    <w:rsid w:val="00F12746"/>
    <w:rPr>
      <w:sz w:val="16"/>
      <w:lang w:val="en-GB"/>
    </w:rPr>
  </w:style>
  <w:style w:type="character" w:styleId="Heading1Char" w:customStyle="1">
    <w:name w:val="Heading 1 Char"/>
    <w:basedOn w:val="DefaultParagraphFont"/>
    <w:link w:val="Heading1"/>
    <w:uiPriority w:val="1"/>
    <w:rsid w:val="004B13A3"/>
    <w:rPr>
      <w:rFonts w:cs="Arial" w:eastAsiaTheme="majorEastAsia"/>
      <w:b/>
      <w:sz w:val="28"/>
      <w:szCs w:val="32"/>
      <w:lang w:val="en-GB"/>
    </w:rPr>
  </w:style>
  <w:style w:type="character" w:styleId="Heading2Char" w:customStyle="1">
    <w:name w:val="Heading 2 Char"/>
    <w:basedOn w:val="DefaultParagraphFont"/>
    <w:link w:val="Heading2"/>
    <w:uiPriority w:val="1"/>
    <w:rsid w:val="004B13A3"/>
    <w:rPr>
      <w:rFonts w:cs="Arial" w:eastAsiaTheme="majorEastAsia"/>
      <w:b/>
      <w:sz w:val="24"/>
      <w:szCs w:val="26"/>
      <w:lang w:val="en-GB"/>
    </w:rPr>
  </w:style>
  <w:style w:type="character" w:styleId="Heading3Char" w:customStyle="1">
    <w:name w:val="Heading 3 Char"/>
    <w:basedOn w:val="DefaultParagraphFont"/>
    <w:link w:val="Heading3"/>
    <w:uiPriority w:val="1"/>
    <w:rsid w:val="004B13A3"/>
    <w:rPr>
      <w:rFonts w:cs="Arial" w:eastAsiaTheme="majorEastAsia"/>
      <w:b/>
      <w:szCs w:val="24"/>
      <w:lang w:val="en-GB"/>
    </w:rPr>
  </w:style>
  <w:style w:type="character" w:styleId="Heading4Char" w:customStyle="1">
    <w:name w:val="Heading 4 Char"/>
    <w:basedOn w:val="DefaultParagraphFont"/>
    <w:link w:val="Heading4"/>
    <w:uiPriority w:val="1"/>
    <w:rsid w:val="00083F49"/>
    <w:rPr>
      <w:rFonts w:cs="Arial" w:eastAsiaTheme="majorEastAsia"/>
      <w:i/>
      <w:iCs/>
      <w:lang w:val="en-GB"/>
    </w:rPr>
  </w:style>
  <w:style w:type="character" w:styleId="Heading5Char" w:customStyle="1">
    <w:name w:val="Heading 5 Char"/>
    <w:basedOn w:val="DefaultParagraphFont"/>
    <w:link w:val="Heading5"/>
    <w:uiPriority w:val="1"/>
    <w:rsid w:val="00083F49"/>
    <w:rPr>
      <w:rFonts w:cs="Segoe UI" w:eastAsiaTheme="majorEastAsia"/>
      <w:u w:val="single"/>
      <w:lang w:val="en-GB"/>
    </w:rPr>
  </w:style>
  <w:style w:type="character" w:styleId="Heading6Char" w:customStyle="1">
    <w:name w:val="Heading 6 Char"/>
    <w:basedOn w:val="DefaultParagraphFont"/>
    <w:link w:val="Heading6"/>
    <w:uiPriority w:val="1"/>
    <w:rsid w:val="00B76738"/>
    <w:rPr>
      <w:rFonts w:cs="Segoe UI" w:eastAsiaTheme="majorEastAsia"/>
      <w:lang w:val="en-GB"/>
    </w:rPr>
  </w:style>
  <w:style w:type="character" w:styleId="Heading7Char" w:customStyle="1">
    <w:name w:val="Heading 7 Char"/>
    <w:basedOn w:val="DefaultParagraphFont"/>
    <w:link w:val="Heading7"/>
    <w:uiPriority w:val="1"/>
    <w:rsid w:val="004B13A3"/>
    <w:rPr>
      <w:rFonts w:cs="Segoe UI" w:eastAsiaTheme="majorEastAsia"/>
      <w:iCs/>
      <w:lang w:val="en-GB"/>
    </w:rPr>
  </w:style>
  <w:style w:type="character" w:styleId="Heading8Char" w:customStyle="1">
    <w:name w:val="Heading 8 Char"/>
    <w:basedOn w:val="DefaultParagraphFont"/>
    <w:link w:val="Heading8"/>
    <w:uiPriority w:val="1"/>
    <w:rsid w:val="004B13A3"/>
    <w:rPr>
      <w:rFonts w:cs="Segoe UI" w:eastAsiaTheme="majorEastAsia"/>
      <w:szCs w:val="21"/>
      <w:lang w:val="en-GB"/>
    </w:rPr>
  </w:style>
  <w:style w:type="character" w:styleId="Heading9Char" w:customStyle="1">
    <w:name w:val="Heading 9 Char"/>
    <w:basedOn w:val="DefaultParagraphFont"/>
    <w:link w:val="Heading9"/>
    <w:uiPriority w:val="1"/>
    <w:rsid w:val="00B76738"/>
    <w:rPr>
      <w:rFonts w:ascii="Segoe UI Light" w:hAnsi="Segoe UI Light" w:cs="Segoe UI" w:eastAsiaTheme="majorEastAsia"/>
      <w:iCs/>
      <w:color w:val="5EC1A0" w:themeColor="accent6"/>
      <w:sz w:val="80"/>
      <w:szCs w:val="21"/>
      <w:lang w:val="en-GB"/>
    </w:rPr>
  </w:style>
  <w:style w:type="character" w:styleId="HTMLAcronym">
    <w:name w:val="HTML Acronym"/>
    <w:basedOn w:val="DefaultParagraphFont"/>
    <w:uiPriority w:val="99"/>
    <w:semiHidden/>
    <w:rsid w:val="00911DE3"/>
    <w:rPr>
      <w:lang w:val="en-GB"/>
    </w:rPr>
  </w:style>
  <w:style w:type="paragraph" w:styleId="HTMLAddress">
    <w:name w:val="HTML Address"/>
    <w:basedOn w:val="Normal"/>
    <w:link w:val="HTMLAddressChar"/>
    <w:uiPriority w:val="99"/>
    <w:semiHidden/>
    <w:rsid w:val="00911DE3"/>
    <w:pPr>
      <w:spacing w:after="0" w:line="240" w:lineRule="auto"/>
    </w:pPr>
    <w:rPr>
      <w:i/>
      <w:iCs/>
    </w:rPr>
  </w:style>
  <w:style w:type="character" w:styleId="HTMLAddressChar" w:customStyle="1">
    <w:name w:val="HTML Address Char"/>
    <w:basedOn w:val="DefaultParagraphFont"/>
    <w:link w:val="HTMLAddress"/>
    <w:uiPriority w:val="99"/>
    <w:semiHidden/>
    <w:rsid w:val="00911DE3"/>
    <w:rPr>
      <w:i/>
      <w:iCs/>
      <w:lang w:val="en-GB"/>
    </w:rPr>
  </w:style>
  <w:style w:type="character" w:styleId="HTMLCite">
    <w:name w:val="HTML Cite"/>
    <w:basedOn w:val="DefaultParagraphFont"/>
    <w:uiPriority w:val="99"/>
    <w:semiHidden/>
    <w:rsid w:val="00911DE3"/>
    <w:rPr>
      <w:i/>
      <w:iCs/>
      <w:lang w:val="en-GB"/>
    </w:rPr>
  </w:style>
  <w:style w:type="character" w:styleId="HTMLCode">
    <w:name w:val="HTML Code"/>
    <w:basedOn w:val="DefaultParagraphFont"/>
    <w:uiPriority w:val="99"/>
    <w:semiHidden/>
    <w:rsid w:val="00911DE3"/>
    <w:rPr>
      <w:rFonts w:ascii="Segoe UI" w:hAnsi="Segoe UI" w:cs="Segoe UI"/>
      <w:sz w:val="20"/>
      <w:szCs w:val="20"/>
      <w:lang w:val="en-GB"/>
    </w:rPr>
  </w:style>
  <w:style w:type="character" w:styleId="HTMLDefinition">
    <w:name w:val="HTML Definition"/>
    <w:basedOn w:val="DefaultParagraphFont"/>
    <w:uiPriority w:val="99"/>
    <w:semiHidden/>
    <w:rsid w:val="00911DE3"/>
    <w:rPr>
      <w:i/>
      <w:iCs/>
      <w:lang w:val="en-GB"/>
    </w:rPr>
  </w:style>
  <w:style w:type="character" w:styleId="HTMLKeyboard">
    <w:name w:val="HTML Keyboard"/>
    <w:basedOn w:val="DefaultParagraphFont"/>
    <w:uiPriority w:val="99"/>
    <w:semiHidden/>
    <w:rsid w:val="00911DE3"/>
    <w:rPr>
      <w:rFonts w:ascii="Segoe UI" w:hAnsi="Segoe UI" w:cs="Segoe UI"/>
      <w:sz w:val="20"/>
      <w:szCs w:val="20"/>
      <w:lang w:val="en-GB"/>
    </w:rPr>
  </w:style>
  <w:style w:type="paragraph" w:styleId="HTMLPreformatted">
    <w:name w:val="HTML Preformatted"/>
    <w:basedOn w:val="Normal"/>
    <w:link w:val="HTMLPreformattedChar"/>
    <w:uiPriority w:val="99"/>
    <w:semiHidden/>
    <w:rsid w:val="00911DE3"/>
    <w:pPr>
      <w:spacing w:after="0" w:line="240" w:lineRule="auto"/>
    </w:pPr>
    <w:rPr>
      <w:rFonts w:cs="Arial"/>
    </w:rPr>
  </w:style>
  <w:style w:type="character" w:styleId="HTMLPreformattedChar" w:customStyle="1">
    <w:name w:val="HTML Preformatted Char"/>
    <w:basedOn w:val="DefaultParagraphFont"/>
    <w:link w:val="HTMLPreformatted"/>
    <w:uiPriority w:val="99"/>
    <w:semiHidden/>
    <w:rsid w:val="00911DE3"/>
    <w:rPr>
      <w:rFonts w:cs="Arial"/>
      <w:lang w:val="en-GB"/>
    </w:rPr>
  </w:style>
  <w:style w:type="character" w:styleId="HTMLSample">
    <w:name w:val="HTML Sample"/>
    <w:basedOn w:val="DefaultParagraphFont"/>
    <w:uiPriority w:val="99"/>
    <w:semiHidden/>
    <w:rsid w:val="00911DE3"/>
    <w:rPr>
      <w:rFonts w:ascii="Segoe UI" w:hAnsi="Segoe UI" w:cs="Segoe UI"/>
      <w:sz w:val="24"/>
      <w:szCs w:val="24"/>
      <w:lang w:val="en-GB"/>
    </w:rPr>
  </w:style>
  <w:style w:type="character" w:styleId="HTMLTypewriter">
    <w:name w:val="HTML Typewriter"/>
    <w:basedOn w:val="DefaultParagraphFont"/>
    <w:uiPriority w:val="99"/>
    <w:semiHidden/>
    <w:rsid w:val="00911DE3"/>
    <w:rPr>
      <w:rFonts w:ascii="Segoe UI" w:hAnsi="Segoe UI" w:cs="Segoe UI"/>
      <w:sz w:val="20"/>
      <w:szCs w:val="20"/>
      <w:lang w:val="en-GB"/>
    </w:rPr>
  </w:style>
  <w:style w:type="character" w:styleId="HTMLVariable">
    <w:name w:val="HTML Variable"/>
    <w:basedOn w:val="DefaultParagraphFont"/>
    <w:uiPriority w:val="99"/>
    <w:semiHidden/>
    <w:rsid w:val="00911DE3"/>
    <w:rPr>
      <w:i/>
      <w:iCs/>
      <w:lang w:val="en-GB"/>
    </w:rPr>
  </w:style>
  <w:style w:type="character" w:styleId="Hyperlink">
    <w:name w:val="Hyperlink"/>
    <w:basedOn w:val="DefaultParagraphFont"/>
    <w:uiPriority w:val="99"/>
    <w:rsid w:val="00911DE3"/>
    <w:rPr>
      <w:color w:val="1B10F8" w:themeColor="hyperlink"/>
      <w:u w:val="single"/>
      <w:lang w:val="en-GB"/>
    </w:rPr>
  </w:style>
  <w:style w:type="paragraph" w:styleId="Index1">
    <w:name w:val="index 1"/>
    <w:basedOn w:val="Normal"/>
    <w:next w:val="Normal"/>
    <w:autoRedefine/>
    <w:uiPriority w:val="99"/>
    <w:semiHidden/>
    <w:rsid w:val="00911DE3"/>
    <w:pPr>
      <w:spacing w:after="0" w:line="240" w:lineRule="auto"/>
      <w:ind w:left="200" w:hanging="200"/>
    </w:pPr>
  </w:style>
  <w:style w:type="paragraph" w:styleId="Index2">
    <w:name w:val="index 2"/>
    <w:basedOn w:val="Normal"/>
    <w:next w:val="Normal"/>
    <w:autoRedefine/>
    <w:uiPriority w:val="99"/>
    <w:semiHidden/>
    <w:rsid w:val="00911DE3"/>
    <w:pPr>
      <w:spacing w:after="0" w:line="240" w:lineRule="auto"/>
      <w:ind w:left="400" w:hanging="200"/>
    </w:pPr>
  </w:style>
  <w:style w:type="paragraph" w:styleId="Index3">
    <w:name w:val="index 3"/>
    <w:basedOn w:val="Normal"/>
    <w:next w:val="Normal"/>
    <w:autoRedefine/>
    <w:uiPriority w:val="99"/>
    <w:semiHidden/>
    <w:rsid w:val="00911DE3"/>
    <w:pPr>
      <w:spacing w:after="0" w:line="240" w:lineRule="auto"/>
      <w:ind w:left="600" w:hanging="200"/>
    </w:pPr>
  </w:style>
  <w:style w:type="paragraph" w:styleId="Index4">
    <w:name w:val="index 4"/>
    <w:basedOn w:val="Normal"/>
    <w:next w:val="Normal"/>
    <w:autoRedefine/>
    <w:uiPriority w:val="99"/>
    <w:semiHidden/>
    <w:rsid w:val="00911DE3"/>
    <w:pPr>
      <w:spacing w:after="0" w:line="240" w:lineRule="auto"/>
      <w:ind w:left="800" w:hanging="200"/>
    </w:pPr>
  </w:style>
  <w:style w:type="paragraph" w:styleId="Index5">
    <w:name w:val="index 5"/>
    <w:basedOn w:val="Normal"/>
    <w:next w:val="Normal"/>
    <w:autoRedefine/>
    <w:uiPriority w:val="99"/>
    <w:semiHidden/>
    <w:rsid w:val="00911DE3"/>
    <w:pPr>
      <w:spacing w:after="0" w:line="240" w:lineRule="auto"/>
      <w:ind w:left="1000" w:hanging="200"/>
    </w:pPr>
  </w:style>
  <w:style w:type="paragraph" w:styleId="Index6">
    <w:name w:val="index 6"/>
    <w:basedOn w:val="Normal"/>
    <w:next w:val="Normal"/>
    <w:autoRedefine/>
    <w:uiPriority w:val="99"/>
    <w:semiHidden/>
    <w:rsid w:val="00911DE3"/>
    <w:pPr>
      <w:spacing w:after="0" w:line="240" w:lineRule="auto"/>
      <w:ind w:left="1200" w:hanging="200"/>
    </w:pPr>
  </w:style>
  <w:style w:type="paragraph" w:styleId="Index7">
    <w:name w:val="index 7"/>
    <w:basedOn w:val="Normal"/>
    <w:next w:val="Normal"/>
    <w:autoRedefine/>
    <w:uiPriority w:val="99"/>
    <w:semiHidden/>
    <w:rsid w:val="00911DE3"/>
    <w:pPr>
      <w:spacing w:after="0" w:line="240" w:lineRule="auto"/>
      <w:ind w:left="1400" w:hanging="200"/>
    </w:pPr>
  </w:style>
  <w:style w:type="paragraph" w:styleId="Index8">
    <w:name w:val="index 8"/>
    <w:basedOn w:val="Normal"/>
    <w:next w:val="Normal"/>
    <w:autoRedefine/>
    <w:uiPriority w:val="99"/>
    <w:semiHidden/>
    <w:rsid w:val="00911DE3"/>
    <w:pPr>
      <w:spacing w:after="0" w:line="240" w:lineRule="auto"/>
      <w:ind w:left="1600" w:hanging="200"/>
    </w:pPr>
  </w:style>
  <w:style w:type="paragraph" w:styleId="Index9">
    <w:name w:val="index 9"/>
    <w:basedOn w:val="Normal"/>
    <w:next w:val="Normal"/>
    <w:autoRedefine/>
    <w:uiPriority w:val="99"/>
    <w:semiHidden/>
    <w:rsid w:val="00911DE3"/>
    <w:pPr>
      <w:spacing w:after="0" w:line="240" w:lineRule="auto"/>
      <w:ind w:left="1800" w:hanging="200"/>
    </w:pPr>
  </w:style>
  <w:style w:type="paragraph" w:styleId="IndexHeading">
    <w:name w:val="index heading"/>
    <w:basedOn w:val="Normal"/>
    <w:next w:val="Index1"/>
    <w:uiPriority w:val="99"/>
    <w:semiHidden/>
    <w:rsid w:val="00911DE3"/>
    <w:pPr>
      <w:spacing w:after="0"/>
    </w:pPr>
    <w:rPr>
      <w:rFonts w:cs="Arial" w:eastAsiaTheme="majorEastAsia"/>
      <w:b/>
      <w:bCs/>
    </w:rPr>
  </w:style>
  <w:style w:type="character" w:styleId="IntenseEmphasis">
    <w:name w:val="Intense Emphasis"/>
    <w:basedOn w:val="DefaultParagraphFont"/>
    <w:uiPriority w:val="99"/>
    <w:semiHidden/>
    <w:qFormat/>
    <w:rsid w:val="00901321"/>
    <w:rPr>
      <w:i/>
      <w:iCs/>
      <w:color w:val="C4D5D3" w:themeColor="accent1"/>
      <w:lang w:val="en-GB"/>
    </w:rPr>
  </w:style>
  <w:style w:type="paragraph" w:styleId="IntenseQuote">
    <w:name w:val="Intense Quote"/>
    <w:basedOn w:val="Normal"/>
    <w:next w:val="Normal"/>
    <w:link w:val="IntenseQuoteChar"/>
    <w:uiPriority w:val="99"/>
    <w:semiHidden/>
    <w:qFormat/>
    <w:rsid w:val="00901321"/>
    <w:pPr>
      <w:pBdr>
        <w:top w:val="single" w:color="C4D5D3" w:themeColor="accent1" w:sz="4" w:space="10"/>
        <w:bottom w:val="single" w:color="C4D5D3" w:themeColor="accent1" w:sz="4" w:space="10"/>
      </w:pBdr>
      <w:spacing w:before="360" w:after="360"/>
      <w:ind w:left="864" w:right="864"/>
      <w:jc w:val="center"/>
    </w:pPr>
    <w:rPr>
      <w:i/>
      <w:iCs/>
      <w:color w:val="C4D5D3" w:themeColor="accent1"/>
    </w:rPr>
  </w:style>
  <w:style w:type="character" w:styleId="IntenseQuoteChar" w:customStyle="1">
    <w:name w:val="Intense Quote Char"/>
    <w:basedOn w:val="DefaultParagraphFont"/>
    <w:link w:val="IntenseQuote"/>
    <w:uiPriority w:val="99"/>
    <w:semiHidden/>
    <w:rsid w:val="00901321"/>
    <w:rPr>
      <w:i/>
      <w:iCs/>
      <w:color w:val="C4D5D3" w:themeColor="accent1"/>
      <w:lang w:val="en-GB"/>
    </w:rPr>
  </w:style>
  <w:style w:type="character" w:styleId="IntenseReference">
    <w:name w:val="Intense Reference"/>
    <w:basedOn w:val="DefaultParagraphFont"/>
    <w:uiPriority w:val="99"/>
    <w:semiHidden/>
    <w:qFormat/>
    <w:rsid w:val="00901321"/>
    <w:rPr>
      <w:b/>
      <w:bCs/>
      <w:smallCaps/>
      <w:color w:val="C4D5D3" w:themeColor="accent1"/>
      <w:spacing w:val="5"/>
      <w:lang w:val="en-GB"/>
    </w:rPr>
  </w:style>
  <w:style w:type="table" w:styleId="LightGrid">
    <w:name w:val="Light Grid"/>
    <w:basedOn w:val="TableNormal"/>
    <w:uiPriority w:val="99"/>
    <w:semiHidden/>
    <w:unhideWhenUsed/>
    <w:rsid w:val="00911DE3"/>
    <w:pPr>
      <w:spacing w:line="240" w:lineRule="auto"/>
    </w:pPr>
    <w:tblPr>
      <w:tblStyleRowBandSize w:val="1"/>
      <w:tblStyleColBandSize w:val="1"/>
      <w:tblBorders>
        <w:top w:val="single" w:color="303030" w:themeColor="text1" w:sz="8" w:space="0"/>
        <w:left w:val="single" w:color="303030" w:themeColor="text1" w:sz="8" w:space="0"/>
        <w:bottom w:val="single" w:color="303030" w:themeColor="text1" w:sz="8" w:space="0"/>
        <w:right w:val="single" w:color="303030" w:themeColor="text1" w:sz="8" w:space="0"/>
        <w:insideH w:val="single" w:color="303030" w:themeColor="text1" w:sz="8" w:space="0"/>
        <w:insideV w:val="single" w:color="30303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03030" w:themeColor="text1" w:sz="8" w:space="0"/>
          <w:left w:val="single" w:color="303030" w:themeColor="text1" w:sz="8" w:space="0"/>
          <w:bottom w:val="single" w:color="303030" w:themeColor="text1" w:sz="18" w:space="0"/>
          <w:right w:val="single" w:color="303030" w:themeColor="text1" w:sz="8" w:space="0"/>
          <w:insideH w:val="nil"/>
          <w:insideV w:val="single" w:color="30303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03030" w:themeColor="text1" w:sz="6" w:space="0"/>
          <w:left w:val="single" w:color="303030" w:themeColor="text1" w:sz="8" w:space="0"/>
          <w:bottom w:val="single" w:color="303030" w:themeColor="text1" w:sz="8" w:space="0"/>
          <w:right w:val="single" w:color="303030" w:themeColor="text1" w:sz="8" w:space="0"/>
          <w:insideH w:val="nil"/>
          <w:insideV w:val="single" w:color="30303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03030" w:themeColor="text1" w:sz="8" w:space="0"/>
          <w:left w:val="single" w:color="303030" w:themeColor="text1" w:sz="8" w:space="0"/>
          <w:bottom w:val="single" w:color="303030" w:themeColor="text1" w:sz="8" w:space="0"/>
          <w:right w:val="single" w:color="303030" w:themeColor="text1" w:sz="8" w:space="0"/>
        </w:tcBorders>
      </w:tcPr>
    </w:tblStylePr>
    <w:tblStylePr w:type="band1Vert">
      <w:tblPr/>
      <w:tcPr>
        <w:tcBorders>
          <w:top w:val="single" w:color="303030" w:themeColor="text1" w:sz="8" w:space="0"/>
          <w:left w:val="single" w:color="303030" w:themeColor="text1" w:sz="8" w:space="0"/>
          <w:bottom w:val="single" w:color="303030" w:themeColor="text1" w:sz="8" w:space="0"/>
          <w:right w:val="single" w:color="303030" w:themeColor="text1" w:sz="8" w:space="0"/>
        </w:tcBorders>
        <w:shd w:val="clear" w:color="auto" w:fill="CBCBCB" w:themeFill="text1" w:themeFillTint="3F"/>
      </w:tcPr>
    </w:tblStylePr>
    <w:tblStylePr w:type="band1Horz">
      <w:tblPr/>
      <w:tcPr>
        <w:tcBorders>
          <w:top w:val="single" w:color="303030" w:themeColor="text1" w:sz="8" w:space="0"/>
          <w:left w:val="single" w:color="303030" w:themeColor="text1" w:sz="8" w:space="0"/>
          <w:bottom w:val="single" w:color="303030" w:themeColor="text1" w:sz="8" w:space="0"/>
          <w:right w:val="single" w:color="303030" w:themeColor="text1" w:sz="8" w:space="0"/>
          <w:insideV w:val="single" w:color="303030" w:themeColor="text1" w:sz="8" w:space="0"/>
        </w:tcBorders>
        <w:shd w:val="clear" w:color="auto" w:fill="CBCBCB" w:themeFill="text1" w:themeFillTint="3F"/>
      </w:tcPr>
    </w:tblStylePr>
    <w:tblStylePr w:type="band2Horz">
      <w:tblPr/>
      <w:tcPr>
        <w:tcBorders>
          <w:top w:val="single" w:color="303030" w:themeColor="text1" w:sz="8" w:space="0"/>
          <w:left w:val="single" w:color="303030" w:themeColor="text1" w:sz="8" w:space="0"/>
          <w:bottom w:val="single" w:color="303030" w:themeColor="text1" w:sz="8" w:space="0"/>
          <w:right w:val="single" w:color="303030" w:themeColor="text1" w:sz="8" w:space="0"/>
          <w:insideV w:val="single" w:color="303030" w:themeColor="text1" w:sz="8" w:space="0"/>
        </w:tcBorders>
      </w:tcPr>
    </w:tblStylePr>
  </w:style>
  <w:style w:type="table" w:styleId="LightGrid-Accent1">
    <w:name w:val="Light Grid Accent 1"/>
    <w:basedOn w:val="TableNormal"/>
    <w:uiPriority w:val="99"/>
    <w:semiHidden/>
    <w:unhideWhenUsed/>
    <w:rsid w:val="00911DE3"/>
    <w:pPr>
      <w:spacing w:line="240" w:lineRule="auto"/>
    </w:pPr>
    <w:tblPr>
      <w:tblStyleRowBandSize w:val="1"/>
      <w:tblStyleColBandSize w:val="1"/>
      <w:tblBorders>
        <w:top w:val="single" w:color="C4D5D3" w:themeColor="accent1" w:sz="8" w:space="0"/>
        <w:left w:val="single" w:color="C4D5D3" w:themeColor="accent1" w:sz="8" w:space="0"/>
        <w:bottom w:val="single" w:color="C4D5D3" w:themeColor="accent1" w:sz="8" w:space="0"/>
        <w:right w:val="single" w:color="C4D5D3" w:themeColor="accent1" w:sz="8" w:space="0"/>
        <w:insideH w:val="single" w:color="C4D5D3" w:themeColor="accent1" w:sz="8" w:space="0"/>
        <w:insideV w:val="single" w:color="C4D5D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4D5D3" w:themeColor="accent1" w:sz="8" w:space="0"/>
          <w:left w:val="single" w:color="C4D5D3" w:themeColor="accent1" w:sz="8" w:space="0"/>
          <w:bottom w:val="single" w:color="C4D5D3" w:themeColor="accent1" w:sz="18" w:space="0"/>
          <w:right w:val="single" w:color="C4D5D3" w:themeColor="accent1" w:sz="8" w:space="0"/>
          <w:insideH w:val="nil"/>
          <w:insideV w:val="single" w:color="C4D5D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4D5D3" w:themeColor="accent1" w:sz="6" w:space="0"/>
          <w:left w:val="single" w:color="C4D5D3" w:themeColor="accent1" w:sz="8" w:space="0"/>
          <w:bottom w:val="single" w:color="C4D5D3" w:themeColor="accent1" w:sz="8" w:space="0"/>
          <w:right w:val="single" w:color="C4D5D3" w:themeColor="accent1" w:sz="8" w:space="0"/>
          <w:insideH w:val="nil"/>
          <w:insideV w:val="single" w:color="C4D5D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4D5D3" w:themeColor="accent1" w:sz="8" w:space="0"/>
          <w:left w:val="single" w:color="C4D5D3" w:themeColor="accent1" w:sz="8" w:space="0"/>
          <w:bottom w:val="single" w:color="C4D5D3" w:themeColor="accent1" w:sz="8" w:space="0"/>
          <w:right w:val="single" w:color="C4D5D3" w:themeColor="accent1" w:sz="8" w:space="0"/>
        </w:tcBorders>
      </w:tcPr>
    </w:tblStylePr>
    <w:tblStylePr w:type="band1Vert">
      <w:tblPr/>
      <w:tcPr>
        <w:tcBorders>
          <w:top w:val="single" w:color="C4D5D3" w:themeColor="accent1" w:sz="8" w:space="0"/>
          <w:left w:val="single" w:color="C4D5D3" w:themeColor="accent1" w:sz="8" w:space="0"/>
          <w:bottom w:val="single" w:color="C4D5D3" w:themeColor="accent1" w:sz="8" w:space="0"/>
          <w:right w:val="single" w:color="C4D5D3" w:themeColor="accent1" w:sz="8" w:space="0"/>
        </w:tcBorders>
        <w:shd w:val="clear" w:color="auto" w:fill="F0F4F4" w:themeFill="accent1" w:themeFillTint="3F"/>
      </w:tcPr>
    </w:tblStylePr>
    <w:tblStylePr w:type="band1Horz">
      <w:tblPr/>
      <w:tcPr>
        <w:tcBorders>
          <w:top w:val="single" w:color="C4D5D3" w:themeColor="accent1" w:sz="8" w:space="0"/>
          <w:left w:val="single" w:color="C4D5D3" w:themeColor="accent1" w:sz="8" w:space="0"/>
          <w:bottom w:val="single" w:color="C4D5D3" w:themeColor="accent1" w:sz="8" w:space="0"/>
          <w:right w:val="single" w:color="C4D5D3" w:themeColor="accent1" w:sz="8" w:space="0"/>
          <w:insideV w:val="single" w:color="C4D5D3" w:themeColor="accent1" w:sz="8" w:space="0"/>
        </w:tcBorders>
        <w:shd w:val="clear" w:color="auto" w:fill="F0F4F4" w:themeFill="accent1" w:themeFillTint="3F"/>
      </w:tcPr>
    </w:tblStylePr>
    <w:tblStylePr w:type="band2Horz">
      <w:tblPr/>
      <w:tcPr>
        <w:tcBorders>
          <w:top w:val="single" w:color="C4D5D3" w:themeColor="accent1" w:sz="8" w:space="0"/>
          <w:left w:val="single" w:color="C4D5D3" w:themeColor="accent1" w:sz="8" w:space="0"/>
          <w:bottom w:val="single" w:color="C4D5D3" w:themeColor="accent1" w:sz="8" w:space="0"/>
          <w:right w:val="single" w:color="C4D5D3" w:themeColor="accent1" w:sz="8" w:space="0"/>
          <w:insideV w:val="single" w:color="C4D5D3" w:themeColor="accent1" w:sz="8" w:space="0"/>
        </w:tcBorders>
      </w:tcPr>
    </w:tblStylePr>
  </w:style>
  <w:style w:type="table" w:styleId="LightGrid-Accent2">
    <w:name w:val="Light Grid Accent 2"/>
    <w:basedOn w:val="TableNormal"/>
    <w:uiPriority w:val="99"/>
    <w:semiHidden/>
    <w:unhideWhenUsed/>
    <w:rsid w:val="00911DE3"/>
    <w:pPr>
      <w:spacing w:line="240" w:lineRule="auto"/>
    </w:pPr>
    <w:tblPr>
      <w:tblStyleRowBandSize w:val="1"/>
      <w:tblStyleColBandSize w:val="1"/>
      <w:tblBorders>
        <w:top w:val="single" w:color="86A9A6" w:themeColor="accent2" w:sz="8" w:space="0"/>
        <w:left w:val="single" w:color="86A9A6" w:themeColor="accent2" w:sz="8" w:space="0"/>
        <w:bottom w:val="single" w:color="86A9A6" w:themeColor="accent2" w:sz="8" w:space="0"/>
        <w:right w:val="single" w:color="86A9A6" w:themeColor="accent2" w:sz="8" w:space="0"/>
        <w:insideH w:val="single" w:color="86A9A6" w:themeColor="accent2" w:sz="8" w:space="0"/>
        <w:insideV w:val="single" w:color="86A9A6"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6A9A6" w:themeColor="accent2" w:sz="8" w:space="0"/>
          <w:left w:val="single" w:color="86A9A6" w:themeColor="accent2" w:sz="8" w:space="0"/>
          <w:bottom w:val="single" w:color="86A9A6" w:themeColor="accent2" w:sz="18" w:space="0"/>
          <w:right w:val="single" w:color="86A9A6" w:themeColor="accent2" w:sz="8" w:space="0"/>
          <w:insideH w:val="nil"/>
          <w:insideV w:val="single" w:color="86A9A6"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6A9A6" w:themeColor="accent2" w:sz="6" w:space="0"/>
          <w:left w:val="single" w:color="86A9A6" w:themeColor="accent2" w:sz="8" w:space="0"/>
          <w:bottom w:val="single" w:color="86A9A6" w:themeColor="accent2" w:sz="8" w:space="0"/>
          <w:right w:val="single" w:color="86A9A6" w:themeColor="accent2" w:sz="8" w:space="0"/>
          <w:insideH w:val="nil"/>
          <w:insideV w:val="single" w:color="86A9A6"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6A9A6" w:themeColor="accent2" w:sz="8" w:space="0"/>
          <w:left w:val="single" w:color="86A9A6" w:themeColor="accent2" w:sz="8" w:space="0"/>
          <w:bottom w:val="single" w:color="86A9A6" w:themeColor="accent2" w:sz="8" w:space="0"/>
          <w:right w:val="single" w:color="86A9A6" w:themeColor="accent2" w:sz="8" w:space="0"/>
        </w:tcBorders>
      </w:tcPr>
    </w:tblStylePr>
    <w:tblStylePr w:type="band1Vert">
      <w:tblPr/>
      <w:tcPr>
        <w:tcBorders>
          <w:top w:val="single" w:color="86A9A6" w:themeColor="accent2" w:sz="8" w:space="0"/>
          <w:left w:val="single" w:color="86A9A6" w:themeColor="accent2" w:sz="8" w:space="0"/>
          <w:bottom w:val="single" w:color="86A9A6" w:themeColor="accent2" w:sz="8" w:space="0"/>
          <w:right w:val="single" w:color="86A9A6" w:themeColor="accent2" w:sz="8" w:space="0"/>
        </w:tcBorders>
        <w:shd w:val="clear" w:color="auto" w:fill="E1E9E8" w:themeFill="accent2" w:themeFillTint="3F"/>
      </w:tcPr>
    </w:tblStylePr>
    <w:tblStylePr w:type="band1Horz">
      <w:tblPr/>
      <w:tcPr>
        <w:tcBorders>
          <w:top w:val="single" w:color="86A9A6" w:themeColor="accent2" w:sz="8" w:space="0"/>
          <w:left w:val="single" w:color="86A9A6" w:themeColor="accent2" w:sz="8" w:space="0"/>
          <w:bottom w:val="single" w:color="86A9A6" w:themeColor="accent2" w:sz="8" w:space="0"/>
          <w:right w:val="single" w:color="86A9A6" w:themeColor="accent2" w:sz="8" w:space="0"/>
          <w:insideV w:val="single" w:color="86A9A6" w:themeColor="accent2" w:sz="8" w:space="0"/>
        </w:tcBorders>
        <w:shd w:val="clear" w:color="auto" w:fill="E1E9E8" w:themeFill="accent2" w:themeFillTint="3F"/>
      </w:tcPr>
    </w:tblStylePr>
    <w:tblStylePr w:type="band2Horz">
      <w:tblPr/>
      <w:tcPr>
        <w:tcBorders>
          <w:top w:val="single" w:color="86A9A6" w:themeColor="accent2" w:sz="8" w:space="0"/>
          <w:left w:val="single" w:color="86A9A6" w:themeColor="accent2" w:sz="8" w:space="0"/>
          <w:bottom w:val="single" w:color="86A9A6" w:themeColor="accent2" w:sz="8" w:space="0"/>
          <w:right w:val="single" w:color="86A9A6" w:themeColor="accent2" w:sz="8" w:space="0"/>
          <w:insideV w:val="single" w:color="86A9A6" w:themeColor="accent2" w:sz="8" w:space="0"/>
        </w:tcBorders>
      </w:tcPr>
    </w:tblStylePr>
  </w:style>
  <w:style w:type="table" w:styleId="LightGrid-Accent3">
    <w:name w:val="Light Grid Accent 3"/>
    <w:basedOn w:val="TableNormal"/>
    <w:uiPriority w:val="99"/>
    <w:semiHidden/>
    <w:unhideWhenUsed/>
    <w:rsid w:val="00911DE3"/>
    <w:pPr>
      <w:spacing w:line="240" w:lineRule="auto"/>
    </w:pPr>
    <w:tblPr>
      <w:tblStyleRowBandSize w:val="1"/>
      <w:tblStyleColBandSize w:val="1"/>
      <w:tblBorders>
        <w:top w:val="single" w:color="5E8D89" w:themeColor="accent3" w:sz="8" w:space="0"/>
        <w:left w:val="single" w:color="5E8D89" w:themeColor="accent3" w:sz="8" w:space="0"/>
        <w:bottom w:val="single" w:color="5E8D89" w:themeColor="accent3" w:sz="8" w:space="0"/>
        <w:right w:val="single" w:color="5E8D89" w:themeColor="accent3" w:sz="8" w:space="0"/>
        <w:insideH w:val="single" w:color="5E8D89" w:themeColor="accent3" w:sz="8" w:space="0"/>
        <w:insideV w:val="single" w:color="5E8D8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E8D89" w:themeColor="accent3" w:sz="8" w:space="0"/>
          <w:left w:val="single" w:color="5E8D89" w:themeColor="accent3" w:sz="8" w:space="0"/>
          <w:bottom w:val="single" w:color="5E8D89" w:themeColor="accent3" w:sz="18" w:space="0"/>
          <w:right w:val="single" w:color="5E8D89" w:themeColor="accent3" w:sz="8" w:space="0"/>
          <w:insideH w:val="nil"/>
          <w:insideV w:val="single" w:color="5E8D8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E8D89" w:themeColor="accent3" w:sz="6" w:space="0"/>
          <w:left w:val="single" w:color="5E8D89" w:themeColor="accent3" w:sz="8" w:space="0"/>
          <w:bottom w:val="single" w:color="5E8D89" w:themeColor="accent3" w:sz="8" w:space="0"/>
          <w:right w:val="single" w:color="5E8D89" w:themeColor="accent3" w:sz="8" w:space="0"/>
          <w:insideH w:val="nil"/>
          <w:insideV w:val="single" w:color="5E8D8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E8D89" w:themeColor="accent3" w:sz="8" w:space="0"/>
          <w:left w:val="single" w:color="5E8D89" w:themeColor="accent3" w:sz="8" w:space="0"/>
          <w:bottom w:val="single" w:color="5E8D89" w:themeColor="accent3" w:sz="8" w:space="0"/>
          <w:right w:val="single" w:color="5E8D89" w:themeColor="accent3" w:sz="8" w:space="0"/>
        </w:tcBorders>
      </w:tcPr>
    </w:tblStylePr>
    <w:tblStylePr w:type="band1Vert">
      <w:tblPr/>
      <w:tcPr>
        <w:tcBorders>
          <w:top w:val="single" w:color="5E8D89" w:themeColor="accent3" w:sz="8" w:space="0"/>
          <w:left w:val="single" w:color="5E8D89" w:themeColor="accent3" w:sz="8" w:space="0"/>
          <w:bottom w:val="single" w:color="5E8D89" w:themeColor="accent3" w:sz="8" w:space="0"/>
          <w:right w:val="single" w:color="5E8D89" w:themeColor="accent3" w:sz="8" w:space="0"/>
        </w:tcBorders>
        <w:shd w:val="clear" w:color="auto" w:fill="D6E3E2" w:themeFill="accent3" w:themeFillTint="3F"/>
      </w:tcPr>
    </w:tblStylePr>
    <w:tblStylePr w:type="band1Horz">
      <w:tblPr/>
      <w:tcPr>
        <w:tcBorders>
          <w:top w:val="single" w:color="5E8D89" w:themeColor="accent3" w:sz="8" w:space="0"/>
          <w:left w:val="single" w:color="5E8D89" w:themeColor="accent3" w:sz="8" w:space="0"/>
          <w:bottom w:val="single" w:color="5E8D89" w:themeColor="accent3" w:sz="8" w:space="0"/>
          <w:right w:val="single" w:color="5E8D89" w:themeColor="accent3" w:sz="8" w:space="0"/>
          <w:insideV w:val="single" w:color="5E8D89" w:themeColor="accent3" w:sz="8" w:space="0"/>
        </w:tcBorders>
        <w:shd w:val="clear" w:color="auto" w:fill="D6E3E2" w:themeFill="accent3" w:themeFillTint="3F"/>
      </w:tcPr>
    </w:tblStylePr>
    <w:tblStylePr w:type="band2Horz">
      <w:tblPr/>
      <w:tcPr>
        <w:tcBorders>
          <w:top w:val="single" w:color="5E8D89" w:themeColor="accent3" w:sz="8" w:space="0"/>
          <w:left w:val="single" w:color="5E8D89" w:themeColor="accent3" w:sz="8" w:space="0"/>
          <w:bottom w:val="single" w:color="5E8D89" w:themeColor="accent3" w:sz="8" w:space="0"/>
          <w:right w:val="single" w:color="5E8D89" w:themeColor="accent3" w:sz="8" w:space="0"/>
          <w:insideV w:val="single" w:color="5E8D89" w:themeColor="accent3" w:sz="8" w:space="0"/>
        </w:tcBorders>
      </w:tcPr>
    </w:tblStylePr>
  </w:style>
  <w:style w:type="table" w:styleId="LightGrid-Accent4">
    <w:name w:val="Light Grid Accent 4"/>
    <w:basedOn w:val="TableNormal"/>
    <w:uiPriority w:val="99"/>
    <w:semiHidden/>
    <w:unhideWhenUsed/>
    <w:rsid w:val="00911DE3"/>
    <w:pPr>
      <w:spacing w:line="240" w:lineRule="auto"/>
    </w:pPr>
    <w:tblPr>
      <w:tblStyleRowBandSize w:val="1"/>
      <w:tblStyleColBandSize w:val="1"/>
      <w:tblBorders>
        <w:top w:val="single" w:color="36706B" w:themeColor="accent4" w:sz="8" w:space="0"/>
        <w:left w:val="single" w:color="36706B" w:themeColor="accent4" w:sz="8" w:space="0"/>
        <w:bottom w:val="single" w:color="36706B" w:themeColor="accent4" w:sz="8" w:space="0"/>
        <w:right w:val="single" w:color="36706B" w:themeColor="accent4" w:sz="8" w:space="0"/>
        <w:insideH w:val="single" w:color="36706B" w:themeColor="accent4" w:sz="8" w:space="0"/>
        <w:insideV w:val="single" w:color="36706B"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6706B" w:themeColor="accent4" w:sz="8" w:space="0"/>
          <w:left w:val="single" w:color="36706B" w:themeColor="accent4" w:sz="8" w:space="0"/>
          <w:bottom w:val="single" w:color="36706B" w:themeColor="accent4" w:sz="18" w:space="0"/>
          <w:right w:val="single" w:color="36706B" w:themeColor="accent4" w:sz="8" w:space="0"/>
          <w:insideH w:val="nil"/>
          <w:insideV w:val="single" w:color="36706B"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6706B" w:themeColor="accent4" w:sz="6" w:space="0"/>
          <w:left w:val="single" w:color="36706B" w:themeColor="accent4" w:sz="8" w:space="0"/>
          <w:bottom w:val="single" w:color="36706B" w:themeColor="accent4" w:sz="8" w:space="0"/>
          <w:right w:val="single" w:color="36706B" w:themeColor="accent4" w:sz="8" w:space="0"/>
          <w:insideH w:val="nil"/>
          <w:insideV w:val="single" w:color="36706B"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6706B" w:themeColor="accent4" w:sz="8" w:space="0"/>
          <w:left w:val="single" w:color="36706B" w:themeColor="accent4" w:sz="8" w:space="0"/>
          <w:bottom w:val="single" w:color="36706B" w:themeColor="accent4" w:sz="8" w:space="0"/>
          <w:right w:val="single" w:color="36706B" w:themeColor="accent4" w:sz="8" w:space="0"/>
        </w:tcBorders>
      </w:tcPr>
    </w:tblStylePr>
    <w:tblStylePr w:type="band1Vert">
      <w:tblPr/>
      <w:tcPr>
        <w:tcBorders>
          <w:top w:val="single" w:color="36706B" w:themeColor="accent4" w:sz="8" w:space="0"/>
          <w:left w:val="single" w:color="36706B" w:themeColor="accent4" w:sz="8" w:space="0"/>
          <w:bottom w:val="single" w:color="36706B" w:themeColor="accent4" w:sz="8" w:space="0"/>
          <w:right w:val="single" w:color="36706B" w:themeColor="accent4" w:sz="8" w:space="0"/>
        </w:tcBorders>
        <w:shd w:val="clear" w:color="auto" w:fill="C5E3E0" w:themeFill="accent4" w:themeFillTint="3F"/>
      </w:tcPr>
    </w:tblStylePr>
    <w:tblStylePr w:type="band1Horz">
      <w:tblPr/>
      <w:tcPr>
        <w:tcBorders>
          <w:top w:val="single" w:color="36706B" w:themeColor="accent4" w:sz="8" w:space="0"/>
          <w:left w:val="single" w:color="36706B" w:themeColor="accent4" w:sz="8" w:space="0"/>
          <w:bottom w:val="single" w:color="36706B" w:themeColor="accent4" w:sz="8" w:space="0"/>
          <w:right w:val="single" w:color="36706B" w:themeColor="accent4" w:sz="8" w:space="0"/>
          <w:insideV w:val="single" w:color="36706B" w:themeColor="accent4" w:sz="8" w:space="0"/>
        </w:tcBorders>
        <w:shd w:val="clear" w:color="auto" w:fill="C5E3E0" w:themeFill="accent4" w:themeFillTint="3F"/>
      </w:tcPr>
    </w:tblStylePr>
    <w:tblStylePr w:type="band2Horz">
      <w:tblPr/>
      <w:tcPr>
        <w:tcBorders>
          <w:top w:val="single" w:color="36706B" w:themeColor="accent4" w:sz="8" w:space="0"/>
          <w:left w:val="single" w:color="36706B" w:themeColor="accent4" w:sz="8" w:space="0"/>
          <w:bottom w:val="single" w:color="36706B" w:themeColor="accent4" w:sz="8" w:space="0"/>
          <w:right w:val="single" w:color="36706B" w:themeColor="accent4" w:sz="8" w:space="0"/>
          <w:insideV w:val="single" w:color="36706B" w:themeColor="accent4" w:sz="8" w:space="0"/>
        </w:tcBorders>
      </w:tcPr>
    </w:tblStylePr>
  </w:style>
  <w:style w:type="table" w:styleId="LightGrid-Accent5">
    <w:name w:val="Light Grid Accent 5"/>
    <w:basedOn w:val="TableNormal"/>
    <w:uiPriority w:val="99"/>
    <w:semiHidden/>
    <w:unhideWhenUsed/>
    <w:rsid w:val="00911DE3"/>
    <w:pPr>
      <w:spacing w:line="240" w:lineRule="auto"/>
    </w:pPr>
    <w:tblPr>
      <w:tblStyleRowBandSize w:val="1"/>
      <w:tblStyleColBandSize w:val="1"/>
      <w:tblBorders>
        <w:top w:val="single" w:color="2B5A56" w:themeColor="accent5" w:sz="8" w:space="0"/>
        <w:left w:val="single" w:color="2B5A56" w:themeColor="accent5" w:sz="8" w:space="0"/>
        <w:bottom w:val="single" w:color="2B5A56" w:themeColor="accent5" w:sz="8" w:space="0"/>
        <w:right w:val="single" w:color="2B5A56" w:themeColor="accent5" w:sz="8" w:space="0"/>
        <w:insideH w:val="single" w:color="2B5A56" w:themeColor="accent5" w:sz="8" w:space="0"/>
        <w:insideV w:val="single" w:color="2B5A5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B5A56" w:themeColor="accent5" w:sz="8" w:space="0"/>
          <w:left w:val="single" w:color="2B5A56" w:themeColor="accent5" w:sz="8" w:space="0"/>
          <w:bottom w:val="single" w:color="2B5A56" w:themeColor="accent5" w:sz="18" w:space="0"/>
          <w:right w:val="single" w:color="2B5A56" w:themeColor="accent5" w:sz="8" w:space="0"/>
          <w:insideH w:val="nil"/>
          <w:insideV w:val="single" w:color="2B5A5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B5A56" w:themeColor="accent5" w:sz="6" w:space="0"/>
          <w:left w:val="single" w:color="2B5A56" w:themeColor="accent5" w:sz="8" w:space="0"/>
          <w:bottom w:val="single" w:color="2B5A56" w:themeColor="accent5" w:sz="8" w:space="0"/>
          <w:right w:val="single" w:color="2B5A56" w:themeColor="accent5" w:sz="8" w:space="0"/>
          <w:insideH w:val="nil"/>
          <w:insideV w:val="single" w:color="2B5A5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B5A56" w:themeColor="accent5" w:sz="8" w:space="0"/>
          <w:left w:val="single" w:color="2B5A56" w:themeColor="accent5" w:sz="8" w:space="0"/>
          <w:bottom w:val="single" w:color="2B5A56" w:themeColor="accent5" w:sz="8" w:space="0"/>
          <w:right w:val="single" w:color="2B5A56" w:themeColor="accent5" w:sz="8" w:space="0"/>
        </w:tcBorders>
      </w:tcPr>
    </w:tblStylePr>
    <w:tblStylePr w:type="band1Vert">
      <w:tblPr/>
      <w:tcPr>
        <w:tcBorders>
          <w:top w:val="single" w:color="2B5A56" w:themeColor="accent5" w:sz="8" w:space="0"/>
          <w:left w:val="single" w:color="2B5A56" w:themeColor="accent5" w:sz="8" w:space="0"/>
          <w:bottom w:val="single" w:color="2B5A56" w:themeColor="accent5" w:sz="8" w:space="0"/>
          <w:right w:val="single" w:color="2B5A56" w:themeColor="accent5" w:sz="8" w:space="0"/>
        </w:tcBorders>
        <w:shd w:val="clear" w:color="auto" w:fill="BFE0DD" w:themeFill="accent5" w:themeFillTint="3F"/>
      </w:tcPr>
    </w:tblStylePr>
    <w:tblStylePr w:type="band1Horz">
      <w:tblPr/>
      <w:tcPr>
        <w:tcBorders>
          <w:top w:val="single" w:color="2B5A56" w:themeColor="accent5" w:sz="8" w:space="0"/>
          <w:left w:val="single" w:color="2B5A56" w:themeColor="accent5" w:sz="8" w:space="0"/>
          <w:bottom w:val="single" w:color="2B5A56" w:themeColor="accent5" w:sz="8" w:space="0"/>
          <w:right w:val="single" w:color="2B5A56" w:themeColor="accent5" w:sz="8" w:space="0"/>
          <w:insideV w:val="single" w:color="2B5A56" w:themeColor="accent5" w:sz="8" w:space="0"/>
        </w:tcBorders>
        <w:shd w:val="clear" w:color="auto" w:fill="BFE0DD" w:themeFill="accent5" w:themeFillTint="3F"/>
      </w:tcPr>
    </w:tblStylePr>
    <w:tblStylePr w:type="band2Horz">
      <w:tblPr/>
      <w:tcPr>
        <w:tcBorders>
          <w:top w:val="single" w:color="2B5A56" w:themeColor="accent5" w:sz="8" w:space="0"/>
          <w:left w:val="single" w:color="2B5A56" w:themeColor="accent5" w:sz="8" w:space="0"/>
          <w:bottom w:val="single" w:color="2B5A56" w:themeColor="accent5" w:sz="8" w:space="0"/>
          <w:right w:val="single" w:color="2B5A56" w:themeColor="accent5" w:sz="8" w:space="0"/>
          <w:insideV w:val="single" w:color="2B5A56" w:themeColor="accent5" w:sz="8" w:space="0"/>
        </w:tcBorders>
      </w:tcPr>
    </w:tblStylePr>
  </w:style>
  <w:style w:type="table" w:styleId="LightGrid-Accent6">
    <w:name w:val="Light Grid Accent 6"/>
    <w:basedOn w:val="TableNormal"/>
    <w:uiPriority w:val="99"/>
    <w:semiHidden/>
    <w:unhideWhenUsed/>
    <w:rsid w:val="00911DE3"/>
    <w:pPr>
      <w:spacing w:line="240" w:lineRule="auto"/>
    </w:pPr>
    <w:tblPr>
      <w:tblStyleRowBandSize w:val="1"/>
      <w:tblStyleColBandSize w:val="1"/>
      <w:tblBorders>
        <w:top w:val="single" w:color="5EC1A0" w:themeColor="accent6" w:sz="8" w:space="0"/>
        <w:left w:val="single" w:color="5EC1A0" w:themeColor="accent6" w:sz="8" w:space="0"/>
        <w:bottom w:val="single" w:color="5EC1A0" w:themeColor="accent6" w:sz="8" w:space="0"/>
        <w:right w:val="single" w:color="5EC1A0" w:themeColor="accent6" w:sz="8" w:space="0"/>
        <w:insideH w:val="single" w:color="5EC1A0" w:themeColor="accent6" w:sz="8" w:space="0"/>
        <w:insideV w:val="single" w:color="5EC1A0"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EC1A0" w:themeColor="accent6" w:sz="8" w:space="0"/>
          <w:left w:val="single" w:color="5EC1A0" w:themeColor="accent6" w:sz="8" w:space="0"/>
          <w:bottom w:val="single" w:color="5EC1A0" w:themeColor="accent6" w:sz="18" w:space="0"/>
          <w:right w:val="single" w:color="5EC1A0" w:themeColor="accent6" w:sz="8" w:space="0"/>
          <w:insideH w:val="nil"/>
          <w:insideV w:val="single" w:color="5EC1A0"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EC1A0" w:themeColor="accent6" w:sz="6" w:space="0"/>
          <w:left w:val="single" w:color="5EC1A0" w:themeColor="accent6" w:sz="8" w:space="0"/>
          <w:bottom w:val="single" w:color="5EC1A0" w:themeColor="accent6" w:sz="8" w:space="0"/>
          <w:right w:val="single" w:color="5EC1A0" w:themeColor="accent6" w:sz="8" w:space="0"/>
          <w:insideH w:val="nil"/>
          <w:insideV w:val="single" w:color="5EC1A0"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EC1A0" w:themeColor="accent6" w:sz="8" w:space="0"/>
          <w:left w:val="single" w:color="5EC1A0" w:themeColor="accent6" w:sz="8" w:space="0"/>
          <w:bottom w:val="single" w:color="5EC1A0" w:themeColor="accent6" w:sz="8" w:space="0"/>
          <w:right w:val="single" w:color="5EC1A0" w:themeColor="accent6" w:sz="8" w:space="0"/>
        </w:tcBorders>
      </w:tcPr>
    </w:tblStylePr>
    <w:tblStylePr w:type="band1Vert">
      <w:tblPr/>
      <w:tcPr>
        <w:tcBorders>
          <w:top w:val="single" w:color="5EC1A0" w:themeColor="accent6" w:sz="8" w:space="0"/>
          <w:left w:val="single" w:color="5EC1A0" w:themeColor="accent6" w:sz="8" w:space="0"/>
          <w:bottom w:val="single" w:color="5EC1A0" w:themeColor="accent6" w:sz="8" w:space="0"/>
          <w:right w:val="single" w:color="5EC1A0" w:themeColor="accent6" w:sz="8" w:space="0"/>
        </w:tcBorders>
        <w:shd w:val="clear" w:color="auto" w:fill="D7EFE7" w:themeFill="accent6" w:themeFillTint="3F"/>
      </w:tcPr>
    </w:tblStylePr>
    <w:tblStylePr w:type="band1Horz">
      <w:tblPr/>
      <w:tcPr>
        <w:tcBorders>
          <w:top w:val="single" w:color="5EC1A0" w:themeColor="accent6" w:sz="8" w:space="0"/>
          <w:left w:val="single" w:color="5EC1A0" w:themeColor="accent6" w:sz="8" w:space="0"/>
          <w:bottom w:val="single" w:color="5EC1A0" w:themeColor="accent6" w:sz="8" w:space="0"/>
          <w:right w:val="single" w:color="5EC1A0" w:themeColor="accent6" w:sz="8" w:space="0"/>
          <w:insideV w:val="single" w:color="5EC1A0" w:themeColor="accent6" w:sz="8" w:space="0"/>
        </w:tcBorders>
        <w:shd w:val="clear" w:color="auto" w:fill="D7EFE7" w:themeFill="accent6" w:themeFillTint="3F"/>
      </w:tcPr>
    </w:tblStylePr>
    <w:tblStylePr w:type="band2Horz">
      <w:tblPr/>
      <w:tcPr>
        <w:tcBorders>
          <w:top w:val="single" w:color="5EC1A0" w:themeColor="accent6" w:sz="8" w:space="0"/>
          <w:left w:val="single" w:color="5EC1A0" w:themeColor="accent6" w:sz="8" w:space="0"/>
          <w:bottom w:val="single" w:color="5EC1A0" w:themeColor="accent6" w:sz="8" w:space="0"/>
          <w:right w:val="single" w:color="5EC1A0" w:themeColor="accent6" w:sz="8" w:space="0"/>
          <w:insideV w:val="single" w:color="5EC1A0" w:themeColor="accent6" w:sz="8" w:space="0"/>
        </w:tcBorders>
      </w:tcPr>
    </w:tblStylePr>
  </w:style>
  <w:style w:type="table" w:styleId="LightList">
    <w:name w:val="Light List"/>
    <w:basedOn w:val="TableNormal"/>
    <w:uiPriority w:val="99"/>
    <w:semiHidden/>
    <w:unhideWhenUsed/>
    <w:rsid w:val="00911DE3"/>
    <w:pPr>
      <w:spacing w:line="240" w:lineRule="auto"/>
    </w:pPr>
    <w:tblPr>
      <w:tblStyleRowBandSize w:val="1"/>
      <w:tblStyleColBandSize w:val="1"/>
      <w:tblBorders>
        <w:top w:val="single" w:color="303030" w:themeColor="text1" w:sz="8" w:space="0"/>
        <w:left w:val="single" w:color="303030" w:themeColor="text1" w:sz="8" w:space="0"/>
        <w:bottom w:val="single" w:color="303030" w:themeColor="text1" w:sz="8" w:space="0"/>
        <w:right w:val="single" w:color="303030" w:themeColor="text1" w:sz="8" w:space="0"/>
      </w:tblBorders>
    </w:tblPr>
    <w:tblStylePr w:type="firstRow">
      <w:pPr>
        <w:spacing w:before="0" w:after="0" w:line="240" w:lineRule="auto"/>
      </w:pPr>
      <w:rPr>
        <w:b/>
        <w:bCs/>
        <w:color w:val="FFFFFF" w:themeColor="background1"/>
      </w:rPr>
      <w:tblPr/>
      <w:tcPr>
        <w:shd w:val="clear" w:color="auto" w:fill="303030" w:themeFill="text1"/>
      </w:tcPr>
    </w:tblStylePr>
    <w:tblStylePr w:type="lastRow">
      <w:pPr>
        <w:spacing w:before="0" w:after="0" w:line="240" w:lineRule="auto"/>
      </w:pPr>
      <w:rPr>
        <w:b/>
        <w:bCs/>
      </w:rPr>
      <w:tblPr/>
      <w:tcPr>
        <w:tcBorders>
          <w:top w:val="double" w:color="303030" w:themeColor="text1" w:sz="6" w:space="0"/>
          <w:left w:val="single" w:color="303030" w:themeColor="text1" w:sz="8" w:space="0"/>
          <w:bottom w:val="single" w:color="303030" w:themeColor="text1" w:sz="8" w:space="0"/>
          <w:right w:val="single" w:color="303030" w:themeColor="text1" w:sz="8" w:space="0"/>
        </w:tcBorders>
      </w:tcPr>
    </w:tblStylePr>
    <w:tblStylePr w:type="firstCol">
      <w:rPr>
        <w:b/>
        <w:bCs/>
      </w:rPr>
    </w:tblStylePr>
    <w:tblStylePr w:type="lastCol">
      <w:rPr>
        <w:b/>
        <w:bCs/>
      </w:rPr>
    </w:tblStylePr>
    <w:tblStylePr w:type="band1Vert">
      <w:tblPr/>
      <w:tcPr>
        <w:tcBorders>
          <w:top w:val="single" w:color="303030" w:themeColor="text1" w:sz="8" w:space="0"/>
          <w:left w:val="single" w:color="303030" w:themeColor="text1" w:sz="8" w:space="0"/>
          <w:bottom w:val="single" w:color="303030" w:themeColor="text1" w:sz="8" w:space="0"/>
          <w:right w:val="single" w:color="303030" w:themeColor="text1" w:sz="8" w:space="0"/>
        </w:tcBorders>
      </w:tcPr>
    </w:tblStylePr>
    <w:tblStylePr w:type="band1Horz">
      <w:tblPr/>
      <w:tcPr>
        <w:tcBorders>
          <w:top w:val="single" w:color="303030" w:themeColor="text1" w:sz="8" w:space="0"/>
          <w:left w:val="single" w:color="303030" w:themeColor="text1" w:sz="8" w:space="0"/>
          <w:bottom w:val="single" w:color="303030" w:themeColor="text1" w:sz="8" w:space="0"/>
          <w:right w:val="single" w:color="303030" w:themeColor="text1" w:sz="8" w:space="0"/>
        </w:tcBorders>
      </w:tcPr>
    </w:tblStylePr>
  </w:style>
  <w:style w:type="table" w:styleId="LightList-Accent1">
    <w:name w:val="Light List Accent 1"/>
    <w:basedOn w:val="TableNormal"/>
    <w:uiPriority w:val="99"/>
    <w:semiHidden/>
    <w:unhideWhenUsed/>
    <w:rsid w:val="00911DE3"/>
    <w:pPr>
      <w:spacing w:line="240" w:lineRule="auto"/>
    </w:pPr>
    <w:tblPr>
      <w:tblStyleRowBandSize w:val="1"/>
      <w:tblStyleColBandSize w:val="1"/>
      <w:tblBorders>
        <w:top w:val="single" w:color="C4D5D3" w:themeColor="accent1" w:sz="8" w:space="0"/>
        <w:left w:val="single" w:color="C4D5D3" w:themeColor="accent1" w:sz="8" w:space="0"/>
        <w:bottom w:val="single" w:color="C4D5D3" w:themeColor="accent1" w:sz="8" w:space="0"/>
        <w:right w:val="single" w:color="C4D5D3" w:themeColor="accent1" w:sz="8" w:space="0"/>
      </w:tblBorders>
    </w:tblPr>
    <w:tblStylePr w:type="firstRow">
      <w:pPr>
        <w:spacing w:before="0" w:after="0" w:line="240" w:lineRule="auto"/>
      </w:pPr>
      <w:rPr>
        <w:b/>
        <w:bCs/>
        <w:color w:val="FFFFFF" w:themeColor="background1"/>
      </w:rPr>
      <w:tblPr/>
      <w:tcPr>
        <w:shd w:val="clear" w:color="auto" w:fill="C4D5D3" w:themeFill="accent1"/>
      </w:tcPr>
    </w:tblStylePr>
    <w:tblStylePr w:type="lastRow">
      <w:pPr>
        <w:spacing w:before="0" w:after="0" w:line="240" w:lineRule="auto"/>
      </w:pPr>
      <w:rPr>
        <w:b/>
        <w:bCs/>
      </w:rPr>
      <w:tblPr/>
      <w:tcPr>
        <w:tcBorders>
          <w:top w:val="double" w:color="C4D5D3" w:themeColor="accent1" w:sz="6" w:space="0"/>
          <w:left w:val="single" w:color="C4D5D3" w:themeColor="accent1" w:sz="8" w:space="0"/>
          <w:bottom w:val="single" w:color="C4D5D3" w:themeColor="accent1" w:sz="8" w:space="0"/>
          <w:right w:val="single" w:color="C4D5D3" w:themeColor="accent1" w:sz="8" w:space="0"/>
        </w:tcBorders>
      </w:tcPr>
    </w:tblStylePr>
    <w:tblStylePr w:type="firstCol">
      <w:rPr>
        <w:b/>
        <w:bCs/>
      </w:rPr>
    </w:tblStylePr>
    <w:tblStylePr w:type="lastCol">
      <w:rPr>
        <w:b/>
        <w:bCs/>
      </w:rPr>
    </w:tblStylePr>
    <w:tblStylePr w:type="band1Vert">
      <w:tblPr/>
      <w:tcPr>
        <w:tcBorders>
          <w:top w:val="single" w:color="C4D5D3" w:themeColor="accent1" w:sz="8" w:space="0"/>
          <w:left w:val="single" w:color="C4D5D3" w:themeColor="accent1" w:sz="8" w:space="0"/>
          <w:bottom w:val="single" w:color="C4D5D3" w:themeColor="accent1" w:sz="8" w:space="0"/>
          <w:right w:val="single" w:color="C4D5D3" w:themeColor="accent1" w:sz="8" w:space="0"/>
        </w:tcBorders>
      </w:tcPr>
    </w:tblStylePr>
    <w:tblStylePr w:type="band1Horz">
      <w:tblPr/>
      <w:tcPr>
        <w:tcBorders>
          <w:top w:val="single" w:color="C4D5D3" w:themeColor="accent1" w:sz="8" w:space="0"/>
          <w:left w:val="single" w:color="C4D5D3" w:themeColor="accent1" w:sz="8" w:space="0"/>
          <w:bottom w:val="single" w:color="C4D5D3" w:themeColor="accent1" w:sz="8" w:space="0"/>
          <w:right w:val="single" w:color="C4D5D3" w:themeColor="accent1" w:sz="8" w:space="0"/>
        </w:tcBorders>
      </w:tcPr>
    </w:tblStylePr>
  </w:style>
  <w:style w:type="table" w:styleId="LightList-Accent2">
    <w:name w:val="Light List Accent 2"/>
    <w:basedOn w:val="TableNormal"/>
    <w:uiPriority w:val="99"/>
    <w:semiHidden/>
    <w:unhideWhenUsed/>
    <w:rsid w:val="00911DE3"/>
    <w:pPr>
      <w:spacing w:line="240" w:lineRule="auto"/>
    </w:pPr>
    <w:tblPr>
      <w:tblStyleRowBandSize w:val="1"/>
      <w:tblStyleColBandSize w:val="1"/>
      <w:tblBorders>
        <w:top w:val="single" w:color="86A9A6" w:themeColor="accent2" w:sz="8" w:space="0"/>
        <w:left w:val="single" w:color="86A9A6" w:themeColor="accent2" w:sz="8" w:space="0"/>
        <w:bottom w:val="single" w:color="86A9A6" w:themeColor="accent2" w:sz="8" w:space="0"/>
        <w:right w:val="single" w:color="86A9A6" w:themeColor="accent2" w:sz="8" w:space="0"/>
      </w:tblBorders>
    </w:tblPr>
    <w:tblStylePr w:type="firstRow">
      <w:pPr>
        <w:spacing w:before="0" w:after="0" w:line="240" w:lineRule="auto"/>
      </w:pPr>
      <w:rPr>
        <w:b/>
        <w:bCs/>
        <w:color w:val="FFFFFF" w:themeColor="background1"/>
      </w:rPr>
      <w:tblPr/>
      <w:tcPr>
        <w:shd w:val="clear" w:color="auto" w:fill="86A9A6" w:themeFill="accent2"/>
      </w:tcPr>
    </w:tblStylePr>
    <w:tblStylePr w:type="lastRow">
      <w:pPr>
        <w:spacing w:before="0" w:after="0" w:line="240" w:lineRule="auto"/>
      </w:pPr>
      <w:rPr>
        <w:b/>
        <w:bCs/>
      </w:rPr>
      <w:tblPr/>
      <w:tcPr>
        <w:tcBorders>
          <w:top w:val="double" w:color="86A9A6" w:themeColor="accent2" w:sz="6" w:space="0"/>
          <w:left w:val="single" w:color="86A9A6" w:themeColor="accent2" w:sz="8" w:space="0"/>
          <w:bottom w:val="single" w:color="86A9A6" w:themeColor="accent2" w:sz="8" w:space="0"/>
          <w:right w:val="single" w:color="86A9A6" w:themeColor="accent2" w:sz="8" w:space="0"/>
        </w:tcBorders>
      </w:tcPr>
    </w:tblStylePr>
    <w:tblStylePr w:type="firstCol">
      <w:rPr>
        <w:b/>
        <w:bCs/>
      </w:rPr>
    </w:tblStylePr>
    <w:tblStylePr w:type="lastCol">
      <w:rPr>
        <w:b/>
        <w:bCs/>
      </w:rPr>
    </w:tblStylePr>
    <w:tblStylePr w:type="band1Vert">
      <w:tblPr/>
      <w:tcPr>
        <w:tcBorders>
          <w:top w:val="single" w:color="86A9A6" w:themeColor="accent2" w:sz="8" w:space="0"/>
          <w:left w:val="single" w:color="86A9A6" w:themeColor="accent2" w:sz="8" w:space="0"/>
          <w:bottom w:val="single" w:color="86A9A6" w:themeColor="accent2" w:sz="8" w:space="0"/>
          <w:right w:val="single" w:color="86A9A6" w:themeColor="accent2" w:sz="8" w:space="0"/>
        </w:tcBorders>
      </w:tcPr>
    </w:tblStylePr>
    <w:tblStylePr w:type="band1Horz">
      <w:tblPr/>
      <w:tcPr>
        <w:tcBorders>
          <w:top w:val="single" w:color="86A9A6" w:themeColor="accent2" w:sz="8" w:space="0"/>
          <w:left w:val="single" w:color="86A9A6" w:themeColor="accent2" w:sz="8" w:space="0"/>
          <w:bottom w:val="single" w:color="86A9A6" w:themeColor="accent2" w:sz="8" w:space="0"/>
          <w:right w:val="single" w:color="86A9A6" w:themeColor="accent2" w:sz="8" w:space="0"/>
        </w:tcBorders>
      </w:tcPr>
    </w:tblStylePr>
  </w:style>
  <w:style w:type="table" w:styleId="LightList-Accent3">
    <w:name w:val="Light List Accent 3"/>
    <w:basedOn w:val="TableNormal"/>
    <w:uiPriority w:val="99"/>
    <w:semiHidden/>
    <w:unhideWhenUsed/>
    <w:rsid w:val="00911DE3"/>
    <w:pPr>
      <w:spacing w:line="240" w:lineRule="auto"/>
    </w:pPr>
    <w:tblPr>
      <w:tblStyleRowBandSize w:val="1"/>
      <w:tblStyleColBandSize w:val="1"/>
      <w:tblBorders>
        <w:top w:val="single" w:color="5E8D89" w:themeColor="accent3" w:sz="8" w:space="0"/>
        <w:left w:val="single" w:color="5E8D89" w:themeColor="accent3" w:sz="8" w:space="0"/>
        <w:bottom w:val="single" w:color="5E8D89" w:themeColor="accent3" w:sz="8" w:space="0"/>
        <w:right w:val="single" w:color="5E8D89" w:themeColor="accent3" w:sz="8" w:space="0"/>
      </w:tblBorders>
    </w:tblPr>
    <w:tblStylePr w:type="firstRow">
      <w:pPr>
        <w:spacing w:before="0" w:after="0" w:line="240" w:lineRule="auto"/>
      </w:pPr>
      <w:rPr>
        <w:b/>
        <w:bCs/>
        <w:color w:val="FFFFFF" w:themeColor="background1"/>
      </w:rPr>
      <w:tblPr/>
      <w:tcPr>
        <w:shd w:val="clear" w:color="auto" w:fill="5E8D89" w:themeFill="accent3"/>
      </w:tcPr>
    </w:tblStylePr>
    <w:tblStylePr w:type="lastRow">
      <w:pPr>
        <w:spacing w:before="0" w:after="0" w:line="240" w:lineRule="auto"/>
      </w:pPr>
      <w:rPr>
        <w:b/>
        <w:bCs/>
      </w:rPr>
      <w:tblPr/>
      <w:tcPr>
        <w:tcBorders>
          <w:top w:val="double" w:color="5E8D89" w:themeColor="accent3" w:sz="6" w:space="0"/>
          <w:left w:val="single" w:color="5E8D89" w:themeColor="accent3" w:sz="8" w:space="0"/>
          <w:bottom w:val="single" w:color="5E8D89" w:themeColor="accent3" w:sz="8" w:space="0"/>
          <w:right w:val="single" w:color="5E8D89" w:themeColor="accent3" w:sz="8" w:space="0"/>
        </w:tcBorders>
      </w:tcPr>
    </w:tblStylePr>
    <w:tblStylePr w:type="firstCol">
      <w:rPr>
        <w:b/>
        <w:bCs/>
      </w:rPr>
    </w:tblStylePr>
    <w:tblStylePr w:type="lastCol">
      <w:rPr>
        <w:b/>
        <w:bCs/>
      </w:rPr>
    </w:tblStylePr>
    <w:tblStylePr w:type="band1Vert">
      <w:tblPr/>
      <w:tcPr>
        <w:tcBorders>
          <w:top w:val="single" w:color="5E8D89" w:themeColor="accent3" w:sz="8" w:space="0"/>
          <w:left w:val="single" w:color="5E8D89" w:themeColor="accent3" w:sz="8" w:space="0"/>
          <w:bottom w:val="single" w:color="5E8D89" w:themeColor="accent3" w:sz="8" w:space="0"/>
          <w:right w:val="single" w:color="5E8D89" w:themeColor="accent3" w:sz="8" w:space="0"/>
        </w:tcBorders>
      </w:tcPr>
    </w:tblStylePr>
    <w:tblStylePr w:type="band1Horz">
      <w:tblPr/>
      <w:tcPr>
        <w:tcBorders>
          <w:top w:val="single" w:color="5E8D89" w:themeColor="accent3" w:sz="8" w:space="0"/>
          <w:left w:val="single" w:color="5E8D89" w:themeColor="accent3" w:sz="8" w:space="0"/>
          <w:bottom w:val="single" w:color="5E8D89" w:themeColor="accent3" w:sz="8" w:space="0"/>
          <w:right w:val="single" w:color="5E8D89" w:themeColor="accent3" w:sz="8" w:space="0"/>
        </w:tcBorders>
      </w:tcPr>
    </w:tblStylePr>
  </w:style>
  <w:style w:type="table" w:styleId="LightList-Accent4">
    <w:name w:val="Light List Accent 4"/>
    <w:basedOn w:val="TableNormal"/>
    <w:uiPriority w:val="99"/>
    <w:semiHidden/>
    <w:unhideWhenUsed/>
    <w:rsid w:val="00911DE3"/>
    <w:pPr>
      <w:spacing w:line="240" w:lineRule="auto"/>
    </w:pPr>
    <w:tblPr>
      <w:tblStyleRowBandSize w:val="1"/>
      <w:tblStyleColBandSize w:val="1"/>
      <w:tblBorders>
        <w:top w:val="single" w:color="36706B" w:themeColor="accent4" w:sz="8" w:space="0"/>
        <w:left w:val="single" w:color="36706B" w:themeColor="accent4" w:sz="8" w:space="0"/>
        <w:bottom w:val="single" w:color="36706B" w:themeColor="accent4" w:sz="8" w:space="0"/>
        <w:right w:val="single" w:color="36706B" w:themeColor="accent4" w:sz="8" w:space="0"/>
      </w:tblBorders>
    </w:tblPr>
    <w:tblStylePr w:type="firstRow">
      <w:pPr>
        <w:spacing w:before="0" w:after="0" w:line="240" w:lineRule="auto"/>
      </w:pPr>
      <w:rPr>
        <w:b/>
        <w:bCs/>
        <w:color w:val="FFFFFF" w:themeColor="background1"/>
      </w:rPr>
      <w:tblPr/>
      <w:tcPr>
        <w:shd w:val="clear" w:color="auto" w:fill="36706B" w:themeFill="accent4"/>
      </w:tcPr>
    </w:tblStylePr>
    <w:tblStylePr w:type="lastRow">
      <w:pPr>
        <w:spacing w:before="0" w:after="0" w:line="240" w:lineRule="auto"/>
      </w:pPr>
      <w:rPr>
        <w:b/>
        <w:bCs/>
      </w:rPr>
      <w:tblPr/>
      <w:tcPr>
        <w:tcBorders>
          <w:top w:val="double" w:color="36706B" w:themeColor="accent4" w:sz="6" w:space="0"/>
          <w:left w:val="single" w:color="36706B" w:themeColor="accent4" w:sz="8" w:space="0"/>
          <w:bottom w:val="single" w:color="36706B" w:themeColor="accent4" w:sz="8" w:space="0"/>
          <w:right w:val="single" w:color="36706B" w:themeColor="accent4" w:sz="8" w:space="0"/>
        </w:tcBorders>
      </w:tcPr>
    </w:tblStylePr>
    <w:tblStylePr w:type="firstCol">
      <w:rPr>
        <w:b/>
        <w:bCs/>
      </w:rPr>
    </w:tblStylePr>
    <w:tblStylePr w:type="lastCol">
      <w:rPr>
        <w:b/>
        <w:bCs/>
      </w:rPr>
    </w:tblStylePr>
    <w:tblStylePr w:type="band1Vert">
      <w:tblPr/>
      <w:tcPr>
        <w:tcBorders>
          <w:top w:val="single" w:color="36706B" w:themeColor="accent4" w:sz="8" w:space="0"/>
          <w:left w:val="single" w:color="36706B" w:themeColor="accent4" w:sz="8" w:space="0"/>
          <w:bottom w:val="single" w:color="36706B" w:themeColor="accent4" w:sz="8" w:space="0"/>
          <w:right w:val="single" w:color="36706B" w:themeColor="accent4" w:sz="8" w:space="0"/>
        </w:tcBorders>
      </w:tcPr>
    </w:tblStylePr>
    <w:tblStylePr w:type="band1Horz">
      <w:tblPr/>
      <w:tcPr>
        <w:tcBorders>
          <w:top w:val="single" w:color="36706B" w:themeColor="accent4" w:sz="8" w:space="0"/>
          <w:left w:val="single" w:color="36706B" w:themeColor="accent4" w:sz="8" w:space="0"/>
          <w:bottom w:val="single" w:color="36706B" w:themeColor="accent4" w:sz="8" w:space="0"/>
          <w:right w:val="single" w:color="36706B" w:themeColor="accent4" w:sz="8" w:space="0"/>
        </w:tcBorders>
      </w:tcPr>
    </w:tblStylePr>
  </w:style>
  <w:style w:type="table" w:styleId="LightList-Accent5">
    <w:name w:val="Light List Accent 5"/>
    <w:basedOn w:val="TableNormal"/>
    <w:uiPriority w:val="99"/>
    <w:semiHidden/>
    <w:unhideWhenUsed/>
    <w:rsid w:val="00911DE3"/>
    <w:pPr>
      <w:spacing w:line="240" w:lineRule="auto"/>
    </w:pPr>
    <w:tblPr>
      <w:tblStyleRowBandSize w:val="1"/>
      <w:tblStyleColBandSize w:val="1"/>
      <w:tblBorders>
        <w:top w:val="single" w:color="2B5A56" w:themeColor="accent5" w:sz="8" w:space="0"/>
        <w:left w:val="single" w:color="2B5A56" w:themeColor="accent5" w:sz="8" w:space="0"/>
        <w:bottom w:val="single" w:color="2B5A56" w:themeColor="accent5" w:sz="8" w:space="0"/>
        <w:right w:val="single" w:color="2B5A56" w:themeColor="accent5" w:sz="8" w:space="0"/>
      </w:tblBorders>
    </w:tblPr>
    <w:tblStylePr w:type="firstRow">
      <w:pPr>
        <w:spacing w:before="0" w:after="0" w:line="240" w:lineRule="auto"/>
      </w:pPr>
      <w:rPr>
        <w:b/>
        <w:bCs/>
        <w:color w:val="FFFFFF" w:themeColor="background1"/>
      </w:rPr>
      <w:tblPr/>
      <w:tcPr>
        <w:shd w:val="clear" w:color="auto" w:fill="2B5A56" w:themeFill="accent5"/>
      </w:tcPr>
    </w:tblStylePr>
    <w:tblStylePr w:type="lastRow">
      <w:pPr>
        <w:spacing w:before="0" w:after="0" w:line="240" w:lineRule="auto"/>
      </w:pPr>
      <w:rPr>
        <w:b/>
        <w:bCs/>
      </w:rPr>
      <w:tblPr/>
      <w:tcPr>
        <w:tcBorders>
          <w:top w:val="double" w:color="2B5A56" w:themeColor="accent5" w:sz="6" w:space="0"/>
          <w:left w:val="single" w:color="2B5A56" w:themeColor="accent5" w:sz="8" w:space="0"/>
          <w:bottom w:val="single" w:color="2B5A56" w:themeColor="accent5" w:sz="8" w:space="0"/>
          <w:right w:val="single" w:color="2B5A56" w:themeColor="accent5" w:sz="8" w:space="0"/>
        </w:tcBorders>
      </w:tcPr>
    </w:tblStylePr>
    <w:tblStylePr w:type="firstCol">
      <w:rPr>
        <w:b/>
        <w:bCs/>
      </w:rPr>
    </w:tblStylePr>
    <w:tblStylePr w:type="lastCol">
      <w:rPr>
        <w:b/>
        <w:bCs/>
      </w:rPr>
    </w:tblStylePr>
    <w:tblStylePr w:type="band1Vert">
      <w:tblPr/>
      <w:tcPr>
        <w:tcBorders>
          <w:top w:val="single" w:color="2B5A56" w:themeColor="accent5" w:sz="8" w:space="0"/>
          <w:left w:val="single" w:color="2B5A56" w:themeColor="accent5" w:sz="8" w:space="0"/>
          <w:bottom w:val="single" w:color="2B5A56" w:themeColor="accent5" w:sz="8" w:space="0"/>
          <w:right w:val="single" w:color="2B5A56" w:themeColor="accent5" w:sz="8" w:space="0"/>
        </w:tcBorders>
      </w:tcPr>
    </w:tblStylePr>
    <w:tblStylePr w:type="band1Horz">
      <w:tblPr/>
      <w:tcPr>
        <w:tcBorders>
          <w:top w:val="single" w:color="2B5A56" w:themeColor="accent5" w:sz="8" w:space="0"/>
          <w:left w:val="single" w:color="2B5A56" w:themeColor="accent5" w:sz="8" w:space="0"/>
          <w:bottom w:val="single" w:color="2B5A56" w:themeColor="accent5" w:sz="8" w:space="0"/>
          <w:right w:val="single" w:color="2B5A56" w:themeColor="accent5" w:sz="8" w:space="0"/>
        </w:tcBorders>
      </w:tcPr>
    </w:tblStylePr>
  </w:style>
  <w:style w:type="table" w:styleId="LightList-Accent6">
    <w:name w:val="Light List Accent 6"/>
    <w:basedOn w:val="TableNormal"/>
    <w:uiPriority w:val="99"/>
    <w:semiHidden/>
    <w:unhideWhenUsed/>
    <w:rsid w:val="00911DE3"/>
    <w:pPr>
      <w:spacing w:line="240" w:lineRule="auto"/>
    </w:pPr>
    <w:tblPr>
      <w:tblStyleRowBandSize w:val="1"/>
      <w:tblStyleColBandSize w:val="1"/>
      <w:tblBorders>
        <w:top w:val="single" w:color="5EC1A0" w:themeColor="accent6" w:sz="8" w:space="0"/>
        <w:left w:val="single" w:color="5EC1A0" w:themeColor="accent6" w:sz="8" w:space="0"/>
        <w:bottom w:val="single" w:color="5EC1A0" w:themeColor="accent6" w:sz="8" w:space="0"/>
        <w:right w:val="single" w:color="5EC1A0" w:themeColor="accent6" w:sz="8" w:space="0"/>
      </w:tblBorders>
    </w:tblPr>
    <w:tblStylePr w:type="firstRow">
      <w:pPr>
        <w:spacing w:before="0" w:after="0" w:line="240" w:lineRule="auto"/>
      </w:pPr>
      <w:rPr>
        <w:b/>
        <w:bCs/>
        <w:color w:val="FFFFFF" w:themeColor="background1"/>
      </w:rPr>
      <w:tblPr/>
      <w:tcPr>
        <w:shd w:val="clear" w:color="auto" w:fill="5EC1A0" w:themeFill="accent6"/>
      </w:tcPr>
    </w:tblStylePr>
    <w:tblStylePr w:type="lastRow">
      <w:pPr>
        <w:spacing w:before="0" w:after="0" w:line="240" w:lineRule="auto"/>
      </w:pPr>
      <w:rPr>
        <w:b/>
        <w:bCs/>
      </w:rPr>
      <w:tblPr/>
      <w:tcPr>
        <w:tcBorders>
          <w:top w:val="double" w:color="5EC1A0" w:themeColor="accent6" w:sz="6" w:space="0"/>
          <w:left w:val="single" w:color="5EC1A0" w:themeColor="accent6" w:sz="8" w:space="0"/>
          <w:bottom w:val="single" w:color="5EC1A0" w:themeColor="accent6" w:sz="8" w:space="0"/>
          <w:right w:val="single" w:color="5EC1A0" w:themeColor="accent6" w:sz="8" w:space="0"/>
        </w:tcBorders>
      </w:tcPr>
    </w:tblStylePr>
    <w:tblStylePr w:type="firstCol">
      <w:rPr>
        <w:b/>
        <w:bCs/>
      </w:rPr>
    </w:tblStylePr>
    <w:tblStylePr w:type="lastCol">
      <w:rPr>
        <w:b/>
        <w:bCs/>
      </w:rPr>
    </w:tblStylePr>
    <w:tblStylePr w:type="band1Vert">
      <w:tblPr/>
      <w:tcPr>
        <w:tcBorders>
          <w:top w:val="single" w:color="5EC1A0" w:themeColor="accent6" w:sz="8" w:space="0"/>
          <w:left w:val="single" w:color="5EC1A0" w:themeColor="accent6" w:sz="8" w:space="0"/>
          <w:bottom w:val="single" w:color="5EC1A0" w:themeColor="accent6" w:sz="8" w:space="0"/>
          <w:right w:val="single" w:color="5EC1A0" w:themeColor="accent6" w:sz="8" w:space="0"/>
        </w:tcBorders>
      </w:tcPr>
    </w:tblStylePr>
    <w:tblStylePr w:type="band1Horz">
      <w:tblPr/>
      <w:tcPr>
        <w:tcBorders>
          <w:top w:val="single" w:color="5EC1A0" w:themeColor="accent6" w:sz="8" w:space="0"/>
          <w:left w:val="single" w:color="5EC1A0" w:themeColor="accent6" w:sz="8" w:space="0"/>
          <w:bottom w:val="single" w:color="5EC1A0" w:themeColor="accent6" w:sz="8" w:space="0"/>
          <w:right w:val="single" w:color="5EC1A0" w:themeColor="accent6" w:sz="8" w:space="0"/>
        </w:tcBorders>
      </w:tcPr>
    </w:tblStylePr>
  </w:style>
  <w:style w:type="table" w:styleId="LightShading">
    <w:name w:val="Light Shading"/>
    <w:basedOn w:val="TableNormal"/>
    <w:uiPriority w:val="99"/>
    <w:semiHidden/>
    <w:unhideWhenUsed/>
    <w:rsid w:val="00911DE3"/>
    <w:pPr>
      <w:spacing w:line="240" w:lineRule="auto"/>
    </w:pPr>
    <w:rPr>
      <w:color w:val="232323" w:themeColor="text1" w:themeShade="BF"/>
    </w:rPr>
    <w:tblPr>
      <w:tblStyleRowBandSize w:val="1"/>
      <w:tblStyleColBandSize w:val="1"/>
      <w:tblBorders>
        <w:top w:val="single" w:color="303030" w:themeColor="text1" w:sz="8" w:space="0"/>
        <w:bottom w:val="single" w:color="303030" w:themeColor="text1" w:sz="8" w:space="0"/>
      </w:tblBorders>
    </w:tblPr>
    <w:tblStylePr w:type="firstRow">
      <w:pPr>
        <w:spacing w:before="0" w:after="0" w:line="240" w:lineRule="auto"/>
      </w:pPr>
      <w:rPr>
        <w:b/>
        <w:bCs/>
      </w:rPr>
      <w:tblPr/>
      <w:tcPr>
        <w:tcBorders>
          <w:top w:val="single" w:color="303030" w:themeColor="text1" w:sz="8" w:space="0"/>
          <w:left w:val="nil"/>
          <w:bottom w:val="single" w:color="303030" w:themeColor="text1" w:sz="8" w:space="0"/>
          <w:right w:val="nil"/>
          <w:insideH w:val="nil"/>
          <w:insideV w:val="nil"/>
        </w:tcBorders>
      </w:tcPr>
    </w:tblStylePr>
    <w:tblStylePr w:type="lastRow">
      <w:pPr>
        <w:spacing w:before="0" w:after="0" w:line="240" w:lineRule="auto"/>
      </w:pPr>
      <w:rPr>
        <w:b/>
        <w:bCs/>
      </w:rPr>
      <w:tblPr/>
      <w:tcPr>
        <w:tcBorders>
          <w:top w:val="single" w:color="303030" w:themeColor="text1" w:sz="8" w:space="0"/>
          <w:left w:val="nil"/>
          <w:bottom w:val="single" w:color="30303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1">
    <w:name w:val="Light Shading Accent 1"/>
    <w:basedOn w:val="TableNormal"/>
    <w:uiPriority w:val="99"/>
    <w:semiHidden/>
    <w:unhideWhenUsed/>
    <w:rsid w:val="00911DE3"/>
    <w:pPr>
      <w:spacing w:line="240" w:lineRule="auto"/>
    </w:pPr>
    <w:rPr>
      <w:color w:val="88AAA6" w:themeColor="accent1" w:themeShade="BF"/>
    </w:rPr>
    <w:tblPr>
      <w:tblStyleRowBandSize w:val="1"/>
      <w:tblStyleColBandSize w:val="1"/>
      <w:tblBorders>
        <w:top w:val="single" w:color="C4D5D3" w:themeColor="accent1" w:sz="8" w:space="0"/>
        <w:bottom w:val="single" w:color="C4D5D3" w:themeColor="accent1" w:sz="8" w:space="0"/>
      </w:tblBorders>
    </w:tblPr>
    <w:tblStylePr w:type="firstRow">
      <w:pPr>
        <w:spacing w:before="0" w:after="0" w:line="240" w:lineRule="auto"/>
      </w:pPr>
      <w:rPr>
        <w:b/>
        <w:bCs/>
      </w:rPr>
      <w:tblPr/>
      <w:tcPr>
        <w:tcBorders>
          <w:top w:val="single" w:color="C4D5D3" w:themeColor="accent1" w:sz="8" w:space="0"/>
          <w:left w:val="nil"/>
          <w:bottom w:val="single" w:color="C4D5D3" w:themeColor="accent1" w:sz="8" w:space="0"/>
          <w:right w:val="nil"/>
          <w:insideH w:val="nil"/>
          <w:insideV w:val="nil"/>
        </w:tcBorders>
      </w:tcPr>
    </w:tblStylePr>
    <w:tblStylePr w:type="lastRow">
      <w:pPr>
        <w:spacing w:before="0" w:after="0" w:line="240" w:lineRule="auto"/>
      </w:pPr>
      <w:rPr>
        <w:b/>
        <w:bCs/>
      </w:rPr>
      <w:tblPr/>
      <w:tcPr>
        <w:tcBorders>
          <w:top w:val="single" w:color="C4D5D3" w:themeColor="accent1" w:sz="8" w:space="0"/>
          <w:left w:val="nil"/>
          <w:bottom w:val="single" w:color="C4D5D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4F4" w:themeFill="accent1" w:themeFillTint="3F"/>
      </w:tcPr>
    </w:tblStylePr>
    <w:tblStylePr w:type="band1Horz">
      <w:tblPr/>
      <w:tcPr>
        <w:tcBorders>
          <w:left w:val="nil"/>
          <w:right w:val="nil"/>
          <w:insideH w:val="nil"/>
          <w:insideV w:val="nil"/>
        </w:tcBorders>
        <w:shd w:val="clear" w:color="auto" w:fill="F0F4F4" w:themeFill="accent1" w:themeFillTint="3F"/>
      </w:tcPr>
    </w:tblStylePr>
  </w:style>
  <w:style w:type="table" w:styleId="LightShading-Accent2">
    <w:name w:val="Light Shading Accent 2"/>
    <w:basedOn w:val="TableNormal"/>
    <w:uiPriority w:val="99"/>
    <w:semiHidden/>
    <w:unhideWhenUsed/>
    <w:rsid w:val="00911DE3"/>
    <w:pPr>
      <w:spacing w:line="240" w:lineRule="auto"/>
    </w:pPr>
    <w:rPr>
      <w:color w:val="5E8481" w:themeColor="accent2" w:themeShade="BF"/>
    </w:rPr>
    <w:tblPr>
      <w:tblStyleRowBandSize w:val="1"/>
      <w:tblStyleColBandSize w:val="1"/>
      <w:tblBorders>
        <w:top w:val="single" w:color="86A9A6" w:themeColor="accent2" w:sz="8" w:space="0"/>
        <w:bottom w:val="single" w:color="86A9A6" w:themeColor="accent2" w:sz="8" w:space="0"/>
      </w:tblBorders>
    </w:tblPr>
    <w:tblStylePr w:type="firstRow">
      <w:pPr>
        <w:spacing w:before="0" w:after="0" w:line="240" w:lineRule="auto"/>
      </w:pPr>
      <w:rPr>
        <w:b/>
        <w:bCs/>
      </w:rPr>
      <w:tblPr/>
      <w:tcPr>
        <w:tcBorders>
          <w:top w:val="single" w:color="86A9A6" w:themeColor="accent2" w:sz="8" w:space="0"/>
          <w:left w:val="nil"/>
          <w:bottom w:val="single" w:color="86A9A6" w:themeColor="accent2" w:sz="8" w:space="0"/>
          <w:right w:val="nil"/>
          <w:insideH w:val="nil"/>
          <w:insideV w:val="nil"/>
        </w:tcBorders>
      </w:tcPr>
    </w:tblStylePr>
    <w:tblStylePr w:type="lastRow">
      <w:pPr>
        <w:spacing w:before="0" w:after="0" w:line="240" w:lineRule="auto"/>
      </w:pPr>
      <w:rPr>
        <w:b/>
        <w:bCs/>
      </w:rPr>
      <w:tblPr/>
      <w:tcPr>
        <w:tcBorders>
          <w:top w:val="single" w:color="86A9A6" w:themeColor="accent2" w:sz="8" w:space="0"/>
          <w:left w:val="nil"/>
          <w:bottom w:val="single" w:color="86A9A6"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9E8" w:themeFill="accent2" w:themeFillTint="3F"/>
      </w:tcPr>
    </w:tblStylePr>
    <w:tblStylePr w:type="band1Horz">
      <w:tblPr/>
      <w:tcPr>
        <w:tcBorders>
          <w:left w:val="nil"/>
          <w:right w:val="nil"/>
          <w:insideH w:val="nil"/>
          <w:insideV w:val="nil"/>
        </w:tcBorders>
        <w:shd w:val="clear" w:color="auto" w:fill="E1E9E8" w:themeFill="accent2" w:themeFillTint="3F"/>
      </w:tcPr>
    </w:tblStylePr>
  </w:style>
  <w:style w:type="table" w:styleId="LightShading-Accent3">
    <w:name w:val="Light Shading Accent 3"/>
    <w:basedOn w:val="TableNormal"/>
    <w:uiPriority w:val="99"/>
    <w:semiHidden/>
    <w:unhideWhenUsed/>
    <w:rsid w:val="00911DE3"/>
    <w:pPr>
      <w:spacing w:line="240" w:lineRule="auto"/>
    </w:pPr>
    <w:rPr>
      <w:color w:val="466966" w:themeColor="accent3" w:themeShade="BF"/>
    </w:rPr>
    <w:tblPr>
      <w:tblStyleRowBandSize w:val="1"/>
      <w:tblStyleColBandSize w:val="1"/>
      <w:tblBorders>
        <w:top w:val="single" w:color="5E8D89" w:themeColor="accent3" w:sz="8" w:space="0"/>
        <w:bottom w:val="single" w:color="5E8D89" w:themeColor="accent3" w:sz="8" w:space="0"/>
      </w:tblBorders>
    </w:tblPr>
    <w:tblStylePr w:type="firstRow">
      <w:pPr>
        <w:spacing w:before="0" w:after="0" w:line="240" w:lineRule="auto"/>
      </w:pPr>
      <w:rPr>
        <w:b/>
        <w:bCs/>
      </w:rPr>
      <w:tblPr/>
      <w:tcPr>
        <w:tcBorders>
          <w:top w:val="single" w:color="5E8D89" w:themeColor="accent3" w:sz="8" w:space="0"/>
          <w:left w:val="nil"/>
          <w:bottom w:val="single" w:color="5E8D89" w:themeColor="accent3" w:sz="8" w:space="0"/>
          <w:right w:val="nil"/>
          <w:insideH w:val="nil"/>
          <w:insideV w:val="nil"/>
        </w:tcBorders>
      </w:tcPr>
    </w:tblStylePr>
    <w:tblStylePr w:type="lastRow">
      <w:pPr>
        <w:spacing w:before="0" w:after="0" w:line="240" w:lineRule="auto"/>
      </w:pPr>
      <w:rPr>
        <w:b/>
        <w:bCs/>
      </w:rPr>
      <w:tblPr/>
      <w:tcPr>
        <w:tcBorders>
          <w:top w:val="single" w:color="5E8D89" w:themeColor="accent3" w:sz="8" w:space="0"/>
          <w:left w:val="nil"/>
          <w:bottom w:val="single" w:color="5E8D8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2" w:themeFill="accent3" w:themeFillTint="3F"/>
      </w:tcPr>
    </w:tblStylePr>
    <w:tblStylePr w:type="band1Horz">
      <w:tblPr/>
      <w:tcPr>
        <w:tcBorders>
          <w:left w:val="nil"/>
          <w:right w:val="nil"/>
          <w:insideH w:val="nil"/>
          <w:insideV w:val="nil"/>
        </w:tcBorders>
        <w:shd w:val="clear" w:color="auto" w:fill="D6E3E2" w:themeFill="accent3" w:themeFillTint="3F"/>
      </w:tcPr>
    </w:tblStylePr>
  </w:style>
  <w:style w:type="table" w:styleId="LightShading-Accent4">
    <w:name w:val="Light Shading Accent 4"/>
    <w:basedOn w:val="TableNormal"/>
    <w:uiPriority w:val="99"/>
    <w:semiHidden/>
    <w:unhideWhenUsed/>
    <w:rsid w:val="00911DE3"/>
    <w:pPr>
      <w:spacing w:line="240" w:lineRule="auto"/>
    </w:pPr>
    <w:rPr>
      <w:color w:val="285350" w:themeColor="accent4" w:themeShade="BF"/>
    </w:rPr>
    <w:tblPr>
      <w:tblStyleRowBandSize w:val="1"/>
      <w:tblStyleColBandSize w:val="1"/>
      <w:tblBorders>
        <w:top w:val="single" w:color="36706B" w:themeColor="accent4" w:sz="8" w:space="0"/>
        <w:bottom w:val="single" w:color="36706B" w:themeColor="accent4" w:sz="8" w:space="0"/>
      </w:tblBorders>
    </w:tblPr>
    <w:tblStylePr w:type="firstRow">
      <w:pPr>
        <w:spacing w:before="0" w:after="0" w:line="240" w:lineRule="auto"/>
      </w:pPr>
      <w:rPr>
        <w:b/>
        <w:bCs/>
      </w:rPr>
      <w:tblPr/>
      <w:tcPr>
        <w:tcBorders>
          <w:top w:val="single" w:color="36706B" w:themeColor="accent4" w:sz="8" w:space="0"/>
          <w:left w:val="nil"/>
          <w:bottom w:val="single" w:color="36706B" w:themeColor="accent4" w:sz="8" w:space="0"/>
          <w:right w:val="nil"/>
          <w:insideH w:val="nil"/>
          <w:insideV w:val="nil"/>
        </w:tcBorders>
      </w:tcPr>
    </w:tblStylePr>
    <w:tblStylePr w:type="lastRow">
      <w:pPr>
        <w:spacing w:before="0" w:after="0" w:line="240" w:lineRule="auto"/>
      </w:pPr>
      <w:rPr>
        <w:b/>
        <w:bCs/>
      </w:rPr>
      <w:tblPr/>
      <w:tcPr>
        <w:tcBorders>
          <w:top w:val="single" w:color="36706B" w:themeColor="accent4" w:sz="8" w:space="0"/>
          <w:left w:val="nil"/>
          <w:bottom w:val="single" w:color="36706B"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3E0" w:themeFill="accent4" w:themeFillTint="3F"/>
      </w:tcPr>
    </w:tblStylePr>
    <w:tblStylePr w:type="band1Horz">
      <w:tblPr/>
      <w:tcPr>
        <w:tcBorders>
          <w:left w:val="nil"/>
          <w:right w:val="nil"/>
          <w:insideH w:val="nil"/>
          <w:insideV w:val="nil"/>
        </w:tcBorders>
        <w:shd w:val="clear" w:color="auto" w:fill="C5E3E0" w:themeFill="accent4" w:themeFillTint="3F"/>
      </w:tcPr>
    </w:tblStylePr>
  </w:style>
  <w:style w:type="table" w:styleId="LightShading-Accent5">
    <w:name w:val="Light Shading Accent 5"/>
    <w:basedOn w:val="TableNormal"/>
    <w:uiPriority w:val="99"/>
    <w:semiHidden/>
    <w:unhideWhenUsed/>
    <w:rsid w:val="00911DE3"/>
    <w:pPr>
      <w:spacing w:line="240" w:lineRule="auto"/>
    </w:pPr>
    <w:rPr>
      <w:color w:val="204340" w:themeColor="accent5" w:themeShade="BF"/>
    </w:rPr>
    <w:tblPr>
      <w:tblStyleRowBandSize w:val="1"/>
      <w:tblStyleColBandSize w:val="1"/>
      <w:tblBorders>
        <w:top w:val="single" w:color="2B5A56" w:themeColor="accent5" w:sz="8" w:space="0"/>
        <w:bottom w:val="single" w:color="2B5A56" w:themeColor="accent5" w:sz="8" w:space="0"/>
      </w:tblBorders>
    </w:tblPr>
    <w:tblStylePr w:type="firstRow">
      <w:pPr>
        <w:spacing w:before="0" w:after="0" w:line="240" w:lineRule="auto"/>
      </w:pPr>
      <w:rPr>
        <w:b/>
        <w:bCs/>
      </w:rPr>
      <w:tblPr/>
      <w:tcPr>
        <w:tcBorders>
          <w:top w:val="single" w:color="2B5A56" w:themeColor="accent5" w:sz="8" w:space="0"/>
          <w:left w:val="nil"/>
          <w:bottom w:val="single" w:color="2B5A56" w:themeColor="accent5" w:sz="8" w:space="0"/>
          <w:right w:val="nil"/>
          <w:insideH w:val="nil"/>
          <w:insideV w:val="nil"/>
        </w:tcBorders>
      </w:tcPr>
    </w:tblStylePr>
    <w:tblStylePr w:type="lastRow">
      <w:pPr>
        <w:spacing w:before="0" w:after="0" w:line="240" w:lineRule="auto"/>
      </w:pPr>
      <w:rPr>
        <w:b/>
        <w:bCs/>
      </w:rPr>
      <w:tblPr/>
      <w:tcPr>
        <w:tcBorders>
          <w:top w:val="single" w:color="2B5A56" w:themeColor="accent5" w:sz="8" w:space="0"/>
          <w:left w:val="nil"/>
          <w:bottom w:val="single" w:color="2B5A5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DD" w:themeFill="accent5" w:themeFillTint="3F"/>
      </w:tcPr>
    </w:tblStylePr>
    <w:tblStylePr w:type="band1Horz">
      <w:tblPr/>
      <w:tcPr>
        <w:tcBorders>
          <w:left w:val="nil"/>
          <w:right w:val="nil"/>
          <w:insideH w:val="nil"/>
          <w:insideV w:val="nil"/>
        </w:tcBorders>
        <w:shd w:val="clear" w:color="auto" w:fill="BFE0DD" w:themeFill="accent5" w:themeFillTint="3F"/>
      </w:tcPr>
    </w:tblStylePr>
  </w:style>
  <w:style w:type="table" w:styleId="LightShading-Accent6">
    <w:name w:val="Light Shading Accent 6"/>
    <w:basedOn w:val="TableNormal"/>
    <w:uiPriority w:val="99"/>
    <w:semiHidden/>
    <w:unhideWhenUsed/>
    <w:rsid w:val="00911DE3"/>
    <w:pPr>
      <w:spacing w:line="240" w:lineRule="auto"/>
    </w:pPr>
    <w:rPr>
      <w:color w:val="3B9A7B" w:themeColor="accent6" w:themeShade="BF"/>
    </w:rPr>
    <w:tblPr>
      <w:tblStyleRowBandSize w:val="1"/>
      <w:tblStyleColBandSize w:val="1"/>
      <w:tblBorders>
        <w:top w:val="single" w:color="5EC1A0" w:themeColor="accent6" w:sz="8" w:space="0"/>
        <w:bottom w:val="single" w:color="5EC1A0" w:themeColor="accent6" w:sz="8" w:space="0"/>
      </w:tblBorders>
    </w:tblPr>
    <w:tblStylePr w:type="firstRow">
      <w:pPr>
        <w:spacing w:before="0" w:after="0" w:line="240" w:lineRule="auto"/>
      </w:pPr>
      <w:rPr>
        <w:b/>
        <w:bCs/>
      </w:rPr>
      <w:tblPr/>
      <w:tcPr>
        <w:tcBorders>
          <w:top w:val="single" w:color="5EC1A0" w:themeColor="accent6" w:sz="8" w:space="0"/>
          <w:left w:val="nil"/>
          <w:bottom w:val="single" w:color="5EC1A0" w:themeColor="accent6" w:sz="8" w:space="0"/>
          <w:right w:val="nil"/>
          <w:insideH w:val="nil"/>
          <w:insideV w:val="nil"/>
        </w:tcBorders>
      </w:tcPr>
    </w:tblStylePr>
    <w:tblStylePr w:type="lastRow">
      <w:pPr>
        <w:spacing w:before="0" w:after="0" w:line="240" w:lineRule="auto"/>
      </w:pPr>
      <w:rPr>
        <w:b/>
        <w:bCs/>
      </w:rPr>
      <w:tblPr/>
      <w:tcPr>
        <w:tcBorders>
          <w:top w:val="single" w:color="5EC1A0" w:themeColor="accent6" w:sz="8" w:space="0"/>
          <w:left w:val="nil"/>
          <w:bottom w:val="single" w:color="5EC1A0"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FE7" w:themeFill="accent6" w:themeFillTint="3F"/>
      </w:tcPr>
    </w:tblStylePr>
    <w:tblStylePr w:type="band1Horz">
      <w:tblPr/>
      <w:tcPr>
        <w:tcBorders>
          <w:left w:val="nil"/>
          <w:right w:val="nil"/>
          <w:insideH w:val="nil"/>
          <w:insideV w:val="nil"/>
        </w:tcBorders>
        <w:shd w:val="clear" w:color="auto" w:fill="D7EFE7" w:themeFill="accent6" w:themeFillTint="3F"/>
      </w:tcPr>
    </w:tblStylePr>
  </w:style>
  <w:style w:type="character" w:styleId="LineNumber">
    <w:name w:val="line number"/>
    <w:basedOn w:val="DefaultParagraphFont"/>
    <w:uiPriority w:val="99"/>
    <w:semiHidden/>
    <w:rsid w:val="00911DE3"/>
    <w:rPr>
      <w:lang w:val="en-GB"/>
    </w:rPr>
  </w:style>
  <w:style w:type="paragraph" w:styleId="List">
    <w:name w:val="List"/>
    <w:basedOn w:val="Normal"/>
    <w:uiPriority w:val="99"/>
    <w:semiHidden/>
    <w:rsid w:val="00911DE3"/>
    <w:pPr>
      <w:spacing w:after="0"/>
      <w:ind w:left="283" w:hanging="283"/>
      <w:contextualSpacing/>
    </w:pPr>
  </w:style>
  <w:style w:type="paragraph" w:styleId="List2">
    <w:name w:val="List 2"/>
    <w:basedOn w:val="Normal"/>
    <w:uiPriority w:val="99"/>
    <w:semiHidden/>
    <w:rsid w:val="00911DE3"/>
    <w:pPr>
      <w:spacing w:after="0"/>
      <w:ind w:left="566" w:hanging="283"/>
      <w:contextualSpacing/>
    </w:pPr>
  </w:style>
  <w:style w:type="paragraph" w:styleId="List3">
    <w:name w:val="List 3"/>
    <w:basedOn w:val="Normal"/>
    <w:uiPriority w:val="99"/>
    <w:semiHidden/>
    <w:rsid w:val="00911DE3"/>
    <w:pPr>
      <w:spacing w:after="0"/>
      <w:ind w:left="849" w:hanging="283"/>
      <w:contextualSpacing/>
    </w:pPr>
  </w:style>
  <w:style w:type="paragraph" w:styleId="List4">
    <w:name w:val="List 4"/>
    <w:basedOn w:val="Normal"/>
    <w:uiPriority w:val="99"/>
    <w:semiHidden/>
    <w:rsid w:val="00911DE3"/>
    <w:pPr>
      <w:spacing w:after="0"/>
      <w:ind w:left="1132" w:hanging="283"/>
      <w:contextualSpacing/>
    </w:pPr>
  </w:style>
  <w:style w:type="paragraph" w:styleId="List5">
    <w:name w:val="List 5"/>
    <w:basedOn w:val="Normal"/>
    <w:uiPriority w:val="99"/>
    <w:semiHidden/>
    <w:rsid w:val="00911DE3"/>
    <w:pPr>
      <w:spacing w:after="0"/>
      <w:ind w:left="1415" w:hanging="283"/>
      <w:contextualSpacing/>
    </w:pPr>
  </w:style>
  <w:style w:type="paragraph" w:styleId="ListBullet">
    <w:name w:val="List Bullet"/>
    <w:basedOn w:val="Normal"/>
    <w:uiPriority w:val="99"/>
    <w:qFormat/>
    <w:rsid w:val="00B76738"/>
    <w:pPr>
      <w:spacing w:after="0"/>
      <w:ind w:right="170"/>
      <w:contextualSpacing/>
    </w:pPr>
  </w:style>
  <w:style w:type="paragraph" w:styleId="ListBullet2">
    <w:name w:val="List Bullet 2"/>
    <w:basedOn w:val="Normal"/>
    <w:uiPriority w:val="2"/>
    <w:semiHidden/>
    <w:rsid w:val="00B76738"/>
    <w:pPr>
      <w:spacing w:after="0"/>
      <w:ind w:left="284" w:hanging="142"/>
      <w:contextualSpacing/>
    </w:pPr>
  </w:style>
  <w:style w:type="paragraph" w:styleId="ListBullet3">
    <w:name w:val="List Bullet 3"/>
    <w:basedOn w:val="Normal"/>
    <w:uiPriority w:val="2"/>
    <w:semiHidden/>
    <w:rsid w:val="00B76738"/>
    <w:pPr>
      <w:spacing w:after="0"/>
      <w:ind w:left="426" w:hanging="142"/>
      <w:contextualSpacing/>
    </w:pPr>
  </w:style>
  <w:style w:type="paragraph" w:styleId="ListBullet4">
    <w:name w:val="List Bullet 4"/>
    <w:basedOn w:val="Normal"/>
    <w:uiPriority w:val="2"/>
    <w:semiHidden/>
    <w:rsid w:val="00911DE3"/>
    <w:pPr>
      <w:numPr>
        <w:numId w:val="3"/>
      </w:numPr>
      <w:spacing w:after="0"/>
      <w:ind w:left="340" w:hanging="340"/>
      <w:contextualSpacing/>
    </w:pPr>
  </w:style>
  <w:style w:type="paragraph" w:styleId="ListBullet5">
    <w:name w:val="List Bullet 5"/>
    <w:basedOn w:val="Normal"/>
    <w:uiPriority w:val="2"/>
    <w:semiHidden/>
    <w:rsid w:val="00911DE3"/>
    <w:pPr>
      <w:numPr>
        <w:numId w:val="4"/>
      </w:numPr>
      <w:spacing w:after="0"/>
      <w:ind w:left="284" w:hanging="171"/>
      <w:contextualSpacing/>
    </w:pPr>
  </w:style>
  <w:style w:type="paragraph" w:styleId="ListContinue">
    <w:name w:val="List Continue"/>
    <w:basedOn w:val="Normal"/>
    <w:uiPriority w:val="99"/>
    <w:semiHidden/>
    <w:rsid w:val="00911DE3"/>
    <w:pPr>
      <w:spacing w:after="120"/>
      <w:ind w:left="283"/>
      <w:contextualSpacing/>
    </w:pPr>
  </w:style>
  <w:style w:type="paragraph" w:styleId="ListContinue2">
    <w:name w:val="List Continue 2"/>
    <w:basedOn w:val="Normal"/>
    <w:uiPriority w:val="99"/>
    <w:semiHidden/>
    <w:rsid w:val="00911DE3"/>
    <w:pPr>
      <w:spacing w:after="120"/>
      <w:ind w:left="566"/>
      <w:contextualSpacing/>
    </w:pPr>
  </w:style>
  <w:style w:type="paragraph" w:styleId="ListContinue3">
    <w:name w:val="List Continue 3"/>
    <w:basedOn w:val="Normal"/>
    <w:uiPriority w:val="99"/>
    <w:semiHidden/>
    <w:rsid w:val="00911DE3"/>
    <w:pPr>
      <w:spacing w:after="120"/>
      <w:ind w:left="849"/>
      <w:contextualSpacing/>
    </w:pPr>
  </w:style>
  <w:style w:type="paragraph" w:styleId="ListContinue4">
    <w:name w:val="List Continue 4"/>
    <w:basedOn w:val="Normal"/>
    <w:uiPriority w:val="99"/>
    <w:semiHidden/>
    <w:rsid w:val="00911DE3"/>
    <w:pPr>
      <w:spacing w:after="120"/>
      <w:ind w:left="1132"/>
      <w:contextualSpacing/>
    </w:pPr>
  </w:style>
  <w:style w:type="paragraph" w:styleId="ListContinue5">
    <w:name w:val="List Continue 5"/>
    <w:basedOn w:val="Normal"/>
    <w:uiPriority w:val="99"/>
    <w:semiHidden/>
    <w:rsid w:val="00911DE3"/>
    <w:pPr>
      <w:spacing w:after="120"/>
      <w:ind w:left="1415"/>
      <w:contextualSpacing/>
    </w:pPr>
  </w:style>
  <w:style w:type="paragraph" w:styleId="ListNumber">
    <w:name w:val="List Number"/>
    <w:basedOn w:val="Normal"/>
    <w:uiPriority w:val="2"/>
    <w:qFormat/>
    <w:rsid w:val="00B76738"/>
    <w:pPr>
      <w:spacing w:after="0"/>
      <w:ind w:left="340" w:hanging="340"/>
      <w:contextualSpacing/>
    </w:pPr>
  </w:style>
  <w:style w:type="paragraph" w:styleId="ListNumber2">
    <w:name w:val="List Number 2"/>
    <w:basedOn w:val="Normal"/>
    <w:uiPriority w:val="2"/>
    <w:semiHidden/>
    <w:rsid w:val="00B76738"/>
    <w:pPr>
      <w:spacing w:after="0"/>
      <w:ind w:left="964" w:hanging="624"/>
      <w:contextualSpacing/>
    </w:pPr>
  </w:style>
  <w:style w:type="paragraph" w:styleId="ListNumber3">
    <w:name w:val="List Number 3"/>
    <w:basedOn w:val="Normal"/>
    <w:uiPriority w:val="2"/>
    <w:semiHidden/>
    <w:rsid w:val="00B76738"/>
    <w:pPr>
      <w:spacing w:after="0"/>
      <w:ind w:left="1758" w:hanging="794"/>
      <w:contextualSpacing/>
    </w:pPr>
  </w:style>
  <w:style w:type="paragraph" w:styleId="ListNumber4">
    <w:name w:val="List Number 4"/>
    <w:basedOn w:val="Normal"/>
    <w:uiPriority w:val="2"/>
    <w:semiHidden/>
    <w:rsid w:val="00911DE3"/>
    <w:pPr>
      <w:tabs>
        <w:tab w:val="num" w:pos="1209"/>
      </w:tabs>
      <w:spacing w:after="0"/>
      <w:ind w:left="1209" w:hanging="360"/>
      <w:contextualSpacing/>
    </w:pPr>
  </w:style>
  <w:style w:type="paragraph" w:styleId="ListNumber5">
    <w:name w:val="List Number 5"/>
    <w:basedOn w:val="Normal"/>
    <w:uiPriority w:val="2"/>
    <w:semiHidden/>
    <w:rsid w:val="00911DE3"/>
    <w:pPr>
      <w:spacing w:after="0"/>
      <w:ind w:left="851" w:hanging="851"/>
      <w:contextualSpacing/>
    </w:pPr>
  </w:style>
  <w:style w:type="paragraph" w:styleId="ListParagraph">
    <w:name w:val="List Paragraph"/>
    <w:basedOn w:val="Normal"/>
    <w:link w:val="ListParagraphChar"/>
    <w:uiPriority w:val="99"/>
    <w:qFormat/>
    <w:rsid w:val="00901321"/>
    <w:pPr>
      <w:spacing w:after="0"/>
      <w:ind w:left="720"/>
      <w:contextualSpacing/>
    </w:pPr>
  </w:style>
  <w:style w:type="table" w:styleId="ListTable1Light">
    <w:name w:val="List Table 1 Light"/>
    <w:basedOn w:val="TableNormal"/>
    <w:uiPriority w:val="99"/>
    <w:rsid w:val="00911DE3"/>
    <w:pPr>
      <w:spacing w:line="240" w:lineRule="auto"/>
    </w:pPr>
    <w:tblPr>
      <w:tblStyleRowBandSize w:val="1"/>
      <w:tblStyleColBandSize w:val="1"/>
    </w:tblPr>
    <w:tblStylePr w:type="firstRow">
      <w:rPr>
        <w:b/>
        <w:bCs/>
      </w:rPr>
      <w:tblPr/>
      <w:tcPr>
        <w:tcBorders>
          <w:bottom w:val="single" w:color="828282" w:themeColor="text1" w:themeTint="99" w:sz="4" w:space="0"/>
        </w:tcBorders>
      </w:tcPr>
    </w:tblStylePr>
    <w:tblStylePr w:type="lastRow">
      <w:rPr>
        <w:b/>
        <w:bCs/>
      </w:rPr>
      <w:tblPr/>
      <w:tcPr>
        <w:tcBorders>
          <w:top w:val="single" w:color="828282" w:themeColor="text1" w:themeTint="99" w:sz="4" w:space="0"/>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1Light-Accent1">
    <w:name w:val="List Table 1 Light Accent 1"/>
    <w:basedOn w:val="TableNormal"/>
    <w:uiPriority w:val="99"/>
    <w:rsid w:val="00911DE3"/>
    <w:pPr>
      <w:spacing w:line="240" w:lineRule="auto"/>
    </w:pPr>
    <w:tblPr>
      <w:tblStyleRowBandSize w:val="1"/>
      <w:tblStyleColBandSize w:val="1"/>
    </w:tblPr>
    <w:tblStylePr w:type="firstRow">
      <w:rPr>
        <w:b/>
        <w:bCs/>
      </w:rPr>
      <w:tblPr/>
      <w:tcPr>
        <w:tcBorders>
          <w:bottom w:val="single" w:color="DBE5E4" w:themeColor="accent1" w:themeTint="99" w:sz="4" w:space="0"/>
        </w:tcBorders>
      </w:tcPr>
    </w:tblStylePr>
    <w:tblStylePr w:type="lastRow">
      <w:rPr>
        <w:b/>
        <w:bCs/>
      </w:rPr>
      <w:tblPr/>
      <w:tcPr>
        <w:tcBorders>
          <w:top w:val="single" w:color="DBE5E4" w:themeColor="accent1" w:themeTint="99" w:sz="4" w:space="0"/>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1Light-Accent2">
    <w:name w:val="List Table 1 Light Accent 2"/>
    <w:basedOn w:val="TableNormal"/>
    <w:uiPriority w:val="99"/>
    <w:rsid w:val="00911DE3"/>
    <w:pPr>
      <w:spacing w:line="240" w:lineRule="auto"/>
    </w:pPr>
    <w:tblPr>
      <w:tblStyleRowBandSize w:val="1"/>
      <w:tblStyleColBandSize w:val="1"/>
    </w:tblPr>
    <w:tblStylePr w:type="firstRow">
      <w:rPr>
        <w:b/>
        <w:bCs/>
      </w:rPr>
      <w:tblPr/>
      <w:tcPr>
        <w:tcBorders>
          <w:bottom w:val="single" w:color="B6CBC9" w:themeColor="accent2" w:themeTint="99" w:sz="4" w:space="0"/>
        </w:tcBorders>
      </w:tcPr>
    </w:tblStylePr>
    <w:tblStylePr w:type="lastRow">
      <w:rPr>
        <w:b/>
        <w:bCs/>
      </w:rPr>
      <w:tblPr/>
      <w:tcPr>
        <w:tcBorders>
          <w:top w:val="single" w:color="B6CBC9" w:themeColor="accent2" w:themeTint="99" w:sz="4" w:space="0"/>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1Light-Accent3">
    <w:name w:val="List Table 1 Light Accent 3"/>
    <w:basedOn w:val="TableNormal"/>
    <w:uiPriority w:val="99"/>
    <w:rsid w:val="00911DE3"/>
    <w:pPr>
      <w:spacing w:line="240" w:lineRule="auto"/>
    </w:pPr>
    <w:tblPr>
      <w:tblStyleRowBandSize w:val="1"/>
      <w:tblStyleColBandSize w:val="1"/>
    </w:tblPr>
    <w:tblStylePr w:type="firstRow">
      <w:rPr>
        <w:b/>
        <w:bCs/>
      </w:rPr>
      <w:tblPr/>
      <w:tcPr>
        <w:tcBorders>
          <w:bottom w:val="single" w:color="9CBDBA" w:themeColor="accent3" w:themeTint="99" w:sz="4" w:space="0"/>
        </w:tcBorders>
      </w:tcPr>
    </w:tblStylePr>
    <w:tblStylePr w:type="lastRow">
      <w:rPr>
        <w:b/>
        <w:bCs/>
      </w:rPr>
      <w:tblPr/>
      <w:tcPr>
        <w:tcBorders>
          <w:top w:val="single" w:color="9CBDBA" w:themeColor="accent3" w:themeTint="99" w:sz="4" w:space="0"/>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1Light-Accent4">
    <w:name w:val="List Table 1 Light Accent 4"/>
    <w:basedOn w:val="TableNormal"/>
    <w:uiPriority w:val="99"/>
    <w:rsid w:val="00911DE3"/>
    <w:pPr>
      <w:spacing w:line="240" w:lineRule="auto"/>
    </w:pPr>
    <w:tblPr>
      <w:tblStyleRowBandSize w:val="1"/>
      <w:tblStyleColBandSize w:val="1"/>
    </w:tblPr>
    <w:tblStylePr w:type="firstRow">
      <w:rPr>
        <w:b/>
        <w:bCs/>
      </w:rPr>
      <w:tblPr/>
      <w:tcPr>
        <w:tcBorders>
          <w:bottom w:val="single" w:color="73BBB5" w:themeColor="accent4" w:themeTint="99" w:sz="4" w:space="0"/>
        </w:tcBorders>
      </w:tcPr>
    </w:tblStylePr>
    <w:tblStylePr w:type="lastRow">
      <w:rPr>
        <w:b/>
        <w:bCs/>
      </w:rPr>
      <w:tblPr/>
      <w:tcPr>
        <w:tcBorders>
          <w:top w:val="single" w:color="73BBB5" w:themeColor="accent4" w:themeTint="99" w:sz="4" w:space="0"/>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1Light-Accent5">
    <w:name w:val="List Table 1 Light Accent 5"/>
    <w:basedOn w:val="TableNormal"/>
    <w:uiPriority w:val="99"/>
    <w:rsid w:val="00911DE3"/>
    <w:pPr>
      <w:spacing w:line="240" w:lineRule="auto"/>
    </w:pPr>
    <w:tblPr>
      <w:tblStyleRowBandSize w:val="1"/>
      <w:tblStyleColBandSize w:val="1"/>
    </w:tblPr>
    <w:tblStylePr w:type="firstRow">
      <w:rPr>
        <w:b/>
        <w:bCs/>
      </w:rPr>
      <w:tblPr/>
      <w:tcPr>
        <w:tcBorders>
          <w:bottom w:val="single" w:color="65B5AE" w:themeColor="accent5" w:themeTint="99" w:sz="4" w:space="0"/>
        </w:tcBorders>
      </w:tcPr>
    </w:tblStylePr>
    <w:tblStylePr w:type="lastRow">
      <w:rPr>
        <w:b/>
        <w:bCs/>
      </w:rPr>
      <w:tblPr/>
      <w:tcPr>
        <w:tcBorders>
          <w:top w:val="single" w:color="65B5AE" w:themeColor="accent5" w:themeTint="99" w:sz="4" w:space="0"/>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1Light-Accent6">
    <w:name w:val="List Table 1 Light Accent 6"/>
    <w:basedOn w:val="TableNormal"/>
    <w:uiPriority w:val="99"/>
    <w:rsid w:val="00911DE3"/>
    <w:pPr>
      <w:spacing w:line="240" w:lineRule="auto"/>
    </w:pPr>
    <w:tblPr>
      <w:tblStyleRowBandSize w:val="1"/>
      <w:tblStyleColBandSize w:val="1"/>
    </w:tblPr>
    <w:tblStylePr w:type="firstRow">
      <w:rPr>
        <w:b/>
        <w:bCs/>
      </w:rPr>
      <w:tblPr/>
      <w:tcPr>
        <w:tcBorders>
          <w:bottom w:val="single" w:color="9ED9C5" w:themeColor="accent6" w:themeTint="99" w:sz="4" w:space="0"/>
        </w:tcBorders>
      </w:tcPr>
    </w:tblStylePr>
    <w:tblStylePr w:type="lastRow">
      <w:rPr>
        <w:b/>
        <w:bCs/>
      </w:rPr>
      <w:tblPr/>
      <w:tcPr>
        <w:tcBorders>
          <w:top w:val="single" w:color="9ED9C5" w:themeColor="accent6" w:themeTint="99" w:sz="4" w:space="0"/>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2">
    <w:name w:val="List Table 2"/>
    <w:basedOn w:val="TableNormal"/>
    <w:uiPriority w:val="99"/>
    <w:rsid w:val="00911DE3"/>
    <w:pPr>
      <w:spacing w:line="240" w:lineRule="auto"/>
    </w:pPr>
    <w:tblPr>
      <w:tblStyleRowBandSize w:val="1"/>
      <w:tblStyleColBandSize w:val="1"/>
      <w:tblBorders>
        <w:top w:val="single" w:color="828282" w:themeColor="text1" w:themeTint="99" w:sz="4" w:space="0"/>
        <w:bottom w:val="single" w:color="828282" w:themeColor="text1" w:themeTint="99" w:sz="4" w:space="0"/>
        <w:insideH w:val="single" w:color="828282"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2-Accent1">
    <w:name w:val="List Table 2 Accent 1"/>
    <w:basedOn w:val="TableNormal"/>
    <w:uiPriority w:val="99"/>
    <w:rsid w:val="00911DE3"/>
    <w:pPr>
      <w:spacing w:line="240" w:lineRule="auto"/>
    </w:pPr>
    <w:tblPr>
      <w:tblStyleRowBandSize w:val="1"/>
      <w:tblStyleColBandSize w:val="1"/>
      <w:tblBorders>
        <w:top w:val="single" w:color="DBE5E4" w:themeColor="accent1" w:themeTint="99" w:sz="4" w:space="0"/>
        <w:bottom w:val="single" w:color="DBE5E4" w:themeColor="accent1" w:themeTint="99" w:sz="4" w:space="0"/>
        <w:insideH w:val="single" w:color="DBE5E4"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2-Accent2">
    <w:name w:val="List Table 2 Accent 2"/>
    <w:basedOn w:val="TableNormal"/>
    <w:uiPriority w:val="99"/>
    <w:rsid w:val="00911DE3"/>
    <w:pPr>
      <w:spacing w:line="240" w:lineRule="auto"/>
    </w:pPr>
    <w:tblPr>
      <w:tblStyleRowBandSize w:val="1"/>
      <w:tblStyleColBandSize w:val="1"/>
      <w:tblBorders>
        <w:top w:val="single" w:color="B6CBC9" w:themeColor="accent2" w:themeTint="99" w:sz="4" w:space="0"/>
        <w:bottom w:val="single" w:color="B6CBC9" w:themeColor="accent2" w:themeTint="99" w:sz="4" w:space="0"/>
        <w:insideH w:val="single" w:color="B6CBC9"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2-Accent3">
    <w:name w:val="List Table 2 Accent 3"/>
    <w:basedOn w:val="TableNormal"/>
    <w:uiPriority w:val="99"/>
    <w:rsid w:val="00911DE3"/>
    <w:pPr>
      <w:spacing w:line="240" w:lineRule="auto"/>
    </w:pPr>
    <w:tblPr>
      <w:tblStyleRowBandSize w:val="1"/>
      <w:tblStyleColBandSize w:val="1"/>
      <w:tblBorders>
        <w:top w:val="single" w:color="9CBDBA" w:themeColor="accent3" w:themeTint="99" w:sz="4" w:space="0"/>
        <w:bottom w:val="single" w:color="9CBDBA" w:themeColor="accent3" w:themeTint="99" w:sz="4" w:space="0"/>
        <w:insideH w:val="single" w:color="9CBDBA"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2-Accent4">
    <w:name w:val="List Table 2 Accent 4"/>
    <w:basedOn w:val="TableNormal"/>
    <w:uiPriority w:val="99"/>
    <w:rsid w:val="00911DE3"/>
    <w:pPr>
      <w:spacing w:line="240" w:lineRule="auto"/>
    </w:pPr>
    <w:tblPr>
      <w:tblStyleRowBandSize w:val="1"/>
      <w:tblStyleColBandSize w:val="1"/>
      <w:tblBorders>
        <w:top w:val="single" w:color="73BBB5" w:themeColor="accent4" w:themeTint="99" w:sz="4" w:space="0"/>
        <w:bottom w:val="single" w:color="73BBB5" w:themeColor="accent4" w:themeTint="99" w:sz="4" w:space="0"/>
        <w:insideH w:val="single" w:color="73BBB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2-Accent5">
    <w:name w:val="List Table 2 Accent 5"/>
    <w:basedOn w:val="TableNormal"/>
    <w:uiPriority w:val="99"/>
    <w:rsid w:val="00911DE3"/>
    <w:pPr>
      <w:spacing w:line="240" w:lineRule="auto"/>
    </w:pPr>
    <w:tblPr>
      <w:tblStyleRowBandSize w:val="1"/>
      <w:tblStyleColBandSize w:val="1"/>
      <w:tblBorders>
        <w:top w:val="single" w:color="65B5AE" w:themeColor="accent5" w:themeTint="99" w:sz="4" w:space="0"/>
        <w:bottom w:val="single" w:color="65B5AE" w:themeColor="accent5" w:themeTint="99" w:sz="4" w:space="0"/>
        <w:insideH w:val="single" w:color="65B5AE"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2-Accent6">
    <w:name w:val="List Table 2 Accent 6"/>
    <w:basedOn w:val="TableNormal"/>
    <w:uiPriority w:val="99"/>
    <w:rsid w:val="00911DE3"/>
    <w:pPr>
      <w:spacing w:line="240" w:lineRule="auto"/>
    </w:pPr>
    <w:tblPr>
      <w:tblStyleRowBandSize w:val="1"/>
      <w:tblStyleColBandSize w:val="1"/>
      <w:tblBorders>
        <w:top w:val="single" w:color="9ED9C5" w:themeColor="accent6" w:themeTint="99" w:sz="4" w:space="0"/>
        <w:bottom w:val="single" w:color="9ED9C5" w:themeColor="accent6" w:themeTint="99" w:sz="4" w:space="0"/>
        <w:insideH w:val="single" w:color="9ED9C5"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3">
    <w:name w:val="List Table 3"/>
    <w:basedOn w:val="TableNormal"/>
    <w:uiPriority w:val="99"/>
    <w:rsid w:val="00911DE3"/>
    <w:pPr>
      <w:spacing w:line="240" w:lineRule="auto"/>
    </w:pPr>
    <w:tblPr>
      <w:tblStyleRowBandSize w:val="1"/>
      <w:tblStyleColBandSize w:val="1"/>
      <w:tblBorders>
        <w:top w:val="single" w:color="303030" w:themeColor="text1" w:sz="4" w:space="0"/>
        <w:left w:val="single" w:color="303030" w:themeColor="text1" w:sz="4" w:space="0"/>
        <w:bottom w:val="single" w:color="303030" w:themeColor="text1" w:sz="4" w:space="0"/>
        <w:right w:val="single" w:color="303030" w:themeColor="text1" w:sz="4" w:space="0"/>
      </w:tblBorders>
    </w:tblPr>
    <w:tblStylePr w:type="firstRow">
      <w:rPr>
        <w:b/>
        <w:bCs/>
        <w:color w:val="FFFFFF" w:themeColor="background1"/>
      </w:rPr>
      <w:tblPr/>
      <w:tcPr>
        <w:shd w:val="clear" w:color="auto" w:fill="303030" w:themeFill="text1"/>
      </w:tcPr>
    </w:tblStylePr>
    <w:tblStylePr w:type="lastRow">
      <w:rPr>
        <w:b/>
        <w:bCs/>
      </w:rPr>
      <w:tblPr/>
      <w:tcPr>
        <w:tcBorders>
          <w:top w:val="double" w:color="30303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03030" w:themeColor="text1" w:sz="4" w:space="0"/>
          <w:right w:val="single" w:color="303030" w:themeColor="text1" w:sz="4" w:space="0"/>
        </w:tcBorders>
      </w:tcPr>
    </w:tblStylePr>
    <w:tblStylePr w:type="band1Horz">
      <w:tblPr/>
      <w:tcPr>
        <w:tcBorders>
          <w:top w:val="single" w:color="303030" w:themeColor="text1" w:sz="4" w:space="0"/>
          <w:bottom w:val="single" w:color="30303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03030" w:themeColor="text1" w:sz="4" w:space="0"/>
          <w:left w:val="nil"/>
        </w:tcBorders>
      </w:tcPr>
    </w:tblStylePr>
    <w:tblStylePr w:type="swCell">
      <w:tblPr/>
      <w:tcPr>
        <w:tcBorders>
          <w:top w:val="double" w:color="303030" w:themeColor="text1" w:sz="4" w:space="0"/>
          <w:right w:val="nil"/>
        </w:tcBorders>
      </w:tcPr>
    </w:tblStylePr>
  </w:style>
  <w:style w:type="table" w:styleId="ListTable3-Accent1">
    <w:name w:val="List Table 3 Accent 1"/>
    <w:basedOn w:val="TableNormal"/>
    <w:uiPriority w:val="99"/>
    <w:rsid w:val="00911DE3"/>
    <w:pPr>
      <w:spacing w:line="240" w:lineRule="auto"/>
    </w:pPr>
    <w:tblPr>
      <w:tblStyleRowBandSize w:val="1"/>
      <w:tblStyleColBandSize w:val="1"/>
      <w:tblBorders>
        <w:top w:val="single" w:color="C4D5D3" w:themeColor="accent1" w:sz="4" w:space="0"/>
        <w:left w:val="single" w:color="C4D5D3" w:themeColor="accent1" w:sz="4" w:space="0"/>
        <w:bottom w:val="single" w:color="C4D5D3" w:themeColor="accent1" w:sz="4" w:space="0"/>
        <w:right w:val="single" w:color="C4D5D3" w:themeColor="accent1" w:sz="4" w:space="0"/>
      </w:tblBorders>
    </w:tblPr>
    <w:tblStylePr w:type="firstRow">
      <w:rPr>
        <w:b/>
        <w:bCs/>
        <w:color w:val="FFFFFF" w:themeColor="background1"/>
      </w:rPr>
      <w:tblPr/>
      <w:tcPr>
        <w:shd w:val="clear" w:color="auto" w:fill="C4D5D3" w:themeFill="accent1"/>
      </w:tcPr>
    </w:tblStylePr>
    <w:tblStylePr w:type="lastRow">
      <w:rPr>
        <w:b/>
        <w:bCs/>
      </w:rPr>
      <w:tblPr/>
      <w:tcPr>
        <w:tcBorders>
          <w:top w:val="double" w:color="C4D5D3"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4D5D3" w:themeColor="accent1" w:sz="4" w:space="0"/>
          <w:right w:val="single" w:color="C4D5D3" w:themeColor="accent1" w:sz="4" w:space="0"/>
        </w:tcBorders>
      </w:tcPr>
    </w:tblStylePr>
    <w:tblStylePr w:type="band1Horz">
      <w:tblPr/>
      <w:tcPr>
        <w:tcBorders>
          <w:top w:val="single" w:color="C4D5D3" w:themeColor="accent1" w:sz="4" w:space="0"/>
          <w:bottom w:val="single" w:color="C4D5D3"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4D5D3" w:themeColor="accent1" w:sz="4" w:space="0"/>
          <w:left w:val="nil"/>
        </w:tcBorders>
      </w:tcPr>
    </w:tblStylePr>
    <w:tblStylePr w:type="swCell">
      <w:tblPr/>
      <w:tcPr>
        <w:tcBorders>
          <w:top w:val="double" w:color="C4D5D3" w:themeColor="accent1" w:sz="4" w:space="0"/>
          <w:right w:val="nil"/>
        </w:tcBorders>
      </w:tcPr>
    </w:tblStylePr>
  </w:style>
  <w:style w:type="table" w:styleId="ListTable3-Accent2">
    <w:name w:val="List Table 3 Accent 2"/>
    <w:basedOn w:val="TableNormal"/>
    <w:uiPriority w:val="99"/>
    <w:rsid w:val="00911DE3"/>
    <w:pPr>
      <w:spacing w:line="240" w:lineRule="auto"/>
    </w:pPr>
    <w:tblPr>
      <w:tblStyleRowBandSize w:val="1"/>
      <w:tblStyleColBandSize w:val="1"/>
      <w:tblBorders>
        <w:top w:val="single" w:color="86A9A6" w:themeColor="accent2" w:sz="4" w:space="0"/>
        <w:left w:val="single" w:color="86A9A6" w:themeColor="accent2" w:sz="4" w:space="0"/>
        <w:bottom w:val="single" w:color="86A9A6" w:themeColor="accent2" w:sz="4" w:space="0"/>
        <w:right w:val="single" w:color="86A9A6" w:themeColor="accent2" w:sz="4" w:space="0"/>
      </w:tblBorders>
    </w:tblPr>
    <w:tblStylePr w:type="firstRow">
      <w:rPr>
        <w:b/>
        <w:bCs/>
        <w:color w:val="FFFFFF" w:themeColor="background1"/>
      </w:rPr>
      <w:tblPr/>
      <w:tcPr>
        <w:shd w:val="clear" w:color="auto" w:fill="86A9A6" w:themeFill="accent2"/>
      </w:tcPr>
    </w:tblStylePr>
    <w:tblStylePr w:type="lastRow">
      <w:rPr>
        <w:b/>
        <w:bCs/>
      </w:rPr>
      <w:tblPr/>
      <w:tcPr>
        <w:tcBorders>
          <w:top w:val="double" w:color="86A9A6"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6A9A6" w:themeColor="accent2" w:sz="4" w:space="0"/>
          <w:right w:val="single" w:color="86A9A6" w:themeColor="accent2" w:sz="4" w:space="0"/>
        </w:tcBorders>
      </w:tcPr>
    </w:tblStylePr>
    <w:tblStylePr w:type="band1Horz">
      <w:tblPr/>
      <w:tcPr>
        <w:tcBorders>
          <w:top w:val="single" w:color="86A9A6" w:themeColor="accent2" w:sz="4" w:space="0"/>
          <w:bottom w:val="single" w:color="86A9A6"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6A9A6" w:themeColor="accent2" w:sz="4" w:space="0"/>
          <w:left w:val="nil"/>
        </w:tcBorders>
      </w:tcPr>
    </w:tblStylePr>
    <w:tblStylePr w:type="swCell">
      <w:tblPr/>
      <w:tcPr>
        <w:tcBorders>
          <w:top w:val="double" w:color="86A9A6" w:themeColor="accent2" w:sz="4" w:space="0"/>
          <w:right w:val="nil"/>
        </w:tcBorders>
      </w:tcPr>
    </w:tblStylePr>
  </w:style>
  <w:style w:type="table" w:styleId="ListTable3-Accent3">
    <w:name w:val="List Table 3 Accent 3"/>
    <w:basedOn w:val="TableNormal"/>
    <w:uiPriority w:val="99"/>
    <w:rsid w:val="00911DE3"/>
    <w:pPr>
      <w:spacing w:line="240" w:lineRule="auto"/>
    </w:pPr>
    <w:tblPr>
      <w:tblStyleRowBandSize w:val="1"/>
      <w:tblStyleColBandSize w:val="1"/>
      <w:tblBorders>
        <w:top w:val="single" w:color="5E8D89" w:themeColor="accent3" w:sz="4" w:space="0"/>
        <w:left w:val="single" w:color="5E8D89" w:themeColor="accent3" w:sz="4" w:space="0"/>
        <w:bottom w:val="single" w:color="5E8D89" w:themeColor="accent3" w:sz="4" w:space="0"/>
        <w:right w:val="single" w:color="5E8D89" w:themeColor="accent3" w:sz="4" w:space="0"/>
      </w:tblBorders>
    </w:tblPr>
    <w:tblStylePr w:type="firstRow">
      <w:rPr>
        <w:b/>
        <w:bCs/>
        <w:color w:val="FFFFFF" w:themeColor="background1"/>
      </w:rPr>
      <w:tblPr/>
      <w:tcPr>
        <w:shd w:val="clear" w:color="auto" w:fill="5E8D89" w:themeFill="accent3"/>
      </w:tcPr>
    </w:tblStylePr>
    <w:tblStylePr w:type="lastRow">
      <w:rPr>
        <w:b/>
        <w:bCs/>
      </w:rPr>
      <w:tblPr/>
      <w:tcPr>
        <w:tcBorders>
          <w:top w:val="double" w:color="5E8D8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E8D89" w:themeColor="accent3" w:sz="4" w:space="0"/>
          <w:right w:val="single" w:color="5E8D89" w:themeColor="accent3" w:sz="4" w:space="0"/>
        </w:tcBorders>
      </w:tcPr>
    </w:tblStylePr>
    <w:tblStylePr w:type="band1Horz">
      <w:tblPr/>
      <w:tcPr>
        <w:tcBorders>
          <w:top w:val="single" w:color="5E8D89" w:themeColor="accent3" w:sz="4" w:space="0"/>
          <w:bottom w:val="single" w:color="5E8D8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E8D89" w:themeColor="accent3" w:sz="4" w:space="0"/>
          <w:left w:val="nil"/>
        </w:tcBorders>
      </w:tcPr>
    </w:tblStylePr>
    <w:tblStylePr w:type="swCell">
      <w:tblPr/>
      <w:tcPr>
        <w:tcBorders>
          <w:top w:val="double" w:color="5E8D89" w:themeColor="accent3" w:sz="4" w:space="0"/>
          <w:right w:val="nil"/>
        </w:tcBorders>
      </w:tcPr>
    </w:tblStylePr>
  </w:style>
  <w:style w:type="table" w:styleId="ListTable3-Accent4">
    <w:name w:val="List Table 3 Accent 4"/>
    <w:basedOn w:val="TableNormal"/>
    <w:uiPriority w:val="99"/>
    <w:rsid w:val="00911DE3"/>
    <w:pPr>
      <w:spacing w:line="240" w:lineRule="auto"/>
    </w:pPr>
    <w:tblPr>
      <w:tblStyleRowBandSize w:val="1"/>
      <w:tblStyleColBandSize w:val="1"/>
      <w:tblBorders>
        <w:top w:val="single" w:color="36706B" w:themeColor="accent4" w:sz="4" w:space="0"/>
        <w:left w:val="single" w:color="36706B" w:themeColor="accent4" w:sz="4" w:space="0"/>
        <w:bottom w:val="single" w:color="36706B" w:themeColor="accent4" w:sz="4" w:space="0"/>
        <w:right w:val="single" w:color="36706B" w:themeColor="accent4" w:sz="4" w:space="0"/>
      </w:tblBorders>
    </w:tblPr>
    <w:tblStylePr w:type="firstRow">
      <w:rPr>
        <w:b/>
        <w:bCs/>
        <w:color w:val="FFFFFF" w:themeColor="background1"/>
      </w:rPr>
      <w:tblPr/>
      <w:tcPr>
        <w:shd w:val="clear" w:color="auto" w:fill="36706B" w:themeFill="accent4"/>
      </w:tcPr>
    </w:tblStylePr>
    <w:tblStylePr w:type="lastRow">
      <w:rPr>
        <w:b/>
        <w:bCs/>
      </w:rPr>
      <w:tblPr/>
      <w:tcPr>
        <w:tcBorders>
          <w:top w:val="double" w:color="36706B"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6706B" w:themeColor="accent4" w:sz="4" w:space="0"/>
          <w:right w:val="single" w:color="36706B" w:themeColor="accent4" w:sz="4" w:space="0"/>
        </w:tcBorders>
      </w:tcPr>
    </w:tblStylePr>
    <w:tblStylePr w:type="band1Horz">
      <w:tblPr/>
      <w:tcPr>
        <w:tcBorders>
          <w:top w:val="single" w:color="36706B" w:themeColor="accent4" w:sz="4" w:space="0"/>
          <w:bottom w:val="single" w:color="36706B"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6706B" w:themeColor="accent4" w:sz="4" w:space="0"/>
          <w:left w:val="nil"/>
        </w:tcBorders>
      </w:tcPr>
    </w:tblStylePr>
    <w:tblStylePr w:type="swCell">
      <w:tblPr/>
      <w:tcPr>
        <w:tcBorders>
          <w:top w:val="double" w:color="36706B" w:themeColor="accent4" w:sz="4" w:space="0"/>
          <w:right w:val="nil"/>
        </w:tcBorders>
      </w:tcPr>
    </w:tblStylePr>
  </w:style>
  <w:style w:type="table" w:styleId="ListTable3-Accent5">
    <w:name w:val="List Table 3 Accent 5"/>
    <w:basedOn w:val="TableNormal"/>
    <w:uiPriority w:val="99"/>
    <w:rsid w:val="00911DE3"/>
    <w:pPr>
      <w:spacing w:line="240" w:lineRule="auto"/>
    </w:pPr>
    <w:tblPr>
      <w:tblStyleRowBandSize w:val="1"/>
      <w:tblStyleColBandSize w:val="1"/>
      <w:tblBorders>
        <w:top w:val="single" w:color="2B5A56" w:themeColor="accent5" w:sz="4" w:space="0"/>
        <w:left w:val="single" w:color="2B5A56" w:themeColor="accent5" w:sz="4" w:space="0"/>
        <w:bottom w:val="single" w:color="2B5A56" w:themeColor="accent5" w:sz="4" w:space="0"/>
        <w:right w:val="single" w:color="2B5A56" w:themeColor="accent5" w:sz="4" w:space="0"/>
      </w:tblBorders>
    </w:tblPr>
    <w:tblStylePr w:type="firstRow">
      <w:rPr>
        <w:b/>
        <w:bCs/>
        <w:color w:val="FFFFFF" w:themeColor="background1"/>
      </w:rPr>
      <w:tblPr/>
      <w:tcPr>
        <w:shd w:val="clear" w:color="auto" w:fill="2B5A56" w:themeFill="accent5"/>
      </w:tcPr>
    </w:tblStylePr>
    <w:tblStylePr w:type="lastRow">
      <w:rPr>
        <w:b/>
        <w:bCs/>
      </w:rPr>
      <w:tblPr/>
      <w:tcPr>
        <w:tcBorders>
          <w:top w:val="double" w:color="2B5A56"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B5A56" w:themeColor="accent5" w:sz="4" w:space="0"/>
          <w:right w:val="single" w:color="2B5A56" w:themeColor="accent5" w:sz="4" w:space="0"/>
        </w:tcBorders>
      </w:tcPr>
    </w:tblStylePr>
    <w:tblStylePr w:type="band1Horz">
      <w:tblPr/>
      <w:tcPr>
        <w:tcBorders>
          <w:top w:val="single" w:color="2B5A56" w:themeColor="accent5" w:sz="4" w:space="0"/>
          <w:bottom w:val="single" w:color="2B5A56"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B5A56" w:themeColor="accent5" w:sz="4" w:space="0"/>
          <w:left w:val="nil"/>
        </w:tcBorders>
      </w:tcPr>
    </w:tblStylePr>
    <w:tblStylePr w:type="swCell">
      <w:tblPr/>
      <w:tcPr>
        <w:tcBorders>
          <w:top w:val="double" w:color="2B5A56" w:themeColor="accent5" w:sz="4" w:space="0"/>
          <w:right w:val="nil"/>
        </w:tcBorders>
      </w:tcPr>
    </w:tblStylePr>
  </w:style>
  <w:style w:type="table" w:styleId="ListTable3-Accent6">
    <w:name w:val="List Table 3 Accent 6"/>
    <w:basedOn w:val="TableNormal"/>
    <w:uiPriority w:val="99"/>
    <w:rsid w:val="00911DE3"/>
    <w:pPr>
      <w:spacing w:line="240" w:lineRule="auto"/>
    </w:pPr>
    <w:tblPr>
      <w:tblStyleRowBandSize w:val="1"/>
      <w:tblStyleColBandSize w:val="1"/>
      <w:tblBorders>
        <w:top w:val="single" w:color="5EC1A0" w:themeColor="accent6" w:sz="4" w:space="0"/>
        <w:left w:val="single" w:color="5EC1A0" w:themeColor="accent6" w:sz="4" w:space="0"/>
        <w:bottom w:val="single" w:color="5EC1A0" w:themeColor="accent6" w:sz="4" w:space="0"/>
        <w:right w:val="single" w:color="5EC1A0" w:themeColor="accent6" w:sz="4" w:space="0"/>
      </w:tblBorders>
    </w:tblPr>
    <w:tblStylePr w:type="firstRow">
      <w:rPr>
        <w:b/>
        <w:bCs/>
        <w:color w:val="FFFFFF" w:themeColor="background1"/>
      </w:rPr>
      <w:tblPr/>
      <w:tcPr>
        <w:shd w:val="clear" w:color="auto" w:fill="5EC1A0" w:themeFill="accent6"/>
      </w:tcPr>
    </w:tblStylePr>
    <w:tblStylePr w:type="lastRow">
      <w:rPr>
        <w:b/>
        <w:bCs/>
      </w:rPr>
      <w:tblPr/>
      <w:tcPr>
        <w:tcBorders>
          <w:top w:val="double" w:color="5EC1A0"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EC1A0" w:themeColor="accent6" w:sz="4" w:space="0"/>
          <w:right w:val="single" w:color="5EC1A0" w:themeColor="accent6" w:sz="4" w:space="0"/>
        </w:tcBorders>
      </w:tcPr>
    </w:tblStylePr>
    <w:tblStylePr w:type="band1Horz">
      <w:tblPr/>
      <w:tcPr>
        <w:tcBorders>
          <w:top w:val="single" w:color="5EC1A0" w:themeColor="accent6" w:sz="4" w:space="0"/>
          <w:bottom w:val="single" w:color="5EC1A0"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EC1A0" w:themeColor="accent6" w:sz="4" w:space="0"/>
          <w:left w:val="nil"/>
        </w:tcBorders>
      </w:tcPr>
    </w:tblStylePr>
    <w:tblStylePr w:type="swCell">
      <w:tblPr/>
      <w:tcPr>
        <w:tcBorders>
          <w:top w:val="double" w:color="5EC1A0" w:themeColor="accent6" w:sz="4" w:space="0"/>
          <w:right w:val="nil"/>
        </w:tcBorders>
      </w:tcPr>
    </w:tblStylePr>
  </w:style>
  <w:style w:type="table" w:styleId="ListTable4">
    <w:name w:val="List Table 4"/>
    <w:basedOn w:val="TableNormal"/>
    <w:uiPriority w:val="99"/>
    <w:rsid w:val="00911DE3"/>
    <w:pPr>
      <w:spacing w:line="240" w:lineRule="auto"/>
    </w:pPr>
    <w:tblPr>
      <w:tblStyleRowBandSize w:val="1"/>
      <w:tblStyleColBandSize w:val="1"/>
      <w:tblBorders>
        <w:top w:val="single" w:color="828282" w:themeColor="text1" w:themeTint="99" w:sz="4" w:space="0"/>
        <w:left w:val="single" w:color="828282" w:themeColor="text1" w:themeTint="99" w:sz="4" w:space="0"/>
        <w:bottom w:val="single" w:color="828282" w:themeColor="text1" w:themeTint="99" w:sz="4" w:space="0"/>
        <w:right w:val="single" w:color="828282" w:themeColor="text1" w:themeTint="99" w:sz="4" w:space="0"/>
        <w:insideH w:val="single" w:color="828282" w:themeColor="text1" w:themeTint="99" w:sz="4" w:space="0"/>
      </w:tblBorders>
    </w:tblPr>
    <w:tblStylePr w:type="firstRow">
      <w:rPr>
        <w:b/>
        <w:bCs/>
        <w:color w:val="FFFFFF" w:themeColor="background1"/>
      </w:rPr>
      <w:tblPr/>
      <w:tcPr>
        <w:tcBorders>
          <w:top w:val="single" w:color="303030" w:themeColor="text1" w:sz="4" w:space="0"/>
          <w:left w:val="single" w:color="303030" w:themeColor="text1" w:sz="4" w:space="0"/>
          <w:bottom w:val="single" w:color="303030" w:themeColor="text1" w:sz="4" w:space="0"/>
          <w:right w:val="single" w:color="303030" w:themeColor="text1" w:sz="4" w:space="0"/>
          <w:insideH w:val="nil"/>
        </w:tcBorders>
        <w:shd w:val="clear" w:color="auto" w:fill="303030" w:themeFill="text1"/>
      </w:tcPr>
    </w:tblStylePr>
    <w:tblStylePr w:type="lastRow">
      <w:rPr>
        <w:b/>
        <w:bCs/>
      </w:rPr>
      <w:tblPr/>
      <w:tcPr>
        <w:tcBorders>
          <w:top w:val="double" w:color="828282" w:themeColor="text1" w:themeTint="99" w:sz="4" w:space="0"/>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4-Accent1">
    <w:name w:val="List Table 4 Accent 1"/>
    <w:basedOn w:val="TableNormal"/>
    <w:uiPriority w:val="99"/>
    <w:rsid w:val="00911DE3"/>
    <w:pPr>
      <w:spacing w:line="240" w:lineRule="auto"/>
    </w:pPr>
    <w:tblPr>
      <w:tblStyleRowBandSize w:val="1"/>
      <w:tblStyleColBandSize w:val="1"/>
      <w:tblBorders>
        <w:top w:val="single" w:color="DBE5E4" w:themeColor="accent1" w:themeTint="99" w:sz="4" w:space="0"/>
        <w:left w:val="single" w:color="DBE5E4" w:themeColor="accent1" w:themeTint="99" w:sz="4" w:space="0"/>
        <w:bottom w:val="single" w:color="DBE5E4" w:themeColor="accent1" w:themeTint="99" w:sz="4" w:space="0"/>
        <w:right w:val="single" w:color="DBE5E4" w:themeColor="accent1" w:themeTint="99" w:sz="4" w:space="0"/>
        <w:insideH w:val="single" w:color="DBE5E4" w:themeColor="accent1" w:themeTint="99" w:sz="4" w:space="0"/>
      </w:tblBorders>
    </w:tblPr>
    <w:tblStylePr w:type="firstRow">
      <w:rPr>
        <w:b/>
        <w:bCs/>
        <w:color w:val="FFFFFF" w:themeColor="background1"/>
      </w:rPr>
      <w:tblPr/>
      <w:tcPr>
        <w:tcBorders>
          <w:top w:val="single" w:color="C4D5D3" w:themeColor="accent1" w:sz="4" w:space="0"/>
          <w:left w:val="single" w:color="C4D5D3" w:themeColor="accent1" w:sz="4" w:space="0"/>
          <w:bottom w:val="single" w:color="C4D5D3" w:themeColor="accent1" w:sz="4" w:space="0"/>
          <w:right w:val="single" w:color="C4D5D3" w:themeColor="accent1" w:sz="4" w:space="0"/>
          <w:insideH w:val="nil"/>
        </w:tcBorders>
        <w:shd w:val="clear" w:color="auto" w:fill="C4D5D3" w:themeFill="accent1"/>
      </w:tcPr>
    </w:tblStylePr>
    <w:tblStylePr w:type="lastRow">
      <w:rPr>
        <w:b/>
        <w:bCs/>
      </w:rPr>
      <w:tblPr/>
      <w:tcPr>
        <w:tcBorders>
          <w:top w:val="double" w:color="DBE5E4" w:themeColor="accent1" w:themeTint="99" w:sz="4" w:space="0"/>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4-Accent2">
    <w:name w:val="List Table 4 Accent 2"/>
    <w:basedOn w:val="TableNormal"/>
    <w:uiPriority w:val="99"/>
    <w:rsid w:val="00911DE3"/>
    <w:pPr>
      <w:spacing w:line="240" w:lineRule="auto"/>
    </w:pPr>
    <w:tblPr>
      <w:tblStyleRowBandSize w:val="1"/>
      <w:tblStyleColBandSize w:val="1"/>
      <w:tblBorders>
        <w:top w:val="single" w:color="B6CBC9" w:themeColor="accent2" w:themeTint="99" w:sz="4" w:space="0"/>
        <w:left w:val="single" w:color="B6CBC9" w:themeColor="accent2" w:themeTint="99" w:sz="4" w:space="0"/>
        <w:bottom w:val="single" w:color="B6CBC9" w:themeColor="accent2" w:themeTint="99" w:sz="4" w:space="0"/>
        <w:right w:val="single" w:color="B6CBC9" w:themeColor="accent2" w:themeTint="99" w:sz="4" w:space="0"/>
        <w:insideH w:val="single" w:color="B6CBC9" w:themeColor="accent2" w:themeTint="99" w:sz="4" w:space="0"/>
      </w:tblBorders>
    </w:tblPr>
    <w:tblStylePr w:type="firstRow">
      <w:rPr>
        <w:b/>
        <w:bCs/>
        <w:color w:val="FFFFFF" w:themeColor="background1"/>
      </w:rPr>
      <w:tblPr/>
      <w:tcPr>
        <w:tcBorders>
          <w:top w:val="single" w:color="86A9A6" w:themeColor="accent2" w:sz="4" w:space="0"/>
          <w:left w:val="single" w:color="86A9A6" w:themeColor="accent2" w:sz="4" w:space="0"/>
          <w:bottom w:val="single" w:color="86A9A6" w:themeColor="accent2" w:sz="4" w:space="0"/>
          <w:right w:val="single" w:color="86A9A6" w:themeColor="accent2" w:sz="4" w:space="0"/>
          <w:insideH w:val="nil"/>
        </w:tcBorders>
        <w:shd w:val="clear" w:color="auto" w:fill="86A9A6" w:themeFill="accent2"/>
      </w:tcPr>
    </w:tblStylePr>
    <w:tblStylePr w:type="lastRow">
      <w:rPr>
        <w:b/>
        <w:bCs/>
      </w:rPr>
      <w:tblPr/>
      <w:tcPr>
        <w:tcBorders>
          <w:top w:val="double" w:color="B6CBC9" w:themeColor="accent2" w:themeTint="99" w:sz="4" w:space="0"/>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4-Accent3">
    <w:name w:val="List Table 4 Accent 3"/>
    <w:basedOn w:val="TableNormal"/>
    <w:uiPriority w:val="99"/>
    <w:rsid w:val="00911DE3"/>
    <w:pPr>
      <w:spacing w:line="240" w:lineRule="auto"/>
    </w:pPr>
    <w:tblPr>
      <w:tblStyleRowBandSize w:val="1"/>
      <w:tblStyleColBandSize w:val="1"/>
      <w:tblBorders>
        <w:top w:val="single" w:color="9CBDBA" w:themeColor="accent3" w:themeTint="99" w:sz="4" w:space="0"/>
        <w:left w:val="single" w:color="9CBDBA" w:themeColor="accent3" w:themeTint="99" w:sz="4" w:space="0"/>
        <w:bottom w:val="single" w:color="9CBDBA" w:themeColor="accent3" w:themeTint="99" w:sz="4" w:space="0"/>
        <w:right w:val="single" w:color="9CBDBA" w:themeColor="accent3" w:themeTint="99" w:sz="4" w:space="0"/>
        <w:insideH w:val="single" w:color="9CBDBA" w:themeColor="accent3" w:themeTint="99" w:sz="4" w:space="0"/>
      </w:tblBorders>
    </w:tblPr>
    <w:tblStylePr w:type="firstRow">
      <w:rPr>
        <w:b/>
        <w:bCs/>
        <w:color w:val="FFFFFF" w:themeColor="background1"/>
      </w:rPr>
      <w:tblPr/>
      <w:tcPr>
        <w:tcBorders>
          <w:top w:val="single" w:color="5E8D89" w:themeColor="accent3" w:sz="4" w:space="0"/>
          <w:left w:val="single" w:color="5E8D89" w:themeColor="accent3" w:sz="4" w:space="0"/>
          <w:bottom w:val="single" w:color="5E8D89" w:themeColor="accent3" w:sz="4" w:space="0"/>
          <w:right w:val="single" w:color="5E8D89" w:themeColor="accent3" w:sz="4" w:space="0"/>
          <w:insideH w:val="nil"/>
        </w:tcBorders>
        <w:shd w:val="clear" w:color="auto" w:fill="5E8D89" w:themeFill="accent3"/>
      </w:tcPr>
    </w:tblStylePr>
    <w:tblStylePr w:type="lastRow">
      <w:rPr>
        <w:b/>
        <w:bCs/>
      </w:rPr>
      <w:tblPr/>
      <w:tcPr>
        <w:tcBorders>
          <w:top w:val="double" w:color="9CBDBA" w:themeColor="accent3" w:themeTint="99" w:sz="4" w:space="0"/>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4-Accent4">
    <w:name w:val="List Table 4 Accent 4"/>
    <w:basedOn w:val="TableNormal"/>
    <w:uiPriority w:val="99"/>
    <w:rsid w:val="00911DE3"/>
    <w:pPr>
      <w:spacing w:line="240" w:lineRule="auto"/>
    </w:pPr>
    <w:tblPr>
      <w:tblStyleRowBandSize w:val="1"/>
      <w:tblStyleColBandSize w:val="1"/>
      <w:tblBorders>
        <w:top w:val="single" w:color="73BBB5" w:themeColor="accent4" w:themeTint="99" w:sz="4" w:space="0"/>
        <w:left w:val="single" w:color="73BBB5" w:themeColor="accent4" w:themeTint="99" w:sz="4" w:space="0"/>
        <w:bottom w:val="single" w:color="73BBB5" w:themeColor="accent4" w:themeTint="99" w:sz="4" w:space="0"/>
        <w:right w:val="single" w:color="73BBB5" w:themeColor="accent4" w:themeTint="99" w:sz="4" w:space="0"/>
        <w:insideH w:val="single" w:color="73BBB5" w:themeColor="accent4" w:themeTint="99" w:sz="4" w:space="0"/>
      </w:tblBorders>
    </w:tblPr>
    <w:tblStylePr w:type="firstRow">
      <w:rPr>
        <w:b/>
        <w:bCs/>
        <w:color w:val="FFFFFF" w:themeColor="background1"/>
      </w:rPr>
      <w:tblPr/>
      <w:tcPr>
        <w:tcBorders>
          <w:top w:val="single" w:color="36706B" w:themeColor="accent4" w:sz="4" w:space="0"/>
          <w:left w:val="single" w:color="36706B" w:themeColor="accent4" w:sz="4" w:space="0"/>
          <w:bottom w:val="single" w:color="36706B" w:themeColor="accent4" w:sz="4" w:space="0"/>
          <w:right w:val="single" w:color="36706B" w:themeColor="accent4" w:sz="4" w:space="0"/>
          <w:insideH w:val="nil"/>
        </w:tcBorders>
        <w:shd w:val="clear" w:color="auto" w:fill="36706B" w:themeFill="accent4"/>
      </w:tcPr>
    </w:tblStylePr>
    <w:tblStylePr w:type="lastRow">
      <w:rPr>
        <w:b/>
        <w:bCs/>
      </w:rPr>
      <w:tblPr/>
      <w:tcPr>
        <w:tcBorders>
          <w:top w:val="double" w:color="73BBB5" w:themeColor="accent4" w:themeTint="99" w:sz="4" w:space="0"/>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4-Accent5">
    <w:name w:val="List Table 4 Accent 5"/>
    <w:basedOn w:val="TableNormal"/>
    <w:uiPriority w:val="99"/>
    <w:rsid w:val="00911DE3"/>
    <w:pPr>
      <w:spacing w:line="240" w:lineRule="auto"/>
    </w:pPr>
    <w:tblPr>
      <w:tblStyleRowBandSize w:val="1"/>
      <w:tblStyleColBandSize w:val="1"/>
      <w:tblBorders>
        <w:top w:val="single" w:color="65B5AE" w:themeColor="accent5" w:themeTint="99" w:sz="4" w:space="0"/>
        <w:left w:val="single" w:color="65B5AE" w:themeColor="accent5" w:themeTint="99" w:sz="4" w:space="0"/>
        <w:bottom w:val="single" w:color="65B5AE" w:themeColor="accent5" w:themeTint="99" w:sz="4" w:space="0"/>
        <w:right w:val="single" w:color="65B5AE" w:themeColor="accent5" w:themeTint="99" w:sz="4" w:space="0"/>
        <w:insideH w:val="single" w:color="65B5AE" w:themeColor="accent5" w:themeTint="99" w:sz="4" w:space="0"/>
      </w:tblBorders>
    </w:tblPr>
    <w:tblStylePr w:type="firstRow">
      <w:rPr>
        <w:b/>
        <w:bCs/>
        <w:color w:val="FFFFFF" w:themeColor="background1"/>
      </w:rPr>
      <w:tblPr/>
      <w:tcPr>
        <w:tcBorders>
          <w:top w:val="single" w:color="2B5A56" w:themeColor="accent5" w:sz="4" w:space="0"/>
          <w:left w:val="single" w:color="2B5A56" w:themeColor="accent5" w:sz="4" w:space="0"/>
          <w:bottom w:val="single" w:color="2B5A56" w:themeColor="accent5" w:sz="4" w:space="0"/>
          <w:right w:val="single" w:color="2B5A56" w:themeColor="accent5" w:sz="4" w:space="0"/>
          <w:insideH w:val="nil"/>
        </w:tcBorders>
        <w:shd w:val="clear" w:color="auto" w:fill="2B5A56" w:themeFill="accent5"/>
      </w:tcPr>
    </w:tblStylePr>
    <w:tblStylePr w:type="lastRow">
      <w:rPr>
        <w:b/>
        <w:bCs/>
      </w:rPr>
      <w:tblPr/>
      <w:tcPr>
        <w:tcBorders>
          <w:top w:val="double" w:color="65B5AE" w:themeColor="accent5" w:themeTint="99" w:sz="4" w:space="0"/>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4-Accent6">
    <w:name w:val="List Table 4 Accent 6"/>
    <w:basedOn w:val="TableNormal"/>
    <w:uiPriority w:val="99"/>
    <w:rsid w:val="00911DE3"/>
    <w:pPr>
      <w:spacing w:line="240" w:lineRule="auto"/>
    </w:pPr>
    <w:tblPr>
      <w:tblStyleRowBandSize w:val="1"/>
      <w:tblStyleColBandSize w:val="1"/>
      <w:tblBorders>
        <w:top w:val="single" w:color="9ED9C5" w:themeColor="accent6" w:themeTint="99" w:sz="4" w:space="0"/>
        <w:left w:val="single" w:color="9ED9C5" w:themeColor="accent6" w:themeTint="99" w:sz="4" w:space="0"/>
        <w:bottom w:val="single" w:color="9ED9C5" w:themeColor="accent6" w:themeTint="99" w:sz="4" w:space="0"/>
        <w:right w:val="single" w:color="9ED9C5" w:themeColor="accent6" w:themeTint="99" w:sz="4" w:space="0"/>
        <w:insideH w:val="single" w:color="9ED9C5" w:themeColor="accent6" w:themeTint="99" w:sz="4" w:space="0"/>
      </w:tblBorders>
    </w:tblPr>
    <w:tblStylePr w:type="firstRow">
      <w:rPr>
        <w:b/>
        <w:bCs/>
        <w:color w:val="FFFFFF" w:themeColor="background1"/>
      </w:rPr>
      <w:tblPr/>
      <w:tcPr>
        <w:tcBorders>
          <w:top w:val="single" w:color="5EC1A0" w:themeColor="accent6" w:sz="4" w:space="0"/>
          <w:left w:val="single" w:color="5EC1A0" w:themeColor="accent6" w:sz="4" w:space="0"/>
          <w:bottom w:val="single" w:color="5EC1A0" w:themeColor="accent6" w:sz="4" w:space="0"/>
          <w:right w:val="single" w:color="5EC1A0" w:themeColor="accent6" w:sz="4" w:space="0"/>
          <w:insideH w:val="nil"/>
        </w:tcBorders>
        <w:shd w:val="clear" w:color="auto" w:fill="5EC1A0" w:themeFill="accent6"/>
      </w:tcPr>
    </w:tblStylePr>
    <w:tblStylePr w:type="lastRow">
      <w:rPr>
        <w:b/>
        <w:bCs/>
      </w:rPr>
      <w:tblPr/>
      <w:tcPr>
        <w:tcBorders>
          <w:top w:val="double" w:color="9ED9C5" w:themeColor="accent6" w:themeTint="99" w:sz="4" w:space="0"/>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5Dark">
    <w:name w:val="List Table 5 Dark"/>
    <w:basedOn w:val="TableNormal"/>
    <w:uiPriority w:val="99"/>
    <w:rsid w:val="00911DE3"/>
    <w:pPr>
      <w:spacing w:line="240" w:lineRule="auto"/>
    </w:pPr>
    <w:rPr>
      <w:color w:val="FFFFFF" w:themeColor="background1"/>
    </w:rPr>
    <w:tblPr>
      <w:tblStyleRowBandSize w:val="1"/>
      <w:tblStyleColBandSize w:val="1"/>
      <w:tblBorders>
        <w:top w:val="single" w:color="303030" w:themeColor="text1" w:sz="24" w:space="0"/>
        <w:left w:val="single" w:color="303030" w:themeColor="text1" w:sz="24" w:space="0"/>
        <w:bottom w:val="single" w:color="303030" w:themeColor="text1" w:sz="24" w:space="0"/>
        <w:right w:val="single" w:color="303030" w:themeColor="text1" w:sz="24" w:space="0"/>
      </w:tblBorders>
    </w:tblPr>
    <w:tcPr>
      <w:shd w:val="clear" w:color="auto" w:fill="30303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11DE3"/>
    <w:pPr>
      <w:spacing w:line="240" w:lineRule="auto"/>
    </w:pPr>
    <w:rPr>
      <w:color w:val="FFFFFF" w:themeColor="background1"/>
    </w:rPr>
    <w:tblPr>
      <w:tblStyleRowBandSize w:val="1"/>
      <w:tblStyleColBandSize w:val="1"/>
      <w:tblBorders>
        <w:top w:val="single" w:color="C4D5D3" w:themeColor="accent1" w:sz="24" w:space="0"/>
        <w:left w:val="single" w:color="C4D5D3" w:themeColor="accent1" w:sz="24" w:space="0"/>
        <w:bottom w:val="single" w:color="C4D5D3" w:themeColor="accent1" w:sz="24" w:space="0"/>
        <w:right w:val="single" w:color="C4D5D3" w:themeColor="accent1" w:sz="24" w:space="0"/>
      </w:tblBorders>
    </w:tblPr>
    <w:tcPr>
      <w:shd w:val="clear" w:color="auto" w:fill="C4D5D3"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11DE3"/>
    <w:pPr>
      <w:spacing w:line="240" w:lineRule="auto"/>
    </w:pPr>
    <w:rPr>
      <w:color w:val="FFFFFF" w:themeColor="background1"/>
    </w:rPr>
    <w:tblPr>
      <w:tblStyleRowBandSize w:val="1"/>
      <w:tblStyleColBandSize w:val="1"/>
      <w:tblBorders>
        <w:top w:val="single" w:color="86A9A6" w:themeColor="accent2" w:sz="24" w:space="0"/>
        <w:left w:val="single" w:color="86A9A6" w:themeColor="accent2" w:sz="24" w:space="0"/>
        <w:bottom w:val="single" w:color="86A9A6" w:themeColor="accent2" w:sz="24" w:space="0"/>
        <w:right w:val="single" w:color="86A9A6" w:themeColor="accent2" w:sz="24" w:space="0"/>
      </w:tblBorders>
    </w:tblPr>
    <w:tcPr>
      <w:shd w:val="clear" w:color="auto" w:fill="86A9A6"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11DE3"/>
    <w:pPr>
      <w:spacing w:line="240" w:lineRule="auto"/>
    </w:pPr>
    <w:rPr>
      <w:color w:val="FFFFFF" w:themeColor="background1"/>
    </w:rPr>
    <w:tblPr>
      <w:tblStyleRowBandSize w:val="1"/>
      <w:tblStyleColBandSize w:val="1"/>
      <w:tblBorders>
        <w:top w:val="single" w:color="5E8D89" w:themeColor="accent3" w:sz="24" w:space="0"/>
        <w:left w:val="single" w:color="5E8D89" w:themeColor="accent3" w:sz="24" w:space="0"/>
        <w:bottom w:val="single" w:color="5E8D89" w:themeColor="accent3" w:sz="24" w:space="0"/>
        <w:right w:val="single" w:color="5E8D89" w:themeColor="accent3" w:sz="24" w:space="0"/>
      </w:tblBorders>
    </w:tblPr>
    <w:tcPr>
      <w:shd w:val="clear" w:color="auto" w:fill="5E8D8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11DE3"/>
    <w:pPr>
      <w:spacing w:line="240" w:lineRule="auto"/>
    </w:pPr>
    <w:rPr>
      <w:color w:val="FFFFFF" w:themeColor="background1"/>
    </w:rPr>
    <w:tblPr>
      <w:tblStyleRowBandSize w:val="1"/>
      <w:tblStyleColBandSize w:val="1"/>
      <w:tblBorders>
        <w:top w:val="single" w:color="36706B" w:themeColor="accent4" w:sz="24" w:space="0"/>
        <w:left w:val="single" w:color="36706B" w:themeColor="accent4" w:sz="24" w:space="0"/>
        <w:bottom w:val="single" w:color="36706B" w:themeColor="accent4" w:sz="24" w:space="0"/>
        <w:right w:val="single" w:color="36706B" w:themeColor="accent4" w:sz="24" w:space="0"/>
      </w:tblBorders>
    </w:tblPr>
    <w:tcPr>
      <w:shd w:val="clear" w:color="auto" w:fill="36706B"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11DE3"/>
    <w:pPr>
      <w:spacing w:line="240" w:lineRule="auto"/>
    </w:pPr>
    <w:rPr>
      <w:color w:val="FFFFFF" w:themeColor="background1"/>
    </w:rPr>
    <w:tblPr>
      <w:tblStyleRowBandSize w:val="1"/>
      <w:tblStyleColBandSize w:val="1"/>
      <w:tblBorders>
        <w:top w:val="single" w:color="2B5A56" w:themeColor="accent5" w:sz="24" w:space="0"/>
        <w:left w:val="single" w:color="2B5A56" w:themeColor="accent5" w:sz="24" w:space="0"/>
        <w:bottom w:val="single" w:color="2B5A56" w:themeColor="accent5" w:sz="24" w:space="0"/>
        <w:right w:val="single" w:color="2B5A56" w:themeColor="accent5" w:sz="24" w:space="0"/>
      </w:tblBorders>
    </w:tblPr>
    <w:tcPr>
      <w:shd w:val="clear" w:color="auto" w:fill="2B5A56"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11DE3"/>
    <w:pPr>
      <w:spacing w:line="240" w:lineRule="auto"/>
    </w:pPr>
    <w:rPr>
      <w:color w:val="FFFFFF" w:themeColor="background1"/>
    </w:rPr>
    <w:tblPr>
      <w:tblStyleRowBandSize w:val="1"/>
      <w:tblStyleColBandSize w:val="1"/>
      <w:tblBorders>
        <w:top w:val="single" w:color="5EC1A0" w:themeColor="accent6" w:sz="24" w:space="0"/>
        <w:left w:val="single" w:color="5EC1A0" w:themeColor="accent6" w:sz="24" w:space="0"/>
        <w:bottom w:val="single" w:color="5EC1A0" w:themeColor="accent6" w:sz="24" w:space="0"/>
        <w:right w:val="single" w:color="5EC1A0" w:themeColor="accent6" w:sz="24" w:space="0"/>
      </w:tblBorders>
    </w:tblPr>
    <w:tcPr>
      <w:shd w:val="clear" w:color="auto" w:fill="5EC1A0"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99"/>
    <w:rsid w:val="00911DE3"/>
    <w:pPr>
      <w:spacing w:line="240" w:lineRule="auto"/>
    </w:pPr>
    <w:rPr>
      <w:color w:val="303030" w:themeColor="text1"/>
    </w:rPr>
    <w:tblPr>
      <w:tblStyleRowBandSize w:val="1"/>
      <w:tblStyleColBandSize w:val="1"/>
      <w:tblBorders>
        <w:top w:val="single" w:color="303030" w:themeColor="text1" w:sz="4" w:space="0"/>
        <w:bottom w:val="single" w:color="303030" w:themeColor="text1" w:sz="4" w:space="0"/>
      </w:tblBorders>
    </w:tblPr>
    <w:tblStylePr w:type="firstRow">
      <w:rPr>
        <w:b/>
        <w:bCs/>
      </w:rPr>
      <w:tblPr/>
      <w:tcPr>
        <w:tcBorders>
          <w:bottom w:val="single" w:color="303030" w:themeColor="text1" w:sz="4" w:space="0"/>
        </w:tcBorders>
      </w:tcPr>
    </w:tblStylePr>
    <w:tblStylePr w:type="lastRow">
      <w:rPr>
        <w:b/>
        <w:bCs/>
      </w:rPr>
      <w:tblPr/>
      <w:tcPr>
        <w:tcBorders>
          <w:top w:val="double" w:color="303030" w:themeColor="text1" w:sz="4" w:space="0"/>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6ColourfulAccent1">
    <w:name w:val="List Table 6 Colorful Accent 1"/>
    <w:basedOn w:val="TableNormal"/>
    <w:uiPriority w:val="99"/>
    <w:rsid w:val="00911DE3"/>
    <w:pPr>
      <w:spacing w:line="240" w:lineRule="auto"/>
    </w:pPr>
    <w:rPr>
      <w:color w:val="88AAA6" w:themeColor="accent1" w:themeShade="BF"/>
    </w:rPr>
    <w:tblPr>
      <w:tblStyleRowBandSize w:val="1"/>
      <w:tblStyleColBandSize w:val="1"/>
      <w:tblBorders>
        <w:top w:val="single" w:color="C4D5D3" w:themeColor="accent1" w:sz="4" w:space="0"/>
        <w:bottom w:val="single" w:color="C4D5D3" w:themeColor="accent1" w:sz="4" w:space="0"/>
      </w:tblBorders>
    </w:tblPr>
    <w:tblStylePr w:type="firstRow">
      <w:rPr>
        <w:b/>
        <w:bCs/>
      </w:rPr>
      <w:tblPr/>
      <w:tcPr>
        <w:tcBorders>
          <w:bottom w:val="single" w:color="C4D5D3" w:themeColor="accent1" w:sz="4" w:space="0"/>
        </w:tcBorders>
      </w:tcPr>
    </w:tblStylePr>
    <w:tblStylePr w:type="lastRow">
      <w:rPr>
        <w:b/>
        <w:bCs/>
      </w:rPr>
      <w:tblPr/>
      <w:tcPr>
        <w:tcBorders>
          <w:top w:val="double" w:color="C4D5D3" w:themeColor="accent1" w:sz="4" w:space="0"/>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6ColourfulAccent2">
    <w:name w:val="List Table 6 Colorful Accent 2"/>
    <w:basedOn w:val="TableNormal"/>
    <w:uiPriority w:val="99"/>
    <w:rsid w:val="00911DE3"/>
    <w:pPr>
      <w:spacing w:line="240" w:lineRule="auto"/>
    </w:pPr>
    <w:rPr>
      <w:color w:val="5E8481" w:themeColor="accent2" w:themeShade="BF"/>
    </w:rPr>
    <w:tblPr>
      <w:tblStyleRowBandSize w:val="1"/>
      <w:tblStyleColBandSize w:val="1"/>
      <w:tblBorders>
        <w:top w:val="single" w:color="86A9A6" w:themeColor="accent2" w:sz="4" w:space="0"/>
        <w:bottom w:val="single" w:color="86A9A6" w:themeColor="accent2" w:sz="4" w:space="0"/>
      </w:tblBorders>
    </w:tblPr>
    <w:tblStylePr w:type="firstRow">
      <w:rPr>
        <w:b/>
        <w:bCs/>
      </w:rPr>
      <w:tblPr/>
      <w:tcPr>
        <w:tcBorders>
          <w:bottom w:val="single" w:color="86A9A6" w:themeColor="accent2" w:sz="4" w:space="0"/>
        </w:tcBorders>
      </w:tcPr>
    </w:tblStylePr>
    <w:tblStylePr w:type="lastRow">
      <w:rPr>
        <w:b/>
        <w:bCs/>
      </w:rPr>
      <w:tblPr/>
      <w:tcPr>
        <w:tcBorders>
          <w:top w:val="double" w:color="86A9A6" w:themeColor="accent2" w:sz="4" w:space="0"/>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6ColourfulAccent3">
    <w:name w:val="List Table 6 Colorful Accent 3"/>
    <w:basedOn w:val="TableNormal"/>
    <w:uiPriority w:val="99"/>
    <w:rsid w:val="00911DE3"/>
    <w:pPr>
      <w:spacing w:line="240" w:lineRule="auto"/>
    </w:pPr>
    <w:rPr>
      <w:color w:val="466966" w:themeColor="accent3" w:themeShade="BF"/>
    </w:rPr>
    <w:tblPr>
      <w:tblStyleRowBandSize w:val="1"/>
      <w:tblStyleColBandSize w:val="1"/>
      <w:tblBorders>
        <w:top w:val="single" w:color="5E8D89" w:themeColor="accent3" w:sz="4" w:space="0"/>
        <w:bottom w:val="single" w:color="5E8D89" w:themeColor="accent3" w:sz="4" w:space="0"/>
      </w:tblBorders>
    </w:tblPr>
    <w:tblStylePr w:type="firstRow">
      <w:rPr>
        <w:b/>
        <w:bCs/>
      </w:rPr>
      <w:tblPr/>
      <w:tcPr>
        <w:tcBorders>
          <w:bottom w:val="single" w:color="5E8D89" w:themeColor="accent3" w:sz="4" w:space="0"/>
        </w:tcBorders>
      </w:tcPr>
    </w:tblStylePr>
    <w:tblStylePr w:type="lastRow">
      <w:rPr>
        <w:b/>
        <w:bCs/>
      </w:rPr>
      <w:tblPr/>
      <w:tcPr>
        <w:tcBorders>
          <w:top w:val="double" w:color="5E8D89" w:themeColor="accent3" w:sz="4" w:space="0"/>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6ColourfulAccent4">
    <w:name w:val="List Table 6 Colorful Accent 4"/>
    <w:basedOn w:val="TableNormal"/>
    <w:uiPriority w:val="99"/>
    <w:rsid w:val="00911DE3"/>
    <w:pPr>
      <w:spacing w:line="240" w:lineRule="auto"/>
    </w:pPr>
    <w:rPr>
      <w:color w:val="285350" w:themeColor="accent4" w:themeShade="BF"/>
    </w:rPr>
    <w:tblPr>
      <w:tblStyleRowBandSize w:val="1"/>
      <w:tblStyleColBandSize w:val="1"/>
      <w:tblBorders>
        <w:top w:val="single" w:color="36706B" w:themeColor="accent4" w:sz="4" w:space="0"/>
        <w:bottom w:val="single" w:color="36706B" w:themeColor="accent4" w:sz="4" w:space="0"/>
      </w:tblBorders>
    </w:tblPr>
    <w:tblStylePr w:type="firstRow">
      <w:rPr>
        <w:b/>
        <w:bCs/>
      </w:rPr>
      <w:tblPr/>
      <w:tcPr>
        <w:tcBorders>
          <w:bottom w:val="single" w:color="36706B" w:themeColor="accent4" w:sz="4" w:space="0"/>
        </w:tcBorders>
      </w:tcPr>
    </w:tblStylePr>
    <w:tblStylePr w:type="lastRow">
      <w:rPr>
        <w:b/>
        <w:bCs/>
      </w:rPr>
      <w:tblPr/>
      <w:tcPr>
        <w:tcBorders>
          <w:top w:val="double" w:color="36706B" w:themeColor="accent4" w:sz="4" w:space="0"/>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6ColourfulAccent5">
    <w:name w:val="List Table 6 Colorful Accent 5"/>
    <w:basedOn w:val="TableNormal"/>
    <w:uiPriority w:val="99"/>
    <w:rsid w:val="00911DE3"/>
    <w:pPr>
      <w:spacing w:line="240" w:lineRule="auto"/>
    </w:pPr>
    <w:rPr>
      <w:color w:val="204340" w:themeColor="accent5" w:themeShade="BF"/>
    </w:rPr>
    <w:tblPr>
      <w:tblStyleRowBandSize w:val="1"/>
      <w:tblStyleColBandSize w:val="1"/>
      <w:tblBorders>
        <w:top w:val="single" w:color="2B5A56" w:themeColor="accent5" w:sz="4" w:space="0"/>
        <w:bottom w:val="single" w:color="2B5A56" w:themeColor="accent5" w:sz="4" w:space="0"/>
      </w:tblBorders>
    </w:tblPr>
    <w:tblStylePr w:type="firstRow">
      <w:rPr>
        <w:b/>
        <w:bCs/>
      </w:rPr>
      <w:tblPr/>
      <w:tcPr>
        <w:tcBorders>
          <w:bottom w:val="single" w:color="2B5A56" w:themeColor="accent5" w:sz="4" w:space="0"/>
        </w:tcBorders>
      </w:tcPr>
    </w:tblStylePr>
    <w:tblStylePr w:type="lastRow">
      <w:rPr>
        <w:b/>
        <w:bCs/>
      </w:rPr>
      <w:tblPr/>
      <w:tcPr>
        <w:tcBorders>
          <w:top w:val="double" w:color="2B5A56" w:themeColor="accent5" w:sz="4" w:space="0"/>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6ColourfulAccent6">
    <w:name w:val="List Table 6 Colorful Accent 6"/>
    <w:basedOn w:val="TableNormal"/>
    <w:uiPriority w:val="99"/>
    <w:rsid w:val="00911DE3"/>
    <w:pPr>
      <w:spacing w:line="240" w:lineRule="auto"/>
    </w:pPr>
    <w:rPr>
      <w:color w:val="3B9A7B" w:themeColor="accent6" w:themeShade="BF"/>
    </w:rPr>
    <w:tblPr>
      <w:tblStyleRowBandSize w:val="1"/>
      <w:tblStyleColBandSize w:val="1"/>
      <w:tblBorders>
        <w:top w:val="single" w:color="5EC1A0" w:themeColor="accent6" w:sz="4" w:space="0"/>
        <w:bottom w:val="single" w:color="5EC1A0" w:themeColor="accent6" w:sz="4" w:space="0"/>
      </w:tblBorders>
    </w:tblPr>
    <w:tblStylePr w:type="firstRow">
      <w:rPr>
        <w:b/>
        <w:bCs/>
      </w:rPr>
      <w:tblPr/>
      <w:tcPr>
        <w:tcBorders>
          <w:bottom w:val="single" w:color="5EC1A0" w:themeColor="accent6" w:sz="4" w:space="0"/>
        </w:tcBorders>
      </w:tcPr>
    </w:tblStylePr>
    <w:tblStylePr w:type="lastRow">
      <w:rPr>
        <w:b/>
        <w:bCs/>
      </w:rPr>
      <w:tblPr/>
      <w:tcPr>
        <w:tcBorders>
          <w:top w:val="double" w:color="5EC1A0" w:themeColor="accent6" w:sz="4" w:space="0"/>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7Colourful">
    <w:name w:val="List Table 7 Colorful"/>
    <w:basedOn w:val="TableNormal"/>
    <w:uiPriority w:val="99"/>
    <w:rsid w:val="00911DE3"/>
    <w:pPr>
      <w:spacing w:line="240" w:lineRule="auto"/>
    </w:pPr>
    <w:rPr>
      <w:color w:val="30303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30303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0303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0303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03030" w:themeColor="text1" w:sz="4" w:space="0"/>
        </w:tcBorders>
        <w:shd w:val="clear" w:color="auto" w:fill="FFFFFF" w:themeFill="background1"/>
      </w:tcPr>
    </w:tblStylePr>
    <w:tblStylePr w:type="band1Vert">
      <w:tblPr/>
      <w:tcPr>
        <w:shd w:val="clear" w:color="auto" w:fill="D5D5D5" w:themeFill="text1" w:themeFillTint="33"/>
      </w:tcPr>
    </w:tblStylePr>
    <w:tblStylePr w:type="band1Horz">
      <w:tblPr/>
      <w:tcPr>
        <w:shd w:val="clear" w:color="auto" w:fill="D5D5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99"/>
    <w:rsid w:val="00911DE3"/>
    <w:pPr>
      <w:spacing w:line="240" w:lineRule="auto"/>
    </w:pPr>
    <w:rPr>
      <w:color w:val="88AAA6"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4D5D3"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4D5D3"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4D5D3"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4D5D3" w:themeColor="accent1" w:sz="4" w:space="0"/>
        </w:tcBorders>
        <w:shd w:val="clear" w:color="auto" w:fill="FFFFFF" w:themeFill="background1"/>
      </w:tcPr>
    </w:tblStylePr>
    <w:tblStylePr w:type="band1Vert">
      <w:tblPr/>
      <w:tcPr>
        <w:shd w:val="clear" w:color="auto" w:fill="F3F6F6" w:themeFill="accent1" w:themeFillTint="33"/>
      </w:tcPr>
    </w:tblStylePr>
    <w:tblStylePr w:type="band1Horz">
      <w:tblPr/>
      <w:tcPr>
        <w:shd w:val="clear" w:color="auto" w:fill="F3F6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99"/>
    <w:rsid w:val="00911DE3"/>
    <w:pPr>
      <w:spacing w:line="240" w:lineRule="auto"/>
    </w:pPr>
    <w:rPr>
      <w:color w:val="5E8481"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6A9A6"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6A9A6"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6A9A6"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6A9A6" w:themeColor="accent2" w:sz="4" w:space="0"/>
        </w:tcBorders>
        <w:shd w:val="clear" w:color="auto" w:fill="FFFFFF" w:themeFill="background1"/>
      </w:tcPr>
    </w:tblStylePr>
    <w:tblStylePr w:type="band1Vert">
      <w:tblPr/>
      <w:tcPr>
        <w:shd w:val="clear" w:color="auto" w:fill="E6EDED" w:themeFill="accent2" w:themeFillTint="33"/>
      </w:tcPr>
    </w:tblStylePr>
    <w:tblStylePr w:type="band1Horz">
      <w:tblPr/>
      <w:tcPr>
        <w:shd w:val="clear" w:color="auto" w:fill="E6ED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99"/>
    <w:rsid w:val="00911DE3"/>
    <w:pPr>
      <w:spacing w:line="240" w:lineRule="auto"/>
    </w:pPr>
    <w:rPr>
      <w:color w:val="466966"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5E8D8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5E8D8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5E8D8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5E8D89" w:themeColor="accent3" w:sz="4" w:space="0"/>
        </w:tcBorders>
        <w:shd w:val="clear" w:color="auto" w:fill="FFFFFF" w:themeFill="background1"/>
      </w:tcPr>
    </w:tblStylePr>
    <w:tblStylePr w:type="band1Vert">
      <w:tblPr/>
      <w:tcPr>
        <w:shd w:val="clear" w:color="auto" w:fill="DEE9E8" w:themeFill="accent3" w:themeFillTint="33"/>
      </w:tcPr>
    </w:tblStylePr>
    <w:tblStylePr w:type="band1Horz">
      <w:tblPr/>
      <w:tcPr>
        <w:shd w:val="clear" w:color="auto" w:fill="DEE9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99"/>
    <w:rsid w:val="00911DE3"/>
    <w:pPr>
      <w:spacing w:line="240" w:lineRule="auto"/>
    </w:pPr>
    <w:rPr>
      <w:color w:val="285350"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36706B"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6706B"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6706B"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6706B" w:themeColor="accent4" w:sz="4" w:space="0"/>
        </w:tcBorders>
        <w:shd w:val="clear" w:color="auto" w:fill="FFFFFF" w:themeFill="background1"/>
      </w:tcPr>
    </w:tblStylePr>
    <w:tblStylePr w:type="band1Vert">
      <w:tblPr/>
      <w:tcPr>
        <w:shd w:val="clear" w:color="auto" w:fill="D0E8E6" w:themeFill="accent4" w:themeFillTint="33"/>
      </w:tcPr>
    </w:tblStylePr>
    <w:tblStylePr w:type="band1Horz">
      <w:tblPr/>
      <w:tcPr>
        <w:shd w:val="clear" w:color="auto" w:fill="D0E8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99"/>
    <w:rsid w:val="00911DE3"/>
    <w:pPr>
      <w:spacing w:line="240" w:lineRule="auto"/>
    </w:pPr>
    <w:rPr>
      <w:color w:val="204340"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B5A56"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B5A5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B5A56"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B5A56" w:themeColor="accent5" w:sz="4" w:space="0"/>
        </w:tcBorders>
        <w:shd w:val="clear" w:color="auto" w:fill="FFFFFF" w:themeFill="background1"/>
      </w:tcPr>
    </w:tblStylePr>
    <w:tblStylePr w:type="band1Vert">
      <w:tblPr/>
      <w:tcPr>
        <w:shd w:val="clear" w:color="auto" w:fill="CBE6E4" w:themeFill="accent5" w:themeFillTint="33"/>
      </w:tcPr>
    </w:tblStylePr>
    <w:tblStylePr w:type="band1Horz">
      <w:tblPr/>
      <w:tcPr>
        <w:shd w:val="clear" w:color="auto" w:fill="CBE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99"/>
    <w:rsid w:val="00911DE3"/>
    <w:pPr>
      <w:spacing w:line="240" w:lineRule="auto"/>
    </w:pPr>
    <w:rPr>
      <w:color w:val="3B9A7B"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5EC1A0"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5EC1A0"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5EC1A0"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5EC1A0" w:themeColor="accent6" w:sz="4" w:space="0"/>
        </w:tcBorders>
        <w:shd w:val="clear" w:color="auto" w:fill="FFFFFF" w:themeFill="background1"/>
      </w:tcPr>
    </w:tblStylePr>
    <w:tblStylePr w:type="band1Vert">
      <w:tblPr/>
      <w:tcPr>
        <w:shd w:val="clear" w:color="auto" w:fill="DEF2EC" w:themeFill="accent6" w:themeFillTint="33"/>
      </w:tcPr>
    </w:tblStylePr>
    <w:tblStylePr w:type="band1Horz">
      <w:tblPr/>
      <w:tcPr>
        <w:shd w:val="clear" w:color="auto" w:fill="DEF2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11DE3"/>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styleId="MacroTextChar" w:customStyle="1">
    <w:name w:val="Macro Text Char"/>
    <w:basedOn w:val="DefaultParagraphFont"/>
    <w:link w:val="MacroText"/>
    <w:uiPriority w:val="99"/>
    <w:semiHidden/>
    <w:rsid w:val="001261FA"/>
    <w:rPr>
      <w:rFonts w:cs="Arial"/>
      <w:lang w:val="en-GB"/>
    </w:rPr>
  </w:style>
  <w:style w:type="table" w:styleId="MediumGrid1">
    <w:name w:val="Medium Grid 1"/>
    <w:basedOn w:val="TableNormal"/>
    <w:uiPriority w:val="99"/>
    <w:semiHidden/>
    <w:unhideWhenUsed/>
    <w:rsid w:val="00911DE3"/>
    <w:pPr>
      <w:spacing w:line="240" w:lineRule="auto"/>
    </w:pPr>
    <w:tblPr>
      <w:tblStyleRowBandSize w:val="1"/>
      <w:tblStyleColBandSize w:val="1"/>
      <w:tblBorders>
        <w:top w:val="single" w:color="636363" w:themeColor="text1" w:themeTint="BF" w:sz="8" w:space="0"/>
        <w:left w:val="single" w:color="636363" w:themeColor="text1" w:themeTint="BF" w:sz="8" w:space="0"/>
        <w:bottom w:val="single" w:color="636363" w:themeColor="text1" w:themeTint="BF" w:sz="8" w:space="0"/>
        <w:right w:val="single" w:color="636363" w:themeColor="text1" w:themeTint="BF" w:sz="8" w:space="0"/>
        <w:insideH w:val="single" w:color="636363" w:themeColor="text1" w:themeTint="BF" w:sz="8" w:space="0"/>
        <w:insideV w:val="single" w:color="636363" w:themeColor="text1" w:themeTint="BF" w:sz="8" w:space="0"/>
      </w:tblBorders>
    </w:tblPr>
    <w:tcPr>
      <w:shd w:val="clear" w:color="auto" w:fill="CBCBCB" w:themeFill="text1" w:themeFillTint="3F"/>
    </w:tcPr>
    <w:tblStylePr w:type="firstRow">
      <w:rPr>
        <w:b/>
        <w:bCs/>
      </w:rPr>
    </w:tblStylePr>
    <w:tblStylePr w:type="lastRow">
      <w:rPr>
        <w:b/>
        <w:bCs/>
      </w:rPr>
      <w:tblPr/>
      <w:tcPr>
        <w:tcBorders>
          <w:top w:val="single" w:color="636363" w:themeColor="text1" w:themeTint="BF" w:sz="18" w:space="0"/>
        </w:tcBorders>
      </w:tcPr>
    </w:tblStylePr>
    <w:tblStylePr w:type="firstCol">
      <w:rPr>
        <w:b/>
        <w:bCs/>
      </w:rPr>
    </w:tblStylePr>
    <w:tblStylePr w:type="lastCol">
      <w:rPr>
        <w:b/>
        <w:bCs/>
      </w:rPr>
    </w:tblStylePr>
    <w:tblStylePr w:type="band1Vert">
      <w:tblPr/>
      <w:tcPr>
        <w:shd w:val="clear" w:color="auto" w:fill="979797" w:themeFill="text1" w:themeFillTint="7F"/>
      </w:tcPr>
    </w:tblStylePr>
    <w:tblStylePr w:type="band1Horz">
      <w:tblPr/>
      <w:tcPr>
        <w:shd w:val="clear" w:color="auto" w:fill="979797" w:themeFill="text1" w:themeFillTint="7F"/>
      </w:tcPr>
    </w:tblStylePr>
  </w:style>
  <w:style w:type="table" w:styleId="MediumGrid1-Accent1">
    <w:name w:val="Medium Grid 1 Accent 1"/>
    <w:basedOn w:val="TableNormal"/>
    <w:uiPriority w:val="99"/>
    <w:semiHidden/>
    <w:unhideWhenUsed/>
    <w:rsid w:val="00911DE3"/>
    <w:pPr>
      <w:spacing w:line="240" w:lineRule="auto"/>
    </w:pPr>
    <w:tblPr>
      <w:tblStyleRowBandSize w:val="1"/>
      <w:tblStyleColBandSize w:val="1"/>
      <w:tblBorders>
        <w:top w:val="single" w:color="D2DFDE" w:themeColor="accent1" w:themeTint="BF" w:sz="8" w:space="0"/>
        <w:left w:val="single" w:color="D2DFDE" w:themeColor="accent1" w:themeTint="BF" w:sz="8" w:space="0"/>
        <w:bottom w:val="single" w:color="D2DFDE" w:themeColor="accent1" w:themeTint="BF" w:sz="8" w:space="0"/>
        <w:right w:val="single" w:color="D2DFDE" w:themeColor="accent1" w:themeTint="BF" w:sz="8" w:space="0"/>
        <w:insideH w:val="single" w:color="D2DFDE" w:themeColor="accent1" w:themeTint="BF" w:sz="8" w:space="0"/>
        <w:insideV w:val="single" w:color="D2DFDE" w:themeColor="accent1" w:themeTint="BF" w:sz="8" w:space="0"/>
      </w:tblBorders>
    </w:tblPr>
    <w:tcPr>
      <w:shd w:val="clear" w:color="auto" w:fill="F0F4F4" w:themeFill="accent1" w:themeFillTint="3F"/>
    </w:tcPr>
    <w:tblStylePr w:type="firstRow">
      <w:rPr>
        <w:b/>
        <w:bCs/>
      </w:rPr>
    </w:tblStylePr>
    <w:tblStylePr w:type="lastRow">
      <w:rPr>
        <w:b/>
        <w:bCs/>
      </w:rPr>
      <w:tblPr/>
      <w:tcPr>
        <w:tcBorders>
          <w:top w:val="single" w:color="D2DFDE" w:themeColor="accent1" w:themeTint="BF" w:sz="18" w:space="0"/>
        </w:tcBorders>
      </w:tcPr>
    </w:tblStylePr>
    <w:tblStylePr w:type="firstCol">
      <w:rPr>
        <w:b/>
        <w:bCs/>
      </w:rPr>
    </w:tblStylePr>
    <w:tblStylePr w:type="lastCol">
      <w:rPr>
        <w:b/>
        <w:bCs/>
      </w:rPr>
    </w:tblStylePr>
    <w:tblStylePr w:type="band1Vert">
      <w:tblPr/>
      <w:tcPr>
        <w:shd w:val="clear" w:color="auto" w:fill="E1EAE9" w:themeFill="accent1" w:themeFillTint="7F"/>
      </w:tcPr>
    </w:tblStylePr>
    <w:tblStylePr w:type="band1Horz">
      <w:tblPr/>
      <w:tcPr>
        <w:shd w:val="clear" w:color="auto" w:fill="E1EAE9" w:themeFill="accent1" w:themeFillTint="7F"/>
      </w:tcPr>
    </w:tblStylePr>
  </w:style>
  <w:style w:type="table" w:styleId="MediumGrid1-Accent2">
    <w:name w:val="Medium Grid 1 Accent 2"/>
    <w:basedOn w:val="TableNormal"/>
    <w:uiPriority w:val="99"/>
    <w:semiHidden/>
    <w:unhideWhenUsed/>
    <w:rsid w:val="00911DE3"/>
    <w:pPr>
      <w:spacing w:line="240" w:lineRule="auto"/>
    </w:pPr>
    <w:tblPr>
      <w:tblStyleRowBandSize w:val="1"/>
      <w:tblStyleColBandSize w:val="1"/>
      <w:tblBorders>
        <w:top w:val="single" w:color="A4BEBC" w:themeColor="accent2" w:themeTint="BF" w:sz="8" w:space="0"/>
        <w:left w:val="single" w:color="A4BEBC" w:themeColor="accent2" w:themeTint="BF" w:sz="8" w:space="0"/>
        <w:bottom w:val="single" w:color="A4BEBC" w:themeColor="accent2" w:themeTint="BF" w:sz="8" w:space="0"/>
        <w:right w:val="single" w:color="A4BEBC" w:themeColor="accent2" w:themeTint="BF" w:sz="8" w:space="0"/>
        <w:insideH w:val="single" w:color="A4BEBC" w:themeColor="accent2" w:themeTint="BF" w:sz="8" w:space="0"/>
        <w:insideV w:val="single" w:color="A4BEBC" w:themeColor="accent2" w:themeTint="BF" w:sz="8" w:space="0"/>
      </w:tblBorders>
    </w:tblPr>
    <w:tcPr>
      <w:shd w:val="clear" w:color="auto" w:fill="E1E9E8" w:themeFill="accent2" w:themeFillTint="3F"/>
    </w:tcPr>
    <w:tblStylePr w:type="firstRow">
      <w:rPr>
        <w:b/>
        <w:bCs/>
      </w:rPr>
    </w:tblStylePr>
    <w:tblStylePr w:type="lastRow">
      <w:rPr>
        <w:b/>
        <w:bCs/>
      </w:rPr>
      <w:tblPr/>
      <w:tcPr>
        <w:tcBorders>
          <w:top w:val="single" w:color="A4BEBC" w:themeColor="accent2" w:themeTint="BF" w:sz="18" w:space="0"/>
        </w:tcBorders>
      </w:tcPr>
    </w:tblStylePr>
    <w:tblStylePr w:type="firstCol">
      <w:rPr>
        <w:b/>
        <w:bCs/>
      </w:rPr>
    </w:tblStylePr>
    <w:tblStylePr w:type="lastCol">
      <w:rPr>
        <w:b/>
        <w:bCs/>
      </w:rPr>
    </w:tblStylePr>
    <w:tblStylePr w:type="band1Vert">
      <w:tblPr/>
      <w:tcPr>
        <w:shd w:val="clear" w:color="auto" w:fill="C2D4D2" w:themeFill="accent2" w:themeFillTint="7F"/>
      </w:tcPr>
    </w:tblStylePr>
    <w:tblStylePr w:type="band1Horz">
      <w:tblPr/>
      <w:tcPr>
        <w:shd w:val="clear" w:color="auto" w:fill="C2D4D2" w:themeFill="accent2" w:themeFillTint="7F"/>
      </w:tcPr>
    </w:tblStylePr>
  </w:style>
  <w:style w:type="table" w:styleId="MediumGrid1-Accent3">
    <w:name w:val="Medium Grid 1 Accent 3"/>
    <w:basedOn w:val="TableNormal"/>
    <w:uiPriority w:val="99"/>
    <w:semiHidden/>
    <w:unhideWhenUsed/>
    <w:rsid w:val="00911DE3"/>
    <w:pPr>
      <w:spacing w:line="240" w:lineRule="auto"/>
    </w:pPr>
    <w:tblPr>
      <w:tblStyleRowBandSize w:val="1"/>
      <w:tblStyleColBandSize w:val="1"/>
      <w:tblBorders>
        <w:top w:val="single" w:color="83ACA9" w:themeColor="accent3" w:themeTint="BF" w:sz="8" w:space="0"/>
        <w:left w:val="single" w:color="83ACA9" w:themeColor="accent3" w:themeTint="BF" w:sz="8" w:space="0"/>
        <w:bottom w:val="single" w:color="83ACA9" w:themeColor="accent3" w:themeTint="BF" w:sz="8" w:space="0"/>
        <w:right w:val="single" w:color="83ACA9" w:themeColor="accent3" w:themeTint="BF" w:sz="8" w:space="0"/>
        <w:insideH w:val="single" w:color="83ACA9" w:themeColor="accent3" w:themeTint="BF" w:sz="8" w:space="0"/>
        <w:insideV w:val="single" w:color="83ACA9" w:themeColor="accent3" w:themeTint="BF" w:sz="8" w:space="0"/>
      </w:tblBorders>
    </w:tblPr>
    <w:tcPr>
      <w:shd w:val="clear" w:color="auto" w:fill="D6E3E2" w:themeFill="accent3" w:themeFillTint="3F"/>
    </w:tcPr>
    <w:tblStylePr w:type="firstRow">
      <w:rPr>
        <w:b/>
        <w:bCs/>
      </w:rPr>
    </w:tblStylePr>
    <w:tblStylePr w:type="lastRow">
      <w:rPr>
        <w:b/>
        <w:bCs/>
      </w:rPr>
      <w:tblPr/>
      <w:tcPr>
        <w:tcBorders>
          <w:top w:val="single" w:color="83ACA9" w:themeColor="accent3" w:themeTint="BF" w:sz="18" w:space="0"/>
        </w:tcBorders>
      </w:tcPr>
    </w:tblStylePr>
    <w:tblStylePr w:type="firstCol">
      <w:rPr>
        <w:b/>
        <w:bCs/>
      </w:rPr>
    </w:tblStylePr>
    <w:tblStylePr w:type="lastCol">
      <w:rPr>
        <w:b/>
        <w:bCs/>
      </w:rPr>
    </w:tblStylePr>
    <w:tblStylePr w:type="band1Vert">
      <w:tblPr/>
      <w:tcPr>
        <w:shd w:val="clear" w:color="auto" w:fill="ACC8C5" w:themeFill="accent3" w:themeFillTint="7F"/>
      </w:tcPr>
    </w:tblStylePr>
    <w:tblStylePr w:type="band1Horz">
      <w:tblPr/>
      <w:tcPr>
        <w:shd w:val="clear" w:color="auto" w:fill="ACC8C5" w:themeFill="accent3" w:themeFillTint="7F"/>
      </w:tcPr>
    </w:tblStylePr>
  </w:style>
  <w:style w:type="table" w:styleId="MediumGrid1-Accent4">
    <w:name w:val="Medium Grid 1 Accent 4"/>
    <w:basedOn w:val="TableNormal"/>
    <w:uiPriority w:val="99"/>
    <w:semiHidden/>
    <w:unhideWhenUsed/>
    <w:rsid w:val="00911DE3"/>
    <w:pPr>
      <w:spacing w:line="240" w:lineRule="auto"/>
    </w:pPr>
    <w:tblPr>
      <w:tblStyleRowBandSize w:val="1"/>
      <w:tblStyleColBandSize w:val="1"/>
      <w:tblBorders>
        <w:top w:val="single" w:color="52AAA2" w:themeColor="accent4" w:themeTint="BF" w:sz="8" w:space="0"/>
        <w:left w:val="single" w:color="52AAA2" w:themeColor="accent4" w:themeTint="BF" w:sz="8" w:space="0"/>
        <w:bottom w:val="single" w:color="52AAA2" w:themeColor="accent4" w:themeTint="BF" w:sz="8" w:space="0"/>
        <w:right w:val="single" w:color="52AAA2" w:themeColor="accent4" w:themeTint="BF" w:sz="8" w:space="0"/>
        <w:insideH w:val="single" w:color="52AAA2" w:themeColor="accent4" w:themeTint="BF" w:sz="8" w:space="0"/>
        <w:insideV w:val="single" w:color="52AAA2" w:themeColor="accent4" w:themeTint="BF" w:sz="8" w:space="0"/>
      </w:tblBorders>
    </w:tblPr>
    <w:tcPr>
      <w:shd w:val="clear" w:color="auto" w:fill="C5E3E0" w:themeFill="accent4" w:themeFillTint="3F"/>
    </w:tcPr>
    <w:tblStylePr w:type="firstRow">
      <w:rPr>
        <w:b/>
        <w:bCs/>
      </w:rPr>
    </w:tblStylePr>
    <w:tblStylePr w:type="lastRow">
      <w:rPr>
        <w:b/>
        <w:bCs/>
      </w:rPr>
      <w:tblPr/>
      <w:tcPr>
        <w:tcBorders>
          <w:top w:val="single" w:color="52AAA2" w:themeColor="accent4" w:themeTint="BF" w:sz="18" w:space="0"/>
        </w:tcBorders>
      </w:tcPr>
    </w:tblStylePr>
    <w:tblStylePr w:type="firstCol">
      <w:rPr>
        <w:b/>
        <w:bCs/>
      </w:rPr>
    </w:tblStylePr>
    <w:tblStylePr w:type="lastCol">
      <w:rPr>
        <w:b/>
        <w:bCs/>
      </w:rPr>
    </w:tblStylePr>
    <w:tblStylePr w:type="band1Vert">
      <w:tblPr/>
      <w:tcPr>
        <w:shd w:val="clear" w:color="auto" w:fill="8BC7C2" w:themeFill="accent4" w:themeFillTint="7F"/>
      </w:tcPr>
    </w:tblStylePr>
    <w:tblStylePr w:type="band1Horz">
      <w:tblPr/>
      <w:tcPr>
        <w:shd w:val="clear" w:color="auto" w:fill="8BC7C2" w:themeFill="accent4" w:themeFillTint="7F"/>
      </w:tcPr>
    </w:tblStylePr>
  </w:style>
  <w:style w:type="table" w:styleId="MediumGrid1-Accent5">
    <w:name w:val="Medium Grid 1 Accent 5"/>
    <w:basedOn w:val="TableNormal"/>
    <w:uiPriority w:val="99"/>
    <w:semiHidden/>
    <w:unhideWhenUsed/>
    <w:rsid w:val="00911DE3"/>
    <w:pPr>
      <w:spacing w:line="240" w:lineRule="auto"/>
    </w:pPr>
    <w:tblPr>
      <w:tblStyleRowBandSize w:val="1"/>
      <w:tblStyleColBandSize w:val="1"/>
      <w:tblBorders>
        <w:top w:val="single" w:color="499992" w:themeColor="accent5" w:themeTint="BF" w:sz="8" w:space="0"/>
        <w:left w:val="single" w:color="499992" w:themeColor="accent5" w:themeTint="BF" w:sz="8" w:space="0"/>
        <w:bottom w:val="single" w:color="499992" w:themeColor="accent5" w:themeTint="BF" w:sz="8" w:space="0"/>
        <w:right w:val="single" w:color="499992" w:themeColor="accent5" w:themeTint="BF" w:sz="8" w:space="0"/>
        <w:insideH w:val="single" w:color="499992" w:themeColor="accent5" w:themeTint="BF" w:sz="8" w:space="0"/>
        <w:insideV w:val="single" w:color="499992" w:themeColor="accent5" w:themeTint="BF" w:sz="8" w:space="0"/>
      </w:tblBorders>
    </w:tblPr>
    <w:tcPr>
      <w:shd w:val="clear" w:color="auto" w:fill="BFE0DD" w:themeFill="accent5" w:themeFillTint="3F"/>
    </w:tcPr>
    <w:tblStylePr w:type="firstRow">
      <w:rPr>
        <w:b/>
        <w:bCs/>
      </w:rPr>
    </w:tblStylePr>
    <w:tblStylePr w:type="lastRow">
      <w:rPr>
        <w:b/>
        <w:bCs/>
      </w:rPr>
      <w:tblPr/>
      <w:tcPr>
        <w:tcBorders>
          <w:top w:val="single" w:color="499992" w:themeColor="accent5" w:themeTint="BF" w:sz="18" w:space="0"/>
        </w:tcBorders>
      </w:tcPr>
    </w:tblStylePr>
    <w:tblStylePr w:type="firstCol">
      <w:rPr>
        <w:b/>
        <w:bCs/>
      </w:rPr>
    </w:tblStylePr>
    <w:tblStylePr w:type="lastCol">
      <w:rPr>
        <w:b/>
        <w:bCs/>
      </w:rPr>
    </w:tblStylePr>
    <w:tblStylePr w:type="band1Vert">
      <w:tblPr/>
      <w:tcPr>
        <w:shd w:val="clear" w:color="auto" w:fill="7FC2BC" w:themeFill="accent5" w:themeFillTint="7F"/>
      </w:tcPr>
    </w:tblStylePr>
    <w:tblStylePr w:type="band1Horz">
      <w:tblPr/>
      <w:tcPr>
        <w:shd w:val="clear" w:color="auto" w:fill="7FC2BC" w:themeFill="accent5" w:themeFillTint="7F"/>
      </w:tcPr>
    </w:tblStylePr>
  </w:style>
  <w:style w:type="table" w:styleId="MediumGrid1-Accent6">
    <w:name w:val="Medium Grid 1 Accent 6"/>
    <w:basedOn w:val="TableNormal"/>
    <w:uiPriority w:val="99"/>
    <w:semiHidden/>
    <w:unhideWhenUsed/>
    <w:rsid w:val="00911DE3"/>
    <w:pPr>
      <w:spacing w:line="240" w:lineRule="auto"/>
    </w:pPr>
    <w:tblPr>
      <w:tblStyleRowBandSize w:val="1"/>
      <w:tblStyleColBandSize w:val="1"/>
      <w:tblBorders>
        <w:top w:val="single" w:color="86D0B7" w:themeColor="accent6" w:themeTint="BF" w:sz="8" w:space="0"/>
        <w:left w:val="single" w:color="86D0B7" w:themeColor="accent6" w:themeTint="BF" w:sz="8" w:space="0"/>
        <w:bottom w:val="single" w:color="86D0B7" w:themeColor="accent6" w:themeTint="BF" w:sz="8" w:space="0"/>
        <w:right w:val="single" w:color="86D0B7" w:themeColor="accent6" w:themeTint="BF" w:sz="8" w:space="0"/>
        <w:insideH w:val="single" w:color="86D0B7" w:themeColor="accent6" w:themeTint="BF" w:sz="8" w:space="0"/>
        <w:insideV w:val="single" w:color="86D0B7" w:themeColor="accent6" w:themeTint="BF" w:sz="8" w:space="0"/>
      </w:tblBorders>
    </w:tblPr>
    <w:tcPr>
      <w:shd w:val="clear" w:color="auto" w:fill="D7EFE7" w:themeFill="accent6" w:themeFillTint="3F"/>
    </w:tcPr>
    <w:tblStylePr w:type="firstRow">
      <w:rPr>
        <w:b/>
        <w:bCs/>
      </w:rPr>
    </w:tblStylePr>
    <w:tblStylePr w:type="lastRow">
      <w:rPr>
        <w:b/>
        <w:bCs/>
      </w:rPr>
      <w:tblPr/>
      <w:tcPr>
        <w:tcBorders>
          <w:top w:val="single" w:color="86D0B7" w:themeColor="accent6" w:themeTint="BF" w:sz="18" w:space="0"/>
        </w:tcBorders>
      </w:tcPr>
    </w:tblStylePr>
    <w:tblStylePr w:type="firstCol">
      <w:rPr>
        <w:b/>
        <w:bCs/>
      </w:rPr>
    </w:tblStylePr>
    <w:tblStylePr w:type="lastCol">
      <w:rPr>
        <w:b/>
        <w:bCs/>
      </w:rPr>
    </w:tblStylePr>
    <w:tblStylePr w:type="band1Vert">
      <w:tblPr/>
      <w:tcPr>
        <w:shd w:val="clear" w:color="auto" w:fill="AEE0CF" w:themeFill="accent6" w:themeFillTint="7F"/>
      </w:tcPr>
    </w:tblStylePr>
    <w:tblStylePr w:type="band1Horz">
      <w:tblPr/>
      <w:tcPr>
        <w:shd w:val="clear" w:color="auto" w:fill="AEE0CF" w:themeFill="accent6" w:themeFillTint="7F"/>
      </w:tcPr>
    </w:tblStylePr>
  </w:style>
  <w:style w:type="table" w:styleId="MediumGrid2">
    <w:name w:val="Medium Grid 2"/>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303030" w:themeColor="text1" w:sz="8" w:space="0"/>
        <w:left w:val="single" w:color="303030" w:themeColor="text1" w:sz="8" w:space="0"/>
        <w:bottom w:val="single" w:color="303030" w:themeColor="text1" w:sz="8" w:space="0"/>
        <w:right w:val="single" w:color="303030" w:themeColor="text1" w:sz="8" w:space="0"/>
        <w:insideH w:val="single" w:color="303030" w:themeColor="text1" w:sz="8" w:space="0"/>
        <w:insideV w:val="single" w:color="303030" w:themeColor="text1" w:sz="8" w:space="0"/>
      </w:tblBorders>
    </w:tblPr>
    <w:tcPr>
      <w:shd w:val="clear" w:color="auto" w:fill="CBCBCB" w:themeFill="text1" w:themeFillTint="3F"/>
    </w:tcPr>
    <w:tblStylePr w:type="firstRow">
      <w:rPr>
        <w:b/>
        <w:bCs/>
        <w:color w:val="303030" w:themeColor="text1"/>
      </w:rPr>
      <w:tblPr/>
      <w:tcPr>
        <w:shd w:val="clear" w:color="auto" w:fill="EAEAEA" w:themeFill="text1" w:themeFillTint="19"/>
      </w:tcPr>
    </w:tblStylePr>
    <w:tblStylePr w:type="lastRow">
      <w:rPr>
        <w:b/>
        <w:bCs/>
        <w:color w:val="303030" w:themeColor="text1"/>
      </w:rPr>
      <w:tblPr/>
      <w:tcPr>
        <w:tcBorders>
          <w:top w:val="single" w:color="303030" w:themeColor="text1" w:sz="12" w:space="0"/>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5D5D5" w:themeFill="text1" w:themeFillTint="33"/>
      </w:tcPr>
    </w:tblStylePr>
    <w:tblStylePr w:type="band1Vert">
      <w:tblPr/>
      <w:tcPr>
        <w:shd w:val="clear" w:color="auto" w:fill="979797" w:themeFill="text1" w:themeFillTint="7F"/>
      </w:tcPr>
    </w:tblStylePr>
    <w:tblStylePr w:type="band1Horz">
      <w:tblPr/>
      <w:tcPr>
        <w:tcBorders>
          <w:insideH w:val="single" w:color="303030" w:themeColor="text1" w:sz="6" w:space="0"/>
          <w:insideV w:val="single" w:color="303030" w:themeColor="text1" w:sz="6" w:space="0"/>
        </w:tcBorders>
        <w:shd w:val="clear" w:color="auto" w:fill="979797"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C4D5D3" w:themeColor="accent1" w:sz="8" w:space="0"/>
        <w:left w:val="single" w:color="C4D5D3" w:themeColor="accent1" w:sz="8" w:space="0"/>
        <w:bottom w:val="single" w:color="C4D5D3" w:themeColor="accent1" w:sz="8" w:space="0"/>
        <w:right w:val="single" w:color="C4D5D3" w:themeColor="accent1" w:sz="8" w:space="0"/>
        <w:insideH w:val="single" w:color="C4D5D3" w:themeColor="accent1" w:sz="8" w:space="0"/>
        <w:insideV w:val="single" w:color="C4D5D3" w:themeColor="accent1" w:sz="8" w:space="0"/>
      </w:tblBorders>
    </w:tblPr>
    <w:tcPr>
      <w:shd w:val="clear" w:color="auto" w:fill="F0F4F4" w:themeFill="accent1" w:themeFillTint="3F"/>
    </w:tcPr>
    <w:tblStylePr w:type="firstRow">
      <w:rPr>
        <w:b/>
        <w:bCs/>
        <w:color w:val="303030" w:themeColor="text1"/>
      </w:rPr>
      <w:tblPr/>
      <w:tcPr>
        <w:shd w:val="clear" w:color="auto" w:fill="F9FBFA" w:themeFill="accent1" w:themeFillTint="19"/>
      </w:tcPr>
    </w:tblStylePr>
    <w:tblStylePr w:type="lastRow">
      <w:rPr>
        <w:b/>
        <w:bCs/>
        <w:color w:val="303030" w:themeColor="text1"/>
      </w:rPr>
      <w:tblPr/>
      <w:tcPr>
        <w:tcBorders>
          <w:top w:val="single" w:color="303030" w:themeColor="text1" w:sz="12" w:space="0"/>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F3F6F6" w:themeFill="accent1" w:themeFillTint="33"/>
      </w:tcPr>
    </w:tblStylePr>
    <w:tblStylePr w:type="band1Vert">
      <w:tblPr/>
      <w:tcPr>
        <w:shd w:val="clear" w:color="auto" w:fill="E1EAE9" w:themeFill="accent1" w:themeFillTint="7F"/>
      </w:tcPr>
    </w:tblStylePr>
    <w:tblStylePr w:type="band1Horz">
      <w:tblPr/>
      <w:tcPr>
        <w:tcBorders>
          <w:insideH w:val="single" w:color="C4D5D3" w:themeColor="accent1" w:sz="6" w:space="0"/>
          <w:insideV w:val="single" w:color="C4D5D3" w:themeColor="accent1" w:sz="6" w:space="0"/>
        </w:tcBorders>
        <w:shd w:val="clear" w:color="auto" w:fill="E1EAE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86A9A6" w:themeColor="accent2" w:sz="8" w:space="0"/>
        <w:left w:val="single" w:color="86A9A6" w:themeColor="accent2" w:sz="8" w:space="0"/>
        <w:bottom w:val="single" w:color="86A9A6" w:themeColor="accent2" w:sz="8" w:space="0"/>
        <w:right w:val="single" w:color="86A9A6" w:themeColor="accent2" w:sz="8" w:space="0"/>
        <w:insideH w:val="single" w:color="86A9A6" w:themeColor="accent2" w:sz="8" w:space="0"/>
        <w:insideV w:val="single" w:color="86A9A6" w:themeColor="accent2" w:sz="8" w:space="0"/>
      </w:tblBorders>
    </w:tblPr>
    <w:tcPr>
      <w:shd w:val="clear" w:color="auto" w:fill="E1E9E8" w:themeFill="accent2" w:themeFillTint="3F"/>
    </w:tcPr>
    <w:tblStylePr w:type="firstRow">
      <w:rPr>
        <w:b/>
        <w:bCs/>
        <w:color w:val="303030" w:themeColor="text1"/>
      </w:rPr>
      <w:tblPr/>
      <w:tcPr>
        <w:shd w:val="clear" w:color="auto" w:fill="F3F6F6" w:themeFill="accent2" w:themeFillTint="19"/>
      </w:tcPr>
    </w:tblStylePr>
    <w:tblStylePr w:type="lastRow">
      <w:rPr>
        <w:b/>
        <w:bCs/>
        <w:color w:val="303030" w:themeColor="text1"/>
      </w:rPr>
      <w:tblPr/>
      <w:tcPr>
        <w:tcBorders>
          <w:top w:val="single" w:color="303030" w:themeColor="text1" w:sz="12" w:space="0"/>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E6EDED" w:themeFill="accent2" w:themeFillTint="33"/>
      </w:tcPr>
    </w:tblStylePr>
    <w:tblStylePr w:type="band1Vert">
      <w:tblPr/>
      <w:tcPr>
        <w:shd w:val="clear" w:color="auto" w:fill="C2D4D2" w:themeFill="accent2" w:themeFillTint="7F"/>
      </w:tcPr>
    </w:tblStylePr>
    <w:tblStylePr w:type="band1Horz">
      <w:tblPr/>
      <w:tcPr>
        <w:tcBorders>
          <w:insideH w:val="single" w:color="86A9A6" w:themeColor="accent2" w:sz="6" w:space="0"/>
          <w:insideV w:val="single" w:color="86A9A6" w:themeColor="accent2" w:sz="6" w:space="0"/>
        </w:tcBorders>
        <w:shd w:val="clear" w:color="auto" w:fill="C2D4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5E8D89" w:themeColor="accent3" w:sz="8" w:space="0"/>
        <w:left w:val="single" w:color="5E8D89" w:themeColor="accent3" w:sz="8" w:space="0"/>
        <w:bottom w:val="single" w:color="5E8D89" w:themeColor="accent3" w:sz="8" w:space="0"/>
        <w:right w:val="single" w:color="5E8D89" w:themeColor="accent3" w:sz="8" w:space="0"/>
        <w:insideH w:val="single" w:color="5E8D89" w:themeColor="accent3" w:sz="8" w:space="0"/>
        <w:insideV w:val="single" w:color="5E8D89" w:themeColor="accent3" w:sz="8" w:space="0"/>
      </w:tblBorders>
    </w:tblPr>
    <w:tcPr>
      <w:shd w:val="clear" w:color="auto" w:fill="D6E3E2" w:themeFill="accent3" w:themeFillTint="3F"/>
    </w:tcPr>
    <w:tblStylePr w:type="firstRow">
      <w:rPr>
        <w:b/>
        <w:bCs/>
        <w:color w:val="303030" w:themeColor="text1"/>
      </w:rPr>
      <w:tblPr/>
      <w:tcPr>
        <w:shd w:val="clear" w:color="auto" w:fill="EEF4F3" w:themeFill="accent3" w:themeFillTint="19"/>
      </w:tcPr>
    </w:tblStylePr>
    <w:tblStylePr w:type="lastRow">
      <w:rPr>
        <w:b/>
        <w:bCs/>
        <w:color w:val="303030" w:themeColor="text1"/>
      </w:rPr>
      <w:tblPr/>
      <w:tcPr>
        <w:tcBorders>
          <w:top w:val="single" w:color="303030" w:themeColor="text1" w:sz="12" w:space="0"/>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EE9E8" w:themeFill="accent3" w:themeFillTint="33"/>
      </w:tcPr>
    </w:tblStylePr>
    <w:tblStylePr w:type="band1Vert">
      <w:tblPr/>
      <w:tcPr>
        <w:shd w:val="clear" w:color="auto" w:fill="ACC8C5" w:themeFill="accent3" w:themeFillTint="7F"/>
      </w:tcPr>
    </w:tblStylePr>
    <w:tblStylePr w:type="band1Horz">
      <w:tblPr/>
      <w:tcPr>
        <w:tcBorders>
          <w:insideH w:val="single" w:color="5E8D89" w:themeColor="accent3" w:sz="6" w:space="0"/>
          <w:insideV w:val="single" w:color="5E8D89" w:themeColor="accent3" w:sz="6" w:space="0"/>
        </w:tcBorders>
        <w:shd w:val="clear" w:color="auto" w:fill="ACC8C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36706B" w:themeColor="accent4" w:sz="8" w:space="0"/>
        <w:left w:val="single" w:color="36706B" w:themeColor="accent4" w:sz="8" w:space="0"/>
        <w:bottom w:val="single" w:color="36706B" w:themeColor="accent4" w:sz="8" w:space="0"/>
        <w:right w:val="single" w:color="36706B" w:themeColor="accent4" w:sz="8" w:space="0"/>
        <w:insideH w:val="single" w:color="36706B" w:themeColor="accent4" w:sz="8" w:space="0"/>
        <w:insideV w:val="single" w:color="36706B" w:themeColor="accent4" w:sz="8" w:space="0"/>
      </w:tblBorders>
    </w:tblPr>
    <w:tcPr>
      <w:shd w:val="clear" w:color="auto" w:fill="C5E3E0" w:themeFill="accent4" w:themeFillTint="3F"/>
    </w:tcPr>
    <w:tblStylePr w:type="firstRow">
      <w:rPr>
        <w:b/>
        <w:bCs/>
        <w:color w:val="303030" w:themeColor="text1"/>
      </w:rPr>
      <w:tblPr/>
      <w:tcPr>
        <w:shd w:val="clear" w:color="auto" w:fill="E8F4F2" w:themeFill="accent4" w:themeFillTint="19"/>
      </w:tcPr>
    </w:tblStylePr>
    <w:tblStylePr w:type="lastRow">
      <w:rPr>
        <w:b/>
        <w:bCs/>
        <w:color w:val="303030" w:themeColor="text1"/>
      </w:rPr>
      <w:tblPr/>
      <w:tcPr>
        <w:tcBorders>
          <w:top w:val="single" w:color="303030" w:themeColor="text1" w:sz="12" w:space="0"/>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0E8E6" w:themeFill="accent4" w:themeFillTint="33"/>
      </w:tcPr>
    </w:tblStylePr>
    <w:tblStylePr w:type="band1Vert">
      <w:tblPr/>
      <w:tcPr>
        <w:shd w:val="clear" w:color="auto" w:fill="8BC7C2" w:themeFill="accent4" w:themeFillTint="7F"/>
      </w:tcPr>
    </w:tblStylePr>
    <w:tblStylePr w:type="band1Horz">
      <w:tblPr/>
      <w:tcPr>
        <w:tcBorders>
          <w:insideH w:val="single" w:color="36706B" w:themeColor="accent4" w:sz="6" w:space="0"/>
          <w:insideV w:val="single" w:color="36706B" w:themeColor="accent4" w:sz="6" w:space="0"/>
        </w:tcBorders>
        <w:shd w:val="clear" w:color="auto" w:fill="8BC7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2B5A56" w:themeColor="accent5" w:sz="8" w:space="0"/>
        <w:left w:val="single" w:color="2B5A56" w:themeColor="accent5" w:sz="8" w:space="0"/>
        <w:bottom w:val="single" w:color="2B5A56" w:themeColor="accent5" w:sz="8" w:space="0"/>
        <w:right w:val="single" w:color="2B5A56" w:themeColor="accent5" w:sz="8" w:space="0"/>
        <w:insideH w:val="single" w:color="2B5A56" w:themeColor="accent5" w:sz="8" w:space="0"/>
        <w:insideV w:val="single" w:color="2B5A56" w:themeColor="accent5" w:sz="8" w:space="0"/>
      </w:tblBorders>
    </w:tblPr>
    <w:tcPr>
      <w:shd w:val="clear" w:color="auto" w:fill="BFE0DD" w:themeFill="accent5" w:themeFillTint="3F"/>
    </w:tcPr>
    <w:tblStylePr w:type="firstRow">
      <w:rPr>
        <w:b/>
        <w:bCs/>
        <w:color w:val="303030" w:themeColor="text1"/>
      </w:rPr>
      <w:tblPr/>
      <w:tcPr>
        <w:shd w:val="clear" w:color="auto" w:fill="E5F3F2" w:themeFill="accent5" w:themeFillTint="19"/>
      </w:tcPr>
    </w:tblStylePr>
    <w:tblStylePr w:type="lastRow">
      <w:rPr>
        <w:b/>
        <w:bCs/>
        <w:color w:val="303030" w:themeColor="text1"/>
      </w:rPr>
      <w:tblPr/>
      <w:tcPr>
        <w:tcBorders>
          <w:top w:val="single" w:color="303030" w:themeColor="text1" w:sz="12" w:space="0"/>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CBE6E4" w:themeFill="accent5" w:themeFillTint="33"/>
      </w:tcPr>
    </w:tblStylePr>
    <w:tblStylePr w:type="band1Vert">
      <w:tblPr/>
      <w:tcPr>
        <w:shd w:val="clear" w:color="auto" w:fill="7FC2BC" w:themeFill="accent5" w:themeFillTint="7F"/>
      </w:tcPr>
    </w:tblStylePr>
    <w:tblStylePr w:type="band1Horz">
      <w:tblPr/>
      <w:tcPr>
        <w:tcBorders>
          <w:insideH w:val="single" w:color="2B5A56" w:themeColor="accent5" w:sz="6" w:space="0"/>
          <w:insideV w:val="single" w:color="2B5A56" w:themeColor="accent5" w:sz="6" w:space="0"/>
        </w:tcBorders>
        <w:shd w:val="clear" w:color="auto" w:fill="7FC2B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5EC1A0" w:themeColor="accent6" w:sz="8" w:space="0"/>
        <w:left w:val="single" w:color="5EC1A0" w:themeColor="accent6" w:sz="8" w:space="0"/>
        <w:bottom w:val="single" w:color="5EC1A0" w:themeColor="accent6" w:sz="8" w:space="0"/>
        <w:right w:val="single" w:color="5EC1A0" w:themeColor="accent6" w:sz="8" w:space="0"/>
        <w:insideH w:val="single" w:color="5EC1A0" w:themeColor="accent6" w:sz="8" w:space="0"/>
        <w:insideV w:val="single" w:color="5EC1A0" w:themeColor="accent6" w:sz="8" w:space="0"/>
      </w:tblBorders>
    </w:tblPr>
    <w:tcPr>
      <w:shd w:val="clear" w:color="auto" w:fill="D7EFE7" w:themeFill="accent6" w:themeFillTint="3F"/>
    </w:tcPr>
    <w:tblStylePr w:type="firstRow">
      <w:rPr>
        <w:b/>
        <w:bCs/>
        <w:color w:val="303030" w:themeColor="text1"/>
      </w:rPr>
      <w:tblPr/>
      <w:tcPr>
        <w:shd w:val="clear" w:color="auto" w:fill="EFF9F5" w:themeFill="accent6" w:themeFillTint="19"/>
      </w:tcPr>
    </w:tblStylePr>
    <w:tblStylePr w:type="lastRow">
      <w:rPr>
        <w:b/>
        <w:bCs/>
        <w:color w:val="303030" w:themeColor="text1"/>
      </w:rPr>
      <w:tblPr/>
      <w:tcPr>
        <w:tcBorders>
          <w:top w:val="single" w:color="303030" w:themeColor="text1" w:sz="12" w:space="0"/>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EF2EC" w:themeFill="accent6" w:themeFillTint="33"/>
      </w:tcPr>
    </w:tblStylePr>
    <w:tblStylePr w:type="band1Vert">
      <w:tblPr/>
      <w:tcPr>
        <w:shd w:val="clear" w:color="auto" w:fill="AEE0CF" w:themeFill="accent6" w:themeFillTint="7F"/>
      </w:tcPr>
    </w:tblStylePr>
    <w:tblStylePr w:type="band1Horz">
      <w:tblPr/>
      <w:tcPr>
        <w:tcBorders>
          <w:insideH w:val="single" w:color="5EC1A0" w:themeColor="accent6" w:sz="6" w:space="0"/>
          <w:insideV w:val="single" w:color="5EC1A0" w:themeColor="accent6" w:sz="6" w:space="0"/>
        </w:tcBorders>
        <w:shd w:val="clear" w:color="auto" w:fill="AEE0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11DE3"/>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BCBCB"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0303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0303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0303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0303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79797"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79797" w:themeFill="text1" w:themeFillTint="7F"/>
      </w:tcPr>
    </w:tblStylePr>
  </w:style>
  <w:style w:type="table" w:styleId="MediumGrid3-Accent1">
    <w:name w:val="Medium Grid 3 Accent 1"/>
    <w:basedOn w:val="TableNormal"/>
    <w:uiPriority w:val="99"/>
    <w:semiHidden/>
    <w:unhideWhenUsed/>
    <w:rsid w:val="00911DE3"/>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0F4F4"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4D5D3"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4D5D3"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4D5D3"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4D5D3"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1EAE9"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1EAE9" w:themeFill="accent1" w:themeFillTint="7F"/>
      </w:tcPr>
    </w:tblStylePr>
  </w:style>
  <w:style w:type="table" w:styleId="MediumGrid3-Accent2">
    <w:name w:val="Medium Grid 3 Accent 2"/>
    <w:basedOn w:val="TableNormal"/>
    <w:uiPriority w:val="99"/>
    <w:semiHidden/>
    <w:unhideWhenUsed/>
    <w:rsid w:val="00911DE3"/>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1E9E8"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6A9A6"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6A9A6"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6A9A6"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6A9A6"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2D4D2"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2D4D2" w:themeFill="accent2" w:themeFillTint="7F"/>
      </w:tcPr>
    </w:tblStylePr>
  </w:style>
  <w:style w:type="table" w:styleId="MediumGrid3-Accent3">
    <w:name w:val="Medium Grid 3 Accent 3"/>
    <w:basedOn w:val="TableNormal"/>
    <w:uiPriority w:val="99"/>
    <w:semiHidden/>
    <w:unhideWhenUsed/>
    <w:rsid w:val="00911DE3"/>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3E2"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E8D8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E8D8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E8D8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E8D8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CC8C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CC8C5" w:themeFill="accent3" w:themeFillTint="7F"/>
      </w:tcPr>
    </w:tblStylePr>
  </w:style>
  <w:style w:type="table" w:styleId="MediumGrid3-Accent4">
    <w:name w:val="Medium Grid 3 Accent 4"/>
    <w:basedOn w:val="TableNormal"/>
    <w:uiPriority w:val="99"/>
    <w:semiHidden/>
    <w:unhideWhenUsed/>
    <w:rsid w:val="00911DE3"/>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5E3E0"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6706B"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6706B"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6706B"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6706B"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BC7C2"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BC7C2" w:themeFill="accent4" w:themeFillTint="7F"/>
      </w:tcPr>
    </w:tblStylePr>
  </w:style>
  <w:style w:type="table" w:styleId="MediumGrid3-Accent5">
    <w:name w:val="Medium Grid 3 Accent 5"/>
    <w:basedOn w:val="TableNormal"/>
    <w:uiPriority w:val="99"/>
    <w:semiHidden/>
    <w:unhideWhenUsed/>
    <w:rsid w:val="00911DE3"/>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E0DD"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B5A5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B5A5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B5A5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B5A5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C2BC"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FC2BC" w:themeFill="accent5" w:themeFillTint="7F"/>
      </w:tcPr>
    </w:tblStylePr>
  </w:style>
  <w:style w:type="table" w:styleId="MediumGrid3-Accent6">
    <w:name w:val="Medium Grid 3 Accent 6"/>
    <w:basedOn w:val="TableNormal"/>
    <w:uiPriority w:val="99"/>
    <w:semiHidden/>
    <w:unhideWhenUsed/>
    <w:rsid w:val="00911DE3"/>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7EFE7"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EC1A0"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EC1A0"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EC1A0"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EC1A0"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EE0CF"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EE0CF" w:themeFill="accent6" w:themeFillTint="7F"/>
      </w:tcPr>
    </w:tblStylePr>
  </w:style>
  <w:style w:type="table" w:styleId="MediumList1">
    <w:name w:val="Medium List 1"/>
    <w:basedOn w:val="TableNormal"/>
    <w:uiPriority w:val="99"/>
    <w:semiHidden/>
    <w:unhideWhenUsed/>
    <w:rsid w:val="00911DE3"/>
    <w:pPr>
      <w:spacing w:line="240" w:lineRule="auto"/>
    </w:pPr>
    <w:rPr>
      <w:color w:val="303030" w:themeColor="text1"/>
    </w:rPr>
    <w:tblPr>
      <w:tblStyleRowBandSize w:val="1"/>
      <w:tblStyleColBandSize w:val="1"/>
      <w:tblBorders>
        <w:top w:val="single" w:color="303030" w:themeColor="text1" w:sz="8" w:space="0"/>
        <w:bottom w:val="single" w:color="303030" w:themeColor="text1" w:sz="8" w:space="0"/>
      </w:tblBorders>
    </w:tblPr>
    <w:tblStylePr w:type="firstRow">
      <w:rPr>
        <w:rFonts w:asciiTheme="majorHAnsi" w:hAnsiTheme="majorHAnsi" w:eastAsiaTheme="majorEastAsia" w:cstheme="majorBidi"/>
      </w:rPr>
      <w:tblPr/>
      <w:tcPr>
        <w:tcBorders>
          <w:top w:val="nil"/>
          <w:bottom w:val="single" w:color="303030" w:themeColor="text1" w:sz="8" w:space="0"/>
        </w:tcBorders>
      </w:tcPr>
    </w:tblStylePr>
    <w:tblStylePr w:type="lastRow">
      <w:rPr>
        <w:b/>
        <w:bCs/>
        <w:color w:val="1D4542" w:themeColor="text2"/>
      </w:rPr>
      <w:tblPr/>
      <w:tcPr>
        <w:tcBorders>
          <w:top w:val="single" w:color="303030" w:themeColor="text1" w:sz="8" w:space="0"/>
          <w:bottom w:val="single" w:color="303030" w:themeColor="text1" w:sz="8" w:space="0"/>
        </w:tcBorders>
      </w:tcPr>
    </w:tblStylePr>
    <w:tblStylePr w:type="firstCol">
      <w:rPr>
        <w:b/>
        <w:bCs/>
      </w:rPr>
    </w:tblStylePr>
    <w:tblStylePr w:type="lastCol">
      <w:rPr>
        <w:b/>
        <w:bCs/>
      </w:rPr>
      <w:tblPr/>
      <w:tcPr>
        <w:tcBorders>
          <w:top w:val="single" w:color="303030" w:themeColor="text1" w:sz="8" w:space="0"/>
          <w:bottom w:val="single" w:color="303030" w:themeColor="text1" w:sz="8" w:space="0"/>
        </w:tcBorders>
      </w:tcPr>
    </w:tblStylePr>
    <w:tblStylePr w:type="band1Vert">
      <w:tblPr/>
      <w:tcPr>
        <w:shd w:val="clear" w:color="auto" w:fill="CBCBCB" w:themeFill="text1" w:themeFillTint="3F"/>
      </w:tcPr>
    </w:tblStylePr>
    <w:tblStylePr w:type="band1Horz">
      <w:tblPr/>
      <w:tcPr>
        <w:shd w:val="clear" w:color="auto" w:fill="CBCBCB" w:themeFill="text1" w:themeFillTint="3F"/>
      </w:tcPr>
    </w:tblStylePr>
  </w:style>
  <w:style w:type="table" w:styleId="MediumList1-Accent1">
    <w:name w:val="Medium List 1 Accent 1"/>
    <w:basedOn w:val="TableNormal"/>
    <w:uiPriority w:val="99"/>
    <w:semiHidden/>
    <w:unhideWhenUsed/>
    <w:rsid w:val="00911DE3"/>
    <w:pPr>
      <w:spacing w:line="240" w:lineRule="auto"/>
    </w:pPr>
    <w:rPr>
      <w:color w:val="303030" w:themeColor="text1"/>
    </w:rPr>
    <w:tblPr>
      <w:tblStyleRowBandSize w:val="1"/>
      <w:tblStyleColBandSize w:val="1"/>
      <w:tblBorders>
        <w:top w:val="single" w:color="C4D5D3" w:themeColor="accent1" w:sz="8" w:space="0"/>
        <w:bottom w:val="single" w:color="C4D5D3" w:themeColor="accent1" w:sz="8" w:space="0"/>
      </w:tblBorders>
    </w:tblPr>
    <w:tblStylePr w:type="firstRow">
      <w:rPr>
        <w:rFonts w:asciiTheme="majorHAnsi" w:hAnsiTheme="majorHAnsi" w:eastAsiaTheme="majorEastAsia" w:cstheme="majorBidi"/>
      </w:rPr>
      <w:tblPr/>
      <w:tcPr>
        <w:tcBorders>
          <w:top w:val="nil"/>
          <w:bottom w:val="single" w:color="C4D5D3" w:themeColor="accent1" w:sz="8" w:space="0"/>
        </w:tcBorders>
      </w:tcPr>
    </w:tblStylePr>
    <w:tblStylePr w:type="lastRow">
      <w:rPr>
        <w:b/>
        <w:bCs/>
        <w:color w:val="1D4542" w:themeColor="text2"/>
      </w:rPr>
      <w:tblPr/>
      <w:tcPr>
        <w:tcBorders>
          <w:top w:val="single" w:color="C4D5D3" w:themeColor="accent1" w:sz="8" w:space="0"/>
          <w:bottom w:val="single" w:color="C4D5D3" w:themeColor="accent1" w:sz="8" w:space="0"/>
        </w:tcBorders>
      </w:tcPr>
    </w:tblStylePr>
    <w:tblStylePr w:type="firstCol">
      <w:rPr>
        <w:b/>
        <w:bCs/>
      </w:rPr>
    </w:tblStylePr>
    <w:tblStylePr w:type="lastCol">
      <w:rPr>
        <w:b/>
        <w:bCs/>
      </w:rPr>
      <w:tblPr/>
      <w:tcPr>
        <w:tcBorders>
          <w:top w:val="single" w:color="C4D5D3" w:themeColor="accent1" w:sz="8" w:space="0"/>
          <w:bottom w:val="single" w:color="C4D5D3" w:themeColor="accent1" w:sz="8" w:space="0"/>
        </w:tcBorders>
      </w:tcPr>
    </w:tblStylePr>
    <w:tblStylePr w:type="band1Vert">
      <w:tblPr/>
      <w:tcPr>
        <w:shd w:val="clear" w:color="auto" w:fill="F0F4F4" w:themeFill="accent1" w:themeFillTint="3F"/>
      </w:tcPr>
    </w:tblStylePr>
    <w:tblStylePr w:type="band1Horz">
      <w:tblPr/>
      <w:tcPr>
        <w:shd w:val="clear" w:color="auto" w:fill="F0F4F4" w:themeFill="accent1" w:themeFillTint="3F"/>
      </w:tcPr>
    </w:tblStylePr>
  </w:style>
  <w:style w:type="table" w:styleId="MediumList1-Accent2">
    <w:name w:val="Medium List 1 Accent 2"/>
    <w:basedOn w:val="TableNormal"/>
    <w:uiPriority w:val="99"/>
    <w:semiHidden/>
    <w:unhideWhenUsed/>
    <w:rsid w:val="00911DE3"/>
    <w:pPr>
      <w:spacing w:line="240" w:lineRule="auto"/>
    </w:pPr>
    <w:rPr>
      <w:color w:val="303030" w:themeColor="text1"/>
    </w:rPr>
    <w:tblPr>
      <w:tblStyleRowBandSize w:val="1"/>
      <w:tblStyleColBandSize w:val="1"/>
      <w:tblBorders>
        <w:top w:val="single" w:color="86A9A6" w:themeColor="accent2" w:sz="8" w:space="0"/>
        <w:bottom w:val="single" w:color="86A9A6" w:themeColor="accent2" w:sz="8" w:space="0"/>
      </w:tblBorders>
    </w:tblPr>
    <w:tblStylePr w:type="firstRow">
      <w:rPr>
        <w:rFonts w:asciiTheme="majorHAnsi" w:hAnsiTheme="majorHAnsi" w:eastAsiaTheme="majorEastAsia" w:cstheme="majorBidi"/>
      </w:rPr>
      <w:tblPr/>
      <w:tcPr>
        <w:tcBorders>
          <w:top w:val="nil"/>
          <w:bottom w:val="single" w:color="86A9A6" w:themeColor="accent2" w:sz="8" w:space="0"/>
        </w:tcBorders>
      </w:tcPr>
    </w:tblStylePr>
    <w:tblStylePr w:type="lastRow">
      <w:rPr>
        <w:b/>
        <w:bCs/>
        <w:color w:val="1D4542" w:themeColor="text2"/>
      </w:rPr>
      <w:tblPr/>
      <w:tcPr>
        <w:tcBorders>
          <w:top w:val="single" w:color="86A9A6" w:themeColor="accent2" w:sz="8" w:space="0"/>
          <w:bottom w:val="single" w:color="86A9A6" w:themeColor="accent2" w:sz="8" w:space="0"/>
        </w:tcBorders>
      </w:tcPr>
    </w:tblStylePr>
    <w:tblStylePr w:type="firstCol">
      <w:rPr>
        <w:b/>
        <w:bCs/>
      </w:rPr>
    </w:tblStylePr>
    <w:tblStylePr w:type="lastCol">
      <w:rPr>
        <w:b/>
        <w:bCs/>
      </w:rPr>
      <w:tblPr/>
      <w:tcPr>
        <w:tcBorders>
          <w:top w:val="single" w:color="86A9A6" w:themeColor="accent2" w:sz="8" w:space="0"/>
          <w:bottom w:val="single" w:color="86A9A6" w:themeColor="accent2" w:sz="8" w:space="0"/>
        </w:tcBorders>
      </w:tcPr>
    </w:tblStylePr>
    <w:tblStylePr w:type="band1Vert">
      <w:tblPr/>
      <w:tcPr>
        <w:shd w:val="clear" w:color="auto" w:fill="E1E9E8" w:themeFill="accent2" w:themeFillTint="3F"/>
      </w:tcPr>
    </w:tblStylePr>
    <w:tblStylePr w:type="band1Horz">
      <w:tblPr/>
      <w:tcPr>
        <w:shd w:val="clear" w:color="auto" w:fill="E1E9E8" w:themeFill="accent2" w:themeFillTint="3F"/>
      </w:tcPr>
    </w:tblStylePr>
  </w:style>
  <w:style w:type="table" w:styleId="MediumList1-Accent3">
    <w:name w:val="Medium List 1 Accent 3"/>
    <w:basedOn w:val="TableNormal"/>
    <w:uiPriority w:val="99"/>
    <w:semiHidden/>
    <w:unhideWhenUsed/>
    <w:rsid w:val="00911DE3"/>
    <w:pPr>
      <w:spacing w:line="240" w:lineRule="auto"/>
    </w:pPr>
    <w:rPr>
      <w:color w:val="303030" w:themeColor="text1"/>
    </w:rPr>
    <w:tblPr>
      <w:tblStyleRowBandSize w:val="1"/>
      <w:tblStyleColBandSize w:val="1"/>
      <w:tblBorders>
        <w:top w:val="single" w:color="5E8D89" w:themeColor="accent3" w:sz="8" w:space="0"/>
        <w:bottom w:val="single" w:color="5E8D89" w:themeColor="accent3" w:sz="8" w:space="0"/>
      </w:tblBorders>
    </w:tblPr>
    <w:tblStylePr w:type="firstRow">
      <w:rPr>
        <w:rFonts w:asciiTheme="majorHAnsi" w:hAnsiTheme="majorHAnsi" w:eastAsiaTheme="majorEastAsia" w:cstheme="majorBidi"/>
      </w:rPr>
      <w:tblPr/>
      <w:tcPr>
        <w:tcBorders>
          <w:top w:val="nil"/>
          <w:bottom w:val="single" w:color="5E8D89" w:themeColor="accent3" w:sz="8" w:space="0"/>
        </w:tcBorders>
      </w:tcPr>
    </w:tblStylePr>
    <w:tblStylePr w:type="lastRow">
      <w:rPr>
        <w:b/>
        <w:bCs/>
        <w:color w:val="1D4542" w:themeColor="text2"/>
      </w:rPr>
      <w:tblPr/>
      <w:tcPr>
        <w:tcBorders>
          <w:top w:val="single" w:color="5E8D89" w:themeColor="accent3" w:sz="8" w:space="0"/>
          <w:bottom w:val="single" w:color="5E8D89" w:themeColor="accent3" w:sz="8" w:space="0"/>
        </w:tcBorders>
      </w:tcPr>
    </w:tblStylePr>
    <w:tblStylePr w:type="firstCol">
      <w:rPr>
        <w:b/>
        <w:bCs/>
      </w:rPr>
    </w:tblStylePr>
    <w:tblStylePr w:type="lastCol">
      <w:rPr>
        <w:b/>
        <w:bCs/>
      </w:rPr>
      <w:tblPr/>
      <w:tcPr>
        <w:tcBorders>
          <w:top w:val="single" w:color="5E8D89" w:themeColor="accent3" w:sz="8" w:space="0"/>
          <w:bottom w:val="single" w:color="5E8D89" w:themeColor="accent3" w:sz="8" w:space="0"/>
        </w:tcBorders>
      </w:tcPr>
    </w:tblStylePr>
    <w:tblStylePr w:type="band1Vert">
      <w:tblPr/>
      <w:tcPr>
        <w:shd w:val="clear" w:color="auto" w:fill="D6E3E2" w:themeFill="accent3" w:themeFillTint="3F"/>
      </w:tcPr>
    </w:tblStylePr>
    <w:tblStylePr w:type="band1Horz">
      <w:tblPr/>
      <w:tcPr>
        <w:shd w:val="clear" w:color="auto" w:fill="D6E3E2" w:themeFill="accent3" w:themeFillTint="3F"/>
      </w:tcPr>
    </w:tblStylePr>
  </w:style>
  <w:style w:type="table" w:styleId="MediumList1-Accent4">
    <w:name w:val="Medium List 1 Accent 4"/>
    <w:basedOn w:val="TableNormal"/>
    <w:uiPriority w:val="99"/>
    <w:semiHidden/>
    <w:unhideWhenUsed/>
    <w:rsid w:val="00911DE3"/>
    <w:pPr>
      <w:spacing w:line="240" w:lineRule="auto"/>
    </w:pPr>
    <w:rPr>
      <w:color w:val="303030" w:themeColor="text1"/>
    </w:rPr>
    <w:tblPr>
      <w:tblStyleRowBandSize w:val="1"/>
      <w:tblStyleColBandSize w:val="1"/>
      <w:tblBorders>
        <w:top w:val="single" w:color="36706B" w:themeColor="accent4" w:sz="8" w:space="0"/>
        <w:bottom w:val="single" w:color="36706B" w:themeColor="accent4" w:sz="8" w:space="0"/>
      </w:tblBorders>
    </w:tblPr>
    <w:tblStylePr w:type="firstRow">
      <w:rPr>
        <w:rFonts w:asciiTheme="majorHAnsi" w:hAnsiTheme="majorHAnsi" w:eastAsiaTheme="majorEastAsia" w:cstheme="majorBidi"/>
      </w:rPr>
      <w:tblPr/>
      <w:tcPr>
        <w:tcBorders>
          <w:top w:val="nil"/>
          <w:bottom w:val="single" w:color="36706B" w:themeColor="accent4" w:sz="8" w:space="0"/>
        </w:tcBorders>
      </w:tcPr>
    </w:tblStylePr>
    <w:tblStylePr w:type="lastRow">
      <w:rPr>
        <w:b/>
        <w:bCs/>
        <w:color w:val="1D4542" w:themeColor="text2"/>
      </w:rPr>
      <w:tblPr/>
      <w:tcPr>
        <w:tcBorders>
          <w:top w:val="single" w:color="36706B" w:themeColor="accent4" w:sz="8" w:space="0"/>
          <w:bottom w:val="single" w:color="36706B" w:themeColor="accent4" w:sz="8" w:space="0"/>
        </w:tcBorders>
      </w:tcPr>
    </w:tblStylePr>
    <w:tblStylePr w:type="firstCol">
      <w:rPr>
        <w:b/>
        <w:bCs/>
      </w:rPr>
    </w:tblStylePr>
    <w:tblStylePr w:type="lastCol">
      <w:rPr>
        <w:b/>
        <w:bCs/>
      </w:rPr>
      <w:tblPr/>
      <w:tcPr>
        <w:tcBorders>
          <w:top w:val="single" w:color="36706B" w:themeColor="accent4" w:sz="8" w:space="0"/>
          <w:bottom w:val="single" w:color="36706B" w:themeColor="accent4" w:sz="8" w:space="0"/>
        </w:tcBorders>
      </w:tcPr>
    </w:tblStylePr>
    <w:tblStylePr w:type="band1Vert">
      <w:tblPr/>
      <w:tcPr>
        <w:shd w:val="clear" w:color="auto" w:fill="C5E3E0" w:themeFill="accent4" w:themeFillTint="3F"/>
      </w:tcPr>
    </w:tblStylePr>
    <w:tblStylePr w:type="band1Horz">
      <w:tblPr/>
      <w:tcPr>
        <w:shd w:val="clear" w:color="auto" w:fill="C5E3E0" w:themeFill="accent4" w:themeFillTint="3F"/>
      </w:tcPr>
    </w:tblStylePr>
  </w:style>
  <w:style w:type="table" w:styleId="MediumList1-Accent5">
    <w:name w:val="Medium List 1 Accent 5"/>
    <w:basedOn w:val="TableNormal"/>
    <w:uiPriority w:val="99"/>
    <w:semiHidden/>
    <w:unhideWhenUsed/>
    <w:rsid w:val="00911DE3"/>
    <w:pPr>
      <w:spacing w:line="240" w:lineRule="auto"/>
    </w:pPr>
    <w:rPr>
      <w:color w:val="303030" w:themeColor="text1"/>
    </w:rPr>
    <w:tblPr>
      <w:tblStyleRowBandSize w:val="1"/>
      <w:tblStyleColBandSize w:val="1"/>
      <w:tblBorders>
        <w:top w:val="single" w:color="2B5A56" w:themeColor="accent5" w:sz="8" w:space="0"/>
        <w:bottom w:val="single" w:color="2B5A56" w:themeColor="accent5" w:sz="8" w:space="0"/>
      </w:tblBorders>
    </w:tblPr>
    <w:tblStylePr w:type="firstRow">
      <w:rPr>
        <w:rFonts w:asciiTheme="majorHAnsi" w:hAnsiTheme="majorHAnsi" w:eastAsiaTheme="majorEastAsia" w:cstheme="majorBidi"/>
      </w:rPr>
      <w:tblPr/>
      <w:tcPr>
        <w:tcBorders>
          <w:top w:val="nil"/>
          <w:bottom w:val="single" w:color="2B5A56" w:themeColor="accent5" w:sz="8" w:space="0"/>
        </w:tcBorders>
      </w:tcPr>
    </w:tblStylePr>
    <w:tblStylePr w:type="lastRow">
      <w:rPr>
        <w:b/>
        <w:bCs/>
        <w:color w:val="1D4542" w:themeColor="text2"/>
      </w:rPr>
      <w:tblPr/>
      <w:tcPr>
        <w:tcBorders>
          <w:top w:val="single" w:color="2B5A56" w:themeColor="accent5" w:sz="8" w:space="0"/>
          <w:bottom w:val="single" w:color="2B5A56" w:themeColor="accent5" w:sz="8" w:space="0"/>
        </w:tcBorders>
      </w:tcPr>
    </w:tblStylePr>
    <w:tblStylePr w:type="firstCol">
      <w:rPr>
        <w:b/>
        <w:bCs/>
      </w:rPr>
    </w:tblStylePr>
    <w:tblStylePr w:type="lastCol">
      <w:rPr>
        <w:b/>
        <w:bCs/>
      </w:rPr>
      <w:tblPr/>
      <w:tcPr>
        <w:tcBorders>
          <w:top w:val="single" w:color="2B5A56" w:themeColor="accent5" w:sz="8" w:space="0"/>
          <w:bottom w:val="single" w:color="2B5A56" w:themeColor="accent5" w:sz="8" w:space="0"/>
        </w:tcBorders>
      </w:tcPr>
    </w:tblStylePr>
    <w:tblStylePr w:type="band1Vert">
      <w:tblPr/>
      <w:tcPr>
        <w:shd w:val="clear" w:color="auto" w:fill="BFE0DD" w:themeFill="accent5" w:themeFillTint="3F"/>
      </w:tcPr>
    </w:tblStylePr>
    <w:tblStylePr w:type="band1Horz">
      <w:tblPr/>
      <w:tcPr>
        <w:shd w:val="clear" w:color="auto" w:fill="BFE0DD" w:themeFill="accent5" w:themeFillTint="3F"/>
      </w:tcPr>
    </w:tblStylePr>
  </w:style>
  <w:style w:type="table" w:styleId="MediumList1-Accent6">
    <w:name w:val="Medium List 1 Accent 6"/>
    <w:basedOn w:val="TableNormal"/>
    <w:uiPriority w:val="99"/>
    <w:semiHidden/>
    <w:unhideWhenUsed/>
    <w:rsid w:val="00911DE3"/>
    <w:pPr>
      <w:spacing w:line="240" w:lineRule="auto"/>
    </w:pPr>
    <w:rPr>
      <w:color w:val="303030" w:themeColor="text1"/>
    </w:rPr>
    <w:tblPr>
      <w:tblStyleRowBandSize w:val="1"/>
      <w:tblStyleColBandSize w:val="1"/>
      <w:tblBorders>
        <w:top w:val="single" w:color="5EC1A0" w:themeColor="accent6" w:sz="8" w:space="0"/>
        <w:bottom w:val="single" w:color="5EC1A0" w:themeColor="accent6" w:sz="8" w:space="0"/>
      </w:tblBorders>
    </w:tblPr>
    <w:tblStylePr w:type="firstRow">
      <w:rPr>
        <w:rFonts w:asciiTheme="majorHAnsi" w:hAnsiTheme="majorHAnsi" w:eastAsiaTheme="majorEastAsia" w:cstheme="majorBidi"/>
      </w:rPr>
      <w:tblPr/>
      <w:tcPr>
        <w:tcBorders>
          <w:top w:val="nil"/>
          <w:bottom w:val="single" w:color="5EC1A0" w:themeColor="accent6" w:sz="8" w:space="0"/>
        </w:tcBorders>
      </w:tcPr>
    </w:tblStylePr>
    <w:tblStylePr w:type="lastRow">
      <w:rPr>
        <w:b/>
        <w:bCs/>
        <w:color w:val="1D4542" w:themeColor="text2"/>
      </w:rPr>
      <w:tblPr/>
      <w:tcPr>
        <w:tcBorders>
          <w:top w:val="single" w:color="5EC1A0" w:themeColor="accent6" w:sz="8" w:space="0"/>
          <w:bottom w:val="single" w:color="5EC1A0" w:themeColor="accent6" w:sz="8" w:space="0"/>
        </w:tcBorders>
      </w:tcPr>
    </w:tblStylePr>
    <w:tblStylePr w:type="firstCol">
      <w:rPr>
        <w:b/>
        <w:bCs/>
      </w:rPr>
    </w:tblStylePr>
    <w:tblStylePr w:type="lastCol">
      <w:rPr>
        <w:b/>
        <w:bCs/>
      </w:rPr>
      <w:tblPr/>
      <w:tcPr>
        <w:tcBorders>
          <w:top w:val="single" w:color="5EC1A0" w:themeColor="accent6" w:sz="8" w:space="0"/>
          <w:bottom w:val="single" w:color="5EC1A0" w:themeColor="accent6" w:sz="8" w:space="0"/>
        </w:tcBorders>
      </w:tcPr>
    </w:tblStylePr>
    <w:tblStylePr w:type="band1Vert">
      <w:tblPr/>
      <w:tcPr>
        <w:shd w:val="clear" w:color="auto" w:fill="D7EFE7" w:themeFill="accent6" w:themeFillTint="3F"/>
      </w:tcPr>
    </w:tblStylePr>
    <w:tblStylePr w:type="band1Horz">
      <w:tblPr/>
      <w:tcPr>
        <w:shd w:val="clear" w:color="auto" w:fill="D7EFE7" w:themeFill="accent6" w:themeFillTint="3F"/>
      </w:tcPr>
    </w:tblStylePr>
  </w:style>
  <w:style w:type="table" w:styleId="MediumList2">
    <w:name w:val="Medium List 2"/>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303030" w:themeColor="text1" w:sz="8" w:space="0"/>
        <w:left w:val="single" w:color="303030" w:themeColor="text1" w:sz="8" w:space="0"/>
        <w:bottom w:val="single" w:color="303030" w:themeColor="text1" w:sz="8" w:space="0"/>
        <w:right w:val="single" w:color="303030" w:themeColor="text1" w:sz="8" w:space="0"/>
      </w:tblBorders>
    </w:tblPr>
    <w:tblStylePr w:type="firstRow">
      <w:rPr>
        <w:sz w:val="24"/>
        <w:szCs w:val="24"/>
      </w:rPr>
      <w:tblPr/>
      <w:tcPr>
        <w:tcBorders>
          <w:top w:val="nil"/>
          <w:left w:val="nil"/>
          <w:bottom w:val="single" w:color="303030" w:themeColor="text1" w:sz="24" w:space="0"/>
          <w:right w:val="nil"/>
          <w:insideH w:val="nil"/>
          <w:insideV w:val="nil"/>
        </w:tcBorders>
        <w:shd w:val="clear" w:color="auto" w:fill="FFFFFF" w:themeFill="background1"/>
      </w:tcPr>
    </w:tblStylePr>
    <w:tblStylePr w:type="lastRow">
      <w:tblPr/>
      <w:tcPr>
        <w:tcBorders>
          <w:top w:val="single" w:color="30303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03030" w:themeColor="text1" w:sz="8" w:space="0"/>
          <w:insideH w:val="nil"/>
          <w:insideV w:val="nil"/>
        </w:tcBorders>
        <w:shd w:val="clear" w:color="auto" w:fill="FFFFFF" w:themeFill="background1"/>
      </w:tcPr>
    </w:tblStylePr>
    <w:tblStylePr w:type="lastCol">
      <w:tblPr/>
      <w:tcPr>
        <w:tcBorders>
          <w:top w:val="nil"/>
          <w:left w:val="single" w:color="30303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top w:val="nil"/>
          <w:bottom w:val="nil"/>
          <w:insideH w:val="nil"/>
          <w:insideV w:val="nil"/>
        </w:tcBorders>
        <w:shd w:val="clear" w:color="auto" w:fill="CBCBCB"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C4D5D3" w:themeColor="accent1" w:sz="8" w:space="0"/>
        <w:left w:val="single" w:color="C4D5D3" w:themeColor="accent1" w:sz="8" w:space="0"/>
        <w:bottom w:val="single" w:color="C4D5D3" w:themeColor="accent1" w:sz="8" w:space="0"/>
        <w:right w:val="single" w:color="C4D5D3" w:themeColor="accent1" w:sz="8" w:space="0"/>
      </w:tblBorders>
    </w:tblPr>
    <w:tblStylePr w:type="firstRow">
      <w:rPr>
        <w:sz w:val="24"/>
        <w:szCs w:val="24"/>
      </w:rPr>
      <w:tblPr/>
      <w:tcPr>
        <w:tcBorders>
          <w:top w:val="nil"/>
          <w:left w:val="nil"/>
          <w:bottom w:val="single" w:color="C4D5D3" w:themeColor="accent1" w:sz="24" w:space="0"/>
          <w:right w:val="nil"/>
          <w:insideH w:val="nil"/>
          <w:insideV w:val="nil"/>
        </w:tcBorders>
        <w:shd w:val="clear" w:color="auto" w:fill="FFFFFF" w:themeFill="background1"/>
      </w:tcPr>
    </w:tblStylePr>
    <w:tblStylePr w:type="lastRow">
      <w:tblPr/>
      <w:tcPr>
        <w:tcBorders>
          <w:top w:val="single" w:color="C4D5D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4D5D3" w:themeColor="accent1" w:sz="8" w:space="0"/>
          <w:insideH w:val="nil"/>
          <w:insideV w:val="nil"/>
        </w:tcBorders>
        <w:shd w:val="clear" w:color="auto" w:fill="FFFFFF" w:themeFill="background1"/>
      </w:tcPr>
    </w:tblStylePr>
    <w:tblStylePr w:type="lastCol">
      <w:tblPr/>
      <w:tcPr>
        <w:tcBorders>
          <w:top w:val="nil"/>
          <w:left w:val="single" w:color="C4D5D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4F4" w:themeFill="accent1" w:themeFillTint="3F"/>
      </w:tcPr>
    </w:tblStylePr>
    <w:tblStylePr w:type="band1Horz">
      <w:tblPr/>
      <w:tcPr>
        <w:tcBorders>
          <w:top w:val="nil"/>
          <w:bottom w:val="nil"/>
          <w:insideH w:val="nil"/>
          <w:insideV w:val="nil"/>
        </w:tcBorders>
        <w:shd w:val="clear" w:color="auto" w:fill="F0F4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86A9A6" w:themeColor="accent2" w:sz="8" w:space="0"/>
        <w:left w:val="single" w:color="86A9A6" w:themeColor="accent2" w:sz="8" w:space="0"/>
        <w:bottom w:val="single" w:color="86A9A6" w:themeColor="accent2" w:sz="8" w:space="0"/>
        <w:right w:val="single" w:color="86A9A6" w:themeColor="accent2" w:sz="8" w:space="0"/>
      </w:tblBorders>
    </w:tblPr>
    <w:tblStylePr w:type="firstRow">
      <w:rPr>
        <w:sz w:val="24"/>
        <w:szCs w:val="24"/>
      </w:rPr>
      <w:tblPr/>
      <w:tcPr>
        <w:tcBorders>
          <w:top w:val="nil"/>
          <w:left w:val="nil"/>
          <w:bottom w:val="single" w:color="86A9A6" w:themeColor="accent2" w:sz="24" w:space="0"/>
          <w:right w:val="nil"/>
          <w:insideH w:val="nil"/>
          <w:insideV w:val="nil"/>
        </w:tcBorders>
        <w:shd w:val="clear" w:color="auto" w:fill="FFFFFF" w:themeFill="background1"/>
      </w:tcPr>
    </w:tblStylePr>
    <w:tblStylePr w:type="lastRow">
      <w:tblPr/>
      <w:tcPr>
        <w:tcBorders>
          <w:top w:val="single" w:color="86A9A6"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6A9A6" w:themeColor="accent2" w:sz="8" w:space="0"/>
          <w:insideH w:val="nil"/>
          <w:insideV w:val="nil"/>
        </w:tcBorders>
        <w:shd w:val="clear" w:color="auto" w:fill="FFFFFF" w:themeFill="background1"/>
      </w:tcPr>
    </w:tblStylePr>
    <w:tblStylePr w:type="lastCol">
      <w:tblPr/>
      <w:tcPr>
        <w:tcBorders>
          <w:top w:val="nil"/>
          <w:left w:val="single" w:color="86A9A6"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9E8" w:themeFill="accent2" w:themeFillTint="3F"/>
      </w:tcPr>
    </w:tblStylePr>
    <w:tblStylePr w:type="band1Horz">
      <w:tblPr/>
      <w:tcPr>
        <w:tcBorders>
          <w:top w:val="nil"/>
          <w:bottom w:val="nil"/>
          <w:insideH w:val="nil"/>
          <w:insideV w:val="nil"/>
        </w:tcBorders>
        <w:shd w:val="clear" w:color="auto" w:fill="E1E9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5E8D89" w:themeColor="accent3" w:sz="8" w:space="0"/>
        <w:left w:val="single" w:color="5E8D89" w:themeColor="accent3" w:sz="8" w:space="0"/>
        <w:bottom w:val="single" w:color="5E8D89" w:themeColor="accent3" w:sz="8" w:space="0"/>
        <w:right w:val="single" w:color="5E8D89" w:themeColor="accent3" w:sz="8" w:space="0"/>
      </w:tblBorders>
    </w:tblPr>
    <w:tblStylePr w:type="firstRow">
      <w:rPr>
        <w:sz w:val="24"/>
        <w:szCs w:val="24"/>
      </w:rPr>
      <w:tblPr/>
      <w:tcPr>
        <w:tcBorders>
          <w:top w:val="nil"/>
          <w:left w:val="nil"/>
          <w:bottom w:val="single" w:color="5E8D89" w:themeColor="accent3" w:sz="24" w:space="0"/>
          <w:right w:val="nil"/>
          <w:insideH w:val="nil"/>
          <w:insideV w:val="nil"/>
        </w:tcBorders>
        <w:shd w:val="clear" w:color="auto" w:fill="FFFFFF" w:themeFill="background1"/>
      </w:tcPr>
    </w:tblStylePr>
    <w:tblStylePr w:type="lastRow">
      <w:tblPr/>
      <w:tcPr>
        <w:tcBorders>
          <w:top w:val="single" w:color="5E8D8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E8D89" w:themeColor="accent3" w:sz="8" w:space="0"/>
          <w:insideH w:val="nil"/>
          <w:insideV w:val="nil"/>
        </w:tcBorders>
        <w:shd w:val="clear" w:color="auto" w:fill="FFFFFF" w:themeFill="background1"/>
      </w:tcPr>
    </w:tblStylePr>
    <w:tblStylePr w:type="lastCol">
      <w:tblPr/>
      <w:tcPr>
        <w:tcBorders>
          <w:top w:val="nil"/>
          <w:left w:val="single" w:color="5E8D8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3E2" w:themeFill="accent3" w:themeFillTint="3F"/>
      </w:tcPr>
    </w:tblStylePr>
    <w:tblStylePr w:type="band1Horz">
      <w:tblPr/>
      <w:tcPr>
        <w:tcBorders>
          <w:top w:val="nil"/>
          <w:bottom w:val="nil"/>
          <w:insideH w:val="nil"/>
          <w:insideV w:val="nil"/>
        </w:tcBorders>
        <w:shd w:val="clear" w:color="auto" w:fill="D6E3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36706B" w:themeColor="accent4" w:sz="8" w:space="0"/>
        <w:left w:val="single" w:color="36706B" w:themeColor="accent4" w:sz="8" w:space="0"/>
        <w:bottom w:val="single" w:color="36706B" w:themeColor="accent4" w:sz="8" w:space="0"/>
        <w:right w:val="single" w:color="36706B" w:themeColor="accent4" w:sz="8" w:space="0"/>
      </w:tblBorders>
    </w:tblPr>
    <w:tblStylePr w:type="firstRow">
      <w:rPr>
        <w:sz w:val="24"/>
        <w:szCs w:val="24"/>
      </w:rPr>
      <w:tblPr/>
      <w:tcPr>
        <w:tcBorders>
          <w:top w:val="nil"/>
          <w:left w:val="nil"/>
          <w:bottom w:val="single" w:color="36706B" w:themeColor="accent4" w:sz="24" w:space="0"/>
          <w:right w:val="nil"/>
          <w:insideH w:val="nil"/>
          <w:insideV w:val="nil"/>
        </w:tcBorders>
        <w:shd w:val="clear" w:color="auto" w:fill="FFFFFF" w:themeFill="background1"/>
      </w:tcPr>
    </w:tblStylePr>
    <w:tblStylePr w:type="lastRow">
      <w:tblPr/>
      <w:tcPr>
        <w:tcBorders>
          <w:top w:val="single" w:color="36706B"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6706B" w:themeColor="accent4" w:sz="8" w:space="0"/>
          <w:insideH w:val="nil"/>
          <w:insideV w:val="nil"/>
        </w:tcBorders>
        <w:shd w:val="clear" w:color="auto" w:fill="FFFFFF" w:themeFill="background1"/>
      </w:tcPr>
    </w:tblStylePr>
    <w:tblStylePr w:type="lastCol">
      <w:tblPr/>
      <w:tcPr>
        <w:tcBorders>
          <w:top w:val="nil"/>
          <w:left w:val="single" w:color="36706B"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3E0" w:themeFill="accent4" w:themeFillTint="3F"/>
      </w:tcPr>
    </w:tblStylePr>
    <w:tblStylePr w:type="band1Horz">
      <w:tblPr/>
      <w:tcPr>
        <w:tcBorders>
          <w:top w:val="nil"/>
          <w:bottom w:val="nil"/>
          <w:insideH w:val="nil"/>
          <w:insideV w:val="nil"/>
        </w:tcBorders>
        <w:shd w:val="clear" w:color="auto" w:fill="C5E3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2B5A56" w:themeColor="accent5" w:sz="8" w:space="0"/>
        <w:left w:val="single" w:color="2B5A56" w:themeColor="accent5" w:sz="8" w:space="0"/>
        <w:bottom w:val="single" w:color="2B5A56" w:themeColor="accent5" w:sz="8" w:space="0"/>
        <w:right w:val="single" w:color="2B5A56" w:themeColor="accent5" w:sz="8" w:space="0"/>
      </w:tblBorders>
    </w:tblPr>
    <w:tblStylePr w:type="firstRow">
      <w:rPr>
        <w:sz w:val="24"/>
        <w:szCs w:val="24"/>
      </w:rPr>
      <w:tblPr/>
      <w:tcPr>
        <w:tcBorders>
          <w:top w:val="nil"/>
          <w:left w:val="nil"/>
          <w:bottom w:val="single" w:color="2B5A56" w:themeColor="accent5" w:sz="24" w:space="0"/>
          <w:right w:val="nil"/>
          <w:insideH w:val="nil"/>
          <w:insideV w:val="nil"/>
        </w:tcBorders>
        <w:shd w:val="clear" w:color="auto" w:fill="FFFFFF" w:themeFill="background1"/>
      </w:tcPr>
    </w:tblStylePr>
    <w:tblStylePr w:type="lastRow">
      <w:tblPr/>
      <w:tcPr>
        <w:tcBorders>
          <w:top w:val="single" w:color="2B5A5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B5A56" w:themeColor="accent5" w:sz="8" w:space="0"/>
          <w:insideH w:val="nil"/>
          <w:insideV w:val="nil"/>
        </w:tcBorders>
        <w:shd w:val="clear" w:color="auto" w:fill="FFFFFF" w:themeFill="background1"/>
      </w:tcPr>
    </w:tblStylePr>
    <w:tblStylePr w:type="lastCol">
      <w:tblPr/>
      <w:tcPr>
        <w:tcBorders>
          <w:top w:val="nil"/>
          <w:left w:val="single" w:color="2B5A5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DD" w:themeFill="accent5" w:themeFillTint="3F"/>
      </w:tcPr>
    </w:tblStylePr>
    <w:tblStylePr w:type="band1Horz">
      <w:tblPr/>
      <w:tcPr>
        <w:tcBorders>
          <w:top w:val="nil"/>
          <w:bottom w:val="nil"/>
          <w:insideH w:val="nil"/>
          <w:insideV w:val="nil"/>
        </w:tcBorders>
        <w:shd w:val="clear" w:color="auto" w:fill="BFE0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11DE3"/>
    <w:pPr>
      <w:spacing w:line="240" w:lineRule="auto"/>
    </w:pPr>
    <w:rPr>
      <w:rFonts w:cs="Arial" w:eastAsiaTheme="majorEastAsia"/>
      <w:color w:val="303030" w:themeColor="text1"/>
    </w:rPr>
    <w:tblPr>
      <w:tblStyleRowBandSize w:val="1"/>
      <w:tblStyleColBandSize w:val="1"/>
      <w:tblBorders>
        <w:top w:val="single" w:color="5EC1A0" w:themeColor="accent6" w:sz="8" w:space="0"/>
        <w:left w:val="single" w:color="5EC1A0" w:themeColor="accent6" w:sz="8" w:space="0"/>
        <w:bottom w:val="single" w:color="5EC1A0" w:themeColor="accent6" w:sz="8" w:space="0"/>
        <w:right w:val="single" w:color="5EC1A0" w:themeColor="accent6" w:sz="8" w:space="0"/>
      </w:tblBorders>
    </w:tblPr>
    <w:tblStylePr w:type="firstRow">
      <w:rPr>
        <w:sz w:val="24"/>
        <w:szCs w:val="24"/>
      </w:rPr>
      <w:tblPr/>
      <w:tcPr>
        <w:tcBorders>
          <w:top w:val="nil"/>
          <w:left w:val="nil"/>
          <w:bottom w:val="single" w:color="5EC1A0" w:themeColor="accent6" w:sz="24" w:space="0"/>
          <w:right w:val="nil"/>
          <w:insideH w:val="nil"/>
          <w:insideV w:val="nil"/>
        </w:tcBorders>
        <w:shd w:val="clear" w:color="auto" w:fill="FFFFFF" w:themeFill="background1"/>
      </w:tcPr>
    </w:tblStylePr>
    <w:tblStylePr w:type="lastRow">
      <w:tblPr/>
      <w:tcPr>
        <w:tcBorders>
          <w:top w:val="single" w:color="5EC1A0"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EC1A0" w:themeColor="accent6" w:sz="8" w:space="0"/>
          <w:insideH w:val="nil"/>
          <w:insideV w:val="nil"/>
        </w:tcBorders>
        <w:shd w:val="clear" w:color="auto" w:fill="FFFFFF" w:themeFill="background1"/>
      </w:tcPr>
    </w:tblStylePr>
    <w:tblStylePr w:type="lastCol">
      <w:tblPr/>
      <w:tcPr>
        <w:tcBorders>
          <w:top w:val="nil"/>
          <w:left w:val="single" w:color="5EC1A0"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FE7" w:themeFill="accent6" w:themeFillTint="3F"/>
      </w:tcPr>
    </w:tblStylePr>
    <w:tblStylePr w:type="band1Horz">
      <w:tblPr/>
      <w:tcPr>
        <w:tcBorders>
          <w:top w:val="nil"/>
          <w:bottom w:val="nil"/>
          <w:insideH w:val="nil"/>
          <w:insideV w:val="nil"/>
        </w:tcBorders>
        <w:shd w:val="clear" w:color="auto" w:fill="D7EF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11DE3"/>
    <w:pPr>
      <w:spacing w:line="240" w:lineRule="auto"/>
    </w:pPr>
    <w:tblPr>
      <w:tblStyleRowBandSize w:val="1"/>
      <w:tblStyleColBandSize w:val="1"/>
      <w:tblBorders>
        <w:top w:val="single" w:color="636363" w:themeColor="text1" w:themeTint="BF" w:sz="8" w:space="0"/>
        <w:left w:val="single" w:color="636363" w:themeColor="text1" w:themeTint="BF" w:sz="8" w:space="0"/>
        <w:bottom w:val="single" w:color="636363" w:themeColor="text1" w:themeTint="BF" w:sz="8" w:space="0"/>
        <w:right w:val="single" w:color="636363" w:themeColor="text1" w:themeTint="BF" w:sz="8" w:space="0"/>
        <w:insideH w:val="single" w:color="636363" w:themeColor="text1" w:themeTint="BF" w:sz="8" w:space="0"/>
      </w:tblBorders>
    </w:tblPr>
    <w:tblStylePr w:type="firstRow">
      <w:pPr>
        <w:spacing w:before="0" w:after="0" w:line="240" w:lineRule="auto"/>
      </w:pPr>
      <w:rPr>
        <w:b/>
        <w:bCs/>
        <w:color w:val="FFFFFF" w:themeColor="background1"/>
      </w:rPr>
      <w:tblPr/>
      <w:tcPr>
        <w:tcBorders>
          <w:top w:val="single" w:color="636363" w:themeColor="text1" w:themeTint="BF" w:sz="8" w:space="0"/>
          <w:left w:val="single" w:color="636363" w:themeColor="text1" w:themeTint="BF" w:sz="8" w:space="0"/>
          <w:bottom w:val="single" w:color="636363" w:themeColor="text1" w:themeTint="BF" w:sz="8" w:space="0"/>
          <w:right w:val="single" w:color="636363" w:themeColor="text1" w:themeTint="BF" w:sz="8" w:space="0"/>
          <w:insideH w:val="nil"/>
          <w:insideV w:val="nil"/>
        </w:tcBorders>
        <w:shd w:val="clear" w:color="auto" w:fill="303030" w:themeFill="text1"/>
      </w:tcPr>
    </w:tblStylePr>
    <w:tblStylePr w:type="lastRow">
      <w:pPr>
        <w:spacing w:before="0" w:after="0" w:line="240" w:lineRule="auto"/>
      </w:pPr>
      <w:rPr>
        <w:b/>
        <w:bCs/>
      </w:rPr>
      <w:tblPr/>
      <w:tcPr>
        <w:tcBorders>
          <w:top w:val="double" w:color="636363" w:themeColor="text1" w:themeTint="BF" w:sz="6" w:space="0"/>
          <w:left w:val="single" w:color="636363" w:themeColor="text1" w:themeTint="BF" w:sz="8" w:space="0"/>
          <w:bottom w:val="single" w:color="636363" w:themeColor="text1" w:themeTint="BF" w:sz="8" w:space="0"/>
          <w:right w:val="single" w:color="636363"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911DE3"/>
    <w:pPr>
      <w:spacing w:line="240" w:lineRule="auto"/>
    </w:pPr>
    <w:tblPr>
      <w:tblStyleRowBandSize w:val="1"/>
      <w:tblStyleColBandSize w:val="1"/>
      <w:tblBorders>
        <w:top w:val="single" w:color="D2DFDE" w:themeColor="accent1" w:themeTint="BF" w:sz="8" w:space="0"/>
        <w:left w:val="single" w:color="D2DFDE" w:themeColor="accent1" w:themeTint="BF" w:sz="8" w:space="0"/>
        <w:bottom w:val="single" w:color="D2DFDE" w:themeColor="accent1" w:themeTint="BF" w:sz="8" w:space="0"/>
        <w:right w:val="single" w:color="D2DFDE" w:themeColor="accent1" w:themeTint="BF" w:sz="8" w:space="0"/>
        <w:insideH w:val="single" w:color="D2DFDE" w:themeColor="accent1" w:themeTint="BF" w:sz="8" w:space="0"/>
      </w:tblBorders>
    </w:tblPr>
    <w:tblStylePr w:type="firstRow">
      <w:pPr>
        <w:spacing w:before="0" w:after="0" w:line="240" w:lineRule="auto"/>
      </w:pPr>
      <w:rPr>
        <w:b/>
        <w:bCs/>
        <w:color w:val="FFFFFF" w:themeColor="background1"/>
      </w:rPr>
      <w:tblPr/>
      <w:tcPr>
        <w:tcBorders>
          <w:top w:val="single" w:color="D2DFDE" w:themeColor="accent1" w:themeTint="BF" w:sz="8" w:space="0"/>
          <w:left w:val="single" w:color="D2DFDE" w:themeColor="accent1" w:themeTint="BF" w:sz="8" w:space="0"/>
          <w:bottom w:val="single" w:color="D2DFDE" w:themeColor="accent1" w:themeTint="BF" w:sz="8" w:space="0"/>
          <w:right w:val="single" w:color="D2DFDE" w:themeColor="accent1" w:themeTint="BF" w:sz="8" w:space="0"/>
          <w:insideH w:val="nil"/>
          <w:insideV w:val="nil"/>
        </w:tcBorders>
        <w:shd w:val="clear" w:color="auto" w:fill="C4D5D3" w:themeFill="accent1"/>
      </w:tcPr>
    </w:tblStylePr>
    <w:tblStylePr w:type="lastRow">
      <w:pPr>
        <w:spacing w:before="0" w:after="0" w:line="240" w:lineRule="auto"/>
      </w:pPr>
      <w:rPr>
        <w:b/>
        <w:bCs/>
      </w:rPr>
      <w:tblPr/>
      <w:tcPr>
        <w:tcBorders>
          <w:top w:val="double" w:color="D2DFDE" w:themeColor="accent1" w:themeTint="BF" w:sz="6" w:space="0"/>
          <w:left w:val="single" w:color="D2DFDE" w:themeColor="accent1" w:themeTint="BF" w:sz="8" w:space="0"/>
          <w:bottom w:val="single" w:color="D2DFDE" w:themeColor="accent1" w:themeTint="BF" w:sz="8" w:space="0"/>
          <w:right w:val="single" w:color="D2DFDE"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0F4F4" w:themeFill="accent1" w:themeFillTint="3F"/>
      </w:tcPr>
    </w:tblStylePr>
    <w:tblStylePr w:type="band1Horz">
      <w:tblPr/>
      <w:tcPr>
        <w:tcBorders>
          <w:insideH w:val="nil"/>
          <w:insideV w:val="nil"/>
        </w:tcBorders>
        <w:shd w:val="clear" w:color="auto" w:fill="F0F4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911DE3"/>
    <w:pPr>
      <w:spacing w:line="240" w:lineRule="auto"/>
    </w:pPr>
    <w:tblPr>
      <w:tblStyleRowBandSize w:val="1"/>
      <w:tblStyleColBandSize w:val="1"/>
      <w:tblBorders>
        <w:top w:val="single" w:color="A4BEBC" w:themeColor="accent2" w:themeTint="BF" w:sz="8" w:space="0"/>
        <w:left w:val="single" w:color="A4BEBC" w:themeColor="accent2" w:themeTint="BF" w:sz="8" w:space="0"/>
        <w:bottom w:val="single" w:color="A4BEBC" w:themeColor="accent2" w:themeTint="BF" w:sz="8" w:space="0"/>
        <w:right w:val="single" w:color="A4BEBC" w:themeColor="accent2" w:themeTint="BF" w:sz="8" w:space="0"/>
        <w:insideH w:val="single" w:color="A4BEBC" w:themeColor="accent2" w:themeTint="BF" w:sz="8" w:space="0"/>
      </w:tblBorders>
    </w:tblPr>
    <w:tblStylePr w:type="firstRow">
      <w:pPr>
        <w:spacing w:before="0" w:after="0" w:line="240" w:lineRule="auto"/>
      </w:pPr>
      <w:rPr>
        <w:b/>
        <w:bCs/>
        <w:color w:val="FFFFFF" w:themeColor="background1"/>
      </w:rPr>
      <w:tblPr/>
      <w:tcPr>
        <w:tcBorders>
          <w:top w:val="single" w:color="A4BEBC" w:themeColor="accent2" w:themeTint="BF" w:sz="8" w:space="0"/>
          <w:left w:val="single" w:color="A4BEBC" w:themeColor="accent2" w:themeTint="BF" w:sz="8" w:space="0"/>
          <w:bottom w:val="single" w:color="A4BEBC" w:themeColor="accent2" w:themeTint="BF" w:sz="8" w:space="0"/>
          <w:right w:val="single" w:color="A4BEBC" w:themeColor="accent2" w:themeTint="BF" w:sz="8" w:space="0"/>
          <w:insideH w:val="nil"/>
          <w:insideV w:val="nil"/>
        </w:tcBorders>
        <w:shd w:val="clear" w:color="auto" w:fill="86A9A6" w:themeFill="accent2"/>
      </w:tcPr>
    </w:tblStylePr>
    <w:tblStylePr w:type="lastRow">
      <w:pPr>
        <w:spacing w:before="0" w:after="0" w:line="240" w:lineRule="auto"/>
      </w:pPr>
      <w:rPr>
        <w:b/>
        <w:bCs/>
      </w:rPr>
      <w:tblPr/>
      <w:tcPr>
        <w:tcBorders>
          <w:top w:val="double" w:color="A4BEBC" w:themeColor="accent2" w:themeTint="BF" w:sz="6" w:space="0"/>
          <w:left w:val="single" w:color="A4BEBC" w:themeColor="accent2" w:themeTint="BF" w:sz="8" w:space="0"/>
          <w:bottom w:val="single" w:color="A4BEBC" w:themeColor="accent2" w:themeTint="BF" w:sz="8" w:space="0"/>
          <w:right w:val="single" w:color="A4BEBC"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1E9E8" w:themeFill="accent2" w:themeFillTint="3F"/>
      </w:tcPr>
    </w:tblStylePr>
    <w:tblStylePr w:type="band1Horz">
      <w:tblPr/>
      <w:tcPr>
        <w:tcBorders>
          <w:insideH w:val="nil"/>
          <w:insideV w:val="nil"/>
        </w:tcBorders>
        <w:shd w:val="clear" w:color="auto" w:fill="E1E9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911DE3"/>
    <w:pPr>
      <w:spacing w:line="240" w:lineRule="auto"/>
    </w:pPr>
    <w:tblPr>
      <w:tblStyleRowBandSize w:val="1"/>
      <w:tblStyleColBandSize w:val="1"/>
      <w:tblBorders>
        <w:top w:val="single" w:color="83ACA9" w:themeColor="accent3" w:themeTint="BF" w:sz="8" w:space="0"/>
        <w:left w:val="single" w:color="83ACA9" w:themeColor="accent3" w:themeTint="BF" w:sz="8" w:space="0"/>
        <w:bottom w:val="single" w:color="83ACA9" w:themeColor="accent3" w:themeTint="BF" w:sz="8" w:space="0"/>
        <w:right w:val="single" w:color="83ACA9" w:themeColor="accent3" w:themeTint="BF" w:sz="8" w:space="0"/>
        <w:insideH w:val="single" w:color="83ACA9" w:themeColor="accent3" w:themeTint="BF" w:sz="8" w:space="0"/>
      </w:tblBorders>
    </w:tblPr>
    <w:tblStylePr w:type="firstRow">
      <w:pPr>
        <w:spacing w:before="0" w:after="0" w:line="240" w:lineRule="auto"/>
      </w:pPr>
      <w:rPr>
        <w:b/>
        <w:bCs/>
        <w:color w:val="FFFFFF" w:themeColor="background1"/>
      </w:rPr>
      <w:tblPr/>
      <w:tcPr>
        <w:tcBorders>
          <w:top w:val="single" w:color="83ACA9" w:themeColor="accent3" w:themeTint="BF" w:sz="8" w:space="0"/>
          <w:left w:val="single" w:color="83ACA9" w:themeColor="accent3" w:themeTint="BF" w:sz="8" w:space="0"/>
          <w:bottom w:val="single" w:color="83ACA9" w:themeColor="accent3" w:themeTint="BF" w:sz="8" w:space="0"/>
          <w:right w:val="single" w:color="83ACA9" w:themeColor="accent3" w:themeTint="BF" w:sz="8" w:space="0"/>
          <w:insideH w:val="nil"/>
          <w:insideV w:val="nil"/>
        </w:tcBorders>
        <w:shd w:val="clear" w:color="auto" w:fill="5E8D89" w:themeFill="accent3"/>
      </w:tcPr>
    </w:tblStylePr>
    <w:tblStylePr w:type="lastRow">
      <w:pPr>
        <w:spacing w:before="0" w:after="0" w:line="240" w:lineRule="auto"/>
      </w:pPr>
      <w:rPr>
        <w:b/>
        <w:bCs/>
      </w:rPr>
      <w:tblPr/>
      <w:tcPr>
        <w:tcBorders>
          <w:top w:val="double" w:color="83ACA9" w:themeColor="accent3" w:themeTint="BF" w:sz="6" w:space="0"/>
          <w:left w:val="single" w:color="83ACA9" w:themeColor="accent3" w:themeTint="BF" w:sz="8" w:space="0"/>
          <w:bottom w:val="single" w:color="83ACA9" w:themeColor="accent3" w:themeTint="BF" w:sz="8" w:space="0"/>
          <w:right w:val="single" w:color="83ACA9"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6E3E2" w:themeFill="accent3" w:themeFillTint="3F"/>
      </w:tcPr>
    </w:tblStylePr>
    <w:tblStylePr w:type="band1Horz">
      <w:tblPr/>
      <w:tcPr>
        <w:tcBorders>
          <w:insideH w:val="nil"/>
          <w:insideV w:val="nil"/>
        </w:tcBorders>
        <w:shd w:val="clear" w:color="auto" w:fill="D6E3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911DE3"/>
    <w:pPr>
      <w:spacing w:line="240" w:lineRule="auto"/>
    </w:pPr>
    <w:tblPr>
      <w:tblStyleRowBandSize w:val="1"/>
      <w:tblStyleColBandSize w:val="1"/>
      <w:tblBorders>
        <w:top w:val="single" w:color="52AAA2" w:themeColor="accent4" w:themeTint="BF" w:sz="8" w:space="0"/>
        <w:left w:val="single" w:color="52AAA2" w:themeColor="accent4" w:themeTint="BF" w:sz="8" w:space="0"/>
        <w:bottom w:val="single" w:color="52AAA2" w:themeColor="accent4" w:themeTint="BF" w:sz="8" w:space="0"/>
        <w:right w:val="single" w:color="52AAA2" w:themeColor="accent4" w:themeTint="BF" w:sz="8" w:space="0"/>
        <w:insideH w:val="single" w:color="52AAA2" w:themeColor="accent4" w:themeTint="BF" w:sz="8" w:space="0"/>
      </w:tblBorders>
    </w:tblPr>
    <w:tblStylePr w:type="firstRow">
      <w:pPr>
        <w:spacing w:before="0" w:after="0" w:line="240" w:lineRule="auto"/>
      </w:pPr>
      <w:rPr>
        <w:b/>
        <w:bCs/>
        <w:color w:val="FFFFFF" w:themeColor="background1"/>
      </w:rPr>
      <w:tblPr/>
      <w:tcPr>
        <w:tcBorders>
          <w:top w:val="single" w:color="52AAA2" w:themeColor="accent4" w:themeTint="BF" w:sz="8" w:space="0"/>
          <w:left w:val="single" w:color="52AAA2" w:themeColor="accent4" w:themeTint="BF" w:sz="8" w:space="0"/>
          <w:bottom w:val="single" w:color="52AAA2" w:themeColor="accent4" w:themeTint="BF" w:sz="8" w:space="0"/>
          <w:right w:val="single" w:color="52AAA2" w:themeColor="accent4" w:themeTint="BF" w:sz="8" w:space="0"/>
          <w:insideH w:val="nil"/>
          <w:insideV w:val="nil"/>
        </w:tcBorders>
        <w:shd w:val="clear" w:color="auto" w:fill="36706B" w:themeFill="accent4"/>
      </w:tcPr>
    </w:tblStylePr>
    <w:tblStylePr w:type="lastRow">
      <w:pPr>
        <w:spacing w:before="0" w:after="0" w:line="240" w:lineRule="auto"/>
      </w:pPr>
      <w:rPr>
        <w:b/>
        <w:bCs/>
      </w:rPr>
      <w:tblPr/>
      <w:tcPr>
        <w:tcBorders>
          <w:top w:val="double" w:color="52AAA2" w:themeColor="accent4" w:themeTint="BF" w:sz="6" w:space="0"/>
          <w:left w:val="single" w:color="52AAA2" w:themeColor="accent4" w:themeTint="BF" w:sz="8" w:space="0"/>
          <w:bottom w:val="single" w:color="52AAA2" w:themeColor="accent4" w:themeTint="BF" w:sz="8" w:space="0"/>
          <w:right w:val="single" w:color="52AAA2"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C5E3E0" w:themeFill="accent4" w:themeFillTint="3F"/>
      </w:tcPr>
    </w:tblStylePr>
    <w:tblStylePr w:type="band1Horz">
      <w:tblPr/>
      <w:tcPr>
        <w:tcBorders>
          <w:insideH w:val="nil"/>
          <w:insideV w:val="nil"/>
        </w:tcBorders>
        <w:shd w:val="clear" w:color="auto" w:fill="C5E3E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911DE3"/>
    <w:pPr>
      <w:spacing w:line="240" w:lineRule="auto"/>
    </w:pPr>
    <w:tblPr>
      <w:tblStyleRowBandSize w:val="1"/>
      <w:tblStyleColBandSize w:val="1"/>
      <w:tblBorders>
        <w:top w:val="single" w:color="499992" w:themeColor="accent5" w:themeTint="BF" w:sz="8" w:space="0"/>
        <w:left w:val="single" w:color="499992" w:themeColor="accent5" w:themeTint="BF" w:sz="8" w:space="0"/>
        <w:bottom w:val="single" w:color="499992" w:themeColor="accent5" w:themeTint="BF" w:sz="8" w:space="0"/>
        <w:right w:val="single" w:color="499992" w:themeColor="accent5" w:themeTint="BF" w:sz="8" w:space="0"/>
        <w:insideH w:val="single" w:color="499992" w:themeColor="accent5" w:themeTint="BF" w:sz="8" w:space="0"/>
      </w:tblBorders>
    </w:tblPr>
    <w:tblStylePr w:type="firstRow">
      <w:pPr>
        <w:spacing w:before="0" w:after="0" w:line="240" w:lineRule="auto"/>
      </w:pPr>
      <w:rPr>
        <w:b/>
        <w:bCs/>
        <w:color w:val="FFFFFF" w:themeColor="background1"/>
      </w:rPr>
      <w:tblPr/>
      <w:tcPr>
        <w:tcBorders>
          <w:top w:val="single" w:color="499992" w:themeColor="accent5" w:themeTint="BF" w:sz="8" w:space="0"/>
          <w:left w:val="single" w:color="499992" w:themeColor="accent5" w:themeTint="BF" w:sz="8" w:space="0"/>
          <w:bottom w:val="single" w:color="499992" w:themeColor="accent5" w:themeTint="BF" w:sz="8" w:space="0"/>
          <w:right w:val="single" w:color="499992" w:themeColor="accent5" w:themeTint="BF" w:sz="8" w:space="0"/>
          <w:insideH w:val="nil"/>
          <w:insideV w:val="nil"/>
        </w:tcBorders>
        <w:shd w:val="clear" w:color="auto" w:fill="2B5A56" w:themeFill="accent5"/>
      </w:tcPr>
    </w:tblStylePr>
    <w:tblStylePr w:type="lastRow">
      <w:pPr>
        <w:spacing w:before="0" w:after="0" w:line="240" w:lineRule="auto"/>
      </w:pPr>
      <w:rPr>
        <w:b/>
        <w:bCs/>
      </w:rPr>
      <w:tblPr/>
      <w:tcPr>
        <w:tcBorders>
          <w:top w:val="double" w:color="499992" w:themeColor="accent5" w:themeTint="BF" w:sz="6" w:space="0"/>
          <w:left w:val="single" w:color="499992" w:themeColor="accent5" w:themeTint="BF" w:sz="8" w:space="0"/>
          <w:bottom w:val="single" w:color="499992" w:themeColor="accent5" w:themeTint="BF" w:sz="8" w:space="0"/>
          <w:right w:val="single" w:color="49999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BFE0DD" w:themeFill="accent5" w:themeFillTint="3F"/>
      </w:tcPr>
    </w:tblStylePr>
    <w:tblStylePr w:type="band1Horz">
      <w:tblPr/>
      <w:tcPr>
        <w:tcBorders>
          <w:insideH w:val="nil"/>
          <w:insideV w:val="nil"/>
        </w:tcBorders>
        <w:shd w:val="clear" w:color="auto" w:fill="BFE0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911DE3"/>
    <w:pPr>
      <w:spacing w:line="240" w:lineRule="auto"/>
    </w:pPr>
    <w:tblPr>
      <w:tblStyleRowBandSize w:val="1"/>
      <w:tblStyleColBandSize w:val="1"/>
      <w:tblBorders>
        <w:top w:val="single" w:color="86D0B7" w:themeColor="accent6" w:themeTint="BF" w:sz="8" w:space="0"/>
        <w:left w:val="single" w:color="86D0B7" w:themeColor="accent6" w:themeTint="BF" w:sz="8" w:space="0"/>
        <w:bottom w:val="single" w:color="86D0B7" w:themeColor="accent6" w:themeTint="BF" w:sz="8" w:space="0"/>
        <w:right w:val="single" w:color="86D0B7" w:themeColor="accent6" w:themeTint="BF" w:sz="8" w:space="0"/>
        <w:insideH w:val="single" w:color="86D0B7" w:themeColor="accent6" w:themeTint="BF" w:sz="8" w:space="0"/>
      </w:tblBorders>
    </w:tblPr>
    <w:tblStylePr w:type="firstRow">
      <w:pPr>
        <w:spacing w:before="0" w:after="0" w:line="240" w:lineRule="auto"/>
      </w:pPr>
      <w:rPr>
        <w:b/>
        <w:bCs/>
        <w:color w:val="FFFFFF" w:themeColor="background1"/>
      </w:rPr>
      <w:tblPr/>
      <w:tcPr>
        <w:tcBorders>
          <w:top w:val="single" w:color="86D0B7" w:themeColor="accent6" w:themeTint="BF" w:sz="8" w:space="0"/>
          <w:left w:val="single" w:color="86D0B7" w:themeColor="accent6" w:themeTint="BF" w:sz="8" w:space="0"/>
          <w:bottom w:val="single" w:color="86D0B7" w:themeColor="accent6" w:themeTint="BF" w:sz="8" w:space="0"/>
          <w:right w:val="single" w:color="86D0B7" w:themeColor="accent6" w:themeTint="BF" w:sz="8" w:space="0"/>
          <w:insideH w:val="nil"/>
          <w:insideV w:val="nil"/>
        </w:tcBorders>
        <w:shd w:val="clear" w:color="auto" w:fill="5EC1A0" w:themeFill="accent6"/>
      </w:tcPr>
    </w:tblStylePr>
    <w:tblStylePr w:type="lastRow">
      <w:pPr>
        <w:spacing w:before="0" w:after="0" w:line="240" w:lineRule="auto"/>
      </w:pPr>
      <w:rPr>
        <w:b/>
        <w:bCs/>
      </w:rPr>
      <w:tblPr/>
      <w:tcPr>
        <w:tcBorders>
          <w:top w:val="double" w:color="86D0B7" w:themeColor="accent6" w:themeTint="BF" w:sz="6" w:space="0"/>
          <w:left w:val="single" w:color="86D0B7" w:themeColor="accent6" w:themeTint="BF" w:sz="8" w:space="0"/>
          <w:bottom w:val="single" w:color="86D0B7" w:themeColor="accent6" w:themeTint="BF" w:sz="8" w:space="0"/>
          <w:right w:val="single" w:color="86D0B7"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7EFE7" w:themeFill="accent6" w:themeFillTint="3F"/>
      </w:tcPr>
    </w:tblStylePr>
    <w:tblStylePr w:type="band1Horz">
      <w:tblPr/>
      <w:tcPr>
        <w:tcBorders>
          <w:insideH w:val="nil"/>
          <w:insideV w:val="nil"/>
        </w:tcBorders>
        <w:shd w:val="clear" w:color="auto" w:fill="D7EF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911DE3"/>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0303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03030" w:themeFill="text1"/>
      </w:tcPr>
    </w:tblStylePr>
    <w:tblStylePr w:type="lastCol">
      <w:rPr>
        <w:b/>
        <w:bCs/>
        <w:color w:val="FFFFFF" w:themeColor="background1"/>
      </w:rPr>
      <w:tblPr/>
      <w:tcPr>
        <w:tcBorders>
          <w:left w:val="nil"/>
          <w:right w:val="nil"/>
          <w:insideH w:val="nil"/>
          <w:insideV w:val="nil"/>
        </w:tcBorders>
        <w:shd w:val="clear" w:color="auto" w:fill="30303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99"/>
    <w:semiHidden/>
    <w:unhideWhenUsed/>
    <w:rsid w:val="00911DE3"/>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4D5D3"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4D5D3" w:themeFill="accent1"/>
      </w:tcPr>
    </w:tblStylePr>
    <w:tblStylePr w:type="lastCol">
      <w:rPr>
        <w:b/>
        <w:bCs/>
        <w:color w:val="FFFFFF" w:themeColor="background1"/>
      </w:rPr>
      <w:tblPr/>
      <w:tcPr>
        <w:tcBorders>
          <w:left w:val="nil"/>
          <w:right w:val="nil"/>
          <w:insideH w:val="nil"/>
          <w:insideV w:val="nil"/>
        </w:tcBorders>
        <w:shd w:val="clear" w:color="auto" w:fill="C4D5D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99"/>
    <w:semiHidden/>
    <w:unhideWhenUsed/>
    <w:rsid w:val="00911DE3"/>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6A9A6"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6A9A6" w:themeFill="accent2"/>
      </w:tcPr>
    </w:tblStylePr>
    <w:tblStylePr w:type="lastCol">
      <w:rPr>
        <w:b/>
        <w:bCs/>
        <w:color w:val="FFFFFF" w:themeColor="background1"/>
      </w:rPr>
      <w:tblPr/>
      <w:tcPr>
        <w:tcBorders>
          <w:left w:val="nil"/>
          <w:right w:val="nil"/>
          <w:insideH w:val="nil"/>
          <w:insideV w:val="nil"/>
        </w:tcBorders>
        <w:shd w:val="clear" w:color="auto" w:fill="86A9A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99"/>
    <w:semiHidden/>
    <w:unhideWhenUsed/>
    <w:rsid w:val="00911DE3"/>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E8D8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5E8D89" w:themeFill="accent3"/>
      </w:tcPr>
    </w:tblStylePr>
    <w:tblStylePr w:type="lastCol">
      <w:rPr>
        <w:b/>
        <w:bCs/>
        <w:color w:val="FFFFFF" w:themeColor="background1"/>
      </w:rPr>
      <w:tblPr/>
      <w:tcPr>
        <w:tcBorders>
          <w:left w:val="nil"/>
          <w:right w:val="nil"/>
          <w:insideH w:val="nil"/>
          <w:insideV w:val="nil"/>
        </w:tcBorders>
        <w:shd w:val="clear" w:color="auto" w:fill="5E8D8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99"/>
    <w:semiHidden/>
    <w:unhideWhenUsed/>
    <w:rsid w:val="00911DE3"/>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6706B"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6706B" w:themeFill="accent4"/>
      </w:tcPr>
    </w:tblStylePr>
    <w:tblStylePr w:type="lastCol">
      <w:rPr>
        <w:b/>
        <w:bCs/>
        <w:color w:val="FFFFFF" w:themeColor="background1"/>
      </w:rPr>
      <w:tblPr/>
      <w:tcPr>
        <w:tcBorders>
          <w:left w:val="nil"/>
          <w:right w:val="nil"/>
          <w:insideH w:val="nil"/>
          <w:insideV w:val="nil"/>
        </w:tcBorders>
        <w:shd w:val="clear" w:color="auto" w:fill="36706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99"/>
    <w:semiHidden/>
    <w:unhideWhenUsed/>
    <w:rsid w:val="00911DE3"/>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B5A5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B5A56" w:themeFill="accent5"/>
      </w:tcPr>
    </w:tblStylePr>
    <w:tblStylePr w:type="lastCol">
      <w:rPr>
        <w:b/>
        <w:bCs/>
        <w:color w:val="FFFFFF" w:themeColor="background1"/>
      </w:rPr>
      <w:tblPr/>
      <w:tcPr>
        <w:tcBorders>
          <w:left w:val="nil"/>
          <w:right w:val="nil"/>
          <w:insideH w:val="nil"/>
          <w:insideV w:val="nil"/>
        </w:tcBorders>
        <w:shd w:val="clear" w:color="auto" w:fill="2B5A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99"/>
    <w:semiHidden/>
    <w:unhideWhenUsed/>
    <w:rsid w:val="00911DE3"/>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EC1A0"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5EC1A0" w:themeFill="accent6"/>
      </w:tcPr>
    </w:tblStylePr>
    <w:tblStylePr w:type="lastCol">
      <w:rPr>
        <w:b/>
        <w:bCs/>
        <w:color w:val="FFFFFF" w:themeColor="background1"/>
      </w:rPr>
      <w:tblPr/>
      <w:tcPr>
        <w:tcBorders>
          <w:left w:val="nil"/>
          <w:right w:val="nil"/>
          <w:insideH w:val="nil"/>
          <w:insideV w:val="nil"/>
        </w:tcBorders>
        <w:shd w:val="clear" w:color="auto" w:fill="5EC1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Mention">
    <w:name w:val="Mention"/>
    <w:basedOn w:val="DefaultParagraphFont"/>
    <w:uiPriority w:val="99"/>
    <w:semiHidden/>
    <w:rsid w:val="00911DE3"/>
    <w:rPr>
      <w:color w:val="2B579A"/>
      <w:shd w:val="clear" w:color="auto" w:fill="E1DFDD"/>
      <w:lang w:val="en-GB"/>
    </w:rPr>
  </w:style>
  <w:style w:type="paragraph" w:styleId="MessageHeader">
    <w:name w:val="Message Header"/>
    <w:basedOn w:val="Normal"/>
    <w:link w:val="MessageHeaderChar"/>
    <w:uiPriority w:val="99"/>
    <w:semiHidden/>
    <w:rsid w:val="00911DE3"/>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cs="Arial" w:eastAsiaTheme="majorEastAsia"/>
      <w:sz w:val="24"/>
      <w:szCs w:val="24"/>
    </w:rPr>
  </w:style>
  <w:style w:type="character" w:styleId="MessageHeaderChar" w:customStyle="1">
    <w:name w:val="Message Header Char"/>
    <w:basedOn w:val="DefaultParagraphFont"/>
    <w:link w:val="MessageHeader"/>
    <w:uiPriority w:val="99"/>
    <w:semiHidden/>
    <w:rsid w:val="001261FA"/>
    <w:rPr>
      <w:rFonts w:cs="Arial" w:eastAsiaTheme="majorEastAsia"/>
      <w:sz w:val="24"/>
      <w:szCs w:val="24"/>
      <w:shd w:val="pct20" w:color="auto" w:fill="auto"/>
      <w:lang w:val="en-GB"/>
    </w:rPr>
  </w:style>
  <w:style w:type="paragraph" w:styleId="NoSpacing">
    <w:name w:val="No Spacing"/>
    <w:rsid w:val="00911DE3"/>
    <w:pPr>
      <w:spacing w:line="240" w:lineRule="auto"/>
    </w:pPr>
    <w:rPr>
      <w:lang w:val="en-GB"/>
    </w:rPr>
  </w:style>
  <w:style w:type="paragraph" w:styleId="NormalWeb">
    <w:name w:val="Normal (Web)"/>
    <w:basedOn w:val="Normal"/>
    <w:uiPriority w:val="99"/>
    <w:semiHidden/>
    <w:rsid w:val="00911DE3"/>
    <w:pPr>
      <w:spacing w:after="0"/>
    </w:pPr>
    <w:rPr>
      <w:rFonts w:cs="Arial"/>
      <w:sz w:val="24"/>
      <w:szCs w:val="24"/>
    </w:rPr>
  </w:style>
  <w:style w:type="paragraph" w:styleId="NormalIndent">
    <w:name w:val="Normal Indent"/>
    <w:basedOn w:val="Normal"/>
    <w:semiHidden/>
    <w:rsid w:val="00757937"/>
    <w:pPr>
      <w:spacing w:after="0"/>
      <w:ind w:left="284"/>
    </w:pPr>
  </w:style>
  <w:style w:type="paragraph" w:styleId="NoteHeading">
    <w:name w:val="Note Heading"/>
    <w:basedOn w:val="Normal"/>
    <w:next w:val="Normal"/>
    <w:link w:val="NoteHeadingChar"/>
    <w:uiPriority w:val="99"/>
    <w:semiHidden/>
    <w:rsid w:val="00911DE3"/>
    <w:pPr>
      <w:spacing w:after="0" w:line="240" w:lineRule="auto"/>
    </w:pPr>
  </w:style>
  <w:style w:type="character" w:styleId="NoteHeadingChar" w:customStyle="1">
    <w:name w:val="Note Heading Char"/>
    <w:basedOn w:val="DefaultParagraphFont"/>
    <w:link w:val="NoteHeading"/>
    <w:uiPriority w:val="99"/>
    <w:semiHidden/>
    <w:rsid w:val="001261FA"/>
    <w:rPr>
      <w:lang w:val="en-GB"/>
    </w:rPr>
  </w:style>
  <w:style w:type="character" w:styleId="PageNumber">
    <w:name w:val="page number"/>
    <w:basedOn w:val="DefaultParagraphFont"/>
    <w:uiPriority w:val="99"/>
    <w:semiHidden/>
    <w:rsid w:val="00911DE3"/>
    <w:rPr>
      <w:lang w:val="en-GB"/>
    </w:rPr>
  </w:style>
  <w:style w:type="character" w:styleId="PlaceholderText">
    <w:name w:val="Placeholder Text"/>
    <w:basedOn w:val="DefaultParagraphFont"/>
    <w:uiPriority w:val="99"/>
    <w:semiHidden/>
    <w:rsid w:val="00911DE3"/>
    <w:rPr>
      <w:color w:val="808080"/>
      <w:lang w:val="en-GB"/>
    </w:rPr>
  </w:style>
  <w:style w:type="table" w:styleId="PlainTable1">
    <w:name w:val="Plain Table 1"/>
    <w:basedOn w:val="TableNormal"/>
    <w:uiPriority w:val="99"/>
    <w:rsid w:val="00911DE3"/>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911DE3"/>
    <w:pPr>
      <w:spacing w:line="240" w:lineRule="auto"/>
    </w:pPr>
    <w:tblPr>
      <w:tblStyleRowBandSize w:val="1"/>
      <w:tblStyleColBandSize w:val="1"/>
      <w:tblBorders>
        <w:top w:val="single" w:color="979797" w:themeColor="text1" w:themeTint="80" w:sz="4" w:space="0"/>
        <w:bottom w:val="single" w:color="979797" w:themeColor="text1" w:themeTint="80" w:sz="4" w:space="0"/>
      </w:tblBorders>
    </w:tblPr>
    <w:tblStylePr w:type="firstRow">
      <w:rPr>
        <w:b/>
        <w:bCs/>
      </w:rPr>
      <w:tblPr/>
      <w:tcPr>
        <w:tcBorders>
          <w:bottom w:val="single" w:color="979797" w:themeColor="text1" w:themeTint="80" w:sz="4" w:space="0"/>
        </w:tcBorders>
      </w:tcPr>
    </w:tblStylePr>
    <w:tblStylePr w:type="lastRow">
      <w:rPr>
        <w:b/>
        <w:bCs/>
      </w:rPr>
      <w:tblPr/>
      <w:tcPr>
        <w:tcBorders>
          <w:top w:val="single" w:color="979797" w:themeColor="text1" w:themeTint="80" w:sz="4" w:space="0"/>
        </w:tcBorders>
      </w:tcPr>
    </w:tblStylePr>
    <w:tblStylePr w:type="firstCol">
      <w:rPr>
        <w:b/>
        <w:bCs/>
      </w:rPr>
    </w:tblStylePr>
    <w:tblStylePr w:type="lastCol">
      <w:rPr>
        <w:b/>
        <w:bCs/>
      </w:rPr>
    </w:tblStylePr>
    <w:tblStylePr w:type="band1Vert">
      <w:tblPr/>
      <w:tcPr>
        <w:tcBorders>
          <w:left w:val="single" w:color="979797" w:themeColor="text1" w:themeTint="80" w:sz="4" w:space="0"/>
          <w:right w:val="single" w:color="979797" w:themeColor="text1" w:themeTint="80" w:sz="4" w:space="0"/>
        </w:tcBorders>
      </w:tcPr>
    </w:tblStylePr>
    <w:tblStylePr w:type="band2Vert">
      <w:tblPr/>
      <w:tcPr>
        <w:tcBorders>
          <w:left w:val="single" w:color="979797" w:themeColor="text1" w:themeTint="80" w:sz="4" w:space="0"/>
          <w:right w:val="single" w:color="979797" w:themeColor="text1" w:themeTint="80" w:sz="4" w:space="0"/>
        </w:tcBorders>
      </w:tcPr>
    </w:tblStylePr>
    <w:tblStylePr w:type="band1Horz">
      <w:tblPr/>
      <w:tcPr>
        <w:tcBorders>
          <w:top w:val="single" w:color="979797" w:themeColor="text1" w:themeTint="80" w:sz="4" w:space="0"/>
          <w:bottom w:val="single" w:color="979797" w:themeColor="text1" w:themeTint="80" w:sz="4" w:space="0"/>
        </w:tcBorders>
      </w:tcPr>
    </w:tblStylePr>
  </w:style>
  <w:style w:type="table" w:styleId="PlainTable3">
    <w:name w:val="Plain Table 3"/>
    <w:basedOn w:val="TableNormal"/>
    <w:uiPriority w:val="99"/>
    <w:rsid w:val="00911DE3"/>
    <w:pPr>
      <w:spacing w:line="240" w:lineRule="auto"/>
    </w:pPr>
    <w:tblPr>
      <w:tblStyleRowBandSize w:val="1"/>
      <w:tblStyleColBandSize w:val="1"/>
    </w:tblPr>
    <w:tblStylePr w:type="firstRow">
      <w:rPr>
        <w:b/>
        <w:bCs/>
        <w:caps/>
      </w:rPr>
      <w:tblPr/>
      <w:tcPr>
        <w:tcBorders>
          <w:bottom w:val="single" w:color="979797"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79797"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11DE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911DE3"/>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979797"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79797"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79797"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79797"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11DE3"/>
    <w:pPr>
      <w:spacing w:after="0" w:line="240" w:lineRule="auto"/>
    </w:pPr>
    <w:rPr>
      <w:rFonts w:cs="Arial"/>
      <w:sz w:val="21"/>
      <w:szCs w:val="21"/>
    </w:rPr>
  </w:style>
  <w:style w:type="character" w:styleId="PlainTextChar" w:customStyle="1">
    <w:name w:val="Plain Text Char"/>
    <w:basedOn w:val="DefaultParagraphFont"/>
    <w:link w:val="PlainText"/>
    <w:uiPriority w:val="99"/>
    <w:semiHidden/>
    <w:rsid w:val="001261FA"/>
    <w:rPr>
      <w:rFonts w:cs="Arial"/>
      <w:sz w:val="21"/>
      <w:szCs w:val="21"/>
      <w:lang w:val="en-GB"/>
    </w:rPr>
  </w:style>
  <w:style w:type="paragraph" w:styleId="Quote">
    <w:name w:val="Quote"/>
    <w:basedOn w:val="Normal"/>
    <w:next w:val="Normal"/>
    <w:link w:val="QuoteChar"/>
    <w:uiPriority w:val="12"/>
    <w:rsid w:val="00115880"/>
    <w:pPr>
      <w:spacing w:before="120" w:after="0" w:line="380" w:lineRule="atLeast"/>
    </w:pPr>
    <w:rPr>
      <w:rFonts w:ascii="Palatino Linotype" w:hAnsi="Palatino Linotype" w:cs="Segoe UI"/>
      <w:b/>
      <w:iCs/>
      <w:color w:val="5EC1A0" w:themeColor="accent6"/>
      <w:sz w:val="30"/>
    </w:rPr>
  </w:style>
  <w:style w:type="character" w:styleId="QuoteChar" w:customStyle="1">
    <w:name w:val="Quote Char"/>
    <w:basedOn w:val="DefaultParagraphFont"/>
    <w:link w:val="Quote"/>
    <w:uiPriority w:val="12"/>
    <w:rsid w:val="00115880"/>
    <w:rPr>
      <w:rFonts w:ascii="Palatino Linotype" w:hAnsi="Palatino Linotype" w:cs="Segoe UI"/>
      <w:b/>
      <w:iCs/>
      <w:color w:val="5EC1A0" w:themeColor="accent6"/>
      <w:sz w:val="30"/>
      <w:lang w:val="en-GB"/>
    </w:rPr>
  </w:style>
  <w:style w:type="paragraph" w:styleId="Salutation">
    <w:name w:val="Salutation"/>
    <w:basedOn w:val="Normal"/>
    <w:next w:val="Normal"/>
    <w:link w:val="SalutationChar"/>
    <w:uiPriority w:val="99"/>
    <w:semiHidden/>
    <w:rsid w:val="00911DE3"/>
    <w:pPr>
      <w:spacing w:after="0"/>
    </w:pPr>
  </w:style>
  <w:style w:type="character" w:styleId="SalutationChar" w:customStyle="1">
    <w:name w:val="Salutation Char"/>
    <w:basedOn w:val="DefaultParagraphFont"/>
    <w:link w:val="Salutation"/>
    <w:uiPriority w:val="99"/>
    <w:semiHidden/>
    <w:rsid w:val="001261FA"/>
    <w:rPr>
      <w:lang w:val="en-GB"/>
    </w:rPr>
  </w:style>
  <w:style w:type="paragraph" w:styleId="Signature">
    <w:name w:val="Signature"/>
    <w:basedOn w:val="Normal"/>
    <w:link w:val="SignatureChar"/>
    <w:uiPriority w:val="99"/>
    <w:semiHidden/>
    <w:rsid w:val="00911DE3"/>
    <w:pPr>
      <w:spacing w:after="0" w:line="240" w:lineRule="auto"/>
      <w:ind w:left="4252"/>
    </w:pPr>
  </w:style>
  <w:style w:type="character" w:styleId="SignatureChar" w:customStyle="1">
    <w:name w:val="Signature Char"/>
    <w:basedOn w:val="DefaultParagraphFont"/>
    <w:link w:val="Signature"/>
    <w:uiPriority w:val="99"/>
    <w:semiHidden/>
    <w:rsid w:val="001261FA"/>
    <w:rPr>
      <w:lang w:val="en-GB"/>
    </w:rPr>
  </w:style>
  <w:style w:type="character" w:styleId="SmartHyperlink">
    <w:name w:val="Smart Hyperlink"/>
    <w:basedOn w:val="DefaultParagraphFont"/>
    <w:uiPriority w:val="99"/>
    <w:semiHidden/>
    <w:rsid w:val="00911DE3"/>
    <w:rPr>
      <w:u w:val="dotted"/>
      <w:lang w:val="en-GB"/>
    </w:rPr>
  </w:style>
  <w:style w:type="character" w:styleId="SmartLink">
    <w:name w:val="Smart Link"/>
    <w:basedOn w:val="DefaultParagraphFont"/>
    <w:uiPriority w:val="99"/>
    <w:semiHidden/>
    <w:rsid w:val="00911DE3"/>
    <w:rPr>
      <w:color w:val="0000FF"/>
      <w:u w:val="single"/>
      <w:shd w:val="clear" w:color="auto" w:fill="F3F2F1"/>
      <w:lang w:val="en-GB"/>
    </w:rPr>
  </w:style>
  <w:style w:type="character" w:styleId="Strong">
    <w:name w:val="Strong"/>
    <w:basedOn w:val="DefaultParagraphFont"/>
    <w:uiPriority w:val="8"/>
    <w:semiHidden/>
    <w:qFormat/>
    <w:rsid w:val="001C49EE"/>
    <w:rPr>
      <w:b/>
      <w:bCs/>
      <w:lang w:val="en-GB"/>
    </w:rPr>
  </w:style>
  <w:style w:type="paragraph" w:styleId="Subtitle">
    <w:name w:val="Subtitle"/>
    <w:basedOn w:val="Normal"/>
    <w:next w:val="Normal"/>
    <w:link w:val="SubtitleChar"/>
    <w:uiPriority w:val="99"/>
    <w:semiHidden/>
    <w:qFormat/>
    <w:rsid w:val="00901321"/>
    <w:pPr>
      <w:numPr>
        <w:ilvl w:val="1"/>
      </w:numPr>
      <w:spacing w:after="160"/>
    </w:pPr>
    <w:rPr>
      <w:rFonts w:cs="Arial" w:eastAsiaTheme="minorEastAsia"/>
      <w:color w:val="797979" w:themeColor="text1" w:themeTint="A5"/>
      <w:spacing w:val="15"/>
      <w:sz w:val="22"/>
      <w:szCs w:val="22"/>
    </w:rPr>
  </w:style>
  <w:style w:type="character" w:styleId="SubtitleChar" w:customStyle="1">
    <w:name w:val="Subtitle Char"/>
    <w:basedOn w:val="DefaultParagraphFont"/>
    <w:link w:val="Subtitle"/>
    <w:uiPriority w:val="99"/>
    <w:semiHidden/>
    <w:rsid w:val="00901321"/>
    <w:rPr>
      <w:rFonts w:cs="Arial" w:eastAsiaTheme="minorEastAsia"/>
      <w:color w:val="797979" w:themeColor="text1" w:themeTint="A5"/>
      <w:spacing w:val="15"/>
      <w:sz w:val="22"/>
      <w:szCs w:val="22"/>
      <w:lang w:val="en-GB"/>
    </w:rPr>
  </w:style>
  <w:style w:type="character" w:styleId="SubtleEmphasis">
    <w:name w:val="Subtle Emphasis"/>
    <w:basedOn w:val="DefaultParagraphFont"/>
    <w:uiPriority w:val="99"/>
    <w:semiHidden/>
    <w:qFormat/>
    <w:rsid w:val="00901321"/>
    <w:rPr>
      <w:i/>
      <w:iCs/>
      <w:color w:val="636363" w:themeColor="text1" w:themeTint="BF"/>
      <w:lang w:val="en-GB"/>
    </w:rPr>
  </w:style>
  <w:style w:type="character" w:styleId="SubtleReference">
    <w:name w:val="Subtle Reference"/>
    <w:basedOn w:val="DefaultParagraphFont"/>
    <w:uiPriority w:val="99"/>
    <w:semiHidden/>
    <w:qFormat/>
    <w:rsid w:val="00901321"/>
    <w:rPr>
      <w:smallCaps/>
      <w:color w:val="797979" w:themeColor="text1" w:themeTint="A5"/>
      <w:lang w:val="en-GB"/>
    </w:rPr>
  </w:style>
  <w:style w:type="table" w:styleId="Table3Deffects1">
    <w:name w:val="Table 3D effects 1"/>
    <w:basedOn w:val="TableNormal"/>
    <w:uiPriority w:val="99"/>
    <w:semiHidden/>
    <w:unhideWhenUsed/>
    <w:rsid w:val="00911DE3"/>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911DE3"/>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911DE3"/>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911DE3"/>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911DE3"/>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911DE3"/>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911DE3"/>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urful1">
    <w:name w:val="Table Colorful 1"/>
    <w:basedOn w:val="TableNormal"/>
    <w:uiPriority w:val="99"/>
    <w:semiHidden/>
    <w:unhideWhenUsed/>
    <w:rsid w:val="00911DE3"/>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urful2">
    <w:name w:val="Table Colorful 2"/>
    <w:basedOn w:val="TableNormal"/>
    <w:uiPriority w:val="99"/>
    <w:semiHidden/>
    <w:unhideWhenUsed/>
    <w:rsid w:val="00911DE3"/>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urful3">
    <w:name w:val="Table Colorful 3"/>
    <w:basedOn w:val="TableNormal"/>
    <w:uiPriority w:val="99"/>
    <w:semiHidden/>
    <w:unhideWhenUsed/>
    <w:rsid w:val="00911DE3"/>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911DE3"/>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911DE3"/>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911DE3"/>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911DE3"/>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11DE3"/>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11DE3"/>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911DE3"/>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39"/>
    <w:rsid w:val="00911DE3"/>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uiPriority w:val="99"/>
    <w:semiHidden/>
    <w:unhideWhenUsed/>
    <w:rsid w:val="00911DE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911DE3"/>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911DE3"/>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911DE3"/>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911DE3"/>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911DE3"/>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911DE3"/>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911DE3"/>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99"/>
    <w:rsid w:val="00911DE3"/>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911DE3"/>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911DE3"/>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911DE3"/>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911DE3"/>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911DE3"/>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911DE3"/>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911DE3"/>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911DE3"/>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rsid w:val="00911DE3"/>
    <w:pPr>
      <w:spacing w:after="0"/>
      <w:ind w:left="200" w:hanging="200"/>
    </w:pPr>
  </w:style>
  <w:style w:type="paragraph" w:styleId="TableofFigures">
    <w:name w:val="table of figures"/>
    <w:basedOn w:val="Normal"/>
    <w:next w:val="Normal"/>
    <w:uiPriority w:val="99"/>
    <w:rsid w:val="004E57D2"/>
    <w:pPr>
      <w:tabs>
        <w:tab w:val="right" w:leader="dot" w:pos="9622"/>
      </w:tabs>
      <w:spacing w:after="0"/>
      <w:ind w:right="567"/>
    </w:pPr>
  </w:style>
  <w:style w:type="table" w:styleId="TableProfessional">
    <w:name w:val="Table Professional"/>
    <w:basedOn w:val="TableNormal"/>
    <w:uiPriority w:val="99"/>
    <w:semiHidden/>
    <w:unhideWhenUsed/>
    <w:rsid w:val="00911DE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911DE3"/>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911DE3"/>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911DE3"/>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911DE3"/>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911DE3"/>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911DE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911DE3"/>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911DE3"/>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911DE3"/>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next w:val="Normal"/>
    <w:link w:val="TitleChar"/>
    <w:uiPriority w:val="99"/>
    <w:semiHidden/>
    <w:qFormat/>
    <w:rsid w:val="00901321"/>
    <w:pPr>
      <w:spacing w:after="0" w:line="240" w:lineRule="auto"/>
      <w:contextualSpacing/>
    </w:pPr>
    <w:rPr>
      <w:rFonts w:cs="Arial" w:eastAsiaTheme="majorEastAsia"/>
      <w:spacing w:val="-10"/>
      <w:kern w:val="28"/>
      <w:sz w:val="56"/>
      <w:szCs w:val="56"/>
    </w:rPr>
  </w:style>
  <w:style w:type="character" w:styleId="TitleChar" w:customStyle="1">
    <w:name w:val="Title Char"/>
    <w:basedOn w:val="DefaultParagraphFont"/>
    <w:link w:val="Title"/>
    <w:uiPriority w:val="99"/>
    <w:semiHidden/>
    <w:rsid w:val="00901321"/>
    <w:rPr>
      <w:rFonts w:cs="Arial" w:eastAsiaTheme="majorEastAsia"/>
      <w:spacing w:val="-10"/>
      <w:kern w:val="28"/>
      <w:sz w:val="56"/>
      <w:szCs w:val="56"/>
      <w:lang w:val="en-GB"/>
    </w:rPr>
  </w:style>
  <w:style w:type="paragraph" w:styleId="TOAHeading">
    <w:name w:val="toa heading"/>
    <w:basedOn w:val="Normal"/>
    <w:next w:val="Normal"/>
    <w:uiPriority w:val="39"/>
    <w:semiHidden/>
    <w:rsid w:val="00911DE3"/>
    <w:pPr>
      <w:spacing w:before="120" w:after="0"/>
    </w:pPr>
    <w:rPr>
      <w:rFonts w:cs="Arial" w:eastAsiaTheme="majorEastAsia"/>
      <w:b/>
      <w:bCs/>
      <w:sz w:val="24"/>
      <w:szCs w:val="24"/>
    </w:rPr>
  </w:style>
  <w:style w:type="paragraph" w:styleId="TOC1">
    <w:name w:val="toc 1"/>
    <w:basedOn w:val="Normal"/>
    <w:next w:val="Normal"/>
    <w:uiPriority w:val="39"/>
    <w:rsid w:val="00D46D70"/>
    <w:pPr>
      <w:tabs>
        <w:tab w:val="right" w:leader="dot" w:pos="9622"/>
      </w:tabs>
      <w:spacing w:before="200" w:after="40"/>
      <w:ind w:left="765" w:right="567" w:hanging="765"/>
    </w:pPr>
    <w:rPr>
      <w:b/>
    </w:rPr>
  </w:style>
  <w:style w:type="paragraph" w:styleId="TOC2">
    <w:name w:val="toc 2"/>
    <w:basedOn w:val="Normal"/>
    <w:next w:val="Normal"/>
    <w:uiPriority w:val="39"/>
    <w:rsid w:val="00D46D70"/>
    <w:pPr>
      <w:tabs>
        <w:tab w:val="right" w:leader="dot" w:pos="9622"/>
      </w:tabs>
      <w:spacing w:after="40"/>
      <w:ind w:left="935" w:right="567" w:hanging="765"/>
    </w:pPr>
  </w:style>
  <w:style w:type="paragraph" w:styleId="TOC3">
    <w:name w:val="toc 3"/>
    <w:basedOn w:val="Normal"/>
    <w:next w:val="Normal"/>
    <w:uiPriority w:val="39"/>
    <w:rsid w:val="00D46D70"/>
    <w:pPr>
      <w:tabs>
        <w:tab w:val="right" w:leader="dot" w:pos="9622"/>
      </w:tabs>
      <w:spacing w:after="40"/>
      <w:ind w:left="1077" w:right="567" w:hanging="765"/>
    </w:pPr>
  </w:style>
  <w:style w:type="paragraph" w:styleId="TOC4">
    <w:name w:val="toc 4"/>
    <w:basedOn w:val="Normal"/>
    <w:next w:val="Normal"/>
    <w:uiPriority w:val="39"/>
    <w:rsid w:val="00D46D70"/>
    <w:pPr>
      <w:tabs>
        <w:tab w:val="right" w:leader="dot" w:pos="9622"/>
      </w:tabs>
      <w:spacing w:after="40"/>
      <w:ind w:left="1219" w:right="567" w:hanging="765"/>
    </w:pPr>
  </w:style>
  <w:style w:type="paragraph" w:styleId="TOC5">
    <w:name w:val="toc 5"/>
    <w:basedOn w:val="Normal"/>
    <w:next w:val="Normal"/>
    <w:uiPriority w:val="39"/>
    <w:semiHidden/>
    <w:rsid w:val="00D46D70"/>
    <w:pPr>
      <w:tabs>
        <w:tab w:val="right" w:leader="dot" w:pos="9622"/>
      </w:tabs>
      <w:spacing w:after="40"/>
      <w:ind w:left="1219" w:right="567" w:hanging="765"/>
    </w:pPr>
  </w:style>
  <w:style w:type="paragraph" w:styleId="TOC6">
    <w:name w:val="toc 6"/>
    <w:basedOn w:val="Normal"/>
    <w:next w:val="Normal"/>
    <w:uiPriority w:val="39"/>
    <w:semiHidden/>
    <w:rsid w:val="00D46D70"/>
    <w:pPr>
      <w:tabs>
        <w:tab w:val="right" w:leader="dot" w:pos="9622"/>
      </w:tabs>
      <w:spacing w:after="40"/>
      <w:ind w:left="1219" w:right="567" w:hanging="765"/>
    </w:pPr>
  </w:style>
  <w:style w:type="paragraph" w:styleId="TOC7">
    <w:name w:val="toc 7"/>
    <w:basedOn w:val="Normal"/>
    <w:next w:val="Normal"/>
    <w:uiPriority w:val="39"/>
    <w:semiHidden/>
    <w:rsid w:val="00D46D70"/>
    <w:pPr>
      <w:tabs>
        <w:tab w:val="right" w:leader="dot" w:pos="9622"/>
      </w:tabs>
      <w:spacing w:after="40"/>
      <w:ind w:left="1219" w:right="567" w:hanging="765"/>
    </w:pPr>
  </w:style>
  <w:style w:type="paragraph" w:styleId="TOC8">
    <w:name w:val="toc 8"/>
    <w:basedOn w:val="Normal"/>
    <w:next w:val="Normal"/>
    <w:uiPriority w:val="39"/>
    <w:semiHidden/>
    <w:rsid w:val="00D46D70"/>
    <w:pPr>
      <w:tabs>
        <w:tab w:val="right" w:leader="dot" w:pos="9622"/>
      </w:tabs>
      <w:spacing w:after="40"/>
      <w:ind w:left="1219" w:right="567" w:hanging="765"/>
    </w:pPr>
  </w:style>
  <w:style w:type="paragraph" w:styleId="TOC9">
    <w:name w:val="toc 9"/>
    <w:basedOn w:val="Normal"/>
    <w:next w:val="Normal"/>
    <w:uiPriority w:val="39"/>
    <w:rsid w:val="00D46D70"/>
    <w:pPr>
      <w:tabs>
        <w:tab w:val="right" w:leader="dot" w:pos="9622"/>
      </w:tabs>
      <w:spacing w:before="160" w:after="40"/>
      <w:ind w:right="567"/>
    </w:pPr>
    <w:rPr>
      <w:b/>
    </w:rPr>
  </w:style>
  <w:style w:type="paragraph" w:styleId="TOCHeading">
    <w:name w:val="TOC Heading"/>
    <w:basedOn w:val="Heading1"/>
    <w:next w:val="Normal"/>
    <w:link w:val="TOCHeadingChar"/>
    <w:uiPriority w:val="39"/>
    <w:rsid w:val="005B00EA"/>
    <w:pPr>
      <w:pageBreakBefore/>
      <w:numPr>
        <w:numId w:val="0"/>
      </w:numPr>
      <w:spacing w:after="1600" w:line="880" w:lineRule="exact"/>
      <w:outlineLvl w:val="9"/>
    </w:pPr>
    <w:rPr>
      <w:rFonts w:ascii="Segoe UI Light" w:hAnsi="Segoe UI Light" w:cs="Segoe UI"/>
      <w:b w:val="0"/>
      <w:sz w:val="80"/>
    </w:rPr>
  </w:style>
  <w:style w:type="character" w:styleId="UnresolvedMention">
    <w:name w:val="Unresolved Mention"/>
    <w:basedOn w:val="DefaultParagraphFont"/>
    <w:uiPriority w:val="99"/>
    <w:semiHidden/>
    <w:rsid w:val="00911DE3"/>
    <w:rPr>
      <w:color w:val="605E5C"/>
      <w:shd w:val="clear" w:color="auto" w:fill="E1DFDD"/>
      <w:lang w:val="en-GB"/>
    </w:rPr>
  </w:style>
  <w:style w:type="paragraph" w:styleId="Template" w:customStyle="1">
    <w:name w:val="Template"/>
    <w:uiPriority w:val="15"/>
    <w:semiHidden/>
    <w:rsid w:val="00846626"/>
    <w:pPr>
      <w:suppressAutoHyphens/>
    </w:pPr>
    <w:rPr>
      <w:noProof/>
      <w:sz w:val="16"/>
      <w:lang w:val="en-GB"/>
    </w:rPr>
  </w:style>
  <w:style w:type="paragraph" w:styleId="Table" w:customStyle="1">
    <w:name w:val="Table"/>
    <w:uiPriority w:val="4"/>
    <w:semiHidden/>
    <w:rsid w:val="001C49EE"/>
    <w:pPr>
      <w:spacing w:before="40" w:after="40"/>
      <w:ind w:left="113" w:right="113"/>
    </w:pPr>
    <w:rPr>
      <w:lang w:val="en-GB"/>
    </w:rPr>
  </w:style>
  <w:style w:type="paragraph" w:styleId="Table-Heading" w:customStyle="1">
    <w:name w:val="Table - Heading"/>
    <w:basedOn w:val="Table"/>
    <w:uiPriority w:val="4"/>
    <w:rsid w:val="001C49EE"/>
    <w:pPr>
      <w:keepNext/>
      <w:keepLines/>
    </w:pPr>
    <w:rPr>
      <w:b/>
    </w:rPr>
  </w:style>
  <w:style w:type="paragraph" w:styleId="Table-HeadingRight" w:customStyle="1">
    <w:name w:val="Table - Heading Right"/>
    <w:basedOn w:val="Table-Heading"/>
    <w:uiPriority w:val="4"/>
    <w:rsid w:val="001C49EE"/>
    <w:pPr>
      <w:jc w:val="right"/>
    </w:pPr>
  </w:style>
  <w:style w:type="paragraph" w:styleId="Table-Text" w:customStyle="1">
    <w:name w:val="Table - Text"/>
    <w:basedOn w:val="Table"/>
    <w:uiPriority w:val="4"/>
    <w:rsid w:val="001C49EE"/>
  </w:style>
  <w:style w:type="paragraph" w:styleId="Table-TextTotal" w:customStyle="1">
    <w:name w:val="Table - Text Total"/>
    <w:basedOn w:val="Table-Text"/>
    <w:uiPriority w:val="4"/>
    <w:rsid w:val="001C49EE"/>
    <w:rPr>
      <w:b/>
    </w:rPr>
  </w:style>
  <w:style w:type="paragraph" w:styleId="Table-Number" w:customStyle="1">
    <w:name w:val="Table - Number"/>
    <w:basedOn w:val="Table"/>
    <w:uiPriority w:val="4"/>
    <w:rsid w:val="001C49EE"/>
    <w:pPr>
      <w:jc w:val="right"/>
    </w:pPr>
  </w:style>
  <w:style w:type="paragraph" w:styleId="Table-NumberTotal" w:customStyle="1">
    <w:name w:val="Table - Number Total"/>
    <w:basedOn w:val="Table-Number"/>
    <w:uiPriority w:val="4"/>
    <w:rsid w:val="001C49EE"/>
    <w:rPr>
      <w:b/>
    </w:rPr>
  </w:style>
  <w:style w:type="paragraph" w:styleId="Template-CompanyName" w:customStyle="1">
    <w:name w:val="Template - Company Name"/>
    <w:basedOn w:val="Template"/>
    <w:next w:val="Template-Address"/>
    <w:uiPriority w:val="15"/>
    <w:semiHidden/>
    <w:rsid w:val="00B96627"/>
    <w:rPr>
      <w:b/>
    </w:rPr>
  </w:style>
  <w:style w:type="paragraph" w:styleId="Template-Address" w:customStyle="1">
    <w:name w:val="Template - Address"/>
    <w:basedOn w:val="Template"/>
    <w:uiPriority w:val="15"/>
    <w:semiHidden/>
    <w:rsid w:val="00936947"/>
    <w:pPr>
      <w:tabs>
        <w:tab w:val="left" w:pos="567"/>
      </w:tabs>
    </w:pPr>
  </w:style>
  <w:style w:type="paragraph" w:styleId="Template-Date" w:customStyle="1">
    <w:name w:val="Template - Date"/>
    <w:basedOn w:val="Template"/>
    <w:uiPriority w:val="15"/>
    <w:semiHidden/>
    <w:rsid w:val="00EB289A"/>
  </w:style>
  <w:style w:type="paragraph" w:styleId="Image" w:customStyle="1">
    <w:name w:val="Image"/>
    <w:basedOn w:val="Normal"/>
    <w:uiPriority w:val="11"/>
    <w:semiHidden/>
    <w:qFormat/>
    <w:rsid w:val="00901321"/>
    <w:pPr>
      <w:keepNext/>
      <w:keepLines/>
      <w:spacing w:after="0"/>
    </w:pPr>
    <w:rPr>
      <w:rFonts w:cs="Segoe UI Light"/>
    </w:rPr>
  </w:style>
  <w:style w:type="paragraph" w:styleId="Cover-Title" w:customStyle="1">
    <w:name w:val="Cover - Title"/>
    <w:basedOn w:val="Normal"/>
    <w:link w:val="Cover-TitleChar"/>
    <w:uiPriority w:val="10"/>
    <w:rsid w:val="006B3D8A"/>
    <w:pPr>
      <w:suppressAutoHyphens/>
      <w:spacing w:after="260" w:line="880" w:lineRule="exact"/>
      <w:contextualSpacing/>
      <w:jc w:val="right"/>
    </w:pPr>
    <w:rPr>
      <w:rFonts w:ascii="Segoe UI Light" w:hAnsi="Segoe UI Light" w:cs="Segoe UI"/>
      <w:sz w:val="80"/>
    </w:rPr>
  </w:style>
  <w:style w:type="paragraph" w:styleId="Cover-Subtitle" w:customStyle="1">
    <w:name w:val="Cover - Subtitle"/>
    <w:basedOn w:val="Normal"/>
    <w:link w:val="Cover-SubtitleChar"/>
    <w:uiPriority w:val="10"/>
    <w:rsid w:val="00CB13A6"/>
    <w:pPr>
      <w:suppressAutoHyphens/>
      <w:spacing w:after="0" w:line="480" w:lineRule="atLeast"/>
      <w:jc w:val="right"/>
    </w:pPr>
    <w:rPr>
      <w:b/>
      <w:bCs/>
      <w:sz w:val="40"/>
      <w:szCs w:val="40"/>
    </w:rPr>
  </w:style>
  <w:style w:type="paragraph" w:styleId="Table-ListBullet" w:customStyle="1">
    <w:name w:val="Table - List Bullet"/>
    <w:basedOn w:val="Table"/>
    <w:uiPriority w:val="4"/>
    <w:rsid w:val="001C49EE"/>
    <w:pPr>
      <w:tabs>
        <w:tab w:val="num" w:pos="720"/>
      </w:tabs>
      <w:ind w:left="284" w:hanging="171"/>
    </w:pPr>
  </w:style>
  <w:style w:type="numbering" w:styleId="ListStyle-ListBullet" w:customStyle="1">
    <w:name w:val="_List Style - List Bullet"/>
    <w:uiPriority w:val="99"/>
    <w:rsid w:val="00B76738"/>
    <w:pPr>
      <w:numPr>
        <w:numId w:val="5"/>
      </w:numPr>
    </w:pPr>
  </w:style>
  <w:style w:type="numbering" w:styleId="ListStyle-ListNumber" w:customStyle="1">
    <w:name w:val="_List Style - List Number"/>
    <w:uiPriority w:val="99"/>
    <w:rsid w:val="00B76738"/>
    <w:pPr>
      <w:numPr>
        <w:numId w:val="15"/>
      </w:numPr>
    </w:pPr>
  </w:style>
  <w:style w:type="numbering" w:styleId="ListStyle-TableListBullet" w:customStyle="1">
    <w:name w:val="_List Style - Table List Bullet"/>
    <w:uiPriority w:val="99"/>
    <w:rsid w:val="0033224A"/>
    <w:pPr>
      <w:numPr>
        <w:numId w:val="14"/>
      </w:numPr>
    </w:pPr>
  </w:style>
  <w:style w:type="paragraph" w:styleId="Table-ListNumber" w:customStyle="1">
    <w:name w:val="Table - List Number"/>
    <w:basedOn w:val="Table"/>
    <w:uiPriority w:val="4"/>
    <w:rsid w:val="00B76738"/>
    <w:pPr>
      <w:tabs>
        <w:tab w:val="num" w:pos="720"/>
      </w:tabs>
      <w:ind w:left="340" w:hanging="227"/>
    </w:pPr>
  </w:style>
  <w:style w:type="numbering" w:styleId="ListStyle-TableListNumber" w:customStyle="1">
    <w:name w:val="_List Style - Table List Number"/>
    <w:uiPriority w:val="99"/>
    <w:rsid w:val="00B76738"/>
    <w:pPr>
      <w:numPr>
        <w:numId w:val="8"/>
      </w:numPr>
    </w:pPr>
  </w:style>
  <w:style w:type="table" w:styleId="Blank" w:customStyle="1">
    <w:name w:val="Blank"/>
    <w:basedOn w:val="TableNormal"/>
    <w:uiPriority w:val="99"/>
    <w:rsid w:val="00722264"/>
    <w:rPr>
      <w:rFonts w:cs="Segoe UI Light"/>
    </w:rPr>
    <w:tblPr>
      <w:tblCellMar>
        <w:left w:w="0" w:type="dxa"/>
        <w:right w:w="0" w:type="dxa"/>
      </w:tblCellMar>
    </w:tblPr>
  </w:style>
  <w:style w:type="paragraph" w:styleId="Cover-Date" w:customStyle="1">
    <w:name w:val="Cover - Date"/>
    <w:basedOn w:val="Normal"/>
    <w:link w:val="Cover-DateChar"/>
    <w:uiPriority w:val="10"/>
    <w:rsid w:val="00B76738"/>
    <w:pPr>
      <w:spacing w:after="0" w:line="240" w:lineRule="atLeast"/>
      <w:jc w:val="right"/>
    </w:pPr>
    <w:rPr>
      <w:rFonts w:ascii="Segoe UI Light" w:hAnsi="Segoe UI Light" w:cs="Segoe UI"/>
    </w:rPr>
  </w:style>
  <w:style w:type="paragraph" w:styleId="Cover-Text" w:customStyle="1">
    <w:name w:val="Cover - Text"/>
    <w:basedOn w:val="Normal"/>
    <w:link w:val="Cover-TextChar"/>
    <w:uiPriority w:val="10"/>
    <w:rsid w:val="00B76738"/>
    <w:pPr>
      <w:spacing w:after="0" w:line="480" w:lineRule="atLeast"/>
      <w:jc w:val="right"/>
    </w:pPr>
    <w:rPr>
      <w:rFonts w:ascii="Segoe UI Light" w:hAnsi="Segoe UI Light" w:cs="Segoe UI"/>
      <w:sz w:val="40"/>
      <w:szCs w:val="40"/>
    </w:rPr>
  </w:style>
  <w:style w:type="paragraph" w:styleId="Line" w:customStyle="1">
    <w:name w:val="Line"/>
    <w:basedOn w:val="Normal"/>
    <w:next w:val="Normal"/>
    <w:uiPriority w:val="3"/>
    <w:rsid w:val="002527EA"/>
    <w:pPr>
      <w:pBdr>
        <w:top w:val="single" w:color="77787B" w:sz="12" w:space="1"/>
      </w:pBdr>
      <w:spacing w:after="0" w:line="120" w:lineRule="exact"/>
    </w:pPr>
    <w:rPr>
      <w:sz w:val="12"/>
    </w:rPr>
  </w:style>
  <w:style w:type="paragraph" w:styleId="Heading9AppendixSub" w:customStyle="1">
    <w:name w:val="Heading 9 Appendix Sub"/>
    <w:basedOn w:val="Normal"/>
    <w:link w:val="Heading9AppendixSubChar"/>
    <w:uiPriority w:val="9"/>
    <w:rsid w:val="00C47ED8"/>
    <w:pPr>
      <w:spacing w:before="180" w:after="0" w:line="440" w:lineRule="atLeast"/>
      <w:jc w:val="right"/>
    </w:pPr>
    <w:rPr>
      <w:b/>
      <w:color w:val="5EC1A0" w:themeColor="accent6"/>
      <w:sz w:val="40"/>
    </w:rPr>
  </w:style>
  <w:style w:type="table" w:styleId="NirasTableStyle" w:customStyle="1">
    <w:name w:val="Niras Table Style"/>
    <w:basedOn w:val="TableNormal"/>
    <w:uiPriority w:val="99"/>
    <w:rsid w:val="005A52E0"/>
    <w:rPr>
      <w:rFonts w:cs="Segoe UI Light"/>
    </w:rPr>
    <w:tblPr>
      <w:tblStyleRowBandSize w:val="1"/>
      <w:tblBorders>
        <w:insideV w:val="single" w:color="auto" w:sz="4" w:space="0"/>
      </w:tblBorders>
      <w:tblCellMar>
        <w:left w:w="0" w:type="dxa"/>
        <w:right w:w="0" w:type="dxa"/>
      </w:tblCellMar>
    </w:tblPr>
    <w:tblStylePr w:type="firstRow">
      <w:rPr>
        <w:u w:val="none"/>
      </w:rPr>
      <w:tblPr/>
      <w:trPr>
        <w:tblHeader/>
      </w:trPr>
      <w:tcPr>
        <w:tcBorders>
          <w:insideV w:val="nil"/>
        </w:tcBorders>
      </w:tcPr>
    </w:tblStylePr>
    <w:tblStylePr w:type="band1Horz">
      <w:tblPr/>
      <w:tcPr>
        <w:shd w:val="clear" w:color="auto" w:fill="C4D5D3" w:themeFill="accent1"/>
      </w:tcPr>
    </w:tblStylePr>
  </w:style>
  <w:style w:type="paragraph" w:styleId="FactBox" w:customStyle="1">
    <w:name w:val="Fact Box"/>
    <w:basedOn w:val="Normal"/>
    <w:uiPriority w:val="5"/>
    <w:semiHidden/>
    <w:rsid w:val="00B03386"/>
    <w:pPr>
      <w:spacing w:before="170" w:after="170"/>
      <w:ind w:left="170" w:right="170"/>
    </w:pPr>
  </w:style>
  <w:style w:type="paragraph" w:styleId="FactBox-Text" w:customStyle="1">
    <w:name w:val="Fact Box - Text"/>
    <w:basedOn w:val="FactBox"/>
    <w:uiPriority w:val="5"/>
    <w:semiHidden/>
    <w:rsid w:val="00271A6B"/>
  </w:style>
  <w:style w:type="paragraph" w:styleId="FactBox-Heading" w:customStyle="1">
    <w:name w:val="Fact Box - Heading"/>
    <w:basedOn w:val="FactBox"/>
    <w:next w:val="FactBox-Text"/>
    <w:uiPriority w:val="5"/>
    <w:semiHidden/>
    <w:rsid w:val="008750F5"/>
    <w:pPr>
      <w:keepNext/>
      <w:keepLines/>
    </w:pPr>
    <w:rPr>
      <w:b/>
    </w:rPr>
  </w:style>
  <w:style w:type="paragraph" w:styleId="FactBox-ListBullet" w:customStyle="1">
    <w:name w:val="Fact Box - List Bullet"/>
    <w:basedOn w:val="FactBox"/>
    <w:uiPriority w:val="5"/>
    <w:semiHidden/>
    <w:rsid w:val="00B76738"/>
    <w:pPr>
      <w:tabs>
        <w:tab w:val="num" w:pos="720"/>
      </w:tabs>
      <w:ind w:left="454" w:hanging="284"/>
    </w:pPr>
  </w:style>
  <w:style w:type="numbering" w:styleId="ListStyle-FactBoxListBullet" w:customStyle="1">
    <w:name w:val="_List Style - Fact Box List Bullet"/>
    <w:uiPriority w:val="99"/>
    <w:rsid w:val="00B76738"/>
    <w:pPr>
      <w:numPr>
        <w:numId w:val="6"/>
      </w:numPr>
    </w:pPr>
  </w:style>
  <w:style w:type="paragraph" w:styleId="Footer-PageNumber" w:customStyle="1">
    <w:name w:val="Footer - Page Number"/>
    <w:basedOn w:val="Footer"/>
    <w:next w:val="Footer"/>
    <w:uiPriority w:val="13"/>
    <w:rsid w:val="001C49EE"/>
    <w:pPr>
      <w:jc w:val="right"/>
    </w:pPr>
  </w:style>
  <w:style w:type="numbering" w:styleId="ListStyle-AppendixHeading" w:customStyle="1">
    <w:name w:val="_List Style - Appendix Heading"/>
    <w:uiPriority w:val="99"/>
    <w:rsid w:val="00B76738"/>
    <w:pPr>
      <w:numPr>
        <w:numId w:val="7"/>
      </w:numPr>
    </w:pPr>
  </w:style>
  <w:style w:type="paragraph" w:styleId="GuidanceText" w:customStyle="1">
    <w:name w:val="GuidanceText"/>
    <w:basedOn w:val="Normal"/>
    <w:uiPriority w:val="3"/>
    <w:rsid w:val="00901321"/>
    <w:pPr>
      <w:spacing w:after="0" w:line="240" w:lineRule="atLeast"/>
    </w:pPr>
    <w:rPr>
      <w:i/>
      <w:color w:val="C00000"/>
      <w:sz w:val="17"/>
    </w:rPr>
  </w:style>
  <w:style w:type="paragraph" w:styleId="ListAlphabet" w:customStyle="1">
    <w:name w:val="List Alphabet"/>
    <w:basedOn w:val="Normal"/>
    <w:uiPriority w:val="2"/>
    <w:semiHidden/>
    <w:rsid w:val="00B76738"/>
    <w:pPr>
      <w:numPr>
        <w:numId w:val="11"/>
      </w:numPr>
      <w:spacing w:after="0"/>
    </w:pPr>
  </w:style>
  <w:style w:type="numbering" w:styleId="ListStyle-ListAlphabet" w:customStyle="1">
    <w:name w:val="_List Style - List Alphabet"/>
    <w:uiPriority w:val="99"/>
    <w:rsid w:val="00B76738"/>
    <w:pPr>
      <w:numPr>
        <w:numId w:val="11"/>
      </w:numPr>
    </w:pPr>
  </w:style>
  <w:style w:type="paragraph" w:styleId="ListAlphabet2" w:customStyle="1">
    <w:name w:val="List Alphabet 2"/>
    <w:basedOn w:val="Normal"/>
    <w:uiPriority w:val="2"/>
    <w:semiHidden/>
    <w:rsid w:val="00B76738"/>
    <w:pPr>
      <w:numPr>
        <w:ilvl w:val="1"/>
        <w:numId w:val="11"/>
      </w:numPr>
      <w:spacing w:after="0"/>
    </w:pPr>
  </w:style>
  <w:style w:type="paragraph" w:styleId="ListAlphabet3" w:customStyle="1">
    <w:name w:val="List Alphabet 3"/>
    <w:basedOn w:val="Normal"/>
    <w:uiPriority w:val="2"/>
    <w:semiHidden/>
    <w:rsid w:val="00B76738"/>
    <w:pPr>
      <w:numPr>
        <w:ilvl w:val="2"/>
        <w:numId w:val="11"/>
      </w:numPr>
      <w:spacing w:after="0"/>
    </w:pPr>
  </w:style>
  <w:style w:type="paragraph" w:styleId="FactBox-ListNumber" w:customStyle="1">
    <w:name w:val="Fact Box - List Number"/>
    <w:basedOn w:val="FactBox"/>
    <w:uiPriority w:val="5"/>
    <w:semiHidden/>
    <w:rsid w:val="00B76738"/>
    <w:pPr>
      <w:tabs>
        <w:tab w:val="num" w:pos="720"/>
      </w:tabs>
      <w:ind w:left="510" w:hanging="340"/>
    </w:pPr>
  </w:style>
  <w:style w:type="numbering" w:styleId="ListStyle-FactBoxListNumber" w:customStyle="1">
    <w:name w:val="_List Style - Fact Box List Number"/>
    <w:uiPriority w:val="99"/>
    <w:rsid w:val="00B76738"/>
    <w:pPr>
      <w:numPr>
        <w:numId w:val="9"/>
      </w:numPr>
    </w:pPr>
  </w:style>
  <w:style w:type="character" w:styleId="Cover-TitleChar" w:customStyle="1">
    <w:name w:val="Cover - Title Char"/>
    <w:basedOn w:val="DefaultParagraphFont"/>
    <w:link w:val="Cover-Title"/>
    <w:uiPriority w:val="10"/>
    <w:rsid w:val="006B3D8A"/>
    <w:rPr>
      <w:rFonts w:ascii="Segoe UI Light" w:hAnsi="Segoe UI Light" w:cs="Segoe UI"/>
      <w:sz w:val="80"/>
      <w:lang w:val="en-GB"/>
    </w:rPr>
  </w:style>
  <w:style w:type="character" w:styleId="Cover-SubtitleChar" w:customStyle="1">
    <w:name w:val="Cover - Subtitle Char"/>
    <w:basedOn w:val="DefaultParagraphFont"/>
    <w:link w:val="Cover-Subtitle"/>
    <w:uiPriority w:val="10"/>
    <w:rsid w:val="00CB13A6"/>
    <w:rPr>
      <w:b/>
      <w:bCs/>
      <w:sz w:val="40"/>
      <w:szCs w:val="40"/>
      <w:lang w:val="en-GB"/>
    </w:rPr>
  </w:style>
  <w:style w:type="character" w:styleId="Cover-TextChar" w:customStyle="1">
    <w:name w:val="Cover - Text Char"/>
    <w:basedOn w:val="DefaultParagraphFont"/>
    <w:link w:val="Cover-Text"/>
    <w:uiPriority w:val="10"/>
    <w:rsid w:val="00B76738"/>
    <w:rPr>
      <w:rFonts w:ascii="Segoe UI Light" w:hAnsi="Segoe UI Light" w:cs="Segoe UI"/>
      <w:sz w:val="40"/>
      <w:szCs w:val="40"/>
      <w:lang w:val="en-GB"/>
    </w:rPr>
  </w:style>
  <w:style w:type="character" w:styleId="Cover-DateChar" w:customStyle="1">
    <w:name w:val="Cover - Date Char"/>
    <w:basedOn w:val="DefaultParagraphFont"/>
    <w:link w:val="Cover-Date"/>
    <w:uiPriority w:val="10"/>
    <w:rsid w:val="00B76738"/>
    <w:rPr>
      <w:rFonts w:ascii="Segoe UI Light" w:hAnsi="Segoe UI Light" w:cs="Segoe UI"/>
      <w:lang w:val="en-GB"/>
    </w:rPr>
  </w:style>
  <w:style w:type="character" w:styleId="TOCHeadingChar" w:customStyle="1">
    <w:name w:val="TOC Heading Char"/>
    <w:basedOn w:val="Heading1Char"/>
    <w:link w:val="TOCHeading"/>
    <w:uiPriority w:val="39"/>
    <w:rsid w:val="005B00EA"/>
    <w:rPr>
      <w:rFonts w:ascii="Segoe UI Light" w:hAnsi="Segoe UI Light" w:cs="Segoe UI" w:eastAsiaTheme="majorEastAsia"/>
      <w:b w:val="0"/>
      <w:sz w:val="80"/>
      <w:szCs w:val="32"/>
      <w:lang w:val="en-GB"/>
    </w:rPr>
  </w:style>
  <w:style w:type="character" w:styleId="Heading9AppendixSubChar" w:customStyle="1">
    <w:name w:val="Heading 9 Appendix Sub Char"/>
    <w:basedOn w:val="DefaultParagraphFont"/>
    <w:link w:val="Heading9AppendixSub"/>
    <w:uiPriority w:val="9"/>
    <w:rsid w:val="00114F08"/>
    <w:rPr>
      <w:b/>
      <w:color w:val="5EC1A0" w:themeColor="accent6"/>
      <w:sz w:val="40"/>
      <w:lang w:val="en-GB"/>
    </w:rPr>
  </w:style>
  <w:style w:type="paragraph" w:styleId="Template-N" w:customStyle="1">
    <w:name w:val="Template - N"/>
    <w:basedOn w:val="Normal"/>
    <w:uiPriority w:val="15"/>
    <w:semiHidden/>
    <w:qFormat/>
    <w:rsid w:val="00C249D1"/>
    <w:pPr>
      <w:spacing w:after="0"/>
    </w:pPr>
  </w:style>
  <w:style w:type="paragraph" w:styleId="AppendixHeading1" w:customStyle="1">
    <w:name w:val="Appendix Heading 1"/>
    <w:basedOn w:val="Normal"/>
    <w:uiPriority w:val="9"/>
    <w:rsid w:val="001C49EE"/>
    <w:pPr>
      <w:spacing w:before="480" w:line="360" w:lineRule="atLeast"/>
    </w:pPr>
    <w:rPr>
      <w:rFonts w:cstheme="minorHAnsi"/>
      <w:b/>
      <w:bCs/>
      <w:sz w:val="28"/>
      <w:szCs w:val="28"/>
    </w:rPr>
  </w:style>
  <w:style w:type="paragraph" w:styleId="AppendixHeading2" w:customStyle="1">
    <w:name w:val="Appendix Heading 2"/>
    <w:basedOn w:val="Normal"/>
    <w:next w:val="Normal"/>
    <w:uiPriority w:val="9"/>
    <w:rsid w:val="001C49EE"/>
    <w:pPr>
      <w:spacing w:before="180" w:after="0" w:line="320" w:lineRule="atLeast"/>
    </w:pPr>
    <w:rPr>
      <w:b/>
      <w:sz w:val="24"/>
    </w:rPr>
  </w:style>
  <w:style w:type="paragraph" w:styleId="AppendixHeading3" w:customStyle="1">
    <w:name w:val="Appendix Heading 3"/>
    <w:basedOn w:val="Normal"/>
    <w:uiPriority w:val="9"/>
    <w:rsid w:val="001C49EE"/>
    <w:pPr>
      <w:spacing w:before="180" w:after="0"/>
    </w:pPr>
    <w:rPr>
      <w:b/>
    </w:rPr>
  </w:style>
  <w:style w:type="paragraph" w:styleId="AppendixHeading4" w:customStyle="1">
    <w:name w:val="Appendix Heading 4"/>
    <w:basedOn w:val="Normal"/>
    <w:next w:val="Normal"/>
    <w:uiPriority w:val="9"/>
    <w:rsid w:val="001C49EE"/>
    <w:pPr>
      <w:spacing w:before="180" w:after="0"/>
    </w:pPr>
    <w:rPr>
      <w:i/>
    </w:rPr>
  </w:style>
  <w:style w:type="paragraph" w:styleId="AppendixHeading5" w:customStyle="1">
    <w:name w:val="Appendix Heading 5"/>
    <w:basedOn w:val="Normal"/>
    <w:next w:val="Normal"/>
    <w:uiPriority w:val="9"/>
    <w:rsid w:val="001C49EE"/>
    <w:pPr>
      <w:spacing w:before="180" w:after="0"/>
    </w:pPr>
    <w:rPr>
      <w:rFonts w:cs="Segoe UI"/>
      <w:u w:val="single"/>
    </w:rPr>
  </w:style>
  <w:style w:type="paragraph" w:styleId="Quote-Name" w:customStyle="1">
    <w:name w:val="Quote - Name"/>
    <w:basedOn w:val="Normal"/>
    <w:uiPriority w:val="12"/>
    <w:rsid w:val="00115880"/>
    <w:pPr>
      <w:spacing w:after="140"/>
      <w:jc w:val="right"/>
    </w:pPr>
    <w:rPr>
      <w:rFonts w:ascii="Palatino Linotype" w:hAnsi="Palatino Linotype" w:cs="Segoe UI Light"/>
      <w:i/>
      <w:color w:val="5EC1A0" w:themeColor="accent6"/>
    </w:rPr>
  </w:style>
  <w:style w:type="paragraph" w:styleId="Table-ColumnHeading" w:customStyle="1">
    <w:name w:val="Table - Column Heading"/>
    <w:basedOn w:val="Table-Heading"/>
    <w:uiPriority w:val="4"/>
    <w:rsid w:val="00CF1C43"/>
    <w:pPr>
      <w:keepNext w:val="0"/>
    </w:pPr>
  </w:style>
  <w:style w:type="paragraph" w:styleId="SlipsheetHeading" w:customStyle="1">
    <w:name w:val="Slipsheet Heading"/>
    <w:basedOn w:val="Cover-Title"/>
    <w:uiPriority w:val="10"/>
    <w:rsid w:val="00B46C68"/>
    <w:pPr>
      <w:framePr w:hSpace="142" w:wrap="around" w:hAnchor="text" w:vAnchor="page" w:xAlign="right" w:y="7060"/>
      <w:spacing w:after="100" w:line="640" w:lineRule="atLeast"/>
    </w:pPr>
    <w:rPr>
      <w:rFonts w:ascii="Segoe UI Black" w:hAnsi="Segoe UI Black" w:cs="Segoe UI Light"/>
      <w:color w:val="5EC1A0" w:themeColor="accent6"/>
      <w:sz w:val="56"/>
    </w:rPr>
  </w:style>
  <w:style w:type="paragraph" w:styleId="SlipsheetSubheading" w:customStyle="1">
    <w:name w:val="Slipsheet Subheading"/>
    <w:basedOn w:val="SlipsheetHeading"/>
    <w:uiPriority w:val="10"/>
    <w:rsid w:val="00B46C68"/>
    <w:pPr>
      <w:framePr w:wrap="around"/>
      <w:spacing w:before="120" w:line="400" w:lineRule="atLeast"/>
    </w:pPr>
    <w:rPr>
      <w:rFonts w:ascii="Segoe UI" w:hAnsi="Segoe UI"/>
      <w:sz w:val="32"/>
    </w:rPr>
  </w:style>
  <w:style w:type="paragraph" w:styleId="Revision">
    <w:name w:val="Revision"/>
    <w:hidden/>
    <w:uiPriority w:val="99"/>
    <w:semiHidden/>
    <w:rsid w:val="00262826"/>
    <w:pPr>
      <w:spacing w:line="240" w:lineRule="auto"/>
    </w:pPr>
    <w:rPr>
      <w:lang w:val="en-GB"/>
    </w:rPr>
  </w:style>
  <w:style w:type="character" w:styleId="ui-provider" w:customStyle="1">
    <w:name w:val="ui-provider"/>
    <w:basedOn w:val="DefaultParagraphFont"/>
    <w:rsid w:val="00B011F6"/>
  </w:style>
  <w:style w:type="table" w:styleId="TableGrid10" w:customStyle="1">
    <w:name w:val="Table Grid1"/>
    <w:basedOn w:val="TableNormal"/>
    <w:next w:val="TableGrid"/>
    <w:uiPriority w:val="39"/>
    <w:rsid w:val="00B60010"/>
    <w:pPr>
      <w:spacing w:line="240" w:lineRule="auto"/>
    </w:pPr>
    <w:rPr>
      <w:rFonts w:ascii="Aptos" w:hAnsi="Aptos"/>
      <w:kern w:val="2"/>
      <w:sz w:val="22"/>
      <w:szCs w:val="22"/>
      <w:lang w:val="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f01" w:customStyle="1">
    <w:name w:val="cf01"/>
    <w:basedOn w:val="DefaultParagraphFont"/>
    <w:rsid w:val="00600C6C"/>
    <w:rPr>
      <w:rFonts w:hint="default" w:ascii="Segoe UI" w:hAnsi="Segoe UI" w:cs="Segoe UI"/>
      <w:sz w:val="18"/>
      <w:szCs w:val="18"/>
    </w:rPr>
  </w:style>
  <w:style w:type="paragraph" w:styleId="pf0" w:customStyle="1">
    <w:name w:val="pf0"/>
    <w:basedOn w:val="Normal"/>
    <w:rsid w:val="00600C6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ListParagraphChar" w:customStyle="1">
    <w:name w:val="List Paragraph Char"/>
    <w:link w:val="ListParagraph"/>
    <w:uiPriority w:val="99"/>
    <w:rsid w:val="00600C6C"/>
    <w:rPr>
      <w:lang w:val="en-GB"/>
    </w:rPr>
  </w:style>
  <w:style w:type="paragraph" w:styleId="berschrift4" w:customStyle="1">
    <w:name w:val="überschrift 4"/>
    <w:basedOn w:val="Normal"/>
    <w:qFormat/>
    <w:rsid w:val="007E1EB5"/>
    <w:pPr>
      <w:spacing w:before="240" w:line="300" w:lineRule="exact"/>
    </w:pPr>
    <w:rPr>
      <w:rFonts w:ascii="Calibri" w:hAnsi="Calibri" w:eastAsiaTheme="minorEastAsia"/>
      <w:b/>
      <w:color w:val="2D61A7"/>
      <w:sz w:val="26"/>
      <w:szCs w:val="24"/>
      <w:lang w:val="en-US"/>
    </w:rPr>
  </w:style>
  <w:style w:type="paragraph" w:styleId="Paragraph" w:customStyle="1">
    <w:name w:val="Paragraph"/>
    <w:basedOn w:val="Normal"/>
    <w:uiPriority w:val="1"/>
    <w:qFormat/>
    <w:rsid w:val="00AA031A"/>
    <w:pPr>
      <w:spacing w:after="0" w:line="260" w:lineRule="atLeast"/>
    </w:pPr>
    <w:rPr>
      <w:rFonts w:ascii="Cambria" w:hAnsi="Cambria" w:eastAsia="Cambria" w:cs="Cambria"/>
      <w:color w:val="000000"/>
      <w:sz w:val="22"/>
      <w:szCs w:val="22"/>
      <w:lang w:eastAsia="en-GB" w:bidi="en-GB"/>
      <w14:ligatures w14:val="standardContextual"/>
    </w:rPr>
  </w:style>
  <w:style w:type="character" w:styleId="normaltextrun" w:customStyle="1">
    <w:name w:val="normaltextrun"/>
    <w:basedOn w:val="DefaultParagraphFont"/>
    <w:rsid w:val="00324466"/>
    <w:rPr>
      <w:rFonts w:ascii="Segoe UI" w:hAnsi="Segoe UI" w:eastAsiaTheme="minorEastAsia" w:cstheme="minorBidi"/>
    </w:rPr>
  </w:style>
  <w:style w:type="character" w:styleId="eop" w:customStyle="1">
    <w:name w:val="eop"/>
    <w:basedOn w:val="DefaultParagraphFont"/>
    <w:uiPriority w:val="1"/>
    <w:rsid w:val="00324466"/>
    <w:rPr>
      <w:rFonts w:ascii="Segoe UI" w:hAnsi="Segoe UI" w:eastAsiaTheme="minorEastAsia" w:cstheme="minorBidi"/>
    </w:rPr>
  </w:style>
  <w:style w:type="paragraph" w:styleId="BVIfnrCharCar1CarChar" w:customStyle="1">
    <w:name w:val="BVI fnr Char Car1 Car Char"/>
    <w:aliases w:val="BVI fnr Char Car Car Char,ftref Char Car Car Char,BVI fnr Char Car Char Char Car Car Char,ftref Char Car Char Char Car Car Char,BVI fnr Char, BVI fnr Char Car Char Char Car Car Char, BVI fnr Char"/>
    <w:basedOn w:val="Normal"/>
    <w:next w:val="Normal"/>
    <w:link w:val="FootnoteReference"/>
    <w:uiPriority w:val="99"/>
    <w:rsid w:val="00FB6DDE"/>
    <w:pPr>
      <w:spacing w:after="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076">
      <w:bodyDiv w:val="1"/>
      <w:marLeft w:val="0"/>
      <w:marRight w:val="0"/>
      <w:marTop w:val="0"/>
      <w:marBottom w:val="0"/>
      <w:divBdr>
        <w:top w:val="none" w:sz="0" w:space="0" w:color="auto"/>
        <w:left w:val="none" w:sz="0" w:space="0" w:color="auto"/>
        <w:bottom w:val="none" w:sz="0" w:space="0" w:color="auto"/>
        <w:right w:val="none" w:sz="0" w:space="0" w:color="auto"/>
      </w:divBdr>
    </w:div>
    <w:div w:id="18896458">
      <w:bodyDiv w:val="1"/>
      <w:marLeft w:val="0"/>
      <w:marRight w:val="0"/>
      <w:marTop w:val="0"/>
      <w:marBottom w:val="0"/>
      <w:divBdr>
        <w:top w:val="none" w:sz="0" w:space="0" w:color="auto"/>
        <w:left w:val="none" w:sz="0" w:space="0" w:color="auto"/>
        <w:bottom w:val="none" w:sz="0" w:space="0" w:color="auto"/>
        <w:right w:val="none" w:sz="0" w:space="0" w:color="auto"/>
      </w:divBdr>
    </w:div>
    <w:div w:id="28339897">
      <w:bodyDiv w:val="1"/>
      <w:marLeft w:val="0"/>
      <w:marRight w:val="0"/>
      <w:marTop w:val="0"/>
      <w:marBottom w:val="0"/>
      <w:divBdr>
        <w:top w:val="none" w:sz="0" w:space="0" w:color="auto"/>
        <w:left w:val="none" w:sz="0" w:space="0" w:color="auto"/>
        <w:bottom w:val="none" w:sz="0" w:space="0" w:color="auto"/>
        <w:right w:val="none" w:sz="0" w:space="0" w:color="auto"/>
      </w:divBdr>
      <w:divsChild>
        <w:div w:id="1035159350">
          <w:marLeft w:val="0"/>
          <w:marRight w:val="0"/>
          <w:marTop w:val="0"/>
          <w:marBottom w:val="160"/>
          <w:divBdr>
            <w:top w:val="none" w:sz="0" w:space="0" w:color="auto"/>
            <w:left w:val="none" w:sz="0" w:space="0" w:color="auto"/>
            <w:bottom w:val="none" w:sz="0" w:space="0" w:color="auto"/>
            <w:right w:val="none" w:sz="0" w:space="0" w:color="auto"/>
          </w:divBdr>
        </w:div>
        <w:div w:id="1402405965">
          <w:marLeft w:val="0"/>
          <w:marRight w:val="0"/>
          <w:marTop w:val="0"/>
          <w:marBottom w:val="160"/>
          <w:divBdr>
            <w:top w:val="none" w:sz="0" w:space="0" w:color="auto"/>
            <w:left w:val="none" w:sz="0" w:space="0" w:color="auto"/>
            <w:bottom w:val="none" w:sz="0" w:space="0" w:color="auto"/>
            <w:right w:val="none" w:sz="0" w:space="0" w:color="auto"/>
          </w:divBdr>
        </w:div>
      </w:divsChild>
    </w:div>
    <w:div w:id="65999410">
      <w:bodyDiv w:val="1"/>
      <w:marLeft w:val="0"/>
      <w:marRight w:val="0"/>
      <w:marTop w:val="0"/>
      <w:marBottom w:val="0"/>
      <w:divBdr>
        <w:top w:val="none" w:sz="0" w:space="0" w:color="auto"/>
        <w:left w:val="none" w:sz="0" w:space="0" w:color="auto"/>
        <w:bottom w:val="none" w:sz="0" w:space="0" w:color="auto"/>
        <w:right w:val="none" w:sz="0" w:space="0" w:color="auto"/>
      </w:divBdr>
      <w:divsChild>
        <w:div w:id="1336346504">
          <w:marLeft w:val="446"/>
          <w:marRight w:val="0"/>
          <w:marTop w:val="200"/>
          <w:marBottom w:val="160"/>
          <w:divBdr>
            <w:top w:val="none" w:sz="0" w:space="0" w:color="auto"/>
            <w:left w:val="none" w:sz="0" w:space="0" w:color="auto"/>
            <w:bottom w:val="none" w:sz="0" w:space="0" w:color="auto"/>
            <w:right w:val="none" w:sz="0" w:space="0" w:color="auto"/>
          </w:divBdr>
        </w:div>
      </w:divsChild>
    </w:div>
    <w:div w:id="78530500">
      <w:bodyDiv w:val="1"/>
      <w:marLeft w:val="0"/>
      <w:marRight w:val="0"/>
      <w:marTop w:val="0"/>
      <w:marBottom w:val="0"/>
      <w:divBdr>
        <w:top w:val="none" w:sz="0" w:space="0" w:color="auto"/>
        <w:left w:val="none" w:sz="0" w:space="0" w:color="auto"/>
        <w:bottom w:val="none" w:sz="0" w:space="0" w:color="auto"/>
        <w:right w:val="none" w:sz="0" w:space="0" w:color="auto"/>
      </w:divBdr>
      <w:divsChild>
        <w:div w:id="28537116">
          <w:marLeft w:val="0"/>
          <w:marRight w:val="0"/>
          <w:marTop w:val="0"/>
          <w:marBottom w:val="0"/>
          <w:divBdr>
            <w:top w:val="none" w:sz="0" w:space="0" w:color="auto"/>
            <w:left w:val="none" w:sz="0" w:space="0" w:color="auto"/>
            <w:bottom w:val="none" w:sz="0" w:space="0" w:color="auto"/>
            <w:right w:val="none" w:sz="0" w:space="0" w:color="auto"/>
          </w:divBdr>
        </w:div>
        <w:div w:id="31536156">
          <w:marLeft w:val="0"/>
          <w:marRight w:val="0"/>
          <w:marTop w:val="0"/>
          <w:marBottom w:val="0"/>
          <w:divBdr>
            <w:top w:val="none" w:sz="0" w:space="0" w:color="auto"/>
            <w:left w:val="none" w:sz="0" w:space="0" w:color="auto"/>
            <w:bottom w:val="none" w:sz="0" w:space="0" w:color="auto"/>
            <w:right w:val="none" w:sz="0" w:space="0" w:color="auto"/>
          </w:divBdr>
        </w:div>
        <w:div w:id="58752985">
          <w:marLeft w:val="0"/>
          <w:marRight w:val="0"/>
          <w:marTop w:val="0"/>
          <w:marBottom w:val="0"/>
          <w:divBdr>
            <w:top w:val="none" w:sz="0" w:space="0" w:color="auto"/>
            <w:left w:val="none" w:sz="0" w:space="0" w:color="auto"/>
            <w:bottom w:val="none" w:sz="0" w:space="0" w:color="auto"/>
            <w:right w:val="none" w:sz="0" w:space="0" w:color="auto"/>
          </w:divBdr>
        </w:div>
        <w:div w:id="68578380">
          <w:marLeft w:val="0"/>
          <w:marRight w:val="0"/>
          <w:marTop w:val="0"/>
          <w:marBottom w:val="0"/>
          <w:divBdr>
            <w:top w:val="none" w:sz="0" w:space="0" w:color="auto"/>
            <w:left w:val="none" w:sz="0" w:space="0" w:color="auto"/>
            <w:bottom w:val="none" w:sz="0" w:space="0" w:color="auto"/>
            <w:right w:val="none" w:sz="0" w:space="0" w:color="auto"/>
          </w:divBdr>
        </w:div>
        <w:div w:id="74860739">
          <w:marLeft w:val="0"/>
          <w:marRight w:val="0"/>
          <w:marTop w:val="0"/>
          <w:marBottom w:val="0"/>
          <w:divBdr>
            <w:top w:val="none" w:sz="0" w:space="0" w:color="auto"/>
            <w:left w:val="none" w:sz="0" w:space="0" w:color="auto"/>
            <w:bottom w:val="none" w:sz="0" w:space="0" w:color="auto"/>
            <w:right w:val="none" w:sz="0" w:space="0" w:color="auto"/>
          </w:divBdr>
        </w:div>
        <w:div w:id="77798421">
          <w:marLeft w:val="0"/>
          <w:marRight w:val="0"/>
          <w:marTop w:val="0"/>
          <w:marBottom w:val="0"/>
          <w:divBdr>
            <w:top w:val="none" w:sz="0" w:space="0" w:color="auto"/>
            <w:left w:val="none" w:sz="0" w:space="0" w:color="auto"/>
            <w:bottom w:val="none" w:sz="0" w:space="0" w:color="auto"/>
            <w:right w:val="none" w:sz="0" w:space="0" w:color="auto"/>
          </w:divBdr>
        </w:div>
        <w:div w:id="111948633">
          <w:marLeft w:val="0"/>
          <w:marRight w:val="0"/>
          <w:marTop w:val="0"/>
          <w:marBottom w:val="0"/>
          <w:divBdr>
            <w:top w:val="none" w:sz="0" w:space="0" w:color="auto"/>
            <w:left w:val="none" w:sz="0" w:space="0" w:color="auto"/>
            <w:bottom w:val="none" w:sz="0" w:space="0" w:color="auto"/>
            <w:right w:val="none" w:sz="0" w:space="0" w:color="auto"/>
          </w:divBdr>
        </w:div>
        <w:div w:id="140781336">
          <w:marLeft w:val="0"/>
          <w:marRight w:val="0"/>
          <w:marTop w:val="0"/>
          <w:marBottom w:val="0"/>
          <w:divBdr>
            <w:top w:val="none" w:sz="0" w:space="0" w:color="auto"/>
            <w:left w:val="none" w:sz="0" w:space="0" w:color="auto"/>
            <w:bottom w:val="none" w:sz="0" w:space="0" w:color="auto"/>
            <w:right w:val="none" w:sz="0" w:space="0" w:color="auto"/>
          </w:divBdr>
        </w:div>
        <w:div w:id="155343110">
          <w:marLeft w:val="0"/>
          <w:marRight w:val="0"/>
          <w:marTop w:val="0"/>
          <w:marBottom w:val="0"/>
          <w:divBdr>
            <w:top w:val="none" w:sz="0" w:space="0" w:color="auto"/>
            <w:left w:val="none" w:sz="0" w:space="0" w:color="auto"/>
            <w:bottom w:val="none" w:sz="0" w:space="0" w:color="auto"/>
            <w:right w:val="none" w:sz="0" w:space="0" w:color="auto"/>
          </w:divBdr>
        </w:div>
        <w:div w:id="160507167">
          <w:marLeft w:val="0"/>
          <w:marRight w:val="0"/>
          <w:marTop w:val="0"/>
          <w:marBottom w:val="0"/>
          <w:divBdr>
            <w:top w:val="none" w:sz="0" w:space="0" w:color="auto"/>
            <w:left w:val="none" w:sz="0" w:space="0" w:color="auto"/>
            <w:bottom w:val="none" w:sz="0" w:space="0" w:color="auto"/>
            <w:right w:val="none" w:sz="0" w:space="0" w:color="auto"/>
          </w:divBdr>
        </w:div>
        <w:div w:id="180750189">
          <w:marLeft w:val="0"/>
          <w:marRight w:val="0"/>
          <w:marTop w:val="0"/>
          <w:marBottom w:val="0"/>
          <w:divBdr>
            <w:top w:val="none" w:sz="0" w:space="0" w:color="auto"/>
            <w:left w:val="none" w:sz="0" w:space="0" w:color="auto"/>
            <w:bottom w:val="none" w:sz="0" w:space="0" w:color="auto"/>
            <w:right w:val="none" w:sz="0" w:space="0" w:color="auto"/>
          </w:divBdr>
        </w:div>
        <w:div w:id="189295611">
          <w:marLeft w:val="0"/>
          <w:marRight w:val="0"/>
          <w:marTop w:val="0"/>
          <w:marBottom w:val="0"/>
          <w:divBdr>
            <w:top w:val="none" w:sz="0" w:space="0" w:color="auto"/>
            <w:left w:val="none" w:sz="0" w:space="0" w:color="auto"/>
            <w:bottom w:val="none" w:sz="0" w:space="0" w:color="auto"/>
            <w:right w:val="none" w:sz="0" w:space="0" w:color="auto"/>
          </w:divBdr>
        </w:div>
        <w:div w:id="194579319">
          <w:marLeft w:val="0"/>
          <w:marRight w:val="0"/>
          <w:marTop w:val="0"/>
          <w:marBottom w:val="0"/>
          <w:divBdr>
            <w:top w:val="none" w:sz="0" w:space="0" w:color="auto"/>
            <w:left w:val="none" w:sz="0" w:space="0" w:color="auto"/>
            <w:bottom w:val="none" w:sz="0" w:space="0" w:color="auto"/>
            <w:right w:val="none" w:sz="0" w:space="0" w:color="auto"/>
          </w:divBdr>
        </w:div>
        <w:div w:id="208341570">
          <w:marLeft w:val="0"/>
          <w:marRight w:val="0"/>
          <w:marTop w:val="0"/>
          <w:marBottom w:val="0"/>
          <w:divBdr>
            <w:top w:val="none" w:sz="0" w:space="0" w:color="auto"/>
            <w:left w:val="none" w:sz="0" w:space="0" w:color="auto"/>
            <w:bottom w:val="none" w:sz="0" w:space="0" w:color="auto"/>
            <w:right w:val="none" w:sz="0" w:space="0" w:color="auto"/>
          </w:divBdr>
        </w:div>
        <w:div w:id="253053936">
          <w:marLeft w:val="0"/>
          <w:marRight w:val="0"/>
          <w:marTop w:val="0"/>
          <w:marBottom w:val="0"/>
          <w:divBdr>
            <w:top w:val="none" w:sz="0" w:space="0" w:color="auto"/>
            <w:left w:val="none" w:sz="0" w:space="0" w:color="auto"/>
            <w:bottom w:val="none" w:sz="0" w:space="0" w:color="auto"/>
            <w:right w:val="none" w:sz="0" w:space="0" w:color="auto"/>
          </w:divBdr>
        </w:div>
        <w:div w:id="256182088">
          <w:marLeft w:val="0"/>
          <w:marRight w:val="0"/>
          <w:marTop w:val="0"/>
          <w:marBottom w:val="0"/>
          <w:divBdr>
            <w:top w:val="none" w:sz="0" w:space="0" w:color="auto"/>
            <w:left w:val="none" w:sz="0" w:space="0" w:color="auto"/>
            <w:bottom w:val="none" w:sz="0" w:space="0" w:color="auto"/>
            <w:right w:val="none" w:sz="0" w:space="0" w:color="auto"/>
          </w:divBdr>
        </w:div>
        <w:div w:id="279804373">
          <w:marLeft w:val="-75"/>
          <w:marRight w:val="0"/>
          <w:marTop w:val="30"/>
          <w:marBottom w:val="30"/>
          <w:divBdr>
            <w:top w:val="none" w:sz="0" w:space="0" w:color="auto"/>
            <w:left w:val="none" w:sz="0" w:space="0" w:color="auto"/>
            <w:bottom w:val="none" w:sz="0" w:space="0" w:color="auto"/>
            <w:right w:val="none" w:sz="0" w:space="0" w:color="auto"/>
          </w:divBdr>
          <w:divsChild>
            <w:div w:id="267005478">
              <w:marLeft w:val="0"/>
              <w:marRight w:val="0"/>
              <w:marTop w:val="0"/>
              <w:marBottom w:val="0"/>
              <w:divBdr>
                <w:top w:val="none" w:sz="0" w:space="0" w:color="auto"/>
                <w:left w:val="none" w:sz="0" w:space="0" w:color="auto"/>
                <w:bottom w:val="none" w:sz="0" w:space="0" w:color="auto"/>
                <w:right w:val="none" w:sz="0" w:space="0" w:color="auto"/>
              </w:divBdr>
              <w:divsChild>
                <w:div w:id="1973169793">
                  <w:marLeft w:val="0"/>
                  <w:marRight w:val="0"/>
                  <w:marTop w:val="0"/>
                  <w:marBottom w:val="0"/>
                  <w:divBdr>
                    <w:top w:val="none" w:sz="0" w:space="0" w:color="auto"/>
                    <w:left w:val="none" w:sz="0" w:space="0" w:color="auto"/>
                    <w:bottom w:val="none" w:sz="0" w:space="0" w:color="auto"/>
                    <w:right w:val="none" w:sz="0" w:space="0" w:color="auto"/>
                  </w:divBdr>
                </w:div>
              </w:divsChild>
            </w:div>
            <w:div w:id="283510095">
              <w:marLeft w:val="0"/>
              <w:marRight w:val="0"/>
              <w:marTop w:val="0"/>
              <w:marBottom w:val="0"/>
              <w:divBdr>
                <w:top w:val="none" w:sz="0" w:space="0" w:color="auto"/>
                <w:left w:val="none" w:sz="0" w:space="0" w:color="auto"/>
                <w:bottom w:val="none" w:sz="0" w:space="0" w:color="auto"/>
                <w:right w:val="none" w:sz="0" w:space="0" w:color="auto"/>
              </w:divBdr>
              <w:divsChild>
                <w:div w:id="1782722457">
                  <w:marLeft w:val="0"/>
                  <w:marRight w:val="0"/>
                  <w:marTop w:val="0"/>
                  <w:marBottom w:val="0"/>
                  <w:divBdr>
                    <w:top w:val="none" w:sz="0" w:space="0" w:color="auto"/>
                    <w:left w:val="none" w:sz="0" w:space="0" w:color="auto"/>
                    <w:bottom w:val="none" w:sz="0" w:space="0" w:color="auto"/>
                    <w:right w:val="none" w:sz="0" w:space="0" w:color="auto"/>
                  </w:divBdr>
                </w:div>
              </w:divsChild>
            </w:div>
            <w:div w:id="591740688">
              <w:marLeft w:val="0"/>
              <w:marRight w:val="0"/>
              <w:marTop w:val="0"/>
              <w:marBottom w:val="0"/>
              <w:divBdr>
                <w:top w:val="none" w:sz="0" w:space="0" w:color="auto"/>
                <w:left w:val="none" w:sz="0" w:space="0" w:color="auto"/>
                <w:bottom w:val="none" w:sz="0" w:space="0" w:color="auto"/>
                <w:right w:val="none" w:sz="0" w:space="0" w:color="auto"/>
              </w:divBdr>
              <w:divsChild>
                <w:div w:id="1350063745">
                  <w:marLeft w:val="0"/>
                  <w:marRight w:val="0"/>
                  <w:marTop w:val="0"/>
                  <w:marBottom w:val="0"/>
                  <w:divBdr>
                    <w:top w:val="none" w:sz="0" w:space="0" w:color="auto"/>
                    <w:left w:val="none" w:sz="0" w:space="0" w:color="auto"/>
                    <w:bottom w:val="none" w:sz="0" w:space="0" w:color="auto"/>
                    <w:right w:val="none" w:sz="0" w:space="0" w:color="auto"/>
                  </w:divBdr>
                </w:div>
              </w:divsChild>
            </w:div>
            <w:div w:id="606742485">
              <w:marLeft w:val="0"/>
              <w:marRight w:val="0"/>
              <w:marTop w:val="0"/>
              <w:marBottom w:val="0"/>
              <w:divBdr>
                <w:top w:val="none" w:sz="0" w:space="0" w:color="auto"/>
                <w:left w:val="none" w:sz="0" w:space="0" w:color="auto"/>
                <w:bottom w:val="none" w:sz="0" w:space="0" w:color="auto"/>
                <w:right w:val="none" w:sz="0" w:space="0" w:color="auto"/>
              </w:divBdr>
              <w:divsChild>
                <w:div w:id="1895505503">
                  <w:marLeft w:val="0"/>
                  <w:marRight w:val="0"/>
                  <w:marTop w:val="0"/>
                  <w:marBottom w:val="0"/>
                  <w:divBdr>
                    <w:top w:val="none" w:sz="0" w:space="0" w:color="auto"/>
                    <w:left w:val="none" w:sz="0" w:space="0" w:color="auto"/>
                    <w:bottom w:val="none" w:sz="0" w:space="0" w:color="auto"/>
                    <w:right w:val="none" w:sz="0" w:space="0" w:color="auto"/>
                  </w:divBdr>
                </w:div>
                <w:div w:id="2027781662">
                  <w:marLeft w:val="0"/>
                  <w:marRight w:val="0"/>
                  <w:marTop w:val="0"/>
                  <w:marBottom w:val="0"/>
                  <w:divBdr>
                    <w:top w:val="none" w:sz="0" w:space="0" w:color="auto"/>
                    <w:left w:val="none" w:sz="0" w:space="0" w:color="auto"/>
                    <w:bottom w:val="none" w:sz="0" w:space="0" w:color="auto"/>
                    <w:right w:val="none" w:sz="0" w:space="0" w:color="auto"/>
                  </w:divBdr>
                </w:div>
              </w:divsChild>
            </w:div>
            <w:div w:id="610667105">
              <w:marLeft w:val="0"/>
              <w:marRight w:val="0"/>
              <w:marTop w:val="0"/>
              <w:marBottom w:val="0"/>
              <w:divBdr>
                <w:top w:val="none" w:sz="0" w:space="0" w:color="auto"/>
                <w:left w:val="none" w:sz="0" w:space="0" w:color="auto"/>
                <w:bottom w:val="none" w:sz="0" w:space="0" w:color="auto"/>
                <w:right w:val="none" w:sz="0" w:space="0" w:color="auto"/>
              </w:divBdr>
              <w:divsChild>
                <w:div w:id="662322802">
                  <w:marLeft w:val="0"/>
                  <w:marRight w:val="0"/>
                  <w:marTop w:val="0"/>
                  <w:marBottom w:val="0"/>
                  <w:divBdr>
                    <w:top w:val="none" w:sz="0" w:space="0" w:color="auto"/>
                    <w:left w:val="none" w:sz="0" w:space="0" w:color="auto"/>
                    <w:bottom w:val="none" w:sz="0" w:space="0" w:color="auto"/>
                    <w:right w:val="none" w:sz="0" w:space="0" w:color="auto"/>
                  </w:divBdr>
                </w:div>
              </w:divsChild>
            </w:div>
            <w:div w:id="687876410">
              <w:marLeft w:val="0"/>
              <w:marRight w:val="0"/>
              <w:marTop w:val="0"/>
              <w:marBottom w:val="0"/>
              <w:divBdr>
                <w:top w:val="none" w:sz="0" w:space="0" w:color="auto"/>
                <w:left w:val="none" w:sz="0" w:space="0" w:color="auto"/>
                <w:bottom w:val="none" w:sz="0" w:space="0" w:color="auto"/>
                <w:right w:val="none" w:sz="0" w:space="0" w:color="auto"/>
              </w:divBdr>
              <w:divsChild>
                <w:div w:id="257178182">
                  <w:marLeft w:val="0"/>
                  <w:marRight w:val="0"/>
                  <w:marTop w:val="0"/>
                  <w:marBottom w:val="0"/>
                  <w:divBdr>
                    <w:top w:val="none" w:sz="0" w:space="0" w:color="auto"/>
                    <w:left w:val="none" w:sz="0" w:space="0" w:color="auto"/>
                    <w:bottom w:val="none" w:sz="0" w:space="0" w:color="auto"/>
                    <w:right w:val="none" w:sz="0" w:space="0" w:color="auto"/>
                  </w:divBdr>
                </w:div>
              </w:divsChild>
            </w:div>
            <w:div w:id="773944636">
              <w:marLeft w:val="0"/>
              <w:marRight w:val="0"/>
              <w:marTop w:val="0"/>
              <w:marBottom w:val="0"/>
              <w:divBdr>
                <w:top w:val="none" w:sz="0" w:space="0" w:color="auto"/>
                <w:left w:val="none" w:sz="0" w:space="0" w:color="auto"/>
                <w:bottom w:val="none" w:sz="0" w:space="0" w:color="auto"/>
                <w:right w:val="none" w:sz="0" w:space="0" w:color="auto"/>
              </w:divBdr>
              <w:divsChild>
                <w:div w:id="1009138530">
                  <w:marLeft w:val="0"/>
                  <w:marRight w:val="0"/>
                  <w:marTop w:val="0"/>
                  <w:marBottom w:val="0"/>
                  <w:divBdr>
                    <w:top w:val="none" w:sz="0" w:space="0" w:color="auto"/>
                    <w:left w:val="none" w:sz="0" w:space="0" w:color="auto"/>
                    <w:bottom w:val="none" w:sz="0" w:space="0" w:color="auto"/>
                    <w:right w:val="none" w:sz="0" w:space="0" w:color="auto"/>
                  </w:divBdr>
                </w:div>
              </w:divsChild>
            </w:div>
            <w:div w:id="871648448">
              <w:marLeft w:val="0"/>
              <w:marRight w:val="0"/>
              <w:marTop w:val="0"/>
              <w:marBottom w:val="0"/>
              <w:divBdr>
                <w:top w:val="none" w:sz="0" w:space="0" w:color="auto"/>
                <w:left w:val="none" w:sz="0" w:space="0" w:color="auto"/>
                <w:bottom w:val="none" w:sz="0" w:space="0" w:color="auto"/>
                <w:right w:val="none" w:sz="0" w:space="0" w:color="auto"/>
              </w:divBdr>
              <w:divsChild>
                <w:div w:id="788085298">
                  <w:marLeft w:val="0"/>
                  <w:marRight w:val="0"/>
                  <w:marTop w:val="0"/>
                  <w:marBottom w:val="0"/>
                  <w:divBdr>
                    <w:top w:val="none" w:sz="0" w:space="0" w:color="auto"/>
                    <w:left w:val="none" w:sz="0" w:space="0" w:color="auto"/>
                    <w:bottom w:val="none" w:sz="0" w:space="0" w:color="auto"/>
                    <w:right w:val="none" w:sz="0" w:space="0" w:color="auto"/>
                  </w:divBdr>
                </w:div>
                <w:div w:id="948974637">
                  <w:marLeft w:val="0"/>
                  <w:marRight w:val="0"/>
                  <w:marTop w:val="0"/>
                  <w:marBottom w:val="0"/>
                  <w:divBdr>
                    <w:top w:val="none" w:sz="0" w:space="0" w:color="auto"/>
                    <w:left w:val="none" w:sz="0" w:space="0" w:color="auto"/>
                    <w:bottom w:val="none" w:sz="0" w:space="0" w:color="auto"/>
                    <w:right w:val="none" w:sz="0" w:space="0" w:color="auto"/>
                  </w:divBdr>
                </w:div>
              </w:divsChild>
            </w:div>
            <w:div w:id="990984047">
              <w:marLeft w:val="0"/>
              <w:marRight w:val="0"/>
              <w:marTop w:val="0"/>
              <w:marBottom w:val="0"/>
              <w:divBdr>
                <w:top w:val="none" w:sz="0" w:space="0" w:color="auto"/>
                <w:left w:val="none" w:sz="0" w:space="0" w:color="auto"/>
                <w:bottom w:val="none" w:sz="0" w:space="0" w:color="auto"/>
                <w:right w:val="none" w:sz="0" w:space="0" w:color="auto"/>
              </w:divBdr>
              <w:divsChild>
                <w:div w:id="1743218256">
                  <w:marLeft w:val="0"/>
                  <w:marRight w:val="0"/>
                  <w:marTop w:val="0"/>
                  <w:marBottom w:val="0"/>
                  <w:divBdr>
                    <w:top w:val="none" w:sz="0" w:space="0" w:color="auto"/>
                    <w:left w:val="none" w:sz="0" w:space="0" w:color="auto"/>
                    <w:bottom w:val="none" w:sz="0" w:space="0" w:color="auto"/>
                    <w:right w:val="none" w:sz="0" w:space="0" w:color="auto"/>
                  </w:divBdr>
                </w:div>
              </w:divsChild>
            </w:div>
            <w:div w:id="1320694664">
              <w:marLeft w:val="0"/>
              <w:marRight w:val="0"/>
              <w:marTop w:val="0"/>
              <w:marBottom w:val="0"/>
              <w:divBdr>
                <w:top w:val="none" w:sz="0" w:space="0" w:color="auto"/>
                <w:left w:val="none" w:sz="0" w:space="0" w:color="auto"/>
                <w:bottom w:val="none" w:sz="0" w:space="0" w:color="auto"/>
                <w:right w:val="none" w:sz="0" w:space="0" w:color="auto"/>
              </w:divBdr>
              <w:divsChild>
                <w:div w:id="1423994633">
                  <w:marLeft w:val="0"/>
                  <w:marRight w:val="0"/>
                  <w:marTop w:val="0"/>
                  <w:marBottom w:val="0"/>
                  <w:divBdr>
                    <w:top w:val="none" w:sz="0" w:space="0" w:color="auto"/>
                    <w:left w:val="none" w:sz="0" w:space="0" w:color="auto"/>
                    <w:bottom w:val="none" w:sz="0" w:space="0" w:color="auto"/>
                    <w:right w:val="none" w:sz="0" w:space="0" w:color="auto"/>
                  </w:divBdr>
                </w:div>
              </w:divsChild>
            </w:div>
            <w:div w:id="1490752072">
              <w:marLeft w:val="0"/>
              <w:marRight w:val="0"/>
              <w:marTop w:val="0"/>
              <w:marBottom w:val="0"/>
              <w:divBdr>
                <w:top w:val="none" w:sz="0" w:space="0" w:color="auto"/>
                <w:left w:val="none" w:sz="0" w:space="0" w:color="auto"/>
                <w:bottom w:val="none" w:sz="0" w:space="0" w:color="auto"/>
                <w:right w:val="none" w:sz="0" w:space="0" w:color="auto"/>
              </w:divBdr>
              <w:divsChild>
                <w:div w:id="654534312">
                  <w:marLeft w:val="0"/>
                  <w:marRight w:val="0"/>
                  <w:marTop w:val="0"/>
                  <w:marBottom w:val="0"/>
                  <w:divBdr>
                    <w:top w:val="none" w:sz="0" w:space="0" w:color="auto"/>
                    <w:left w:val="none" w:sz="0" w:space="0" w:color="auto"/>
                    <w:bottom w:val="none" w:sz="0" w:space="0" w:color="auto"/>
                    <w:right w:val="none" w:sz="0" w:space="0" w:color="auto"/>
                  </w:divBdr>
                </w:div>
              </w:divsChild>
            </w:div>
            <w:div w:id="1509712113">
              <w:marLeft w:val="0"/>
              <w:marRight w:val="0"/>
              <w:marTop w:val="0"/>
              <w:marBottom w:val="0"/>
              <w:divBdr>
                <w:top w:val="none" w:sz="0" w:space="0" w:color="auto"/>
                <w:left w:val="none" w:sz="0" w:space="0" w:color="auto"/>
                <w:bottom w:val="none" w:sz="0" w:space="0" w:color="auto"/>
                <w:right w:val="none" w:sz="0" w:space="0" w:color="auto"/>
              </w:divBdr>
              <w:divsChild>
                <w:div w:id="1212841475">
                  <w:marLeft w:val="0"/>
                  <w:marRight w:val="0"/>
                  <w:marTop w:val="0"/>
                  <w:marBottom w:val="0"/>
                  <w:divBdr>
                    <w:top w:val="none" w:sz="0" w:space="0" w:color="auto"/>
                    <w:left w:val="none" w:sz="0" w:space="0" w:color="auto"/>
                    <w:bottom w:val="none" w:sz="0" w:space="0" w:color="auto"/>
                    <w:right w:val="none" w:sz="0" w:space="0" w:color="auto"/>
                  </w:divBdr>
                </w:div>
              </w:divsChild>
            </w:div>
            <w:div w:id="1585722609">
              <w:marLeft w:val="0"/>
              <w:marRight w:val="0"/>
              <w:marTop w:val="0"/>
              <w:marBottom w:val="0"/>
              <w:divBdr>
                <w:top w:val="none" w:sz="0" w:space="0" w:color="auto"/>
                <w:left w:val="none" w:sz="0" w:space="0" w:color="auto"/>
                <w:bottom w:val="none" w:sz="0" w:space="0" w:color="auto"/>
                <w:right w:val="none" w:sz="0" w:space="0" w:color="auto"/>
              </w:divBdr>
              <w:divsChild>
                <w:div w:id="327289456">
                  <w:marLeft w:val="0"/>
                  <w:marRight w:val="0"/>
                  <w:marTop w:val="0"/>
                  <w:marBottom w:val="0"/>
                  <w:divBdr>
                    <w:top w:val="none" w:sz="0" w:space="0" w:color="auto"/>
                    <w:left w:val="none" w:sz="0" w:space="0" w:color="auto"/>
                    <w:bottom w:val="none" w:sz="0" w:space="0" w:color="auto"/>
                    <w:right w:val="none" w:sz="0" w:space="0" w:color="auto"/>
                  </w:divBdr>
                </w:div>
                <w:div w:id="885140994">
                  <w:marLeft w:val="0"/>
                  <w:marRight w:val="0"/>
                  <w:marTop w:val="0"/>
                  <w:marBottom w:val="0"/>
                  <w:divBdr>
                    <w:top w:val="none" w:sz="0" w:space="0" w:color="auto"/>
                    <w:left w:val="none" w:sz="0" w:space="0" w:color="auto"/>
                    <w:bottom w:val="none" w:sz="0" w:space="0" w:color="auto"/>
                    <w:right w:val="none" w:sz="0" w:space="0" w:color="auto"/>
                  </w:divBdr>
                </w:div>
                <w:div w:id="2106919942">
                  <w:marLeft w:val="0"/>
                  <w:marRight w:val="0"/>
                  <w:marTop w:val="0"/>
                  <w:marBottom w:val="0"/>
                  <w:divBdr>
                    <w:top w:val="none" w:sz="0" w:space="0" w:color="auto"/>
                    <w:left w:val="none" w:sz="0" w:space="0" w:color="auto"/>
                    <w:bottom w:val="none" w:sz="0" w:space="0" w:color="auto"/>
                    <w:right w:val="none" w:sz="0" w:space="0" w:color="auto"/>
                  </w:divBdr>
                </w:div>
              </w:divsChild>
            </w:div>
            <w:div w:id="1863543479">
              <w:marLeft w:val="0"/>
              <w:marRight w:val="0"/>
              <w:marTop w:val="0"/>
              <w:marBottom w:val="0"/>
              <w:divBdr>
                <w:top w:val="none" w:sz="0" w:space="0" w:color="auto"/>
                <w:left w:val="none" w:sz="0" w:space="0" w:color="auto"/>
                <w:bottom w:val="none" w:sz="0" w:space="0" w:color="auto"/>
                <w:right w:val="none" w:sz="0" w:space="0" w:color="auto"/>
              </w:divBdr>
              <w:divsChild>
                <w:div w:id="1689602116">
                  <w:marLeft w:val="0"/>
                  <w:marRight w:val="0"/>
                  <w:marTop w:val="0"/>
                  <w:marBottom w:val="0"/>
                  <w:divBdr>
                    <w:top w:val="none" w:sz="0" w:space="0" w:color="auto"/>
                    <w:left w:val="none" w:sz="0" w:space="0" w:color="auto"/>
                    <w:bottom w:val="none" w:sz="0" w:space="0" w:color="auto"/>
                    <w:right w:val="none" w:sz="0" w:space="0" w:color="auto"/>
                  </w:divBdr>
                </w:div>
              </w:divsChild>
            </w:div>
            <w:div w:id="1901790220">
              <w:marLeft w:val="0"/>
              <w:marRight w:val="0"/>
              <w:marTop w:val="0"/>
              <w:marBottom w:val="0"/>
              <w:divBdr>
                <w:top w:val="none" w:sz="0" w:space="0" w:color="auto"/>
                <w:left w:val="none" w:sz="0" w:space="0" w:color="auto"/>
                <w:bottom w:val="none" w:sz="0" w:space="0" w:color="auto"/>
                <w:right w:val="none" w:sz="0" w:space="0" w:color="auto"/>
              </w:divBdr>
              <w:divsChild>
                <w:div w:id="1022900027">
                  <w:marLeft w:val="0"/>
                  <w:marRight w:val="0"/>
                  <w:marTop w:val="0"/>
                  <w:marBottom w:val="0"/>
                  <w:divBdr>
                    <w:top w:val="none" w:sz="0" w:space="0" w:color="auto"/>
                    <w:left w:val="none" w:sz="0" w:space="0" w:color="auto"/>
                    <w:bottom w:val="none" w:sz="0" w:space="0" w:color="auto"/>
                    <w:right w:val="none" w:sz="0" w:space="0" w:color="auto"/>
                  </w:divBdr>
                </w:div>
              </w:divsChild>
            </w:div>
            <w:div w:id="1905722080">
              <w:marLeft w:val="0"/>
              <w:marRight w:val="0"/>
              <w:marTop w:val="0"/>
              <w:marBottom w:val="0"/>
              <w:divBdr>
                <w:top w:val="none" w:sz="0" w:space="0" w:color="auto"/>
                <w:left w:val="none" w:sz="0" w:space="0" w:color="auto"/>
                <w:bottom w:val="none" w:sz="0" w:space="0" w:color="auto"/>
                <w:right w:val="none" w:sz="0" w:space="0" w:color="auto"/>
              </w:divBdr>
              <w:divsChild>
                <w:div w:id="77098295">
                  <w:marLeft w:val="0"/>
                  <w:marRight w:val="0"/>
                  <w:marTop w:val="0"/>
                  <w:marBottom w:val="0"/>
                  <w:divBdr>
                    <w:top w:val="none" w:sz="0" w:space="0" w:color="auto"/>
                    <w:left w:val="none" w:sz="0" w:space="0" w:color="auto"/>
                    <w:bottom w:val="none" w:sz="0" w:space="0" w:color="auto"/>
                    <w:right w:val="none" w:sz="0" w:space="0" w:color="auto"/>
                  </w:divBdr>
                </w:div>
              </w:divsChild>
            </w:div>
            <w:div w:id="1960794377">
              <w:marLeft w:val="0"/>
              <w:marRight w:val="0"/>
              <w:marTop w:val="0"/>
              <w:marBottom w:val="0"/>
              <w:divBdr>
                <w:top w:val="none" w:sz="0" w:space="0" w:color="auto"/>
                <w:left w:val="none" w:sz="0" w:space="0" w:color="auto"/>
                <w:bottom w:val="none" w:sz="0" w:space="0" w:color="auto"/>
                <w:right w:val="none" w:sz="0" w:space="0" w:color="auto"/>
              </w:divBdr>
              <w:divsChild>
                <w:div w:id="692998793">
                  <w:marLeft w:val="0"/>
                  <w:marRight w:val="0"/>
                  <w:marTop w:val="0"/>
                  <w:marBottom w:val="0"/>
                  <w:divBdr>
                    <w:top w:val="none" w:sz="0" w:space="0" w:color="auto"/>
                    <w:left w:val="none" w:sz="0" w:space="0" w:color="auto"/>
                    <w:bottom w:val="none" w:sz="0" w:space="0" w:color="auto"/>
                    <w:right w:val="none" w:sz="0" w:space="0" w:color="auto"/>
                  </w:divBdr>
                </w:div>
              </w:divsChild>
            </w:div>
            <w:div w:id="2001537895">
              <w:marLeft w:val="0"/>
              <w:marRight w:val="0"/>
              <w:marTop w:val="0"/>
              <w:marBottom w:val="0"/>
              <w:divBdr>
                <w:top w:val="none" w:sz="0" w:space="0" w:color="auto"/>
                <w:left w:val="none" w:sz="0" w:space="0" w:color="auto"/>
                <w:bottom w:val="none" w:sz="0" w:space="0" w:color="auto"/>
                <w:right w:val="none" w:sz="0" w:space="0" w:color="auto"/>
              </w:divBdr>
              <w:divsChild>
                <w:div w:id="1941836030">
                  <w:marLeft w:val="0"/>
                  <w:marRight w:val="0"/>
                  <w:marTop w:val="0"/>
                  <w:marBottom w:val="0"/>
                  <w:divBdr>
                    <w:top w:val="none" w:sz="0" w:space="0" w:color="auto"/>
                    <w:left w:val="none" w:sz="0" w:space="0" w:color="auto"/>
                    <w:bottom w:val="none" w:sz="0" w:space="0" w:color="auto"/>
                    <w:right w:val="none" w:sz="0" w:space="0" w:color="auto"/>
                  </w:divBdr>
                </w:div>
              </w:divsChild>
            </w:div>
            <w:div w:id="2122216807">
              <w:marLeft w:val="0"/>
              <w:marRight w:val="0"/>
              <w:marTop w:val="0"/>
              <w:marBottom w:val="0"/>
              <w:divBdr>
                <w:top w:val="none" w:sz="0" w:space="0" w:color="auto"/>
                <w:left w:val="none" w:sz="0" w:space="0" w:color="auto"/>
                <w:bottom w:val="none" w:sz="0" w:space="0" w:color="auto"/>
                <w:right w:val="none" w:sz="0" w:space="0" w:color="auto"/>
              </w:divBdr>
              <w:divsChild>
                <w:div w:id="869759798">
                  <w:marLeft w:val="0"/>
                  <w:marRight w:val="0"/>
                  <w:marTop w:val="0"/>
                  <w:marBottom w:val="0"/>
                  <w:divBdr>
                    <w:top w:val="none" w:sz="0" w:space="0" w:color="auto"/>
                    <w:left w:val="none" w:sz="0" w:space="0" w:color="auto"/>
                    <w:bottom w:val="none" w:sz="0" w:space="0" w:color="auto"/>
                    <w:right w:val="none" w:sz="0" w:space="0" w:color="auto"/>
                  </w:divBdr>
                </w:div>
              </w:divsChild>
            </w:div>
            <w:div w:id="2141871775">
              <w:marLeft w:val="0"/>
              <w:marRight w:val="0"/>
              <w:marTop w:val="0"/>
              <w:marBottom w:val="0"/>
              <w:divBdr>
                <w:top w:val="none" w:sz="0" w:space="0" w:color="auto"/>
                <w:left w:val="none" w:sz="0" w:space="0" w:color="auto"/>
                <w:bottom w:val="none" w:sz="0" w:space="0" w:color="auto"/>
                <w:right w:val="none" w:sz="0" w:space="0" w:color="auto"/>
              </w:divBdr>
              <w:divsChild>
                <w:div w:id="4986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4154">
          <w:marLeft w:val="0"/>
          <w:marRight w:val="0"/>
          <w:marTop w:val="0"/>
          <w:marBottom w:val="0"/>
          <w:divBdr>
            <w:top w:val="none" w:sz="0" w:space="0" w:color="auto"/>
            <w:left w:val="none" w:sz="0" w:space="0" w:color="auto"/>
            <w:bottom w:val="none" w:sz="0" w:space="0" w:color="auto"/>
            <w:right w:val="none" w:sz="0" w:space="0" w:color="auto"/>
          </w:divBdr>
        </w:div>
        <w:div w:id="306789589">
          <w:marLeft w:val="0"/>
          <w:marRight w:val="0"/>
          <w:marTop w:val="0"/>
          <w:marBottom w:val="0"/>
          <w:divBdr>
            <w:top w:val="none" w:sz="0" w:space="0" w:color="auto"/>
            <w:left w:val="none" w:sz="0" w:space="0" w:color="auto"/>
            <w:bottom w:val="none" w:sz="0" w:space="0" w:color="auto"/>
            <w:right w:val="none" w:sz="0" w:space="0" w:color="auto"/>
          </w:divBdr>
        </w:div>
        <w:div w:id="337075621">
          <w:marLeft w:val="0"/>
          <w:marRight w:val="0"/>
          <w:marTop w:val="0"/>
          <w:marBottom w:val="0"/>
          <w:divBdr>
            <w:top w:val="none" w:sz="0" w:space="0" w:color="auto"/>
            <w:left w:val="none" w:sz="0" w:space="0" w:color="auto"/>
            <w:bottom w:val="none" w:sz="0" w:space="0" w:color="auto"/>
            <w:right w:val="none" w:sz="0" w:space="0" w:color="auto"/>
          </w:divBdr>
        </w:div>
        <w:div w:id="337922892">
          <w:marLeft w:val="0"/>
          <w:marRight w:val="0"/>
          <w:marTop w:val="0"/>
          <w:marBottom w:val="0"/>
          <w:divBdr>
            <w:top w:val="none" w:sz="0" w:space="0" w:color="auto"/>
            <w:left w:val="none" w:sz="0" w:space="0" w:color="auto"/>
            <w:bottom w:val="none" w:sz="0" w:space="0" w:color="auto"/>
            <w:right w:val="none" w:sz="0" w:space="0" w:color="auto"/>
          </w:divBdr>
        </w:div>
        <w:div w:id="358700534">
          <w:marLeft w:val="0"/>
          <w:marRight w:val="0"/>
          <w:marTop w:val="0"/>
          <w:marBottom w:val="0"/>
          <w:divBdr>
            <w:top w:val="none" w:sz="0" w:space="0" w:color="auto"/>
            <w:left w:val="none" w:sz="0" w:space="0" w:color="auto"/>
            <w:bottom w:val="none" w:sz="0" w:space="0" w:color="auto"/>
            <w:right w:val="none" w:sz="0" w:space="0" w:color="auto"/>
          </w:divBdr>
        </w:div>
        <w:div w:id="380440665">
          <w:marLeft w:val="0"/>
          <w:marRight w:val="0"/>
          <w:marTop w:val="0"/>
          <w:marBottom w:val="0"/>
          <w:divBdr>
            <w:top w:val="none" w:sz="0" w:space="0" w:color="auto"/>
            <w:left w:val="none" w:sz="0" w:space="0" w:color="auto"/>
            <w:bottom w:val="none" w:sz="0" w:space="0" w:color="auto"/>
            <w:right w:val="none" w:sz="0" w:space="0" w:color="auto"/>
          </w:divBdr>
        </w:div>
        <w:div w:id="405811373">
          <w:marLeft w:val="0"/>
          <w:marRight w:val="0"/>
          <w:marTop w:val="0"/>
          <w:marBottom w:val="0"/>
          <w:divBdr>
            <w:top w:val="none" w:sz="0" w:space="0" w:color="auto"/>
            <w:left w:val="none" w:sz="0" w:space="0" w:color="auto"/>
            <w:bottom w:val="none" w:sz="0" w:space="0" w:color="auto"/>
            <w:right w:val="none" w:sz="0" w:space="0" w:color="auto"/>
          </w:divBdr>
        </w:div>
        <w:div w:id="424083472">
          <w:marLeft w:val="0"/>
          <w:marRight w:val="0"/>
          <w:marTop w:val="0"/>
          <w:marBottom w:val="0"/>
          <w:divBdr>
            <w:top w:val="none" w:sz="0" w:space="0" w:color="auto"/>
            <w:left w:val="none" w:sz="0" w:space="0" w:color="auto"/>
            <w:bottom w:val="none" w:sz="0" w:space="0" w:color="auto"/>
            <w:right w:val="none" w:sz="0" w:space="0" w:color="auto"/>
          </w:divBdr>
        </w:div>
        <w:div w:id="475490300">
          <w:marLeft w:val="0"/>
          <w:marRight w:val="0"/>
          <w:marTop w:val="0"/>
          <w:marBottom w:val="0"/>
          <w:divBdr>
            <w:top w:val="none" w:sz="0" w:space="0" w:color="auto"/>
            <w:left w:val="none" w:sz="0" w:space="0" w:color="auto"/>
            <w:bottom w:val="none" w:sz="0" w:space="0" w:color="auto"/>
            <w:right w:val="none" w:sz="0" w:space="0" w:color="auto"/>
          </w:divBdr>
        </w:div>
        <w:div w:id="527842372">
          <w:marLeft w:val="0"/>
          <w:marRight w:val="0"/>
          <w:marTop w:val="0"/>
          <w:marBottom w:val="0"/>
          <w:divBdr>
            <w:top w:val="none" w:sz="0" w:space="0" w:color="auto"/>
            <w:left w:val="none" w:sz="0" w:space="0" w:color="auto"/>
            <w:bottom w:val="none" w:sz="0" w:space="0" w:color="auto"/>
            <w:right w:val="none" w:sz="0" w:space="0" w:color="auto"/>
          </w:divBdr>
        </w:div>
        <w:div w:id="555555217">
          <w:marLeft w:val="0"/>
          <w:marRight w:val="0"/>
          <w:marTop w:val="0"/>
          <w:marBottom w:val="0"/>
          <w:divBdr>
            <w:top w:val="none" w:sz="0" w:space="0" w:color="auto"/>
            <w:left w:val="none" w:sz="0" w:space="0" w:color="auto"/>
            <w:bottom w:val="none" w:sz="0" w:space="0" w:color="auto"/>
            <w:right w:val="none" w:sz="0" w:space="0" w:color="auto"/>
          </w:divBdr>
        </w:div>
        <w:div w:id="576323638">
          <w:marLeft w:val="0"/>
          <w:marRight w:val="0"/>
          <w:marTop w:val="0"/>
          <w:marBottom w:val="0"/>
          <w:divBdr>
            <w:top w:val="none" w:sz="0" w:space="0" w:color="auto"/>
            <w:left w:val="none" w:sz="0" w:space="0" w:color="auto"/>
            <w:bottom w:val="none" w:sz="0" w:space="0" w:color="auto"/>
            <w:right w:val="none" w:sz="0" w:space="0" w:color="auto"/>
          </w:divBdr>
        </w:div>
        <w:div w:id="598441959">
          <w:marLeft w:val="0"/>
          <w:marRight w:val="0"/>
          <w:marTop w:val="0"/>
          <w:marBottom w:val="0"/>
          <w:divBdr>
            <w:top w:val="none" w:sz="0" w:space="0" w:color="auto"/>
            <w:left w:val="none" w:sz="0" w:space="0" w:color="auto"/>
            <w:bottom w:val="none" w:sz="0" w:space="0" w:color="auto"/>
            <w:right w:val="none" w:sz="0" w:space="0" w:color="auto"/>
          </w:divBdr>
        </w:div>
        <w:div w:id="602760220">
          <w:marLeft w:val="0"/>
          <w:marRight w:val="0"/>
          <w:marTop w:val="0"/>
          <w:marBottom w:val="0"/>
          <w:divBdr>
            <w:top w:val="none" w:sz="0" w:space="0" w:color="auto"/>
            <w:left w:val="none" w:sz="0" w:space="0" w:color="auto"/>
            <w:bottom w:val="none" w:sz="0" w:space="0" w:color="auto"/>
            <w:right w:val="none" w:sz="0" w:space="0" w:color="auto"/>
          </w:divBdr>
        </w:div>
        <w:div w:id="613442785">
          <w:marLeft w:val="0"/>
          <w:marRight w:val="0"/>
          <w:marTop w:val="0"/>
          <w:marBottom w:val="0"/>
          <w:divBdr>
            <w:top w:val="none" w:sz="0" w:space="0" w:color="auto"/>
            <w:left w:val="none" w:sz="0" w:space="0" w:color="auto"/>
            <w:bottom w:val="none" w:sz="0" w:space="0" w:color="auto"/>
            <w:right w:val="none" w:sz="0" w:space="0" w:color="auto"/>
          </w:divBdr>
        </w:div>
        <w:div w:id="644353570">
          <w:marLeft w:val="0"/>
          <w:marRight w:val="0"/>
          <w:marTop w:val="0"/>
          <w:marBottom w:val="0"/>
          <w:divBdr>
            <w:top w:val="none" w:sz="0" w:space="0" w:color="auto"/>
            <w:left w:val="none" w:sz="0" w:space="0" w:color="auto"/>
            <w:bottom w:val="none" w:sz="0" w:space="0" w:color="auto"/>
            <w:right w:val="none" w:sz="0" w:space="0" w:color="auto"/>
          </w:divBdr>
        </w:div>
        <w:div w:id="676152125">
          <w:marLeft w:val="0"/>
          <w:marRight w:val="0"/>
          <w:marTop w:val="0"/>
          <w:marBottom w:val="0"/>
          <w:divBdr>
            <w:top w:val="none" w:sz="0" w:space="0" w:color="auto"/>
            <w:left w:val="none" w:sz="0" w:space="0" w:color="auto"/>
            <w:bottom w:val="none" w:sz="0" w:space="0" w:color="auto"/>
            <w:right w:val="none" w:sz="0" w:space="0" w:color="auto"/>
          </w:divBdr>
        </w:div>
        <w:div w:id="678584572">
          <w:marLeft w:val="0"/>
          <w:marRight w:val="0"/>
          <w:marTop w:val="0"/>
          <w:marBottom w:val="0"/>
          <w:divBdr>
            <w:top w:val="none" w:sz="0" w:space="0" w:color="auto"/>
            <w:left w:val="none" w:sz="0" w:space="0" w:color="auto"/>
            <w:bottom w:val="none" w:sz="0" w:space="0" w:color="auto"/>
            <w:right w:val="none" w:sz="0" w:space="0" w:color="auto"/>
          </w:divBdr>
        </w:div>
        <w:div w:id="683366643">
          <w:marLeft w:val="0"/>
          <w:marRight w:val="0"/>
          <w:marTop w:val="0"/>
          <w:marBottom w:val="0"/>
          <w:divBdr>
            <w:top w:val="none" w:sz="0" w:space="0" w:color="auto"/>
            <w:left w:val="none" w:sz="0" w:space="0" w:color="auto"/>
            <w:bottom w:val="none" w:sz="0" w:space="0" w:color="auto"/>
            <w:right w:val="none" w:sz="0" w:space="0" w:color="auto"/>
          </w:divBdr>
        </w:div>
        <w:div w:id="689767406">
          <w:marLeft w:val="0"/>
          <w:marRight w:val="0"/>
          <w:marTop w:val="0"/>
          <w:marBottom w:val="0"/>
          <w:divBdr>
            <w:top w:val="none" w:sz="0" w:space="0" w:color="auto"/>
            <w:left w:val="none" w:sz="0" w:space="0" w:color="auto"/>
            <w:bottom w:val="none" w:sz="0" w:space="0" w:color="auto"/>
            <w:right w:val="none" w:sz="0" w:space="0" w:color="auto"/>
          </w:divBdr>
        </w:div>
        <w:div w:id="715663148">
          <w:marLeft w:val="0"/>
          <w:marRight w:val="0"/>
          <w:marTop w:val="0"/>
          <w:marBottom w:val="0"/>
          <w:divBdr>
            <w:top w:val="none" w:sz="0" w:space="0" w:color="auto"/>
            <w:left w:val="none" w:sz="0" w:space="0" w:color="auto"/>
            <w:bottom w:val="none" w:sz="0" w:space="0" w:color="auto"/>
            <w:right w:val="none" w:sz="0" w:space="0" w:color="auto"/>
          </w:divBdr>
        </w:div>
        <w:div w:id="732194992">
          <w:marLeft w:val="0"/>
          <w:marRight w:val="0"/>
          <w:marTop w:val="0"/>
          <w:marBottom w:val="0"/>
          <w:divBdr>
            <w:top w:val="none" w:sz="0" w:space="0" w:color="auto"/>
            <w:left w:val="none" w:sz="0" w:space="0" w:color="auto"/>
            <w:bottom w:val="none" w:sz="0" w:space="0" w:color="auto"/>
            <w:right w:val="none" w:sz="0" w:space="0" w:color="auto"/>
          </w:divBdr>
        </w:div>
        <w:div w:id="752775010">
          <w:marLeft w:val="0"/>
          <w:marRight w:val="0"/>
          <w:marTop w:val="0"/>
          <w:marBottom w:val="0"/>
          <w:divBdr>
            <w:top w:val="none" w:sz="0" w:space="0" w:color="auto"/>
            <w:left w:val="none" w:sz="0" w:space="0" w:color="auto"/>
            <w:bottom w:val="none" w:sz="0" w:space="0" w:color="auto"/>
            <w:right w:val="none" w:sz="0" w:space="0" w:color="auto"/>
          </w:divBdr>
        </w:div>
        <w:div w:id="756756885">
          <w:marLeft w:val="0"/>
          <w:marRight w:val="0"/>
          <w:marTop w:val="0"/>
          <w:marBottom w:val="0"/>
          <w:divBdr>
            <w:top w:val="none" w:sz="0" w:space="0" w:color="auto"/>
            <w:left w:val="none" w:sz="0" w:space="0" w:color="auto"/>
            <w:bottom w:val="none" w:sz="0" w:space="0" w:color="auto"/>
            <w:right w:val="none" w:sz="0" w:space="0" w:color="auto"/>
          </w:divBdr>
        </w:div>
        <w:div w:id="774908090">
          <w:marLeft w:val="0"/>
          <w:marRight w:val="0"/>
          <w:marTop w:val="0"/>
          <w:marBottom w:val="0"/>
          <w:divBdr>
            <w:top w:val="none" w:sz="0" w:space="0" w:color="auto"/>
            <w:left w:val="none" w:sz="0" w:space="0" w:color="auto"/>
            <w:bottom w:val="none" w:sz="0" w:space="0" w:color="auto"/>
            <w:right w:val="none" w:sz="0" w:space="0" w:color="auto"/>
          </w:divBdr>
        </w:div>
        <w:div w:id="785317977">
          <w:marLeft w:val="0"/>
          <w:marRight w:val="0"/>
          <w:marTop w:val="0"/>
          <w:marBottom w:val="0"/>
          <w:divBdr>
            <w:top w:val="none" w:sz="0" w:space="0" w:color="auto"/>
            <w:left w:val="none" w:sz="0" w:space="0" w:color="auto"/>
            <w:bottom w:val="none" w:sz="0" w:space="0" w:color="auto"/>
            <w:right w:val="none" w:sz="0" w:space="0" w:color="auto"/>
          </w:divBdr>
        </w:div>
        <w:div w:id="790444571">
          <w:marLeft w:val="0"/>
          <w:marRight w:val="0"/>
          <w:marTop w:val="0"/>
          <w:marBottom w:val="0"/>
          <w:divBdr>
            <w:top w:val="none" w:sz="0" w:space="0" w:color="auto"/>
            <w:left w:val="none" w:sz="0" w:space="0" w:color="auto"/>
            <w:bottom w:val="none" w:sz="0" w:space="0" w:color="auto"/>
            <w:right w:val="none" w:sz="0" w:space="0" w:color="auto"/>
          </w:divBdr>
        </w:div>
        <w:div w:id="825514423">
          <w:marLeft w:val="0"/>
          <w:marRight w:val="0"/>
          <w:marTop w:val="0"/>
          <w:marBottom w:val="0"/>
          <w:divBdr>
            <w:top w:val="none" w:sz="0" w:space="0" w:color="auto"/>
            <w:left w:val="none" w:sz="0" w:space="0" w:color="auto"/>
            <w:bottom w:val="none" w:sz="0" w:space="0" w:color="auto"/>
            <w:right w:val="none" w:sz="0" w:space="0" w:color="auto"/>
          </w:divBdr>
        </w:div>
        <w:div w:id="845248006">
          <w:marLeft w:val="0"/>
          <w:marRight w:val="0"/>
          <w:marTop w:val="0"/>
          <w:marBottom w:val="0"/>
          <w:divBdr>
            <w:top w:val="none" w:sz="0" w:space="0" w:color="auto"/>
            <w:left w:val="none" w:sz="0" w:space="0" w:color="auto"/>
            <w:bottom w:val="none" w:sz="0" w:space="0" w:color="auto"/>
            <w:right w:val="none" w:sz="0" w:space="0" w:color="auto"/>
          </w:divBdr>
        </w:div>
        <w:div w:id="866143895">
          <w:marLeft w:val="-75"/>
          <w:marRight w:val="0"/>
          <w:marTop w:val="30"/>
          <w:marBottom w:val="30"/>
          <w:divBdr>
            <w:top w:val="none" w:sz="0" w:space="0" w:color="auto"/>
            <w:left w:val="none" w:sz="0" w:space="0" w:color="auto"/>
            <w:bottom w:val="none" w:sz="0" w:space="0" w:color="auto"/>
            <w:right w:val="none" w:sz="0" w:space="0" w:color="auto"/>
          </w:divBdr>
          <w:divsChild>
            <w:div w:id="106199447">
              <w:marLeft w:val="0"/>
              <w:marRight w:val="0"/>
              <w:marTop w:val="0"/>
              <w:marBottom w:val="0"/>
              <w:divBdr>
                <w:top w:val="none" w:sz="0" w:space="0" w:color="auto"/>
                <w:left w:val="none" w:sz="0" w:space="0" w:color="auto"/>
                <w:bottom w:val="none" w:sz="0" w:space="0" w:color="auto"/>
                <w:right w:val="none" w:sz="0" w:space="0" w:color="auto"/>
              </w:divBdr>
              <w:divsChild>
                <w:div w:id="2039617911">
                  <w:marLeft w:val="0"/>
                  <w:marRight w:val="0"/>
                  <w:marTop w:val="0"/>
                  <w:marBottom w:val="0"/>
                  <w:divBdr>
                    <w:top w:val="none" w:sz="0" w:space="0" w:color="auto"/>
                    <w:left w:val="none" w:sz="0" w:space="0" w:color="auto"/>
                    <w:bottom w:val="none" w:sz="0" w:space="0" w:color="auto"/>
                    <w:right w:val="none" w:sz="0" w:space="0" w:color="auto"/>
                  </w:divBdr>
                </w:div>
              </w:divsChild>
            </w:div>
            <w:div w:id="120995937">
              <w:marLeft w:val="0"/>
              <w:marRight w:val="0"/>
              <w:marTop w:val="0"/>
              <w:marBottom w:val="0"/>
              <w:divBdr>
                <w:top w:val="none" w:sz="0" w:space="0" w:color="auto"/>
                <w:left w:val="none" w:sz="0" w:space="0" w:color="auto"/>
                <w:bottom w:val="none" w:sz="0" w:space="0" w:color="auto"/>
                <w:right w:val="none" w:sz="0" w:space="0" w:color="auto"/>
              </w:divBdr>
              <w:divsChild>
                <w:div w:id="190846674">
                  <w:marLeft w:val="0"/>
                  <w:marRight w:val="0"/>
                  <w:marTop w:val="0"/>
                  <w:marBottom w:val="0"/>
                  <w:divBdr>
                    <w:top w:val="none" w:sz="0" w:space="0" w:color="auto"/>
                    <w:left w:val="none" w:sz="0" w:space="0" w:color="auto"/>
                    <w:bottom w:val="none" w:sz="0" w:space="0" w:color="auto"/>
                    <w:right w:val="none" w:sz="0" w:space="0" w:color="auto"/>
                  </w:divBdr>
                </w:div>
              </w:divsChild>
            </w:div>
            <w:div w:id="154495054">
              <w:marLeft w:val="0"/>
              <w:marRight w:val="0"/>
              <w:marTop w:val="0"/>
              <w:marBottom w:val="0"/>
              <w:divBdr>
                <w:top w:val="none" w:sz="0" w:space="0" w:color="auto"/>
                <w:left w:val="none" w:sz="0" w:space="0" w:color="auto"/>
                <w:bottom w:val="none" w:sz="0" w:space="0" w:color="auto"/>
                <w:right w:val="none" w:sz="0" w:space="0" w:color="auto"/>
              </w:divBdr>
              <w:divsChild>
                <w:div w:id="1656372685">
                  <w:marLeft w:val="0"/>
                  <w:marRight w:val="0"/>
                  <w:marTop w:val="0"/>
                  <w:marBottom w:val="0"/>
                  <w:divBdr>
                    <w:top w:val="none" w:sz="0" w:space="0" w:color="auto"/>
                    <w:left w:val="none" w:sz="0" w:space="0" w:color="auto"/>
                    <w:bottom w:val="none" w:sz="0" w:space="0" w:color="auto"/>
                    <w:right w:val="none" w:sz="0" w:space="0" w:color="auto"/>
                  </w:divBdr>
                </w:div>
              </w:divsChild>
            </w:div>
            <w:div w:id="162207663">
              <w:marLeft w:val="0"/>
              <w:marRight w:val="0"/>
              <w:marTop w:val="0"/>
              <w:marBottom w:val="0"/>
              <w:divBdr>
                <w:top w:val="none" w:sz="0" w:space="0" w:color="auto"/>
                <w:left w:val="none" w:sz="0" w:space="0" w:color="auto"/>
                <w:bottom w:val="none" w:sz="0" w:space="0" w:color="auto"/>
                <w:right w:val="none" w:sz="0" w:space="0" w:color="auto"/>
              </w:divBdr>
              <w:divsChild>
                <w:div w:id="773407215">
                  <w:marLeft w:val="0"/>
                  <w:marRight w:val="0"/>
                  <w:marTop w:val="0"/>
                  <w:marBottom w:val="0"/>
                  <w:divBdr>
                    <w:top w:val="none" w:sz="0" w:space="0" w:color="auto"/>
                    <w:left w:val="none" w:sz="0" w:space="0" w:color="auto"/>
                    <w:bottom w:val="none" w:sz="0" w:space="0" w:color="auto"/>
                    <w:right w:val="none" w:sz="0" w:space="0" w:color="auto"/>
                  </w:divBdr>
                </w:div>
                <w:div w:id="1519545052">
                  <w:marLeft w:val="0"/>
                  <w:marRight w:val="0"/>
                  <w:marTop w:val="0"/>
                  <w:marBottom w:val="0"/>
                  <w:divBdr>
                    <w:top w:val="none" w:sz="0" w:space="0" w:color="auto"/>
                    <w:left w:val="none" w:sz="0" w:space="0" w:color="auto"/>
                    <w:bottom w:val="none" w:sz="0" w:space="0" w:color="auto"/>
                    <w:right w:val="none" w:sz="0" w:space="0" w:color="auto"/>
                  </w:divBdr>
                </w:div>
              </w:divsChild>
            </w:div>
            <w:div w:id="391660066">
              <w:marLeft w:val="0"/>
              <w:marRight w:val="0"/>
              <w:marTop w:val="0"/>
              <w:marBottom w:val="0"/>
              <w:divBdr>
                <w:top w:val="none" w:sz="0" w:space="0" w:color="auto"/>
                <w:left w:val="none" w:sz="0" w:space="0" w:color="auto"/>
                <w:bottom w:val="none" w:sz="0" w:space="0" w:color="auto"/>
                <w:right w:val="none" w:sz="0" w:space="0" w:color="auto"/>
              </w:divBdr>
              <w:divsChild>
                <w:div w:id="996113774">
                  <w:marLeft w:val="0"/>
                  <w:marRight w:val="0"/>
                  <w:marTop w:val="0"/>
                  <w:marBottom w:val="0"/>
                  <w:divBdr>
                    <w:top w:val="none" w:sz="0" w:space="0" w:color="auto"/>
                    <w:left w:val="none" w:sz="0" w:space="0" w:color="auto"/>
                    <w:bottom w:val="none" w:sz="0" w:space="0" w:color="auto"/>
                    <w:right w:val="none" w:sz="0" w:space="0" w:color="auto"/>
                  </w:divBdr>
                </w:div>
              </w:divsChild>
            </w:div>
            <w:div w:id="413165859">
              <w:marLeft w:val="0"/>
              <w:marRight w:val="0"/>
              <w:marTop w:val="0"/>
              <w:marBottom w:val="0"/>
              <w:divBdr>
                <w:top w:val="none" w:sz="0" w:space="0" w:color="auto"/>
                <w:left w:val="none" w:sz="0" w:space="0" w:color="auto"/>
                <w:bottom w:val="none" w:sz="0" w:space="0" w:color="auto"/>
                <w:right w:val="none" w:sz="0" w:space="0" w:color="auto"/>
              </w:divBdr>
              <w:divsChild>
                <w:div w:id="828398599">
                  <w:marLeft w:val="0"/>
                  <w:marRight w:val="0"/>
                  <w:marTop w:val="0"/>
                  <w:marBottom w:val="0"/>
                  <w:divBdr>
                    <w:top w:val="none" w:sz="0" w:space="0" w:color="auto"/>
                    <w:left w:val="none" w:sz="0" w:space="0" w:color="auto"/>
                    <w:bottom w:val="none" w:sz="0" w:space="0" w:color="auto"/>
                    <w:right w:val="none" w:sz="0" w:space="0" w:color="auto"/>
                  </w:divBdr>
                </w:div>
              </w:divsChild>
            </w:div>
            <w:div w:id="417408826">
              <w:marLeft w:val="0"/>
              <w:marRight w:val="0"/>
              <w:marTop w:val="0"/>
              <w:marBottom w:val="0"/>
              <w:divBdr>
                <w:top w:val="none" w:sz="0" w:space="0" w:color="auto"/>
                <w:left w:val="none" w:sz="0" w:space="0" w:color="auto"/>
                <w:bottom w:val="none" w:sz="0" w:space="0" w:color="auto"/>
                <w:right w:val="none" w:sz="0" w:space="0" w:color="auto"/>
              </w:divBdr>
              <w:divsChild>
                <w:div w:id="1062017937">
                  <w:marLeft w:val="0"/>
                  <w:marRight w:val="0"/>
                  <w:marTop w:val="0"/>
                  <w:marBottom w:val="0"/>
                  <w:divBdr>
                    <w:top w:val="none" w:sz="0" w:space="0" w:color="auto"/>
                    <w:left w:val="none" w:sz="0" w:space="0" w:color="auto"/>
                    <w:bottom w:val="none" w:sz="0" w:space="0" w:color="auto"/>
                    <w:right w:val="none" w:sz="0" w:space="0" w:color="auto"/>
                  </w:divBdr>
                </w:div>
              </w:divsChild>
            </w:div>
            <w:div w:id="418865239">
              <w:marLeft w:val="0"/>
              <w:marRight w:val="0"/>
              <w:marTop w:val="0"/>
              <w:marBottom w:val="0"/>
              <w:divBdr>
                <w:top w:val="none" w:sz="0" w:space="0" w:color="auto"/>
                <w:left w:val="none" w:sz="0" w:space="0" w:color="auto"/>
                <w:bottom w:val="none" w:sz="0" w:space="0" w:color="auto"/>
                <w:right w:val="none" w:sz="0" w:space="0" w:color="auto"/>
              </w:divBdr>
              <w:divsChild>
                <w:div w:id="1134911485">
                  <w:marLeft w:val="0"/>
                  <w:marRight w:val="0"/>
                  <w:marTop w:val="0"/>
                  <w:marBottom w:val="0"/>
                  <w:divBdr>
                    <w:top w:val="none" w:sz="0" w:space="0" w:color="auto"/>
                    <w:left w:val="none" w:sz="0" w:space="0" w:color="auto"/>
                    <w:bottom w:val="none" w:sz="0" w:space="0" w:color="auto"/>
                    <w:right w:val="none" w:sz="0" w:space="0" w:color="auto"/>
                  </w:divBdr>
                </w:div>
              </w:divsChild>
            </w:div>
            <w:div w:id="696275795">
              <w:marLeft w:val="0"/>
              <w:marRight w:val="0"/>
              <w:marTop w:val="0"/>
              <w:marBottom w:val="0"/>
              <w:divBdr>
                <w:top w:val="none" w:sz="0" w:space="0" w:color="auto"/>
                <w:left w:val="none" w:sz="0" w:space="0" w:color="auto"/>
                <w:bottom w:val="none" w:sz="0" w:space="0" w:color="auto"/>
                <w:right w:val="none" w:sz="0" w:space="0" w:color="auto"/>
              </w:divBdr>
              <w:divsChild>
                <w:div w:id="1009454292">
                  <w:marLeft w:val="0"/>
                  <w:marRight w:val="0"/>
                  <w:marTop w:val="0"/>
                  <w:marBottom w:val="0"/>
                  <w:divBdr>
                    <w:top w:val="none" w:sz="0" w:space="0" w:color="auto"/>
                    <w:left w:val="none" w:sz="0" w:space="0" w:color="auto"/>
                    <w:bottom w:val="none" w:sz="0" w:space="0" w:color="auto"/>
                    <w:right w:val="none" w:sz="0" w:space="0" w:color="auto"/>
                  </w:divBdr>
                </w:div>
              </w:divsChild>
            </w:div>
            <w:div w:id="728961350">
              <w:marLeft w:val="0"/>
              <w:marRight w:val="0"/>
              <w:marTop w:val="0"/>
              <w:marBottom w:val="0"/>
              <w:divBdr>
                <w:top w:val="none" w:sz="0" w:space="0" w:color="auto"/>
                <w:left w:val="none" w:sz="0" w:space="0" w:color="auto"/>
                <w:bottom w:val="none" w:sz="0" w:space="0" w:color="auto"/>
                <w:right w:val="none" w:sz="0" w:space="0" w:color="auto"/>
              </w:divBdr>
              <w:divsChild>
                <w:div w:id="764114083">
                  <w:marLeft w:val="0"/>
                  <w:marRight w:val="0"/>
                  <w:marTop w:val="0"/>
                  <w:marBottom w:val="0"/>
                  <w:divBdr>
                    <w:top w:val="none" w:sz="0" w:space="0" w:color="auto"/>
                    <w:left w:val="none" w:sz="0" w:space="0" w:color="auto"/>
                    <w:bottom w:val="none" w:sz="0" w:space="0" w:color="auto"/>
                    <w:right w:val="none" w:sz="0" w:space="0" w:color="auto"/>
                  </w:divBdr>
                </w:div>
              </w:divsChild>
            </w:div>
            <w:div w:id="831218863">
              <w:marLeft w:val="0"/>
              <w:marRight w:val="0"/>
              <w:marTop w:val="0"/>
              <w:marBottom w:val="0"/>
              <w:divBdr>
                <w:top w:val="none" w:sz="0" w:space="0" w:color="auto"/>
                <w:left w:val="none" w:sz="0" w:space="0" w:color="auto"/>
                <w:bottom w:val="none" w:sz="0" w:space="0" w:color="auto"/>
                <w:right w:val="none" w:sz="0" w:space="0" w:color="auto"/>
              </w:divBdr>
              <w:divsChild>
                <w:div w:id="1681076742">
                  <w:marLeft w:val="0"/>
                  <w:marRight w:val="0"/>
                  <w:marTop w:val="0"/>
                  <w:marBottom w:val="0"/>
                  <w:divBdr>
                    <w:top w:val="none" w:sz="0" w:space="0" w:color="auto"/>
                    <w:left w:val="none" w:sz="0" w:space="0" w:color="auto"/>
                    <w:bottom w:val="none" w:sz="0" w:space="0" w:color="auto"/>
                    <w:right w:val="none" w:sz="0" w:space="0" w:color="auto"/>
                  </w:divBdr>
                </w:div>
              </w:divsChild>
            </w:div>
            <w:div w:id="1056316418">
              <w:marLeft w:val="0"/>
              <w:marRight w:val="0"/>
              <w:marTop w:val="0"/>
              <w:marBottom w:val="0"/>
              <w:divBdr>
                <w:top w:val="none" w:sz="0" w:space="0" w:color="auto"/>
                <w:left w:val="none" w:sz="0" w:space="0" w:color="auto"/>
                <w:bottom w:val="none" w:sz="0" w:space="0" w:color="auto"/>
                <w:right w:val="none" w:sz="0" w:space="0" w:color="auto"/>
              </w:divBdr>
              <w:divsChild>
                <w:div w:id="305015222">
                  <w:marLeft w:val="0"/>
                  <w:marRight w:val="0"/>
                  <w:marTop w:val="0"/>
                  <w:marBottom w:val="0"/>
                  <w:divBdr>
                    <w:top w:val="none" w:sz="0" w:space="0" w:color="auto"/>
                    <w:left w:val="none" w:sz="0" w:space="0" w:color="auto"/>
                    <w:bottom w:val="none" w:sz="0" w:space="0" w:color="auto"/>
                    <w:right w:val="none" w:sz="0" w:space="0" w:color="auto"/>
                  </w:divBdr>
                </w:div>
              </w:divsChild>
            </w:div>
            <w:div w:id="1104114692">
              <w:marLeft w:val="0"/>
              <w:marRight w:val="0"/>
              <w:marTop w:val="0"/>
              <w:marBottom w:val="0"/>
              <w:divBdr>
                <w:top w:val="none" w:sz="0" w:space="0" w:color="auto"/>
                <w:left w:val="none" w:sz="0" w:space="0" w:color="auto"/>
                <w:bottom w:val="none" w:sz="0" w:space="0" w:color="auto"/>
                <w:right w:val="none" w:sz="0" w:space="0" w:color="auto"/>
              </w:divBdr>
              <w:divsChild>
                <w:div w:id="1440679614">
                  <w:marLeft w:val="0"/>
                  <w:marRight w:val="0"/>
                  <w:marTop w:val="0"/>
                  <w:marBottom w:val="0"/>
                  <w:divBdr>
                    <w:top w:val="none" w:sz="0" w:space="0" w:color="auto"/>
                    <w:left w:val="none" w:sz="0" w:space="0" w:color="auto"/>
                    <w:bottom w:val="none" w:sz="0" w:space="0" w:color="auto"/>
                    <w:right w:val="none" w:sz="0" w:space="0" w:color="auto"/>
                  </w:divBdr>
                </w:div>
              </w:divsChild>
            </w:div>
            <w:div w:id="1188105366">
              <w:marLeft w:val="0"/>
              <w:marRight w:val="0"/>
              <w:marTop w:val="0"/>
              <w:marBottom w:val="0"/>
              <w:divBdr>
                <w:top w:val="none" w:sz="0" w:space="0" w:color="auto"/>
                <w:left w:val="none" w:sz="0" w:space="0" w:color="auto"/>
                <w:bottom w:val="none" w:sz="0" w:space="0" w:color="auto"/>
                <w:right w:val="none" w:sz="0" w:space="0" w:color="auto"/>
              </w:divBdr>
              <w:divsChild>
                <w:div w:id="1532263329">
                  <w:marLeft w:val="0"/>
                  <w:marRight w:val="0"/>
                  <w:marTop w:val="0"/>
                  <w:marBottom w:val="0"/>
                  <w:divBdr>
                    <w:top w:val="none" w:sz="0" w:space="0" w:color="auto"/>
                    <w:left w:val="none" w:sz="0" w:space="0" w:color="auto"/>
                    <w:bottom w:val="none" w:sz="0" w:space="0" w:color="auto"/>
                    <w:right w:val="none" w:sz="0" w:space="0" w:color="auto"/>
                  </w:divBdr>
                </w:div>
                <w:div w:id="1914776247">
                  <w:marLeft w:val="0"/>
                  <w:marRight w:val="0"/>
                  <w:marTop w:val="0"/>
                  <w:marBottom w:val="0"/>
                  <w:divBdr>
                    <w:top w:val="none" w:sz="0" w:space="0" w:color="auto"/>
                    <w:left w:val="none" w:sz="0" w:space="0" w:color="auto"/>
                    <w:bottom w:val="none" w:sz="0" w:space="0" w:color="auto"/>
                    <w:right w:val="none" w:sz="0" w:space="0" w:color="auto"/>
                  </w:divBdr>
                </w:div>
              </w:divsChild>
            </w:div>
            <w:div w:id="1238633112">
              <w:marLeft w:val="0"/>
              <w:marRight w:val="0"/>
              <w:marTop w:val="0"/>
              <w:marBottom w:val="0"/>
              <w:divBdr>
                <w:top w:val="none" w:sz="0" w:space="0" w:color="auto"/>
                <w:left w:val="none" w:sz="0" w:space="0" w:color="auto"/>
                <w:bottom w:val="none" w:sz="0" w:space="0" w:color="auto"/>
                <w:right w:val="none" w:sz="0" w:space="0" w:color="auto"/>
              </w:divBdr>
              <w:divsChild>
                <w:div w:id="1388601429">
                  <w:marLeft w:val="0"/>
                  <w:marRight w:val="0"/>
                  <w:marTop w:val="0"/>
                  <w:marBottom w:val="0"/>
                  <w:divBdr>
                    <w:top w:val="none" w:sz="0" w:space="0" w:color="auto"/>
                    <w:left w:val="none" w:sz="0" w:space="0" w:color="auto"/>
                    <w:bottom w:val="none" w:sz="0" w:space="0" w:color="auto"/>
                    <w:right w:val="none" w:sz="0" w:space="0" w:color="auto"/>
                  </w:divBdr>
                </w:div>
              </w:divsChild>
            </w:div>
            <w:div w:id="1338920321">
              <w:marLeft w:val="0"/>
              <w:marRight w:val="0"/>
              <w:marTop w:val="0"/>
              <w:marBottom w:val="0"/>
              <w:divBdr>
                <w:top w:val="none" w:sz="0" w:space="0" w:color="auto"/>
                <w:left w:val="none" w:sz="0" w:space="0" w:color="auto"/>
                <w:bottom w:val="none" w:sz="0" w:space="0" w:color="auto"/>
                <w:right w:val="none" w:sz="0" w:space="0" w:color="auto"/>
              </w:divBdr>
              <w:divsChild>
                <w:div w:id="584151804">
                  <w:marLeft w:val="0"/>
                  <w:marRight w:val="0"/>
                  <w:marTop w:val="0"/>
                  <w:marBottom w:val="0"/>
                  <w:divBdr>
                    <w:top w:val="none" w:sz="0" w:space="0" w:color="auto"/>
                    <w:left w:val="none" w:sz="0" w:space="0" w:color="auto"/>
                    <w:bottom w:val="none" w:sz="0" w:space="0" w:color="auto"/>
                    <w:right w:val="none" w:sz="0" w:space="0" w:color="auto"/>
                  </w:divBdr>
                </w:div>
              </w:divsChild>
            </w:div>
            <w:div w:id="1503550629">
              <w:marLeft w:val="0"/>
              <w:marRight w:val="0"/>
              <w:marTop w:val="0"/>
              <w:marBottom w:val="0"/>
              <w:divBdr>
                <w:top w:val="none" w:sz="0" w:space="0" w:color="auto"/>
                <w:left w:val="none" w:sz="0" w:space="0" w:color="auto"/>
                <w:bottom w:val="none" w:sz="0" w:space="0" w:color="auto"/>
                <w:right w:val="none" w:sz="0" w:space="0" w:color="auto"/>
              </w:divBdr>
              <w:divsChild>
                <w:div w:id="915624281">
                  <w:marLeft w:val="0"/>
                  <w:marRight w:val="0"/>
                  <w:marTop w:val="0"/>
                  <w:marBottom w:val="0"/>
                  <w:divBdr>
                    <w:top w:val="none" w:sz="0" w:space="0" w:color="auto"/>
                    <w:left w:val="none" w:sz="0" w:space="0" w:color="auto"/>
                    <w:bottom w:val="none" w:sz="0" w:space="0" w:color="auto"/>
                    <w:right w:val="none" w:sz="0" w:space="0" w:color="auto"/>
                  </w:divBdr>
                </w:div>
              </w:divsChild>
            </w:div>
            <w:div w:id="1775049605">
              <w:marLeft w:val="0"/>
              <w:marRight w:val="0"/>
              <w:marTop w:val="0"/>
              <w:marBottom w:val="0"/>
              <w:divBdr>
                <w:top w:val="none" w:sz="0" w:space="0" w:color="auto"/>
                <w:left w:val="none" w:sz="0" w:space="0" w:color="auto"/>
                <w:bottom w:val="none" w:sz="0" w:space="0" w:color="auto"/>
                <w:right w:val="none" w:sz="0" w:space="0" w:color="auto"/>
              </w:divBdr>
              <w:divsChild>
                <w:div w:id="396242877">
                  <w:marLeft w:val="0"/>
                  <w:marRight w:val="0"/>
                  <w:marTop w:val="0"/>
                  <w:marBottom w:val="0"/>
                  <w:divBdr>
                    <w:top w:val="none" w:sz="0" w:space="0" w:color="auto"/>
                    <w:left w:val="none" w:sz="0" w:space="0" w:color="auto"/>
                    <w:bottom w:val="none" w:sz="0" w:space="0" w:color="auto"/>
                    <w:right w:val="none" w:sz="0" w:space="0" w:color="auto"/>
                  </w:divBdr>
                </w:div>
              </w:divsChild>
            </w:div>
            <w:div w:id="1875730016">
              <w:marLeft w:val="0"/>
              <w:marRight w:val="0"/>
              <w:marTop w:val="0"/>
              <w:marBottom w:val="0"/>
              <w:divBdr>
                <w:top w:val="none" w:sz="0" w:space="0" w:color="auto"/>
                <w:left w:val="none" w:sz="0" w:space="0" w:color="auto"/>
                <w:bottom w:val="none" w:sz="0" w:space="0" w:color="auto"/>
                <w:right w:val="none" w:sz="0" w:space="0" w:color="auto"/>
              </w:divBdr>
              <w:divsChild>
                <w:div w:id="258491813">
                  <w:marLeft w:val="0"/>
                  <w:marRight w:val="0"/>
                  <w:marTop w:val="0"/>
                  <w:marBottom w:val="0"/>
                  <w:divBdr>
                    <w:top w:val="none" w:sz="0" w:space="0" w:color="auto"/>
                    <w:left w:val="none" w:sz="0" w:space="0" w:color="auto"/>
                    <w:bottom w:val="none" w:sz="0" w:space="0" w:color="auto"/>
                    <w:right w:val="none" w:sz="0" w:space="0" w:color="auto"/>
                  </w:divBdr>
                </w:div>
              </w:divsChild>
            </w:div>
            <w:div w:id="1904634166">
              <w:marLeft w:val="0"/>
              <w:marRight w:val="0"/>
              <w:marTop w:val="0"/>
              <w:marBottom w:val="0"/>
              <w:divBdr>
                <w:top w:val="none" w:sz="0" w:space="0" w:color="auto"/>
                <w:left w:val="none" w:sz="0" w:space="0" w:color="auto"/>
                <w:bottom w:val="none" w:sz="0" w:space="0" w:color="auto"/>
                <w:right w:val="none" w:sz="0" w:space="0" w:color="auto"/>
              </w:divBdr>
              <w:divsChild>
                <w:div w:id="999581186">
                  <w:marLeft w:val="0"/>
                  <w:marRight w:val="0"/>
                  <w:marTop w:val="0"/>
                  <w:marBottom w:val="0"/>
                  <w:divBdr>
                    <w:top w:val="none" w:sz="0" w:space="0" w:color="auto"/>
                    <w:left w:val="none" w:sz="0" w:space="0" w:color="auto"/>
                    <w:bottom w:val="none" w:sz="0" w:space="0" w:color="auto"/>
                    <w:right w:val="none" w:sz="0" w:space="0" w:color="auto"/>
                  </w:divBdr>
                </w:div>
              </w:divsChild>
            </w:div>
            <w:div w:id="1994530153">
              <w:marLeft w:val="0"/>
              <w:marRight w:val="0"/>
              <w:marTop w:val="0"/>
              <w:marBottom w:val="0"/>
              <w:divBdr>
                <w:top w:val="none" w:sz="0" w:space="0" w:color="auto"/>
                <w:left w:val="none" w:sz="0" w:space="0" w:color="auto"/>
                <w:bottom w:val="none" w:sz="0" w:space="0" w:color="auto"/>
                <w:right w:val="none" w:sz="0" w:space="0" w:color="auto"/>
              </w:divBdr>
              <w:divsChild>
                <w:div w:id="1402606776">
                  <w:marLeft w:val="0"/>
                  <w:marRight w:val="0"/>
                  <w:marTop w:val="0"/>
                  <w:marBottom w:val="0"/>
                  <w:divBdr>
                    <w:top w:val="none" w:sz="0" w:space="0" w:color="auto"/>
                    <w:left w:val="none" w:sz="0" w:space="0" w:color="auto"/>
                    <w:bottom w:val="none" w:sz="0" w:space="0" w:color="auto"/>
                    <w:right w:val="none" w:sz="0" w:space="0" w:color="auto"/>
                  </w:divBdr>
                </w:div>
              </w:divsChild>
            </w:div>
            <w:div w:id="2019388725">
              <w:marLeft w:val="0"/>
              <w:marRight w:val="0"/>
              <w:marTop w:val="0"/>
              <w:marBottom w:val="0"/>
              <w:divBdr>
                <w:top w:val="none" w:sz="0" w:space="0" w:color="auto"/>
                <w:left w:val="none" w:sz="0" w:space="0" w:color="auto"/>
                <w:bottom w:val="none" w:sz="0" w:space="0" w:color="auto"/>
                <w:right w:val="none" w:sz="0" w:space="0" w:color="auto"/>
              </w:divBdr>
              <w:divsChild>
                <w:div w:id="407728129">
                  <w:marLeft w:val="0"/>
                  <w:marRight w:val="0"/>
                  <w:marTop w:val="0"/>
                  <w:marBottom w:val="0"/>
                  <w:divBdr>
                    <w:top w:val="none" w:sz="0" w:space="0" w:color="auto"/>
                    <w:left w:val="none" w:sz="0" w:space="0" w:color="auto"/>
                    <w:bottom w:val="none" w:sz="0" w:space="0" w:color="auto"/>
                    <w:right w:val="none" w:sz="0" w:space="0" w:color="auto"/>
                  </w:divBdr>
                </w:div>
              </w:divsChild>
            </w:div>
            <w:div w:id="2131777617">
              <w:marLeft w:val="0"/>
              <w:marRight w:val="0"/>
              <w:marTop w:val="0"/>
              <w:marBottom w:val="0"/>
              <w:divBdr>
                <w:top w:val="none" w:sz="0" w:space="0" w:color="auto"/>
                <w:left w:val="none" w:sz="0" w:space="0" w:color="auto"/>
                <w:bottom w:val="none" w:sz="0" w:space="0" w:color="auto"/>
                <w:right w:val="none" w:sz="0" w:space="0" w:color="auto"/>
              </w:divBdr>
              <w:divsChild>
                <w:div w:id="17746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6549">
          <w:marLeft w:val="0"/>
          <w:marRight w:val="0"/>
          <w:marTop w:val="0"/>
          <w:marBottom w:val="0"/>
          <w:divBdr>
            <w:top w:val="none" w:sz="0" w:space="0" w:color="auto"/>
            <w:left w:val="none" w:sz="0" w:space="0" w:color="auto"/>
            <w:bottom w:val="none" w:sz="0" w:space="0" w:color="auto"/>
            <w:right w:val="none" w:sz="0" w:space="0" w:color="auto"/>
          </w:divBdr>
        </w:div>
        <w:div w:id="910432733">
          <w:marLeft w:val="0"/>
          <w:marRight w:val="0"/>
          <w:marTop w:val="0"/>
          <w:marBottom w:val="0"/>
          <w:divBdr>
            <w:top w:val="none" w:sz="0" w:space="0" w:color="auto"/>
            <w:left w:val="none" w:sz="0" w:space="0" w:color="auto"/>
            <w:bottom w:val="none" w:sz="0" w:space="0" w:color="auto"/>
            <w:right w:val="none" w:sz="0" w:space="0" w:color="auto"/>
          </w:divBdr>
        </w:div>
        <w:div w:id="916324963">
          <w:marLeft w:val="0"/>
          <w:marRight w:val="0"/>
          <w:marTop w:val="0"/>
          <w:marBottom w:val="0"/>
          <w:divBdr>
            <w:top w:val="none" w:sz="0" w:space="0" w:color="auto"/>
            <w:left w:val="none" w:sz="0" w:space="0" w:color="auto"/>
            <w:bottom w:val="none" w:sz="0" w:space="0" w:color="auto"/>
            <w:right w:val="none" w:sz="0" w:space="0" w:color="auto"/>
          </w:divBdr>
        </w:div>
        <w:div w:id="922564898">
          <w:marLeft w:val="0"/>
          <w:marRight w:val="0"/>
          <w:marTop w:val="0"/>
          <w:marBottom w:val="0"/>
          <w:divBdr>
            <w:top w:val="none" w:sz="0" w:space="0" w:color="auto"/>
            <w:left w:val="none" w:sz="0" w:space="0" w:color="auto"/>
            <w:bottom w:val="none" w:sz="0" w:space="0" w:color="auto"/>
            <w:right w:val="none" w:sz="0" w:space="0" w:color="auto"/>
          </w:divBdr>
        </w:div>
        <w:div w:id="941496273">
          <w:marLeft w:val="0"/>
          <w:marRight w:val="0"/>
          <w:marTop w:val="0"/>
          <w:marBottom w:val="0"/>
          <w:divBdr>
            <w:top w:val="none" w:sz="0" w:space="0" w:color="auto"/>
            <w:left w:val="none" w:sz="0" w:space="0" w:color="auto"/>
            <w:bottom w:val="none" w:sz="0" w:space="0" w:color="auto"/>
            <w:right w:val="none" w:sz="0" w:space="0" w:color="auto"/>
          </w:divBdr>
        </w:div>
        <w:div w:id="973561426">
          <w:marLeft w:val="0"/>
          <w:marRight w:val="0"/>
          <w:marTop w:val="0"/>
          <w:marBottom w:val="0"/>
          <w:divBdr>
            <w:top w:val="none" w:sz="0" w:space="0" w:color="auto"/>
            <w:left w:val="none" w:sz="0" w:space="0" w:color="auto"/>
            <w:bottom w:val="none" w:sz="0" w:space="0" w:color="auto"/>
            <w:right w:val="none" w:sz="0" w:space="0" w:color="auto"/>
          </w:divBdr>
        </w:div>
        <w:div w:id="979964046">
          <w:marLeft w:val="0"/>
          <w:marRight w:val="0"/>
          <w:marTop w:val="0"/>
          <w:marBottom w:val="0"/>
          <w:divBdr>
            <w:top w:val="none" w:sz="0" w:space="0" w:color="auto"/>
            <w:left w:val="none" w:sz="0" w:space="0" w:color="auto"/>
            <w:bottom w:val="none" w:sz="0" w:space="0" w:color="auto"/>
            <w:right w:val="none" w:sz="0" w:space="0" w:color="auto"/>
          </w:divBdr>
        </w:div>
        <w:div w:id="981495952">
          <w:marLeft w:val="0"/>
          <w:marRight w:val="0"/>
          <w:marTop w:val="0"/>
          <w:marBottom w:val="0"/>
          <w:divBdr>
            <w:top w:val="none" w:sz="0" w:space="0" w:color="auto"/>
            <w:left w:val="none" w:sz="0" w:space="0" w:color="auto"/>
            <w:bottom w:val="none" w:sz="0" w:space="0" w:color="auto"/>
            <w:right w:val="none" w:sz="0" w:space="0" w:color="auto"/>
          </w:divBdr>
        </w:div>
        <w:div w:id="986668094">
          <w:marLeft w:val="0"/>
          <w:marRight w:val="0"/>
          <w:marTop w:val="0"/>
          <w:marBottom w:val="0"/>
          <w:divBdr>
            <w:top w:val="none" w:sz="0" w:space="0" w:color="auto"/>
            <w:left w:val="none" w:sz="0" w:space="0" w:color="auto"/>
            <w:bottom w:val="none" w:sz="0" w:space="0" w:color="auto"/>
            <w:right w:val="none" w:sz="0" w:space="0" w:color="auto"/>
          </w:divBdr>
        </w:div>
        <w:div w:id="1006901259">
          <w:marLeft w:val="0"/>
          <w:marRight w:val="0"/>
          <w:marTop w:val="0"/>
          <w:marBottom w:val="0"/>
          <w:divBdr>
            <w:top w:val="none" w:sz="0" w:space="0" w:color="auto"/>
            <w:left w:val="none" w:sz="0" w:space="0" w:color="auto"/>
            <w:bottom w:val="none" w:sz="0" w:space="0" w:color="auto"/>
            <w:right w:val="none" w:sz="0" w:space="0" w:color="auto"/>
          </w:divBdr>
        </w:div>
        <w:div w:id="1051809619">
          <w:marLeft w:val="0"/>
          <w:marRight w:val="0"/>
          <w:marTop w:val="0"/>
          <w:marBottom w:val="0"/>
          <w:divBdr>
            <w:top w:val="none" w:sz="0" w:space="0" w:color="auto"/>
            <w:left w:val="none" w:sz="0" w:space="0" w:color="auto"/>
            <w:bottom w:val="none" w:sz="0" w:space="0" w:color="auto"/>
            <w:right w:val="none" w:sz="0" w:space="0" w:color="auto"/>
          </w:divBdr>
        </w:div>
        <w:div w:id="1057584835">
          <w:marLeft w:val="0"/>
          <w:marRight w:val="0"/>
          <w:marTop w:val="0"/>
          <w:marBottom w:val="0"/>
          <w:divBdr>
            <w:top w:val="none" w:sz="0" w:space="0" w:color="auto"/>
            <w:left w:val="none" w:sz="0" w:space="0" w:color="auto"/>
            <w:bottom w:val="none" w:sz="0" w:space="0" w:color="auto"/>
            <w:right w:val="none" w:sz="0" w:space="0" w:color="auto"/>
          </w:divBdr>
        </w:div>
        <w:div w:id="1061633650">
          <w:marLeft w:val="0"/>
          <w:marRight w:val="0"/>
          <w:marTop w:val="0"/>
          <w:marBottom w:val="0"/>
          <w:divBdr>
            <w:top w:val="none" w:sz="0" w:space="0" w:color="auto"/>
            <w:left w:val="none" w:sz="0" w:space="0" w:color="auto"/>
            <w:bottom w:val="none" w:sz="0" w:space="0" w:color="auto"/>
            <w:right w:val="none" w:sz="0" w:space="0" w:color="auto"/>
          </w:divBdr>
        </w:div>
        <w:div w:id="1096709368">
          <w:marLeft w:val="0"/>
          <w:marRight w:val="0"/>
          <w:marTop w:val="0"/>
          <w:marBottom w:val="0"/>
          <w:divBdr>
            <w:top w:val="none" w:sz="0" w:space="0" w:color="auto"/>
            <w:left w:val="none" w:sz="0" w:space="0" w:color="auto"/>
            <w:bottom w:val="none" w:sz="0" w:space="0" w:color="auto"/>
            <w:right w:val="none" w:sz="0" w:space="0" w:color="auto"/>
          </w:divBdr>
        </w:div>
        <w:div w:id="1098140905">
          <w:marLeft w:val="0"/>
          <w:marRight w:val="0"/>
          <w:marTop w:val="0"/>
          <w:marBottom w:val="0"/>
          <w:divBdr>
            <w:top w:val="none" w:sz="0" w:space="0" w:color="auto"/>
            <w:left w:val="none" w:sz="0" w:space="0" w:color="auto"/>
            <w:bottom w:val="none" w:sz="0" w:space="0" w:color="auto"/>
            <w:right w:val="none" w:sz="0" w:space="0" w:color="auto"/>
          </w:divBdr>
        </w:div>
        <w:div w:id="1117486386">
          <w:marLeft w:val="0"/>
          <w:marRight w:val="0"/>
          <w:marTop w:val="0"/>
          <w:marBottom w:val="0"/>
          <w:divBdr>
            <w:top w:val="none" w:sz="0" w:space="0" w:color="auto"/>
            <w:left w:val="none" w:sz="0" w:space="0" w:color="auto"/>
            <w:bottom w:val="none" w:sz="0" w:space="0" w:color="auto"/>
            <w:right w:val="none" w:sz="0" w:space="0" w:color="auto"/>
          </w:divBdr>
        </w:div>
        <w:div w:id="1123042940">
          <w:marLeft w:val="0"/>
          <w:marRight w:val="0"/>
          <w:marTop w:val="0"/>
          <w:marBottom w:val="0"/>
          <w:divBdr>
            <w:top w:val="none" w:sz="0" w:space="0" w:color="auto"/>
            <w:left w:val="none" w:sz="0" w:space="0" w:color="auto"/>
            <w:bottom w:val="none" w:sz="0" w:space="0" w:color="auto"/>
            <w:right w:val="none" w:sz="0" w:space="0" w:color="auto"/>
          </w:divBdr>
        </w:div>
        <w:div w:id="1140266985">
          <w:marLeft w:val="0"/>
          <w:marRight w:val="0"/>
          <w:marTop w:val="0"/>
          <w:marBottom w:val="0"/>
          <w:divBdr>
            <w:top w:val="none" w:sz="0" w:space="0" w:color="auto"/>
            <w:left w:val="none" w:sz="0" w:space="0" w:color="auto"/>
            <w:bottom w:val="none" w:sz="0" w:space="0" w:color="auto"/>
            <w:right w:val="none" w:sz="0" w:space="0" w:color="auto"/>
          </w:divBdr>
        </w:div>
        <w:div w:id="1152335247">
          <w:marLeft w:val="0"/>
          <w:marRight w:val="0"/>
          <w:marTop w:val="0"/>
          <w:marBottom w:val="0"/>
          <w:divBdr>
            <w:top w:val="none" w:sz="0" w:space="0" w:color="auto"/>
            <w:left w:val="none" w:sz="0" w:space="0" w:color="auto"/>
            <w:bottom w:val="none" w:sz="0" w:space="0" w:color="auto"/>
            <w:right w:val="none" w:sz="0" w:space="0" w:color="auto"/>
          </w:divBdr>
        </w:div>
        <w:div w:id="1168444832">
          <w:marLeft w:val="0"/>
          <w:marRight w:val="0"/>
          <w:marTop w:val="0"/>
          <w:marBottom w:val="0"/>
          <w:divBdr>
            <w:top w:val="none" w:sz="0" w:space="0" w:color="auto"/>
            <w:left w:val="none" w:sz="0" w:space="0" w:color="auto"/>
            <w:bottom w:val="none" w:sz="0" w:space="0" w:color="auto"/>
            <w:right w:val="none" w:sz="0" w:space="0" w:color="auto"/>
          </w:divBdr>
        </w:div>
        <w:div w:id="1172337538">
          <w:marLeft w:val="0"/>
          <w:marRight w:val="0"/>
          <w:marTop w:val="0"/>
          <w:marBottom w:val="0"/>
          <w:divBdr>
            <w:top w:val="none" w:sz="0" w:space="0" w:color="auto"/>
            <w:left w:val="none" w:sz="0" w:space="0" w:color="auto"/>
            <w:bottom w:val="none" w:sz="0" w:space="0" w:color="auto"/>
            <w:right w:val="none" w:sz="0" w:space="0" w:color="auto"/>
          </w:divBdr>
        </w:div>
        <w:div w:id="1172840894">
          <w:marLeft w:val="0"/>
          <w:marRight w:val="0"/>
          <w:marTop w:val="0"/>
          <w:marBottom w:val="0"/>
          <w:divBdr>
            <w:top w:val="none" w:sz="0" w:space="0" w:color="auto"/>
            <w:left w:val="none" w:sz="0" w:space="0" w:color="auto"/>
            <w:bottom w:val="none" w:sz="0" w:space="0" w:color="auto"/>
            <w:right w:val="none" w:sz="0" w:space="0" w:color="auto"/>
          </w:divBdr>
        </w:div>
        <w:div w:id="1177966374">
          <w:marLeft w:val="0"/>
          <w:marRight w:val="0"/>
          <w:marTop w:val="0"/>
          <w:marBottom w:val="0"/>
          <w:divBdr>
            <w:top w:val="none" w:sz="0" w:space="0" w:color="auto"/>
            <w:left w:val="none" w:sz="0" w:space="0" w:color="auto"/>
            <w:bottom w:val="none" w:sz="0" w:space="0" w:color="auto"/>
            <w:right w:val="none" w:sz="0" w:space="0" w:color="auto"/>
          </w:divBdr>
        </w:div>
        <w:div w:id="1189946563">
          <w:marLeft w:val="0"/>
          <w:marRight w:val="0"/>
          <w:marTop w:val="0"/>
          <w:marBottom w:val="0"/>
          <w:divBdr>
            <w:top w:val="none" w:sz="0" w:space="0" w:color="auto"/>
            <w:left w:val="none" w:sz="0" w:space="0" w:color="auto"/>
            <w:bottom w:val="none" w:sz="0" w:space="0" w:color="auto"/>
            <w:right w:val="none" w:sz="0" w:space="0" w:color="auto"/>
          </w:divBdr>
        </w:div>
        <w:div w:id="1227373849">
          <w:marLeft w:val="0"/>
          <w:marRight w:val="0"/>
          <w:marTop w:val="0"/>
          <w:marBottom w:val="0"/>
          <w:divBdr>
            <w:top w:val="none" w:sz="0" w:space="0" w:color="auto"/>
            <w:left w:val="none" w:sz="0" w:space="0" w:color="auto"/>
            <w:bottom w:val="none" w:sz="0" w:space="0" w:color="auto"/>
            <w:right w:val="none" w:sz="0" w:space="0" w:color="auto"/>
          </w:divBdr>
        </w:div>
        <w:div w:id="1231698155">
          <w:marLeft w:val="0"/>
          <w:marRight w:val="0"/>
          <w:marTop w:val="0"/>
          <w:marBottom w:val="0"/>
          <w:divBdr>
            <w:top w:val="none" w:sz="0" w:space="0" w:color="auto"/>
            <w:left w:val="none" w:sz="0" w:space="0" w:color="auto"/>
            <w:bottom w:val="none" w:sz="0" w:space="0" w:color="auto"/>
            <w:right w:val="none" w:sz="0" w:space="0" w:color="auto"/>
          </w:divBdr>
        </w:div>
        <w:div w:id="1232152625">
          <w:marLeft w:val="0"/>
          <w:marRight w:val="0"/>
          <w:marTop w:val="0"/>
          <w:marBottom w:val="0"/>
          <w:divBdr>
            <w:top w:val="none" w:sz="0" w:space="0" w:color="auto"/>
            <w:left w:val="none" w:sz="0" w:space="0" w:color="auto"/>
            <w:bottom w:val="none" w:sz="0" w:space="0" w:color="auto"/>
            <w:right w:val="none" w:sz="0" w:space="0" w:color="auto"/>
          </w:divBdr>
        </w:div>
        <w:div w:id="1273592220">
          <w:marLeft w:val="-75"/>
          <w:marRight w:val="0"/>
          <w:marTop w:val="30"/>
          <w:marBottom w:val="30"/>
          <w:divBdr>
            <w:top w:val="none" w:sz="0" w:space="0" w:color="auto"/>
            <w:left w:val="none" w:sz="0" w:space="0" w:color="auto"/>
            <w:bottom w:val="none" w:sz="0" w:space="0" w:color="auto"/>
            <w:right w:val="none" w:sz="0" w:space="0" w:color="auto"/>
          </w:divBdr>
          <w:divsChild>
            <w:div w:id="197090661">
              <w:marLeft w:val="0"/>
              <w:marRight w:val="0"/>
              <w:marTop w:val="0"/>
              <w:marBottom w:val="0"/>
              <w:divBdr>
                <w:top w:val="none" w:sz="0" w:space="0" w:color="auto"/>
                <w:left w:val="none" w:sz="0" w:space="0" w:color="auto"/>
                <w:bottom w:val="none" w:sz="0" w:space="0" w:color="auto"/>
                <w:right w:val="none" w:sz="0" w:space="0" w:color="auto"/>
              </w:divBdr>
              <w:divsChild>
                <w:div w:id="1404528310">
                  <w:marLeft w:val="0"/>
                  <w:marRight w:val="0"/>
                  <w:marTop w:val="0"/>
                  <w:marBottom w:val="0"/>
                  <w:divBdr>
                    <w:top w:val="none" w:sz="0" w:space="0" w:color="auto"/>
                    <w:left w:val="none" w:sz="0" w:space="0" w:color="auto"/>
                    <w:bottom w:val="none" w:sz="0" w:space="0" w:color="auto"/>
                    <w:right w:val="none" w:sz="0" w:space="0" w:color="auto"/>
                  </w:divBdr>
                </w:div>
              </w:divsChild>
            </w:div>
            <w:div w:id="211625437">
              <w:marLeft w:val="0"/>
              <w:marRight w:val="0"/>
              <w:marTop w:val="0"/>
              <w:marBottom w:val="0"/>
              <w:divBdr>
                <w:top w:val="none" w:sz="0" w:space="0" w:color="auto"/>
                <w:left w:val="none" w:sz="0" w:space="0" w:color="auto"/>
                <w:bottom w:val="none" w:sz="0" w:space="0" w:color="auto"/>
                <w:right w:val="none" w:sz="0" w:space="0" w:color="auto"/>
              </w:divBdr>
              <w:divsChild>
                <w:div w:id="1590768083">
                  <w:marLeft w:val="0"/>
                  <w:marRight w:val="0"/>
                  <w:marTop w:val="0"/>
                  <w:marBottom w:val="0"/>
                  <w:divBdr>
                    <w:top w:val="none" w:sz="0" w:space="0" w:color="auto"/>
                    <w:left w:val="none" w:sz="0" w:space="0" w:color="auto"/>
                    <w:bottom w:val="none" w:sz="0" w:space="0" w:color="auto"/>
                    <w:right w:val="none" w:sz="0" w:space="0" w:color="auto"/>
                  </w:divBdr>
                </w:div>
              </w:divsChild>
            </w:div>
            <w:div w:id="233392111">
              <w:marLeft w:val="0"/>
              <w:marRight w:val="0"/>
              <w:marTop w:val="0"/>
              <w:marBottom w:val="0"/>
              <w:divBdr>
                <w:top w:val="none" w:sz="0" w:space="0" w:color="auto"/>
                <w:left w:val="none" w:sz="0" w:space="0" w:color="auto"/>
                <w:bottom w:val="none" w:sz="0" w:space="0" w:color="auto"/>
                <w:right w:val="none" w:sz="0" w:space="0" w:color="auto"/>
              </w:divBdr>
              <w:divsChild>
                <w:div w:id="29453193">
                  <w:marLeft w:val="0"/>
                  <w:marRight w:val="0"/>
                  <w:marTop w:val="0"/>
                  <w:marBottom w:val="0"/>
                  <w:divBdr>
                    <w:top w:val="none" w:sz="0" w:space="0" w:color="auto"/>
                    <w:left w:val="none" w:sz="0" w:space="0" w:color="auto"/>
                    <w:bottom w:val="none" w:sz="0" w:space="0" w:color="auto"/>
                    <w:right w:val="none" w:sz="0" w:space="0" w:color="auto"/>
                  </w:divBdr>
                </w:div>
              </w:divsChild>
            </w:div>
            <w:div w:id="441532476">
              <w:marLeft w:val="0"/>
              <w:marRight w:val="0"/>
              <w:marTop w:val="0"/>
              <w:marBottom w:val="0"/>
              <w:divBdr>
                <w:top w:val="none" w:sz="0" w:space="0" w:color="auto"/>
                <w:left w:val="none" w:sz="0" w:space="0" w:color="auto"/>
                <w:bottom w:val="none" w:sz="0" w:space="0" w:color="auto"/>
                <w:right w:val="none" w:sz="0" w:space="0" w:color="auto"/>
              </w:divBdr>
              <w:divsChild>
                <w:div w:id="657466602">
                  <w:marLeft w:val="0"/>
                  <w:marRight w:val="0"/>
                  <w:marTop w:val="0"/>
                  <w:marBottom w:val="0"/>
                  <w:divBdr>
                    <w:top w:val="none" w:sz="0" w:space="0" w:color="auto"/>
                    <w:left w:val="none" w:sz="0" w:space="0" w:color="auto"/>
                    <w:bottom w:val="none" w:sz="0" w:space="0" w:color="auto"/>
                    <w:right w:val="none" w:sz="0" w:space="0" w:color="auto"/>
                  </w:divBdr>
                </w:div>
                <w:div w:id="1198352300">
                  <w:marLeft w:val="0"/>
                  <w:marRight w:val="0"/>
                  <w:marTop w:val="0"/>
                  <w:marBottom w:val="0"/>
                  <w:divBdr>
                    <w:top w:val="none" w:sz="0" w:space="0" w:color="auto"/>
                    <w:left w:val="none" w:sz="0" w:space="0" w:color="auto"/>
                    <w:bottom w:val="none" w:sz="0" w:space="0" w:color="auto"/>
                    <w:right w:val="none" w:sz="0" w:space="0" w:color="auto"/>
                  </w:divBdr>
                </w:div>
                <w:div w:id="1387988854">
                  <w:marLeft w:val="0"/>
                  <w:marRight w:val="0"/>
                  <w:marTop w:val="0"/>
                  <w:marBottom w:val="0"/>
                  <w:divBdr>
                    <w:top w:val="none" w:sz="0" w:space="0" w:color="auto"/>
                    <w:left w:val="none" w:sz="0" w:space="0" w:color="auto"/>
                    <w:bottom w:val="none" w:sz="0" w:space="0" w:color="auto"/>
                    <w:right w:val="none" w:sz="0" w:space="0" w:color="auto"/>
                  </w:divBdr>
                </w:div>
                <w:div w:id="1582642997">
                  <w:marLeft w:val="0"/>
                  <w:marRight w:val="0"/>
                  <w:marTop w:val="0"/>
                  <w:marBottom w:val="0"/>
                  <w:divBdr>
                    <w:top w:val="none" w:sz="0" w:space="0" w:color="auto"/>
                    <w:left w:val="none" w:sz="0" w:space="0" w:color="auto"/>
                    <w:bottom w:val="none" w:sz="0" w:space="0" w:color="auto"/>
                    <w:right w:val="none" w:sz="0" w:space="0" w:color="auto"/>
                  </w:divBdr>
                </w:div>
                <w:div w:id="1860046920">
                  <w:marLeft w:val="0"/>
                  <w:marRight w:val="0"/>
                  <w:marTop w:val="0"/>
                  <w:marBottom w:val="0"/>
                  <w:divBdr>
                    <w:top w:val="none" w:sz="0" w:space="0" w:color="auto"/>
                    <w:left w:val="none" w:sz="0" w:space="0" w:color="auto"/>
                    <w:bottom w:val="none" w:sz="0" w:space="0" w:color="auto"/>
                    <w:right w:val="none" w:sz="0" w:space="0" w:color="auto"/>
                  </w:divBdr>
                </w:div>
              </w:divsChild>
            </w:div>
            <w:div w:id="541749947">
              <w:marLeft w:val="0"/>
              <w:marRight w:val="0"/>
              <w:marTop w:val="0"/>
              <w:marBottom w:val="0"/>
              <w:divBdr>
                <w:top w:val="none" w:sz="0" w:space="0" w:color="auto"/>
                <w:left w:val="none" w:sz="0" w:space="0" w:color="auto"/>
                <w:bottom w:val="none" w:sz="0" w:space="0" w:color="auto"/>
                <w:right w:val="none" w:sz="0" w:space="0" w:color="auto"/>
              </w:divBdr>
              <w:divsChild>
                <w:div w:id="147403270">
                  <w:marLeft w:val="0"/>
                  <w:marRight w:val="0"/>
                  <w:marTop w:val="0"/>
                  <w:marBottom w:val="0"/>
                  <w:divBdr>
                    <w:top w:val="none" w:sz="0" w:space="0" w:color="auto"/>
                    <w:left w:val="none" w:sz="0" w:space="0" w:color="auto"/>
                    <w:bottom w:val="none" w:sz="0" w:space="0" w:color="auto"/>
                    <w:right w:val="none" w:sz="0" w:space="0" w:color="auto"/>
                  </w:divBdr>
                </w:div>
              </w:divsChild>
            </w:div>
            <w:div w:id="665210715">
              <w:marLeft w:val="0"/>
              <w:marRight w:val="0"/>
              <w:marTop w:val="0"/>
              <w:marBottom w:val="0"/>
              <w:divBdr>
                <w:top w:val="none" w:sz="0" w:space="0" w:color="auto"/>
                <w:left w:val="none" w:sz="0" w:space="0" w:color="auto"/>
                <w:bottom w:val="none" w:sz="0" w:space="0" w:color="auto"/>
                <w:right w:val="none" w:sz="0" w:space="0" w:color="auto"/>
              </w:divBdr>
              <w:divsChild>
                <w:div w:id="35668477">
                  <w:marLeft w:val="0"/>
                  <w:marRight w:val="0"/>
                  <w:marTop w:val="0"/>
                  <w:marBottom w:val="0"/>
                  <w:divBdr>
                    <w:top w:val="none" w:sz="0" w:space="0" w:color="auto"/>
                    <w:left w:val="none" w:sz="0" w:space="0" w:color="auto"/>
                    <w:bottom w:val="none" w:sz="0" w:space="0" w:color="auto"/>
                    <w:right w:val="none" w:sz="0" w:space="0" w:color="auto"/>
                  </w:divBdr>
                </w:div>
              </w:divsChild>
            </w:div>
            <w:div w:id="820736985">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
              </w:divsChild>
            </w:div>
            <w:div w:id="1193542122">
              <w:marLeft w:val="0"/>
              <w:marRight w:val="0"/>
              <w:marTop w:val="0"/>
              <w:marBottom w:val="0"/>
              <w:divBdr>
                <w:top w:val="none" w:sz="0" w:space="0" w:color="auto"/>
                <w:left w:val="none" w:sz="0" w:space="0" w:color="auto"/>
                <w:bottom w:val="none" w:sz="0" w:space="0" w:color="auto"/>
                <w:right w:val="none" w:sz="0" w:space="0" w:color="auto"/>
              </w:divBdr>
              <w:divsChild>
                <w:div w:id="507864876">
                  <w:marLeft w:val="0"/>
                  <w:marRight w:val="0"/>
                  <w:marTop w:val="0"/>
                  <w:marBottom w:val="0"/>
                  <w:divBdr>
                    <w:top w:val="none" w:sz="0" w:space="0" w:color="auto"/>
                    <w:left w:val="none" w:sz="0" w:space="0" w:color="auto"/>
                    <w:bottom w:val="none" w:sz="0" w:space="0" w:color="auto"/>
                    <w:right w:val="none" w:sz="0" w:space="0" w:color="auto"/>
                  </w:divBdr>
                </w:div>
                <w:div w:id="514003881">
                  <w:marLeft w:val="0"/>
                  <w:marRight w:val="0"/>
                  <w:marTop w:val="0"/>
                  <w:marBottom w:val="0"/>
                  <w:divBdr>
                    <w:top w:val="none" w:sz="0" w:space="0" w:color="auto"/>
                    <w:left w:val="none" w:sz="0" w:space="0" w:color="auto"/>
                    <w:bottom w:val="none" w:sz="0" w:space="0" w:color="auto"/>
                    <w:right w:val="none" w:sz="0" w:space="0" w:color="auto"/>
                  </w:divBdr>
                </w:div>
              </w:divsChild>
            </w:div>
            <w:div w:id="1212382805">
              <w:marLeft w:val="0"/>
              <w:marRight w:val="0"/>
              <w:marTop w:val="0"/>
              <w:marBottom w:val="0"/>
              <w:divBdr>
                <w:top w:val="none" w:sz="0" w:space="0" w:color="auto"/>
                <w:left w:val="none" w:sz="0" w:space="0" w:color="auto"/>
                <w:bottom w:val="none" w:sz="0" w:space="0" w:color="auto"/>
                <w:right w:val="none" w:sz="0" w:space="0" w:color="auto"/>
              </w:divBdr>
              <w:divsChild>
                <w:div w:id="319234269">
                  <w:marLeft w:val="0"/>
                  <w:marRight w:val="0"/>
                  <w:marTop w:val="0"/>
                  <w:marBottom w:val="0"/>
                  <w:divBdr>
                    <w:top w:val="none" w:sz="0" w:space="0" w:color="auto"/>
                    <w:left w:val="none" w:sz="0" w:space="0" w:color="auto"/>
                    <w:bottom w:val="none" w:sz="0" w:space="0" w:color="auto"/>
                    <w:right w:val="none" w:sz="0" w:space="0" w:color="auto"/>
                  </w:divBdr>
                </w:div>
              </w:divsChild>
            </w:div>
            <w:div w:id="1428187503">
              <w:marLeft w:val="0"/>
              <w:marRight w:val="0"/>
              <w:marTop w:val="0"/>
              <w:marBottom w:val="0"/>
              <w:divBdr>
                <w:top w:val="none" w:sz="0" w:space="0" w:color="auto"/>
                <w:left w:val="none" w:sz="0" w:space="0" w:color="auto"/>
                <w:bottom w:val="none" w:sz="0" w:space="0" w:color="auto"/>
                <w:right w:val="none" w:sz="0" w:space="0" w:color="auto"/>
              </w:divBdr>
              <w:divsChild>
                <w:div w:id="612783305">
                  <w:marLeft w:val="0"/>
                  <w:marRight w:val="0"/>
                  <w:marTop w:val="0"/>
                  <w:marBottom w:val="0"/>
                  <w:divBdr>
                    <w:top w:val="none" w:sz="0" w:space="0" w:color="auto"/>
                    <w:left w:val="none" w:sz="0" w:space="0" w:color="auto"/>
                    <w:bottom w:val="none" w:sz="0" w:space="0" w:color="auto"/>
                    <w:right w:val="none" w:sz="0" w:space="0" w:color="auto"/>
                  </w:divBdr>
                </w:div>
              </w:divsChild>
            </w:div>
            <w:div w:id="1546867445">
              <w:marLeft w:val="0"/>
              <w:marRight w:val="0"/>
              <w:marTop w:val="0"/>
              <w:marBottom w:val="0"/>
              <w:divBdr>
                <w:top w:val="none" w:sz="0" w:space="0" w:color="auto"/>
                <w:left w:val="none" w:sz="0" w:space="0" w:color="auto"/>
                <w:bottom w:val="none" w:sz="0" w:space="0" w:color="auto"/>
                <w:right w:val="none" w:sz="0" w:space="0" w:color="auto"/>
              </w:divBdr>
              <w:divsChild>
                <w:div w:id="1802459214">
                  <w:marLeft w:val="0"/>
                  <w:marRight w:val="0"/>
                  <w:marTop w:val="0"/>
                  <w:marBottom w:val="0"/>
                  <w:divBdr>
                    <w:top w:val="none" w:sz="0" w:space="0" w:color="auto"/>
                    <w:left w:val="none" w:sz="0" w:space="0" w:color="auto"/>
                    <w:bottom w:val="none" w:sz="0" w:space="0" w:color="auto"/>
                    <w:right w:val="none" w:sz="0" w:space="0" w:color="auto"/>
                  </w:divBdr>
                </w:div>
              </w:divsChild>
            </w:div>
            <w:div w:id="1603493617">
              <w:marLeft w:val="0"/>
              <w:marRight w:val="0"/>
              <w:marTop w:val="0"/>
              <w:marBottom w:val="0"/>
              <w:divBdr>
                <w:top w:val="none" w:sz="0" w:space="0" w:color="auto"/>
                <w:left w:val="none" w:sz="0" w:space="0" w:color="auto"/>
                <w:bottom w:val="none" w:sz="0" w:space="0" w:color="auto"/>
                <w:right w:val="none" w:sz="0" w:space="0" w:color="auto"/>
              </w:divBdr>
              <w:divsChild>
                <w:div w:id="6513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8494">
          <w:marLeft w:val="0"/>
          <w:marRight w:val="0"/>
          <w:marTop w:val="0"/>
          <w:marBottom w:val="0"/>
          <w:divBdr>
            <w:top w:val="none" w:sz="0" w:space="0" w:color="auto"/>
            <w:left w:val="none" w:sz="0" w:space="0" w:color="auto"/>
            <w:bottom w:val="none" w:sz="0" w:space="0" w:color="auto"/>
            <w:right w:val="none" w:sz="0" w:space="0" w:color="auto"/>
          </w:divBdr>
        </w:div>
        <w:div w:id="1317149894">
          <w:marLeft w:val="0"/>
          <w:marRight w:val="0"/>
          <w:marTop w:val="0"/>
          <w:marBottom w:val="0"/>
          <w:divBdr>
            <w:top w:val="none" w:sz="0" w:space="0" w:color="auto"/>
            <w:left w:val="none" w:sz="0" w:space="0" w:color="auto"/>
            <w:bottom w:val="none" w:sz="0" w:space="0" w:color="auto"/>
            <w:right w:val="none" w:sz="0" w:space="0" w:color="auto"/>
          </w:divBdr>
        </w:div>
        <w:div w:id="1341081381">
          <w:marLeft w:val="0"/>
          <w:marRight w:val="0"/>
          <w:marTop w:val="0"/>
          <w:marBottom w:val="0"/>
          <w:divBdr>
            <w:top w:val="none" w:sz="0" w:space="0" w:color="auto"/>
            <w:left w:val="none" w:sz="0" w:space="0" w:color="auto"/>
            <w:bottom w:val="none" w:sz="0" w:space="0" w:color="auto"/>
            <w:right w:val="none" w:sz="0" w:space="0" w:color="auto"/>
          </w:divBdr>
        </w:div>
        <w:div w:id="1341660626">
          <w:marLeft w:val="0"/>
          <w:marRight w:val="0"/>
          <w:marTop w:val="0"/>
          <w:marBottom w:val="0"/>
          <w:divBdr>
            <w:top w:val="none" w:sz="0" w:space="0" w:color="auto"/>
            <w:left w:val="none" w:sz="0" w:space="0" w:color="auto"/>
            <w:bottom w:val="none" w:sz="0" w:space="0" w:color="auto"/>
            <w:right w:val="none" w:sz="0" w:space="0" w:color="auto"/>
          </w:divBdr>
        </w:div>
        <w:div w:id="1366322839">
          <w:marLeft w:val="0"/>
          <w:marRight w:val="0"/>
          <w:marTop w:val="0"/>
          <w:marBottom w:val="0"/>
          <w:divBdr>
            <w:top w:val="none" w:sz="0" w:space="0" w:color="auto"/>
            <w:left w:val="none" w:sz="0" w:space="0" w:color="auto"/>
            <w:bottom w:val="none" w:sz="0" w:space="0" w:color="auto"/>
            <w:right w:val="none" w:sz="0" w:space="0" w:color="auto"/>
          </w:divBdr>
        </w:div>
        <w:div w:id="1402171677">
          <w:marLeft w:val="0"/>
          <w:marRight w:val="0"/>
          <w:marTop w:val="0"/>
          <w:marBottom w:val="0"/>
          <w:divBdr>
            <w:top w:val="none" w:sz="0" w:space="0" w:color="auto"/>
            <w:left w:val="none" w:sz="0" w:space="0" w:color="auto"/>
            <w:bottom w:val="none" w:sz="0" w:space="0" w:color="auto"/>
            <w:right w:val="none" w:sz="0" w:space="0" w:color="auto"/>
          </w:divBdr>
        </w:div>
        <w:div w:id="1411924573">
          <w:marLeft w:val="0"/>
          <w:marRight w:val="0"/>
          <w:marTop w:val="0"/>
          <w:marBottom w:val="0"/>
          <w:divBdr>
            <w:top w:val="none" w:sz="0" w:space="0" w:color="auto"/>
            <w:left w:val="none" w:sz="0" w:space="0" w:color="auto"/>
            <w:bottom w:val="none" w:sz="0" w:space="0" w:color="auto"/>
            <w:right w:val="none" w:sz="0" w:space="0" w:color="auto"/>
          </w:divBdr>
        </w:div>
        <w:div w:id="1499079551">
          <w:marLeft w:val="0"/>
          <w:marRight w:val="0"/>
          <w:marTop w:val="0"/>
          <w:marBottom w:val="0"/>
          <w:divBdr>
            <w:top w:val="none" w:sz="0" w:space="0" w:color="auto"/>
            <w:left w:val="none" w:sz="0" w:space="0" w:color="auto"/>
            <w:bottom w:val="none" w:sz="0" w:space="0" w:color="auto"/>
            <w:right w:val="none" w:sz="0" w:space="0" w:color="auto"/>
          </w:divBdr>
        </w:div>
        <w:div w:id="1516261222">
          <w:marLeft w:val="0"/>
          <w:marRight w:val="0"/>
          <w:marTop w:val="0"/>
          <w:marBottom w:val="0"/>
          <w:divBdr>
            <w:top w:val="none" w:sz="0" w:space="0" w:color="auto"/>
            <w:left w:val="none" w:sz="0" w:space="0" w:color="auto"/>
            <w:bottom w:val="none" w:sz="0" w:space="0" w:color="auto"/>
            <w:right w:val="none" w:sz="0" w:space="0" w:color="auto"/>
          </w:divBdr>
        </w:div>
        <w:div w:id="1529879237">
          <w:marLeft w:val="-75"/>
          <w:marRight w:val="0"/>
          <w:marTop w:val="30"/>
          <w:marBottom w:val="30"/>
          <w:divBdr>
            <w:top w:val="none" w:sz="0" w:space="0" w:color="auto"/>
            <w:left w:val="none" w:sz="0" w:space="0" w:color="auto"/>
            <w:bottom w:val="none" w:sz="0" w:space="0" w:color="auto"/>
            <w:right w:val="none" w:sz="0" w:space="0" w:color="auto"/>
          </w:divBdr>
          <w:divsChild>
            <w:div w:id="95256249">
              <w:marLeft w:val="0"/>
              <w:marRight w:val="0"/>
              <w:marTop w:val="0"/>
              <w:marBottom w:val="0"/>
              <w:divBdr>
                <w:top w:val="none" w:sz="0" w:space="0" w:color="auto"/>
                <w:left w:val="none" w:sz="0" w:space="0" w:color="auto"/>
                <w:bottom w:val="none" w:sz="0" w:space="0" w:color="auto"/>
                <w:right w:val="none" w:sz="0" w:space="0" w:color="auto"/>
              </w:divBdr>
              <w:divsChild>
                <w:div w:id="1518158726">
                  <w:marLeft w:val="0"/>
                  <w:marRight w:val="0"/>
                  <w:marTop w:val="0"/>
                  <w:marBottom w:val="0"/>
                  <w:divBdr>
                    <w:top w:val="none" w:sz="0" w:space="0" w:color="auto"/>
                    <w:left w:val="none" w:sz="0" w:space="0" w:color="auto"/>
                    <w:bottom w:val="none" w:sz="0" w:space="0" w:color="auto"/>
                    <w:right w:val="none" w:sz="0" w:space="0" w:color="auto"/>
                  </w:divBdr>
                </w:div>
              </w:divsChild>
            </w:div>
            <w:div w:id="506019114">
              <w:marLeft w:val="0"/>
              <w:marRight w:val="0"/>
              <w:marTop w:val="0"/>
              <w:marBottom w:val="0"/>
              <w:divBdr>
                <w:top w:val="none" w:sz="0" w:space="0" w:color="auto"/>
                <w:left w:val="none" w:sz="0" w:space="0" w:color="auto"/>
                <w:bottom w:val="none" w:sz="0" w:space="0" w:color="auto"/>
                <w:right w:val="none" w:sz="0" w:space="0" w:color="auto"/>
              </w:divBdr>
              <w:divsChild>
                <w:div w:id="1237087574">
                  <w:marLeft w:val="0"/>
                  <w:marRight w:val="0"/>
                  <w:marTop w:val="0"/>
                  <w:marBottom w:val="0"/>
                  <w:divBdr>
                    <w:top w:val="none" w:sz="0" w:space="0" w:color="auto"/>
                    <w:left w:val="none" w:sz="0" w:space="0" w:color="auto"/>
                    <w:bottom w:val="none" w:sz="0" w:space="0" w:color="auto"/>
                    <w:right w:val="none" w:sz="0" w:space="0" w:color="auto"/>
                  </w:divBdr>
                </w:div>
              </w:divsChild>
            </w:div>
            <w:div w:id="809127102">
              <w:marLeft w:val="0"/>
              <w:marRight w:val="0"/>
              <w:marTop w:val="0"/>
              <w:marBottom w:val="0"/>
              <w:divBdr>
                <w:top w:val="none" w:sz="0" w:space="0" w:color="auto"/>
                <w:left w:val="none" w:sz="0" w:space="0" w:color="auto"/>
                <w:bottom w:val="none" w:sz="0" w:space="0" w:color="auto"/>
                <w:right w:val="none" w:sz="0" w:space="0" w:color="auto"/>
              </w:divBdr>
              <w:divsChild>
                <w:div w:id="1006399740">
                  <w:marLeft w:val="0"/>
                  <w:marRight w:val="0"/>
                  <w:marTop w:val="0"/>
                  <w:marBottom w:val="0"/>
                  <w:divBdr>
                    <w:top w:val="none" w:sz="0" w:space="0" w:color="auto"/>
                    <w:left w:val="none" w:sz="0" w:space="0" w:color="auto"/>
                    <w:bottom w:val="none" w:sz="0" w:space="0" w:color="auto"/>
                    <w:right w:val="none" w:sz="0" w:space="0" w:color="auto"/>
                  </w:divBdr>
                </w:div>
              </w:divsChild>
            </w:div>
            <w:div w:id="1486824866">
              <w:marLeft w:val="0"/>
              <w:marRight w:val="0"/>
              <w:marTop w:val="0"/>
              <w:marBottom w:val="0"/>
              <w:divBdr>
                <w:top w:val="none" w:sz="0" w:space="0" w:color="auto"/>
                <w:left w:val="none" w:sz="0" w:space="0" w:color="auto"/>
                <w:bottom w:val="none" w:sz="0" w:space="0" w:color="auto"/>
                <w:right w:val="none" w:sz="0" w:space="0" w:color="auto"/>
              </w:divBdr>
              <w:divsChild>
                <w:div w:id="717095802">
                  <w:marLeft w:val="0"/>
                  <w:marRight w:val="0"/>
                  <w:marTop w:val="0"/>
                  <w:marBottom w:val="0"/>
                  <w:divBdr>
                    <w:top w:val="none" w:sz="0" w:space="0" w:color="auto"/>
                    <w:left w:val="none" w:sz="0" w:space="0" w:color="auto"/>
                    <w:bottom w:val="none" w:sz="0" w:space="0" w:color="auto"/>
                    <w:right w:val="none" w:sz="0" w:space="0" w:color="auto"/>
                  </w:divBdr>
                </w:div>
              </w:divsChild>
            </w:div>
            <w:div w:id="2047673833">
              <w:marLeft w:val="0"/>
              <w:marRight w:val="0"/>
              <w:marTop w:val="0"/>
              <w:marBottom w:val="0"/>
              <w:divBdr>
                <w:top w:val="none" w:sz="0" w:space="0" w:color="auto"/>
                <w:left w:val="none" w:sz="0" w:space="0" w:color="auto"/>
                <w:bottom w:val="none" w:sz="0" w:space="0" w:color="auto"/>
                <w:right w:val="none" w:sz="0" w:space="0" w:color="auto"/>
              </w:divBdr>
              <w:divsChild>
                <w:div w:id="250090540">
                  <w:marLeft w:val="0"/>
                  <w:marRight w:val="0"/>
                  <w:marTop w:val="0"/>
                  <w:marBottom w:val="0"/>
                  <w:divBdr>
                    <w:top w:val="none" w:sz="0" w:space="0" w:color="auto"/>
                    <w:left w:val="none" w:sz="0" w:space="0" w:color="auto"/>
                    <w:bottom w:val="none" w:sz="0" w:space="0" w:color="auto"/>
                    <w:right w:val="none" w:sz="0" w:space="0" w:color="auto"/>
                  </w:divBdr>
                </w:div>
              </w:divsChild>
            </w:div>
            <w:div w:id="2088189004">
              <w:marLeft w:val="0"/>
              <w:marRight w:val="0"/>
              <w:marTop w:val="0"/>
              <w:marBottom w:val="0"/>
              <w:divBdr>
                <w:top w:val="none" w:sz="0" w:space="0" w:color="auto"/>
                <w:left w:val="none" w:sz="0" w:space="0" w:color="auto"/>
                <w:bottom w:val="none" w:sz="0" w:space="0" w:color="auto"/>
                <w:right w:val="none" w:sz="0" w:space="0" w:color="auto"/>
              </w:divBdr>
              <w:divsChild>
                <w:div w:id="8204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5401">
          <w:marLeft w:val="0"/>
          <w:marRight w:val="0"/>
          <w:marTop w:val="0"/>
          <w:marBottom w:val="0"/>
          <w:divBdr>
            <w:top w:val="none" w:sz="0" w:space="0" w:color="auto"/>
            <w:left w:val="none" w:sz="0" w:space="0" w:color="auto"/>
            <w:bottom w:val="none" w:sz="0" w:space="0" w:color="auto"/>
            <w:right w:val="none" w:sz="0" w:space="0" w:color="auto"/>
          </w:divBdr>
        </w:div>
        <w:div w:id="1540321205">
          <w:marLeft w:val="0"/>
          <w:marRight w:val="0"/>
          <w:marTop w:val="0"/>
          <w:marBottom w:val="0"/>
          <w:divBdr>
            <w:top w:val="none" w:sz="0" w:space="0" w:color="auto"/>
            <w:left w:val="none" w:sz="0" w:space="0" w:color="auto"/>
            <w:bottom w:val="none" w:sz="0" w:space="0" w:color="auto"/>
            <w:right w:val="none" w:sz="0" w:space="0" w:color="auto"/>
          </w:divBdr>
        </w:div>
        <w:div w:id="1556429662">
          <w:marLeft w:val="0"/>
          <w:marRight w:val="0"/>
          <w:marTop w:val="0"/>
          <w:marBottom w:val="0"/>
          <w:divBdr>
            <w:top w:val="none" w:sz="0" w:space="0" w:color="auto"/>
            <w:left w:val="none" w:sz="0" w:space="0" w:color="auto"/>
            <w:bottom w:val="none" w:sz="0" w:space="0" w:color="auto"/>
            <w:right w:val="none" w:sz="0" w:space="0" w:color="auto"/>
          </w:divBdr>
        </w:div>
        <w:div w:id="1561549832">
          <w:marLeft w:val="0"/>
          <w:marRight w:val="0"/>
          <w:marTop w:val="0"/>
          <w:marBottom w:val="0"/>
          <w:divBdr>
            <w:top w:val="none" w:sz="0" w:space="0" w:color="auto"/>
            <w:left w:val="none" w:sz="0" w:space="0" w:color="auto"/>
            <w:bottom w:val="none" w:sz="0" w:space="0" w:color="auto"/>
            <w:right w:val="none" w:sz="0" w:space="0" w:color="auto"/>
          </w:divBdr>
        </w:div>
        <w:div w:id="1580670210">
          <w:marLeft w:val="0"/>
          <w:marRight w:val="0"/>
          <w:marTop w:val="0"/>
          <w:marBottom w:val="0"/>
          <w:divBdr>
            <w:top w:val="none" w:sz="0" w:space="0" w:color="auto"/>
            <w:left w:val="none" w:sz="0" w:space="0" w:color="auto"/>
            <w:bottom w:val="none" w:sz="0" w:space="0" w:color="auto"/>
            <w:right w:val="none" w:sz="0" w:space="0" w:color="auto"/>
          </w:divBdr>
        </w:div>
        <w:div w:id="1597134994">
          <w:marLeft w:val="0"/>
          <w:marRight w:val="0"/>
          <w:marTop w:val="0"/>
          <w:marBottom w:val="0"/>
          <w:divBdr>
            <w:top w:val="none" w:sz="0" w:space="0" w:color="auto"/>
            <w:left w:val="none" w:sz="0" w:space="0" w:color="auto"/>
            <w:bottom w:val="none" w:sz="0" w:space="0" w:color="auto"/>
            <w:right w:val="none" w:sz="0" w:space="0" w:color="auto"/>
          </w:divBdr>
        </w:div>
        <w:div w:id="1624728070">
          <w:marLeft w:val="0"/>
          <w:marRight w:val="0"/>
          <w:marTop w:val="0"/>
          <w:marBottom w:val="0"/>
          <w:divBdr>
            <w:top w:val="none" w:sz="0" w:space="0" w:color="auto"/>
            <w:left w:val="none" w:sz="0" w:space="0" w:color="auto"/>
            <w:bottom w:val="none" w:sz="0" w:space="0" w:color="auto"/>
            <w:right w:val="none" w:sz="0" w:space="0" w:color="auto"/>
          </w:divBdr>
        </w:div>
        <w:div w:id="1658076270">
          <w:marLeft w:val="0"/>
          <w:marRight w:val="0"/>
          <w:marTop w:val="0"/>
          <w:marBottom w:val="0"/>
          <w:divBdr>
            <w:top w:val="none" w:sz="0" w:space="0" w:color="auto"/>
            <w:left w:val="none" w:sz="0" w:space="0" w:color="auto"/>
            <w:bottom w:val="none" w:sz="0" w:space="0" w:color="auto"/>
            <w:right w:val="none" w:sz="0" w:space="0" w:color="auto"/>
          </w:divBdr>
        </w:div>
        <w:div w:id="1665432408">
          <w:marLeft w:val="0"/>
          <w:marRight w:val="0"/>
          <w:marTop w:val="0"/>
          <w:marBottom w:val="0"/>
          <w:divBdr>
            <w:top w:val="none" w:sz="0" w:space="0" w:color="auto"/>
            <w:left w:val="none" w:sz="0" w:space="0" w:color="auto"/>
            <w:bottom w:val="none" w:sz="0" w:space="0" w:color="auto"/>
            <w:right w:val="none" w:sz="0" w:space="0" w:color="auto"/>
          </w:divBdr>
        </w:div>
        <w:div w:id="1690372937">
          <w:marLeft w:val="0"/>
          <w:marRight w:val="0"/>
          <w:marTop w:val="0"/>
          <w:marBottom w:val="0"/>
          <w:divBdr>
            <w:top w:val="none" w:sz="0" w:space="0" w:color="auto"/>
            <w:left w:val="none" w:sz="0" w:space="0" w:color="auto"/>
            <w:bottom w:val="none" w:sz="0" w:space="0" w:color="auto"/>
            <w:right w:val="none" w:sz="0" w:space="0" w:color="auto"/>
          </w:divBdr>
        </w:div>
        <w:div w:id="1723674642">
          <w:marLeft w:val="0"/>
          <w:marRight w:val="0"/>
          <w:marTop w:val="0"/>
          <w:marBottom w:val="0"/>
          <w:divBdr>
            <w:top w:val="none" w:sz="0" w:space="0" w:color="auto"/>
            <w:left w:val="none" w:sz="0" w:space="0" w:color="auto"/>
            <w:bottom w:val="none" w:sz="0" w:space="0" w:color="auto"/>
            <w:right w:val="none" w:sz="0" w:space="0" w:color="auto"/>
          </w:divBdr>
        </w:div>
        <w:div w:id="1738670981">
          <w:marLeft w:val="0"/>
          <w:marRight w:val="0"/>
          <w:marTop w:val="0"/>
          <w:marBottom w:val="0"/>
          <w:divBdr>
            <w:top w:val="none" w:sz="0" w:space="0" w:color="auto"/>
            <w:left w:val="none" w:sz="0" w:space="0" w:color="auto"/>
            <w:bottom w:val="none" w:sz="0" w:space="0" w:color="auto"/>
            <w:right w:val="none" w:sz="0" w:space="0" w:color="auto"/>
          </w:divBdr>
        </w:div>
        <w:div w:id="1766802879">
          <w:marLeft w:val="0"/>
          <w:marRight w:val="0"/>
          <w:marTop w:val="0"/>
          <w:marBottom w:val="0"/>
          <w:divBdr>
            <w:top w:val="none" w:sz="0" w:space="0" w:color="auto"/>
            <w:left w:val="none" w:sz="0" w:space="0" w:color="auto"/>
            <w:bottom w:val="none" w:sz="0" w:space="0" w:color="auto"/>
            <w:right w:val="none" w:sz="0" w:space="0" w:color="auto"/>
          </w:divBdr>
        </w:div>
        <w:div w:id="1783574393">
          <w:marLeft w:val="0"/>
          <w:marRight w:val="0"/>
          <w:marTop w:val="0"/>
          <w:marBottom w:val="0"/>
          <w:divBdr>
            <w:top w:val="none" w:sz="0" w:space="0" w:color="auto"/>
            <w:left w:val="none" w:sz="0" w:space="0" w:color="auto"/>
            <w:bottom w:val="none" w:sz="0" w:space="0" w:color="auto"/>
            <w:right w:val="none" w:sz="0" w:space="0" w:color="auto"/>
          </w:divBdr>
        </w:div>
        <w:div w:id="1784232161">
          <w:marLeft w:val="0"/>
          <w:marRight w:val="0"/>
          <w:marTop w:val="0"/>
          <w:marBottom w:val="0"/>
          <w:divBdr>
            <w:top w:val="none" w:sz="0" w:space="0" w:color="auto"/>
            <w:left w:val="none" w:sz="0" w:space="0" w:color="auto"/>
            <w:bottom w:val="none" w:sz="0" w:space="0" w:color="auto"/>
            <w:right w:val="none" w:sz="0" w:space="0" w:color="auto"/>
          </w:divBdr>
        </w:div>
        <w:div w:id="1795175710">
          <w:marLeft w:val="0"/>
          <w:marRight w:val="0"/>
          <w:marTop w:val="0"/>
          <w:marBottom w:val="0"/>
          <w:divBdr>
            <w:top w:val="none" w:sz="0" w:space="0" w:color="auto"/>
            <w:left w:val="none" w:sz="0" w:space="0" w:color="auto"/>
            <w:bottom w:val="none" w:sz="0" w:space="0" w:color="auto"/>
            <w:right w:val="none" w:sz="0" w:space="0" w:color="auto"/>
          </w:divBdr>
        </w:div>
        <w:div w:id="1809280873">
          <w:marLeft w:val="0"/>
          <w:marRight w:val="0"/>
          <w:marTop w:val="0"/>
          <w:marBottom w:val="0"/>
          <w:divBdr>
            <w:top w:val="none" w:sz="0" w:space="0" w:color="auto"/>
            <w:left w:val="none" w:sz="0" w:space="0" w:color="auto"/>
            <w:bottom w:val="none" w:sz="0" w:space="0" w:color="auto"/>
            <w:right w:val="none" w:sz="0" w:space="0" w:color="auto"/>
          </w:divBdr>
        </w:div>
        <w:div w:id="1828209541">
          <w:marLeft w:val="0"/>
          <w:marRight w:val="0"/>
          <w:marTop w:val="0"/>
          <w:marBottom w:val="0"/>
          <w:divBdr>
            <w:top w:val="none" w:sz="0" w:space="0" w:color="auto"/>
            <w:left w:val="none" w:sz="0" w:space="0" w:color="auto"/>
            <w:bottom w:val="none" w:sz="0" w:space="0" w:color="auto"/>
            <w:right w:val="none" w:sz="0" w:space="0" w:color="auto"/>
          </w:divBdr>
        </w:div>
        <w:div w:id="1832597009">
          <w:marLeft w:val="0"/>
          <w:marRight w:val="0"/>
          <w:marTop w:val="0"/>
          <w:marBottom w:val="0"/>
          <w:divBdr>
            <w:top w:val="none" w:sz="0" w:space="0" w:color="auto"/>
            <w:left w:val="none" w:sz="0" w:space="0" w:color="auto"/>
            <w:bottom w:val="none" w:sz="0" w:space="0" w:color="auto"/>
            <w:right w:val="none" w:sz="0" w:space="0" w:color="auto"/>
          </w:divBdr>
        </w:div>
        <w:div w:id="1836800798">
          <w:marLeft w:val="0"/>
          <w:marRight w:val="0"/>
          <w:marTop w:val="0"/>
          <w:marBottom w:val="0"/>
          <w:divBdr>
            <w:top w:val="none" w:sz="0" w:space="0" w:color="auto"/>
            <w:left w:val="none" w:sz="0" w:space="0" w:color="auto"/>
            <w:bottom w:val="none" w:sz="0" w:space="0" w:color="auto"/>
            <w:right w:val="none" w:sz="0" w:space="0" w:color="auto"/>
          </w:divBdr>
        </w:div>
        <w:div w:id="1850370839">
          <w:marLeft w:val="0"/>
          <w:marRight w:val="0"/>
          <w:marTop w:val="0"/>
          <w:marBottom w:val="0"/>
          <w:divBdr>
            <w:top w:val="none" w:sz="0" w:space="0" w:color="auto"/>
            <w:left w:val="none" w:sz="0" w:space="0" w:color="auto"/>
            <w:bottom w:val="none" w:sz="0" w:space="0" w:color="auto"/>
            <w:right w:val="none" w:sz="0" w:space="0" w:color="auto"/>
          </w:divBdr>
        </w:div>
        <w:div w:id="1858077595">
          <w:marLeft w:val="0"/>
          <w:marRight w:val="0"/>
          <w:marTop w:val="0"/>
          <w:marBottom w:val="0"/>
          <w:divBdr>
            <w:top w:val="none" w:sz="0" w:space="0" w:color="auto"/>
            <w:left w:val="none" w:sz="0" w:space="0" w:color="auto"/>
            <w:bottom w:val="none" w:sz="0" w:space="0" w:color="auto"/>
            <w:right w:val="none" w:sz="0" w:space="0" w:color="auto"/>
          </w:divBdr>
        </w:div>
        <w:div w:id="1884247632">
          <w:marLeft w:val="0"/>
          <w:marRight w:val="0"/>
          <w:marTop w:val="0"/>
          <w:marBottom w:val="0"/>
          <w:divBdr>
            <w:top w:val="none" w:sz="0" w:space="0" w:color="auto"/>
            <w:left w:val="none" w:sz="0" w:space="0" w:color="auto"/>
            <w:bottom w:val="none" w:sz="0" w:space="0" w:color="auto"/>
            <w:right w:val="none" w:sz="0" w:space="0" w:color="auto"/>
          </w:divBdr>
        </w:div>
        <w:div w:id="1907496360">
          <w:marLeft w:val="0"/>
          <w:marRight w:val="0"/>
          <w:marTop w:val="0"/>
          <w:marBottom w:val="0"/>
          <w:divBdr>
            <w:top w:val="none" w:sz="0" w:space="0" w:color="auto"/>
            <w:left w:val="none" w:sz="0" w:space="0" w:color="auto"/>
            <w:bottom w:val="none" w:sz="0" w:space="0" w:color="auto"/>
            <w:right w:val="none" w:sz="0" w:space="0" w:color="auto"/>
          </w:divBdr>
        </w:div>
        <w:div w:id="1915773292">
          <w:marLeft w:val="0"/>
          <w:marRight w:val="0"/>
          <w:marTop w:val="0"/>
          <w:marBottom w:val="0"/>
          <w:divBdr>
            <w:top w:val="none" w:sz="0" w:space="0" w:color="auto"/>
            <w:left w:val="none" w:sz="0" w:space="0" w:color="auto"/>
            <w:bottom w:val="none" w:sz="0" w:space="0" w:color="auto"/>
            <w:right w:val="none" w:sz="0" w:space="0" w:color="auto"/>
          </w:divBdr>
        </w:div>
        <w:div w:id="1927183796">
          <w:marLeft w:val="0"/>
          <w:marRight w:val="0"/>
          <w:marTop w:val="0"/>
          <w:marBottom w:val="0"/>
          <w:divBdr>
            <w:top w:val="none" w:sz="0" w:space="0" w:color="auto"/>
            <w:left w:val="none" w:sz="0" w:space="0" w:color="auto"/>
            <w:bottom w:val="none" w:sz="0" w:space="0" w:color="auto"/>
            <w:right w:val="none" w:sz="0" w:space="0" w:color="auto"/>
          </w:divBdr>
        </w:div>
        <w:div w:id="1939176286">
          <w:marLeft w:val="0"/>
          <w:marRight w:val="0"/>
          <w:marTop w:val="0"/>
          <w:marBottom w:val="0"/>
          <w:divBdr>
            <w:top w:val="none" w:sz="0" w:space="0" w:color="auto"/>
            <w:left w:val="none" w:sz="0" w:space="0" w:color="auto"/>
            <w:bottom w:val="none" w:sz="0" w:space="0" w:color="auto"/>
            <w:right w:val="none" w:sz="0" w:space="0" w:color="auto"/>
          </w:divBdr>
        </w:div>
        <w:div w:id="1942762507">
          <w:marLeft w:val="0"/>
          <w:marRight w:val="0"/>
          <w:marTop w:val="0"/>
          <w:marBottom w:val="0"/>
          <w:divBdr>
            <w:top w:val="none" w:sz="0" w:space="0" w:color="auto"/>
            <w:left w:val="none" w:sz="0" w:space="0" w:color="auto"/>
            <w:bottom w:val="none" w:sz="0" w:space="0" w:color="auto"/>
            <w:right w:val="none" w:sz="0" w:space="0" w:color="auto"/>
          </w:divBdr>
        </w:div>
        <w:div w:id="1945451946">
          <w:marLeft w:val="0"/>
          <w:marRight w:val="0"/>
          <w:marTop w:val="0"/>
          <w:marBottom w:val="0"/>
          <w:divBdr>
            <w:top w:val="none" w:sz="0" w:space="0" w:color="auto"/>
            <w:left w:val="none" w:sz="0" w:space="0" w:color="auto"/>
            <w:bottom w:val="none" w:sz="0" w:space="0" w:color="auto"/>
            <w:right w:val="none" w:sz="0" w:space="0" w:color="auto"/>
          </w:divBdr>
        </w:div>
        <w:div w:id="1951089477">
          <w:marLeft w:val="0"/>
          <w:marRight w:val="0"/>
          <w:marTop w:val="0"/>
          <w:marBottom w:val="0"/>
          <w:divBdr>
            <w:top w:val="none" w:sz="0" w:space="0" w:color="auto"/>
            <w:left w:val="none" w:sz="0" w:space="0" w:color="auto"/>
            <w:bottom w:val="none" w:sz="0" w:space="0" w:color="auto"/>
            <w:right w:val="none" w:sz="0" w:space="0" w:color="auto"/>
          </w:divBdr>
        </w:div>
        <w:div w:id="1954241115">
          <w:marLeft w:val="-75"/>
          <w:marRight w:val="0"/>
          <w:marTop w:val="30"/>
          <w:marBottom w:val="30"/>
          <w:divBdr>
            <w:top w:val="none" w:sz="0" w:space="0" w:color="auto"/>
            <w:left w:val="none" w:sz="0" w:space="0" w:color="auto"/>
            <w:bottom w:val="none" w:sz="0" w:space="0" w:color="auto"/>
            <w:right w:val="none" w:sz="0" w:space="0" w:color="auto"/>
          </w:divBdr>
          <w:divsChild>
            <w:div w:id="7561811">
              <w:marLeft w:val="0"/>
              <w:marRight w:val="0"/>
              <w:marTop w:val="0"/>
              <w:marBottom w:val="0"/>
              <w:divBdr>
                <w:top w:val="none" w:sz="0" w:space="0" w:color="auto"/>
                <w:left w:val="none" w:sz="0" w:space="0" w:color="auto"/>
                <w:bottom w:val="none" w:sz="0" w:space="0" w:color="auto"/>
                <w:right w:val="none" w:sz="0" w:space="0" w:color="auto"/>
              </w:divBdr>
              <w:divsChild>
                <w:div w:id="1643540825">
                  <w:marLeft w:val="0"/>
                  <w:marRight w:val="0"/>
                  <w:marTop w:val="0"/>
                  <w:marBottom w:val="0"/>
                  <w:divBdr>
                    <w:top w:val="none" w:sz="0" w:space="0" w:color="auto"/>
                    <w:left w:val="none" w:sz="0" w:space="0" w:color="auto"/>
                    <w:bottom w:val="none" w:sz="0" w:space="0" w:color="auto"/>
                    <w:right w:val="none" w:sz="0" w:space="0" w:color="auto"/>
                  </w:divBdr>
                </w:div>
              </w:divsChild>
            </w:div>
            <w:div w:id="91171068">
              <w:marLeft w:val="0"/>
              <w:marRight w:val="0"/>
              <w:marTop w:val="0"/>
              <w:marBottom w:val="0"/>
              <w:divBdr>
                <w:top w:val="none" w:sz="0" w:space="0" w:color="auto"/>
                <w:left w:val="none" w:sz="0" w:space="0" w:color="auto"/>
                <w:bottom w:val="none" w:sz="0" w:space="0" w:color="auto"/>
                <w:right w:val="none" w:sz="0" w:space="0" w:color="auto"/>
              </w:divBdr>
              <w:divsChild>
                <w:div w:id="70931465">
                  <w:marLeft w:val="0"/>
                  <w:marRight w:val="0"/>
                  <w:marTop w:val="0"/>
                  <w:marBottom w:val="0"/>
                  <w:divBdr>
                    <w:top w:val="none" w:sz="0" w:space="0" w:color="auto"/>
                    <w:left w:val="none" w:sz="0" w:space="0" w:color="auto"/>
                    <w:bottom w:val="none" w:sz="0" w:space="0" w:color="auto"/>
                    <w:right w:val="none" w:sz="0" w:space="0" w:color="auto"/>
                  </w:divBdr>
                </w:div>
              </w:divsChild>
            </w:div>
            <w:div w:id="118115592">
              <w:marLeft w:val="0"/>
              <w:marRight w:val="0"/>
              <w:marTop w:val="0"/>
              <w:marBottom w:val="0"/>
              <w:divBdr>
                <w:top w:val="none" w:sz="0" w:space="0" w:color="auto"/>
                <w:left w:val="none" w:sz="0" w:space="0" w:color="auto"/>
                <w:bottom w:val="none" w:sz="0" w:space="0" w:color="auto"/>
                <w:right w:val="none" w:sz="0" w:space="0" w:color="auto"/>
              </w:divBdr>
              <w:divsChild>
                <w:div w:id="1892183575">
                  <w:marLeft w:val="0"/>
                  <w:marRight w:val="0"/>
                  <w:marTop w:val="0"/>
                  <w:marBottom w:val="0"/>
                  <w:divBdr>
                    <w:top w:val="none" w:sz="0" w:space="0" w:color="auto"/>
                    <w:left w:val="none" w:sz="0" w:space="0" w:color="auto"/>
                    <w:bottom w:val="none" w:sz="0" w:space="0" w:color="auto"/>
                    <w:right w:val="none" w:sz="0" w:space="0" w:color="auto"/>
                  </w:divBdr>
                </w:div>
              </w:divsChild>
            </w:div>
            <w:div w:id="189223696">
              <w:marLeft w:val="0"/>
              <w:marRight w:val="0"/>
              <w:marTop w:val="0"/>
              <w:marBottom w:val="0"/>
              <w:divBdr>
                <w:top w:val="none" w:sz="0" w:space="0" w:color="auto"/>
                <w:left w:val="none" w:sz="0" w:space="0" w:color="auto"/>
                <w:bottom w:val="none" w:sz="0" w:space="0" w:color="auto"/>
                <w:right w:val="none" w:sz="0" w:space="0" w:color="auto"/>
              </w:divBdr>
              <w:divsChild>
                <w:div w:id="1565066881">
                  <w:marLeft w:val="0"/>
                  <w:marRight w:val="0"/>
                  <w:marTop w:val="0"/>
                  <w:marBottom w:val="0"/>
                  <w:divBdr>
                    <w:top w:val="none" w:sz="0" w:space="0" w:color="auto"/>
                    <w:left w:val="none" w:sz="0" w:space="0" w:color="auto"/>
                    <w:bottom w:val="none" w:sz="0" w:space="0" w:color="auto"/>
                    <w:right w:val="none" w:sz="0" w:space="0" w:color="auto"/>
                  </w:divBdr>
                </w:div>
              </w:divsChild>
            </w:div>
            <w:div w:id="466944273">
              <w:marLeft w:val="0"/>
              <w:marRight w:val="0"/>
              <w:marTop w:val="0"/>
              <w:marBottom w:val="0"/>
              <w:divBdr>
                <w:top w:val="none" w:sz="0" w:space="0" w:color="auto"/>
                <w:left w:val="none" w:sz="0" w:space="0" w:color="auto"/>
                <w:bottom w:val="none" w:sz="0" w:space="0" w:color="auto"/>
                <w:right w:val="none" w:sz="0" w:space="0" w:color="auto"/>
              </w:divBdr>
              <w:divsChild>
                <w:div w:id="1176993545">
                  <w:marLeft w:val="0"/>
                  <w:marRight w:val="0"/>
                  <w:marTop w:val="0"/>
                  <w:marBottom w:val="0"/>
                  <w:divBdr>
                    <w:top w:val="none" w:sz="0" w:space="0" w:color="auto"/>
                    <w:left w:val="none" w:sz="0" w:space="0" w:color="auto"/>
                    <w:bottom w:val="none" w:sz="0" w:space="0" w:color="auto"/>
                    <w:right w:val="none" w:sz="0" w:space="0" w:color="auto"/>
                  </w:divBdr>
                </w:div>
              </w:divsChild>
            </w:div>
            <w:div w:id="553278983">
              <w:marLeft w:val="0"/>
              <w:marRight w:val="0"/>
              <w:marTop w:val="0"/>
              <w:marBottom w:val="0"/>
              <w:divBdr>
                <w:top w:val="none" w:sz="0" w:space="0" w:color="auto"/>
                <w:left w:val="none" w:sz="0" w:space="0" w:color="auto"/>
                <w:bottom w:val="none" w:sz="0" w:space="0" w:color="auto"/>
                <w:right w:val="none" w:sz="0" w:space="0" w:color="auto"/>
              </w:divBdr>
              <w:divsChild>
                <w:div w:id="332414337">
                  <w:marLeft w:val="0"/>
                  <w:marRight w:val="0"/>
                  <w:marTop w:val="0"/>
                  <w:marBottom w:val="0"/>
                  <w:divBdr>
                    <w:top w:val="none" w:sz="0" w:space="0" w:color="auto"/>
                    <w:left w:val="none" w:sz="0" w:space="0" w:color="auto"/>
                    <w:bottom w:val="none" w:sz="0" w:space="0" w:color="auto"/>
                    <w:right w:val="none" w:sz="0" w:space="0" w:color="auto"/>
                  </w:divBdr>
                </w:div>
              </w:divsChild>
            </w:div>
            <w:div w:id="832137864">
              <w:marLeft w:val="0"/>
              <w:marRight w:val="0"/>
              <w:marTop w:val="0"/>
              <w:marBottom w:val="0"/>
              <w:divBdr>
                <w:top w:val="none" w:sz="0" w:space="0" w:color="auto"/>
                <w:left w:val="none" w:sz="0" w:space="0" w:color="auto"/>
                <w:bottom w:val="none" w:sz="0" w:space="0" w:color="auto"/>
                <w:right w:val="none" w:sz="0" w:space="0" w:color="auto"/>
              </w:divBdr>
              <w:divsChild>
                <w:div w:id="532767118">
                  <w:marLeft w:val="0"/>
                  <w:marRight w:val="0"/>
                  <w:marTop w:val="0"/>
                  <w:marBottom w:val="0"/>
                  <w:divBdr>
                    <w:top w:val="none" w:sz="0" w:space="0" w:color="auto"/>
                    <w:left w:val="none" w:sz="0" w:space="0" w:color="auto"/>
                    <w:bottom w:val="none" w:sz="0" w:space="0" w:color="auto"/>
                    <w:right w:val="none" w:sz="0" w:space="0" w:color="auto"/>
                  </w:divBdr>
                </w:div>
              </w:divsChild>
            </w:div>
            <w:div w:id="1018697842">
              <w:marLeft w:val="0"/>
              <w:marRight w:val="0"/>
              <w:marTop w:val="0"/>
              <w:marBottom w:val="0"/>
              <w:divBdr>
                <w:top w:val="none" w:sz="0" w:space="0" w:color="auto"/>
                <w:left w:val="none" w:sz="0" w:space="0" w:color="auto"/>
                <w:bottom w:val="none" w:sz="0" w:space="0" w:color="auto"/>
                <w:right w:val="none" w:sz="0" w:space="0" w:color="auto"/>
              </w:divBdr>
              <w:divsChild>
                <w:div w:id="84234737">
                  <w:marLeft w:val="0"/>
                  <w:marRight w:val="0"/>
                  <w:marTop w:val="0"/>
                  <w:marBottom w:val="0"/>
                  <w:divBdr>
                    <w:top w:val="none" w:sz="0" w:space="0" w:color="auto"/>
                    <w:left w:val="none" w:sz="0" w:space="0" w:color="auto"/>
                    <w:bottom w:val="none" w:sz="0" w:space="0" w:color="auto"/>
                    <w:right w:val="none" w:sz="0" w:space="0" w:color="auto"/>
                  </w:divBdr>
                </w:div>
              </w:divsChild>
            </w:div>
            <w:div w:id="1493835777">
              <w:marLeft w:val="0"/>
              <w:marRight w:val="0"/>
              <w:marTop w:val="0"/>
              <w:marBottom w:val="0"/>
              <w:divBdr>
                <w:top w:val="none" w:sz="0" w:space="0" w:color="auto"/>
                <w:left w:val="none" w:sz="0" w:space="0" w:color="auto"/>
                <w:bottom w:val="none" w:sz="0" w:space="0" w:color="auto"/>
                <w:right w:val="none" w:sz="0" w:space="0" w:color="auto"/>
              </w:divBdr>
              <w:divsChild>
                <w:div w:id="1298030307">
                  <w:marLeft w:val="0"/>
                  <w:marRight w:val="0"/>
                  <w:marTop w:val="0"/>
                  <w:marBottom w:val="0"/>
                  <w:divBdr>
                    <w:top w:val="none" w:sz="0" w:space="0" w:color="auto"/>
                    <w:left w:val="none" w:sz="0" w:space="0" w:color="auto"/>
                    <w:bottom w:val="none" w:sz="0" w:space="0" w:color="auto"/>
                    <w:right w:val="none" w:sz="0" w:space="0" w:color="auto"/>
                  </w:divBdr>
                </w:div>
              </w:divsChild>
            </w:div>
            <w:div w:id="1653870327">
              <w:marLeft w:val="0"/>
              <w:marRight w:val="0"/>
              <w:marTop w:val="0"/>
              <w:marBottom w:val="0"/>
              <w:divBdr>
                <w:top w:val="none" w:sz="0" w:space="0" w:color="auto"/>
                <w:left w:val="none" w:sz="0" w:space="0" w:color="auto"/>
                <w:bottom w:val="none" w:sz="0" w:space="0" w:color="auto"/>
                <w:right w:val="none" w:sz="0" w:space="0" w:color="auto"/>
              </w:divBdr>
              <w:divsChild>
                <w:div w:id="1331981355">
                  <w:marLeft w:val="0"/>
                  <w:marRight w:val="0"/>
                  <w:marTop w:val="0"/>
                  <w:marBottom w:val="0"/>
                  <w:divBdr>
                    <w:top w:val="none" w:sz="0" w:space="0" w:color="auto"/>
                    <w:left w:val="none" w:sz="0" w:space="0" w:color="auto"/>
                    <w:bottom w:val="none" w:sz="0" w:space="0" w:color="auto"/>
                    <w:right w:val="none" w:sz="0" w:space="0" w:color="auto"/>
                  </w:divBdr>
                </w:div>
                <w:div w:id="1708139865">
                  <w:marLeft w:val="0"/>
                  <w:marRight w:val="0"/>
                  <w:marTop w:val="0"/>
                  <w:marBottom w:val="0"/>
                  <w:divBdr>
                    <w:top w:val="none" w:sz="0" w:space="0" w:color="auto"/>
                    <w:left w:val="none" w:sz="0" w:space="0" w:color="auto"/>
                    <w:bottom w:val="none" w:sz="0" w:space="0" w:color="auto"/>
                    <w:right w:val="none" w:sz="0" w:space="0" w:color="auto"/>
                  </w:divBdr>
                </w:div>
              </w:divsChild>
            </w:div>
            <w:div w:id="1993174029">
              <w:marLeft w:val="0"/>
              <w:marRight w:val="0"/>
              <w:marTop w:val="0"/>
              <w:marBottom w:val="0"/>
              <w:divBdr>
                <w:top w:val="none" w:sz="0" w:space="0" w:color="auto"/>
                <w:left w:val="none" w:sz="0" w:space="0" w:color="auto"/>
                <w:bottom w:val="none" w:sz="0" w:space="0" w:color="auto"/>
                <w:right w:val="none" w:sz="0" w:space="0" w:color="auto"/>
              </w:divBdr>
              <w:divsChild>
                <w:div w:id="79714450">
                  <w:marLeft w:val="0"/>
                  <w:marRight w:val="0"/>
                  <w:marTop w:val="0"/>
                  <w:marBottom w:val="0"/>
                  <w:divBdr>
                    <w:top w:val="none" w:sz="0" w:space="0" w:color="auto"/>
                    <w:left w:val="none" w:sz="0" w:space="0" w:color="auto"/>
                    <w:bottom w:val="none" w:sz="0" w:space="0" w:color="auto"/>
                    <w:right w:val="none" w:sz="0" w:space="0" w:color="auto"/>
                  </w:divBdr>
                </w:div>
                <w:div w:id="346370736">
                  <w:marLeft w:val="0"/>
                  <w:marRight w:val="0"/>
                  <w:marTop w:val="0"/>
                  <w:marBottom w:val="0"/>
                  <w:divBdr>
                    <w:top w:val="none" w:sz="0" w:space="0" w:color="auto"/>
                    <w:left w:val="none" w:sz="0" w:space="0" w:color="auto"/>
                    <w:bottom w:val="none" w:sz="0" w:space="0" w:color="auto"/>
                    <w:right w:val="none" w:sz="0" w:space="0" w:color="auto"/>
                  </w:divBdr>
                </w:div>
                <w:div w:id="1703089018">
                  <w:marLeft w:val="0"/>
                  <w:marRight w:val="0"/>
                  <w:marTop w:val="0"/>
                  <w:marBottom w:val="0"/>
                  <w:divBdr>
                    <w:top w:val="none" w:sz="0" w:space="0" w:color="auto"/>
                    <w:left w:val="none" w:sz="0" w:space="0" w:color="auto"/>
                    <w:bottom w:val="none" w:sz="0" w:space="0" w:color="auto"/>
                    <w:right w:val="none" w:sz="0" w:space="0" w:color="auto"/>
                  </w:divBdr>
                </w:div>
                <w:div w:id="1818035217">
                  <w:marLeft w:val="0"/>
                  <w:marRight w:val="0"/>
                  <w:marTop w:val="0"/>
                  <w:marBottom w:val="0"/>
                  <w:divBdr>
                    <w:top w:val="none" w:sz="0" w:space="0" w:color="auto"/>
                    <w:left w:val="none" w:sz="0" w:space="0" w:color="auto"/>
                    <w:bottom w:val="none" w:sz="0" w:space="0" w:color="auto"/>
                    <w:right w:val="none" w:sz="0" w:space="0" w:color="auto"/>
                  </w:divBdr>
                </w:div>
                <w:div w:id="1951080800">
                  <w:marLeft w:val="0"/>
                  <w:marRight w:val="0"/>
                  <w:marTop w:val="0"/>
                  <w:marBottom w:val="0"/>
                  <w:divBdr>
                    <w:top w:val="none" w:sz="0" w:space="0" w:color="auto"/>
                    <w:left w:val="none" w:sz="0" w:space="0" w:color="auto"/>
                    <w:bottom w:val="none" w:sz="0" w:space="0" w:color="auto"/>
                    <w:right w:val="none" w:sz="0" w:space="0" w:color="auto"/>
                  </w:divBdr>
                </w:div>
              </w:divsChild>
            </w:div>
            <w:div w:id="2046904501">
              <w:marLeft w:val="0"/>
              <w:marRight w:val="0"/>
              <w:marTop w:val="0"/>
              <w:marBottom w:val="0"/>
              <w:divBdr>
                <w:top w:val="none" w:sz="0" w:space="0" w:color="auto"/>
                <w:left w:val="none" w:sz="0" w:space="0" w:color="auto"/>
                <w:bottom w:val="none" w:sz="0" w:space="0" w:color="auto"/>
                <w:right w:val="none" w:sz="0" w:space="0" w:color="auto"/>
              </w:divBdr>
              <w:divsChild>
                <w:div w:id="1055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5767">
          <w:marLeft w:val="0"/>
          <w:marRight w:val="0"/>
          <w:marTop w:val="0"/>
          <w:marBottom w:val="0"/>
          <w:divBdr>
            <w:top w:val="none" w:sz="0" w:space="0" w:color="auto"/>
            <w:left w:val="none" w:sz="0" w:space="0" w:color="auto"/>
            <w:bottom w:val="none" w:sz="0" w:space="0" w:color="auto"/>
            <w:right w:val="none" w:sz="0" w:space="0" w:color="auto"/>
          </w:divBdr>
        </w:div>
        <w:div w:id="1980256714">
          <w:marLeft w:val="0"/>
          <w:marRight w:val="0"/>
          <w:marTop w:val="0"/>
          <w:marBottom w:val="0"/>
          <w:divBdr>
            <w:top w:val="none" w:sz="0" w:space="0" w:color="auto"/>
            <w:left w:val="none" w:sz="0" w:space="0" w:color="auto"/>
            <w:bottom w:val="none" w:sz="0" w:space="0" w:color="auto"/>
            <w:right w:val="none" w:sz="0" w:space="0" w:color="auto"/>
          </w:divBdr>
        </w:div>
        <w:div w:id="1999963596">
          <w:marLeft w:val="0"/>
          <w:marRight w:val="0"/>
          <w:marTop w:val="0"/>
          <w:marBottom w:val="0"/>
          <w:divBdr>
            <w:top w:val="none" w:sz="0" w:space="0" w:color="auto"/>
            <w:left w:val="none" w:sz="0" w:space="0" w:color="auto"/>
            <w:bottom w:val="none" w:sz="0" w:space="0" w:color="auto"/>
            <w:right w:val="none" w:sz="0" w:space="0" w:color="auto"/>
          </w:divBdr>
        </w:div>
        <w:div w:id="2011907249">
          <w:marLeft w:val="0"/>
          <w:marRight w:val="0"/>
          <w:marTop w:val="0"/>
          <w:marBottom w:val="0"/>
          <w:divBdr>
            <w:top w:val="none" w:sz="0" w:space="0" w:color="auto"/>
            <w:left w:val="none" w:sz="0" w:space="0" w:color="auto"/>
            <w:bottom w:val="none" w:sz="0" w:space="0" w:color="auto"/>
            <w:right w:val="none" w:sz="0" w:space="0" w:color="auto"/>
          </w:divBdr>
        </w:div>
        <w:div w:id="2066295221">
          <w:marLeft w:val="0"/>
          <w:marRight w:val="0"/>
          <w:marTop w:val="0"/>
          <w:marBottom w:val="0"/>
          <w:divBdr>
            <w:top w:val="none" w:sz="0" w:space="0" w:color="auto"/>
            <w:left w:val="none" w:sz="0" w:space="0" w:color="auto"/>
            <w:bottom w:val="none" w:sz="0" w:space="0" w:color="auto"/>
            <w:right w:val="none" w:sz="0" w:space="0" w:color="auto"/>
          </w:divBdr>
        </w:div>
        <w:div w:id="2134403041">
          <w:marLeft w:val="0"/>
          <w:marRight w:val="0"/>
          <w:marTop w:val="0"/>
          <w:marBottom w:val="0"/>
          <w:divBdr>
            <w:top w:val="none" w:sz="0" w:space="0" w:color="auto"/>
            <w:left w:val="none" w:sz="0" w:space="0" w:color="auto"/>
            <w:bottom w:val="none" w:sz="0" w:space="0" w:color="auto"/>
            <w:right w:val="none" w:sz="0" w:space="0" w:color="auto"/>
          </w:divBdr>
        </w:div>
      </w:divsChild>
    </w:div>
    <w:div w:id="91626753">
      <w:bodyDiv w:val="1"/>
      <w:marLeft w:val="0"/>
      <w:marRight w:val="0"/>
      <w:marTop w:val="0"/>
      <w:marBottom w:val="0"/>
      <w:divBdr>
        <w:top w:val="none" w:sz="0" w:space="0" w:color="auto"/>
        <w:left w:val="none" w:sz="0" w:space="0" w:color="auto"/>
        <w:bottom w:val="none" w:sz="0" w:space="0" w:color="auto"/>
        <w:right w:val="none" w:sz="0" w:space="0" w:color="auto"/>
      </w:divBdr>
    </w:div>
    <w:div w:id="99839689">
      <w:bodyDiv w:val="1"/>
      <w:marLeft w:val="0"/>
      <w:marRight w:val="0"/>
      <w:marTop w:val="0"/>
      <w:marBottom w:val="0"/>
      <w:divBdr>
        <w:top w:val="none" w:sz="0" w:space="0" w:color="auto"/>
        <w:left w:val="none" w:sz="0" w:space="0" w:color="auto"/>
        <w:bottom w:val="none" w:sz="0" w:space="0" w:color="auto"/>
        <w:right w:val="none" w:sz="0" w:space="0" w:color="auto"/>
      </w:divBdr>
      <w:divsChild>
        <w:div w:id="194930685">
          <w:marLeft w:val="893"/>
          <w:marRight w:val="0"/>
          <w:marTop w:val="0"/>
          <w:marBottom w:val="160"/>
          <w:divBdr>
            <w:top w:val="none" w:sz="0" w:space="0" w:color="auto"/>
            <w:left w:val="none" w:sz="0" w:space="0" w:color="auto"/>
            <w:bottom w:val="none" w:sz="0" w:space="0" w:color="auto"/>
            <w:right w:val="none" w:sz="0" w:space="0" w:color="auto"/>
          </w:divBdr>
        </w:div>
        <w:div w:id="750545534">
          <w:marLeft w:val="893"/>
          <w:marRight w:val="0"/>
          <w:marTop w:val="0"/>
          <w:marBottom w:val="160"/>
          <w:divBdr>
            <w:top w:val="none" w:sz="0" w:space="0" w:color="auto"/>
            <w:left w:val="none" w:sz="0" w:space="0" w:color="auto"/>
            <w:bottom w:val="none" w:sz="0" w:space="0" w:color="auto"/>
            <w:right w:val="none" w:sz="0" w:space="0" w:color="auto"/>
          </w:divBdr>
        </w:div>
        <w:div w:id="974599702">
          <w:marLeft w:val="893"/>
          <w:marRight w:val="0"/>
          <w:marTop w:val="0"/>
          <w:marBottom w:val="160"/>
          <w:divBdr>
            <w:top w:val="none" w:sz="0" w:space="0" w:color="auto"/>
            <w:left w:val="none" w:sz="0" w:space="0" w:color="auto"/>
            <w:bottom w:val="none" w:sz="0" w:space="0" w:color="auto"/>
            <w:right w:val="none" w:sz="0" w:space="0" w:color="auto"/>
          </w:divBdr>
        </w:div>
        <w:div w:id="1157261005">
          <w:marLeft w:val="893"/>
          <w:marRight w:val="0"/>
          <w:marTop w:val="0"/>
          <w:marBottom w:val="160"/>
          <w:divBdr>
            <w:top w:val="none" w:sz="0" w:space="0" w:color="auto"/>
            <w:left w:val="none" w:sz="0" w:space="0" w:color="auto"/>
            <w:bottom w:val="none" w:sz="0" w:space="0" w:color="auto"/>
            <w:right w:val="none" w:sz="0" w:space="0" w:color="auto"/>
          </w:divBdr>
        </w:div>
        <w:div w:id="1729259521">
          <w:marLeft w:val="893"/>
          <w:marRight w:val="0"/>
          <w:marTop w:val="0"/>
          <w:marBottom w:val="160"/>
          <w:divBdr>
            <w:top w:val="none" w:sz="0" w:space="0" w:color="auto"/>
            <w:left w:val="none" w:sz="0" w:space="0" w:color="auto"/>
            <w:bottom w:val="none" w:sz="0" w:space="0" w:color="auto"/>
            <w:right w:val="none" w:sz="0" w:space="0" w:color="auto"/>
          </w:divBdr>
        </w:div>
      </w:divsChild>
    </w:div>
    <w:div w:id="108403438">
      <w:bodyDiv w:val="1"/>
      <w:marLeft w:val="0"/>
      <w:marRight w:val="0"/>
      <w:marTop w:val="0"/>
      <w:marBottom w:val="0"/>
      <w:divBdr>
        <w:top w:val="none" w:sz="0" w:space="0" w:color="auto"/>
        <w:left w:val="none" w:sz="0" w:space="0" w:color="auto"/>
        <w:bottom w:val="none" w:sz="0" w:space="0" w:color="auto"/>
        <w:right w:val="none" w:sz="0" w:space="0" w:color="auto"/>
      </w:divBdr>
    </w:div>
    <w:div w:id="116488487">
      <w:bodyDiv w:val="1"/>
      <w:marLeft w:val="0"/>
      <w:marRight w:val="0"/>
      <w:marTop w:val="0"/>
      <w:marBottom w:val="0"/>
      <w:divBdr>
        <w:top w:val="none" w:sz="0" w:space="0" w:color="auto"/>
        <w:left w:val="none" w:sz="0" w:space="0" w:color="auto"/>
        <w:bottom w:val="none" w:sz="0" w:space="0" w:color="auto"/>
        <w:right w:val="none" w:sz="0" w:space="0" w:color="auto"/>
      </w:divBdr>
      <w:divsChild>
        <w:div w:id="98066962">
          <w:marLeft w:val="446"/>
          <w:marRight w:val="0"/>
          <w:marTop w:val="200"/>
          <w:marBottom w:val="160"/>
          <w:divBdr>
            <w:top w:val="none" w:sz="0" w:space="0" w:color="auto"/>
            <w:left w:val="none" w:sz="0" w:space="0" w:color="auto"/>
            <w:bottom w:val="none" w:sz="0" w:space="0" w:color="auto"/>
            <w:right w:val="none" w:sz="0" w:space="0" w:color="auto"/>
          </w:divBdr>
        </w:div>
        <w:div w:id="609703272">
          <w:marLeft w:val="446"/>
          <w:marRight w:val="0"/>
          <w:marTop w:val="200"/>
          <w:marBottom w:val="160"/>
          <w:divBdr>
            <w:top w:val="none" w:sz="0" w:space="0" w:color="auto"/>
            <w:left w:val="none" w:sz="0" w:space="0" w:color="auto"/>
            <w:bottom w:val="none" w:sz="0" w:space="0" w:color="auto"/>
            <w:right w:val="none" w:sz="0" w:space="0" w:color="auto"/>
          </w:divBdr>
        </w:div>
        <w:div w:id="901871785">
          <w:marLeft w:val="446"/>
          <w:marRight w:val="0"/>
          <w:marTop w:val="200"/>
          <w:marBottom w:val="160"/>
          <w:divBdr>
            <w:top w:val="none" w:sz="0" w:space="0" w:color="auto"/>
            <w:left w:val="none" w:sz="0" w:space="0" w:color="auto"/>
            <w:bottom w:val="none" w:sz="0" w:space="0" w:color="auto"/>
            <w:right w:val="none" w:sz="0" w:space="0" w:color="auto"/>
          </w:divBdr>
        </w:div>
        <w:div w:id="1862667390">
          <w:marLeft w:val="446"/>
          <w:marRight w:val="0"/>
          <w:marTop w:val="200"/>
          <w:marBottom w:val="160"/>
          <w:divBdr>
            <w:top w:val="none" w:sz="0" w:space="0" w:color="auto"/>
            <w:left w:val="none" w:sz="0" w:space="0" w:color="auto"/>
            <w:bottom w:val="none" w:sz="0" w:space="0" w:color="auto"/>
            <w:right w:val="none" w:sz="0" w:space="0" w:color="auto"/>
          </w:divBdr>
        </w:div>
      </w:divsChild>
    </w:div>
    <w:div w:id="119686747">
      <w:bodyDiv w:val="1"/>
      <w:marLeft w:val="0"/>
      <w:marRight w:val="0"/>
      <w:marTop w:val="0"/>
      <w:marBottom w:val="0"/>
      <w:divBdr>
        <w:top w:val="none" w:sz="0" w:space="0" w:color="auto"/>
        <w:left w:val="none" w:sz="0" w:space="0" w:color="auto"/>
        <w:bottom w:val="none" w:sz="0" w:space="0" w:color="auto"/>
        <w:right w:val="none" w:sz="0" w:space="0" w:color="auto"/>
      </w:divBdr>
    </w:div>
    <w:div w:id="122815332">
      <w:bodyDiv w:val="1"/>
      <w:marLeft w:val="0"/>
      <w:marRight w:val="0"/>
      <w:marTop w:val="0"/>
      <w:marBottom w:val="0"/>
      <w:divBdr>
        <w:top w:val="none" w:sz="0" w:space="0" w:color="auto"/>
        <w:left w:val="none" w:sz="0" w:space="0" w:color="auto"/>
        <w:bottom w:val="none" w:sz="0" w:space="0" w:color="auto"/>
        <w:right w:val="none" w:sz="0" w:space="0" w:color="auto"/>
      </w:divBdr>
      <w:divsChild>
        <w:div w:id="122772909">
          <w:marLeft w:val="893"/>
          <w:marRight w:val="0"/>
          <w:marTop w:val="0"/>
          <w:marBottom w:val="120"/>
          <w:divBdr>
            <w:top w:val="none" w:sz="0" w:space="0" w:color="auto"/>
            <w:left w:val="none" w:sz="0" w:space="0" w:color="auto"/>
            <w:bottom w:val="none" w:sz="0" w:space="0" w:color="auto"/>
            <w:right w:val="none" w:sz="0" w:space="0" w:color="auto"/>
          </w:divBdr>
        </w:div>
        <w:div w:id="409888166">
          <w:marLeft w:val="893"/>
          <w:marRight w:val="0"/>
          <w:marTop w:val="0"/>
          <w:marBottom w:val="120"/>
          <w:divBdr>
            <w:top w:val="none" w:sz="0" w:space="0" w:color="auto"/>
            <w:left w:val="none" w:sz="0" w:space="0" w:color="auto"/>
            <w:bottom w:val="none" w:sz="0" w:space="0" w:color="auto"/>
            <w:right w:val="none" w:sz="0" w:space="0" w:color="auto"/>
          </w:divBdr>
        </w:div>
        <w:div w:id="704062451">
          <w:marLeft w:val="893"/>
          <w:marRight w:val="0"/>
          <w:marTop w:val="0"/>
          <w:marBottom w:val="120"/>
          <w:divBdr>
            <w:top w:val="none" w:sz="0" w:space="0" w:color="auto"/>
            <w:left w:val="none" w:sz="0" w:space="0" w:color="auto"/>
            <w:bottom w:val="none" w:sz="0" w:space="0" w:color="auto"/>
            <w:right w:val="none" w:sz="0" w:space="0" w:color="auto"/>
          </w:divBdr>
        </w:div>
        <w:div w:id="1389769905">
          <w:marLeft w:val="893"/>
          <w:marRight w:val="0"/>
          <w:marTop w:val="0"/>
          <w:marBottom w:val="120"/>
          <w:divBdr>
            <w:top w:val="none" w:sz="0" w:space="0" w:color="auto"/>
            <w:left w:val="none" w:sz="0" w:space="0" w:color="auto"/>
            <w:bottom w:val="none" w:sz="0" w:space="0" w:color="auto"/>
            <w:right w:val="none" w:sz="0" w:space="0" w:color="auto"/>
          </w:divBdr>
        </w:div>
        <w:div w:id="2065369953">
          <w:marLeft w:val="893"/>
          <w:marRight w:val="0"/>
          <w:marTop w:val="0"/>
          <w:marBottom w:val="120"/>
          <w:divBdr>
            <w:top w:val="none" w:sz="0" w:space="0" w:color="auto"/>
            <w:left w:val="none" w:sz="0" w:space="0" w:color="auto"/>
            <w:bottom w:val="none" w:sz="0" w:space="0" w:color="auto"/>
            <w:right w:val="none" w:sz="0" w:space="0" w:color="auto"/>
          </w:divBdr>
        </w:div>
        <w:div w:id="2128575628">
          <w:marLeft w:val="893"/>
          <w:marRight w:val="0"/>
          <w:marTop w:val="0"/>
          <w:marBottom w:val="120"/>
          <w:divBdr>
            <w:top w:val="none" w:sz="0" w:space="0" w:color="auto"/>
            <w:left w:val="none" w:sz="0" w:space="0" w:color="auto"/>
            <w:bottom w:val="none" w:sz="0" w:space="0" w:color="auto"/>
            <w:right w:val="none" w:sz="0" w:space="0" w:color="auto"/>
          </w:divBdr>
        </w:div>
      </w:divsChild>
    </w:div>
    <w:div w:id="164173011">
      <w:bodyDiv w:val="1"/>
      <w:marLeft w:val="0"/>
      <w:marRight w:val="0"/>
      <w:marTop w:val="0"/>
      <w:marBottom w:val="0"/>
      <w:divBdr>
        <w:top w:val="none" w:sz="0" w:space="0" w:color="auto"/>
        <w:left w:val="none" w:sz="0" w:space="0" w:color="auto"/>
        <w:bottom w:val="none" w:sz="0" w:space="0" w:color="auto"/>
        <w:right w:val="none" w:sz="0" w:space="0" w:color="auto"/>
      </w:divBdr>
      <w:divsChild>
        <w:div w:id="43338129">
          <w:marLeft w:val="446"/>
          <w:marRight w:val="0"/>
          <w:marTop w:val="200"/>
          <w:marBottom w:val="0"/>
          <w:divBdr>
            <w:top w:val="none" w:sz="0" w:space="0" w:color="auto"/>
            <w:left w:val="none" w:sz="0" w:space="0" w:color="auto"/>
            <w:bottom w:val="none" w:sz="0" w:space="0" w:color="auto"/>
            <w:right w:val="none" w:sz="0" w:space="0" w:color="auto"/>
          </w:divBdr>
        </w:div>
        <w:div w:id="910386974">
          <w:marLeft w:val="446"/>
          <w:marRight w:val="0"/>
          <w:marTop w:val="200"/>
          <w:marBottom w:val="0"/>
          <w:divBdr>
            <w:top w:val="none" w:sz="0" w:space="0" w:color="auto"/>
            <w:left w:val="none" w:sz="0" w:space="0" w:color="auto"/>
            <w:bottom w:val="none" w:sz="0" w:space="0" w:color="auto"/>
            <w:right w:val="none" w:sz="0" w:space="0" w:color="auto"/>
          </w:divBdr>
        </w:div>
        <w:div w:id="1190950196">
          <w:marLeft w:val="446"/>
          <w:marRight w:val="0"/>
          <w:marTop w:val="200"/>
          <w:marBottom w:val="0"/>
          <w:divBdr>
            <w:top w:val="none" w:sz="0" w:space="0" w:color="auto"/>
            <w:left w:val="none" w:sz="0" w:space="0" w:color="auto"/>
            <w:bottom w:val="none" w:sz="0" w:space="0" w:color="auto"/>
            <w:right w:val="none" w:sz="0" w:space="0" w:color="auto"/>
          </w:divBdr>
        </w:div>
        <w:div w:id="1463184328">
          <w:marLeft w:val="446"/>
          <w:marRight w:val="0"/>
          <w:marTop w:val="200"/>
          <w:marBottom w:val="0"/>
          <w:divBdr>
            <w:top w:val="none" w:sz="0" w:space="0" w:color="auto"/>
            <w:left w:val="none" w:sz="0" w:space="0" w:color="auto"/>
            <w:bottom w:val="none" w:sz="0" w:space="0" w:color="auto"/>
            <w:right w:val="none" w:sz="0" w:space="0" w:color="auto"/>
          </w:divBdr>
        </w:div>
        <w:div w:id="1833526418">
          <w:marLeft w:val="446"/>
          <w:marRight w:val="0"/>
          <w:marTop w:val="200"/>
          <w:marBottom w:val="0"/>
          <w:divBdr>
            <w:top w:val="none" w:sz="0" w:space="0" w:color="auto"/>
            <w:left w:val="none" w:sz="0" w:space="0" w:color="auto"/>
            <w:bottom w:val="none" w:sz="0" w:space="0" w:color="auto"/>
            <w:right w:val="none" w:sz="0" w:space="0" w:color="auto"/>
          </w:divBdr>
        </w:div>
      </w:divsChild>
    </w:div>
    <w:div w:id="166335081">
      <w:bodyDiv w:val="1"/>
      <w:marLeft w:val="0"/>
      <w:marRight w:val="0"/>
      <w:marTop w:val="0"/>
      <w:marBottom w:val="0"/>
      <w:divBdr>
        <w:top w:val="none" w:sz="0" w:space="0" w:color="auto"/>
        <w:left w:val="none" w:sz="0" w:space="0" w:color="auto"/>
        <w:bottom w:val="none" w:sz="0" w:space="0" w:color="auto"/>
        <w:right w:val="none" w:sz="0" w:space="0" w:color="auto"/>
      </w:divBdr>
      <w:divsChild>
        <w:div w:id="634289045">
          <w:marLeft w:val="0"/>
          <w:marRight w:val="0"/>
          <w:marTop w:val="0"/>
          <w:marBottom w:val="0"/>
          <w:divBdr>
            <w:top w:val="none" w:sz="0" w:space="0" w:color="auto"/>
            <w:left w:val="none" w:sz="0" w:space="0" w:color="auto"/>
            <w:bottom w:val="none" w:sz="0" w:space="0" w:color="auto"/>
            <w:right w:val="none" w:sz="0" w:space="0" w:color="auto"/>
          </w:divBdr>
          <w:divsChild>
            <w:div w:id="191961669">
              <w:marLeft w:val="0"/>
              <w:marRight w:val="0"/>
              <w:marTop w:val="0"/>
              <w:marBottom w:val="0"/>
              <w:divBdr>
                <w:top w:val="none" w:sz="0" w:space="0" w:color="auto"/>
                <w:left w:val="none" w:sz="0" w:space="0" w:color="auto"/>
                <w:bottom w:val="none" w:sz="0" w:space="0" w:color="auto"/>
                <w:right w:val="none" w:sz="0" w:space="0" w:color="auto"/>
              </w:divBdr>
            </w:div>
            <w:div w:id="638535108">
              <w:marLeft w:val="0"/>
              <w:marRight w:val="0"/>
              <w:marTop w:val="0"/>
              <w:marBottom w:val="0"/>
              <w:divBdr>
                <w:top w:val="none" w:sz="0" w:space="0" w:color="auto"/>
                <w:left w:val="none" w:sz="0" w:space="0" w:color="auto"/>
                <w:bottom w:val="none" w:sz="0" w:space="0" w:color="auto"/>
                <w:right w:val="none" w:sz="0" w:space="0" w:color="auto"/>
              </w:divBdr>
            </w:div>
            <w:div w:id="1433626796">
              <w:marLeft w:val="0"/>
              <w:marRight w:val="0"/>
              <w:marTop w:val="0"/>
              <w:marBottom w:val="0"/>
              <w:divBdr>
                <w:top w:val="none" w:sz="0" w:space="0" w:color="auto"/>
                <w:left w:val="none" w:sz="0" w:space="0" w:color="auto"/>
                <w:bottom w:val="none" w:sz="0" w:space="0" w:color="auto"/>
                <w:right w:val="none" w:sz="0" w:space="0" w:color="auto"/>
              </w:divBdr>
            </w:div>
            <w:div w:id="1574468371">
              <w:marLeft w:val="0"/>
              <w:marRight w:val="0"/>
              <w:marTop w:val="0"/>
              <w:marBottom w:val="0"/>
              <w:divBdr>
                <w:top w:val="none" w:sz="0" w:space="0" w:color="auto"/>
                <w:left w:val="none" w:sz="0" w:space="0" w:color="auto"/>
                <w:bottom w:val="none" w:sz="0" w:space="0" w:color="auto"/>
                <w:right w:val="none" w:sz="0" w:space="0" w:color="auto"/>
              </w:divBdr>
            </w:div>
          </w:divsChild>
        </w:div>
        <w:div w:id="1130706388">
          <w:marLeft w:val="0"/>
          <w:marRight w:val="0"/>
          <w:marTop w:val="0"/>
          <w:marBottom w:val="0"/>
          <w:divBdr>
            <w:top w:val="none" w:sz="0" w:space="0" w:color="auto"/>
            <w:left w:val="none" w:sz="0" w:space="0" w:color="auto"/>
            <w:bottom w:val="none" w:sz="0" w:space="0" w:color="auto"/>
            <w:right w:val="none" w:sz="0" w:space="0" w:color="auto"/>
          </w:divBdr>
          <w:divsChild>
            <w:div w:id="3480231">
              <w:marLeft w:val="0"/>
              <w:marRight w:val="0"/>
              <w:marTop w:val="0"/>
              <w:marBottom w:val="0"/>
              <w:divBdr>
                <w:top w:val="none" w:sz="0" w:space="0" w:color="auto"/>
                <w:left w:val="none" w:sz="0" w:space="0" w:color="auto"/>
                <w:bottom w:val="none" w:sz="0" w:space="0" w:color="auto"/>
                <w:right w:val="none" w:sz="0" w:space="0" w:color="auto"/>
              </w:divBdr>
            </w:div>
            <w:div w:id="319622945">
              <w:marLeft w:val="0"/>
              <w:marRight w:val="0"/>
              <w:marTop w:val="0"/>
              <w:marBottom w:val="0"/>
              <w:divBdr>
                <w:top w:val="none" w:sz="0" w:space="0" w:color="auto"/>
                <w:left w:val="none" w:sz="0" w:space="0" w:color="auto"/>
                <w:bottom w:val="none" w:sz="0" w:space="0" w:color="auto"/>
                <w:right w:val="none" w:sz="0" w:space="0" w:color="auto"/>
              </w:divBdr>
            </w:div>
            <w:div w:id="544685652">
              <w:marLeft w:val="0"/>
              <w:marRight w:val="0"/>
              <w:marTop w:val="0"/>
              <w:marBottom w:val="0"/>
              <w:divBdr>
                <w:top w:val="none" w:sz="0" w:space="0" w:color="auto"/>
                <w:left w:val="none" w:sz="0" w:space="0" w:color="auto"/>
                <w:bottom w:val="none" w:sz="0" w:space="0" w:color="auto"/>
                <w:right w:val="none" w:sz="0" w:space="0" w:color="auto"/>
              </w:divBdr>
            </w:div>
            <w:div w:id="573971652">
              <w:marLeft w:val="0"/>
              <w:marRight w:val="0"/>
              <w:marTop w:val="0"/>
              <w:marBottom w:val="0"/>
              <w:divBdr>
                <w:top w:val="none" w:sz="0" w:space="0" w:color="auto"/>
                <w:left w:val="none" w:sz="0" w:space="0" w:color="auto"/>
                <w:bottom w:val="none" w:sz="0" w:space="0" w:color="auto"/>
                <w:right w:val="none" w:sz="0" w:space="0" w:color="auto"/>
              </w:divBdr>
            </w:div>
            <w:div w:id="582178519">
              <w:marLeft w:val="0"/>
              <w:marRight w:val="0"/>
              <w:marTop w:val="0"/>
              <w:marBottom w:val="0"/>
              <w:divBdr>
                <w:top w:val="none" w:sz="0" w:space="0" w:color="auto"/>
                <w:left w:val="none" w:sz="0" w:space="0" w:color="auto"/>
                <w:bottom w:val="none" w:sz="0" w:space="0" w:color="auto"/>
                <w:right w:val="none" w:sz="0" w:space="0" w:color="auto"/>
              </w:divBdr>
            </w:div>
            <w:div w:id="596016784">
              <w:marLeft w:val="0"/>
              <w:marRight w:val="0"/>
              <w:marTop w:val="0"/>
              <w:marBottom w:val="0"/>
              <w:divBdr>
                <w:top w:val="none" w:sz="0" w:space="0" w:color="auto"/>
                <w:left w:val="none" w:sz="0" w:space="0" w:color="auto"/>
                <w:bottom w:val="none" w:sz="0" w:space="0" w:color="auto"/>
                <w:right w:val="none" w:sz="0" w:space="0" w:color="auto"/>
              </w:divBdr>
            </w:div>
            <w:div w:id="698896746">
              <w:marLeft w:val="0"/>
              <w:marRight w:val="0"/>
              <w:marTop w:val="0"/>
              <w:marBottom w:val="0"/>
              <w:divBdr>
                <w:top w:val="none" w:sz="0" w:space="0" w:color="auto"/>
                <w:left w:val="none" w:sz="0" w:space="0" w:color="auto"/>
                <w:bottom w:val="none" w:sz="0" w:space="0" w:color="auto"/>
                <w:right w:val="none" w:sz="0" w:space="0" w:color="auto"/>
              </w:divBdr>
            </w:div>
            <w:div w:id="756901636">
              <w:marLeft w:val="0"/>
              <w:marRight w:val="0"/>
              <w:marTop w:val="0"/>
              <w:marBottom w:val="0"/>
              <w:divBdr>
                <w:top w:val="none" w:sz="0" w:space="0" w:color="auto"/>
                <w:left w:val="none" w:sz="0" w:space="0" w:color="auto"/>
                <w:bottom w:val="none" w:sz="0" w:space="0" w:color="auto"/>
                <w:right w:val="none" w:sz="0" w:space="0" w:color="auto"/>
              </w:divBdr>
            </w:div>
            <w:div w:id="766195894">
              <w:marLeft w:val="0"/>
              <w:marRight w:val="0"/>
              <w:marTop w:val="0"/>
              <w:marBottom w:val="0"/>
              <w:divBdr>
                <w:top w:val="none" w:sz="0" w:space="0" w:color="auto"/>
                <w:left w:val="none" w:sz="0" w:space="0" w:color="auto"/>
                <w:bottom w:val="none" w:sz="0" w:space="0" w:color="auto"/>
                <w:right w:val="none" w:sz="0" w:space="0" w:color="auto"/>
              </w:divBdr>
            </w:div>
            <w:div w:id="841773825">
              <w:marLeft w:val="0"/>
              <w:marRight w:val="0"/>
              <w:marTop w:val="0"/>
              <w:marBottom w:val="0"/>
              <w:divBdr>
                <w:top w:val="none" w:sz="0" w:space="0" w:color="auto"/>
                <w:left w:val="none" w:sz="0" w:space="0" w:color="auto"/>
                <w:bottom w:val="none" w:sz="0" w:space="0" w:color="auto"/>
                <w:right w:val="none" w:sz="0" w:space="0" w:color="auto"/>
              </w:divBdr>
            </w:div>
            <w:div w:id="995497664">
              <w:marLeft w:val="0"/>
              <w:marRight w:val="0"/>
              <w:marTop w:val="0"/>
              <w:marBottom w:val="0"/>
              <w:divBdr>
                <w:top w:val="none" w:sz="0" w:space="0" w:color="auto"/>
                <w:left w:val="none" w:sz="0" w:space="0" w:color="auto"/>
                <w:bottom w:val="none" w:sz="0" w:space="0" w:color="auto"/>
                <w:right w:val="none" w:sz="0" w:space="0" w:color="auto"/>
              </w:divBdr>
            </w:div>
            <w:div w:id="1035423090">
              <w:marLeft w:val="0"/>
              <w:marRight w:val="0"/>
              <w:marTop w:val="0"/>
              <w:marBottom w:val="0"/>
              <w:divBdr>
                <w:top w:val="none" w:sz="0" w:space="0" w:color="auto"/>
                <w:left w:val="none" w:sz="0" w:space="0" w:color="auto"/>
                <w:bottom w:val="none" w:sz="0" w:space="0" w:color="auto"/>
                <w:right w:val="none" w:sz="0" w:space="0" w:color="auto"/>
              </w:divBdr>
            </w:div>
            <w:div w:id="1253735897">
              <w:marLeft w:val="0"/>
              <w:marRight w:val="0"/>
              <w:marTop w:val="0"/>
              <w:marBottom w:val="0"/>
              <w:divBdr>
                <w:top w:val="none" w:sz="0" w:space="0" w:color="auto"/>
                <w:left w:val="none" w:sz="0" w:space="0" w:color="auto"/>
                <w:bottom w:val="none" w:sz="0" w:space="0" w:color="auto"/>
                <w:right w:val="none" w:sz="0" w:space="0" w:color="auto"/>
              </w:divBdr>
            </w:div>
            <w:div w:id="1513884604">
              <w:marLeft w:val="0"/>
              <w:marRight w:val="0"/>
              <w:marTop w:val="0"/>
              <w:marBottom w:val="0"/>
              <w:divBdr>
                <w:top w:val="none" w:sz="0" w:space="0" w:color="auto"/>
                <w:left w:val="none" w:sz="0" w:space="0" w:color="auto"/>
                <w:bottom w:val="none" w:sz="0" w:space="0" w:color="auto"/>
                <w:right w:val="none" w:sz="0" w:space="0" w:color="auto"/>
              </w:divBdr>
            </w:div>
            <w:div w:id="1659453841">
              <w:marLeft w:val="0"/>
              <w:marRight w:val="0"/>
              <w:marTop w:val="0"/>
              <w:marBottom w:val="0"/>
              <w:divBdr>
                <w:top w:val="none" w:sz="0" w:space="0" w:color="auto"/>
                <w:left w:val="none" w:sz="0" w:space="0" w:color="auto"/>
                <w:bottom w:val="none" w:sz="0" w:space="0" w:color="auto"/>
                <w:right w:val="none" w:sz="0" w:space="0" w:color="auto"/>
              </w:divBdr>
            </w:div>
            <w:div w:id="1661081045">
              <w:marLeft w:val="0"/>
              <w:marRight w:val="0"/>
              <w:marTop w:val="0"/>
              <w:marBottom w:val="0"/>
              <w:divBdr>
                <w:top w:val="none" w:sz="0" w:space="0" w:color="auto"/>
                <w:left w:val="none" w:sz="0" w:space="0" w:color="auto"/>
                <w:bottom w:val="none" w:sz="0" w:space="0" w:color="auto"/>
                <w:right w:val="none" w:sz="0" w:space="0" w:color="auto"/>
              </w:divBdr>
            </w:div>
            <w:div w:id="1674261282">
              <w:marLeft w:val="0"/>
              <w:marRight w:val="0"/>
              <w:marTop w:val="0"/>
              <w:marBottom w:val="0"/>
              <w:divBdr>
                <w:top w:val="none" w:sz="0" w:space="0" w:color="auto"/>
                <w:left w:val="none" w:sz="0" w:space="0" w:color="auto"/>
                <w:bottom w:val="none" w:sz="0" w:space="0" w:color="auto"/>
                <w:right w:val="none" w:sz="0" w:space="0" w:color="auto"/>
              </w:divBdr>
            </w:div>
            <w:div w:id="1791900525">
              <w:marLeft w:val="0"/>
              <w:marRight w:val="0"/>
              <w:marTop w:val="0"/>
              <w:marBottom w:val="0"/>
              <w:divBdr>
                <w:top w:val="none" w:sz="0" w:space="0" w:color="auto"/>
                <w:left w:val="none" w:sz="0" w:space="0" w:color="auto"/>
                <w:bottom w:val="none" w:sz="0" w:space="0" w:color="auto"/>
                <w:right w:val="none" w:sz="0" w:space="0" w:color="auto"/>
              </w:divBdr>
            </w:div>
            <w:div w:id="1981957553">
              <w:marLeft w:val="0"/>
              <w:marRight w:val="0"/>
              <w:marTop w:val="0"/>
              <w:marBottom w:val="0"/>
              <w:divBdr>
                <w:top w:val="none" w:sz="0" w:space="0" w:color="auto"/>
                <w:left w:val="none" w:sz="0" w:space="0" w:color="auto"/>
                <w:bottom w:val="none" w:sz="0" w:space="0" w:color="auto"/>
                <w:right w:val="none" w:sz="0" w:space="0" w:color="auto"/>
              </w:divBdr>
            </w:div>
            <w:div w:id="2050255387">
              <w:marLeft w:val="0"/>
              <w:marRight w:val="0"/>
              <w:marTop w:val="0"/>
              <w:marBottom w:val="0"/>
              <w:divBdr>
                <w:top w:val="none" w:sz="0" w:space="0" w:color="auto"/>
                <w:left w:val="none" w:sz="0" w:space="0" w:color="auto"/>
                <w:bottom w:val="none" w:sz="0" w:space="0" w:color="auto"/>
                <w:right w:val="none" w:sz="0" w:space="0" w:color="auto"/>
              </w:divBdr>
            </w:div>
          </w:divsChild>
        </w:div>
        <w:div w:id="1249802227">
          <w:marLeft w:val="0"/>
          <w:marRight w:val="0"/>
          <w:marTop w:val="0"/>
          <w:marBottom w:val="0"/>
          <w:divBdr>
            <w:top w:val="none" w:sz="0" w:space="0" w:color="auto"/>
            <w:left w:val="none" w:sz="0" w:space="0" w:color="auto"/>
            <w:bottom w:val="none" w:sz="0" w:space="0" w:color="auto"/>
            <w:right w:val="none" w:sz="0" w:space="0" w:color="auto"/>
          </w:divBdr>
          <w:divsChild>
            <w:div w:id="219946336">
              <w:marLeft w:val="0"/>
              <w:marRight w:val="0"/>
              <w:marTop w:val="0"/>
              <w:marBottom w:val="0"/>
              <w:divBdr>
                <w:top w:val="none" w:sz="0" w:space="0" w:color="auto"/>
                <w:left w:val="none" w:sz="0" w:space="0" w:color="auto"/>
                <w:bottom w:val="none" w:sz="0" w:space="0" w:color="auto"/>
                <w:right w:val="none" w:sz="0" w:space="0" w:color="auto"/>
              </w:divBdr>
            </w:div>
            <w:div w:id="252521201">
              <w:marLeft w:val="0"/>
              <w:marRight w:val="0"/>
              <w:marTop w:val="0"/>
              <w:marBottom w:val="0"/>
              <w:divBdr>
                <w:top w:val="none" w:sz="0" w:space="0" w:color="auto"/>
                <w:left w:val="none" w:sz="0" w:space="0" w:color="auto"/>
                <w:bottom w:val="none" w:sz="0" w:space="0" w:color="auto"/>
                <w:right w:val="none" w:sz="0" w:space="0" w:color="auto"/>
              </w:divBdr>
            </w:div>
            <w:div w:id="378936896">
              <w:marLeft w:val="0"/>
              <w:marRight w:val="0"/>
              <w:marTop w:val="0"/>
              <w:marBottom w:val="0"/>
              <w:divBdr>
                <w:top w:val="none" w:sz="0" w:space="0" w:color="auto"/>
                <w:left w:val="none" w:sz="0" w:space="0" w:color="auto"/>
                <w:bottom w:val="none" w:sz="0" w:space="0" w:color="auto"/>
                <w:right w:val="none" w:sz="0" w:space="0" w:color="auto"/>
              </w:divBdr>
            </w:div>
            <w:div w:id="449668214">
              <w:marLeft w:val="0"/>
              <w:marRight w:val="0"/>
              <w:marTop w:val="0"/>
              <w:marBottom w:val="0"/>
              <w:divBdr>
                <w:top w:val="none" w:sz="0" w:space="0" w:color="auto"/>
                <w:left w:val="none" w:sz="0" w:space="0" w:color="auto"/>
                <w:bottom w:val="none" w:sz="0" w:space="0" w:color="auto"/>
                <w:right w:val="none" w:sz="0" w:space="0" w:color="auto"/>
              </w:divBdr>
            </w:div>
            <w:div w:id="608927051">
              <w:marLeft w:val="0"/>
              <w:marRight w:val="0"/>
              <w:marTop w:val="0"/>
              <w:marBottom w:val="0"/>
              <w:divBdr>
                <w:top w:val="none" w:sz="0" w:space="0" w:color="auto"/>
                <w:left w:val="none" w:sz="0" w:space="0" w:color="auto"/>
                <w:bottom w:val="none" w:sz="0" w:space="0" w:color="auto"/>
                <w:right w:val="none" w:sz="0" w:space="0" w:color="auto"/>
              </w:divBdr>
            </w:div>
            <w:div w:id="930242172">
              <w:marLeft w:val="0"/>
              <w:marRight w:val="0"/>
              <w:marTop w:val="0"/>
              <w:marBottom w:val="0"/>
              <w:divBdr>
                <w:top w:val="none" w:sz="0" w:space="0" w:color="auto"/>
                <w:left w:val="none" w:sz="0" w:space="0" w:color="auto"/>
                <w:bottom w:val="none" w:sz="0" w:space="0" w:color="auto"/>
                <w:right w:val="none" w:sz="0" w:space="0" w:color="auto"/>
              </w:divBdr>
            </w:div>
            <w:div w:id="1101679073">
              <w:marLeft w:val="0"/>
              <w:marRight w:val="0"/>
              <w:marTop w:val="0"/>
              <w:marBottom w:val="0"/>
              <w:divBdr>
                <w:top w:val="none" w:sz="0" w:space="0" w:color="auto"/>
                <w:left w:val="none" w:sz="0" w:space="0" w:color="auto"/>
                <w:bottom w:val="none" w:sz="0" w:space="0" w:color="auto"/>
                <w:right w:val="none" w:sz="0" w:space="0" w:color="auto"/>
              </w:divBdr>
            </w:div>
            <w:div w:id="1284388276">
              <w:marLeft w:val="0"/>
              <w:marRight w:val="0"/>
              <w:marTop w:val="0"/>
              <w:marBottom w:val="0"/>
              <w:divBdr>
                <w:top w:val="none" w:sz="0" w:space="0" w:color="auto"/>
                <w:left w:val="none" w:sz="0" w:space="0" w:color="auto"/>
                <w:bottom w:val="none" w:sz="0" w:space="0" w:color="auto"/>
                <w:right w:val="none" w:sz="0" w:space="0" w:color="auto"/>
              </w:divBdr>
            </w:div>
            <w:div w:id="1392075581">
              <w:marLeft w:val="0"/>
              <w:marRight w:val="0"/>
              <w:marTop w:val="0"/>
              <w:marBottom w:val="0"/>
              <w:divBdr>
                <w:top w:val="none" w:sz="0" w:space="0" w:color="auto"/>
                <w:left w:val="none" w:sz="0" w:space="0" w:color="auto"/>
                <w:bottom w:val="none" w:sz="0" w:space="0" w:color="auto"/>
                <w:right w:val="none" w:sz="0" w:space="0" w:color="auto"/>
              </w:divBdr>
            </w:div>
            <w:div w:id="1495995316">
              <w:marLeft w:val="0"/>
              <w:marRight w:val="0"/>
              <w:marTop w:val="0"/>
              <w:marBottom w:val="0"/>
              <w:divBdr>
                <w:top w:val="none" w:sz="0" w:space="0" w:color="auto"/>
                <w:left w:val="none" w:sz="0" w:space="0" w:color="auto"/>
                <w:bottom w:val="none" w:sz="0" w:space="0" w:color="auto"/>
                <w:right w:val="none" w:sz="0" w:space="0" w:color="auto"/>
              </w:divBdr>
            </w:div>
            <w:div w:id="1512990953">
              <w:marLeft w:val="0"/>
              <w:marRight w:val="0"/>
              <w:marTop w:val="0"/>
              <w:marBottom w:val="0"/>
              <w:divBdr>
                <w:top w:val="none" w:sz="0" w:space="0" w:color="auto"/>
                <w:left w:val="none" w:sz="0" w:space="0" w:color="auto"/>
                <w:bottom w:val="none" w:sz="0" w:space="0" w:color="auto"/>
                <w:right w:val="none" w:sz="0" w:space="0" w:color="auto"/>
              </w:divBdr>
            </w:div>
            <w:div w:id="1518689797">
              <w:marLeft w:val="0"/>
              <w:marRight w:val="0"/>
              <w:marTop w:val="0"/>
              <w:marBottom w:val="0"/>
              <w:divBdr>
                <w:top w:val="none" w:sz="0" w:space="0" w:color="auto"/>
                <w:left w:val="none" w:sz="0" w:space="0" w:color="auto"/>
                <w:bottom w:val="none" w:sz="0" w:space="0" w:color="auto"/>
                <w:right w:val="none" w:sz="0" w:space="0" w:color="auto"/>
              </w:divBdr>
            </w:div>
            <w:div w:id="1668089730">
              <w:marLeft w:val="0"/>
              <w:marRight w:val="0"/>
              <w:marTop w:val="0"/>
              <w:marBottom w:val="0"/>
              <w:divBdr>
                <w:top w:val="none" w:sz="0" w:space="0" w:color="auto"/>
                <w:left w:val="none" w:sz="0" w:space="0" w:color="auto"/>
                <w:bottom w:val="none" w:sz="0" w:space="0" w:color="auto"/>
                <w:right w:val="none" w:sz="0" w:space="0" w:color="auto"/>
              </w:divBdr>
            </w:div>
            <w:div w:id="1771045772">
              <w:marLeft w:val="0"/>
              <w:marRight w:val="0"/>
              <w:marTop w:val="0"/>
              <w:marBottom w:val="0"/>
              <w:divBdr>
                <w:top w:val="none" w:sz="0" w:space="0" w:color="auto"/>
                <w:left w:val="none" w:sz="0" w:space="0" w:color="auto"/>
                <w:bottom w:val="none" w:sz="0" w:space="0" w:color="auto"/>
                <w:right w:val="none" w:sz="0" w:space="0" w:color="auto"/>
              </w:divBdr>
            </w:div>
            <w:div w:id="1784183831">
              <w:marLeft w:val="0"/>
              <w:marRight w:val="0"/>
              <w:marTop w:val="0"/>
              <w:marBottom w:val="0"/>
              <w:divBdr>
                <w:top w:val="none" w:sz="0" w:space="0" w:color="auto"/>
                <w:left w:val="none" w:sz="0" w:space="0" w:color="auto"/>
                <w:bottom w:val="none" w:sz="0" w:space="0" w:color="auto"/>
                <w:right w:val="none" w:sz="0" w:space="0" w:color="auto"/>
              </w:divBdr>
            </w:div>
          </w:divsChild>
        </w:div>
        <w:div w:id="1421365068">
          <w:marLeft w:val="0"/>
          <w:marRight w:val="0"/>
          <w:marTop w:val="0"/>
          <w:marBottom w:val="0"/>
          <w:divBdr>
            <w:top w:val="none" w:sz="0" w:space="0" w:color="auto"/>
            <w:left w:val="none" w:sz="0" w:space="0" w:color="auto"/>
            <w:bottom w:val="none" w:sz="0" w:space="0" w:color="auto"/>
            <w:right w:val="none" w:sz="0" w:space="0" w:color="auto"/>
          </w:divBdr>
          <w:divsChild>
            <w:div w:id="1226454592">
              <w:marLeft w:val="-75"/>
              <w:marRight w:val="0"/>
              <w:marTop w:val="30"/>
              <w:marBottom w:val="30"/>
              <w:divBdr>
                <w:top w:val="none" w:sz="0" w:space="0" w:color="auto"/>
                <w:left w:val="none" w:sz="0" w:space="0" w:color="auto"/>
                <w:bottom w:val="none" w:sz="0" w:space="0" w:color="auto"/>
                <w:right w:val="none" w:sz="0" w:space="0" w:color="auto"/>
              </w:divBdr>
              <w:divsChild>
                <w:div w:id="64692537">
                  <w:marLeft w:val="0"/>
                  <w:marRight w:val="0"/>
                  <w:marTop w:val="0"/>
                  <w:marBottom w:val="0"/>
                  <w:divBdr>
                    <w:top w:val="none" w:sz="0" w:space="0" w:color="auto"/>
                    <w:left w:val="none" w:sz="0" w:space="0" w:color="auto"/>
                    <w:bottom w:val="none" w:sz="0" w:space="0" w:color="auto"/>
                    <w:right w:val="none" w:sz="0" w:space="0" w:color="auto"/>
                  </w:divBdr>
                  <w:divsChild>
                    <w:div w:id="1591738631">
                      <w:marLeft w:val="0"/>
                      <w:marRight w:val="0"/>
                      <w:marTop w:val="0"/>
                      <w:marBottom w:val="0"/>
                      <w:divBdr>
                        <w:top w:val="none" w:sz="0" w:space="0" w:color="auto"/>
                        <w:left w:val="none" w:sz="0" w:space="0" w:color="auto"/>
                        <w:bottom w:val="none" w:sz="0" w:space="0" w:color="auto"/>
                        <w:right w:val="none" w:sz="0" w:space="0" w:color="auto"/>
                      </w:divBdr>
                    </w:div>
                  </w:divsChild>
                </w:div>
                <w:div w:id="88357237">
                  <w:marLeft w:val="0"/>
                  <w:marRight w:val="0"/>
                  <w:marTop w:val="0"/>
                  <w:marBottom w:val="0"/>
                  <w:divBdr>
                    <w:top w:val="none" w:sz="0" w:space="0" w:color="auto"/>
                    <w:left w:val="none" w:sz="0" w:space="0" w:color="auto"/>
                    <w:bottom w:val="none" w:sz="0" w:space="0" w:color="auto"/>
                    <w:right w:val="none" w:sz="0" w:space="0" w:color="auto"/>
                  </w:divBdr>
                  <w:divsChild>
                    <w:div w:id="1383938879">
                      <w:marLeft w:val="0"/>
                      <w:marRight w:val="0"/>
                      <w:marTop w:val="0"/>
                      <w:marBottom w:val="0"/>
                      <w:divBdr>
                        <w:top w:val="none" w:sz="0" w:space="0" w:color="auto"/>
                        <w:left w:val="none" w:sz="0" w:space="0" w:color="auto"/>
                        <w:bottom w:val="none" w:sz="0" w:space="0" w:color="auto"/>
                        <w:right w:val="none" w:sz="0" w:space="0" w:color="auto"/>
                      </w:divBdr>
                    </w:div>
                  </w:divsChild>
                </w:div>
                <w:div w:id="135682889">
                  <w:marLeft w:val="0"/>
                  <w:marRight w:val="0"/>
                  <w:marTop w:val="0"/>
                  <w:marBottom w:val="0"/>
                  <w:divBdr>
                    <w:top w:val="none" w:sz="0" w:space="0" w:color="auto"/>
                    <w:left w:val="none" w:sz="0" w:space="0" w:color="auto"/>
                    <w:bottom w:val="none" w:sz="0" w:space="0" w:color="auto"/>
                    <w:right w:val="none" w:sz="0" w:space="0" w:color="auto"/>
                  </w:divBdr>
                  <w:divsChild>
                    <w:div w:id="182788742">
                      <w:marLeft w:val="0"/>
                      <w:marRight w:val="0"/>
                      <w:marTop w:val="0"/>
                      <w:marBottom w:val="0"/>
                      <w:divBdr>
                        <w:top w:val="none" w:sz="0" w:space="0" w:color="auto"/>
                        <w:left w:val="none" w:sz="0" w:space="0" w:color="auto"/>
                        <w:bottom w:val="none" w:sz="0" w:space="0" w:color="auto"/>
                        <w:right w:val="none" w:sz="0" w:space="0" w:color="auto"/>
                      </w:divBdr>
                    </w:div>
                  </w:divsChild>
                </w:div>
                <w:div w:id="146241376">
                  <w:marLeft w:val="0"/>
                  <w:marRight w:val="0"/>
                  <w:marTop w:val="0"/>
                  <w:marBottom w:val="0"/>
                  <w:divBdr>
                    <w:top w:val="none" w:sz="0" w:space="0" w:color="auto"/>
                    <w:left w:val="none" w:sz="0" w:space="0" w:color="auto"/>
                    <w:bottom w:val="none" w:sz="0" w:space="0" w:color="auto"/>
                    <w:right w:val="none" w:sz="0" w:space="0" w:color="auto"/>
                  </w:divBdr>
                  <w:divsChild>
                    <w:div w:id="269245510">
                      <w:marLeft w:val="0"/>
                      <w:marRight w:val="0"/>
                      <w:marTop w:val="0"/>
                      <w:marBottom w:val="0"/>
                      <w:divBdr>
                        <w:top w:val="none" w:sz="0" w:space="0" w:color="auto"/>
                        <w:left w:val="none" w:sz="0" w:space="0" w:color="auto"/>
                        <w:bottom w:val="none" w:sz="0" w:space="0" w:color="auto"/>
                        <w:right w:val="none" w:sz="0" w:space="0" w:color="auto"/>
                      </w:divBdr>
                    </w:div>
                    <w:div w:id="1207765253">
                      <w:marLeft w:val="0"/>
                      <w:marRight w:val="0"/>
                      <w:marTop w:val="0"/>
                      <w:marBottom w:val="0"/>
                      <w:divBdr>
                        <w:top w:val="none" w:sz="0" w:space="0" w:color="auto"/>
                        <w:left w:val="none" w:sz="0" w:space="0" w:color="auto"/>
                        <w:bottom w:val="none" w:sz="0" w:space="0" w:color="auto"/>
                        <w:right w:val="none" w:sz="0" w:space="0" w:color="auto"/>
                      </w:divBdr>
                    </w:div>
                  </w:divsChild>
                </w:div>
                <w:div w:id="560217960">
                  <w:marLeft w:val="0"/>
                  <w:marRight w:val="0"/>
                  <w:marTop w:val="0"/>
                  <w:marBottom w:val="0"/>
                  <w:divBdr>
                    <w:top w:val="none" w:sz="0" w:space="0" w:color="auto"/>
                    <w:left w:val="none" w:sz="0" w:space="0" w:color="auto"/>
                    <w:bottom w:val="none" w:sz="0" w:space="0" w:color="auto"/>
                    <w:right w:val="none" w:sz="0" w:space="0" w:color="auto"/>
                  </w:divBdr>
                  <w:divsChild>
                    <w:div w:id="707292082">
                      <w:marLeft w:val="0"/>
                      <w:marRight w:val="0"/>
                      <w:marTop w:val="0"/>
                      <w:marBottom w:val="0"/>
                      <w:divBdr>
                        <w:top w:val="none" w:sz="0" w:space="0" w:color="auto"/>
                        <w:left w:val="none" w:sz="0" w:space="0" w:color="auto"/>
                        <w:bottom w:val="none" w:sz="0" w:space="0" w:color="auto"/>
                        <w:right w:val="none" w:sz="0" w:space="0" w:color="auto"/>
                      </w:divBdr>
                    </w:div>
                  </w:divsChild>
                </w:div>
                <w:div w:id="801578685">
                  <w:marLeft w:val="0"/>
                  <w:marRight w:val="0"/>
                  <w:marTop w:val="0"/>
                  <w:marBottom w:val="0"/>
                  <w:divBdr>
                    <w:top w:val="none" w:sz="0" w:space="0" w:color="auto"/>
                    <w:left w:val="none" w:sz="0" w:space="0" w:color="auto"/>
                    <w:bottom w:val="none" w:sz="0" w:space="0" w:color="auto"/>
                    <w:right w:val="none" w:sz="0" w:space="0" w:color="auto"/>
                  </w:divBdr>
                  <w:divsChild>
                    <w:div w:id="226036611">
                      <w:marLeft w:val="0"/>
                      <w:marRight w:val="0"/>
                      <w:marTop w:val="0"/>
                      <w:marBottom w:val="0"/>
                      <w:divBdr>
                        <w:top w:val="none" w:sz="0" w:space="0" w:color="auto"/>
                        <w:left w:val="none" w:sz="0" w:space="0" w:color="auto"/>
                        <w:bottom w:val="none" w:sz="0" w:space="0" w:color="auto"/>
                        <w:right w:val="none" w:sz="0" w:space="0" w:color="auto"/>
                      </w:divBdr>
                    </w:div>
                  </w:divsChild>
                </w:div>
                <w:div w:id="839850660">
                  <w:marLeft w:val="0"/>
                  <w:marRight w:val="0"/>
                  <w:marTop w:val="0"/>
                  <w:marBottom w:val="0"/>
                  <w:divBdr>
                    <w:top w:val="none" w:sz="0" w:space="0" w:color="auto"/>
                    <w:left w:val="none" w:sz="0" w:space="0" w:color="auto"/>
                    <w:bottom w:val="none" w:sz="0" w:space="0" w:color="auto"/>
                    <w:right w:val="none" w:sz="0" w:space="0" w:color="auto"/>
                  </w:divBdr>
                  <w:divsChild>
                    <w:div w:id="1493905983">
                      <w:marLeft w:val="0"/>
                      <w:marRight w:val="0"/>
                      <w:marTop w:val="0"/>
                      <w:marBottom w:val="0"/>
                      <w:divBdr>
                        <w:top w:val="none" w:sz="0" w:space="0" w:color="auto"/>
                        <w:left w:val="none" w:sz="0" w:space="0" w:color="auto"/>
                        <w:bottom w:val="none" w:sz="0" w:space="0" w:color="auto"/>
                        <w:right w:val="none" w:sz="0" w:space="0" w:color="auto"/>
                      </w:divBdr>
                    </w:div>
                  </w:divsChild>
                </w:div>
                <w:div w:id="893004880">
                  <w:marLeft w:val="0"/>
                  <w:marRight w:val="0"/>
                  <w:marTop w:val="0"/>
                  <w:marBottom w:val="0"/>
                  <w:divBdr>
                    <w:top w:val="none" w:sz="0" w:space="0" w:color="auto"/>
                    <w:left w:val="none" w:sz="0" w:space="0" w:color="auto"/>
                    <w:bottom w:val="none" w:sz="0" w:space="0" w:color="auto"/>
                    <w:right w:val="none" w:sz="0" w:space="0" w:color="auto"/>
                  </w:divBdr>
                  <w:divsChild>
                    <w:div w:id="176820392">
                      <w:marLeft w:val="0"/>
                      <w:marRight w:val="0"/>
                      <w:marTop w:val="0"/>
                      <w:marBottom w:val="0"/>
                      <w:divBdr>
                        <w:top w:val="none" w:sz="0" w:space="0" w:color="auto"/>
                        <w:left w:val="none" w:sz="0" w:space="0" w:color="auto"/>
                        <w:bottom w:val="none" w:sz="0" w:space="0" w:color="auto"/>
                        <w:right w:val="none" w:sz="0" w:space="0" w:color="auto"/>
                      </w:divBdr>
                    </w:div>
                    <w:div w:id="311107084">
                      <w:marLeft w:val="0"/>
                      <w:marRight w:val="0"/>
                      <w:marTop w:val="0"/>
                      <w:marBottom w:val="0"/>
                      <w:divBdr>
                        <w:top w:val="none" w:sz="0" w:space="0" w:color="auto"/>
                        <w:left w:val="none" w:sz="0" w:space="0" w:color="auto"/>
                        <w:bottom w:val="none" w:sz="0" w:space="0" w:color="auto"/>
                        <w:right w:val="none" w:sz="0" w:space="0" w:color="auto"/>
                      </w:divBdr>
                    </w:div>
                  </w:divsChild>
                </w:div>
                <w:div w:id="1273248007">
                  <w:marLeft w:val="0"/>
                  <w:marRight w:val="0"/>
                  <w:marTop w:val="0"/>
                  <w:marBottom w:val="0"/>
                  <w:divBdr>
                    <w:top w:val="none" w:sz="0" w:space="0" w:color="auto"/>
                    <w:left w:val="none" w:sz="0" w:space="0" w:color="auto"/>
                    <w:bottom w:val="none" w:sz="0" w:space="0" w:color="auto"/>
                    <w:right w:val="none" w:sz="0" w:space="0" w:color="auto"/>
                  </w:divBdr>
                  <w:divsChild>
                    <w:div w:id="353920256">
                      <w:marLeft w:val="0"/>
                      <w:marRight w:val="0"/>
                      <w:marTop w:val="0"/>
                      <w:marBottom w:val="0"/>
                      <w:divBdr>
                        <w:top w:val="none" w:sz="0" w:space="0" w:color="auto"/>
                        <w:left w:val="none" w:sz="0" w:space="0" w:color="auto"/>
                        <w:bottom w:val="none" w:sz="0" w:space="0" w:color="auto"/>
                        <w:right w:val="none" w:sz="0" w:space="0" w:color="auto"/>
                      </w:divBdr>
                    </w:div>
                    <w:div w:id="658845990">
                      <w:marLeft w:val="0"/>
                      <w:marRight w:val="0"/>
                      <w:marTop w:val="0"/>
                      <w:marBottom w:val="0"/>
                      <w:divBdr>
                        <w:top w:val="none" w:sz="0" w:space="0" w:color="auto"/>
                        <w:left w:val="none" w:sz="0" w:space="0" w:color="auto"/>
                        <w:bottom w:val="none" w:sz="0" w:space="0" w:color="auto"/>
                        <w:right w:val="none" w:sz="0" w:space="0" w:color="auto"/>
                      </w:divBdr>
                    </w:div>
                  </w:divsChild>
                </w:div>
                <w:div w:id="1301233238">
                  <w:marLeft w:val="0"/>
                  <w:marRight w:val="0"/>
                  <w:marTop w:val="0"/>
                  <w:marBottom w:val="0"/>
                  <w:divBdr>
                    <w:top w:val="none" w:sz="0" w:space="0" w:color="auto"/>
                    <w:left w:val="none" w:sz="0" w:space="0" w:color="auto"/>
                    <w:bottom w:val="none" w:sz="0" w:space="0" w:color="auto"/>
                    <w:right w:val="none" w:sz="0" w:space="0" w:color="auto"/>
                  </w:divBdr>
                  <w:divsChild>
                    <w:div w:id="359356874">
                      <w:marLeft w:val="0"/>
                      <w:marRight w:val="0"/>
                      <w:marTop w:val="0"/>
                      <w:marBottom w:val="0"/>
                      <w:divBdr>
                        <w:top w:val="none" w:sz="0" w:space="0" w:color="auto"/>
                        <w:left w:val="none" w:sz="0" w:space="0" w:color="auto"/>
                        <w:bottom w:val="none" w:sz="0" w:space="0" w:color="auto"/>
                        <w:right w:val="none" w:sz="0" w:space="0" w:color="auto"/>
                      </w:divBdr>
                    </w:div>
                  </w:divsChild>
                </w:div>
                <w:div w:id="1400906988">
                  <w:marLeft w:val="0"/>
                  <w:marRight w:val="0"/>
                  <w:marTop w:val="0"/>
                  <w:marBottom w:val="0"/>
                  <w:divBdr>
                    <w:top w:val="none" w:sz="0" w:space="0" w:color="auto"/>
                    <w:left w:val="none" w:sz="0" w:space="0" w:color="auto"/>
                    <w:bottom w:val="none" w:sz="0" w:space="0" w:color="auto"/>
                    <w:right w:val="none" w:sz="0" w:space="0" w:color="auto"/>
                  </w:divBdr>
                  <w:divsChild>
                    <w:div w:id="1538080074">
                      <w:marLeft w:val="0"/>
                      <w:marRight w:val="0"/>
                      <w:marTop w:val="0"/>
                      <w:marBottom w:val="0"/>
                      <w:divBdr>
                        <w:top w:val="none" w:sz="0" w:space="0" w:color="auto"/>
                        <w:left w:val="none" w:sz="0" w:space="0" w:color="auto"/>
                        <w:bottom w:val="none" w:sz="0" w:space="0" w:color="auto"/>
                        <w:right w:val="none" w:sz="0" w:space="0" w:color="auto"/>
                      </w:divBdr>
                    </w:div>
                  </w:divsChild>
                </w:div>
                <w:div w:id="1777168427">
                  <w:marLeft w:val="0"/>
                  <w:marRight w:val="0"/>
                  <w:marTop w:val="0"/>
                  <w:marBottom w:val="0"/>
                  <w:divBdr>
                    <w:top w:val="none" w:sz="0" w:space="0" w:color="auto"/>
                    <w:left w:val="none" w:sz="0" w:space="0" w:color="auto"/>
                    <w:bottom w:val="none" w:sz="0" w:space="0" w:color="auto"/>
                    <w:right w:val="none" w:sz="0" w:space="0" w:color="auto"/>
                  </w:divBdr>
                  <w:divsChild>
                    <w:div w:id="21155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51376">
          <w:marLeft w:val="0"/>
          <w:marRight w:val="0"/>
          <w:marTop w:val="0"/>
          <w:marBottom w:val="0"/>
          <w:divBdr>
            <w:top w:val="none" w:sz="0" w:space="0" w:color="auto"/>
            <w:left w:val="none" w:sz="0" w:space="0" w:color="auto"/>
            <w:bottom w:val="none" w:sz="0" w:space="0" w:color="auto"/>
            <w:right w:val="none" w:sz="0" w:space="0" w:color="auto"/>
          </w:divBdr>
          <w:divsChild>
            <w:div w:id="475534970">
              <w:marLeft w:val="0"/>
              <w:marRight w:val="0"/>
              <w:marTop w:val="0"/>
              <w:marBottom w:val="0"/>
              <w:divBdr>
                <w:top w:val="none" w:sz="0" w:space="0" w:color="auto"/>
                <w:left w:val="none" w:sz="0" w:space="0" w:color="auto"/>
                <w:bottom w:val="none" w:sz="0" w:space="0" w:color="auto"/>
                <w:right w:val="none" w:sz="0" w:space="0" w:color="auto"/>
              </w:divBdr>
            </w:div>
            <w:div w:id="1269117901">
              <w:marLeft w:val="0"/>
              <w:marRight w:val="0"/>
              <w:marTop w:val="0"/>
              <w:marBottom w:val="0"/>
              <w:divBdr>
                <w:top w:val="none" w:sz="0" w:space="0" w:color="auto"/>
                <w:left w:val="none" w:sz="0" w:space="0" w:color="auto"/>
                <w:bottom w:val="none" w:sz="0" w:space="0" w:color="auto"/>
                <w:right w:val="none" w:sz="0" w:space="0" w:color="auto"/>
              </w:divBdr>
            </w:div>
            <w:div w:id="1673533378">
              <w:marLeft w:val="0"/>
              <w:marRight w:val="0"/>
              <w:marTop w:val="0"/>
              <w:marBottom w:val="0"/>
              <w:divBdr>
                <w:top w:val="none" w:sz="0" w:space="0" w:color="auto"/>
                <w:left w:val="none" w:sz="0" w:space="0" w:color="auto"/>
                <w:bottom w:val="none" w:sz="0" w:space="0" w:color="auto"/>
                <w:right w:val="none" w:sz="0" w:space="0" w:color="auto"/>
              </w:divBdr>
            </w:div>
          </w:divsChild>
        </w:div>
        <w:div w:id="1690838082">
          <w:marLeft w:val="0"/>
          <w:marRight w:val="0"/>
          <w:marTop w:val="0"/>
          <w:marBottom w:val="0"/>
          <w:divBdr>
            <w:top w:val="none" w:sz="0" w:space="0" w:color="auto"/>
            <w:left w:val="none" w:sz="0" w:space="0" w:color="auto"/>
            <w:bottom w:val="none" w:sz="0" w:space="0" w:color="auto"/>
            <w:right w:val="none" w:sz="0" w:space="0" w:color="auto"/>
          </w:divBdr>
        </w:div>
        <w:div w:id="1752661413">
          <w:marLeft w:val="0"/>
          <w:marRight w:val="0"/>
          <w:marTop w:val="0"/>
          <w:marBottom w:val="0"/>
          <w:divBdr>
            <w:top w:val="none" w:sz="0" w:space="0" w:color="auto"/>
            <w:left w:val="none" w:sz="0" w:space="0" w:color="auto"/>
            <w:bottom w:val="none" w:sz="0" w:space="0" w:color="auto"/>
            <w:right w:val="none" w:sz="0" w:space="0" w:color="auto"/>
          </w:divBdr>
        </w:div>
        <w:div w:id="1783760622">
          <w:marLeft w:val="0"/>
          <w:marRight w:val="0"/>
          <w:marTop w:val="0"/>
          <w:marBottom w:val="0"/>
          <w:divBdr>
            <w:top w:val="none" w:sz="0" w:space="0" w:color="auto"/>
            <w:left w:val="none" w:sz="0" w:space="0" w:color="auto"/>
            <w:bottom w:val="none" w:sz="0" w:space="0" w:color="auto"/>
            <w:right w:val="none" w:sz="0" w:space="0" w:color="auto"/>
          </w:divBdr>
          <w:divsChild>
            <w:div w:id="1437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0049">
      <w:bodyDiv w:val="1"/>
      <w:marLeft w:val="0"/>
      <w:marRight w:val="0"/>
      <w:marTop w:val="0"/>
      <w:marBottom w:val="0"/>
      <w:divBdr>
        <w:top w:val="none" w:sz="0" w:space="0" w:color="auto"/>
        <w:left w:val="none" w:sz="0" w:space="0" w:color="auto"/>
        <w:bottom w:val="none" w:sz="0" w:space="0" w:color="auto"/>
        <w:right w:val="none" w:sz="0" w:space="0" w:color="auto"/>
      </w:divBdr>
      <w:divsChild>
        <w:div w:id="1458136687">
          <w:marLeft w:val="446"/>
          <w:marRight w:val="0"/>
          <w:marTop w:val="200"/>
          <w:marBottom w:val="160"/>
          <w:divBdr>
            <w:top w:val="none" w:sz="0" w:space="0" w:color="auto"/>
            <w:left w:val="none" w:sz="0" w:space="0" w:color="auto"/>
            <w:bottom w:val="none" w:sz="0" w:space="0" w:color="auto"/>
            <w:right w:val="none" w:sz="0" w:space="0" w:color="auto"/>
          </w:divBdr>
        </w:div>
        <w:div w:id="1623919607">
          <w:marLeft w:val="446"/>
          <w:marRight w:val="0"/>
          <w:marTop w:val="200"/>
          <w:marBottom w:val="160"/>
          <w:divBdr>
            <w:top w:val="none" w:sz="0" w:space="0" w:color="auto"/>
            <w:left w:val="none" w:sz="0" w:space="0" w:color="auto"/>
            <w:bottom w:val="none" w:sz="0" w:space="0" w:color="auto"/>
            <w:right w:val="none" w:sz="0" w:space="0" w:color="auto"/>
          </w:divBdr>
        </w:div>
        <w:div w:id="1654869697">
          <w:marLeft w:val="446"/>
          <w:marRight w:val="0"/>
          <w:marTop w:val="200"/>
          <w:marBottom w:val="0"/>
          <w:divBdr>
            <w:top w:val="none" w:sz="0" w:space="0" w:color="auto"/>
            <w:left w:val="none" w:sz="0" w:space="0" w:color="auto"/>
            <w:bottom w:val="none" w:sz="0" w:space="0" w:color="auto"/>
            <w:right w:val="none" w:sz="0" w:space="0" w:color="auto"/>
          </w:divBdr>
        </w:div>
        <w:div w:id="1797794515">
          <w:marLeft w:val="446"/>
          <w:marRight w:val="0"/>
          <w:marTop w:val="200"/>
          <w:marBottom w:val="0"/>
          <w:divBdr>
            <w:top w:val="none" w:sz="0" w:space="0" w:color="auto"/>
            <w:left w:val="none" w:sz="0" w:space="0" w:color="auto"/>
            <w:bottom w:val="none" w:sz="0" w:space="0" w:color="auto"/>
            <w:right w:val="none" w:sz="0" w:space="0" w:color="auto"/>
          </w:divBdr>
        </w:div>
        <w:div w:id="1846361053">
          <w:marLeft w:val="446"/>
          <w:marRight w:val="0"/>
          <w:marTop w:val="200"/>
          <w:marBottom w:val="0"/>
          <w:divBdr>
            <w:top w:val="none" w:sz="0" w:space="0" w:color="auto"/>
            <w:left w:val="none" w:sz="0" w:space="0" w:color="auto"/>
            <w:bottom w:val="none" w:sz="0" w:space="0" w:color="auto"/>
            <w:right w:val="none" w:sz="0" w:space="0" w:color="auto"/>
          </w:divBdr>
        </w:div>
      </w:divsChild>
    </w:div>
    <w:div w:id="254435173">
      <w:bodyDiv w:val="1"/>
      <w:marLeft w:val="0"/>
      <w:marRight w:val="0"/>
      <w:marTop w:val="0"/>
      <w:marBottom w:val="0"/>
      <w:divBdr>
        <w:top w:val="none" w:sz="0" w:space="0" w:color="auto"/>
        <w:left w:val="none" w:sz="0" w:space="0" w:color="auto"/>
        <w:bottom w:val="none" w:sz="0" w:space="0" w:color="auto"/>
        <w:right w:val="none" w:sz="0" w:space="0" w:color="auto"/>
      </w:divBdr>
    </w:div>
    <w:div w:id="275675683">
      <w:bodyDiv w:val="1"/>
      <w:marLeft w:val="0"/>
      <w:marRight w:val="0"/>
      <w:marTop w:val="0"/>
      <w:marBottom w:val="0"/>
      <w:divBdr>
        <w:top w:val="none" w:sz="0" w:space="0" w:color="auto"/>
        <w:left w:val="none" w:sz="0" w:space="0" w:color="auto"/>
        <w:bottom w:val="none" w:sz="0" w:space="0" w:color="auto"/>
        <w:right w:val="none" w:sz="0" w:space="0" w:color="auto"/>
      </w:divBdr>
    </w:div>
    <w:div w:id="285310084">
      <w:bodyDiv w:val="1"/>
      <w:marLeft w:val="0"/>
      <w:marRight w:val="0"/>
      <w:marTop w:val="0"/>
      <w:marBottom w:val="0"/>
      <w:divBdr>
        <w:top w:val="none" w:sz="0" w:space="0" w:color="auto"/>
        <w:left w:val="none" w:sz="0" w:space="0" w:color="auto"/>
        <w:bottom w:val="none" w:sz="0" w:space="0" w:color="auto"/>
        <w:right w:val="none" w:sz="0" w:space="0" w:color="auto"/>
      </w:divBdr>
      <w:divsChild>
        <w:div w:id="1475681976">
          <w:marLeft w:val="0"/>
          <w:marRight w:val="0"/>
          <w:marTop w:val="0"/>
          <w:marBottom w:val="0"/>
          <w:divBdr>
            <w:top w:val="none" w:sz="0" w:space="0" w:color="auto"/>
            <w:left w:val="none" w:sz="0" w:space="0" w:color="auto"/>
            <w:bottom w:val="none" w:sz="0" w:space="0" w:color="auto"/>
            <w:right w:val="none" w:sz="0" w:space="0" w:color="auto"/>
          </w:divBdr>
          <w:divsChild>
            <w:div w:id="33896234">
              <w:marLeft w:val="0"/>
              <w:marRight w:val="0"/>
              <w:marTop w:val="0"/>
              <w:marBottom w:val="0"/>
              <w:divBdr>
                <w:top w:val="none" w:sz="0" w:space="0" w:color="auto"/>
                <w:left w:val="none" w:sz="0" w:space="0" w:color="auto"/>
                <w:bottom w:val="none" w:sz="0" w:space="0" w:color="auto"/>
                <w:right w:val="none" w:sz="0" w:space="0" w:color="auto"/>
              </w:divBdr>
            </w:div>
            <w:div w:id="395789281">
              <w:marLeft w:val="0"/>
              <w:marRight w:val="0"/>
              <w:marTop w:val="0"/>
              <w:marBottom w:val="0"/>
              <w:divBdr>
                <w:top w:val="none" w:sz="0" w:space="0" w:color="auto"/>
                <w:left w:val="none" w:sz="0" w:space="0" w:color="auto"/>
                <w:bottom w:val="none" w:sz="0" w:space="0" w:color="auto"/>
                <w:right w:val="none" w:sz="0" w:space="0" w:color="auto"/>
              </w:divBdr>
            </w:div>
            <w:div w:id="799956132">
              <w:marLeft w:val="0"/>
              <w:marRight w:val="0"/>
              <w:marTop w:val="0"/>
              <w:marBottom w:val="0"/>
              <w:divBdr>
                <w:top w:val="none" w:sz="0" w:space="0" w:color="auto"/>
                <w:left w:val="none" w:sz="0" w:space="0" w:color="auto"/>
                <w:bottom w:val="none" w:sz="0" w:space="0" w:color="auto"/>
                <w:right w:val="none" w:sz="0" w:space="0" w:color="auto"/>
              </w:divBdr>
            </w:div>
          </w:divsChild>
        </w:div>
        <w:div w:id="1651404678">
          <w:marLeft w:val="0"/>
          <w:marRight w:val="0"/>
          <w:marTop w:val="0"/>
          <w:marBottom w:val="0"/>
          <w:divBdr>
            <w:top w:val="none" w:sz="0" w:space="0" w:color="auto"/>
            <w:left w:val="none" w:sz="0" w:space="0" w:color="auto"/>
            <w:bottom w:val="none" w:sz="0" w:space="0" w:color="auto"/>
            <w:right w:val="none" w:sz="0" w:space="0" w:color="auto"/>
          </w:divBdr>
          <w:divsChild>
            <w:div w:id="332489123">
              <w:marLeft w:val="0"/>
              <w:marRight w:val="0"/>
              <w:marTop w:val="0"/>
              <w:marBottom w:val="0"/>
              <w:divBdr>
                <w:top w:val="none" w:sz="0" w:space="0" w:color="auto"/>
                <w:left w:val="none" w:sz="0" w:space="0" w:color="auto"/>
                <w:bottom w:val="none" w:sz="0" w:space="0" w:color="auto"/>
                <w:right w:val="none" w:sz="0" w:space="0" w:color="auto"/>
              </w:divBdr>
            </w:div>
            <w:div w:id="1256792903">
              <w:marLeft w:val="0"/>
              <w:marRight w:val="0"/>
              <w:marTop w:val="0"/>
              <w:marBottom w:val="0"/>
              <w:divBdr>
                <w:top w:val="none" w:sz="0" w:space="0" w:color="auto"/>
                <w:left w:val="none" w:sz="0" w:space="0" w:color="auto"/>
                <w:bottom w:val="none" w:sz="0" w:space="0" w:color="auto"/>
                <w:right w:val="none" w:sz="0" w:space="0" w:color="auto"/>
              </w:divBdr>
            </w:div>
            <w:div w:id="14041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5895">
      <w:bodyDiv w:val="1"/>
      <w:marLeft w:val="0"/>
      <w:marRight w:val="0"/>
      <w:marTop w:val="0"/>
      <w:marBottom w:val="0"/>
      <w:divBdr>
        <w:top w:val="none" w:sz="0" w:space="0" w:color="auto"/>
        <w:left w:val="none" w:sz="0" w:space="0" w:color="auto"/>
        <w:bottom w:val="none" w:sz="0" w:space="0" w:color="auto"/>
        <w:right w:val="none" w:sz="0" w:space="0" w:color="auto"/>
      </w:divBdr>
      <w:divsChild>
        <w:div w:id="1251738588">
          <w:marLeft w:val="1166"/>
          <w:marRight w:val="0"/>
          <w:marTop w:val="0"/>
          <w:marBottom w:val="0"/>
          <w:divBdr>
            <w:top w:val="none" w:sz="0" w:space="0" w:color="auto"/>
            <w:left w:val="none" w:sz="0" w:space="0" w:color="auto"/>
            <w:bottom w:val="none" w:sz="0" w:space="0" w:color="auto"/>
            <w:right w:val="none" w:sz="0" w:space="0" w:color="auto"/>
          </w:divBdr>
        </w:div>
        <w:div w:id="1824076497">
          <w:marLeft w:val="547"/>
          <w:marRight w:val="0"/>
          <w:marTop w:val="0"/>
          <w:marBottom w:val="0"/>
          <w:divBdr>
            <w:top w:val="none" w:sz="0" w:space="0" w:color="auto"/>
            <w:left w:val="none" w:sz="0" w:space="0" w:color="auto"/>
            <w:bottom w:val="none" w:sz="0" w:space="0" w:color="auto"/>
            <w:right w:val="none" w:sz="0" w:space="0" w:color="auto"/>
          </w:divBdr>
        </w:div>
        <w:div w:id="1876577646">
          <w:marLeft w:val="547"/>
          <w:marRight w:val="0"/>
          <w:marTop w:val="0"/>
          <w:marBottom w:val="160"/>
          <w:divBdr>
            <w:top w:val="none" w:sz="0" w:space="0" w:color="auto"/>
            <w:left w:val="none" w:sz="0" w:space="0" w:color="auto"/>
            <w:bottom w:val="none" w:sz="0" w:space="0" w:color="auto"/>
            <w:right w:val="none" w:sz="0" w:space="0" w:color="auto"/>
          </w:divBdr>
        </w:div>
        <w:div w:id="1989161717">
          <w:marLeft w:val="1166"/>
          <w:marRight w:val="0"/>
          <w:marTop w:val="0"/>
          <w:marBottom w:val="0"/>
          <w:divBdr>
            <w:top w:val="none" w:sz="0" w:space="0" w:color="auto"/>
            <w:left w:val="none" w:sz="0" w:space="0" w:color="auto"/>
            <w:bottom w:val="none" w:sz="0" w:space="0" w:color="auto"/>
            <w:right w:val="none" w:sz="0" w:space="0" w:color="auto"/>
          </w:divBdr>
        </w:div>
      </w:divsChild>
    </w:div>
    <w:div w:id="349070940">
      <w:bodyDiv w:val="1"/>
      <w:marLeft w:val="0"/>
      <w:marRight w:val="0"/>
      <w:marTop w:val="0"/>
      <w:marBottom w:val="0"/>
      <w:divBdr>
        <w:top w:val="none" w:sz="0" w:space="0" w:color="auto"/>
        <w:left w:val="none" w:sz="0" w:space="0" w:color="auto"/>
        <w:bottom w:val="none" w:sz="0" w:space="0" w:color="auto"/>
        <w:right w:val="none" w:sz="0" w:space="0" w:color="auto"/>
      </w:divBdr>
    </w:div>
    <w:div w:id="361783830">
      <w:bodyDiv w:val="1"/>
      <w:marLeft w:val="0"/>
      <w:marRight w:val="0"/>
      <w:marTop w:val="0"/>
      <w:marBottom w:val="0"/>
      <w:divBdr>
        <w:top w:val="none" w:sz="0" w:space="0" w:color="auto"/>
        <w:left w:val="none" w:sz="0" w:space="0" w:color="auto"/>
        <w:bottom w:val="none" w:sz="0" w:space="0" w:color="auto"/>
        <w:right w:val="none" w:sz="0" w:space="0" w:color="auto"/>
      </w:divBdr>
    </w:div>
    <w:div w:id="373818205">
      <w:bodyDiv w:val="1"/>
      <w:marLeft w:val="0"/>
      <w:marRight w:val="0"/>
      <w:marTop w:val="0"/>
      <w:marBottom w:val="0"/>
      <w:divBdr>
        <w:top w:val="none" w:sz="0" w:space="0" w:color="auto"/>
        <w:left w:val="none" w:sz="0" w:space="0" w:color="auto"/>
        <w:bottom w:val="none" w:sz="0" w:space="0" w:color="auto"/>
        <w:right w:val="none" w:sz="0" w:space="0" w:color="auto"/>
      </w:divBdr>
    </w:div>
    <w:div w:id="378558128">
      <w:bodyDiv w:val="1"/>
      <w:marLeft w:val="0"/>
      <w:marRight w:val="0"/>
      <w:marTop w:val="0"/>
      <w:marBottom w:val="0"/>
      <w:divBdr>
        <w:top w:val="none" w:sz="0" w:space="0" w:color="auto"/>
        <w:left w:val="none" w:sz="0" w:space="0" w:color="auto"/>
        <w:bottom w:val="none" w:sz="0" w:space="0" w:color="auto"/>
        <w:right w:val="none" w:sz="0" w:space="0" w:color="auto"/>
      </w:divBdr>
    </w:div>
    <w:div w:id="394012678">
      <w:bodyDiv w:val="1"/>
      <w:marLeft w:val="0"/>
      <w:marRight w:val="0"/>
      <w:marTop w:val="0"/>
      <w:marBottom w:val="0"/>
      <w:divBdr>
        <w:top w:val="none" w:sz="0" w:space="0" w:color="auto"/>
        <w:left w:val="none" w:sz="0" w:space="0" w:color="auto"/>
        <w:bottom w:val="none" w:sz="0" w:space="0" w:color="auto"/>
        <w:right w:val="none" w:sz="0" w:space="0" w:color="auto"/>
      </w:divBdr>
    </w:div>
    <w:div w:id="465202818">
      <w:bodyDiv w:val="1"/>
      <w:marLeft w:val="0"/>
      <w:marRight w:val="0"/>
      <w:marTop w:val="0"/>
      <w:marBottom w:val="0"/>
      <w:divBdr>
        <w:top w:val="none" w:sz="0" w:space="0" w:color="auto"/>
        <w:left w:val="none" w:sz="0" w:space="0" w:color="auto"/>
        <w:bottom w:val="none" w:sz="0" w:space="0" w:color="auto"/>
        <w:right w:val="none" w:sz="0" w:space="0" w:color="auto"/>
      </w:divBdr>
      <w:divsChild>
        <w:div w:id="737896309">
          <w:marLeft w:val="0"/>
          <w:marRight w:val="0"/>
          <w:marTop w:val="0"/>
          <w:marBottom w:val="0"/>
          <w:divBdr>
            <w:top w:val="none" w:sz="0" w:space="0" w:color="auto"/>
            <w:left w:val="none" w:sz="0" w:space="0" w:color="auto"/>
            <w:bottom w:val="none" w:sz="0" w:space="0" w:color="auto"/>
            <w:right w:val="none" w:sz="0" w:space="0" w:color="auto"/>
          </w:divBdr>
        </w:div>
        <w:div w:id="840900336">
          <w:marLeft w:val="0"/>
          <w:marRight w:val="0"/>
          <w:marTop w:val="0"/>
          <w:marBottom w:val="0"/>
          <w:divBdr>
            <w:top w:val="none" w:sz="0" w:space="0" w:color="auto"/>
            <w:left w:val="none" w:sz="0" w:space="0" w:color="auto"/>
            <w:bottom w:val="none" w:sz="0" w:space="0" w:color="auto"/>
            <w:right w:val="none" w:sz="0" w:space="0" w:color="auto"/>
          </w:divBdr>
          <w:divsChild>
            <w:div w:id="514341257">
              <w:marLeft w:val="0"/>
              <w:marRight w:val="0"/>
              <w:marTop w:val="0"/>
              <w:marBottom w:val="0"/>
              <w:divBdr>
                <w:top w:val="none" w:sz="0" w:space="0" w:color="auto"/>
                <w:left w:val="none" w:sz="0" w:space="0" w:color="auto"/>
                <w:bottom w:val="none" w:sz="0" w:space="0" w:color="auto"/>
                <w:right w:val="none" w:sz="0" w:space="0" w:color="auto"/>
              </w:divBdr>
            </w:div>
            <w:div w:id="558174704">
              <w:marLeft w:val="0"/>
              <w:marRight w:val="0"/>
              <w:marTop w:val="0"/>
              <w:marBottom w:val="0"/>
              <w:divBdr>
                <w:top w:val="none" w:sz="0" w:space="0" w:color="auto"/>
                <w:left w:val="none" w:sz="0" w:space="0" w:color="auto"/>
                <w:bottom w:val="none" w:sz="0" w:space="0" w:color="auto"/>
                <w:right w:val="none" w:sz="0" w:space="0" w:color="auto"/>
              </w:divBdr>
            </w:div>
            <w:div w:id="576600301">
              <w:marLeft w:val="0"/>
              <w:marRight w:val="0"/>
              <w:marTop w:val="0"/>
              <w:marBottom w:val="0"/>
              <w:divBdr>
                <w:top w:val="none" w:sz="0" w:space="0" w:color="auto"/>
                <w:left w:val="none" w:sz="0" w:space="0" w:color="auto"/>
                <w:bottom w:val="none" w:sz="0" w:space="0" w:color="auto"/>
                <w:right w:val="none" w:sz="0" w:space="0" w:color="auto"/>
              </w:divBdr>
            </w:div>
            <w:div w:id="619577724">
              <w:marLeft w:val="0"/>
              <w:marRight w:val="0"/>
              <w:marTop w:val="0"/>
              <w:marBottom w:val="0"/>
              <w:divBdr>
                <w:top w:val="none" w:sz="0" w:space="0" w:color="auto"/>
                <w:left w:val="none" w:sz="0" w:space="0" w:color="auto"/>
                <w:bottom w:val="none" w:sz="0" w:space="0" w:color="auto"/>
                <w:right w:val="none" w:sz="0" w:space="0" w:color="auto"/>
              </w:divBdr>
            </w:div>
            <w:div w:id="738601845">
              <w:marLeft w:val="0"/>
              <w:marRight w:val="0"/>
              <w:marTop w:val="0"/>
              <w:marBottom w:val="0"/>
              <w:divBdr>
                <w:top w:val="none" w:sz="0" w:space="0" w:color="auto"/>
                <w:left w:val="none" w:sz="0" w:space="0" w:color="auto"/>
                <w:bottom w:val="none" w:sz="0" w:space="0" w:color="auto"/>
                <w:right w:val="none" w:sz="0" w:space="0" w:color="auto"/>
              </w:divBdr>
            </w:div>
            <w:div w:id="765540516">
              <w:marLeft w:val="0"/>
              <w:marRight w:val="0"/>
              <w:marTop w:val="0"/>
              <w:marBottom w:val="0"/>
              <w:divBdr>
                <w:top w:val="none" w:sz="0" w:space="0" w:color="auto"/>
                <w:left w:val="none" w:sz="0" w:space="0" w:color="auto"/>
                <w:bottom w:val="none" w:sz="0" w:space="0" w:color="auto"/>
                <w:right w:val="none" w:sz="0" w:space="0" w:color="auto"/>
              </w:divBdr>
            </w:div>
            <w:div w:id="845708740">
              <w:marLeft w:val="0"/>
              <w:marRight w:val="0"/>
              <w:marTop w:val="0"/>
              <w:marBottom w:val="0"/>
              <w:divBdr>
                <w:top w:val="none" w:sz="0" w:space="0" w:color="auto"/>
                <w:left w:val="none" w:sz="0" w:space="0" w:color="auto"/>
                <w:bottom w:val="none" w:sz="0" w:space="0" w:color="auto"/>
                <w:right w:val="none" w:sz="0" w:space="0" w:color="auto"/>
              </w:divBdr>
            </w:div>
            <w:div w:id="874270597">
              <w:marLeft w:val="0"/>
              <w:marRight w:val="0"/>
              <w:marTop w:val="0"/>
              <w:marBottom w:val="0"/>
              <w:divBdr>
                <w:top w:val="none" w:sz="0" w:space="0" w:color="auto"/>
                <w:left w:val="none" w:sz="0" w:space="0" w:color="auto"/>
                <w:bottom w:val="none" w:sz="0" w:space="0" w:color="auto"/>
                <w:right w:val="none" w:sz="0" w:space="0" w:color="auto"/>
              </w:divBdr>
            </w:div>
            <w:div w:id="1079208862">
              <w:marLeft w:val="0"/>
              <w:marRight w:val="0"/>
              <w:marTop w:val="0"/>
              <w:marBottom w:val="0"/>
              <w:divBdr>
                <w:top w:val="none" w:sz="0" w:space="0" w:color="auto"/>
                <w:left w:val="none" w:sz="0" w:space="0" w:color="auto"/>
                <w:bottom w:val="none" w:sz="0" w:space="0" w:color="auto"/>
                <w:right w:val="none" w:sz="0" w:space="0" w:color="auto"/>
              </w:divBdr>
            </w:div>
            <w:div w:id="1337145992">
              <w:marLeft w:val="0"/>
              <w:marRight w:val="0"/>
              <w:marTop w:val="0"/>
              <w:marBottom w:val="0"/>
              <w:divBdr>
                <w:top w:val="none" w:sz="0" w:space="0" w:color="auto"/>
                <w:left w:val="none" w:sz="0" w:space="0" w:color="auto"/>
                <w:bottom w:val="none" w:sz="0" w:space="0" w:color="auto"/>
                <w:right w:val="none" w:sz="0" w:space="0" w:color="auto"/>
              </w:divBdr>
            </w:div>
            <w:div w:id="1357930676">
              <w:marLeft w:val="0"/>
              <w:marRight w:val="0"/>
              <w:marTop w:val="0"/>
              <w:marBottom w:val="0"/>
              <w:divBdr>
                <w:top w:val="none" w:sz="0" w:space="0" w:color="auto"/>
                <w:left w:val="none" w:sz="0" w:space="0" w:color="auto"/>
                <w:bottom w:val="none" w:sz="0" w:space="0" w:color="auto"/>
                <w:right w:val="none" w:sz="0" w:space="0" w:color="auto"/>
              </w:divBdr>
            </w:div>
            <w:div w:id="1456560254">
              <w:marLeft w:val="0"/>
              <w:marRight w:val="0"/>
              <w:marTop w:val="0"/>
              <w:marBottom w:val="0"/>
              <w:divBdr>
                <w:top w:val="none" w:sz="0" w:space="0" w:color="auto"/>
                <w:left w:val="none" w:sz="0" w:space="0" w:color="auto"/>
                <w:bottom w:val="none" w:sz="0" w:space="0" w:color="auto"/>
                <w:right w:val="none" w:sz="0" w:space="0" w:color="auto"/>
              </w:divBdr>
            </w:div>
            <w:div w:id="1486235849">
              <w:marLeft w:val="0"/>
              <w:marRight w:val="0"/>
              <w:marTop w:val="0"/>
              <w:marBottom w:val="0"/>
              <w:divBdr>
                <w:top w:val="none" w:sz="0" w:space="0" w:color="auto"/>
                <w:left w:val="none" w:sz="0" w:space="0" w:color="auto"/>
                <w:bottom w:val="none" w:sz="0" w:space="0" w:color="auto"/>
                <w:right w:val="none" w:sz="0" w:space="0" w:color="auto"/>
              </w:divBdr>
            </w:div>
            <w:div w:id="1935285590">
              <w:marLeft w:val="0"/>
              <w:marRight w:val="0"/>
              <w:marTop w:val="0"/>
              <w:marBottom w:val="0"/>
              <w:divBdr>
                <w:top w:val="none" w:sz="0" w:space="0" w:color="auto"/>
                <w:left w:val="none" w:sz="0" w:space="0" w:color="auto"/>
                <w:bottom w:val="none" w:sz="0" w:space="0" w:color="auto"/>
                <w:right w:val="none" w:sz="0" w:space="0" w:color="auto"/>
              </w:divBdr>
            </w:div>
            <w:div w:id="1955092673">
              <w:marLeft w:val="0"/>
              <w:marRight w:val="0"/>
              <w:marTop w:val="0"/>
              <w:marBottom w:val="0"/>
              <w:divBdr>
                <w:top w:val="none" w:sz="0" w:space="0" w:color="auto"/>
                <w:left w:val="none" w:sz="0" w:space="0" w:color="auto"/>
                <w:bottom w:val="none" w:sz="0" w:space="0" w:color="auto"/>
                <w:right w:val="none" w:sz="0" w:space="0" w:color="auto"/>
              </w:divBdr>
            </w:div>
            <w:div w:id="1963145250">
              <w:marLeft w:val="0"/>
              <w:marRight w:val="0"/>
              <w:marTop w:val="0"/>
              <w:marBottom w:val="0"/>
              <w:divBdr>
                <w:top w:val="none" w:sz="0" w:space="0" w:color="auto"/>
                <w:left w:val="none" w:sz="0" w:space="0" w:color="auto"/>
                <w:bottom w:val="none" w:sz="0" w:space="0" w:color="auto"/>
                <w:right w:val="none" w:sz="0" w:space="0" w:color="auto"/>
              </w:divBdr>
            </w:div>
            <w:div w:id="1972325008">
              <w:marLeft w:val="0"/>
              <w:marRight w:val="0"/>
              <w:marTop w:val="0"/>
              <w:marBottom w:val="0"/>
              <w:divBdr>
                <w:top w:val="none" w:sz="0" w:space="0" w:color="auto"/>
                <w:left w:val="none" w:sz="0" w:space="0" w:color="auto"/>
                <w:bottom w:val="none" w:sz="0" w:space="0" w:color="auto"/>
                <w:right w:val="none" w:sz="0" w:space="0" w:color="auto"/>
              </w:divBdr>
            </w:div>
            <w:div w:id="1988313808">
              <w:marLeft w:val="0"/>
              <w:marRight w:val="0"/>
              <w:marTop w:val="0"/>
              <w:marBottom w:val="0"/>
              <w:divBdr>
                <w:top w:val="none" w:sz="0" w:space="0" w:color="auto"/>
                <w:left w:val="none" w:sz="0" w:space="0" w:color="auto"/>
                <w:bottom w:val="none" w:sz="0" w:space="0" w:color="auto"/>
                <w:right w:val="none" w:sz="0" w:space="0" w:color="auto"/>
              </w:divBdr>
            </w:div>
            <w:div w:id="2086566646">
              <w:marLeft w:val="0"/>
              <w:marRight w:val="0"/>
              <w:marTop w:val="0"/>
              <w:marBottom w:val="0"/>
              <w:divBdr>
                <w:top w:val="none" w:sz="0" w:space="0" w:color="auto"/>
                <w:left w:val="none" w:sz="0" w:space="0" w:color="auto"/>
                <w:bottom w:val="none" w:sz="0" w:space="0" w:color="auto"/>
                <w:right w:val="none" w:sz="0" w:space="0" w:color="auto"/>
              </w:divBdr>
            </w:div>
            <w:div w:id="2092968023">
              <w:marLeft w:val="0"/>
              <w:marRight w:val="0"/>
              <w:marTop w:val="0"/>
              <w:marBottom w:val="0"/>
              <w:divBdr>
                <w:top w:val="none" w:sz="0" w:space="0" w:color="auto"/>
                <w:left w:val="none" w:sz="0" w:space="0" w:color="auto"/>
                <w:bottom w:val="none" w:sz="0" w:space="0" w:color="auto"/>
                <w:right w:val="none" w:sz="0" w:space="0" w:color="auto"/>
              </w:divBdr>
            </w:div>
          </w:divsChild>
        </w:div>
        <w:div w:id="1019891483">
          <w:marLeft w:val="0"/>
          <w:marRight w:val="0"/>
          <w:marTop w:val="0"/>
          <w:marBottom w:val="0"/>
          <w:divBdr>
            <w:top w:val="none" w:sz="0" w:space="0" w:color="auto"/>
            <w:left w:val="none" w:sz="0" w:space="0" w:color="auto"/>
            <w:bottom w:val="none" w:sz="0" w:space="0" w:color="auto"/>
            <w:right w:val="none" w:sz="0" w:space="0" w:color="auto"/>
          </w:divBdr>
        </w:div>
        <w:div w:id="1492453478">
          <w:marLeft w:val="0"/>
          <w:marRight w:val="0"/>
          <w:marTop w:val="0"/>
          <w:marBottom w:val="0"/>
          <w:divBdr>
            <w:top w:val="none" w:sz="0" w:space="0" w:color="auto"/>
            <w:left w:val="none" w:sz="0" w:space="0" w:color="auto"/>
            <w:bottom w:val="none" w:sz="0" w:space="0" w:color="auto"/>
            <w:right w:val="none" w:sz="0" w:space="0" w:color="auto"/>
          </w:divBdr>
          <w:divsChild>
            <w:div w:id="671219778">
              <w:marLeft w:val="0"/>
              <w:marRight w:val="0"/>
              <w:marTop w:val="0"/>
              <w:marBottom w:val="0"/>
              <w:divBdr>
                <w:top w:val="none" w:sz="0" w:space="0" w:color="auto"/>
                <w:left w:val="none" w:sz="0" w:space="0" w:color="auto"/>
                <w:bottom w:val="none" w:sz="0" w:space="0" w:color="auto"/>
                <w:right w:val="none" w:sz="0" w:space="0" w:color="auto"/>
              </w:divBdr>
            </w:div>
            <w:div w:id="704216589">
              <w:marLeft w:val="0"/>
              <w:marRight w:val="0"/>
              <w:marTop w:val="0"/>
              <w:marBottom w:val="0"/>
              <w:divBdr>
                <w:top w:val="none" w:sz="0" w:space="0" w:color="auto"/>
                <w:left w:val="none" w:sz="0" w:space="0" w:color="auto"/>
                <w:bottom w:val="none" w:sz="0" w:space="0" w:color="auto"/>
                <w:right w:val="none" w:sz="0" w:space="0" w:color="auto"/>
              </w:divBdr>
            </w:div>
            <w:div w:id="2017339791">
              <w:marLeft w:val="0"/>
              <w:marRight w:val="0"/>
              <w:marTop w:val="0"/>
              <w:marBottom w:val="0"/>
              <w:divBdr>
                <w:top w:val="none" w:sz="0" w:space="0" w:color="auto"/>
                <w:left w:val="none" w:sz="0" w:space="0" w:color="auto"/>
                <w:bottom w:val="none" w:sz="0" w:space="0" w:color="auto"/>
                <w:right w:val="none" w:sz="0" w:space="0" w:color="auto"/>
              </w:divBdr>
            </w:div>
          </w:divsChild>
        </w:div>
        <w:div w:id="1500198590">
          <w:marLeft w:val="0"/>
          <w:marRight w:val="0"/>
          <w:marTop w:val="0"/>
          <w:marBottom w:val="0"/>
          <w:divBdr>
            <w:top w:val="none" w:sz="0" w:space="0" w:color="auto"/>
            <w:left w:val="none" w:sz="0" w:space="0" w:color="auto"/>
            <w:bottom w:val="none" w:sz="0" w:space="0" w:color="auto"/>
            <w:right w:val="none" w:sz="0" w:space="0" w:color="auto"/>
          </w:divBdr>
          <w:divsChild>
            <w:div w:id="1079596971">
              <w:marLeft w:val="0"/>
              <w:marRight w:val="0"/>
              <w:marTop w:val="0"/>
              <w:marBottom w:val="0"/>
              <w:divBdr>
                <w:top w:val="none" w:sz="0" w:space="0" w:color="auto"/>
                <w:left w:val="none" w:sz="0" w:space="0" w:color="auto"/>
                <w:bottom w:val="none" w:sz="0" w:space="0" w:color="auto"/>
                <w:right w:val="none" w:sz="0" w:space="0" w:color="auto"/>
              </w:divBdr>
            </w:div>
          </w:divsChild>
        </w:div>
        <w:div w:id="1547375216">
          <w:marLeft w:val="0"/>
          <w:marRight w:val="0"/>
          <w:marTop w:val="0"/>
          <w:marBottom w:val="0"/>
          <w:divBdr>
            <w:top w:val="none" w:sz="0" w:space="0" w:color="auto"/>
            <w:left w:val="none" w:sz="0" w:space="0" w:color="auto"/>
            <w:bottom w:val="none" w:sz="0" w:space="0" w:color="auto"/>
            <w:right w:val="none" w:sz="0" w:space="0" w:color="auto"/>
          </w:divBdr>
          <w:divsChild>
            <w:div w:id="297079135">
              <w:marLeft w:val="0"/>
              <w:marRight w:val="0"/>
              <w:marTop w:val="0"/>
              <w:marBottom w:val="0"/>
              <w:divBdr>
                <w:top w:val="none" w:sz="0" w:space="0" w:color="auto"/>
                <w:left w:val="none" w:sz="0" w:space="0" w:color="auto"/>
                <w:bottom w:val="none" w:sz="0" w:space="0" w:color="auto"/>
                <w:right w:val="none" w:sz="0" w:space="0" w:color="auto"/>
              </w:divBdr>
            </w:div>
            <w:div w:id="402024663">
              <w:marLeft w:val="0"/>
              <w:marRight w:val="0"/>
              <w:marTop w:val="0"/>
              <w:marBottom w:val="0"/>
              <w:divBdr>
                <w:top w:val="none" w:sz="0" w:space="0" w:color="auto"/>
                <w:left w:val="none" w:sz="0" w:space="0" w:color="auto"/>
                <w:bottom w:val="none" w:sz="0" w:space="0" w:color="auto"/>
                <w:right w:val="none" w:sz="0" w:space="0" w:color="auto"/>
              </w:divBdr>
            </w:div>
            <w:div w:id="951664980">
              <w:marLeft w:val="0"/>
              <w:marRight w:val="0"/>
              <w:marTop w:val="0"/>
              <w:marBottom w:val="0"/>
              <w:divBdr>
                <w:top w:val="none" w:sz="0" w:space="0" w:color="auto"/>
                <w:left w:val="none" w:sz="0" w:space="0" w:color="auto"/>
                <w:bottom w:val="none" w:sz="0" w:space="0" w:color="auto"/>
                <w:right w:val="none" w:sz="0" w:space="0" w:color="auto"/>
              </w:divBdr>
            </w:div>
            <w:div w:id="1742680768">
              <w:marLeft w:val="0"/>
              <w:marRight w:val="0"/>
              <w:marTop w:val="0"/>
              <w:marBottom w:val="0"/>
              <w:divBdr>
                <w:top w:val="none" w:sz="0" w:space="0" w:color="auto"/>
                <w:left w:val="none" w:sz="0" w:space="0" w:color="auto"/>
                <w:bottom w:val="none" w:sz="0" w:space="0" w:color="auto"/>
                <w:right w:val="none" w:sz="0" w:space="0" w:color="auto"/>
              </w:divBdr>
            </w:div>
          </w:divsChild>
        </w:div>
        <w:div w:id="1706980554">
          <w:marLeft w:val="0"/>
          <w:marRight w:val="0"/>
          <w:marTop w:val="0"/>
          <w:marBottom w:val="0"/>
          <w:divBdr>
            <w:top w:val="none" w:sz="0" w:space="0" w:color="auto"/>
            <w:left w:val="none" w:sz="0" w:space="0" w:color="auto"/>
            <w:bottom w:val="none" w:sz="0" w:space="0" w:color="auto"/>
            <w:right w:val="none" w:sz="0" w:space="0" w:color="auto"/>
          </w:divBdr>
          <w:divsChild>
            <w:div w:id="1247686999">
              <w:marLeft w:val="-75"/>
              <w:marRight w:val="0"/>
              <w:marTop w:val="30"/>
              <w:marBottom w:val="30"/>
              <w:divBdr>
                <w:top w:val="none" w:sz="0" w:space="0" w:color="auto"/>
                <w:left w:val="none" w:sz="0" w:space="0" w:color="auto"/>
                <w:bottom w:val="none" w:sz="0" w:space="0" w:color="auto"/>
                <w:right w:val="none" w:sz="0" w:space="0" w:color="auto"/>
              </w:divBdr>
              <w:divsChild>
                <w:div w:id="168298312">
                  <w:marLeft w:val="0"/>
                  <w:marRight w:val="0"/>
                  <w:marTop w:val="0"/>
                  <w:marBottom w:val="0"/>
                  <w:divBdr>
                    <w:top w:val="none" w:sz="0" w:space="0" w:color="auto"/>
                    <w:left w:val="none" w:sz="0" w:space="0" w:color="auto"/>
                    <w:bottom w:val="none" w:sz="0" w:space="0" w:color="auto"/>
                    <w:right w:val="none" w:sz="0" w:space="0" w:color="auto"/>
                  </w:divBdr>
                  <w:divsChild>
                    <w:div w:id="697699065">
                      <w:marLeft w:val="0"/>
                      <w:marRight w:val="0"/>
                      <w:marTop w:val="0"/>
                      <w:marBottom w:val="0"/>
                      <w:divBdr>
                        <w:top w:val="none" w:sz="0" w:space="0" w:color="auto"/>
                        <w:left w:val="none" w:sz="0" w:space="0" w:color="auto"/>
                        <w:bottom w:val="none" w:sz="0" w:space="0" w:color="auto"/>
                        <w:right w:val="none" w:sz="0" w:space="0" w:color="auto"/>
                      </w:divBdr>
                    </w:div>
                  </w:divsChild>
                </w:div>
                <w:div w:id="525875112">
                  <w:marLeft w:val="0"/>
                  <w:marRight w:val="0"/>
                  <w:marTop w:val="0"/>
                  <w:marBottom w:val="0"/>
                  <w:divBdr>
                    <w:top w:val="none" w:sz="0" w:space="0" w:color="auto"/>
                    <w:left w:val="none" w:sz="0" w:space="0" w:color="auto"/>
                    <w:bottom w:val="none" w:sz="0" w:space="0" w:color="auto"/>
                    <w:right w:val="none" w:sz="0" w:space="0" w:color="auto"/>
                  </w:divBdr>
                  <w:divsChild>
                    <w:div w:id="2028484773">
                      <w:marLeft w:val="0"/>
                      <w:marRight w:val="0"/>
                      <w:marTop w:val="0"/>
                      <w:marBottom w:val="0"/>
                      <w:divBdr>
                        <w:top w:val="none" w:sz="0" w:space="0" w:color="auto"/>
                        <w:left w:val="none" w:sz="0" w:space="0" w:color="auto"/>
                        <w:bottom w:val="none" w:sz="0" w:space="0" w:color="auto"/>
                        <w:right w:val="none" w:sz="0" w:space="0" w:color="auto"/>
                      </w:divBdr>
                    </w:div>
                  </w:divsChild>
                </w:div>
                <w:div w:id="547883759">
                  <w:marLeft w:val="0"/>
                  <w:marRight w:val="0"/>
                  <w:marTop w:val="0"/>
                  <w:marBottom w:val="0"/>
                  <w:divBdr>
                    <w:top w:val="none" w:sz="0" w:space="0" w:color="auto"/>
                    <w:left w:val="none" w:sz="0" w:space="0" w:color="auto"/>
                    <w:bottom w:val="none" w:sz="0" w:space="0" w:color="auto"/>
                    <w:right w:val="none" w:sz="0" w:space="0" w:color="auto"/>
                  </w:divBdr>
                  <w:divsChild>
                    <w:div w:id="948782062">
                      <w:marLeft w:val="0"/>
                      <w:marRight w:val="0"/>
                      <w:marTop w:val="0"/>
                      <w:marBottom w:val="0"/>
                      <w:divBdr>
                        <w:top w:val="none" w:sz="0" w:space="0" w:color="auto"/>
                        <w:left w:val="none" w:sz="0" w:space="0" w:color="auto"/>
                        <w:bottom w:val="none" w:sz="0" w:space="0" w:color="auto"/>
                        <w:right w:val="none" w:sz="0" w:space="0" w:color="auto"/>
                      </w:divBdr>
                    </w:div>
                    <w:div w:id="1367218156">
                      <w:marLeft w:val="0"/>
                      <w:marRight w:val="0"/>
                      <w:marTop w:val="0"/>
                      <w:marBottom w:val="0"/>
                      <w:divBdr>
                        <w:top w:val="none" w:sz="0" w:space="0" w:color="auto"/>
                        <w:left w:val="none" w:sz="0" w:space="0" w:color="auto"/>
                        <w:bottom w:val="none" w:sz="0" w:space="0" w:color="auto"/>
                        <w:right w:val="none" w:sz="0" w:space="0" w:color="auto"/>
                      </w:divBdr>
                    </w:div>
                  </w:divsChild>
                </w:div>
                <w:div w:id="611009428">
                  <w:marLeft w:val="0"/>
                  <w:marRight w:val="0"/>
                  <w:marTop w:val="0"/>
                  <w:marBottom w:val="0"/>
                  <w:divBdr>
                    <w:top w:val="none" w:sz="0" w:space="0" w:color="auto"/>
                    <w:left w:val="none" w:sz="0" w:space="0" w:color="auto"/>
                    <w:bottom w:val="none" w:sz="0" w:space="0" w:color="auto"/>
                    <w:right w:val="none" w:sz="0" w:space="0" w:color="auto"/>
                  </w:divBdr>
                  <w:divsChild>
                    <w:div w:id="2111393418">
                      <w:marLeft w:val="0"/>
                      <w:marRight w:val="0"/>
                      <w:marTop w:val="0"/>
                      <w:marBottom w:val="0"/>
                      <w:divBdr>
                        <w:top w:val="none" w:sz="0" w:space="0" w:color="auto"/>
                        <w:left w:val="none" w:sz="0" w:space="0" w:color="auto"/>
                        <w:bottom w:val="none" w:sz="0" w:space="0" w:color="auto"/>
                        <w:right w:val="none" w:sz="0" w:space="0" w:color="auto"/>
                      </w:divBdr>
                    </w:div>
                  </w:divsChild>
                </w:div>
                <w:div w:id="793062622">
                  <w:marLeft w:val="0"/>
                  <w:marRight w:val="0"/>
                  <w:marTop w:val="0"/>
                  <w:marBottom w:val="0"/>
                  <w:divBdr>
                    <w:top w:val="none" w:sz="0" w:space="0" w:color="auto"/>
                    <w:left w:val="none" w:sz="0" w:space="0" w:color="auto"/>
                    <w:bottom w:val="none" w:sz="0" w:space="0" w:color="auto"/>
                    <w:right w:val="none" w:sz="0" w:space="0" w:color="auto"/>
                  </w:divBdr>
                  <w:divsChild>
                    <w:div w:id="1361707550">
                      <w:marLeft w:val="0"/>
                      <w:marRight w:val="0"/>
                      <w:marTop w:val="0"/>
                      <w:marBottom w:val="0"/>
                      <w:divBdr>
                        <w:top w:val="none" w:sz="0" w:space="0" w:color="auto"/>
                        <w:left w:val="none" w:sz="0" w:space="0" w:color="auto"/>
                        <w:bottom w:val="none" w:sz="0" w:space="0" w:color="auto"/>
                        <w:right w:val="none" w:sz="0" w:space="0" w:color="auto"/>
                      </w:divBdr>
                    </w:div>
                  </w:divsChild>
                </w:div>
                <w:div w:id="893201971">
                  <w:marLeft w:val="0"/>
                  <w:marRight w:val="0"/>
                  <w:marTop w:val="0"/>
                  <w:marBottom w:val="0"/>
                  <w:divBdr>
                    <w:top w:val="none" w:sz="0" w:space="0" w:color="auto"/>
                    <w:left w:val="none" w:sz="0" w:space="0" w:color="auto"/>
                    <w:bottom w:val="none" w:sz="0" w:space="0" w:color="auto"/>
                    <w:right w:val="none" w:sz="0" w:space="0" w:color="auto"/>
                  </w:divBdr>
                  <w:divsChild>
                    <w:div w:id="745080277">
                      <w:marLeft w:val="0"/>
                      <w:marRight w:val="0"/>
                      <w:marTop w:val="0"/>
                      <w:marBottom w:val="0"/>
                      <w:divBdr>
                        <w:top w:val="none" w:sz="0" w:space="0" w:color="auto"/>
                        <w:left w:val="none" w:sz="0" w:space="0" w:color="auto"/>
                        <w:bottom w:val="none" w:sz="0" w:space="0" w:color="auto"/>
                        <w:right w:val="none" w:sz="0" w:space="0" w:color="auto"/>
                      </w:divBdr>
                    </w:div>
                  </w:divsChild>
                </w:div>
                <w:div w:id="1272200137">
                  <w:marLeft w:val="0"/>
                  <w:marRight w:val="0"/>
                  <w:marTop w:val="0"/>
                  <w:marBottom w:val="0"/>
                  <w:divBdr>
                    <w:top w:val="none" w:sz="0" w:space="0" w:color="auto"/>
                    <w:left w:val="none" w:sz="0" w:space="0" w:color="auto"/>
                    <w:bottom w:val="none" w:sz="0" w:space="0" w:color="auto"/>
                    <w:right w:val="none" w:sz="0" w:space="0" w:color="auto"/>
                  </w:divBdr>
                  <w:divsChild>
                    <w:div w:id="535122324">
                      <w:marLeft w:val="0"/>
                      <w:marRight w:val="0"/>
                      <w:marTop w:val="0"/>
                      <w:marBottom w:val="0"/>
                      <w:divBdr>
                        <w:top w:val="none" w:sz="0" w:space="0" w:color="auto"/>
                        <w:left w:val="none" w:sz="0" w:space="0" w:color="auto"/>
                        <w:bottom w:val="none" w:sz="0" w:space="0" w:color="auto"/>
                        <w:right w:val="none" w:sz="0" w:space="0" w:color="auto"/>
                      </w:divBdr>
                    </w:div>
                  </w:divsChild>
                </w:div>
                <w:div w:id="1326587599">
                  <w:marLeft w:val="0"/>
                  <w:marRight w:val="0"/>
                  <w:marTop w:val="0"/>
                  <w:marBottom w:val="0"/>
                  <w:divBdr>
                    <w:top w:val="none" w:sz="0" w:space="0" w:color="auto"/>
                    <w:left w:val="none" w:sz="0" w:space="0" w:color="auto"/>
                    <w:bottom w:val="none" w:sz="0" w:space="0" w:color="auto"/>
                    <w:right w:val="none" w:sz="0" w:space="0" w:color="auto"/>
                  </w:divBdr>
                  <w:divsChild>
                    <w:div w:id="2067336749">
                      <w:marLeft w:val="0"/>
                      <w:marRight w:val="0"/>
                      <w:marTop w:val="0"/>
                      <w:marBottom w:val="0"/>
                      <w:divBdr>
                        <w:top w:val="none" w:sz="0" w:space="0" w:color="auto"/>
                        <w:left w:val="none" w:sz="0" w:space="0" w:color="auto"/>
                        <w:bottom w:val="none" w:sz="0" w:space="0" w:color="auto"/>
                        <w:right w:val="none" w:sz="0" w:space="0" w:color="auto"/>
                      </w:divBdr>
                    </w:div>
                  </w:divsChild>
                </w:div>
                <w:div w:id="1431006669">
                  <w:marLeft w:val="0"/>
                  <w:marRight w:val="0"/>
                  <w:marTop w:val="0"/>
                  <w:marBottom w:val="0"/>
                  <w:divBdr>
                    <w:top w:val="none" w:sz="0" w:space="0" w:color="auto"/>
                    <w:left w:val="none" w:sz="0" w:space="0" w:color="auto"/>
                    <w:bottom w:val="none" w:sz="0" w:space="0" w:color="auto"/>
                    <w:right w:val="none" w:sz="0" w:space="0" w:color="auto"/>
                  </w:divBdr>
                  <w:divsChild>
                    <w:div w:id="1148087359">
                      <w:marLeft w:val="0"/>
                      <w:marRight w:val="0"/>
                      <w:marTop w:val="0"/>
                      <w:marBottom w:val="0"/>
                      <w:divBdr>
                        <w:top w:val="none" w:sz="0" w:space="0" w:color="auto"/>
                        <w:left w:val="none" w:sz="0" w:space="0" w:color="auto"/>
                        <w:bottom w:val="none" w:sz="0" w:space="0" w:color="auto"/>
                        <w:right w:val="none" w:sz="0" w:space="0" w:color="auto"/>
                      </w:divBdr>
                    </w:div>
                  </w:divsChild>
                </w:div>
                <w:div w:id="1658067586">
                  <w:marLeft w:val="0"/>
                  <w:marRight w:val="0"/>
                  <w:marTop w:val="0"/>
                  <w:marBottom w:val="0"/>
                  <w:divBdr>
                    <w:top w:val="none" w:sz="0" w:space="0" w:color="auto"/>
                    <w:left w:val="none" w:sz="0" w:space="0" w:color="auto"/>
                    <w:bottom w:val="none" w:sz="0" w:space="0" w:color="auto"/>
                    <w:right w:val="none" w:sz="0" w:space="0" w:color="auto"/>
                  </w:divBdr>
                  <w:divsChild>
                    <w:div w:id="576400373">
                      <w:marLeft w:val="0"/>
                      <w:marRight w:val="0"/>
                      <w:marTop w:val="0"/>
                      <w:marBottom w:val="0"/>
                      <w:divBdr>
                        <w:top w:val="none" w:sz="0" w:space="0" w:color="auto"/>
                        <w:left w:val="none" w:sz="0" w:space="0" w:color="auto"/>
                        <w:bottom w:val="none" w:sz="0" w:space="0" w:color="auto"/>
                        <w:right w:val="none" w:sz="0" w:space="0" w:color="auto"/>
                      </w:divBdr>
                    </w:div>
                    <w:div w:id="1606306302">
                      <w:marLeft w:val="0"/>
                      <w:marRight w:val="0"/>
                      <w:marTop w:val="0"/>
                      <w:marBottom w:val="0"/>
                      <w:divBdr>
                        <w:top w:val="none" w:sz="0" w:space="0" w:color="auto"/>
                        <w:left w:val="none" w:sz="0" w:space="0" w:color="auto"/>
                        <w:bottom w:val="none" w:sz="0" w:space="0" w:color="auto"/>
                        <w:right w:val="none" w:sz="0" w:space="0" w:color="auto"/>
                      </w:divBdr>
                    </w:div>
                  </w:divsChild>
                </w:div>
                <w:div w:id="1898972805">
                  <w:marLeft w:val="0"/>
                  <w:marRight w:val="0"/>
                  <w:marTop w:val="0"/>
                  <w:marBottom w:val="0"/>
                  <w:divBdr>
                    <w:top w:val="none" w:sz="0" w:space="0" w:color="auto"/>
                    <w:left w:val="none" w:sz="0" w:space="0" w:color="auto"/>
                    <w:bottom w:val="none" w:sz="0" w:space="0" w:color="auto"/>
                    <w:right w:val="none" w:sz="0" w:space="0" w:color="auto"/>
                  </w:divBdr>
                  <w:divsChild>
                    <w:div w:id="153496218">
                      <w:marLeft w:val="0"/>
                      <w:marRight w:val="0"/>
                      <w:marTop w:val="0"/>
                      <w:marBottom w:val="0"/>
                      <w:divBdr>
                        <w:top w:val="none" w:sz="0" w:space="0" w:color="auto"/>
                        <w:left w:val="none" w:sz="0" w:space="0" w:color="auto"/>
                        <w:bottom w:val="none" w:sz="0" w:space="0" w:color="auto"/>
                        <w:right w:val="none" w:sz="0" w:space="0" w:color="auto"/>
                      </w:divBdr>
                    </w:div>
                    <w:div w:id="1165513170">
                      <w:marLeft w:val="0"/>
                      <w:marRight w:val="0"/>
                      <w:marTop w:val="0"/>
                      <w:marBottom w:val="0"/>
                      <w:divBdr>
                        <w:top w:val="none" w:sz="0" w:space="0" w:color="auto"/>
                        <w:left w:val="none" w:sz="0" w:space="0" w:color="auto"/>
                        <w:bottom w:val="none" w:sz="0" w:space="0" w:color="auto"/>
                        <w:right w:val="none" w:sz="0" w:space="0" w:color="auto"/>
                      </w:divBdr>
                    </w:div>
                  </w:divsChild>
                </w:div>
                <w:div w:id="2131973815">
                  <w:marLeft w:val="0"/>
                  <w:marRight w:val="0"/>
                  <w:marTop w:val="0"/>
                  <w:marBottom w:val="0"/>
                  <w:divBdr>
                    <w:top w:val="none" w:sz="0" w:space="0" w:color="auto"/>
                    <w:left w:val="none" w:sz="0" w:space="0" w:color="auto"/>
                    <w:bottom w:val="none" w:sz="0" w:space="0" w:color="auto"/>
                    <w:right w:val="none" w:sz="0" w:space="0" w:color="auto"/>
                  </w:divBdr>
                  <w:divsChild>
                    <w:div w:id="13544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6061">
          <w:marLeft w:val="0"/>
          <w:marRight w:val="0"/>
          <w:marTop w:val="0"/>
          <w:marBottom w:val="0"/>
          <w:divBdr>
            <w:top w:val="none" w:sz="0" w:space="0" w:color="auto"/>
            <w:left w:val="none" w:sz="0" w:space="0" w:color="auto"/>
            <w:bottom w:val="none" w:sz="0" w:space="0" w:color="auto"/>
            <w:right w:val="none" w:sz="0" w:space="0" w:color="auto"/>
          </w:divBdr>
          <w:divsChild>
            <w:div w:id="106971765">
              <w:marLeft w:val="0"/>
              <w:marRight w:val="0"/>
              <w:marTop w:val="0"/>
              <w:marBottom w:val="0"/>
              <w:divBdr>
                <w:top w:val="none" w:sz="0" w:space="0" w:color="auto"/>
                <w:left w:val="none" w:sz="0" w:space="0" w:color="auto"/>
                <w:bottom w:val="none" w:sz="0" w:space="0" w:color="auto"/>
                <w:right w:val="none" w:sz="0" w:space="0" w:color="auto"/>
              </w:divBdr>
            </w:div>
            <w:div w:id="315959398">
              <w:marLeft w:val="0"/>
              <w:marRight w:val="0"/>
              <w:marTop w:val="0"/>
              <w:marBottom w:val="0"/>
              <w:divBdr>
                <w:top w:val="none" w:sz="0" w:space="0" w:color="auto"/>
                <w:left w:val="none" w:sz="0" w:space="0" w:color="auto"/>
                <w:bottom w:val="none" w:sz="0" w:space="0" w:color="auto"/>
                <w:right w:val="none" w:sz="0" w:space="0" w:color="auto"/>
              </w:divBdr>
            </w:div>
            <w:div w:id="379743642">
              <w:marLeft w:val="0"/>
              <w:marRight w:val="0"/>
              <w:marTop w:val="0"/>
              <w:marBottom w:val="0"/>
              <w:divBdr>
                <w:top w:val="none" w:sz="0" w:space="0" w:color="auto"/>
                <w:left w:val="none" w:sz="0" w:space="0" w:color="auto"/>
                <w:bottom w:val="none" w:sz="0" w:space="0" w:color="auto"/>
                <w:right w:val="none" w:sz="0" w:space="0" w:color="auto"/>
              </w:divBdr>
            </w:div>
            <w:div w:id="401221814">
              <w:marLeft w:val="0"/>
              <w:marRight w:val="0"/>
              <w:marTop w:val="0"/>
              <w:marBottom w:val="0"/>
              <w:divBdr>
                <w:top w:val="none" w:sz="0" w:space="0" w:color="auto"/>
                <w:left w:val="none" w:sz="0" w:space="0" w:color="auto"/>
                <w:bottom w:val="none" w:sz="0" w:space="0" w:color="auto"/>
                <w:right w:val="none" w:sz="0" w:space="0" w:color="auto"/>
              </w:divBdr>
            </w:div>
            <w:div w:id="434981239">
              <w:marLeft w:val="0"/>
              <w:marRight w:val="0"/>
              <w:marTop w:val="0"/>
              <w:marBottom w:val="0"/>
              <w:divBdr>
                <w:top w:val="none" w:sz="0" w:space="0" w:color="auto"/>
                <w:left w:val="none" w:sz="0" w:space="0" w:color="auto"/>
                <w:bottom w:val="none" w:sz="0" w:space="0" w:color="auto"/>
                <w:right w:val="none" w:sz="0" w:space="0" w:color="auto"/>
              </w:divBdr>
            </w:div>
            <w:div w:id="489754716">
              <w:marLeft w:val="0"/>
              <w:marRight w:val="0"/>
              <w:marTop w:val="0"/>
              <w:marBottom w:val="0"/>
              <w:divBdr>
                <w:top w:val="none" w:sz="0" w:space="0" w:color="auto"/>
                <w:left w:val="none" w:sz="0" w:space="0" w:color="auto"/>
                <w:bottom w:val="none" w:sz="0" w:space="0" w:color="auto"/>
                <w:right w:val="none" w:sz="0" w:space="0" w:color="auto"/>
              </w:divBdr>
            </w:div>
            <w:div w:id="514882696">
              <w:marLeft w:val="0"/>
              <w:marRight w:val="0"/>
              <w:marTop w:val="0"/>
              <w:marBottom w:val="0"/>
              <w:divBdr>
                <w:top w:val="none" w:sz="0" w:space="0" w:color="auto"/>
                <w:left w:val="none" w:sz="0" w:space="0" w:color="auto"/>
                <w:bottom w:val="none" w:sz="0" w:space="0" w:color="auto"/>
                <w:right w:val="none" w:sz="0" w:space="0" w:color="auto"/>
              </w:divBdr>
            </w:div>
            <w:div w:id="1020937209">
              <w:marLeft w:val="0"/>
              <w:marRight w:val="0"/>
              <w:marTop w:val="0"/>
              <w:marBottom w:val="0"/>
              <w:divBdr>
                <w:top w:val="none" w:sz="0" w:space="0" w:color="auto"/>
                <w:left w:val="none" w:sz="0" w:space="0" w:color="auto"/>
                <w:bottom w:val="none" w:sz="0" w:space="0" w:color="auto"/>
                <w:right w:val="none" w:sz="0" w:space="0" w:color="auto"/>
              </w:divBdr>
            </w:div>
            <w:div w:id="1117675705">
              <w:marLeft w:val="0"/>
              <w:marRight w:val="0"/>
              <w:marTop w:val="0"/>
              <w:marBottom w:val="0"/>
              <w:divBdr>
                <w:top w:val="none" w:sz="0" w:space="0" w:color="auto"/>
                <w:left w:val="none" w:sz="0" w:space="0" w:color="auto"/>
                <w:bottom w:val="none" w:sz="0" w:space="0" w:color="auto"/>
                <w:right w:val="none" w:sz="0" w:space="0" w:color="auto"/>
              </w:divBdr>
            </w:div>
            <w:div w:id="1244796062">
              <w:marLeft w:val="0"/>
              <w:marRight w:val="0"/>
              <w:marTop w:val="0"/>
              <w:marBottom w:val="0"/>
              <w:divBdr>
                <w:top w:val="none" w:sz="0" w:space="0" w:color="auto"/>
                <w:left w:val="none" w:sz="0" w:space="0" w:color="auto"/>
                <w:bottom w:val="none" w:sz="0" w:space="0" w:color="auto"/>
                <w:right w:val="none" w:sz="0" w:space="0" w:color="auto"/>
              </w:divBdr>
            </w:div>
            <w:div w:id="1585141454">
              <w:marLeft w:val="0"/>
              <w:marRight w:val="0"/>
              <w:marTop w:val="0"/>
              <w:marBottom w:val="0"/>
              <w:divBdr>
                <w:top w:val="none" w:sz="0" w:space="0" w:color="auto"/>
                <w:left w:val="none" w:sz="0" w:space="0" w:color="auto"/>
                <w:bottom w:val="none" w:sz="0" w:space="0" w:color="auto"/>
                <w:right w:val="none" w:sz="0" w:space="0" w:color="auto"/>
              </w:divBdr>
            </w:div>
            <w:div w:id="1720594518">
              <w:marLeft w:val="0"/>
              <w:marRight w:val="0"/>
              <w:marTop w:val="0"/>
              <w:marBottom w:val="0"/>
              <w:divBdr>
                <w:top w:val="none" w:sz="0" w:space="0" w:color="auto"/>
                <w:left w:val="none" w:sz="0" w:space="0" w:color="auto"/>
                <w:bottom w:val="none" w:sz="0" w:space="0" w:color="auto"/>
                <w:right w:val="none" w:sz="0" w:space="0" w:color="auto"/>
              </w:divBdr>
            </w:div>
            <w:div w:id="1973560759">
              <w:marLeft w:val="0"/>
              <w:marRight w:val="0"/>
              <w:marTop w:val="0"/>
              <w:marBottom w:val="0"/>
              <w:divBdr>
                <w:top w:val="none" w:sz="0" w:space="0" w:color="auto"/>
                <w:left w:val="none" w:sz="0" w:space="0" w:color="auto"/>
                <w:bottom w:val="none" w:sz="0" w:space="0" w:color="auto"/>
                <w:right w:val="none" w:sz="0" w:space="0" w:color="auto"/>
              </w:divBdr>
            </w:div>
            <w:div w:id="2067289230">
              <w:marLeft w:val="0"/>
              <w:marRight w:val="0"/>
              <w:marTop w:val="0"/>
              <w:marBottom w:val="0"/>
              <w:divBdr>
                <w:top w:val="none" w:sz="0" w:space="0" w:color="auto"/>
                <w:left w:val="none" w:sz="0" w:space="0" w:color="auto"/>
                <w:bottom w:val="none" w:sz="0" w:space="0" w:color="auto"/>
                <w:right w:val="none" w:sz="0" w:space="0" w:color="auto"/>
              </w:divBdr>
            </w:div>
            <w:div w:id="2109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546">
      <w:bodyDiv w:val="1"/>
      <w:marLeft w:val="0"/>
      <w:marRight w:val="0"/>
      <w:marTop w:val="0"/>
      <w:marBottom w:val="0"/>
      <w:divBdr>
        <w:top w:val="none" w:sz="0" w:space="0" w:color="auto"/>
        <w:left w:val="none" w:sz="0" w:space="0" w:color="auto"/>
        <w:bottom w:val="none" w:sz="0" w:space="0" w:color="auto"/>
        <w:right w:val="none" w:sz="0" w:space="0" w:color="auto"/>
      </w:divBdr>
      <w:divsChild>
        <w:div w:id="444735102">
          <w:marLeft w:val="446"/>
          <w:marRight w:val="0"/>
          <w:marTop w:val="200"/>
          <w:marBottom w:val="0"/>
          <w:divBdr>
            <w:top w:val="none" w:sz="0" w:space="0" w:color="auto"/>
            <w:left w:val="none" w:sz="0" w:space="0" w:color="auto"/>
            <w:bottom w:val="none" w:sz="0" w:space="0" w:color="auto"/>
            <w:right w:val="none" w:sz="0" w:space="0" w:color="auto"/>
          </w:divBdr>
        </w:div>
        <w:div w:id="481970128">
          <w:marLeft w:val="446"/>
          <w:marRight w:val="0"/>
          <w:marTop w:val="200"/>
          <w:marBottom w:val="0"/>
          <w:divBdr>
            <w:top w:val="none" w:sz="0" w:space="0" w:color="auto"/>
            <w:left w:val="none" w:sz="0" w:space="0" w:color="auto"/>
            <w:bottom w:val="none" w:sz="0" w:space="0" w:color="auto"/>
            <w:right w:val="none" w:sz="0" w:space="0" w:color="auto"/>
          </w:divBdr>
        </w:div>
        <w:div w:id="1368024595">
          <w:marLeft w:val="446"/>
          <w:marRight w:val="0"/>
          <w:marTop w:val="200"/>
          <w:marBottom w:val="0"/>
          <w:divBdr>
            <w:top w:val="none" w:sz="0" w:space="0" w:color="auto"/>
            <w:left w:val="none" w:sz="0" w:space="0" w:color="auto"/>
            <w:bottom w:val="none" w:sz="0" w:space="0" w:color="auto"/>
            <w:right w:val="none" w:sz="0" w:space="0" w:color="auto"/>
          </w:divBdr>
        </w:div>
        <w:div w:id="1734766786">
          <w:marLeft w:val="446"/>
          <w:marRight w:val="0"/>
          <w:marTop w:val="200"/>
          <w:marBottom w:val="0"/>
          <w:divBdr>
            <w:top w:val="none" w:sz="0" w:space="0" w:color="auto"/>
            <w:left w:val="none" w:sz="0" w:space="0" w:color="auto"/>
            <w:bottom w:val="none" w:sz="0" w:space="0" w:color="auto"/>
            <w:right w:val="none" w:sz="0" w:space="0" w:color="auto"/>
          </w:divBdr>
        </w:div>
      </w:divsChild>
    </w:div>
    <w:div w:id="501238977">
      <w:bodyDiv w:val="1"/>
      <w:marLeft w:val="0"/>
      <w:marRight w:val="0"/>
      <w:marTop w:val="0"/>
      <w:marBottom w:val="0"/>
      <w:divBdr>
        <w:top w:val="none" w:sz="0" w:space="0" w:color="auto"/>
        <w:left w:val="none" w:sz="0" w:space="0" w:color="auto"/>
        <w:bottom w:val="none" w:sz="0" w:space="0" w:color="auto"/>
        <w:right w:val="none" w:sz="0" w:space="0" w:color="auto"/>
      </w:divBdr>
    </w:div>
    <w:div w:id="505676521">
      <w:bodyDiv w:val="1"/>
      <w:marLeft w:val="0"/>
      <w:marRight w:val="0"/>
      <w:marTop w:val="0"/>
      <w:marBottom w:val="0"/>
      <w:divBdr>
        <w:top w:val="none" w:sz="0" w:space="0" w:color="auto"/>
        <w:left w:val="none" w:sz="0" w:space="0" w:color="auto"/>
        <w:bottom w:val="none" w:sz="0" w:space="0" w:color="auto"/>
        <w:right w:val="none" w:sz="0" w:space="0" w:color="auto"/>
      </w:divBdr>
    </w:div>
    <w:div w:id="507332848">
      <w:bodyDiv w:val="1"/>
      <w:marLeft w:val="0"/>
      <w:marRight w:val="0"/>
      <w:marTop w:val="0"/>
      <w:marBottom w:val="0"/>
      <w:divBdr>
        <w:top w:val="none" w:sz="0" w:space="0" w:color="auto"/>
        <w:left w:val="none" w:sz="0" w:space="0" w:color="auto"/>
        <w:bottom w:val="none" w:sz="0" w:space="0" w:color="auto"/>
        <w:right w:val="none" w:sz="0" w:space="0" w:color="auto"/>
      </w:divBdr>
      <w:divsChild>
        <w:div w:id="181553990">
          <w:marLeft w:val="979"/>
          <w:marRight w:val="0"/>
          <w:marTop w:val="100"/>
          <w:marBottom w:val="0"/>
          <w:divBdr>
            <w:top w:val="none" w:sz="0" w:space="0" w:color="auto"/>
            <w:left w:val="none" w:sz="0" w:space="0" w:color="auto"/>
            <w:bottom w:val="none" w:sz="0" w:space="0" w:color="auto"/>
            <w:right w:val="none" w:sz="0" w:space="0" w:color="auto"/>
          </w:divBdr>
        </w:div>
        <w:div w:id="398021763">
          <w:marLeft w:val="446"/>
          <w:marRight w:val="0"/>
          <w:marTop w:val="200"/>
          <w:marBottom w:val="160"/>
          <w:divBdr>
            <w:top w:val="none" w:sz="0" w:space="0" w:color="auto"/>
            <w:left w:val="none" w:sz="0" w:space="0" w:color="auto"/>
            <w:bottom w:val="none" w:sz="0" w:space="0" w:color="auto"/>
            <w:right w:val="none" w:sz="0" w:space="0" w:color="auto"/>
          </w:divBdr>
        </w:div>
        <w:div w:id="792676482">
          <w:marLeft w:val="979"/>
          <w:marRight w:val="0"/>
          <w:marTop w:val="100"/>
          <w:marBottom w:val="0"/>
          <w:divBdr>
            <w:top w:val="none" w:sz="0" w:space="0" w:color="auto"/>
            <w:left w:val="none" w:sz="0" w:space="0" w:color="auto"/>
            <w:bottom w:val="none" w:sz="0" w:space="0" w:color="auto"/>
            <w:right w:val="none" w:sz="0" w:space="0" w:color="auto"/>
          </w:divBdr>
        </w:div>
        <w:div w:id="1747527960">
          <w:marLeft w:val="446"/>
          <w:marRight w:val="0"/>
          <w:marTop w:val="200"/>
          <w:marBottom w:val="0"/>
          <w:divBdr>
            <w:top w:val="none" w:sz="0" w:space="0" w:color="auto"/>
            <w:left w:val="none" w:sz="0" w:space="0" w:color="auto"/>
            <w:bottom w:val="none" w:sz="0" w:space="0" w:color="auto"/>
            <w:right w:val="none" w:sz="0" w:space="0" w:color="auto"/>
          </w:divBdr>
        </w:div>
        <w:div w:id="1858227439">
          <w:marLeft w:val="893"/>
          <w:marRight w:val="0"/>
          <w:marTop w:val="100"/>
          <w:marBottom w:val="0"/>
          <w:divBdr>
            <w:top w:val="none" w:sz="0" w:space="0" w:color="auto"/>
            <w:left w:val="none" w:sz="0" w:space="0" w:color="auto"/>
            <w:bottom w:val="none" w:sz="0" w:space="0" w:color="auto"/>
            <w:right w:val="none" w:sz="0" w:space="0" w:color="auto"/>
          </w:divBdr>
        </w:div>
        <w:div w:id="1949583815">
          <w:marLeft w:val="979"/>
          <w:marRight w:val="0"/>
          <w:marTop w:val="100"/>
          <w:marBottom w:val="160"/>
          <w:divBdr>
            <w:top w:val="none" w:sz="0" w:space="0" w:color="auto"/>
            <w:left w:val="none" w:sz="0" w:space="0" w:color="auto"/>
            <w:bottom w:val="none" w:sz="0" w:space="0" w:color="auto"/>
            <w:right w:val="none" w:sz="0" w:space="0" w:color="auto"/>
          </w:divBdr>
        </w:div>
      </w:divsChild>
    </w:div>
    <w:div w:id="529270171">
      <w:bodyDiv w:val="1"/>
      <w:marLeft w:val="0"/>
      <w:marRight w:val="0"/>
      <w:marTop w:val="0"/>
      <w:marBottom w:val="0"/>
      <w:divBdr>
        <w:top w:val="none" w:sz="0" w:space="0" w:color="auto"/>
        <w:left w:val="none" w:sz="0" w:space="0" w:color="auto"/>
        <w:bottom w:val="none" w:sz="0" w:space="0" w:color="auto"/>
        <w:right w:val="none" w:sz="0" w:space="0" w:color="auto"/>
      </w:divBdr>
    </w:div>
    <w:div w:id="569191634">
      <w:bodyDiv w:val="1"/>
      <w:marLeft w:val="0"/>
      <w:marRight w:val="0"/>
      <w:marTop w:val="0"/>
      <w:marBottom w:val="0"/>
      <w:divBdr>
        <w:top w:val="none" w:sz="0" w:space="0" w:color="auto"/>
        <w:left w:val="none" w:sz="0" w:space="0" w:color="auto"/>
        <w:bottom w:val="none" w:sz="0" w:space="0" w:color="auto"/>
        <w:right w:val="none" w:sz="0" w:space="0" w:color="auto"/>
      </w:divBdr>
    </w:div>
    <w:div w:id="612517155">
      <w:bodyDiv w:val="1"/>
      <w:marLeft w:val="0"/>
      <w:marRight w:val="0"/>
      <w:marTop w:val="0"/>
      <w:marBottom w:val="0"/>
      <w:divBdr>
        <w:top w:val="none" w:sz="0" w:space="0" w:color="auto"/>
        <w:left w:val="none" w:sz="0" w:space="0" w:color="auto"/>
        <w:bottom w:val="none" w:sz="0" w:space="0" w:color="auto"/>
        <w:right w:val="none" w:sz="0" w:space="0" w:color="auto"/>
      </w:divBdr>
    </w:div>
    <w:div w:id="632372335">
      <w:bodyDiv w:val="1"/>
      <w:marLeft w:val="0"/>
      <w:marRight w:val="0"/>
      <w:marTop w:val="0"/>
      <w:marBottom w:val="0"/>
      <w:divBdr>
        <w:top w:val="none" w:sz="0" w:space="0" w:color="auto"/>
        <w:left w:val="none" w:sz="0" w:space="0" w:color="auto"/>
        <w:bottom w:val="none" w:sz="0" w:space="0" w:color="auto"/>
        <w:right w:val="none" w:sz="0" w:space="0" w:color="auto"/>
      </w:divBdr>
      <w:divsChild>
        <w:div w:id="329069117">
          <w:marLeft w:val="1166"/>
          <w:marRight w:val="0"/>
          <w:marTop w:val="0"/>
          <w:marBottom w:val="0"/>
          <w:divBdr>
            <w:top w:val="none" w:sz="0" w:space="0" w:color="auto"/>
            <w:left w:val="none" w:sz="0" w:space="0" w:color="auto"/>
            <w:bottom w:val="none" w:sz="0" w:space="0" w:color="auto"/>
            <w:right w:val="none" w:sz="0" w:space="0" w:color="auto"/>
          </w:divBdr>
        </w:div>
        <w:div w:id="910846250">
          <w:marLeft w:val="547"/>
          <w:marRight w:val="0"/>
          <w:marTop w:val="0"/>
          <w:marBottom w:val="160"/>
          <w:divBdr>
            <w:top w:val="none" w:sz="0" w:space="0" w:color="auto"/>
            <w:left w:val="none" w:sz="0" w:space="0" w:color="auto"/>
            <w:bottom w:val="none" w:sz="0" w:space="0" w:color="auto"/>
            <w:right w:val="none" w:sz="0" w:space="0" w:color="auto"/>
          </w:divBdr>
        </w:div>
        <w:div w:id="1154835133">
          <w:marLeft w:val="547"/>
          <w:marRight w:val="0"/>
          <w:marTop w:val="0"/>
          <w:marBottom w:val="0"/>
          <w:divBdr>
            <w:top w:val="none" w:sz="0" w:space="0" w:color="auto"/>
            <w:left w:val="none" w:sz="0" w:space="0" w:color="auto"/>
            <w:bottom w:val="none" w:sz="0" w:space="0" w:color="auto"/>
            <w:right w:val="none" w:sz="0" w:space="0" w:color="auto"/>
          </w:divBdr>
        </w:div>
        <w:div w:id="1233270283">
          <w:marLeft w:val="1166"/>
          <w:marRight w:val="0"/>
          <w:marTop w:val="0"/>
          <w:marBottom w:val="0"/>
          <w:divBdr>
            <w:top w:val="none" w:sz="0" w:space="0" w:color="auto"/>
            <w:left w:val="none" w:sz="0" w:space="0" w:color="auto"/>
            <w:bottom w:val="none" w:sz="0" w:space="0" w:color="auto"/>
            <w:right w:val="none" w:sz="0" w:space="0" w:color="auto"/>
          </w:divBdr>
        </w:div>
      </w:divsChild>
    </w:div>
    <w:div w:id="638851567">
      <w:bodyDiv w:val="1"/>
      <w:marLeft w:val="0"/>
      <w:marRight w:val="0"/>
      <w:marTop w:val="0"/>
      <w:marBottom w:val="0"/>
      <w:divBdr>
        <w:top w:val="none" w:sz="0" w:space="0" w:color="auto"/>
        <w:left w:val="none" w:sz="0" w:space="0" w:color="auto"/>
        <w:bottom w:val="none" w:sz="0" w:space="0" w:color="auto"/>
        <w:right w:val="none" w:sz="0" w:space="0" w:color="auto"/>
      </w:divBdr>
      <w:divsChild>
        <w:div w:id="3242103">
          <w:marLeft w:val="0"/>
          <w:marRight w:val="0"/>
          <w:marTop w:val="0"/>
          <w:marBottom w:val="0"/>
          <w:divBdr>
            <w:top w:val="none" w:sz="0" w:space="0" w:color="auto"/>
            <w:left w:val="none" w:sz="0" w:space="0" w:color="auto"/>
            <w:bottom w:val="none" w:sz="0" w:space="0" w:color="auto"/>
            <w:right w:val="none" w:sz="0" w:space="0" w:color="auto"/>
          </w:divBdr>
        </w:div>
        <w:div w:id="19820514">
          <w:marLeft w:val="0"/>
          <w:marRight w:val="0"/>
          <w:marTop w:val="0"/>
          <w:marBottom w:val="0"/>
          <w:divBdr>
            <w:top w:val="none" w:sz="0" w:space="0" w:color="auto"/>
            <w:left w:val="none" w:sz="0" w:space="0" w:color="auto"/>
            <w:bottom w:val="none" w:sz="0" w:space="0" w:color="auto"/>
            <w:right w:val="none" w:sz="0" w:space="0" w:color="auto"/>
          </w:divBdr>
        </w:div>
        <w:div w:id="53940606">
          <w:marLeft w:val="0"/>
          <w:marRight w:val="0"/>
          <w:marTop w:val="0"/>
          <w:marBottom w:val="0"/>
          <w:divBdr>
            <w:top w:val="none" w:sz="0" w:space="0" w:color="auto"/>
            <w:left w:val="none" w:sz="0" w:space="0" w:color="auto"/>
            <w:bottom w:val="none" w:sz="0" w:space="0" w:color="auto"/>
            <w:right w:val="none" w:sz="0" w:space="0" w:color="auto"/>
          </w:divBdr>
        </w:div>
        <w:div w:id="55323118">
          <w:marLeft w:val="0"/>
          <w:marRight w:val="0"/>
          <w:marTop w:val="0"/>
          <w:marBottom w:val="0"/>
          <w:divBdr>
            <w:top w:val="none" w:sz="0" w:space="0" w:color="auto"/>
            <w:left w:val="none" w:sz="0" w:space="0" w:color="auto"/>
            <w:bottom w:val="none" w:sz="0" w:space="0" w:color="auto"/>
            <w:right w:val="none" w:sz="0" w:space="0" w:color="auto"/>
          </w:divBdr>
        </w:div>
        <w:div w:id="58332496">
          <w:marLeft w:val="0"/>
          <w:marRight w:val="0"/>
          <w:marTop w:val="0"/>
          <w:marBottom w:val="0"/>
          <w:divBdr>
            <w:top w:val="none" w:sz="0" w:space="0" w:color="auto"/>
            <w:left w:val="none" w:sz="0" w:space="0" w:color="auto"/>
            <w:bottom w:val="none" w:sz="0" w:space="0" w:color="auto"/>
            <w:right w:val="none" w:sz="0" w:space="0" w:color="auto"/>
          </w:divBdr>
        </w:div>
        <w:div w:id="76634129">
          <w:marLeft w:val="-75"/>
          <w:marRight w:val="0"/>
          <w:marTop w:val="30"/>
          <w:marBottom w:val="30"/>
          <w:divBdr>
            <w:top w:val="none" w:sz="0" w:space="0" w:color="auto"/>
            <w:left w:val="none" w:sz="0" w:space="0" w:color="auto"/>
            <w:bottom w:val="none" w:sz="0" w:space="0" w:color="auto"/>
            <w:right w:val="none" w:sz="0" w:space="0" w:color="auto"/>
          </w:divBdr>
          <w:divsChild>
            <w:div w:id="89274461">
              <w:marLeft w:val="0"/>
              <w:marRight w:val="0"/>
              <w:marTop w:val="0"/>
              <w:marBottom w:val="0"/>
              <w:divBdr>
                <w:top w:val="none" w:sz="0" w:space="0" w:color="auto"/>
                <w:left w:val="none" w:sz="0" w:space="0" w:color="auto"/>
                <w:bottom w:val="none" w:sz="0" w:space="0" w:color="auto"/>
                <w:right w:val="none" w:sz="0" w:space="0" w:color="auto"/>
              </w:divBdr>
              <w:divsChild>
                <w:div w:id="1690788964">
                  <w:marLeft w:val="0"/>
                  <w:marRight w:val="0"/>
                  <w:marTop w:val="0"/>
                  <w:marBottom w:val="0"/>
                  <w:divBdr>
                    <w:top w:val="none" w:sz="0" w:space="0" w:color="auto"/>
                    <w:left w:val="none" w:sz="0" w:space="0" w:color="auto"/>
                    <w:bottom w:val="none" w:sz="0" w:space="0" w:color="auto"/>
                    <w:right w:val="none" w:sz="0" w:space="0" w:color="auto"/>
                  </w:divBdr>
                </w:div>
              </w:divsChild>
            </w:div>
            <w:div w:id="271059897">
              <w:marLeft w:val="0"/>
              <w:marRight w:val="0"/>
              <w:marTop w:val="0"/>
              <w:marBottom w:val="0"/>
              <w:divBdr>
                <w:top w:val="none" w:sz="0" w:space="0" w:color="auto"/>
                <w:left w:val="none" w:sz="0" w:space="0" w:color="auto"/>
                <w:bottom w:val="none" w:sz="0" w:space="0" w:color="auto"/>
                <w:right w:val="none" w:sz="0" w:space="0" w:color="auto"/>
              </w:divBdr>
              <w:divsChild>
                <w:div w:id="1538159964">
                  <w:marLeft w:val="0"/>
                  <w:marRight w:val="0"/>
                  <w:marTop w:val="0"/>
                  <w:marBottom w:val="0"/>
                  <w:divBdr>
                    <w:top w:val="none" w:sz="0" w:space="0" w:color="auto"/>
                    <w:left w:val="none" w:sz="0" w:space="0" w:color="auto"/>
                    <w:bottom w:val="none" w:sz="0" w:space="0" w:color="auto"/>
                    <w:right w:val="none" w:sz="0" w:space="0" w:color="auto"/>
                  </w:divBdr>
                </w:div>
                <w:div w:id="1902791442">
                  <w:marLeft w:val="0"/>
                  <w:marRight w:val="0"/>
                  <w:marTop w:val="0"/>
                  <w:marBottom w:val="0"/>
                  <w:divBdr>
                    <w:top w:val="none" w:sz="0" w:space="0" w:color="auto"/>
                    <w:left w:val="none" w:sz="0" w:space="0" w:color="auto"/>
                    <w:bottom w:val="none" w:sz="0" w:space="0" w:color="auto"/>
                    <w:right w:val="none" w:sz="0" w:space="0" w:color="auto"/>
                  </w:divBdr>
                </w:div>
              </w:divsChild>
            </w:div>
            <w:div w:id="303242167">
              <w:marLeft w:val="0"/>
              <w:marRight w:val="0"/>
              <w:marTop w:val="0"/>
              <w:marBottom w:val="0"/>
              <w:divBdr>
                <w:top w:val="none" w:sz="0" w:space="0" w:color="auto"/>
                <w:left w:val="none" w:sz="0" w:space="0" w:color="auto"/>
                <w:bottom w:val="none" w:sz="0" w:space="0" w:color="auto"/>
                <w:right w:val="none" w:sz="0" w:space="0" w:color="auto"/>
              </w:divBdr>
              <w:divsChild>
                <w:div w:id="63381223">
                  <w:marLeft w:val="0"/>
                  <w:marRight w:val="0"/>
                  <w:marTop w:val="0"/>
                  <w:marBottom w:val="0"/>
                  <w:divBdr>
                    <w:top w:val="none" w:sz="0" w:space="0" w:color="auto"/>
                    <w:left w:val="none" w:sz="0" w:space="0" w:color="auto"/>
                    <w:bottom w:val="none" w:sz="0" w:space="0" w:color="auto"/>
                    <w:right w:val="none" w:sz="0" w:space="0" w:color="auto"/>
                  </w:divBdr>
                </w:div>
              </w:divsChild>
            </w:div>
            <w:div w:id="480122121">
              <w:marLeft w:val="0"/>
              <w:marRight w:val="0"/>
              <w:marTop w:val="0"/>
              <w:marBottom w:val="0"/>
              <w:divBdr>
                <w:top w:val="none" w:sz="0" w:space="0" w:color="auto"/>
                <w:left w:val="none" w:sz="0" w:space="0" w:color="auto"/>
                <w:bottom w:val="none" w:sz="0" w:space="0" w:color="auto"/>
                <w:right w:val="none" w:sz="0" w:space="0" w:color="auto"/>
              </w:divBdr>
              <w:divsChild>
                <w:div w:id="783578268">
                  <w:marLeft w:val="0"/>
                  <w:marRight w:val="0"/>
                  <w:marTop w:val="0"/>
                  <w:marBottom w:val="0"/>
                  <w:divBdr>
                    <w:top w:val="none" w:sz="0" w:space="0" w:color="auto"/>
                    <w:left w:val="none" w:sz="0" w:space="0" w:color="auto"/>
                    <w:bottom w:val="none" w:sz="0" w:space="0" w:color="auto"/>
                    <w:right w:val="none" w:sz="0" w:space="0" w:color="auto"/>
                  </w:divBdr>
                </w:div>
                <w:div w:id="1121220753">
                  <w:marLeft w:val="0"/>
                  <w:marRight w:val="0"/>
                  <w:marTop w:val="0"/>
                  <w:marBottom w:val="0"/>
                  <w:divBdr>
                    <w:top w:val="none" w:sz="0" w:space="0" w:color="auto"/>
                    <w:left w:val="none" w:sz="0" w:space="0" w:color="auto"/>
                    <w:bottom w:val="none" w:sz="0" w:space="0" w:color="auto"/>
                    <w:right w:val="none" w:sz="0" w:space="0" w:color="auto"/>
                  </w:divBdr>
                </w:div>
                <w:div w:id="1152067110">
                  <w:marLeft w:val="0"/>
                  <w:marRight w:val="0"/>
                  <w:marTop w:val="0"/>
                  <w:marBottom w:val="0"/>
                  <w:divBdr>
                    <w:top w:val="none" w:sz="0" w:space="0" w:color="auto"/>
                    <w:left w:val="none" w:sz="0" w:space="0" w:color="auto"/>
                    <w:bottom w:val="none" w:sz="0" w:space="0" w:color="auto"/>
                    <w:right w:val="none" w:sz="0" w:space="0" w:color="auto"/>
                  </w:divBdr>
                </w:div>
                <w:div w:id="1859614317">
                  <w:marLeft w:val="0"/>
                  <w:marRight w:val="0"/>
                  <w:marTop w:val="0"/>
                  <w:marBottom w:val="0"/>
                  <w:divBdr>
                    <w:top w:val="none" w:sz="0" w:space="0" w:color="auto"/>
                    <w:left w:val="none" w:sz="0" w:space="0" w:color="auto"/>
                    <w:bottom w:val="none" w:sz="0" w:space="0" w:color="auto"/>
                    <w:right w:val="none" w:sz="0" w:space="0" w:color="auto"/>
                  </w:divBdr>
                </w:div>
                <w:div w:id="1863544110">
                  <w:marLeft w:val="0"/>
                  <w:marRight w:val="0"/>
                  <w:marTop w:val="0"/>
                  <w:marBottom w:val="0"/>
                  <w:divBdr>
                    <w:top w:val="none" w:sz="0" w:space="0" w:color="auto"/>
                    <w:left w:val="none" w:sz="0" w:space="0" w:color="auto"/>
                    <w:bottom w:val="none" w:sz="0" w:space="0" w:color="auto"/>
                    <w:right w:val="none" w:sz="0" w:space="0" w:color="auto"/>
                  </w:divBdr>
                </w:div>
              </w:divsChild>
            </w:div>
            <w:div w:id="499468536">
              <w:marLeft w:val="0"/>
              <w:marRight w:val="0"/>
              <w:marTop w:val="0"/>
              <w:marBottom w:val="0"/>
              <w:divBdr>
                <w:top w:val="none" w:sz="0" w:space="0" w:color="auto"/>
                <w:left w:val="none" w:sz="0" w:space="0" w:color="auto"/>
                <w:bottom w:val="none" w:sz="0" w:space="0" w:color="auto"/>
                <w:right w:val="none" w:sz="0" w:space="0" w:color="auto"/>
              </w:divBdr>
              <w:divsChild>
                <w:div w:id="188107822">
                  <w:marLeft w:val="0"/>
                  <w:marRight w:val="0"/>
                  <w:marTop w:val="0"/>
                  <w:marBottom w:val="0"/>
                  <w:divBdr>
                    <w:top w:val="none" w:sz="0" w:space="0" w:color="auto"/>
                    <w:left w:val="none" w:sz="0" w:space="0" w:color="auto"/>
                    <w:bottom w:val="none" w:sz="0" w:space="0" w:color="auto"/>
                    <w:right w:val="none" w:sz="0" w:space="0" w:color="auto"/>
                  </w:divBdr>
                </w:div>
              </w:divsChild>
            </w:div>
            <w:div w:id="525871540">
              <w:marLeft w:val="0"/>
              <w:marRight w:val="0"/>
              <w:marTop w:val="0"/>
              <w:marBottom w:val="0"/>
              <w:divBdr>
                <w:top w:val="none" w:sz="0" w:space="0" w:color="auto"/>
                <w:left w:val="none" w:sz="0" w:space="0" w:color="auto"/>
                <w:bottom w:val="none" w:sz="0" w:space="0" w:color="auto"/>
                <w:right w:val="none" w:sz="0" w:space="0" w:color="auto"/>
              </w:divBdr>
              <w:divsChild>
                <w:div w:id="415437763">
                  <w:marLeft w:val="0"/>
                  <w:marRight w:val="0"/>
                  <w:marTop w:val="0"/>
                  <w:marBottom w:val="0"/>
                  <w:divBdr>
                    <w:top w:val="none" w:sz="0" w:space="0" w:color="auto"/>
                    <w:left w:val="none" w:sz="0" w:space="0" w:color="auto"/>
                    <w:bottom w:val="none" w:sz="0" w:space="0" w:color="auto"/>
                    <w:right w:val="none" w:sz="0" w:space="0" w:color="auto"/>
                  </w:divBdr>
                </w:div>
              </w:divsChild>
            </w:div>
            <w:div w:id="751633000">
              <w:marLeft w:val="0"/>
              <w:marRight w:val="0"/>
              <w:marTop w:val="0"/>
              <w:marBottom w:val="0"/>
              <w:divBdr>
                <w:top w:val="none" w:sz="0" w:space="0" w:color="auto"/>
                <w:left w:val="none" w:sz="0" w:space="0" w:color="auto"/>
                <w:bottom w:val="none" w:sz="0" w:space="0" w:color="auto"/>
                <w:right w:val="none" w:sz="0" w:space="0" w:color="auto"/>
              </w:divBdr>
              <w:divsChild>
                <w:div w:id="22750925">
                  <w:marLeft w:val="0"/>
                  <w:marRight w:val="0"/>
                  <w:marTop w:val="0"/>
                  <w:marBottom w:val="0"/>
                  <w:divBdr>
                    <w:top w:val="none" w:sz="0" w:space="0" w:color="auto"/>
                    <w:left w:val="none" w:sz="0" w:space="0" w:color="auto"/>
                    <w:bottom w:val="none" w:sz="0" w:space="0" w:color="auto"/>
                    <w:right w:val="none" w:sz="0" w:space="0" w:color="auto"/>
                  </w:divBdr>
                </w:div>
              </w:divsChild>
            </w:div>
            <w:div w:id="1651979057">
              <w:marLeft w:val="0"/>
              <w:marRight w:val="0"/>
              <w:marTop w:val="0"/>
              <w:marBottom w:val="0"/>
              <w:divBdr>
                <w:top w:val="none" w:sz="0" w:space="0" w:color="auto"/>
                <w:left w:val="none" w:sz="0" w:space="0" w:color="auto"/>
                <w:bottom w:val="none" w:sz="0" w:space="0" w:color="auto"/>
                <w:right w:val="none" w:sz="0" w:space="0" w:color="auto"/>
              </w:divBdr>
              <w:divsChild>
                <w:div w:id="1392382986">
                  <w:marLeft w:val="0"/>
                  <w:marRight w:val="0"/>
                  <w:marTop w:val="0"/>
                  <w:marBottom w:val="0"/>
                  <w:divBdr>
                    <w:top w:val="none" w:sz="0" w:space="0" w:color="auto"/>
                    <w:left w:val="none" w:sz="0" w:space="0" w:color="auto"/>
                    <w:bottom w:val="none" w:sz="0" w:space="0" w:color="auto"/>
                    <w:right w:val="none" w:sz="0" w:space="0" w:color="auto"/>
                  </w:divBdr>
                </w:div>
              </w:divsChild>
            </w:div>
            <w:div w:id="1880119259">
              <w:marLeft w:val="0"/>
              <w:marRight w:val="0"/>
              <w:marTop w:val="0"/>
              <w:marBottom w:val="0"/>
              <w:divBdr>
                <w:top w:val="none" w:sz="0" w:space="0" w:color="auto"/>
                <w:left w:val="none" w:sz="0" w:space="0" w:color="auto"/>
                <w:bottom w:val="none" w:sz="0" w:space="0" w:color="auto"/>
                <w:right w:val="none" w:sz="0" w:space="0" w:color="auto"/>
              </w:divBdr>
              <w:divsChild>
                <w:div w:id="1579947182">
                  <w:marLeft w:val="0"/>
                  <w:marRight w:val="0"/>
                  <w:marTop w:val="0"/>
                  <w:marBottom w:val="0"/>
                  <w:divBdr>
                    <w:top w:val="none" w:sz="0" w:space="0" w:color="auto"/>
                    <w:left w:val="none" w:sz="0" w:space="0" w:color="auto"/>
                    <w:bottom w:val="none" w:sz="0" w:space="0" w:color="auto"/>
                    <w:right w:val="none" w:sz="0" w:space="0" w:color="auto"/>
                  </w:divBdr>
                </w:div>
              </w:divsChild>
            </w:div>
            <w:div w:id="1969168393">
              <w:marLeft w:val="0"/>
              <w:marRight w:val="0"/>
              <w:marTop w:val="0"/>
              <w:marBottom w:val="0"/>
              <w:divBdr>
                <w:top w:val="none" w:sz="0" w:space="0" w:color="auto"/>
                <w:left w:val="none" w:sz="0" w:space="0" w:color="auto"/>
                <w:bottom w:val="none" w:sz="0" w:space="0" w:color="auto"/>
                <w:right w:val="none" w:sz="0" w:space="0" w:color="auto"/>
              </w:divBdr>
              <w:divsChild>
                <w:div w:id="1541280425">
                  <w:marLeft w:val="0"/>
                  <w:marRight w:val="0"/>
                  <w:marTop w:val="0"/>
                  <w:marBottom w:val="0"/>
                  <w:divBdr>
                    <w:top w:val="none" w:sz="0" w:space="0" w:color="auto"/>
                    <w:left w:val="none" w:sz="0" w:space="0" w:color="auto"/>
                    <w:bottom w:val="none" w:sz="0" w:space="0" w:color="auto"/>
                    <w:right w:val="none" w:sz="0" w:space="0" w:color="auto"/>
                  </w:divBdr>
                </w:div>
              </w:divsChild>
            </w:div>
            <w:div w:id="2038962740">
              <w:marLeft w:val="0"/>
              <w:marRight w:val="0"/>
              <w:marTop w:val="0"/>
              <w:marBottom w:val="0"/>
              <w:divBdr>
                <w:top w:val="none" w:sz="0" w:space="0" w:color="auto"/>
                <w:left w:val="none" w:sz="0" w:space="0" w:color="auto"/>
                <w:bottom w:val="none" w:sz="0" w:space="0" w:color="auto"/>
                <w:right w:val="none" w:sz="0" w:space="0" w:color="auto"/>
              </w:divBdr>
              <w:divsChild>
                <w:div w:id="1910379661">
                  <w:marLeft w:val="0"/>
                  <w:marRight w:val="0"/>
                  <w:marTop w:val="0"/>
                  <w:marBottom w:val="0"/>
                  <w:divBdr>
                    <w:top w:val="none" w:sz="0" w:space="0" w:color="auto"/>
                    <w:left w:val="none" w:sz="0" w:space="0" w:color="auto"/>
                    <w:bottom w:val="none" w:sz="0" w:space="0" w:color="auto"/>
                    <w:right w:val="none" w:sz="0" w:space="0" w:color="auto"/>
                  </w:divBdr>
                </w:div>
              </w:divsChild>
            </w:div>
            <w:div w:id="2059356948">
              <w:marLeft w:val="0"/>
              <w:marRight w:val="0"/>
              <w:marTop w:val="0"/>
              <w:marBottom w:val="0"/>
              <w:divBdr>
                <w:top w:val="none" w:sz="0" w:space="0" w:color="auto"/>
                <w:left w:val="none" w:sz="0" w:space="0" w:color="auto"/>
                <w:bottom w:val="none" w:sz="0" w:space="0" w:color="auto"/>
                <w:right w:val="none" w:sz="0" w:space="0" w:color="auto"/>
              </w:divBdr>
              <w:divsChild>
                <w:div w:id="16835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0090">
          <w:marLeft w:val="0"/>
          <w:marRight w:val="0"/>
          <w:marTop w:val="0"/>
          <w:marBottom w:val="0"/>
          <w:divBdr>
            <w:top w:val="none" w:sz="0" w:space="0" w:color="auto"/>
            <w:left w:val="none" w:sz="0" w:space="0" w:color="auto"/>
            <w:bottom w:val="none" w:sz="0" w:space="0" w:color="auto"/>
            <w:right w:val="none" w:sz="0" w:space="0" w:color="auto"/>
          </w:divBdr>
        </w:div>
        <w:div w:id="106891783">
          <w:marLeft w:val="0"/>
          <w:marRight w:val="0"/>
          <w:marTop w:val="0"/>
          <w:marBottom w:val="0"/>
          <w:divBdr>
            <w:top w:val="none" w:sz="0" w:space="0" w:color="auto"/>
            <w:left w:val="none" w:sz="0" w:space="0" w:color="auto"/>
            <w:bottom w:val="none" w:sz="0" w:space="0" w:color="auto"/>
            <w:right w:val="none" w:sz="0" w:space="0" w:color="auto"/>
          </w:divBdr>
        </w:div>
        <w:div w:id="107823418">
          <w:marLeft w:val="0"/>
          <w:marRight w:val="0"/>
          <w:marTop w:val="0"/>
          <w:marBottom w:val="0"/>
          <w:divBdr>
            <w:top w:val="none" w:sz="0" w:space="0" w:color="auto"/>
            <w:left w:val="none" w:sz="0" w:space="0" w:color="auto"/>
            <w:bottom w:val="none" w:sz="0" w:space="0" w:color="auto"/>
            <w:right w:val="none" w:sz="0" w:space="0" w:color="auto"/>
          </w:divBdr>
        </w:div>
        <w:div w:id="126238524">
          <w:marLeft w:val="0"/>
          <w:marRight w:val="0"/>
          <w:marTop w:val="0"/>
          <w:marBottom w:val="0"/>
          <w:divBdr>
            <w:top w:val="none" w:sz="0" w:space="0" w:color="auto"/>
            <w:left w:val="none" w:sz="0" w:space="0" w:color="auto"/>
            <w:bottom w:val="none" w:sz="0" w:space="0" w:color="auto"/>
            <w:right w:val="none" w:sz="0" w:space="0" w:color="auto"/>
          </w:divBdr>
        </w:div>
        <w:div w:id="133109454">
          <w:marLeft w:val="0"/>
          <w:marRight w:val="0"/>
          <w:marTop w:val="0"/>
          <w:marBottom w:val="0"/>
          <w:divBdr>
            <w:top w:val="none" w:sz="0" w:space="0" w:color="auto"/>
            <w:left w:val="none" w:sz="0" w:space="0" w:color="auto"/>
            <w:bottom w:val="none" w:sz="0" w:space="0" w:color="auto"/>
            <w:right w:val="none" w:sz="0" w:space="0" w:color="auto"/>
          </w:divBdr>
        </w:div>
        <w:div w:id="146826765">
          <w:marLeft w:val="0"/>
          <w:marRight w:val="0"/>
          <w:marTop w:val="0"/>
          <w:marBottom w:val="0"/>
          <w:divBdr>
            <w:top w:val="none" w:sz="0" w:space="0" w:color="auto"/>
            <w:left w:val="none" w:sz="0" w:space="0" w:color="auto"/>
            <w:bottom w:val="none" w:sz="0" w:space="0" w:color="auto"/>
            <w:right w:val="none" w:sz="0" w:space="0" w:color="auto"/>
          </w:divBdr>
        </w:div>
        <w:div w:id="152992259">
          <w:marLeft w:val="-75"/>
          <w:marRight w:val="0"/>
          <w:marTop w:val="30"/>
          <w:marBottom w:val="30"/>
          <w:divBdr>
            <w:top w:val="none" w:sz="0" w:space="0" w:color="auto"/>
            <w:left w:val="none" w:sz="0" w:space="0" w:color="auto"/>
            <w:bottom w:val="none" w:sz="0" w:space="0" w:color="auto"/>
            <w:right w:val="none" w:sz="0" w:space="0" w:color="auto"/>
          </w:divBdr>
          <w:divsChild>
            <w:div w:id="281232038">
              <w:marLeft w:val="0"/>
              <w:marRight w:val="0"/>
              <w:marTop w:val="0"/>
              <w:marBottom w:val="0"/>
              <w:divBdr>
                <w:top w:val="none" w:sz="0" w:space="0" w:color="auto"/>
                <w:left w:val="none" w:sz="0" w:space="0" w:color="auto"/>
                <w:bottom w:val="none" w:sz="0" w:space="0" w:color="auto"/>
                <w:right w:val="none" w:sz="0" w:space="0" w:color="auto"/>
              </w:divBdr>
              <w:divsChild>
                <w:div w:id="169488304">
                  <w:marLeft w:val="0"/>
                  <w:marRight w:val="0"/>
                  <w:marTop w:val="0"/>
                  <w:marBottom w:val="0"/>
                  <w:divBdr>
                    <w:top w:val="none" w:sz="0" w:space="0" w:color="auto"/>
                    <w:left w:val="none" w:sz="0" w:space="0" w:color="auto"/>
                    <w:bottom w:val="none" w:sz="0" w:space="0" w:color="auto"/>
                    <w:right w:val="none" w:sz="0" w:space="0" w:color="auto"/>
                  </w:divBdr>
                </w:div>
              </w:divsChild>
            </w:div>
            <w:div w:id="304773355">
              <w:marLeft w:val="0"/>
              <w:marRight w:val="0"/>
              <w:marTop w:val="0"/>
              <w:marBottom w:val="0"/>
              <w:divBdr>
                <w:top w:val="none" w:sz="0" w:space="0" w:color="auto"/>
                <w:left w:val="none" w:sz="0" w:space="0" w:color="auto"/>
                <w:bottom w:val="none" w:sz="0" w:space="0" w:color="auto"/>
                <w:right w:val="none" w:sz="0" w:space="0" w:color="auto"/>
              </w:divBdr>
              <w:divsChild>
                <w:div w:id="1041587354">
                  <w:marLeft w:val="0"/>
                  <w:marRight w:val="0"/>
                  <w:marTop w:val="0"/>
                  <w:marBottom w:val="0"/>
                  <w:divBdr>
                    <w:top w:val="none" w:sz="0" w:space="0" w:color="auto"/>
                    <w:left w:val="none" w:sz="0" w:space="0" w:color="auto"/>
                    <w:bottom w:val="none" w:sz="0" w:space="0" w:color="auto"/>
                    <w:right w:val="none" w:sz="0" w:space="0" w:color="auto"/>
                  </w:divBdr>
                </w:div>
              </w:divsChild>
            </w:div>
            <w:div w:id="500703072">
              <w:marLeft w:val="0"/>
              <w:marRight w:val="0"/>
              <w:marTop w:val="0"/>
              <w:marBottom w:val="0"/>
              <w:divBdr>
                <w:top w:val="none" w:sz="0" w:space="0" w:color="auto"/>
                <w:left w:val="none" w:sz="0" w:space="0" w:color="auto"/>
                <w:bottom w:val="none" w:sz="0" w:space="0" w:color="auto"/>
                <w:right w:val="none" w:sz="0" w:space="0" w:color="auto"/>
              </w:divBdr>
              <w:divsChild>
                <w:div w:id="2042585125">
                  <w:marLeft w:val="0"/>
                  <w:marRight w:val="0"/>
                  <w:marTop w:val="0"/>
                  <w:marBottom w:val="0"/>
                  <w:divBdr>
                    <w:top w:val="none" w:sz="0" w:space="0" w:color="auto"/>
                    <w:left w:val="none" w:sz="0" w:space="0" w:color="auto"/>
                    <w:bottom w:val="none" w:sz="0" w:space="0" w:color="auto"/>
                    <w:right w:val="none" w:sz="0" w:space="0" w:color="auto"/>
                  </w:divBdr>
                </w:div>
              </w:divsChild>
            </w:div>
            <w:div w:id="907425739">
              <w:marLeft w:val="0"/>
              <w:marRight w:val="0"/>
              <w:marTop w:val="0"/>
              <w:marBottom w:val="0"/>
              <w:divBdr>
                <w:top w:val="none" w:sz="0" w:space="0" w:color="auto"/>
                <w:left w:val="none" w:sz="0" w:space="0" w:color="auto"/>
                <w:bottom w:val="none" w:sz="0" w:space="0" w:color="auto"/>
                <w:right w:val="none" w:sz="0" w:space="0" w:color="auto"/>
              </w:divBdr>
              <w:divsChild>
                <w:div w:id="367030204">
                  <w:marLeft w:val="0"/>
                  <w:marRight w:val="0"/>
                  <w:marTop w:val="0"/>
                  <w:marBottom w:val="0"/>
                  <w:divBdr>
                    <w:top w:val="none" w:sz="0" w:space="0" w:color="auto"/>
                    <w:left w:val="none" w:sz="0" w:space="0" w:color="auto"/>
                    <w:bottom w:val="none" w:sz="0" w:space="0" w:color="auto"/>
                    <w:right w:val="none" w:sz="0" w:space="0" w:color="auto"/>
                  </w:divBdr>
                </w:div>
              </w:divsChild>
            </w:div>
            <w:div w:id="944968757">
              <w:marLeft w:val="0"/>
              <w:marRight w:val="0"/>
              <w:marTop w:val="0"/>
              <w:marBottom w:val="0"/>
              <w:divBdr>
                <w:top w:val="none" w:sz="0" w:space="0" w:color="auto"/>
                <w:left w:val="none" w:sz="0" w:space="0" w:color="auto"/>
                <w:bottom w:val="none" w:sz="0" w:space="0" w:color="auto"/>
                <w:right w:val="none" w:sz="0" w:space="0" w:color="auto"/>
              </w:divBdr>
              <w:divsChild>
                <w:div w:id="1879735246">
                  <w:marLeft w:val="0"/>
                  <w:marRight w:val="0"/>
                  <w:marTop w:val="0"/>
                  <w:marBottom w:val="0"/>
                  <w:divBdr>
                    <w:top w:val="none" w:sz="0" w:space="0" w:color="auto"/>
                    <w:left w:val="none" w:sz="0" w:space="0" w:color="auto"/>
                    <w:bottom w:val="none" w:sz="0" w:space="0" w:color="auto"/>
                    <w:right w:val="none" w:sz="0" w:space="0" w:color="auto"/>
                  </w:divBdr>
                </w:div>
              </w:divsChild>
            </w:div>
            <w:div w:id="1575819793">
              <w:marLeft w:val="0"/>
              <w:marRight w:val="0"/>
              <w:marTop w:val="0"/>
              <w:marBottom w:val="0"/>
              <w:divBdr>
                <w:top w:val="none" w:sz="0" w:space="0" w:color="auto"/>
                <w:left w:val="none" w:sz="0" w:space="0" w:color="auto"/>
                <w:bottom w:val="none" w:sz="0" w:space="0" w:color="auto"/>
                <w:right w:val="none" w:sz="0" w:space="0" w:color="auto"/>
              </w:divBdr>
              <w:divsChild>
                <w:div w:id="969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206">
          <w:marLeft w:val="0"/>
          <w:marRight w:val="0"/>
          <w:marTop w:val="0"/>
          <w:marBottom w:val="0"/>
          <w:divBdr>
            <w:top w:val="none" w:sz="0" w:space="0" w:color="auto"/>
            <w:left w:val="none" w:sz="0" w:space="0" w:color="auto"/>
            <w:bottom w:val="none" w:sz="0" w:space="0" w:color="auto"/>
            <w:right w:val="none" w:sz="0" w:space="0" w:color="auto"/>
          </w:divBdr>
        </w:div>
        <w:div w:id="168302299">
          <w:marLeft w:val="0"/>
          <w:marRight w:val="0"/>
          <w:marTop w:val="0"/>
          <w:marBottom w:val="0"/>
          <w:divBdr>
            <w:top w:val="none" w:sz="0" w:space="0" w:color="auto"/>
            <w:left w:val="none" w:sz="0" w:space="0" w:color="auto"/>
            <w:bottom w:val="none" w:sz="0" w:space="0" w:color="auto"/>
            <w:right w:val="none" w:sz="0" w:space="0" w:color="auto"/>
          </w:divBdr>
        </w:div>
        <w:div w:id="173082538">
          <w:marLeft w:val="0"/>
          <w:marRight w:val="0"/>
          <w:marTop w:val="0"/>
          <w:marBottom w:val="0"/>
          <w:divBdr>
            <w:top w:val="none" w:sz="0" w:space="0" w:color="auto"/>
            <w:left w:val="none" w:sz="0" w:space="0" w:color="auto"/>
            <w:bottom w:val="none" w:sz="0" w:space="0" w:color="auto"/>
            <w:right w:val="none" w:sz="0" w:space="0" w:color="auto"/>
          </w:divBdr>
        </w:div>
        <w:div w:id="177627325">
          <w:marLeft w:val="0"/>
          <w:marRight w:val="0"/>
          <w:marTop w:val="0"/>
          <w:marBottom w:val="0"/>
          <w:divBdr>
            <w:top w:val="none" w:sz="0" w:space="0" w:color="auto"/>
            <w:left w:val="none" w:sz="0" w:space="0" w:color="auto"/>
            <w:bottom w:val="none" w:sz="0" w:space="0" w:color="auto"/>
            <w:right w:val="none" w:sz="0" w:space="0" w:color="auto"/>
          </w:divBdr>
        </w:div>
        <w:div w:id="184490769">
          <w:marLeft w:val="0"/>
          <w:marRight w:val="0"/>
          <w:marTop w:val="0"/>
          <w:marBottom w:val="0"/>
          <w:divBdr>
            <w:top w:val="none" w:sz="0" w:space="0" w:color="auto"/>
            <w:left w:val="none" w:sz="0" w:space="0" w:color="auto"/>
            <w:bottom w:val="none" w:sz="0" w:space="0" w:color="auto"/>
            <w:right w:val="none" w:sz="0" w:space="0" w:color="auto"/>
          </w:divBdr>
        </w:div>
        <w:div w:id="241764549">
          <w:marLeft w:val="0"/>
          <w:marRight w:val="0"/>
          <w:marTop w:val="0"/>
          <w:marBottom w:val="0"/>
          <w:divBdr>
            <w:top w:val="none" w:sz="0" w:space="0" w:color="auto"/>
            <w:left w:val="none" w:sz="0" w:space="0" w:color="auto"/>
            <w:bottom w:val="none" w:sz="0" w:space="0" w:color="auto"/>
            <w:right w:val="none" w:sz="0" w:space="0" w:color="auto"/>
          </w:divBdr>
        </w:div>
        <w:div w:id="261694490">
          <w:marLeft w:val="0"/>
          <w:marRight w:val="0"/>
          <w:marTop w:val="0"/>
          <w:marBottom w:val="0"/>
          <w:divBdr>
            <w:top w:val="none" w:sz="0" w:space="0" w:color="auto"/>
            <w:left w:val="none" w:sz="0" w:space="0" w:color="auto"/>
            <w:bottom w:val="none" w:sz="0" w:space="0" w:color="auto"/>
            <w:right w:val="none" w:sz="0" w:space="0" w:color="auto"/>
          </w:divBdr>
        </w:div>
        <w:div w:id="267081159">
          <w:marLeft w:val="0"/>
          <w:marRight w:val="0"/>
          <w:marTop w:val="0"/>
          <w:marBottom w:val="0"/>
          <w:divBdr>
            <w:top w:val="none" w:sz="0" w:space="0" w:color="auto"/>
            <w:left w:val="none" w:sz="0" w:space="0" w:color="auto"/>
            <w:bottom w:val="none" w:sz="0" w:space="0" w:color="auto"/>
            <w:right w:val="none" w:sz="0" w:space="0" w:color="auto"/>
          </w:divBdr>
        </w:div>
        <w:div w:id="270281098">
          <w:marLeft w:val="0"/>
          <w:marRight w:val="0"/>
          <w:marTop w:val="0"/>
          <w:marBottom w:val="0"/>
          <w:divBdr>
            <w:top w:val="none" w:sz="0" w:space="0" w:color="auto"/>
            <w:left w:val="none" w:sz="0" w:space="0" w:color="auto"/>
            <w:bottom w:val="none" w:sz="0" w:space="0" w:color="auto"/>
            <w:right w:val="none" w:sz="0" w:space="0" w:color="auto"/>
          </w:divBdr>
        </w:div>
        <w:div w:id="337511173">
          <w:marLeft w:val="0"/>
          <w:marRight w:val="0"/>
          <w:marTop w:val="0"/>
          <w:marBottom w:val="0"/>
          <w:divBdr>
            <w:top w:val="none" w:sz="0" w:space="0" w:color="auto"/>
            <w:left w:val="none" w:sz="0" w:space="0" w:color="auto"/>
            <w:bottom w:val="none" w:sz="0" w:space="0" w:color="auto"/>
            <w:right w:val="none" w:sz="0" w:space="0" w:color="auto"/>
          </w:divBdr>
        </w:div>
        <w:div w:id="339822117">
          <w:marLeft w:val="0"/>
          <w:marRight w:val="0"/>
          <w:marTop w:val="0"/>
          <w:marBottom w:val="0"/>
          <w:divBdr>
            <w:top w:val="none" w:sz="0" w:space="0" w:color="auto"/>
            <w:left w:val="none" w:sz="0" w:space="0" w:color="auto"/>
            <w:bottom w:val="none" w:sz="0" w:space="0" w:color="auto"/>
            <w:right w:val="none" w:sz="0" w:space="0" w:color="auto"/>
          </w:divBdr>
        </w:div>
        <w:div w:id="387581500">
          <w:marLeft w:val="0"/>
          <w:marRight w:val="0"/>
          <w:marTop w:val="0"/>
          <w:marBottom w:val="0"/>
          <w:divBdr>
            <w:top w:val="none" w:sz="0" w:space="0" w:color="auto"/>
            <w:left w:val="none" w:sz="0" w:space="0" w:color="auto"/>
            <w:bottom w:val="none" w:sz="0" w:space="0" w:color="auto"/>
            <w:right w:val="none" w:sz="0" w:space="0" w:color="auto"/>
          </w:divBdr>
        </w:div>
        <w:div w:id="414129756">
          <w:marLeft w:val="0"/>
          <w:marRight w:val="0"/>
          <w:marTop w:val="0"/>
          <w:marBottom w:val="0"/>
          <w:divBdr>
            <w:top w:val="none" w:sz="0" w:space="0" w:color="auto"/>
            <w:left w:val="none" w:sz="0" w:space="0" w:color="auto"/>
            <w:bottom w:val="none" w:sz="0" w:space="0" w:color="auto"/>
            <w:right w:val="none" w:sz="0" w:space="0" w:color="auto"/>
          </w:divBdr>
        </w:div>
        <w:div w:id="430978114">
          <w:marLeft w:val="0"/>
          <w:marRight w:val="0"/>
          <w:marTop w:val="0"/>
          <w:marBottom w:val="0"/>
          <w:divBdr>
            <w:top w:val="none" w:sz="0" w:space="0" w:color="auto"/>
            <w:left w:val="none" w:sz="0" w:space="0" w:color="auto"/>
            <w:bottom w:val="none" w:sz="0" w:space="0" w:color="auto"/>
            <w:right w:val="none" w:sz="0" w:space="0" w:color="auto"/>
          </w:divBdr>
        </w:div>
        <w:div w:id="454327582">
          <w:marLeft w:val="0"/>
          <w:marRight w:val="0"/>
          <w:marTop w:val="0"/>
          <w:marBottom w:val="0"/>
          <w:divBdr>
            <w:top w:val="none" w:sz="0" w:space="0" w:color="auto"/>
            <w:left w:val="none" w:sz="0" w:space="0" w:color="auto"/>
            <w:bottom w:val="none" w:sz="0" w:space="0" w:color="auto"/>
            <w:right w:val="none" w:sz="0" w:space="0" w:color="auto"/>
          </w:divBdr>
        </w:div>
        <w:div w:id="459031225">
          <w:marLeft w:val="0"/>
          <w:marRight w:val="0"/>
          <w:marTop w:val="0"/>
          <w:marBottom w:val="0"/>
          <w:divBdr>
            <w:top w:val="none" w:sz="0" w:space="0" w:color="auto"/>
            <w:left w:val="none" w:sz="0" w:space="0" w:color="auto"/>
            <w:bottom w:val="none" w:sz="0" w:space="0" w:color="auto"/>
            <w:right w:val="none" w:sz="0" w:space="0" w:color="auto"/>
          </w:divBdr>
        </w:div>
        <w:div w:id="467669818">
          <w:marLeft w:val="0"/>
          <w:marRight w:val="0"/>
          <w:marTop w:val="0"/>
          <w:marBottom w:val="0"/>
          <w:divBdr>
            <w:top w:val="none" w:sz="0" w:space="0" w:color="auto"/>
            <w:left w:val="none" w:sz="0" w:space="0" w:color="auto"/>
            <w:bottom w:val="none" w:sz="0" w:space="0" w:color="auto"/>
            <w:right w:val="none" w:sz="0" w:space="0" w:color="auto"/>
          </w:divBdr>
        </w:div>
        <w:div w:id="472217602">
          <w:marLeft w:val="0"/>
          <w:marRight w:val="0"/>
          <w:marTop w:val="0"/>
          <w:marBottom w:val="0"/>
          <w:divBdr>
            <w:top w:val="none" w:sz="0" w:space="0" w:color="auto"/>
            <w:left w:val="none" w:sz="0" w:space="0" w:color="auto"/>
            <w:bottom w:val="none" w:sz="0" w:space="0" w:color="auto"/>
            <w:right w:val="none" w:sz="0" w:space="0" w:color="auto"/>
          </w:divBdr>
        </w:div>
        <w:div w:id="478768958">
          <w:marLeft w:val="0"/>
          <w:marRight w:val="0"/>
          <w:marTop w:val="0"/>
          <w:marBottom w:val="0"/>
          <w:divBdr>
            <w:top w:val="none" w:sz="0" w:space="0" w:color="auto"/>
            <w:left w:val="none" w:sz="0" w:space="0" w:color="auto"/>
            <w:bottom w:val="none" w:sz="0" w:space="0" w:color="auto"/>
            <w:right w:val="none" w:sz="0" w:space="0" w:color="auto"/>
          </w:divBdr>
        </w:div>
        <w:div w:id="519242331">
          <w:marLeft w:val="0"/>
          <w:marRight w:val="0"/>
          <w:marTop w:val="0"/>
          <w:marBottom w:val="0"/>
          <w:divBdr>
            <w:top w:val="none" w:sz="0" w:space="0" w:color="auto"/>
            <w:left w:val="none" w:sz="0" w:space="0" w:color="auto"/>
            <w:bottom w:val="none" w:sz="0" w:space="0" w:color="auto"/>
            <w:right w:val="none" w:sz="0" w:space="0" w:color="auto"/>
          </w:divBdr>
        </w:div>
        <w:div w:id="524487880">
          <w:marLeft w:val="0"/>
          <w:marRight w:val="0"/>
          <w:marTop w:val="0"/>
          <w:marBottom w:val="0"/>
          <w:divBdr>
            <w:top w:val="none" w:sz="0" w:space="0" w:color="auto"/>
            <w:left w:val="none" w:sz="0" w:space="0" w:color="auto"/>
            <w:bottom w:val="none" w:sz="0" w:space="0" w:color="auto"/>
            <w:right w:val="none" w:sz="0" w:space="0" w:color="auto"/>
          </w:divBdr>
        </w:div>
        <w:div w:id="530609928">
          <w:marLeft w:val="0"/>
          <w:marRight w:val="0"/>
          <w:marTop w:val="0"/>
          <w:marBottom w:val="0"/>
          <w:divBdr>
            <w:top w:val="none" w:sz="0" w:space="0" w:color="auto"/>
            <w:left w:val="none" w:sz="0" w:space="0" w:color="auto"/>
            <w:bottom w:val="none" w:sz="0" w:space="0" w:color="auto"/>
            <w:right w:val="none" w:sz="0" w:space="0" w:color="auto"/>
          </w:divBdr>
        </w:div>
        <w:div w:id="552272403">
          <w:marLeft w:val="0"/>
          <w:marRight w:val="0"/>
          <w:marTop w:val="0"/>
          <w:marBottom w:val="0"/>
          <w:divBdr>
            <w:top w:val="none" w:sz="0" w:space="0" w:color="auto"/>
            <w:left w:val="none" w:sz="0" w:space="0" w:color="auto"/>
            <w:bottom w:val="none" w:sz="0" w:space="0" w:color="auto"/>
            <w:right w:val="none" w:sz="0" w:space="0" w:color="auto"/>
          </w:divBdr>
        </w:div>
        <w:div w:id="557404144">
          <w:marLeft w:val="0"/>
          <w:marRight w:val="0"/>
          <w:marTop w:val="0"/>
          <w:marBottom w:val="0"/>
          <w:divBdr>
            <w:top w:val="none" w:sz="0" w:space="0" w:color="auto"/>
            <w:left w:val="none" w:sz="0" w:space="0" w:color="auto"/>
            <w:bottom w:val="none" w:sz="0" w:space="0" w:color="auto"/>
            <w:right w:val="none" w:sz="0" w:space="0" w:color="auto"/>
          </w:divBdr>
        </w:div>
        <w:div w:id="563101518">
          <w:marLeft w:val="0"/>
          <w:marRight w:val="0"/>
          <w:marTop w:val="0"/>
          <w:marBottom w:val="0"/>
          <w:divBdr>
            <w:top w:val="none" w:sz="0" w:space="0" w:color="auto"/>
            <w:left w:val="none" w:sz="0" w:space="0" w:color="auto"/>
            <w:bottom w:val="none" w:sz="0" w:space="0" w:color="auto"/>
            <w:right w:val="none" w:sz="0" w:space="0" w:color="auto"/>
          </w:divBdr>
        </w:div>
        <w:div w:id="576744899">
          <w:marLeft w:val="0"/>
          <w:marRight w:val="0"/>
          <w:marTop w:val="0"/>
          <w:marBottom w:val="0"/>
          <w:divBdr>
            <w:top w:val="none" w:sz="0" w:space="0" w:color="auto"/>
            <w:left w:val="none" w:sz="0" w:space="0" w:color="auto"/>
            <w:bottom w:val="none" w:sz="0" w:space="0" w:color="auto"/>
            <w:right w:val="none" w:sz="0" w:space="0" w:color="auto"/>
          </w:divBdr>
        </w:div>
        <w:div w:id="578906105">
          <w:marLeft w:val="0"/>
          <w:marRight w:val="0"/>
          <w:marTop w:val="0"/>
          <w:marBottom w:val="0"/>
          <w:divBdr>
            <w:top w:val="none" w:sz="0" w:space="0" w:color="auto"/>
            <w:left w:val="none" w:sz="0" w:space="0" w:color="auto"/>
            <w:bottom w:val="none" w:sz="0" w:space="0" w:color="auto"/>
            <w:right w:val="none" w:sz="0" w:space="0" w:color="auto"/>
          </w:divBdr>
        </w:div>
        <w:div w:id="583615273">
          <w:marLeft w:val="0"/>
          <w:marRight w:val="0"/>
          <w:marTop w:val="0"/>
          <w:marBottom w:val="0"/>
          <w:divBdr>
            <w:top w:val="none" w:sz="0" w:space="0" w:color="auto"/>
            <w:left w:val="none" w:sz="0" w:space="0" w:color="auto"/>
            <w:bottom w:val="none" w:sz="0" w:space="0" w:color="auto"/>
            <w:right w:val="none" w:sz="0" w:space="0" w:color="auto"/>
          </w:divBdr>
        </w:div>
        <w:div w:id="585263247">
          <w:marLeft w:val="0"/>
          <w:marRight w:val="0"/>
          <w:marTop w:val="0"/>
          <w:marBottom w:val="0"/>
          <w:divBdr>
            <w:top w:val="none" w:sz="0" w:space="0" w:color="auto"/>
            <w:left w:val="none" w:sz="0" w:space="0" w:color="auto"/>
            <w:bottom w:val="none" w:sz="0" w:space="0" w:color="auto"/>
            <w:right w:val="none" w:sz="0" w:space="0" w:color="auto"/>
          </w:divBdr>
        </w:div>
        <w:div w:id="631326400">
          <w:marLeft w:val="0"/>
          <w:marRight w:val="0"/>
          <w:marTop w:val="0"/>
          <w:marBottom w:val="0"/>
          <w:divBdr>
            <w:top w:val="none" w:sz="0" w:space="0" w:color="auto"/>
            <w:left w:val="none" w:sz="0" w:space="0" w:color="auto"/>
            <w:bottom w:val="none" w:sz="0" w:space="0" w:color="auto"/>
            <w:right w:val="none" w:sz="0" w:space="0" w:color="auto"/>
          </w:divBdr>
        </w:div>
        <w:div w:id="650258512">
          <w:marLeft w:val="0"/>
          <w:marRight w:val="0"/>
          <w:marTop w:val="0"/>
          <w:marBottom w:val="0"/>
          <w:divBdr>
            <w:top w:val="none" w:sz="0" w:space="0" w:color="auto"/>
            <w:left w:val="none" w:sz="0" w:space="0" w:color="auto"/>
            <w:bottom w:val="none" w:sz="0" w:space="0" w:color="auto"/>
            <w:right w:val="none" w:sz="0" w:space="0" w:color="auto"/>
          </w:divBdr>
        </w:div>
        <w:div w:id="662508660">
          <w:marLeft w:val="0"/>
          <w:marRight w:val="0"/>
          <w:marTop w:val="0"/>
          <w:marBottom w:val="0"/>
          <w:divBdr>
            <w:top w:val="none" w:sz="0" w:space="0" w:color="auto"/>
            <w:left w:val="none" w:sz="0" w:space="0" w:color="auto"/>
            <w:bottom w:val="none" w:sz="0" w:space="0" w:color="auto"/>
            <w:right w:val="none" w:sz="0" w:space="0" w:color="auto"/>
          </w:divBdr>
        </w:div>
        <w:div w:id="685064087">
          <w:marLeft w:val="0"/>
          <w:marRight w:val="0"/>
          <w:marTop w:val="0"/>
          <w:marBottom w:val="0"/>
          <w:divBdr>
            <w:top w:val="none" w:sz="0" w:space="0" w:color="auto"/>
            <w:left w:val="none" w:sz="0" w:space="0" w:color="auto"/>
            <w:bottom w:val="none" w:sz="0" w:space="0" w:color="auto"/>
            <w:right w:val="none" w:sz="0" w:space="0" w:color="auto"/>
          </w:divBdr>
        </w:div>
        <w:div w:id="715856218">
          <w:marLeft w:val="0"/>
          <w:marRight w:val="0"/>
          <w:marTop w:val="0"/>
          <w:marBottom w:val="0"/>
          <w:divBdr>
            <w:top w:val="none" w:sz="0" w:space="0" w:color="auto"/>
            <w:left w:val="none" w:sz="0" w:space="0" w:color="auto"/>
            <w:bottom w:val="none" w:sz="0" w:space="0" w:color="auto"/>
            <w:right w:val="none" w:sz="0" w:space="0" w:color="auto"/>
          </w:divBdr>
        </w:div>
        <w:div w:id="725757427">
          <w:marLeft w:val="0"/>
          <w:marRight w:val="0"/>
          <w:marTop w:val="0"/>
          <w:marBottom w:val="0"/>
          <w:divBdr>
            <w:top w:val="none" w:sz="0" w:space="0" w:color="auto"/>
            <w:left w:val="none" w:sz="0" w:space="0" w:color="auto"/>
            <w:bottom w:val="none" w:sz="0" w:space="0" w:color="auto"/>
            <w:right w:val="none" w:sz="0" w:space="0" w:color="auto"/>
          </w:divBdr>
        </w:div>
        <w:div w:id="733088149">
          <w:marLeft w:val="0"/>
          <w:marRight w:val="0"/>
          <w:marTop w:val="0"/>
          <w:marBottom w:val="0"/>
          <w:divBdr>
            <w:top w:val="none" w:sz="0" w:space="0" w:color="auto"/>
            <w:left w:val="none" w:sz="0" w:space="0" w:color="auto"/>
            <w:bottom w:val="none" w:sz="0" w:space="0" w:color="auto"/>
            <w:right w:val="none" w:sz="0" w:space="0" w:color="auto"/>
          </w:divBdr>
        </w:div>
        <w:div w:id="747267947">
          <w:marLeft w:val="0"/>
          <w:marRight w:val="0"/>
          <w:marTop w:val="0"/>
          <w:marBottom w:val="0"/>
          <w:divBdr>
            <w:top w:val="none" w:sz="0" w:space="0" w:color="auto"/>
            <w:left w:val="none" w:sz="0" w:space="0" w:color="auto"/>
            <w:bottom w:val="none" w:sz="0" w:space="0" w:color="auto"/>
            <w:right w:val="none" w:sz="0" w:space="0" w:color="auto"/>
          </w:divBdr>
        </w:div>
        <w:div w:id="757752180">
          <w:marLeft w:val="0"/>
          <w:marRight w:val="0"/>
          <w:marTop w:val="0"/>
          <w:marBottom w:val="0"/>
          <w:divBdr>
            <w:top w:val="none" w:sz="0" w:space="0" w:color="auto"/>
            <w:left w:val="none" w:sz="0" w:space="0" w:color="auto"/>
            <w:bottom w:val="none" w:sz="0" w:space="0" w:color="auto"/>
            <w:right w:val="none" w:sz="0" w:space="0" w:color="auto"/>
          </w:divBdr>
        </w:div>
        <w:div w:id="788546534">
          <w:marLeft w:val="0"/>
          <w:marRight w:val="0"/>
          <w:marTop w:val="0"/>
          <w:marBottom w:val="0"/>
          <w:divBdr>
            <w:top w:val="none" w:sz="0" w:space="0" w:color="auto"/>
            <w:left w:val="none" w:sz="0" w:space="0" w:color="auto"/>
            <w:bottom w:val="none" w:sz="0" w:space="0" w:color="auto"/>
            <w:right w:val="none" w:sz="0" w:space="0" w:color="auto"/>
          </w:divBdr>
        </w:div>
        <w:div w:id="817497129">
          <w:marLeft w:val="0"/>
          <w:marRight w:val="0"/>
          <w:marTop w:val="0"/>
          <w:marBottom w:val="0"/>
          <w:divBdr>
            <w:top w:val="none" w:sz="0" w:space="0" w:color="auto"/>
            <w:left w:val="none" w:sz="0" w:space="0" w:color="auto"/>
            <w:bottom w:val="none" w:sz="0" w:space="0" w:color="auto"/>
            <w:right w:val="none" w:sz="0" w:space="0" w:color="auto"/>
          </w:divBdr>
        </w:div>
        <w:div w:id="852911725">
          <w:marLeft w:val="0"/>
          <w:marRight w:val="0"/>
          <w:marTop w:val="0"/>
          <w:marBottom w:val="0"/>
          <w:divBdr>
            <w:top w:val="none" w:sz="0" w:space="0" w:color="auto"/>
            <w:left w:val="none" w:sz="0" w:space="0" w:color="auto"/>
            <w:bottom w:val="none" w:sz="0" w:space="0" w:color="auto"/>
            <w:right w:val="none" w:sz="0" w:space="0" w:color="auto"/>
          </w:divBdr>
        </w:div>
        <w:div w:id="860781005">
          <w:marLeft w:val="0"/>
          <w:marRight w:val="0"/>
          <w:marTop w:val="0"/>
          <w:marBottom w:val="0"/>
          <w:divBdr>
            <w:top w:val="none" w:sz="0" w:space="0" w:color="auto"/>
            <w:left w:val="none" w:sz="0" w:space="0" w:color="auto"/>
            <w:bottom w:val="none" w:sz="0" w:space="0" w:color="auto"/>
            <w:right w:val="none" w:sz="0" w:space="0" w:color="auto"/>
          </w:divBdr>
        </w:div>
        <w:div w:id="881592849">
          <w:marLeft w:val="0"/>
          <w:marRight w:val="0"/>
          <w:marTop w:val="0"/>
          <w:marBottom w:val="0"/>
          <w:divBdr>
            <w:top w:val="none" w:sz="0" w:space="0" w:color="auto"/>
            <w:left w:val="none" w:sz="0" w:space="0" w:color="auto"/>
            <w:bottom w:val="none" w:sz="0" w:space="0" w:color="auto"/>
            <w:right w:val="none" w:sz="0" w:space="0" w:color="auto"/>
          </w:divBdr>
        </w:div>
        <w:div w:id="895746915">
          <w:marLeft w:val="0"/>
          <w:marRight w:val="0"/>
          <w:marTop w:val="0"/>
          <w:marBottom w:val="0"/>
          <w:divBdr>
            <w:top w:val="none" w:sz="0" w:space="0" w:color="auto"/>
            <w:left w:val="none" w:sz="0" w:space="0" w:color="auto"/>
            <w:bottom w:val="none" w:sz="0" w:space="0" w:color="auto"/>
            <w:right w:val="none" w:sz="0" w:space="0" w:color="auto"/>
          </w:divBdr>
        </w:div>
        <w:div w:id="944462919">
          <w:marLeft w:val="0"/>
          <w:marRight w:val="0"/>
          <w:marTop w:val="0"/>
          <w:marBottom w:val="0"/>
          <w:divBdr>
            <w:top w:val="none" w:sz="0" w:space="0" w:color="auto"/>
            <w:left w:val="none" w:sz="0" w:space="0" w:color="auto"/>
            <w:bottom w:val="none" w:sz="0" w:space="0" w:color="auto"/>
            <w:right w:val="none" w:sz="0" w:space="0" w:color="auto"/>
          </w:divBdr>
        </w:div>
        <w:div w:id="955673174">
          <w:marLeft w:val="0"/>
          <w:marRight w:val="0"/>
          <w:marTop w:val="0"/>
          <w:marBottom w:val="0"/>
          <w:divBdr>
            <w:top w:val="none" w:sz="0" w:space="0" w:color="auto"/>
            <w:left w:val="none" w:sz="0" w:space="0" w:color="auto"/>
            <w:bottom w:val="none" w:sz="0" w:space="0" w:color="auto"/>
            <w:right w:val="none" w:sz="0" w:space="0" w:color="auto"/>
          </w:divBdr>
        </w:div>
        <w:div w:id="971521169">
          <w:marLeft w:val="0"/>
          <w:marRight w:val="0"/>
          <w:marTop w:val="0"/>
          <w:marBottom w:val="0"/>
          <w:divBdr>
            <w:top w:val="none" w:sz="0" w:space="0" w:color="auto"/>
            <w:left w:val="none" w:sz="0" w:space="0" w:color="auto"/>
            <w:bottom w:val="none" w:sz="0" w:space="0" w:color="auto"/>
            <w:right w:val="none" w:sz="0" w:space="0" w:color="auto"/>
          </w:divBdr>
        </w:div>
        <w:div w:id="997684220">
          <w:marLeft w:val="0"/>
          <w:marRight w:val="0"/>
          <w:marTop w:val="0"/>
          <w:marBottom w:val="0"/>
          <w:divBdr>
            <w:top w:val="none" w:sz="0" w:space="0" w:color="auto"/>
            <w:left w:val="none" w:sz="0" w:space="0" w:color="auto"/>
            <w:bottom w:val="none" w:sz="0" w:space="0" w:color="auto"/>
            <w:right w:val="none" w:sz="0" w:space="0" w:color="auto"/>
          </w:divBdr>
        </w:div>
        <w:div w:id="1054235938">
          <w:marLeft w:val="0"/>
          <w:marRight w:val="0"/>
          <w:marTop w:val="0"/>
          <w:marBottom w:val="0"/>
          <w:divBdr>
            <w:top w:val="none" w:sz="0" w:space="0" w:color="auto"/>
            <w:left w:val="none" w:sz="0" w:space="0" w:color="auto"/>
            <w:bottom w:val="none" w:sz="0" w:space="0" w:color="auto"/>
            <w:right w:val="none" w:sz="0" w:space="0" w:color="auto"/>
          </w:divBdr>
        </w:div>
        <w:div w:id="1062370516">
          <w:marLeft w:val="0"/>
          <w:marRight w:val="0"/>
          <w:marTop w:val="0"/>
          <w:marBottom w:val="0"/>
          <w:divBdr>
            <w:top w:val="none" w:sz="0" w:space="0" w:color="auto"/>
            <w:left w:val="none" w:sz="0" w:space="0" w:color="auto"/>
            <w:bottom w:val="none" w:sz="0" w:space="0" w:color="auto"/>
            <w:right w:val="none" w:sz="0" w:space="0" w:color="auto"/>
          </w:divBdr>
        </w:div>
        <w:div w:id="1078401524">
          <w:marLeft w:val="0"/>
          <w:marRight w:val="0"/>
          <w:marTop w:val="0"/>
          <w:marBottom w:val="0"/>
          <w:divBdr>
            <w:top w:val="none" w:sz="0" w:space="0" w:color="auto"/>
            <w:left w:val="none" w:sz="0" w:space="0" w:color="auto"/>
            <w:bottom w:val="none" w:sz="0" w:space="0" w:color="auto"/>
            <w:right w:val="none" w:sz="0" w:space="0" w:color="auto"/>
          </w:divBdr>
        </w:div>
        <w:div w:id="1090198414">
          <w:marLeft w:val="0"/>
          <w:marRight w:val="0"/>
          <w:marTop w:val="0"/>
          <w:marBottom w:val="0"/>
          <w:divBdr>
            <w:top w:val="none" w:sz="0" w:space="0" w:color="auto"/>
            <w:left w:val="none" w:sz="0" w:space="0" w:color="auto"/>
            <w:bottom w:val="none" w:sz="0" w:space="0" w:color="auto"/>
            <w:right w:val="none" w:sz="0" w:space="0" w:color="auto"/>
          </w:divBdr>
        </w:div>
        <w:div w:id="1094664634">
          <w:marLeft w:val="0"/>
          <w:marRight w:val="0"/>
          <w:marTop w:val="0"/>
          <w:marBottom w:val="0"/>
          <w:divBdr>
            <w:top w:val="none" w:sz="0" w:space="0" w:color="auto"/>
            <w:left w:val="none" w:sz="0" w:space="0" w:color="auto"/>
            <w:bottom w:val="none" w:sz="0" w:space="0" w:color="auto"/>
            <w:right w:val="none" w:sz="0" w:space="0" w:color="auto"/>
          </w:divBdr>
        </w:div>
        <w:div w:id="1146434250">
          <w:marLeft w:val="0"/>
          <w:marRight w:val="0"/>
          <w:marTop w:val="0"/>
          <w:marBottom w:val="0"/>
          <w:divBdr>
            <w:top w:val="none" w:sz="0" w:space="0" w:color="auto"/>
            <w:left w:val="none" w:sz="0" w:space="0" w:color="auto"/>
            <w:bottom w:val="none" w:sz="0" w:space="0" w:color="auto"/>
            <w:right w:val="none" w:sz="0" w:space="0" w:color="auto"/>
          </w:divBdr>
        </w:div>
        <w:div w:id="1149521685">
          <w:marLeft w:val="0"/>
          <w:marRight w:val="0"/>
          <w:marTop w:val="0"/>
          <w:marBottom w:val="0"/>
          <w:divBdr>
            <w:top w:val="none" w:sz="0" w:space="0" w:color="auto"/>
            <w:left w:val="none" w:sz="0" w:space="0" w:color="auto"/>
            <w:bottom w:val="none" w:sz="0" w:space="0" w:color="auto"/>
            <w:right w:val="none" w:sz="0" w:space="0" w:color="auto"/>
          </w:divBdr>
        </w:div>
        <w:div w:id="1151554496">
          <w:marLeft w:val="0"/>
          <w:marRight w:val="0"/>
          <w:marTop w:val="0"/>
          <w:marBottom w:val="0"/>
          <w:divBdr>
            <w:top w:val="none" w:sz="0" w:space="0" w:color="auto"/>
            <w:left w:val="none" w:sz="0" w:space="0" w:color="auto"/>
            <w:bottom w:val="none" w:sz="0" w:space="0" w:color="auto"/>
            <w:right w:val="none" w:sz="0" w:space="0" w:color="auto"/>
          </w:divBdr>
        </w:div>
        <w:div w:id="1175997990">
          <w:marLeft w:val="0"/>
          <w:marRight w:val="0"/>
          <w:marTop w:val="0"/>
          <w:marBottom w:val="0"/>
          <w:divBdr>
            <w:top w:val="none" w:sz="0" w:space="0" w:color="auto"/>
            <w:left w:val="none" w:sz="0" w:space="0" w:color="auto"/>
            <w:bottom w:val="none" w:sz="0" w:space="0" w:color="auto"/>
            <w:right w:val="none" w:sz="0" w:space="0" w:color="auto"/>
          </w:divBdr>
        </w:div>
        <w:div w:id="1205410708">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252204228">
          <w:marLeft w:val="0"/>
          <w:marRight w:val="0"/>
          <w:marTop w:val="0"/>
          <w:marBottom w:val="0"/>
          <w:divBdr>
            <w:top w:val="none" w:sz="0" w:space="0" w:color="auto"/>
            <w:left w:val="none" w:sz="0" w:space="0" w:color="auto"/>
            <w:bottom w:val="none" w:sz="0" w:space="0" w:color="auto"/>
            <w:right w:val="none" w:sz="0" w:space="0" w:color="auto"/>
          </w:divBdr>
        </w:div>
        <w:div w:id="1252547889">
          <w:marLeft w:val="0"/>
          <w:marRight w:val="0"/>
          <w:marTop w:val="0"/>
          <w:marBottom w:val="0"/>
          <w:divBdr>
            <w:top w:val="none" w:sz="0" w:space="0" w:color="auto"/>
            <w:left w:val="none" w:sz="0" w:space="0" w:color="auto"/>
            <w:bottom w:val="none" w:sz="0" w:space="0" w:color="auto"/>
            <w:right w:val="none" w:sz="0" w:space="0" w:color="auto"/>
          </w:divBdr>
        </w:div>
        <w:div w:id="1296181605">
          <w:marLeft w:val="0"/>
          <w:marRight w:val="0"/>
          <w:marTop w:val="0"/>
          <w:marBottom w:val="0"/>
          <w:divBdr>
            <w:top w:val="none" w:sz="0" w:space="0" w:color="auto"/>
            <w:left w:val="none" w:sz="0" w:space="0" w:color="auto"/>
            <w:bottom w:val="none" w:sz="0" w:space="0" w:color="auto"/>
            <w:right w:val="none" w:sz="0" w:space="0" w:color="auto"/>
          </w:divBdr>
        </w:div>
        <w:div w:id="1310985257">
          <w:marLeft w:val="0"/>
          <w:marRight w:val="0"/>
          <w:marTop w:val="0"/>
          <w:marBottom w:val="0"/>
          <w:divBdr>
            <w:top w:val="none" w:sz="0" w:space="0" w:color="auto"/>
            <w:left w:val="none" w:sz="0" w:space="0" w:color="auto"/>
            <w:bottom w:val="none" w:sz="0" w:space="0" w:color="auto"/>
            <w:right w:val="none" w:sz="0" w:space="0" w:color="auto"/>
          </w:divBdr>
        </w:div>
        <w:div w:id="1316447970">
          <w:marLeft w:val="0"/>
          <w:marRight w:val="0"/>
          <w:marTop w:val="0"/>
          <w:marBottom w:val="0"/>
          <w:divBdr>
            <w:top w:val="none" w:sz="0" w:space="0" w:color="auto"/>
            <w:left w:val="none" w:sz="0" w:space="0" w:color="auto"/>
            <w:bottom w:val="none" w:sz="0" w:space="0" w:color="auto"/>
            <w:right w:val="none" w:sz="0" w:space="0" w:color="auto"/>
          </w:divBdr>
        </w:div>
        <w:div w:id="1321076040">
          <w:marLeft w:val="0"/>
          <w:marRight w:val="0"/>
          <w:marTop w:val="0"/>
          <w:marBottom w:val="0"/>
          <w:divBdr>
            <w:top w:val="none" w:sz="0" w:space="0" w:color="auto"/>
            <w:left w:val="none" w:sz="0" w:space="0" w:color="auto"/>
            <w:bottom w:val="none" w:sz="0" w:space="0" w:color="auto"/>
            <w:right w:val="none" w:sz="0" w:space="0" w:color="auto"/>
          </w:divBdr>
        </w:div>
        <w:div w:id="1370030778">
          <w:marLeft w:val="0"/>
          <w:marRight w:val="0"/>
          <w:marTop w:val="0"/>
          <w:marBottom w:val="0"/>
          <w:divBdr>
            <w:top w:val="none" w:sz="0" w:space="0" w:color="auto"/>
            <w:left w:val="none" w:sz="0" w:space="0" w:color="auto"/>
            <w:bottom w:val="none" w:sz="0" w:space="0" w:color="auto"/>
            <w:right w:val="none" w:sz="0" w:space="0" w:color="auto"/>
          </w:divBdr>
        </w:div>
        <w:div w:id="1383095102">
          <w:marLeft w:val="0"/>
          <w:marRight w:val="0"/>
          <w:marTop w:val="0"/>
          <w:marBottom w:val="0"/>
          <w:divBdr>
            <w:top w:val="none" w:sz="0" w:space="0" w:color="auto"/>
            <w:left w:val="none" w:sz="0" w:space="0" w:color="auto"/>
            <w:bottom w:val="none" w:sz="0" w:space="0" w:color="auto"/>
            <w:right w:val="none" w:sz="0" w:space="0" w:color="auto"/>
          </w:divBdr>
        </w:div>
        <w:div w:id="1384720401">
          <w:marLeft w:val="0"/>
          <w:marRight w:val="0"/>
          <w:marTop w:val="0"/>
          <w:marBottom w:val="0"/>
          <w:divBdr>
            <w:top w:val="none" w:sz="0" w:space="0" w:color="auto"/>
            <w:left w:val="none" w:sz="0" w:space="0" w:color="auto"/>
            <w:bottom w:val="none" w:sz="0" w:space="0" w:color="auto"/>
            <w:right w:val="none" w:sz="0" w:space="0" w:color="auto"/>
          </w:divBdr>
        </w:div>
        <w:div w:id="1409886492">
          <w:marLeft w:val="0"/>
          <w:marRight w:val="0"/>
          <w:marTop w:val="0"/>
          <w:marBottom w:val="0"/>
          <w:divBdr>
            <w:top w:val="none" w:sz="0" w:space="0" w:color="auto"/>
            <w:left w:val="none" w:sz="0" w:space="0" w:color="auto"/>
            <w:bottom w:val="none" w:sz="0" w:space="0" w:color="auto"/>
            <w:right w:val="none" w:sz="0" w:space="0" w:color="auto"/>
          </w:divBdr>
        </w:div>
        <w:div w:id="1434860369">
          <w:marLeft w:val="0"/>
          <w:marRight w:val="0"/>
          <w:marTop w:val="0"/>
          <w:marBottom w:val="0"/>
          <w:divBdr>
            <w:top w:val="none" w:sz="0" w:space="0" w:color="auto"/>
            <w:left w:val="none" w:sz="0" w:space="0" w:color="auto"/>
            <w:bottom w:val="none" w:sz="0" w:space="0" w:color="auto"/>
            <w:right w:val="none" w:sz="0" w:space="0" w:color="auto"/>
          </w:divBdr>
        </w:div>
        <w:div w:id="1475567207">
          <w:marLeft w:val="-75"/>
          <w:marRight w:val="0"/>
          <w:marTop w:val="30"/>
          <w:marBottom w:val="30"/>
          <w:divBdr>
            <w:top w:val="none" w:sz="0" w:space="0" w:color="auto"/>
            <w:left w:val="none" w:sz="0" w:space="0" w:color="auto"/>
            <w:bottom w:val="none" w:sz="0" w:space="0" w:color="auto"/>
            <w:right w:val="none" w:sz="0" w:space="0" w:color="auto"/>
          </w:divBdr>
          <w:divsChild>
            <w:div w:id="71127882">
              <w:marLeft w:val="0"/>
              <w:marRight w:val="0"/>
              <w:marTop w:val="0"/>
              <w:marBottom w:val="0"/>
              <w:divBdr>
                <w:top w:val="none" w:sz="0" w:space="0" w:color="auto"/>
                <w:left w:val="none" w:sz="0" w:space="0" w:color="auto"/>
                <w:bottom w:val="none" w:sz="0" w:space="0" w:color="auto"/>
                <w:right w:val="none" w:sz="0" w:space="0" w:color="auto"/>
              </w:divBdr>
              <w:divsChild>
                <w:div w:id="1064915583">
                  <w:marLeft w:val="0"/>
                  <w:marRight w:val="0"/>
                  <w:marTop w:val="0"/>
                  <w:marBottom w:val="0"/>
                  <w:divBdr>
                    <w:top w:val="none" w:sz="0" w:space="0" w:color="auto"/>
                    <w:left w:val="none" w:sz="0" w:space="0" w:color="auto"/>
                    <w:bottom w:val="none" w:sz="0" w:space="0" w:color="auto"/>
                    <w:right w:val="none" w:sz="0" w:space="0" w:color="auto"/>
                  </w:divBdr>
                </w:div>
              </w:divsChild>
            </w:div>
            <w:div w:id="112216826">
              <w:marLeft w:val="0"/>
              <w:marRight w:val="0"/>
              <w:marTop w:val="0"/>
              <w:marBottom w:val="0"/>
              <w:divBdr>
                <w:top w:val="none" w:sz="0" w:space="0" w:color="auto"/>
                <w:left w:val="none" w:sz="0" w:space="0" w:color="auto"/>
                <w:bottom w:val="none" w:sz="0" w:space="0" w:color="auto"/>
                <w:right w:val="none" w:sz="0" w:space="0" w:color="auto"/>
              </w:divBdr>
              <w:divsChild>
                <w:div w:id="1564289157">
                  <w:marLeft w:val="0"/>
                  <w:marRight w:val="0"/>
                  <w:marTop w:val="0"/>
                  <w:marBottom w:val="0"/>
                  <w:divBdr>
                    <w:top w:val="none" w:sz="0" w:space="0" w:color="auto"/>
                    <w:left w:val="none" w:sz="0" w:space="0" w:color="auto"/>
                    <w:bottom w:val="none" w:sz="0" w:space="0" w:color="auto"/>
                    <w:right w:val="none" w:sz="0" w:space="0" w:color="auto"/>
                  </w:divBdr>
                </w:div>
              </w:divsChild>
            </w:div>
            <w:div w:id="167213522">
              <w:marLeft w:val="0"/>
              <w:marRight w:val="0"/>
              <w:marTop w:val="0"/>
              <w:marBottom w:val="0"/>
              <w:divBdr>
                <w:top w:val="none" w:sz="0" w:space="0" w:color="auto"/>
                <w:left w:val="none" w:sz="0" w:space="0" w:color="auto"/>
                <w:bottom w:val="none" w:sz="0" w:space="0" w:color="auto"/>
                <w:right w:val="none" w:sz="0" w:space="0" w:color="auto"/>
              </w:divBdr>
              <w:divsChild>
                <w:div w:id="1995336215">
                  <w:marLeft w:val="0"/>
                  <w:marRight w:val="0"/>
                  <w:marTop w:val="0"/>
                  <w:marBottom w:val="0"/>
                  <w:divBdr>
                    <w:top w:val="none" w:sz="0" w:space="0" w:color="auto"/>
                    <w:left w:val="none" w:sz="0" w:space="0" w:color="auto"/>
                    <w:bottom w:val="none" w:sz="0" w:space="0" w:color="auto"/>
                    <w:right w:val="none" w:sz="0" w:space="0" w:color="auto"/>
                  </w:divBdr>
                </w:div>
              </w:divsChild>
            </w:div>
            <w:div w:id="235095271">
              <w:marLeft w:val="0"/>
              <w:marRight w:val="0"/>
              <w:marTop w:val="0"/>
              <w:marBottom w:val="0"/>
              <w:divBdr>
                <w:top w:val="none" w:sz="0" w:space="0" w:color="auto"/>
                <w:left w:val="none" w:sz="0" w:space="0" w:color="auto"/>
                <w:bottom w:val="none" w:sz="0" w:space="0" w:color="auto"/>
                <w:right w:val="none" w:sz="0" w:space="0" w:color="auto"/>
              </w:divBdr>
              <w:divsChild>
                <w:div w:id="764888473">
                  <w:marLeft w:val="0"/>
                  <w:marRight w:val="0"/>
                  <w:marTop w:val="0"/>
                  <w:marBottom w:val="0"/>
                  <w:divBdr>
                    <w:top w:val="none" w:sz="0" w:space="0" w:color="auto"/>
                    <w:left w:val="none" w:sz="0" w:space="0" w:color="auto"/>
                    <w:bottom w:val="none" w:sz="0" w:space="0" w:color="auto"/>
                    <w:right w:val="none" w:sz="0" w:space="0" w:color="auto"/>
                  </w:divBdr>
                </w:div>
              </w:divsChild>
            </w:div>
            <w:div w:id="368652088">
              <w:marLeft w:val="0"/>
              <w:marRight w:val="0"/>
              <w:marTop w:val="0"/>
              <w:marBottom w:val="0"/>
              <w:divBdr>
                <w:top w:val="none" w:sz="0" w:space="0" w:color="auto"/>
                <w:left w:val="none" w:sz="0" w:space="0" w:color="auto"/>
                <w:bottom w:val="none" w:sz="0" w:space="0" w:color="auto"/>
                <w:right w:val="none" w:sz="0" w:space="0" w:color="auto"/>
              </w:divBdr>
              <w:divsChild>
                <w:div w:id="2035111155">
                  <w:marLeft w:val="0"/>
                  <w:marRight w:val="0"/>
                  <w:marTop w:val="0"/>
                  <w:marBottom w:val="0"/>
                  <w:divBdr>
                    <w:top w:val="none" w:sz="0" w:space="0" w:color="auto"/>
                    <w:left w:val="none" w:sz="0" w:space="0" w:color="auto"/>
                    <w:bottom w:val="none" w:sz="0" w:space="0" w:color="auto"/>
                    <w:right w:val="none" w:sz="0" w:space="0" w:color="auto"/>
                  </w:divBdr>
                </w:div>
              </w:divsChild>
            </w:div>
            <w:div w:id="441996632">
              <w:marLeft w:val="0"/>
              <w:marRight w:val="0"/>
              <w:marTop w:val="0"/>
              <w:marBottom w:val="0"/>
              <w:divBdr>
                <w:top w:val="none" w:sz="0" w:space="0" w:color="auto"/>
                <w:left w:val="none" w:sz="0" w:space="0" w:color="auto"/>
                <w:bottom w:val="none" w:sz="0" w:space="0" w:color="auto"/>
                <w:right w:val="none" w:sz="0" w:space="0" w:color="auto"/>
              </w:divBdr>
              <w:divsChild>
                <w:div w:id="418409917">
                  <w:marLeft w:val="0"/>
                  <w:marRight w:val="0"/>
                  <w:marTop w:val="0"/>
                  <w:marBottom w:val="0"/>
                  <w:divBdr>
                    <w:top w:val="none" w:sz="0" w:space="0" w:color="auto"/>
                    <w:left w:val="none" w:sz="0" w:space="0" w:color="auto"/>
                    <w:bottom w:val="none" w:sz="0" w:space="0" w:color="auto"/>
                    <w:right w:val="none" w:sz="0" w:space="0" w:color="auto"/>
                  </w:divBdr>
                </w:div>
              </w:divsChild>
            </w:div>
            <w:div w:id="671377554">
              <w:marLeft w:val="0"/>
              <w:marRight w:val="0"/>
              <w:marTop w:val="0"/>
              <w:marBottom w:val="0"/>
              <w:divBdr>
                <w:top w:val="none" w:sz="0" w:space="0" w:color="auto"/>
                <w:left w:val="none" w:sz="0" w:space="0" w:color="auto"/>
                <w:bottom w:val="none" w:sz="0" w:space="0" w:color="auto"/>
                <w:right w:val="none" w:sz="0" w:space="0" w:color="auto"/>
              </w:divBdr>
              <w:divsChild>
                <w:div w:id="158622404">
                  <w:marLeft w:val="0"/>
                  <w:marRight w:val="0"/>
                  <w:marTop w:val="0"/>
                  <w:marBottom w:val="0"/>
                  <w:divBdr>
                    <w:top w:val="none" w:sz="0" w:space="0" w:color="auto"/>
                    <w:left w:val="none" w:sz="0" w:space="0" w:color="auto"/>
                    <w:bottom w:val="none" w:sz="0" w:space="0" w:color="auto"/>
                    <w:right w:val="none" w:sz="0" w:space="0" w:color="auto"/>
                  </w:divBdr>
                </w:div>
                <w:div w:id="1731609108">
                  <w:marLeft w:val="0"/>
                  <w:marRight w:val="0"/>
                  <w:marTop w:val="0"/>
                  <w:marBottom w:val="0"/>
                  <w:divBdr>
                    <w:top w:val="none" w:sz="0" w:space="0" w:color="auto"/>
                    <w:left w:val="none" w:sz="0" w:space="0" w:color="auto"/>
                    <w:bottom w:val="none" w:sz="0" w:space="0" w:color="auto"/>
                    <w:right w:val="none" w:sz="0" w:space="0" w:color="auto"/>
                  </w:divBdr>
                </w:div>
              </w:divsChild>
            </w:div>
            <w:div w:id="692222419">
              <w:marLeft w:val="0"/>
              <w:marRight w:val="0"/>
              <w:marTop w:val="0"/>
              <w:marBottom w:val="0"/>
              <w:divBdr>
                <w:top w:val="none" w:sz="0" w:space="0" w:color="auto"/>
                <w:left w:val="none" w:sz="0" w:space="0" w:color="auto"/>
                <w:bottom w:val="none" w:sz="0" w:space="0" w:color="auto"/>
                <w:right w:val="none" w:sz="0" w:space="0" w:color="auto"/>
              </w:divBdr>
              <w:divsChild>
                <w:div w:id="311376574">
                  <w:marLeft w:val="0"/>
                  <w:marRight w:val="0"/>
                  <w:marTop w:val="0"/>
                  <w:marBottom w:val="0"/>
                  <w:divBdr>
                    <w:top w:val="none" w:sz="0" w:space="0" w:color="auto"/>
                    <w:left w:val="none" w:sz="0" w:space="0" w:color="auto"/>
                    <w:bottom w:val="none" w:sz="0" w:space="0" w:color="auto"/>
                    <w:right w:val="none" w:sz="0" w:space="0" w:color="auto"/>
                  </w:divBdr>
                </w:div>
              </w:divsChild>
            </w:div>
            <w:div w:id="758409863">
              <w:marLeft w:val="0"/>
              <w:marRight w:val="0"/>
              <w:marTop w:val="0"/>
              <w:marBottom w:val="0"/>
              <w:divBdr>
                <w:top w:val="none" w:sz="0" w:space="0" w:color="auto"/>
                <w:left w:val="none" w:sz="0" w:space="0" w:color="auto"/>
                <w:bottom w:val="none" w:sz="0" w:space="0" w:color="auto"/>
                <w:right w:val="none" w:sz="0" w:space="0" w:color="auto"/>
              </w:divBdr>
              <w:divsChild>
                <w:div w:id="1387682426">
                  <w:marLeft w:val="0"/>
                  <w:marRight w:val="0"/>
                  <w:marTop w:val="0"/>
                  <w:marBottom w:val="0"/>
                  <w:divBdr>
                    <w:top w:val="none" w:sz="0" w:space="0" w:color="auto"/>
                    <w:left w:val="none" w:sz="0" w:space="0" w:color="auto"/>
                    <w:bottom w:val="none" w:sz="0" w:space="0" w:color="auto"/>
                    <w:right w:val="none" w:sz="0" w:space="0" w:color="auto"/>
                  </w:divBdr>
                </w:div>
              </w:divsChild>
            </w:div>
            <w:div w:id="789862359">
              <w:marLeft w:val="0"/>
              <w:marRight w:val="0"/>
              <w:marTop w:val="0"/>
              <w:marBottom w:val="0"/>
              <w:divBdr>
                <w:top w:val="none" w:sz="0" w:space="0" w:color="auto"/>
                <w:left w:val="none" w:sz="0" w:space="0" w:color="auto"/>
                <w:bottom w:val="none" w:sz="0" w:space="0" w:color="auto"/>
                <w:right w:val="none" w:sz="0" w:space="0" w:color="auto"/>
              </w:divBdr>
              <w:divsChild>
                <w:div w:id="238944771">
                  <w:marLeft w:val="0"/>
                  <w:marRight w:val="0"/>
                  <w:marTop w:val="0"/>
                  <w:marBottom w:val="0"/>
                  <w:divBdr>
                    <w:top w:val="none" w:sz="0" w:space="0" w:color="auto"/>
                    <w:left w:val="none" w:sz="0" w:space="0" w:color="auto"/>
                    <w:bottom w:val="none" w:sz="0" w:space="0" w:color="auto"/>
                    <w:right w:val="none" w:sz="0" w:space="0" w:color="auto"/>
                  </w:divBdr>
                </w:div>
                <w:div w:id="1106921912">
                  <w:marLeft w:val="0"/>
                  <w:marRight w:val="0"/>
                  <w:marTop w:val="0"/>
                  <w:marBottom w:val="0"/>
                  <w:divBdr>
                    <w:top w:val="none" w:sz="0" w:space="0" w:color="auto"/>
                    <w:left w:val="none" w:sz="0" w:space="0" w:color="auto"/>
                    <w:bottom w:val="none" w:sz="0" w:space="0" w:color="auto"/>
                    <w:right w:val="none" w:sz="0" w:space="0" w:color="auto"/>
                  </w:divBdr>
                </w:div>
              </w:divsChild>
            </w:div>
            <w:div w:id="888880709">
              <w:marLeft w:val="0"/>
              <w:marRight w:val="0"/>
              <w:marTop w:val="0"/>
              <w:marBottom w:val="0"/>
              <w:divBdr>
                <w:top w:val="none" w:sz="0" w:space="0" w:color="auto"/>
                <w:left w:val="none" w:sz="0" w:space="0" w:color="auto"/>
                <w:bottom w:val="none" w:sz="0" w:space="0" w:color="auto"/>
                <w:right w:val="none" w:sz="0" w:space="0" w:color="auto"/>
              </w:divBdr>
              <w:divsChild>
                <w:div w:id="911349896">
                  <w:marLeft w:val="0"/>
                  <w:marRight w:val="0"/>
                  <w:marTop w:val="0"/>
                  <w:marBottom w:val="0"/>
                  <w:divBdr>
                    <w:top w:val="none" w:sz="0" w:space="0" w:color="auto"/>
                    <w:left w:val="none" w:sz="0" w:space="0" w:color="auto"/>
                    <w:bottom w:val="none" w:sz="0" w:space="0" w:color="auto"/>
                    <w:right w:val="none" w:sz="0" w:space="0" w:color="auto"/>
                  </w:divBdr>
                </w:div>
              </w:divsChild>
            </w:div>
            <w:div w:id="893738695">
              <w:marLeft w:val="0"/>
              <w:marRight w:val="0"/>
              <w:marTop w:val="0"/>
              <w:marBottom w:val="0"/>
              <w:divBdr>
                <w:top w:val="none" w:sz="0" w:space="0" w:color="auto"/>
                <w:left w:val="none" w:sz="0" w:space="0" w:color="auto"/>
                <w:bottom w:val="none" w:sz="0" w:space="0" w:color="auto"/>
                <w:right w:val="none" w:sz="0" w:space="0" w:color="auto"/>
              </w:divBdr>
              <w:divsChild>
                <w:div w:id="1779179974">
                  <w:marLeft w:val="0"/>
                  <w:marRight w:val="0"/>
                  <w:marTop w:val="0"/>
                  <w:marBottom w:val="0"/>
                  <w:divBdr>
                    <w:top w:val="none" w:sz="0" w:space="0" w:color="auto"/>
                    <w:left w:val="none" w:sz="0" w:space="0" w:color="auto"/>
                    <w:bottom w:val="none" w:sz="0" w:space="0" w:color="auto"/>
                    <w:right w:val="none" w:sz="0" w:space="0" w:color="auto"/>
                  </w:divBdr>
                </w:div>
              </w:divsChild>
            </w:div>
            <w:div w:id="1132407610">
              <w:marLeft w:val="0"/>
              <w:marRight w:val="0"/>
              <w:marTop w:val="0"/>
              <w:marBottom w:val="0"/>
              <w:divBdr>
                <w:top w:val="none" w:sz="0" w:space="0" w:color="auto"/>
                <w:left w:val="none" w:sz="0" w:space="0" w:color="auto"/>
                <w:bottom w:val="none" w:sz="0" w:space="0" w:color="auto"/>
                <w:right w:val="none" w:sz="0" w:space="0" w:color="auto"/>
              </w:divBdr>
              <w:divsChild>
                <w:div w:id="924218882">
                  <w:marLeft w:val="0"/>
                  <w:marRight w:val="0"/>
                  <w:marTop w:val="0"/>
                  <w:marBottom w:val="0"/>
                  <w:divBdr>
                    <w:top w:val="none" w:sz="0" w:space="0" w:color="auto"/>
                    <w:left w:val="none" w:sz="0" w:space="0" w:color="auto"/>
                    <w:bottom w:val="none" w:sz="0" w:space="0" w:color="auto"/>
                    <w:right w:val="none" w:sz="0" w:space="0" w:color="auto"/>
                  </w:divBdr>
                </w:div>
              </w:divsChild>
            </w:div>
            <w:div w:id="1143766170">
              <w:marLeft w:val="0"/>
              <w:marRight w:val="0"/>
              <w:marTop w:val="0"/>
              <w:marBottom w:val="0"/>
              <w:divBdr>
                <w:top w:val="none" w:sz="0" w:space="0" w:color="auto"/>
                <w:left w:val="none" w:sz="0" w:space="0" w:color="auto"/>
                <w:bottom w:val="none" w:sz="0" w:space="0" w:color="auto"/>
                <w:right w:val="none" w:sz="0" w:space="0" w:color="auto"/>
              </w:divBdr>
              <w:divsChild>
                <w:div w:id="1963152682">
                  <w:marLeft w:val="0"/>
                  <w:marRight w:val="0"/>
                  <w:marTop w:val="0"/>
                  <w:marBottom w:val="0"/>
                  <w:divBdr>
                    <w:top w:val="none" w:sz="0" w:space="0" w:color="auto"/>
                    <w:left w:val="none" w:sz="0" w:space="0" w:color="auto"/>
                    <w:bottom w:val="none" w:sz="0" w:space="0" w:color="auto"/>
                    <w:right w:val="none" w:sz="0" w:space="0" w:color="auto"/>
                  </w:divBdr>
                </w:div>
              </w:divsChild>
            </w:div>
            <w:div w:id="1275748088">
              <w:marLeft w:val="0"/>
              <w:marRight w:val="0"/>
              <w:marTop w:val="0"/>
              <w:marBottom w:val="0"/>
              <w:divBdr>
                <w:top w:val="none" w:sz="0" w:space="0" w:color="auto"/>
                <w:left w:val="none" w:sz="0" w:space="0" w:color="auto"/>
                <w:bottom w:val="none" w:sz="0" w:space="0" w:color="auto"/>
                <w:right w:val="none" w:sz="0" w:space="0" w:color="auto"/>
              </w:divBdr>
              <w:divsChild>
                <w:div w:id="1106924905">
                  <w:marLeft w:val="0"/>
                  <w:marRight w:val="0"/>
                  <w:marTop w:val="0"/>
                  <w:marBottom w:val="0"/>
                  <w:divBdr>
                    <w:top w:val="none" w:sz="0" w:space="0" w:color="auto"/>
                    <w:left w:val="none" w:sz="0" w:space="0" w:color="auto"/>
                    <w:bottom w:val="none" w:sz="0" w:space="0" w:color="auto"/>
                    <w:right w:val="none" w:sz="0" w:space="0" w:color="auto"/>
                  </w:divBdr>
                </w:div>
              </w:divsChild>
            </w:div>
            <w:div w:id="1328903598">
              <w:marLeft w:val="0"/>
              <w:marRight w:val="0"/>
              <w:marTop w:val="0"/>
              <w:marBottom w:val="0"/>
              <w:divBdr>
                <w:top w:val="none" w:sz="0" w:space="0" w:color="auto"/>
                <w:left w:val="none" w:sz="0" w:space="0" w:color="auto"/>
                <w:bottom w:val="none" w:sz="0" w:space="0" w:color="auto"/>
                <w:right w:val="none" w:sz="0" w:space="0" w:color="auto"/>
              </w:divBdr>
              <w:divsChild>
                <w:div w:id="1866870813">
                  <w:marLeft w:val="0"/>
                  <w:marRight w:val="0"/>
                  <w:marTop w:val="0"/>
                  <w:marBottom w:val="0"/>
                  <w:divBdr>
                    <w:top w:val="none" w:sz="0" w:space="0" w:color="auto"/>
                    <w:left w:val="none" w:sz="0" w:space="0" w:color="auto"/>
                    <w:bottom w:val="none" w:sz="0" w:space="0" w:color="auto"/>
                    <w:right w:val="none" w:sz="0" w:space="0" w:color="auto"/>
                  </w:divBdr>
                </w:div>
              </w:divsChild>
            </w:div>
            <w:div w:id="1359623370">
              <w:marLeft w:val="0"/>
              <w:marRight w:val="0"/>
              <w:marTop w:val="0"/>
              <w:marBottom w:val="0"/>
              <w:divBdr>
                <w:top w:val="none" w:sz="0" w:space="0" w:color="auto"/>
                <w:left w:val="none" w:sz="0" w:space="0" w:color="auto"/>
                <w:bottom w:val="none" w:sz="0" w:space="0" w:color="auto"/>
                <w:right w:val="none" w:sz="0" w:space="0" w:color="auto"/>
              </w:divBdr>
              <w:divsChild>
                <w:div w:id="2126651957">
                  <w:marLeft w:val="0"/>
                  <w:marRight w:val="0"/>
                  <w:marTop w:val="0"/>
                  <w:marBottom w:val="0"/>
                  <w:divBdr>
                    <w:top w:val="none" w:sz="0" w:space="0" w:color="auto"/>
                    <w:left w:val="none" w:sz="0" w:space="0" w:color="auto"/>
                    <w:bottom w:val="none" w:sz="0" w:space="0" w:color="auto"/>
                    <w:right w:val="none" w:sz="0" w:space="0" w:color="auto"/>
                  </w:divBdr>
                </w:div>
              </w:divsChild>
            </w:div>
            <w:div w:id="1376664140">
              <w:marLeft w:val="0"/>
              <w:marRight w:val="0"/>
              <w:marTop w:val="0"/>
              <w:marBottom w:val="0"/>
              <w:divBdr>
                <w:top w:val="none" w:sz="0" w:space="0" w:color="auto"/>
                <w:left w:val="none" w:sz="0" w:space="0" w:color="auto"/>
                <w:bottom w:val="none" w:sz="0" w:space="0" w:color="auto"/>
                <w:right w:val="none" w:sz="0" w:space="0" w:color="auto"/>
              </w:divBdr>
              <w:divsChild>
                <w:div w:id="724722183">
                  <w:marLeft w:val="0"/>
                  <w:marRight w:val="0"/>
                  <w:marTop w:val="0"/>
                  <w:marBottom w:val="0"/>
                  <w:divBdr>
                    <w:top w:val="none" w:sz="0" w:space="0" w:color="auto"/>
                    <w:left w:val="none" w:sz="0" w:space="0" w:color="auto"/>
                    <w:bottom w:val="none" w:sz="0" w:space="0" w:color="auto"/>
                    <w:right w:val="none" w:sz="0" w:space="0" w:color="auto"/>
                  </w:divBdr>
                </w:div>
              </w:divsChild>
            </w:div>
            <w:div w:id="1408578061">
              <w:marLeft w:val="0"/>
              <w:marRight w:val="0"/>
              <w:marTop w:val="0"/>
              <w:marBottom w:val="0"/>
              <w:divBdr>
                <w:top w:val="none" w:sz="0" w:space="0" w:color="auto"/>
                <w:left w:val="none" w:sz="0" w:space="0" w:color="auto"/>
                <w:bottom w:val="none" w:sz="0" w:space="0" w:color="auto"/>
                <w:right w:val="none" w:sz="0" w:space="0" w:color="auto"/>
              </w:divBdr>
              <w:divsChild>
                <w:div w:id="765728982">
                  <w:marLeft w:val="0"/>
                  <w:marRight w:val="0"/>
                  <w:marTop w:val="0"/>
                  <w:marBottom w:val="0"/>
                  <w:divBdr>
                    <w:top w:val="none" w:sz="0" w:space="0" w:color="auto"/>
                    <w:left w:val="none" w:sz="0" w:space="0" w:color="auto"/>
                    <w:bottom w:val="none" w:sz="0" w:space="0" w:color="auto"/>
                    <w:right w:val="none" w:sz="0" w:space="0" w:color="auto"/>
                  </w:divBdr>
                </w:div>
              </w:divsChild>
            </w:div>
            <w:div w:id="1542401953">
              <w:marLeft w:val="0"/>
              <w:marRight w:val="0"/>
              <w:marTop w:val="0"/>
              <w:marBottom w:val="0"/>
              <w:divBdr>
                <w:top w:val="none" w:sz="0" w:space="0" w:color="auto"/>
                <w:left w:val="none" w:sz="0" w:space="0" w:color="auto"/>
                <w:bottom w:val="none" w:sz="0" w:space="0" w:color="auto"/>
                <w:right w:val="none" w:sz="0" w:space="0" w:color="auto"/>
              </w:divBdr>
              <w:divsChild>
                <w:div w:id="1153447825">
                  <w:marLeft w:val="0"/>
                  <w:marRight w:val="0"/>
                  <w:marTop w:val="0"/>
                  <w:marBottom w:val="0"/>
                  <w:divBdr>
                    <w:top w:val="none" w:sz="0" w:space="0" w:color="auto"/>
                    <w:left w:val="none" w:sz="0" w:space="0" w:color="auto"/>
                    <w:bottom w:val="none" w:sz="0" w:space="0" w:color="auto"/>
                    <w:right w:val="none" w:sz="0" w:space="0" w:color="auto"/>
                  </w:divBdr>
                </w:div>
              </w:divsChild>
            </w:div>
            <w:div w:id="1594125516">
              <w:marLeft w:val="0"/>
              <w:marRight w:val="0"/>
              <w:marTop w:val="0"/>
              <w:marBottom w:val="0"/>
              <w:divBdr>
                <w:top w:val="none" w:sz="0" w:space="0" w:color="auto"/>
                <w:left w:val="none" w:sz="0" w:space="0" w:color="auto"/>
                <w:bottom w:val="none" w:sz="0" w:space="0" w:color="auto"/>
                <w:right w:val="none" w:sz="0" w:space="0" w:color="auto"/>
              </w:divBdr>
              <w:divsChild>
                <w:div w:id="1070540371">
                  <w:marLeft w:val="0"/>
                  <w:marRight w:val="0"/>
                  <w:marTop w:val="0"/>
                  <w:marBottom w:val="0"/>
                  <w:divBdr>
                    <w:top w:val="none" w:sz="0" w:space="0" w:color="auto"/>
                    <w:left w:val="none" w:sz="0" w:space="0" w:color="auto"/>
                    <w:bottom w:val="none" w:sz="0" w:space="0" w:color="auto"/>
                    <w:right w:val="none" w:sz="0" w:space="0" w:color="auto"/>
                  </w:divBdr>
                </w:div>
              </w:divsChild>
            </w:div>
            <w:div w:id="1736246390">
              <w:marLeft w:val="0"/>
              <w:marRight w:val="0"/>
              <w:marTop w:val="0"/>
              <w:marBottom w:val="0"/>
              <w:divBdr>
                <w:top w:val="none" w:sz="0" w:space="0" w:color="auto"/>
                <w:left w:val="none" w:sz="0" w:space="0" w:color="auto"/>
                <w:bottom w:val="none" w:sz="0" w:space="0" w:color="auto"/>
                <w:right w:val="none" w:sz="0" w:space="0" w:color="auto"/>
              </w:divBdr>
              <w:divsChild>
                <w:div w:id="106118204">
                  <w:marLeft w:val="0"/>
                  <w:marRight w:val="0"/>
                  <w:marTop w:val="0"/>
                  <w:marBottom w:val="0"/>
                  <w:divBdr>
                    <w:top w:val="none" w:sz="0" w:space="0" w:color="auto"/>
                    <w:left w:val="none" w:sz="0" w:space="0" w:color="auto"/>
                    <w:bottom w:val="none" w:sz="0" w:space="0" w:color="auto"/>
                    <w:right w:val="none" w:sz="0" w:space="0" w:color="auto"/>
                  </w:divBdr>
                </w:div>
              </w:divsChild>
            </w:div>
            <w:div w:id="1820070006">
              <w:marLeft w:val="0"/>
              <w:marRight w:val="0"/>
              <w:marTop w:val="0"/>
              <w:marBottom w:val="0"/>
              <w:divBdr>
                <w:top w:val="none" w:sz="0" w:space="0" w:color="auto"/>
                <w:left w:val="none" w:sz="0" w:space="0" w:color="auto"/>
                <w:bottom w:val="none" w:sz="0" w:space="0" w:color="auto"/>
                <w:right w:val="none" w:sz="0" w:space="0" w:color="auto"/>
              </w:divBdr>
              <w:divsChild>
                <w:div w:id="1002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6961">
          <w:marLeft w:val="0"/>
          <w:marRight w:val="0"/>
          <w:marTop w:val="0"/>
          <w:marBottom w:val="0"/>
          <w:divBdr>
            <w:top w:val="none" w:sz="0" w:space="0" w:color="auto"/>
            <w:left w:val="none" w:sz="0" w:space="0" w:color="auto"/>
            <w:bottom w:val="none" w:sz="0" w:space="0" w:color="auto"/>
            <w:right w:val="none" w:sz="0" w:space="0" w:color="auto"/>
          </w:divBdr>
        </w:div>
        <w:div w:id="1486773195">
          <w:marLeft w:val="0"/>
          <w:marRight w:val="0"/>
          <w:marTop w:val="0"/>
          <w:marBottom w:val="0"/>
          <w:divBdr>
            <w:top w:val="none" w:sz="0" w:space="0" w:color="auto"/>
            <w:left w:val="none" w:sz="0" w:space="0" w:color="auto"/>
            <w:bottom w:val="none" w:sz="0" w:space="0" w:color="auto"/>
            <w:right w:val="none" w:sz="0" w:space="0" w:color="auto"/>
          </w:divBdr>
        </w:div>
        <w:div w:id="1493179917">
          <w:marLeft w:val="0"/>
          <w:marRight w:val="0"/>
          <w:marTop w:val="0"/>
          <w:marBottom w:val="0"/>
          <w:divBdr>
            <w:top w:val="none" w:sz="0" w:space="0" w:color="auto"/>
            <w:left w:val="none" w:sz="0" w:space="0" w:color="auto"/>
            <w:bottom w:val="none" w:sz="0" w:space="0" w:color="auto"/>
            <w:right w:val="none" w:sz="0" w:space="0" w:color="auto"/>
          </w:divBdr>
        </w:div>
        <w:div w:id="1503547891">
          <w:marLeft w:val="0"/>
          <w:marRight w:val="0"/>
          <w:marTop w:val="0"/>
          <w:marBottom w:val="0"/>
          <w:divBdr>
            <w:top w:val="none" w:sz="0" w:space="0" w:color="auto"/>
            <w:left w:val="none" w:sz="0" w:space="0" w:color="auto"/>
            <w:bottom w:val="none" w:sz="0" w:space="0" w:color="auto"/>
            <w:right w:val="none" w:sz="0" w:space="0" w:color="auto"/>
          </w:divBdr>
        </w:div>
        <w:div w:id="1546985926">
          <w:marLeft w:val="0"/>
          <w:marRight w:val="0"/>
          <w:marTop w:val="0"/>
          <w:marBottom w:val="0"/>
          <w:divBdr>
            <w:top w:val="none" w:sz="0" w:space="0" w:color="auto"/>
            <w:left w:val="none" w:sz="0" w:space="0" w:color="auto"/>
            <w:bottom w:val="none" w:sz="0" w:space="0" w:color="auto"/>
            <w:right w:val="none" w:sz="0" w:space="0" w:color="auto"/>
          </w:divBdr>
        </w:div>
        <w:div w:id="1555193165">
          <w:marLeft w:val="0"/>
          <w:marRight w:val="0"/>
          <w:marTop w:val="0"/>
          <w:marBottom w:val="0"/>
          <w:divBdr>
            <w:top w:val="none" w:sz="0" w:space="0" w:color="auto"/>
            <w:left w:val="none" w:sz="0" w:space="0" w:color="auto"/>
            <w:bottom w:val="none" w:sz="0" w:space="0" w:color="auto"/>
            <w:right w:val="none" w:sz="0" w:space="0" w:color="auto"/>
          </w:divBdr>
        </w:div>
        <w:div w:id="1557160589">
          <w:marLeft w:val="0"/>
          <w:marRight w:val="0"/>
          <w:marTop w:val="0"/>
          <w:marBottom w:val="0"/>
          <w:divBdr>
            <w:top w:val="none" w:sz="0" w:space="0" w:color="auto"/>
            <w:left w:val="none" w:sz="0" w:space="0" w:color="auto"/>
            <w:bottom w:val="none" w:sz="0" w:space="0" w:color="auto"/>
            <w:right w:val="none" w:sz="0" w:space="0" w:color="auto"/>
          </w:divBdr>
        </w:div>
        <w:div w:id="1584993611">
          <w:marLeft w:val="0"/>
          <w:marRight w:val="0"/>
          <w:marTop w:val="0"/>
          <w:marBottom w:val="0"/>
          <w:divBdr>
            <w:top w:val="none" w:sz="0" w:space="0" w:color="auto"/>
            <w:left w:val="none" w:sz="0" w:space="0" w:color="auto"/>
            <w:bottom w:val="none" w:sz="0" w:space="0" w:color="auto"/>
            <w:right w:val="none" w:sz="0" w:space="0" w:color="auto"/>
          </w:divBdr>
        </w:div>
        <w:div w:id="1608348944">
          <w:marLeft w:val="0"/>
          <w:marRight w:val="0"/>
          <w:marTop w:val="0"/>
          <w:marBottom w:val="0"/>
          <w:divBdr>
            <w:top w:val="none" w:sz="0" w:space="0" w:color="auto"/>
            <w:left w:val="none" w:sz="0" w:space="0" w:color="auto"/>
            <w:bottom w:val="none" w:sz="0" w:space="0" w:color="auto"/>
            <w:right w:val="none" w:sz="0" w:space="0" w:color="auto"/>
          </w:divBdr>
        </w:div>
        <w:div w:id="1714303237">
          <w:marLeft w:val="0"/>
          <w:marRight w:val="0"/>
          <w:marTop w:val="0"/>
          <w:marBottom w:val="0"/>
          <w:divBdr>
            <w:top w:val="none" w:sz="0" w:space="0" w:color="auto"/>
            <w:left w:val="none" w:sz="0" w:space="0" w:color="auto"/>
            <w:bottom w:val="none" w:sz="0" w:space="0" w:color="auto"/>
            <w:right w:val="none" w:sz="0" w:space="0" w:color="auto"/>
          </w:divBdr>
        </w:div>
        <w:div w:id="1747068220">
          <w:marLeft w:val="0"/>
          <w:marRight w:val="0"/>
          <w:marTop w:val="0"/>
          <w:marBottom w:val="0"/>
          <w:divBdr>
            <w:top w:val="none" w:sz="0" w:space="0" w:color="auto"/>
            <w:left w:val="none" w:sz="0" w:space="0" w:color="auto"/>
            <w:bottom w:val="none" w:sz="0" w:space="0" w:color="auto"/>
            <w:right w:val="none" w:sz="0" w:space="0" w:color="auto"/>
          </w:divBdr>
        </w:div>
        <w:div w:id="1751148191">
          <w:marLeft w:val="0"/>
          <w:marRight w:val="0"/>
          <w:marTop w:val="0"/>
          <w:marBottom w:val="0"/>
          <w:divBdr>
            <w:top w:val="none" w:sz="0" w:space="0" w:color="auto"/>
            <w:left w:val="none" w:sz="0" w:space="0" w:color="auto"/>
            <w:bottom w:val="none" w:sz="0" w:space="0" w:color="auto"/>
            <w:right w:val="none" w:sz="0" w:space="0" w:color="auto"/>
          </w:divBdr>
        </w:div>
        <w:div w:id="1756513586">
          <w:marLeft w:val="-75"/>
          <w:marRight w:val="0"/>
          <w:marTop w:val="30"/>
          <w:marBottom w:val="30"/>
          <w:divBdr>
            <w:top w:val="none" w:sz="0" w:space="0" w:color="auto"/>
            <w:left w:val="none" w:sz="0" w:space="0" w:color="auto"/>
            <w:bottom w:val="none" w:sz="0" w:space="0" w:color="auto"/>
            <w:right w:val="none" w:sz="0" w:space="0" w:color="auto"/>
          </w:divBdr>
          <w:divsChild>
            <w:div w:id="59139738">
              <w:marLeft w:val="0"/>
              <w:marRight w:val="0"/>
              <w:marTop w:val="0"/>
              <w:marBottom w:val="0"/>
              <w:divBdr>
                <w:top w:val="none" w:sz="0" w:space="0" w:color="auto"/>
                <w:left w:val="none" w:sz="0" w:space="0" w:color="auto"/>
                <w:bottom w:val="none" w:sz="0" w:space="0" w:color="auto"/>
                <w:right w:val="none" w:sz="0" w:space="0" w:color="auto"/>
              </w:divBdr>
              <w:divsChild>
                <w:div w:id="8220790">
                  <w:marLeft w:val="0"/>
                  <w:marRight w:val="0"/>
                  <w:marTop w:val="0"/>
                  <w:marBottom w:val="0"/>
                  <w:divBdr>
                    <w:top w:val="none" w:sz="0" w:space="0" w:color="auto"/>
                    <w:left w:val="none" w:sz="0" w:space="0" w:color="auto"/>
                    <w:bottom w:val="none" w:sz="0" w:space="0" w:color="auto"/>
                    <w:right w:val="none" w:sz="0" w:space="0" w:color="auto"/>
                  </w:divBdr>
                </w:div>
              </w:divsChild>
            </w:div>
            <w:div w:id="209193304">
              <w:marLeft w:val="0"/>
              <w:marRight w:val="0"/>
              <w:marTop w:val="0"/>
              <w:marBottom w:val="0"/>
              <w:divBdr>
                <w:top w:val="none" w:sz="0" w:space="0" w:color="auto"/>
                <w:left w:val="none" w:sz="0" w:space="0" w:color="auto"/>
                <w:bottom w:val="none" w:sz="0" w:space="0" w:color="auto"/>
                <w:right w:val="none" w:sz="0" w:space="0" w:color="auto"/>
              </w:divBdr>
              <w:divsChild>
                <w:div w:id="688020309">
                  <w:marLeft w:val="0"/>
                  <w:marRight w:val="0"/>
                  <w:marTop w:val="0"/>
                  <w:marBottom w:val="0"/>
                  <w:divBdr>
                    <w:top w:val="none" w:sz="0" w:space="0" w:color="auto"/>
                    <w:left w:val="none" w:sz="0" w:space="0" w:color="auto"/>
                    <w:bottom w:val="none" w:sz="0" w:space="0" w:color="auto"/>
                    <w:right w:val="none" w:sz="0" w:space="0" w:color="auto"/>
                  </w:divBdr>
                </w:div>
                <w:div w:id="2016300438">
                  <w:marLeft w:val="0"/>
                  <w:marRight w:val="0"/>
                  <w:marTop w:val="0"/>
                  <w:marBottom w:val="0"/>
                  <w:divBdr>
                    <w:top w:val="none" w:sz="0" w:space="0" w:color="auto"/>
                    <w:left w:val="none" w:sz="0" w:space="0" w:color="auto"/>
                    <w:bottom w:val="none" w:sz="0" w:space="0" w:color="auto"/>
                    <w:right w:val="none" w:sz="0" w:space="0" w:color="auto"/>
                  </w:divBdr>
                </w:div>
              </w:divsChild>
            </w:div>
            <w:div w:id="211814796">
              <w:marLeft w:val="0"/>
              <w:marRight w:val="0"/>
              <w:marTop w:val="0"/>
              <w:marBottom w:val="0"/>
              <w:divBdr>
                <w:top w:val="none" w:sz="0" w:space="0" w:color="auto"/>
                <w:left w:val="none" w:sz="0" w:space="0" w:color="auto"/>
                <w:bottom w:val="none" w:sz="0" w:space="0" w:color="auto"/>
                <w:right w:val="none" w:sz="0" w:space="0" w:color="auto"/>
              </w:divBdr>
              <w:divsChild>
                <w:div w:id="1024483845">
                  <w:marLeft w:val="0"/>
                  <w:marRight w:val="0"/>
                  <w:marTop w:val="0"/>
                  <w:marBottom w:val="0"/>
                  <w:divBdr>
                    <w:top w:val="none" w:sz="0" w:space="0" w:color="auto"/>
                    <w:left w:val="none" w:sz="0" w:space="0" w:color="auto"/>
                    <w:bottom w:val="none" w:sz="0" w:space="0" w:color="auto"/>
                    <w:right w:val="none" w:sz="0" w:space="0" w:color="auto"/>
                  </w:divBdr>
                </w:div>
              </w:divsChild>
            </w:div>
            <w:div w:id="530338413">
              <w:marLeft w:val="0"/>
              <w:marRight w:val="0"/>
              <w:marTop w:val="0"/>
              <w:marBottom w:val="0"/>
              <w:divBdr>
                <w:top w:val="none" w:sz="0" w:space="0" w:color="auto"/>
                <w:left w:val="none" w:sz="0" w:space="0" w:color="auto"/>
                <w:bottom w:val="none" w:sz="0" w:space="0" w:color="auto"/>
                <w:right w:val="none" w:sz="0" w:space="0" w:color="auto"/>
              </w:divBdr>
              <w:divsChild>
                <w:div w:id="1756390931">
                  <w:marLeft w:val="0"/>
                  <w:marRight w:val="0"/>
                  <w:marTop w:val="0"/>
                  <w:marBottom w:val="0"/>
                  <w:divBdr>
                    <w:top w:val="none" w:sz="0" w:space="0" w:color="auto"/>
                    <w:left w:val="none" w:sz="0" w:space="0" w:color="auto"/>
                    <w:bottom w:val="none" w:sz="0" w:space="0" w:color="auto"/>
                    <w:right w:val="none" w:sz="0" w:space="0" w:color="auto"/>
                  </w:divBdr>
                </w:div>
              </w:divsChild>
            </w:div>
            <w:div w:id="671567484">
              <w:marLeft w:val="0"/>
              <w:marRight w:val="0"/>
              <w:marTop w:val="0"/>
              <w:marBottom w:val="0"/>
              <w:divBdr>
                <w:top w:val="none" w:sz="0" w:space="0" w:color="auto"/>
                <w:left w:val="none" w:sz="0" w:space="0" w:color="auto"/>
                <w:bottom w:val="none" w:sz="0" w:space="0" w:color="auto"/>
                <w:right w:val="none" w:sz="0" w:space="0" w:color="auto"/>
              </w:divBdr>
              <w:divsChild>
                <w:div w:id="391931528">
                  <w:marLeft w:val="0"/>
                  <w:marRight w:val="0"/>
                  <w:marTop w:val="0"/>
                  <w:marBottom w:val="0"/>
                  <w:divBdr>
                    <w:top w:val="none" w:sz="0" w:space="0" w:color="auto"/>
                    <w:left w:val="none" w:sz="0" w:space="0" w:color="auto"/>
                    <w:bottom w:val="none" w:sz="0" w:space="0" w:color="auto"/>
                    <w:right w:val="none" w:sz="0" w:space="0" w:color="auto"/>
                  </w:divBdr>
                </w:div>
              </w:divsChild>
            </w:div>
            <w:div w:id="1133642605">
              <w:marLeft w:val="0"/>
              <w:marRight w:val="0"/>
              <w:marTop w:val="0"/>
              <w:marBottom w:val="0"/>
              <w:divBdr>
                <w:top w:val="none" w:sz="0" w:space="0" w:color="auto"/>
                <w:left w:val="none" w:sz="0" w:space="0" w:color="auto"/>
                <w:bottom w:val="none" w:sz="0" w:space="0" w:color="auto"/>
                <w:right w:val="none" w:sz="0" w:space="0" w:color="auto"/>
              </w:divBdr>
              <w:divsChild>
                <w:div w:id="2129735445">
                  <w:marLeft w:val="0"/>
                  <w:marRight w:val="0"/>
                  <w:marTop w:val="0"/>
                  <w:marBottom w:val="0"/>
                  <w:divBdr>
                    <w:top w:val="none" w:sz="0" w:space="0" w:color="auto"/>
                    <w:left w:val="none" w:sz="0" w:space="0" w:color="auto"/>
                    <w:bottom w:val="none" w:sz="0" w:space="0" w:color="auto"/>
                    <w:right w:val="none" w:sz="0" w:space="0" w:color="auto"/>
                  </w:divBdr>
                </w:div>
              </w:divsChild>
            </w:div>
            <w:div w:id="1218325355">
              <w:marLeft w:val="0"/>
              <w:marRight w:val="0"/>
              <w:marTop w:val="0"/>
              <w:marBottom w:val="0"/>
              <w:divBdr>
                <w:top w:val="none" w:sz="0" w:space="0" w:color="auto"/>
                <w:left w:val="none" w:sz="0" w:space="0" w:color="auto"/>
                <w:bottom w:val="none" w:sz="0" w:space="0" w:color="auto"/>
                <w:right w:val="none" w:sz="0" w:space="0" w:color="auto"/>
              </w:divBdr>
              <w:divsChild>
                <w:div w:id="1125467456">
                  <w:marLeft w:val="0"/>
                  <w:marRight w:val="0"/>
                  <w:marTop w:val="0"/>
                  <w:marBottom w:val="0"/>
                  <w:divBdr>
                    <w:top w:val="none" w:sz="0" w:space="0" w:color="auto"/>
                    <w:left w:val="none" w:sz="0" w:space="0" w:color="auto"/>
                    <w:bottom w:val="none" w:sz="0" w:space="0" w:color="auto"/>
                    <w:right w:val="none" w:sz="0" w:space="0" w:color="auto"/>
                  </w:divBdr>
                </w:div>
              </w:divsChild>
            </w:div>
            <w:div w:id="1305895007">
              <w:marLeft w:val="0"/>
              <w:marRight w:val="0"/>
              <w:marTop w:val="0"/>
              <w:marBottom w:val="0"/>
              <w:divBdr>
                <w:top w:val="none" w:sz="0" w:space="0" w:color="auto"/>
                <w:left w:val="none" w:sz="0" w:space="0" w:color="auto"/>
                <w:bottom w:val="none" w:sz="0" w:space="0" w:color="auto"/>
                <w:right w:val="none" w:sz="0" w:space="0" w:color="auto"/>
              </w:divBdr>
              <w:divsChild>
                <w:div w:id="330178647">
                  <w:marLeft w:val="0"/>
                  <w:marRight w:val="0"/>
                  <w:marTop w:val="0"/>
                  <w:marBottom w:val="0"/>
                  <w:divBdr>
                    <w:top w:val="none" w:sz="0" w:space="0" w:color="auto"/>
                    <w:left w:val="none" w:sz="0" w:space="0" w:color="auto"/>
                    <w:bottom w:val="none" w:sz="0" w:space="0" w:color="auto"/>
                    <w:right w:val="none" w:sz="0" w:space="0" w:color="auto"/>
                  </w:divBdr>
                </w:div>
                <w:div w:id="780340956">
                  <w:marLeft w:val="0"/>
                  <w:marRight w:val="0"/>
                  <w:marTop w:val="0"/>
                  <w:marBottom w:val="0"/>
                  <w:divBdr>
                    <w:top w:val="none" w:sz="0" w:space="0" w:color="auto"/>
                    <w:left w:val="none" w:sz="0" w:space="0" w:color="auto"/>
                    <w:bottom w:val="none" w:sz="0" w:space="0" w:color="auto"/>
                    <w:right w:val="none" w:sz="0" w:space="0" w:color="auto"/>
                  </w:divBdr>
                </w:div>
                <w:div w:id="1283535533">
                  <w:marLeft w:val="0"/>
                  <w:marRight w:val="0"/>
                  <w:marTop w:val="0"/>
                  <w:marBottom w:val="0"/>
                  <w:divBdr>
                    <w:top w:val="none" w:sz="0" w:space="0" w:color="auto"/>
                    <w:left w:val="none" w:sz="0" w:space="0" w:color="auto"/>
                    <w:bottom w:val="none" w:sz="0" w:space="0" w:color="auto"/>
                    <w:right w:val="none" w:sz="0" w:space="0" w:color="auto"/>
                  </w:divBdr>
                </w:div>
                <w:div w:id="1292134185">
                  <w:marLeft w:val="0"/>
                  <w:marRight w:val="0"/>
                  <w:marTop w:val="0"/>
                  <w:marBottom w:val="0"/>
                  <w:divBdr>
                    <w:top w:val="none" w:sz="0" w:space="0" w:color="auto"/>
                    <w:left w:val="none" w:sz="0" w:space="0" w:color="auto"/>
                    <w:bottom w:val="none" w:sz="0" w:space="0" w:color="auto"/>
                    <w:right w:val="none" w:sz="0" w:space="0" w:color="auto"/>
                  </w:divBdr>
                </w:div>
                <w:div w:id="1418558011">
                  <w:marLeft w:val="0"/>
                  <w:marRight w:val="0"/>
                  <w:marTop w:val="0"/>
                  <w:marBottom w:val="0"/>
                  <w:divBdr>
                    <w:top w:val="none" w:sz="0" w:space="0" w:color="auto"/>
                    <w:left w:val="none" w:sz="0" w:space="0" w:color="auto"/>
                    <w:bottom w:val="none" w:sz="0" w:space="0" w:color="auto"/>
                    <w:right w:val="none" w:sz="0" w:space="0" w:color="auto"/>
                  </w:divBdr>
                </w:div>
              </w:divsChild>
            </w:div>
            <w:div w:id="1565681443">
              <w:marLeft w:val="0"/>
              <w:marRight w:val="0"/>
              <w:marTop w:val="0"/>
              <w:marBottom w:val="0"/>
              <w:divBdr>
                <w:top w:val="none" w:sz="0" w:space="0" w:color="auto"/>
                <w:left w:val="none" w:sz="0" w:space="0" w:color="auto"/>
                <w:bottom w:val="none" w:sz="0" w:space="0" w:color="auto"/>
                <w:right w:val="none" w:sz="0" w:space="0" w:color="auto"/>
              </w:divBdr>
              <w:divsChild>
                <w:div w:id="779881545">
                  <w:marLeft w:val="0"/>
                  <w:marRight w:val="0"/>
                  <w:marTop w:val="0"/>
                  <w:marBottom w:val="0"/>
                  <w:divBdr>
                    <w:top w:val="none" w:sz="0" w:space="0" w:color="auto"/>
                    <w:left w:val="none" w:sz="0" w:space="0" w:color="auto"/>
                    <w:bottom w:val="none" w:sz="0" w:space="0" w:color="auto"/>
                    <w:right w:val="none" w:sz="0" w:space="0" w:color="auto"/>
                  </w:divBdr>
                </w:div>
              </w:divsChild>
            </w:div>
            <w:div w:id="1628312598">
              <w:marLeft w:val="0"/>
              <w:marRight w:val="0"/>
              <w:marTop w:val="0"/>
              <w:marBottom w:val="0"/>
              <w:divBdr>
                <w:top w:val="none" w:sz="0" w:space="0" w:color="auto"/>
                <w:left w:val="none" w:sz="0" w:space="0" w:color="auto"/>
                <w:bottom w:val="none" w:sz="0" w:space="0" w:color="auto"/>
                <w:right w:val="none" w:sz="0" w:space="0" w:color="auto"/>
              </w:divBdr>
              <w:divsChild>
                <w:div w:id="1425035068">
                  <w:marLeft w:val="0"/>
                  <w:marRight w:val="0"/>
                  <w:marTop w:val="0"/>
                  <w:marBottom w:val="0"/>
                  <w:divBdr>
                    <w:top w:val="none" w:sz="0" w:space="0" w:color="auto"/>
                    <w:left w:val="none" w:sz="0" w:space="0" w:color="auto"/>
                    <w:bottom w:val="none" w:sz="0" w:space="0" w:color="auto"/>
                    <w:right w:val="none" w:sz="0" w:space="0" w:color="auto"/>
                  </w:divBdr>
                </w:div>
              </w:divsChild>
            </w:div>
            <w:div w:id="1650939574">
              <w:marLeft w:val="0"/>
              <w:marRight w:val="0"/>
              <w:marTop w:val="0"/>
              <w:marBottom w:val="0"/>
              <w:divBdr>
                <w:top w:val="none" w:sz="0" w:space="0" w:color="auto"/>
                <w:left w:val="none" w:sz="0" w:space="0" w:color="auto"/>
                <w:bottom w:val="none" w:sz="0" w:space="0" w:color="auto"/>
                <w:right w:val="none" w:sz="0" w:space="0" w:color="auto"/>
              </w:divBdr>
              <w:divsChild>
                <w:div w:id="884756925">
                  <w:marLeft w:val="0"/>
                  <w:marRight w:val="0"/>
                  <w:marTop w:val="0"/>
                  <w:marBottom w:val="0"/>
                  <w:divBdr>
                    <w:top w:val="none" w:sz="0" w:space="0" w:color="auto"/>
                    <w:left w:val="none" w:sz="0" w:space="0" w:color="auto"/>
                    <w:bottom w:val="none" w:sz="0" w:space="0" w:color="auto"/>
                    <w:right w:val="none" w:sz="0" w:space="0" w:color="auto"/>
                  </w:divBdr>
                </w:div>
              </w:divsChild>
            </w:div>
            <w:div w:id="1994136102">
              <w:marLeft w:val="0"/>
              <w:marRight w:val="0"/>
              <w:marTop w:val="0"/>
              <w:marBottom w:val="0"/>
              <w:divBdr>
                <w:top w:val="none" w:sz="0" w:space="0" w:color="auto"/>
                <w:left w:val="none" w:sz="0" w:space="0" w:color="auto"/>
                <w:bottom w:val="none" w:sz="0" w:space="0" w:color="auto"/>
                <w:right w:val="none" w:sz="0" w:space="0" w:color="auto"/>
              </w:divBdr>
              <w:divsChild>
                <w:div w:id="9677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248">
          <w:marLeft w:val="0"/>
          <w:marRight w:val="0"/>
          <w:marTop w:val="0"/>
          <w:marBottom w:val="0"/>
          <w:divBdr>
            <w:top w:val="none" w:sz="0" w:space="0" w:color="auto"/>
            <w:left w:val="none" w:sz="0" w:space="0" w:color="auto"/>
            <w:bottom w:val="none" w:sz="0" w:space="0" w:color="auto"/>
            <w:right w:val="none" w:sz="0" w:space="0" w:color="auto"/>
          </w:divBdr>
        </w:div>
        <w:div w:id="1778021032">
          <w:marLeft w:val="0"/>
          <w:marRight w:val="0"/>
          <w:marTop w:val="0"/>
          <w:marBottom w:val="0"/>
          <w:divBdr>
            <w:top w:val="none" w:sz="0" w:space="0" w:color="auto"/>
            <w:left w:val="none" w:sz="0" w:space="0" w:color="auto"/>
            <w:bottom w:val="none" w:sz="0" w:space="0" w:color="auto"/>
            <w:right w:val="none" w:sz="0" w:space="0" w:color="auto"/>
          </w:divBdr>
        </w:div>
        <w:div w:id="1827697888">
          <w:marLeft w:val="0"/>
          <w:marRight w:val="0"/>
          <w:marTop w:val="0"/>
          <w:marBottom w:val="0"/>
          <w:divBdr>
            <w:top w:val="none" w:sz="0" w:space="0" w:color="auto"/>
            <w:left w:val="none" w:sz="0" w:space="0" w:color="auto"/>
            <w:bottom w:val="none" w:sz="0" w:space="0" w:color="auto"/>
            <w:right w:val="none" w:sz="0" w:space="0" w:color="auto"/>
          </w:divBdr>
        </w:div>
        <w:div w:id="1850832162">
          <w:marLeft w:val="0"/>
          <w:marRight w:val="0"/>
          <w:marTop w:val="0"/>
          <w:marBottom w:val="0"/>
          <w:divBdr>
            <w:top w:val="none" w:sz="0" w:space="0" w:color="auto"/>
            <w:left w:val="none" w:sz="0" w:space="0" w:color="auto"/>
            <w:bottom w:val="none" w:sz="0" w:space="0" w:color="auto"/>
            <w:right w:val="none" w:sz="0" w:space="0" w:color="auto"/>
          </w:divBdr>
        </w:div>
        <w:div w:id="1851793222">
          <w:marLeft w:val="0"/>
          <w:marRight w:val="0"/>
          <w:marTop w:val="0"/>
          <w:marBottom w:val="0"/>
          <w:divBdr>
            <w:top w:val="none" w:sz="0" w:space="0" w:color="auto"/>
            <w:left w:val="none" w:sz="0" w:space="0" w:color="auto"/>
            <w:bottom w:val="none" w:sz="0" w:space="0" w:color="auto"/>
            <w:right w:val="none" w:sz="0" w:space="0" w:color="auto"/>
          </w:divBdr>
        </w:div>
        <w:div w:id="1857646815">
          <w:marLeft w:val="0"/>
          <w:marRight w:val="0"/>
          <w:marTop w:val="0"/>
          <w:marBottom w:val="0"/>
          <w:divBdr>
            <w:top w:val="none" w:sz="0" w:space="0" w:color="auto"/>
            <w:left w:val="none" w:sz="0" w:space="0" w:color="auto"/>
            <w:bottom w:val="none" w:sz="0" w:space="0" w:color="auto"/>
            <w:right w:val="none" w:sz="0" w:space="0" w:color="auto"/>
          </w:divBdr>
        </w:div>
        <w:div w:id="1880046743">
          <w:marLeft w:val="-75"/>
          <w:marRight w:val="0"/>
          <w:marTop w:val="30"/>
          <w:marBottom w:val="30"/>
          <w:divBdr>
            <w:top w:val="none" w:sz="0" w:space="0" w:color="auto"/>
            <w:left w:val="none" w:sz="0" w:space="0" w:color="auto"/>
            <w:bottom w:val="none" w:sz="0" w:space="0" w:color="auto"/>
            <w:right w:val="none" w:sz="0" w:space="0" w:color="auto"/>
          </w:divBdr>
          <w:divsChild>
            <w:div w:id="52585942">
              <w:marLeft w:val="0"/>
              <w:marRight w:val="0"/>
              <w:marTop w:val="0"/>
              <w:marBottom w:val="0"/>
              <w:divBdr>
                <w:top w:val="none" w:sz="0" w:space="0" w:color="auto"/>
                <w:left w:val="none" w:sz="0" w:space="0" w:color="auto"/>
                <w:bottom w:val="none" w:sz="0" w:space="0" w:color="auto"/>
                <w:right w:val="none" w:sz="0" w:space="0" w:color="auto"/>
              </w:divBdr>
              <w:divsChild>
                <w:div w:id="37633475">
                  <w:marLeft w:val="0"/>
                  <w:marRight w:val="0"/>
                  <w:marTop w:val="0"/>
                  <w:marBottom w:val="0"/>
                  <w:divBdr>
                    <w:top w:val="none" w:sz="0" w:space="0" w:color="auto"/>
                    <w:left w:val="none" w:sz="0" w:space="0" w:color="auto"/>
                    <w:bottom w:val="none" w:sz="0" w:space="0" w:color="auto"/>
                    <w:right w:val="none" w:sz="0" w:space="0" w:color="auto"/>
                  </w:divBdr>
                </w:div>
              </w:divsChild>
            </w:div>
            <w:div w:id="88238970">
              <w:marLeft w:val="0"/>
              <w:marRight w:val="0"/>
              <w:marTop w:val="0"/>
              <w:marBottom w:val="0"/>
              <w:divBdr>
                <w:top w:val="none" w:sz="0" w:space="0" w:color="auto"/>
                <w:left w:val="none" w:sz="0" w:space="0" w:color="auto"/>
                <w:bottom w:val="none" w:sz="0" w:space="0" w:color="auto"/>
                <w:right w:val="none" w:sz="0" w:space="0" w:color="auto"/>
              </w:divBdr>
              <w:divsChild>
                <w:div w:id="1243951271">
                  <w:marLeft w:val="0"/>
                  <w:marRight w:val="0"/>
                  <w:marTop w:val="0"/>
                  <w:marBottom w:val="0"/>
                  <w:divBdr>
                    <w:top w:val="none" w:sz="0" w:space="0" w:color="auto"/>
                    <w:left w:val="none" w:sz="0" w:space="0" w:color="auto"/>
                    <w:bottom w:val="none" w:sz="0" w:space="0" w:color="auto"/>
                    <w:right w:val="none" w:sz="0" w:space="0" w:color="auto"/>
                  </w:divBdr>
                </w:div>
              </w:divsChild>
            </w:div>
            <w:div w:id="251937052">
              <w:marLeft w:val="0"/>
              <w:marRight w:val="0"/>
              <w:marTop w:val="0"/>
              <w:marBottom w:val="0"/>
              <w:divBdr>
                <w:top w:val="none" w:sz="0" w:space="0" w:color="auto"/>
                <w:left w:val="none" w:sz="0" w:space="0" w:color="auto"/>
                <w:bottom w:val="none" w:sz="0" w:space="0" w:color="auto"/>
                <w:right w:val="none" w:sz="0" w:space="0" w:color="auto"/>
              </w:divBdr>
              <w:divsChild>
                <w:div w:id="1995793445">
                  <w:marLeft w:val="0"/>
                  <w:marRight w:val="0"/>
                  <w:marTop w:val="0"/>
                  <w:marBottom w:val="0"/>
                  <w:divBdr>
                    <w:top w:val="none" w:sz="0" w:space="0" w:color="auto"/>
                    <w:left w:val="none" w:sz="0" w:space="0" w:color="auto"/>
                    <w:bottom w:val="none" w:sz="0" w:space="0" w:color="auto"/>
                    <w:right w:val="none" w:sz="0" w:space="0" w:color="auto"/>
                  </w:divBdr>
                </w:div>
              </w:divsChild>
            </w:div>
            <w:div w:id="395974930">
              <w:marLeft w:val="0"/>
              <w:marRight w:val="0"/>
              <w:marTop w:val="0"/>
              <w:marBottom w:val="0"/>
              <w:divBdr>
                <w:top w:val="none" w:sz="0" w:space="0" w:color="auto"/>
                <w:left w:val="none" w:sz="0" w:space="0" w:color="auto"/>
                <w:bottom w:val="none" w:sz="0" w:space="0" w:color="auto"/>
                <w:right w:val="none" w:sz="0" w:space="0" w:color="auto"/>
              </w:divBdr>
              <w:divsChild>
                <w:div w:id="525605249">
                  <w:marLeft w:val="0"/>
                  <w:marRight w:val="0"/>
                  <w:marTop w:val="0"/>
                  <w:marBottom w:val="0"/>
                  <w:divBdr>
                    <w:top w:val="none" w:sz="0" w:space="0" w:color="auto"/>
                    <w:left w:val="none" w:sz="0" w:space="0" w:color="auto"/>
                    <w:bottom w:val="none" w:sz="0" w:space="0" w:color="auto"/>
                    <w:right w:val="none" w:sz="0" w:space="0" w:color="auto"/>
                  </w:divBdr>
                </w:div>
                <w:div w:id="857040350">
                  <w:marLeft w:val="0"/>
                  <w:marRight w:val="0"/>
                  <w:marTop w:val="0"/>
                  <w:marBottom w:val="0"/>
                  <w:divBdr>
                    <w:top w:val="none" w:sz="0" w:space="0" w:color="auto"/>
                    <w:left w:val="none" w:sz="0" w:space="0" w:color="auto"/>
                    <w:bottom w:val="none" w:sz="0" w:space="0" w:color="auto"/>
                    <w:right w:val="none" w:sz="0" w:space="0" w:color="auto"/>
                  </w:divBdr>
                </w:div>
                <w:div w:id="1730225595">
                  <w:marLeft w:val="0"/>
                  <w:marRight w:val="0"/>
                  <w:marTop w:val="0"/>
                  <w:marBottom w:val="0"/>
                  <w:divBdr>
                    <w:top w:val="none" w:sz="0" w:space="0" w:color="auto"/>
                    <w:left w:val="none" w:sz="0" w:space="0" w:color="auto"/>
                    <w:bottom w:val="none" w:sz="0" w:space="0" w:color="auto"/>
                    <w:right w:val="none" w:sz="0" w:space="0" w:color="auto"/>
                  </w:divBdr>
                </w:div>
              </w:divsChild>
            </w:div>
            <w:div w:id="401027714">
              <w:marLeft w:val="0"/>
              <w:marRight w:val="0"/>
              <w:marTop w:val="0"/>
              <w:marBottom w:val="0"/>
              <w:divBdr>
                <w:top w:val="none" w:sz="0" w:space="0" w:color="auto"/>
                <w:left w:val="none" w:sz="0" w:space="0" w:color="auto"/>
                <w:bottom w:val="none" w:sz="0" w:space="0" w:color="auto"/>
                <w:right w:val="none" w:sz="0" w:space="0" w:color="auto"/>
              </w:divBdr>
              <w:divsChild>
                <w:div w:id="2033257890">
                  <w:marLeft w:val="0"/>
                  <w:marRight w:val="0"/>
                  <w:marTop w:val="0"/>
                  <w:marBottom w:val="0"/>
                  <w:divBdr>
                    <w:top w:val="none" w:sz="0" w:space="0" w:color="auto"/>
                    <w:left w:val="none" w:sz="0" w:space="0" w:color="auto"/>
                    <w:bottom w:val="none" w:sz="0" w:space="0" w:color="auto"/>
                    <w:right w:val="none" w:sz="0" w:space="0" w:color="auto"/>
                  </w:divBdr>
                </w:div>
              </w:divsChild>
            </w:div>
            <w:div w:id="452677812">
              <w:marLeft w:val="0"/>
              <w:marRight w:val="0"/>
              <w:marTop w:val="0"/>
              <w:marBottom w:val="0"/>
              <w:divBdr>
                <w:top w:val="none" w:sz="0" w:space="0" w:color="auto"/>
                <w:left w:val="none" w:sz="0" w:space="0" w:color="auto"/>
                <w:bottom w:val="none" w:sz="0" w:space="0" w:color="auto"/>
                <w:right w:val="none" w:sz="0" w:space="0" w:color="auto"/>
              </w:divBdr>
              <w:divsChild>
                <w:div w:id="1994723757">
                  <w:marLeft w:val="0"/>
                  <w:marRight w:val="0"/>
                  <w:marTop w:val="0"/>
                  <w:marBottom w:val="0"/>
                  <w:divBdr>
                    <w:top w:val="none" w:sz="0" w:space="0" w:color="auto"/>
                    <w:left w:val="none" w:sz="0" w:space="0" w:color="auto"/>
                    <w:bottom w:val="none" w:sz="0" w:space="0" w:color="auto"/>
                    <w:right w:val="none" w:sz="0" w:space="0" w:color="auto"/>
                  </w:divBdr>
                </w:div>
              </w:divsChild>
            </w:div>
            <w:div w:id="506821771">
              <w:marLeft w:val="0"/>
              <w:marRight w:val="0"/>
              <w:marTop w:val="0"/>
              <w:marBottom w:val="0"/>
              <w:divBdr>
                <w:top w:val="none" w:sz="0" w:space="0" w:color="auto"/>
                <w:left w:val="none" w:sz="0" w:space="0" w:color="auto"/>
                <w:bottom w:val="none" w:sz="0" w:space="0" w:color="auto"/>
                <w:right w:val="none" w:sz="0" w:space="0" w:color="auto"/>
              </w:divBdr>
              <w:divsChild>
                <w:div w:id="1199513269">
                  <w:marLeft w:val="0"/>
                  <w:marRight w:val="0"/>
                  <w:marTop w:val="0"/>
                  <w:marBottom w:val="0"/>
                  <w:divBdr>
                    <w:top w:val="none" w:sz="0" w:space="0" w:color="auto"/>
                    <w:left w:val="none" w:sz="0" w:space="0" w:color="auto"/>
                    <w:bottom w:val="none" w:sz="0" w:space="0" w:color="auto"/>
                    <w:right w:val="none" w:sz="0" w:space="0" w:color="auto"/>
                  </w:divBdr>
                </w:div>
                <w:div w:id="1834488315">
                  <w:marLeft w:val="0"/>
                  <w:marRight w:val="0"/>
                  <w:marTop w:val="0"/>
                  <w:marBottom w:val="0"/>
                  <w:divBdr>
                    <w:top w:val="none" w:sz="0" w:space="0" w:color="auto"/>
                    <w:left w:val="none" w:sz="0" w:space="0" w:color="auto"/>
                    <w:bottom w:val="none" w:sz="0" w:space="0" w:color="auto"/>
                    <w:right w:val="none" w:sz="0" w:space="0" w:color="auto"/>
                  </w:divBdr>
                </w:div>
              </w:divsChild>
            </w:div>
            <w:div w:id="539324548">
              <w:marLeft w:val="0"/>
              <w:marRight w:val="0"/>
              <w:marTop w:val="0"/>
              <w:marBottom w:val="0"/>
              <w:divBdr>
                <w:top w:val="none" w:sz="0" w:space="0" w:color="auto"/>
                <w:left w:val="none" w:sz="0" w:space="0" w:color="auto"/>
                <w:bottom w:val="none" w:sz="0" w:space="0" w:color="auto"/>
                <w:right w:val="none" w:sz="0" w:space="0" w:color="auto"/>
              </w:divBdr>
              <w:divsChild>
                <w:div w:id="1197229488">
                  <w:marLeft w:val="0"/>
                  <w:marRight w:val="0"/>
                  <w:marTop w:val="0"/>
                  <w:marBottom w:val="0"/>
                  <w:divBdr>
                    <w:top w:val="none" w:sz="0" w:space="0" w:color="auto"/>
                    <w:left w:val="none" w:sz="0" w:space="0" w:color="auto"/>
                    <w:bottom w:val="none" w:sz="0" w:space="0" w:color="auto"/>
                    <w:right w:val="none" w:sz="0" w:space="0" w:color="auto"/>
                  </w:divBdr>
                </w:div>
              </w:divsChild>
            </w:div>
            <w:div w:id="607739140">
              <w:marLeft w:val="0"/>
              <w:marRight w:val="0"/>
              <w:marTop w:val="0"/>
              <w:marBottom w:val="0"/>
              <w:divBdr>
                <w:top w:val="none" w:sz="0" w:space="0" w:color="auto"/>
                <w:left w:val="none" w:sz="0" w:space="0" w:color="auto"/>
                <w:bottom w:val="none" w:sz="0" w:space="0" w:color="auto"/>
                <w:right w:val="none" w:sz="0" w:space="0" w:color="auto"/>
              </w:divBdr>
              <w:divsChild>
                <w:div w:id="1770159644">
                  <w:marLeft w:val="0"/>
                  <w:marRight w:val="0"/>
                  <w:marTop w:val="0"/>
                  <w:marBottom w:val="0"/>
                  <w:divBdr>
                    <w:top w:val="none" w:sz="0" w:space="0" w:color="auto"/>
                    <w:left w:val="none" w:sz="0" w:space="0" w:color="auto"/>
                    <w:bottom w:val="none" w:sz="0" w:space="0" w:color="auto"/>
                    <w:right w:val="none" w:sz="0" w:space="0" w:color="auto"/>
                  </w:divBdr>
                </w:div>
              </w:divsChild>
            </w:div>
            <w:div w:id="756756476">
              <w:marLeft w:val="0"/>
              <w:marRight w:val="0"/>
              <w:marTop w:val="0"/>
              <w:marBottom w:val="0"/>
              <w:divBdr>
                <w:top w:val="none" w:sz="0" w:space="0" w:color="auto"/>
                <w:left w:val="none" w:sz="0" w:space="0" w:color="auto"/>
                <w:bottom w:val="none" w:sz="0" w:space="0" w:color="auto"/>
                <w:right w:val="none" w:sz="0" w:space="0" w:color="auto"/>
              </w:divBdr>
              <w:divsChild>
                <w:div w:id="759060928">
                  <w:marLeft w:val="0"/>
                  <w:marRight w:val="0"/>
                  <w:marTop w:val="0"/>
                  <w:marBottom w:val="0"/>
                  <w:divBdr>
                    <w:top w:val="none" w:sz="0" w:space="0" w:color="auto"/>
                    <w:left w:val="none" w:sz="0" w:space="0" w:color="auto"/>
                    <w:bottom w:val="none" w:sz="0" w:space="0" w:color="auto"/>
                    <w:right w:val="none" w:sz="0" w:space="0" w:color="auto"/>
                  </w:divBdr>
                </w:div>
              </w:divsChild>
            </w:div>
            <w:div w:id="1147936650">
              <w:marLeft w:val="0"/>
              <w:marRight w:val="0"/>
              <w:marTop w:val="0"/>
              <w:marBottom w:val="0"/>
              <w:divBdr>
                <w:top w:val="none" w:sz="0" w:space="0" w:color="auto"/>
                <w:left w:val="none" w:sz="0" w:space="0" w:color="auto"/>
                <w:bottom w:val="none" w:sz="0" w:space="0" w:color="auto"/>
                <w:right w:val="none" w:sz="0" w:space="0" w:color="auto"/>
              </w:divBdr>
              <w:divsChild>
                <w:div w:id="951784858">
                  <w:marLeft w:val="0"/>
                  <w:marRight w:val="0"/>
                  <w:marTop w:val="0"/>
                  <w:marBottom w:val="0"/>
                  <w:divBdr>
                    <w:top w:val="none" w:sz="0" w:space="0" w:color="auto"/>
                    <w:left w:val="none" w:sz="0" w:space="0" w:color="auto"/>
                    <w:bottom w:val="none" w:sz="0" w:space="0" w:color="auto"/>
                    <w:right w:val="none" w:sz="0" w:space="0" w:color="auto"/>
                  </w:divBdr>
                </w:div>
              </w:divsChild>
            </w:div>
            <w:div w:id="1196237788">
              <w:marLeft w:val="0"/>
              <w:marRight w:val="0"/>
              <w:marTop w:val="0"/>
              <w:marBottom w:val="0"/>
              <w:divBdr>
                <w:top w:val="none" w:sz="0" w:space="0" w:color="auto"/>
                <w:left w:val="none" w:sz="0" w:space="0" w:color="auto"/>
                <w:bottom w:val="none" w:sz="0" w:space="0" w:color="auto"/>
                <w:right w:val="none" w:sz="0" w:space="0" w:color="auto"/>
              </w:divBdr>
              <w:divsChild>
                <w:div w:id="46995993">
                  <w:marLeft w:val="0"/>
                  <w:marRight w:val="0"/>
                  <w:marTop w:val="0"/>
                  <w:marBottom w:val="0"/>
                  <w:divBdr>
                    <w:top w:val="none" w:sz="0" w:space="0" w:color="auto"/>
                    <w:left w:val="none" w:sz="0" w:space="0" w:color="auto"/>
                    <w:bottom w:val="none" w:sz="0" w:space="0" w:color="auto"/>
                    <w:right w:val="none" w:sz="0" w:space="0" w:color="auto"/>
                  </w:divBdr>
                </w:div>
              </w:divsChild>
            </w:div>
            <w:div w:id="1339385351">
              <w:marLeft w:val="0"/>
              <w:marRight w:val="0"/>
              <w:marTop w:val="0"/>
              <w:marBottom w:val="0"/>
              <w:divBdr>
                <w:top w:val="none" w:sz="0" w:space="0" w:color="auto"/>
                <w:left w:val="none" w:sz="0" w:space="0" w:color="auto"/>
                <w:bottom w:val="none" w:sz="0" w:space="0" w:color="auto"/>
                <w:right w:val="none" w:sz="0" w:space="0" w:color="auto"/>
              </w:divBdr>
              <w:divsChild>
                <w:div w:id="1388845407">
                  <w:marLeft w:val="0"/>
                  <w:marRight w:val="0"/>
                  <w:marTop w:val="0"/>
                  <w:marBottom w:val="0"/>
                  <w:divBdr>
                    <w:top w:val="none" w:sz="0" w:space="0" w:color="auto"/>
                    <w:left w:val="none" w:sz="0" w:space="0" w:color="auto"/>
                    <w:bottom w:val="none" w:sz="0" w:space="0" w:color="auto"/>
                    <w:right w:val="none" w:sz="0" w:space="0" w:color="auto"/>
                  </w:divBdr>
                </w:div>
                <w:div w:id="1755198573">
                  <w:marLeft w:val="0"/>
                  <w:marRight w:val="0"/>
                  <w:marTop w:val="0"/>
                  <w:marBottom w:val="0"/>
                  <w:divBdr>
                    <w:top w:val="none" w:sz="0" w:space="0" w:color="auto"/>
                    <w:left w:val="none" w:sz="0" w:space="0" w:color="auto"/>
                    <w:bottom w:val="none" w:sz="0" w:space="0" w:color="auto"/>
                    <w:right w:val="none" w:sz="0" w:space="0" w:color="auto"/>
                  </w:divBdr>
                </w:div>
              </w:divsChild>
            </w:div>
            <w:div w:id="1479297589">
              <w:marLeft w:val="0"/>
              <w:marRight w:val="0"/>
              <w:marTop w:val="0"/>
              <w:marBottom w:val="0"/>
              <w:divBdr>
                <w:top w:val="none" w:sz="0" w:space="0" w:color="auto"/>
                <w:left w:val="none" w:sz="0" w:space="0" w:color="auto"/>
                <w:bottom w:val="none" w:sz="0" w:space="0" w:color="auto"/>
                <w:right w:val="none" w:sz="0" w:space="0" w:color="auto"/>
              </w:divBdr>
              <w:divsChild>
                <w:div w:id="1784574412">
                  <w:marLeft w:val="0"/>
                  <w:marRight w:val="0"/>
                  <w:marTop w:val="0"/>
                  <w:marBottom w:val="0"/>
                  <w:divBdr>
                    <w:top w:val="none" w:sz="0" w:space="0" w:color="auto"/>
                    <w:left w:val="none" w:sz="0" w:space="0" w:color="auto"/>
                    <w:bottom w:val="none" w:sz="0" w:space="0" w:color="auto"/>
                    <w:right w:val="none" w:sz="0" w:space="0" w:color="auto"/>
                  </w:divBdr>
                </w:div>
              </w:divsChild>
            </w:div>
            <w:div w:id="1510021448">
              <w:marLeft w:val="0"/>
              <w:marRight w:val="0"/>
              <w:marTop w:val="0"/>
              <w:marBottom w:val="0"/>
              <w:divBdr>
                <w:top w:val="none" w:sz="0" w:space="0" w:color="auto"/>
                <w:left w:val="none" w:sz="0" w:space="0" w:color="auto"/>
                <w:bottom w:val="none" w:sz="0" w:space="0" w:color="auto"/>
                <w:right w:val="none" w:sz="0" w:space="0" w:color="auto"/>
              </w:divBdr>
              <w:divsChild>
                <w:div w:id="521941458">
                  <w:marLeft w:val="0"/>
                  <w:marRight w:val="0"/>
                  <w:marTop w:val="0"/>
                  <w:marBottom w:val="0"/>
                  <w:divBdr>
                    <w:top w:val="none" w:sz="0" w:space="0" w:color="auto"/>
                    <w:left w:val="none" w:sz="0" w:space="0" w:color="auto"/>
                    <w:bottom w:val="none" w:sz="0" w:space="0" w:color="auto"/>
                    <w:right w:val="none" w:sz="0" w:space="0" w:color="auto"/>
                  </w:divBdr>
                </w:div>
              </w:divsChild>
            </w:div>
            <w:div w:id="1587110390">
              <w:marLeft w:val="0"/>
              <w:marRight w:val="0"/>
              <w:marTop w:val="0"/>
              <w:marBottom w:val="0"/>
              <w:divBdr>
                <w:top w:val="none" w:sz="0" w:space="0" w:color="auto"/>
                <w:left w:val="none" w:sz="0" w:space="0" w:color="auto"/>
                <w:bottom w:val="none" w:sz="0" w:space="0" w:color="auto"/>
                <w:right w:val="none" w:sz="0" w:space="0" w:color="auto"/>
              </w:divBdr>
              <w:divsChild>
                <w:div w:id="1382678560">
                  <w:marLeft w:val="0"/>
                  <w:marRight w:val="0"/>
                  <w:marTop w:val="0"/>
                  <w:marBottom w:val="0"/>
                  <w:divBdr>
                    <w:top w:val="none" w:sz="0" w:space="0" w:color="auto"/>
                    <w:left w:val="none" w:sz="0" w:space="0" w:color="auto"/>
                    <w:bottom w:val="none" w:sz="0" w:space="0" w:color="auto"/>
                    <w:right w:val="none" w:sz="0" w:space="0" w:color="auto"/>
                  </w:divBdr>
                </w:div>
              </w:divsChild>
            </w:div>
            <w:div w:id="1817069893">
              <w:marLeft w:val="0"/>
              <w:marRight w:val="0"/>
              <w:marTop w:val="0"/>
              <w:marBottom w:val="0"/>
              <w:divBdr>
                <w:top w:val="none" w:sz="0" w:space="0" w:color="auto"/>
                <w:left w:val="none" w:sz="0" w:space="0" w:color="auto"/>
                <w:bottom w:val="none" w:sz="0" w:space="0" w:color="auto"/>
                <w:right w:val="none" w:sz="0" w:space="0" w:color="auto"/>
              </w:divBdr>
              <w:divsChild>
                <w:div w:id="1356806097">
                  <w:marLeft w:val="0"/>
                  <w:marRight w:val="0"/>
                  <w:marTop w:val="0"/>
                  <w:marBottom w:val="0"/>
                  <w:divBdr>
                    <w:top w:val="none" w:sz="0" w:space="0" w:color="auto"/>
                    <w:left w:val="none" w:sz="0" w:space="0" w:color="auto"/>
                    <w:bottom w:val="none" w:sz="0" w:space="0" w:color="auto"/>
                    <w:right w:val="none" w:sz="0" w:space="0" w:color="auto"/>
                  </w:divBdr>
                </w:div>
              </w:divsChild>
            </w:div>
            <w:div w:id="2023895633">
              <w:marLeft w:val="0"/>
              <w:marRight w:val="0"/>
              <w:marTop w:val="0"/>
              <w:marBottom w:val="0"/>
              <w:divBdr>
                <w:top w:val="none" w:sz="0" w:space="0" w:color="auto"/>
                <w:left w:val="none" w:sz="0" w:space="0" w:color="auto"/>
                <w:bottom w:val="none" w:sz="0" w:space="0" w:color="auto"/>
                <w:right w:val="none" w:sz="0" w:space="0" w:color="auto"/>
              </w:divBdr>
              <w:divsChild>
                <w:div w:id="985089876">
                  <w:marLeft w:val="0"/>
                  <w:marRight w:val="0"/>
                  <w:marTop w:val="0"/>
                  <w:marBottom w:val="0"/>
                  <w:divBdr>
                    <w:top w:val="none" w:sz="0" w:space="0" w:color="auto"/>
                    <w:left w:val="none" w:sz="0" w:space="0" w:color="auto"/>
                    <w:bottom w:val="none" w:sz="0" w:space="0" w:color="auto"/>
                    <w:right w:val="none" w:sz="0" w:space="0" w:color="auto"/>
                  </w:divBdr>
                </w:div>
              </w:divsChild>
            </w:div>
            <w:div w:id="2026324732">
              <w:marLeft w:val="0"/>
              <w:marRight w:val="0"/>
              <w:marTop w:val="0"/>
              <w:marBottom w:val="0"/>
              <w:divBdr>
                <w:top w:val="none" w:sz="0" w:space="0" w:color="auto"/>
                <w:left w:val="none" w:sz="0" w:space="0" w:color="auto"/>
                <w:bottom w:val="none" w:sz="0" w:space="0" w:color="auto"/>
                <w:right w:val="none" w:sz="0" w:space="0" w:color="auto"/>
              </w:divBdr>
              <w:divsChild>
                <w:div w:id="1939825437">
                  <w:marLeft w:val="0"/>
                  <w:marRight w:val="0"/>
                  <w:marTop w:val="0"/>
                  <w:marBottom w:val="0"/>
                  <w:divBdr>
                    <w:top w:val="none" w:sz="0" w:space="0" w:color="auto"/>
                    <w:left w:val="none" w:sz="0" w:space="0" w:color="auto"/>
                    <w:bottom w:val="none" w:sz="0" w:space="0" w:color="auto"/>
                    <w:right w:val="none" w:sz="0" w:space="0" w:color="auto"/>
                  </w:divBdr>
                </w:div>
              </w:divsChild>
            </w:div>
            <w:div w:id="2088723828">
              <w:marLeft w:val="0"/>
              <w:marRight w:val="0"/>
              <w:marTop w:val="0"/>
              <w:marBottom w:val="0"/>
              <w:divBdr>
                <w:top w:val="none" w:sz="0" w:space="0" w:color="auto"/>
                <w:left w:val="none" w:sz="0" w:space="0" w:color="auto"/>
                <w:bottom w:val="none" w:sz="0" w:space="0" w:color="auto"/>
                <w:right w:val="none" w:sz="0" w:space="0" w:color="auto"/>
              </w:divBdr>
              <w:divsChild>
                <w:div w:id="19416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9578">
          <w:marLeft w:val="0"/>
          <w:marRight w:val="0"/>
          <w:marTop w:val="0"/>
          <w:marBottom w:val="0"/>
          <w:divBdr>
            <w:top w:val="none" w:sz="0" w:space="0" w:color="auto"/>
            <w:left w:val="none" w:sz="0" w:space="0" w:color="auto"/>
            <w:bottom w:val="none" w:sz="0" w:space="0" w:color="auto"/>
            <w:right w:val="none" w:sz="0" w:space="0" w:color="auto"/>
          </w:divBdr>
        </w:div>
        <w:div w:id="1913345448">
          <w:marLeft w:val="0"/>
          <w:marRight w:val="0"/>
          <w:marTop w:val="0"/>
          <w:marBottom w:val="0"/>
          <w:divBdr>
            <w:top w:val="none" w:sz="0" w:space="0" w:color="auto"/>
            <w:left w:val="none" w:sz="0" w:space="0" w:color="auto"/>
            <w:bottom w:val="none" w:sz="0" w:space="0" w:color="auto"/>
            <w:right w:val="none" w:sz="0" w:space="0" w:color="auto"/>
          </w:divBdr>
        </w:div>
        <w:div w:id="1926187781">
          <w:marLeft w:val="0"/>
          <w:marRight w:val="0"/>
          <w:marTop w:val="0"/>
          <w:marBottom w:val="0"/>
          <w:divBdr>
            <w:top w:val="none" w:sz="0" w:space="0" w:color="auto"/>
            <w:left w:val="none" w:sz="0" w:space="0" w:color="auto"/>
            <w:bottom w:val="none" w:sz="0" w:space="0" w:color="auto"/>
            <w:right w:val="none" w:sz="0" w:space="0" w:color="auto"/>
          </w:divBdr>
        </w:div>
        <w:div w:id="1960331895">
          <w:marLeft w:val="0"/>
          <w:marRight w:val="0"/>
          <w:marTop w:val="0"/>
          <w:marBottom w:val="0"/>
          <w:divBdr>
            <w:top w:val="none" w:sz="0" w:space="0" w:color="auto"/>
            <w:left w:val="none" w:sz="0" w:space="0" w:color="auto"/>
            <w:bottom w:val="none" w:sz="0" w:space="0" w:color="auto"/>
            <w:right w:val="none" w:sz="0" w:space="0" w:color="auto"/>
          </w:divBdr>
        </w:div>
        <w:div w:id="1962572143">
          <w:marLeft w:val="0"/>
          <w:marRight w:val="0"/>
          <w:marTop w:val="0"/>
          <w:marBottom w:val="0"/>
          <w:divBdr>
            <w:top w:val="none" w:sz="0" w:space="0" w:color="auto"/>
            <w:left w:val="none" w:sz="0" w:space="0" w:color="auto"/>
            <w:bottom w:val="none" w:sz="0" w:space="0" w:color="auto"/>
            <w:right w:val="none" w:sz="0" w:space="0" w:color="auto"/>
          </w:divBdr>
        </w:div>
        <w:div w:id="1966497538">
          <w:marLeft w:val="0"/>
          <w:marRight w:val="0"/>
          <w:marTop w:val="0"/>
          <w:marBottom w:val="0"/>
          <w:divBdr>
            <w:top w:val="none" w:sz="0" w:space="0" w:color="auto"/>
            <w:left w:val="none" w:sz="0" w:space="0" w:color="auto"/>
            <w:bottom w:val="none" w:sz="0" w:space="0" w:color="auto"/>
            <w:right w:val="none" w:sz="0" w:space="0" w:color="auto"/>
          </w:divBdr>
        </w:div>
        <w:div w:id="1968733184">
          <w:marLeft w:val="0"/>
          <w:marRight w:val="0"/>
          <w:marTop w:val="0"/>
          <w:marBottom w:val="0"/>
          <w:divBdr>
            <w:top w:val="none" w:sz="0" w:space="0" w:color="auto"/>
            <w:left w:val="none" w:sz="0" w:space="0" w:color="auto"/>
            <w:bottom w:val="none" w:sz="0" w:space="0" w:color="auto"/>
            <w:right w:val="none" w:sz="0" w:space="0" w:color="auto"/>
          </w:divBdr>
        </w:div>
        <w:div w:id="1971130900">
          <w:marLeft w:val="0"/>
          <w:marRight w:val="0"/>
          <w:marTop w:val="0"/>
          <w:marBottom w:val="0"/>
          <w:divBdr>
            <w:top w:val="none" w:sz="0" w:space="0" w:color="auto"/>
            <w:left w:val="none" w:sz="0" w:space="0" w:color="auto"/>
            <w:bottom w:val="none" w:sz="0" w:space="0" w:color="auto"/>
            <w:right w:val="none" w:sz="0" w:space="0" w:color="auto"/>
          </w:divBdr>
        </w:div>
        <w:div w:id="1980642996">
          <w:marLeft w:val="0"/>
          <w:marRight w:val="0"/>
          <w:marTop w:val="0"/>
          <w:marBottom w:val="0"/>
          <w:divBdr>
            <w:top w:val="none" w:sz="0" w:space="0" w:color="auto"/>
            <w:left w:val="none" w:sz="0" w:space="0" w:color="auto"/>
            <w:bottom w:val="none" w:sz="0" w:space="0" w:color="auto"/>
            <w:right w:val="none" w:sz="0" w:space="0" w:color="auto"/>
          </w:divBdr>
        </w:div>
        <w:div w:id="2014526229">
          <w:marLeft w:val="0"/>
          <w:marRight w:val="0"/>
          <w:marTop w:val="0"/>
          <w:marBottom w:val="0"/>
          <w:divBdr>
            <w:top w:val="none" w:sz="0" w:space="0" w:color="auto"/>
            <w:left w:val="none" w:sz="0" w:space="0" w:color="auto"/>
            <w:bottom w:val="none" w:sz="0" w:space="0" w:color="auto"/>
            <w:right w:val="none" w:sz="0" w:space="0" w:color="auto"/>
          </w:divBdr>
        </w:div>
        <w:div w:id="2021270066">
          <w:marLeft w:val="0"/>
          <w:marRight w:val="0"/>
          <w:marTop w:val="0"/>
          <w:marBottom w:val="0"/>
          <w:divBdr>
            <w:top w:val="none" w:sz="0" w:space="0" w:color="auto"/>
            <w:left w:val="none" w:sz="0" w:space="0" w:color="auto"/>
            <w:bottom w:val="none" w:sz="0" w:space="0" w:color="auto"/>
            <w:right w:val="none" w:sz="0" w:space="0" w:color="auto"/>
          </w:divBdr>
        </w:div>
        <w:div w:id="2110152828">
          <w:marLeft w:val="0"/>
          <w:marRight w:val="0"/>
          <w:marTop w:val="0"/>
          <w:marBottom w:val="0"/>
          <w:divBdr>
            <w:top w:val="none" w:sz="0" w:space="0" w:color="auto"/>
            <w:left w:val="none" w:sz="0" w:space="0" w:color="auto"/>
            <w:bottom w:val="none" w:sz="0" w:space="0" w:color="auto"/>
            <w:right w:val="none" w:sz="0" w:space="0" w:color="auto"/>
          </w:divBdr>
        </w:div>
        <w:div w:id="2121953865">
          <w:marLeft w:val="0"/>
          <w:marRight w:val="0"/>
          <w:marTop w:val="0"/>
          <w:marBottom w:val="0"/>
          <w:divBdr>
            <w:top w:val="none" w:sz="0" w:space="0" w:color="auto"/>
            <w:left w:val="none" w:sz="0" w:space="0" w:color="auto"/>
            <w:bottom w:val="none" w:sz="0" w:space="0" w:color="auto"/>
            <w:right w:val="none" w:sz="0" w:space="0" w:color="auto"/>
          </w:divBdr>
        </w:div>
        <w:div w:id="2122407775">
          <w:marLeft w:val="0"/>
          <w:marRight w:val="0"/>
          <w:marTop w:val="0"/>
          <w:marBottom w:val="0"/>
          <w:divBdr>
            <w:top w:val="none" w:sz="0" w:space="0" w:color="auto"/>
            <w:left w:val="none" w:sz="0" w:space="0" w:color="auto"/>
            <w:bottom w:val="none" w:sz="0" w:space="0" w:color="auto"/>
            <w:right w:val="none" w:sz="0" w:space="0" w:color="auto"/>
          </w:divBdr>
        </w:div>
        <w:div w:id="2124036587">
          <w:marLeft w:val="0"/>
          <w:marRight w:val="0"/>
          <w:marTop w:val="0"/>
          <w:marBottom w:val="0"/>
          <w:divBdr>
            <w:top w:val="none" w:sz="0" w:space="0" w:color="auto"/>
            <w:left w:val="none" w:sz="0" w:space="0" w:color="auto"/>
            <w:bottom w:val="none" w:sz="0" w:space="0" w:color="auto"/>
            <w:right w:val="none" w:sz="0" w:space="0" w:color="auto"/>
          </w:divBdr>
        </w:div>
        <w:div w:id="2125878286">
          <w:marLeft w:val="0"/>
          <w:marRight w:val="0"/>
          <w:marTop w:val="0"/>
          <w:marBottom w:val="0"/>
          <w:divBdr>
            <w:top w:val="none" w:sz="0" w:space="0" w:color="auto"/>
            <w:left w:val="none" w:sz="0" w:space="0" w:color="auto"/>
            <w:bottom w:val="none" w:sz="0" w:space="0" w:color="auto"/>
            <w:right w:val="none" w:sz="0" w:space="0" w:color="auto"/>
          </w:divBdr>
        </w:div>
        <w:div w:id="2134010546">
          <w:marLeft w:val="0"/>
          <w:marRight w:val="0"/>
          <w:marTop w:val="0"/>
          <w:marBottom w:val="0"/>
          <w:divBdr>
            <w:top w:val="none" w:sz="0" w:space="0" w:color="auto"/>
            <w:left w:val="none" w:sz="0" w:space="0" w:color="auto"/>
            <w:bottom w:val="none" w:sz="0" w:space="0" w:color="auto"/>
            <w:right w:val="none" w:sz="0" w:space="0" w:color="auto"/>
          </w:divBdr>
        </w:div>
        <w:div w:id="2138798175">
          <w:marLeft w:val="0"/>
          <w:marRight w:val="0"/>
          <w:marTop w:val="0"/>
          <w:marBottom w:val="0"/>
          <w:divBdr>
            <w:top w:val="none" w:sz="0" w:space="0" w:color="auto"/>
            <w:left w:val="none" w:sz="0" w:space="0" w:color="auto"/>
            <w:bottom w:val="none" w:sz="0" w:space="0" w:color="auto"/>
            <w:right w:val="none" w:sz="0" w:space="0" w:color="auto"/>
          </w:divBdr>
        </w:div>
      </w:divsChild>
    </w:div>
    <w:div w:id="663238947">
      <w:bodyDiv w:val="1"/>
      <w:marLeft w:val="0"/>
      <w:marRight w:val="0"/>
      <w:marTop w:val="0"/>
      <w:marBottom w:val="0"/>
      <w:divBdr>
        <w:top w:val="none" w:sz="0" w:space="0" w:color="auto"/>
        <w:left w:val="none" w:sz="0" w:space="0" w:color="auto"/>
        <w:bottom w:val="none" w:sz="0" w:space="0" w:color="auto"/>
        <w:right w:val="none" w:sz="0" w:space="0" w:color="auto"/>
      </w:divBdr>
      <w:divsChild>
        <w:div w:id="171796306">
          <w:marLeft w:val="0"/>
          <w:marRight w:val="0"/>
          <w:marTop w:val="0"/>
          <w:marBottom w:val="0"/>
          <w:divBdr>
            <w:top w:val="none" w:sz="0" w:space="0" w:color="auto"/>
            <w:left w:val="none" w:sz="0" w:space="0" w:color="auto"/>
            <w:bottom w:val="none" w:sz="0" w:space="0" w:color="auto"/>
            <w:right w:val="none" w:sz="0" w:space="0" w:color="auto"/>
          </w:divBdr>
          <w:divsChild>
            <w:div w:id="110168685">
              <w:marLeft w:val="0"/>
              <w:marRight w:val="0"/>
              <w:marTop w:val="0"/>
              <w:marBottom w:val="0"/>
              <w:divBdr>
                <w:top w:val="none" w:sz="0" w:space="0" w:color="auto"/>
                <w:left w:val="none" w:sz="0" w:space="0" w:color="auto"/>
                <w:bottom w:val="none" w:sz="0" w:space="0" w:color="auto"/>
                <w:right w:val="none" w:sz="0" w:space="0" w:color="auto"/>
              </w:divBdr>
            </w:div>
            <w:div w:id="117574055">
              <w:marLeft w:val="0"/>
              <w:marRight w:val="0"/>
              <w:marTop w:val="0"/>
              <w:marBottom w:val="0"/>
              <w:divBdr>
                <w:top w:val="none" w:sz="0" w:space="0" w:color="auto"/>
                <w:left w:val="none" w:sz="0" w:space="0" w:color="auto"/>
                <w:bottom w:val="none" w:sz="0" w:space="0" w:color="auto"/>
                <w:right w:val="none" w:sz="0" w:space="0" w:color="auto"/>
              </w:divBdr>
            </w:div>
            <w:div w:id="224149466">
              <w:marLeft w:val="0"/>
              <w:marRight w:val="0"/>
              <w:marTop w:val="0"/>
              <w:marBottom w:val="0"/>
              <w:divBdr>
                <w:top w:val="none" w:sz="0" w:space="0" w:color="auto"/>
                <w:left w:val="none" w:sz="0" w:space="0" w:color="auto"/>
                <w:bottom w:val="none" w:sz="0" w:space="0" w:color="auto"/>
                <w:right w:val="none" w:sz="0" w:space="0" w:color="auto"/>
              </w:divBdr>
            </w:div>
            <w:div w:id="410665377">
              <w:marLeft w:val="0"/>
              <w:marRight w:val="0"/>
              <w:marTop w:val="0"/>
              <w:marBottom w:val="0"/>
              <w:divBdr>
                <w:top w:val="none" w:sz="0" w:space="0" w:color="auto"/>
                <w:left w:val="none" w:sz="0" w:space="0" w:color="auto"/>
                <w:bottom w:val="none" w:sz="0" w:space="0" w:color="auto"/>
                <w:right w:val="none" w:sz="0" w:space="0" w:color="auto"/>
              </w:divBdr>
            </w:div>
            <w:div w:id="425537610">
              <w:marLeft w:val="0"/>
              <w:marRight w:val="0"/>
              <w:marTop w:val="0"/>
              <w:marBottom w:val="0"/>
              <w:divBdr>
                <w:top w:val="none" w:sz="0" w:space="0" w:color="auto"/>
                <w:left w:val="none" w:sz="0" w:space="0" w:color="auto"/>
                <w:bottom w:val="none" w:sz="0" w:space="0" w:color="auto"/>
                <w:right w:val="none" w:sz="0" w:space="0" w:color="auto"/>
              </w:divBdr>
            </w:div>
            <w:div w:id="451898968">
              <w:marLeft w:val="0"/>
              <w:marRight w:val="0"/>
              <w:marTop w:val="0"/>
              <w:marBottom w:val="0"/>
              <w:divBdr>
                <w:top w:val="none" w:sz="0" w:space="0" w:color="auto"/>
                <w:left w:val="none" w:sz="0" w:space="0" w:color="auto"/>
                <w:bottom w:val="none" w:sz="0" w:space="0" w:color="auto"/>
                <w:right w:val="none" w:sz="0" w:space="0" w:color="auto"/>
              </w:divBdr>
            </w:div>
            <w:div w:id="683434535">
              <w:marLeft w:val="0"/>
              <w:marRight w:val="0"/>
              <w:marTop w:val="0"/>
              <w:marBottom w:val="0"/>
              <w:divBdr>
                <w:top w:val="none" w:sz="0" w:space="0" w:color="auto"/>
                <w:left w:val="none" w:sz="0" w:space="0" w:color="auto"/>
                <w:bottom w:val="none" w:sz="0" w:space="0" w:color="auto"/>
                <w:right w:val="none" w:sz="0" w:space="0" w:color="auto"/>
              </w:divBdr>
            </w:div>
            <w:div w:id="721058419">
              <w:marLeft w:val="0"/>
              <w:marRight w:val="0"/>
              <w:marTop w:val="0"/>
              <w:marBottom w:val="0"/>
              <w:divBdr>
                <w:top w:val="none" w:sz="0" w:space="0" w:color="auto"/>
                <w:left w:val="none" w:sz="0" w:space="0" w:color="auto"/>
                <w:bottom w:val="none" w:sz="0" w:space="0" w:color="auto"/>
                <w:right w:val="none" w:sz="0" w:space="0" w:color="auto"/>
              </w:divBdr>
            </w:div>
            <w:div w:id="842628543">
              <w:marLeft w:val="0"/>
              <w:marRight w:val="0"/>
              <w:marTop w:val="0"/>
              <w:marBottom w:val="0"/>
              <w:divBdr>
                <w:top w:val="none" w:sz="0" w:space="0" w:color="auto"/>
                <w:left w:val="none" w:sz="0" w:space="0" w:color="auto"/>
                <w:bottom w:val="none" w:sz="0" w:space="0" w:color="auto"/>
                <w:right w:val="none" w:sz="0" w:space="0" w:color="auto"/>
              </w:divBdr>
            </w:div>
            <w:div w:id="1012760411">
              <w:marLeft w:val="0"/>
              <w:marRight w:val="0"/>
              <w:marTop w:val="0"/>
              <w:marBottom w:val="0"/>
              <w:divBdr>
                <w:top w:val="none" w:sz="0" w:space="0" w:color="auto"/>
                <w:left w:val="none" w:sz="0" w:space="0" w:color="auto"/>
                <w:bottom w:val="none" w:sz="0" w:space="0" w:color="auto"/>
                <w:right w:val="none" w:sz="0" w:space="0" w:color="auto"/>
              </w:divBdr>
            </w:div>
            <w:div w:id="1349719725">
              <w:marLeft w:val="0"/>
              <w:marRight w:val="0"/>
              <w:marTop w:val="0"/>
              <w:marBottom w:val="0"/>
              <w:divBdr>
                <w:top w:val="none" w:sz="0" w:space="0" w:color="auto"/>
                <w:left w:val="none" w:sz="0" w:space="0" w:color="auto"/>
                <w:bottom w:val="none" w:sz="0" w:space="0" w:color="auto"/>
                <w:right w:val="none" w:sz="0" w:space="0" w:color="auto"/>
              </w:divBdr>
            </w:div>
            <w:div w:id="1557158936">
              <w:marLeft w:val="0"/>
              <w:marRight w:val="0"/>
              <w:marTop w:val="0"/>
              <w:marBottom w:val="0"/>
              <w:divBdr>
                <w:top w:val="none" w:sz="0" w:space="0" w:color="auto"/>
                <w:left w:val="none" w:sz="0" w:space="0" w:color="auto"/>
                <w:bottom w:val="none" w:sz="0" w:space="0" w:color="auto"/>
                <w:right w:val="none" w:sz="0" w:space="0" w:color="auto"/>
              </w:divBdr>
            </w:div>
            <w:div w:id="1632202824">
              <w:marLeft w:val="0"/>
              <w:marRight w:val="0"/>
              <w:marTop w:val="0"/>
              <w:marBottom w:val="0"/>
              <w:divBdr>
                <w:top w:val="none" w:sz="0" w:space="0" w:color="auto"/>
                <w:left w:val="none" w:sz="0" w:space="0" w:color="auto"/>
                <w:bottom w:val="none" w:sz="0" w:space="0" w:color="auto"/>
                <w:right w:val="none" w:sz="0" w:space="0" w:color="auto"/>
              </w:divBdr>
            </w:div>
            <w:div w:id="1644113479">
              <w:marLeft w:val="0"/>
              <w:marRight w:val="0"/>
              <w:marTop w:val="0"/>
              <w:marBottom w:val="0"/>
              <w:divBdr>
                <w:top w:val="none" w:sz="0" w:space="0" w:color="auto"/>
                <w:left w:val="none" w:sz="0" w:space="0" w:color="auto"/>
                <w:bottom w:val="none" w:sz="0" w:space="0" w:color="auto"/>
                <w:right w:val="none" w:sz="0" w:space="0" w:color="auto"/>
              </w:divBdr>
            </w:div>
            <w:div w:id="1647320887">
              <w:marLeft w:val="0"/>
              <w:marRight w:val="0"/>
              <w:marTop w:val="0"/>
              <w:marBottom w:val="0"/>
              <w:divBdr>
                <w:top w:val="none" w:sz="0" w:space="0" w:color="auto"/>
                <w:left w:val="none" w:sz="0" w:space="0" w:color="auto"/>
                <w:bottom w:val="none" w:sz="0" w:space="0" w:color="auto"/>
                <w:right w:val="none" w:sz="0" w:space="0" w:color="auto"/>
              </w:divBdr>
            </w:div>
            <w:div w:id="1706322748">
              <w:marLeft w:val="0"/>
              <w:marRight w:val="0"/>
              <w:marTop w:val="0"/>
              <w:marBottom w:val="0"/>
              <w:divBdr>
                <w:top w:val="none" w:sz="0" w:space="0" w:color="auto"/>
                <w:left w:val="none" w:sz="0" w:space="0" w:color="auto"/>
                <w:bottom w:val="none" w:sz="0" w:space="0" w:color="auto"/>
                <w:right w:val="none" w:sz="0" w:space="0" w:color="auto"/>
              </w:divBdr>
            </w:div>
            <w:div w:id="1849560411">
              <w:marLeft w:val="0"/>
              <w:marRight w:val="0"/>
              <w:marTop w:val="0"/>
              <w:marBottom w:val="0"/>
              <w:divBdr>
                <w:top w:val="none" w:sz="0" w:space="0" w:color="auto"/>
                <w:left w:val="none" w:sz="0" w:space="0" w:color="auto"/>
                <w:bottom w:val="none" w:sz="0" w:space="0" w:color="auto"/>
                <w:right w:val="none" w:sz="0" w:space="0" w:color="auto"/>
              </w:divBdr>
            </w:div>
            <w:div w:id="1949651760">
              <w:marLeft w:val="0"/>
              <w:marRight w:val="0"/>
              <w:marTop w:val="0"/>
              <w:marBottom w:val="0"/>
              <w:divBdr>
                <w:top w:val="none" w:sz="0" w:space="0" w:color="auto"/>
                <w:left w:val="none" w:sz="0" w:space="0" w:color="auto"/>
                <w:bottom w:val="none" w:sz="0" w:space="0" w:color="auto"/>
                <w:right w:val="none" w:sz="0" w:space="0" w:color="auto"/>
              </w:divBdr>
            </w:div>
            <w:div w:id="1970738723">
              <w:marLeft w:val="0"/>
              <w:marRight w:val="0"/>
              <w:marTop w:val="0"/>
              <w:marBottom w:val="0"/>
              <w:divBdr>
                <w:top w:val="none" w:sz="0" w:space="0" w:color="auto"/>
                <w:left w:val="none" w:sz="0" w:space="0" w:color="auto"/>
                <w:bottom w:val="none" w:sz="0" w:space="0" w:color="auto"/>
                <w:right w:val="none" w:sz="0" w:space="0" w:color="auto"/>
              </w:divBdr>
            </w:div>
            <w:div w:id="2130122288">
              <w:marLeft w:val="0"/>
              <w:marRight w:val="0"/>
              <w:marTop w:val="0"/>
              <w:marBottom w:val="0"/>
              <w:divBdr>
                <w:top w:val="none" w:sz="0" w:space="0" w:color="auto"/>
                <w:left w:val="none" w:sz="0" w:space="0" w:color="auto"/>
                <w:bottom w:val="none" w:sz="0" w:space="0" w:color="auto"/>
                <w:right w:val="none" w:sz="0" w:space="0" w:color="auto"/>
              </w:divBdr>
            </w:div>
          </w:divsChild>
        </w:div>
        <w:div w:id="452405561">
          <w:marLeft w:val="0"/>
          <w:marRight w:val="0"/>
          <w:marTop w:val="0"/>
          <w:marBottom w:val="0"/>
          <w:divBdr>
            <w:top w:val="none" w:sz="0" w:space="0" w:color="auto"/>
            <w:left w:val="none" w:sz="0" w:space="0" w:color="auto"/>
            <w:bottom w:val="none" w:sz="0" w:space="0" w:color="auto"/>
            <w:right w:val="none" w:sz="0" w:space="0" w:color="auto"/>
          </w:divBdr>
          <w:divsChild>
            <w:div w:id="38476165">
              <w:marLeft w:val="0"/>
              <w:marRight w:val="0"/>
              <w:marTop w:val="0"/>
              <w:marBottom w:val="0"/>
              <w:divBdr>
                <w:top w:val="none" w:sz="0" w:space="0" w:color="auto"/>
                <w:left w:val="none" w:sz="0" w:space="0" w:color="auto"/>
                <w:bottom w:val="none" w:sz="0" w:space="0" w:color="auto"/>
                <w:right w:val="none" w:sz="0" w:space="0" w:color="auto"/>
              </w:divBdr>
            </w:div>
            <w:div w:id="223955856">
              <w:marLeft w:val="0"/>
              <w:marRight w:val="0"/>
              <w:marTop w:val="0"/>
              <w:marBottom w:val="0"/>
              <w:divBdr>
                <w:top w:val="none" w:sz="0" w:space="0" w:color="auto"/>
                <w:left w:val="none" w:sz="0" w:space="0" w:color="auto"/>
                <w:bottom w:val="none" w:sz="0" w:space="0" w:color="auto"/>
                <w:right w:val="none" w:sz="0" w:space="0" w:color="auto"/>
              </w:divBdr>
            </w:div>
            <w:div w:id="242184543">
              <w:marLeft w:val="0"/>
              <w:marRight w:val="0"/>
              <w:marTop w:val="0"/>
              <w:marBottom w:val="0"/>
              <w:divBdr>
                <w:top w:val="none" w:sz="0" w:space="0" w:color="auto"/>
                <w:left w:val="none" w:sz="0" w:space="0" w:color="auto"/>
                <w:bottom w:val="none" w:sz="0" w:space="0" w:color="auto"/>
                <w:right w:val="none" w:sz="0" w:space="0" w:color="auto"/>
              </w:divBdr>
            </w:div>
            <w:div w:id="321739772">
              <w:marLeft w:val="0"/>
              <w:marRight w:val="0"/>
              <w:marTop w:val="0"/>
              <w:marBottom w:val="0"/>
              <w:divBdr>
                <w:top w:val="none" w:sz="0" w:space="0" w:color="auto"/>
                <w:left w:val="none" w:sz="0" w:space="0" w:color="auto"/>
                <w:bottom w:val="none" w:sz="0" w:space="0" w:color="auto"/>
                <w:right w:val="none" w:sz="0" w:space="0" w:color="auto"/>
              </w:divBdr>
            </w:div>
            <w:div w:id="527373244">
              <w:marLeft w:val="0"/>
              <w:marRight w:val="0"/>
              <w:marTop w:val="0"/>
              <w:marBottom w:val="0"/>
              <w:divBdr>
                <w:top w:val="none" w:sz="0" w:space="0" w:color="auto"/>
                <w:left w:val="none" w:sz="0" w:space="0" w:color="auto"/>
                <w:bottom w:val="none" w:sz="0" w:space="0" w:color="auto"/>
                <w:right w:val="none" w:sz="0" w:space="0" w:color="auto"/>
              </w:divBdr>
            </w:div>
            <w:div w:id="1017659813">
              <w:marLeft w:val="0"/>
              <w:marRight w:val="0"/>
              <w:marTop w:val="0"/>
              <w:marBottom w:val="0"/>
              <w:divBdr>
                <w:top w:val="none" w:sz="0" w:space="0" w:color="auto"/>
                <w:left w:val="none" w:sz="0" w:space="0" w:color="auto"/>
                <w:bottom w:val="none" w:sz="0" w:space="0" w:color="auto"/>
                <w:right w:val="none" w:sz="0" w:space="0" w:color="auto"/>
              </w:divBdr>
            </w:div>
            <w:div w:id="1193423339">
              <w:marLeft w:val="0"/>
              <w:marRight w:val="0"/>
              <w:marTop w:val="0"/>
              <w:marBottom w:val="0"/>
              <w:divBdr>
                <w:top w:val="none" w:sz="0" w:space="0" w:color="auto"/>
                <w:left w:val="none" w:sz="0" w:space="0" w:color="auto"/>
                <w:bottom w:val="none" w:sz="0" w:space="0" w:color="auto"/>
                <w:right w:val="none" w:sz="0" w:space="0" w:color="auto"/>
              </w:divBdr>
            </w:div>
            <w:div w:id="1406563322">
              <w:marLeft w:val="0"/>
              <w:marRight w:val="0"/>
              <w:marTop w:val="0"/>
              <w:marBottom w:val="0"/>
              <w:divBdr>
                <w:top w:val="none" w:sz="0" w:space="0" w:color="auto"/>
                <w:left w:val="none" w:sz="0" w:space="0" w:color="auto"/>
                <w:bottom w:val="none" w:sz="0" w:space="0" w:color="auto"/>
                <w:right w:val="none" w:sz="0" w:space="0" w:color="auto"/>
              </w:divBdr>
            </w:div>
            <w:div w:id="1520201175">
              <w:marLeft w:val="0"/>
              <w:marRight w:val="0"/>
              <w:marTop w:val="0"/>
              <w:marBottom w:val="0"/>
              <w:divBdr>
                <w:top w:val="none" w:sz="0" w:space="0" w:color="auto"/>
                <w:left w:val="none" w:sz="0" w:space="0" w:color="auto"/>
                <w:bottom w:val="none" w:sz="0" w:space="0" w:color="auto"/>
                <w:right w:val="none" w:sz="0" w:space="0" w:color="auto"/>
              </w:divBdr>
            </w:div>
            <w:div w:id="1593586956">
              <w:marLeft w:val="0"/>
              <w:marRight w:val="0"/>
              <w:marTop w:val="0"/>
              <w:marBottom w:val="0"/>
              <w:divBdr>
                <w:top w:val="none" w:sz="0" w:space="0" w:color="auto"/>
                <w:left w:val="none" w:sz="0" w:space="0" w:color="auto"/>
                <w:bottom w:val="none" w:sz="0" w:space="0" w:color="auto"/>
                <w:right w:val="none" w:sz="0" w:space="0" w:color="auto"/>
              </w:divBdr>
            </w:div>
            <w:div w:id="1721250438">
              <w:marLeft w:val="0"/>
              <w:marRight w:val="0"/>
              <w:marTop w:val="0"/>
              <w:marBottom w:val="0"/>
              <w:divBdr>
                <w:top w:val="none" w:sz="0" w:space="0" w:color="auto"/>
                <w:left w:val="none" w:sz="0" w:space="0" w:color="auto"/>
                <w:bottom w:val="none" w:sz="0" w:space="0" w:color="auto"/>
                <w:right w:val="none" w:sz="0" w:space="0" w:color="auto"/>
              </w:divBdr>
            </w:div>
            <w:div w:id="1928616737">
              <w:marLeft w:val="0"/>
              <w:marRight w:val="0"/>
              <w:marTop w:val="0"/>
              <w:marBottom w:val="0"/>
              <w:divBdr>
                <w:top w:val="none" w:sz="0" w:space="0" w:color="auto"/>
                <w:left w:val="none" w:sz="0" w:space="0" w:color="auto"/>
                <w:bottom w:val="none" w:sz="0" w:space="0" w:color="auto"/>
                <w:right w:val="none" w:sz="0" w:space="0" w:color="auto"/>
              </w:divBdr>
            </w:div>
            <w:div w:id="1938517953">
              <w:marLeft w:val="0"/>
              <w:marRight w:val="0"/>
              <w:marTop w:val="0"/>
              <w:marBottom w:val="0"/>
              <w:divBdr>
                <w:top w:val="none" w:sz="0" w:space="0" w:color="auto"/>
                <w:left w:val="none" w:sz="0" w:space="0" w:color="auto"/>
                <w:bottom w:val="none" w:sz="0" w:space="0" w:color="auto"/>
                <w:right w:val="none" w:sz="0" w:space="0" w:color="auto"/>
              </w:divBdr>
            </w:div>
            <w:div w:id="1964579117">
              <w:marLeft w:val="0"/>
              <w:marRight w:val="0"/>
              <w:marTop w:val="0"/>
              <w:marBottom w:val="0"/>
              <w:divBdr>
                <w:top w:val="none" w:sz="0" w:space="0" w:color="auto"/>
                <w:left w:val="none" w:sz="0" w:space="0" w:color="auto"/>
                <w:bottom w:val="none" w:sz="0" w:space="0" w:color="auto"/>
                <w:right w:val="none" w:sz="0" w:space="0" w:color="auto"/>
              </w:divBdr>
            </w:div>
            <w:div w:id="2113623255">
              <w:marLeft w:val="0"/>
              <w:marRight w:val="0"/>
              <w:marTop w:val="0"/>
              <w:marBottom w:val="0"/>
              <w:divBdr>
                <w:top w:val="none" w:sz="0" w:space="0" w:color="auto"/>
                <w:left w:val="none" w:sz="0" w:space="0" w:color="auto"/>
                <w:bottom w:val="none" w:sz="0" w:space="0" w:color="auto"/>
                <w:right w:val="none" w:sz="0" w:space="0" w:color="auto"/>
              </w:divBdr>
            </w:div>
          </w:divsChild>
        </w:div>
        <w:div w:id="471947776">
          <w:marLeft w:val="0"/>
          <w:marRight w:val="0"/>
          <w:marTop w:val="0"/>
          <w:marBottom w:val="0"/>
          <w:divBdr>
            <w:top w:val="none" w:sz="0" w:space="0" w:color="auto"/>
            <w:left w:val="none" w:sz="0" w:space="0" w:color="auto"/>
            <w:bottom w:val="none" w:sz="0" w:space="0" w:color="auto"/>
            <w:right w:val="none" w:sz="0" w:space="0" w:color="auto"/>
          </w:divBdr>
          <w:divsChild>
            <w:div w:id="18896540">
              <w:marLeft w:val="0"/>
              <w:marRight w:val="0"/>
              <w:marTop w:val="0"/>
              <w:marBottom w:val="0"/>
              <w:divBdr>
                <w:top w:val="none" w:sz="0" w:space="0" w:color="auto"/>
                <w:left w:val="none" w:sz="0" w:space="0" w:color="auto"/>
                <w:bottom w:val="none" w:sz="0" w:space="0" w:color="auto"/>
                <w:right w:val="none" w:sz="0" w:space="0" w:color="auto"/>
              </w:divBdr>
            </w:div>
            <w:div w:id="766080092">
              <w:marLeft w:val="0"/>
              <w:marRight w:val="0"/>
              <w:marTop w:val="0"/>
              <w:marBottom w:val="0"/>
              <w:divBdr>
                <w:top w:val="none" w:sz="0" w:space="0" w:color="auto"/>
                <w:left w:val="none" w:sz="0" w:space="0" w:color="auto"/>
                <w:bottom w:val="none" w:sz="0" w:space="0" w:color="auto"/>
                <w:right w:val="none" w:sz="0" w:space="0" w:color="auto"/>
              </w:divBdr>
            </w:div>
            <w:div w:id="2048869576">
              <w:marLeft w:val="0"/>
              <w:marRight w:val="0"/>
              <w:marTop w:val="0"/>
              <w:marBottom w:val="0"/>
              <w:divBdr>
                <w:top w:val="none" w:sz="0" w:space="0" w:color="auto"/>
                <w:left w:val="none" w:sz="0" w:space="0" w:color="auto"/>
                <w:bottom w:val="none" w:sz="0" w:space="0" w:color="auto"/>
                <w:right w:val="none" w:sz="0" w:space="0" w:color="auto"/>
              </w:divBdr>
            </w:div>
          </w:divsChild>
        </w:div>
        <w:div w:id="1693607540">
          <w:marLeft w:val="0"/>
          <w:marRight w:val="0"/>
          <w:marTop w:val="0"/>
          <w:marBottom w:val="0"/>
          <w:divBdr>
            <w:top w:val="none" w:sz="0" w:space="0" w:color="auto"/>
            <w:left w:val="none" w:sz="0" w:space="0" w:color="auto"/>
            <w:bottom w:val="none" w:sz="0" w:space="0" w:color="auto"/>
            <w:right w:val="none" w:sz="0" w:space="0" w:color="auto"/>
          </w:divBdr>
        </w:div>
        <w:div w:id="1698309462">
          <w:marLeft w:val="0"/>
          <w:marRight w:val="0"/>
          <w:marTop w:val="0"/>
          <w:marBottom w:val="0"/>
          <w:divBdr>
            <w:top w:val="none" w:sz="0" w:space="0" w:color="auto"/>
            <w:left w:val="none" w:sz="0" w:space="0" w:color="auto"/>
            <w:bottom w:val="none" w:sz="0" w:space="0" w:color="auto"/>
            <w:right w:val="none" w:sz="0" w:space="0" w:color="auto"/>
          </w:divBdr>
          <w:divsChild>
            <w:div w:id="466552908">
              <w:marLeft w:val="0"/>
              <w:marRight w:val="0"/>
              <w:marTop w:val="0"/>
              <w:marBottom w:val="0"/>
              <w:divBdr>
                <w:top w:val="none" w:sz="0" w:space="0" w:color="auto"/>
                <w:left w:val="none" w:sz="0" w:space="0" w:color="auto"/>
                <w:bottom w:val="none" w:sz="0" w:space="0" w:color="auto"/>
                <w:right w:val="none" w:sz="0" w:space="0" w:color="auto"/>
              </w:divBdr>
            </w:div>
            <w:div w:id="1429614124">
              <w:marLeft w:val="0"/>
              <w:marRight w:val="0"/>
              <w:marTop w:val="0"/>
              <w:marBottom w:val="0"/>
              <w:divBdr>
                <w:top w:val="none" w:sz="0" w:space="0" w:color="auto"/>
                <w:left w:val="none" w:sz="0" w:space="0" w:color="auto"/>
                <w:bottom w:val="none" w:sz="0" w:space="0" w:color="auto"/>
                <w:right w:val="none" w:sz="0" w:space="0" w:color="auto"/>
              </w:divBdr>
            </w:div>
            <w:div w:id="1724519241">
              <w:marLeft w:val="0"/>
              <w:marRight w:val="0"/>
              <w:marTop w:val="0"/>
              <w:marBottom w:val="0"/>
              <w:divBdr>
                <w:top w:val="none" w:sz="0" w:space="0" w:color="auto"/>
                <w:left w:val="none" w:sz="0" w:space="0" w:color="auto"/>
                <w:bottom w:val="none" w:sz="0" w:space="0" w:color="auto"/>
                <w:right w:val="none" w:sz="0" w:space="0" w:color="auto"/>
              </w:divBdr>
            </w:div>
            <w:div w:id="1769690862">
              <w:marLeft w:val="0"/>
              <w:marRight w:val="0"/>
              <w:marTop w:val="0"/>
              <w:marBottom w:val="0"/>
              <w:divBdr>
                <w:top w:val="none" w:sz="0" w:space="0" w:color="auto"/>
                <w:left w:val="none" w:sz="0" w:space="0" w:color="auto"/>
                <w:bottom w:val="none" w:sz="0" w:space="0" w:color="auto"/>
                <w:right w:val="none" w:sz="0" w:space="0" w:color="auto"/>
              </w:divBdr>
            </w:div>
          </w:divsChild>
        </w:div>
        <w:div w:id="1724913650">
          <w:marLeft w:val="0"/>
          <w:marRight w:val="0"/>
          <w:marTop w:val="0"/>
          <w:marBottom w:val="0"/>
          <w:divBdr>
            <w:top w:val="none" w:sz="0" w:space="0" w:color="auto"/>
            <w:left w:val="none" w:sz="0" w:space="0" w:color="auto"/>
            <w:bottom w:val="none" w:sz="0" w:space="0" w:color="auto"/>
            <w:right w:val="none" w:sz="0" w:space="0" w:color="auto"/>
          </w:divBdr>
        </w:div>
        <w:div w:id="1869904399">
          <w:marLeft w:val="0"/>
          <w:marRight w:val="0"/>
          <w:marTop w:val="0"/>
          <w:marBottom w:val="0"/>
          <w:divBdr>
            <w:top w:val="none" w:sz="0" w:space="0" w:color="auto"/>
            <w:left w:val="none" w:sz="0" w:space="0" w:color="auto"/>
            <w:bottom w:val="none" w:sz="0" w:space="0" w:color="auto"/>
            <w:right w:val="none" w:sz="0" w:space="0" w:color="auto"/>
          </w:divBdr>
          <w:divsChild>
            <w:div w:id="748816564">
              <w:marLeft w:val="-75"/>
              <w:marRight w:val="0"/>
              <w:marTop w:val="30"/>
              <w:marBottom w:val="30"/>
              <w:divBdr>
                <w:top w:val="none" w:sz="0" w:space="0" w:color="auto"/>
                <w:left w:val="none" w:sz="0" w:space="0" w:color="auto"/>
                <w:bottom w:val="none" w:sz="0" w:space="0" w:color="auto"/>
                <w:right w:val="none" w:sz="0" w:space="0" w:color="auto"/>
              </w:divBdr>
              <w:divsChild>
                <w:div w:id="13265902">
                  <w:marLeft w:val="0"/>
                  <w:marRight w:val="0"/>
                  <w:marTop w:val="0"/>
                  <w:marBottom w:val="0"/>
                  <w:divBdr>
                    <w:top w:val="none" w:sz="0" w:space="0" w:color="auto"/>
                    <w:left w:val="none" w:sz="0" w:space="0" w:color="auto"/>
                    <w:bottom w:val="none" w:sz="0" w:space="0" w:color="auto"/>
                    <w:right w:val="none" w:sz="0" w:space="0" w:color="auto"/>
                  </w:divBdr>
                  <w:divsChild>
                    <w:div w:id="669869530">
                      <w:marLeft w:val="0"/>
                      <w:marRight w:val="0"/>
                      <w:marTop w:val="0"/>
                      <w:marBottom w:val="0"/>
                      <w:divBdr>
                        <w:top w:val="none" w:sz="0" w:space="0" w:color="auto"/>
                        <w:left w:val="none" w:sz="0" w:space="0" w:color="auto"/>
                        <w:bottom w:val="none" w:sz="0" w:space="0" w:color="auto"/>
                        <w:right w:val="none" w:sz="0" w:space="0" w:color="auto"/>
                      </w:divBdr>
                    </w:div>
                  </w:divsChild>
                </w:div>
                <w:div w:id="248386790">
                  <w:marLeft w:val="0"/>
                  <w:marRight w:val="0"/>
                  <w:marTop w:val="0"/>
                  <w:marBottom w:val="0"/>
                  <w:divBdr>
                    <w:top w:val="none" w:sz="0" w:space="0" w:color="auto"/>
                    <w:left w:val="none" w:sz="0" w:space="0" w:color="auto"/>
                    <w:bottom w:val="none" w:sz="0" w:space="0" w:color="auto"/>
                    <w:right w:val="none" w:sz="0" w:space="0" w:color="auto"/>
                  </w:divBdr>
                  <w:divsChild>
                    <w:div w:id="1390227856">
                      <w:marLeft w:val="0"/>
                      <w:marRight w:val="0"/>
                      <w:marTop w:val="0"/>
                      <w:marBottom w:val="0"/>
                      <w:divBdr>
                        <w:top w:val="none" w:sz="0" w:space="0" w:color="auto"/>
                        <w:left w:val="none" w:sz="0" w:space="0" w:color="auto"/>
                        <w:bottom w:val="none" w:sz="0" w:space="0" w:color="auto"/>
                        <w:right w:val="none" w:sz="0" w:space="0" w:color="auto"/>
                      </w:divBdr>
                    </w:div>
                    <w:div w:id="1922524211">
                      <w:marLeft w:val="0"/>
                      <w:marRight w:val="0"/>
                      <w:marTop w:val="0"/>
                      <w:marBottom w:val="0"/>
                      <w:divBdr>
                        <w:top w:val="none" w:sz="0" w:space="0" w:color="auto"/>
                        <w:left w:val="none" w:sz="0" w:space="0" w:color="auto"/>
                        <w:bottom w:val="none" w:sz="0" w:space="0" w:color="auto"/>
                        <w:right w:val="none" w:sz="0" w:space="0" w:color="auto"/>
                      </w:divBdr>
                    </w:div>
                  </w:divsChild>
                </w:div>
                <w:div w:id="449517460">
                  <w:marLeft w:val="0"/>
                  <w:marRight w:val="0"/>
                  <w:marTop w:val="0"/>
                  <w:marBottom w:val="0"/>
                  <w:divBdr>
                    <w:top w:val="none" w:sz="0" w:space="0" w:color="auto"/>
                    <w:left w:val="none" w:sz="0" w:space="0" w:color="auto"/>
                    <w:bottom w:val="none" w:sz="0" w:space="0" w:color="auto"/>
                    <w:right w:val="none" w:sz="0" w:space="0" w:color="auto"/>
                  </w:divBdr>
                  <w:divsChild>
                    <w:div w:id="1143884669">
                      <w:marLeft w:val="0"/>
                      <w:marRight w:val="0"/>
                      <w:marTop w:val="0"/>
                      <w:marBottom w:val="0"/>
                      <w:divBdr>
                        <w:top w:val="none" w:sz="0" w:space="0" w:color="auto"/>
                        <w:left w:val="none" w:sz="0" w:space="0" w:color="auto"/>
                        <w:bottom w:val="none" w:sz="0" w:space="0" w:color="auto"/>
                        <w:right w:val="none" w:sz="0" w:space="0" w:color="auto"/>
                      </w:divBdr>
                    </w:div>
                    <w:div w:id="2088457107">
                      <w:marLeft w:val="0"/>
                      <w:marRight w:val="0"/>
                      <w:marTop w:val="0"/>
                      <w:marBottom w:val="0"/>
                      <w:divBdr>
                        <w:top w:val="none" w:sz="0" w:space="0" w:color="auto"/>
                        <w:left w:val="none" w:sz="0" w:space="0" w:color="auto"/>
                        <w:bottom w:val="none" w:sz="0" w:space="0" w:color="auto"/>
                        <w:right w:val="none" w:sz="0" w:space="0" w:color="auto"/>
                      </w:divBdr>
                    </w:div>
                  </w:divsChild>
                </w:div>
                <w:div w:id="596795741">
                  <w:marLeft w:val="0"/>
                  <w:marRight w:val="0"/>
                  <w:marTop w:val="0"/>
                  <w:marBottom w:val="0"/>
                  <w:divBdr>
                    <w:top w:val="none" w:sz="0" w:space="0" w:color="auto"/>
                    <w:left w:val="none" w:sz="0" w:space="0" w:color="auto"/>
                    <w:bottom w:val="none" w:sz="0" w:space="0" w:color="auto"/>
                    <w:right w:val="none" w:sz="0" w:space="0" w:color="auto"/>
                  </w:divBdr>
                  <w:divsChild>
                    <w:div w:id="1407608827">
                      <w:marLeft w:val="0"/>
                      <w:marRight w:val="0"/>
                      <w:marTop w:val="0"/>
                      <w:marBottom w:val="0"/>
                      <w:divBdr>
                        <w:top w:val="none" w:sz="0" w:space="0" w:color="auto"/>
                        <w:left w:val="none" w:sz="0" w:space="0" w:color="auto"/>
                        <w:bottom w:val="none" w:sz="0" w:space="0" w:color="auto"/>
                        <w:right w:val="none" w:sz="0" w:space="0" w:color="auto"/>
                      </w:divBdr>
                    </w:div>
                  </w:divsChild>
                </w:div>
                <w:div w:id="944265187">
                  <w:marLeft w:val="0"/>
                  <w:marRight w:val="0"/>
                  <w:marTop w:val="0"/>
                  <w:marBottom w:val="0"/>
                  <w:divBdr>
                    <w:top w:val="none" w:sz="0" w:space="0" w:color="auto"/>
                    <w:left w:val="none" w:sz="0" w:space="0" w:color="auto"/>
                    <w:bottom w:val="none" w:sz="0" w:space="0" w:color="auto"/>
                    <w:right w:val="none" w:sz="0" w:space="0" w:color="auto"/>
                  </w:divBdr>
                  <w:divsChild>
                    <w:div w:id="173040131">
                      <w:marLeft w:val="0"/>
                      <w:marRight w:val="0"/>
                      <w:marTop w:val="0"/>
                      <w:marBottom w:val="0"/>
                      <w:divBdr>
                        <w:top w:val="none" w:sz="0" w:space="0" w:color="auto"/>
                        <w:left w:val="none" w:sz="0" w:space="0" w:color="auto"/>
                        <w:bottom w:val="none" w:sz="0" w:space="0" w:color="auto"/>
                        <w:right w:val="none" w:sz="0" w:space="0" w:color="auto"/>
                      </w:divBdr>
                    </w:div>
                  </w:divsChild>
                </w:div>
                <w:div w:id="1148479953">
                  <w:marLeft w:val="0"/>
                  <w:marRight w:val="0"/>
                  <w:marTop w:val="0"/>
                  <w:marBottom w:val="0"/>
                  <w:divBdr>
                    <w:top w:val="none" w:sz="0" w:space="0" w:color="auto"/>
                    <w:left w:val="none" w:sz="0" w:space="0" w:color="auto"/>
                    <w:bottom w:val="none" w:sz="0" w:space="0" w:color="auto"/>
                    <w:right w:val="none" w:sz="0" w:space="0" w:color="auto"/>
                  </w:divBdr>
                  <w:divsChild>
                    <w:div w:id="1740712444">
                      <w:marLeft w:val="0"/>
                      <w:marRight w:val="0"/>
                      <w:marTop w:val="0"/>
                      <w:marBottom w:val="0"/>
                      <w:divBdr>
                        <w:top w:val="none" w:sz="0" w:space="0" w:color="auto"/>
                        <w:left w:val="none" w:sz="0" w:space="0" w:color="auto"/>
                        <w:bottom w:val="none" w:sz="0" w:space="0" w:color="auto"/>
                        <w:right w:val="none" w:sz="0" w:space="0" w:color="auto"/>
                      </w:divBdr>
                    </w:div>
                  </w:divsChild>
                </w:div>
                <w:div w:id="1304845761">
                  <w:marLeft w:val="0"/>
                  <w:marRight w:val="0"/>
                  <w:marTop w:val="0"/>
                  <w:marBottom w:val="0"/>
                  <w:divBdr>
                    <w:top w:val="none" w:sz="0" w:space="0" w:color="auto"/>
                    <w:left w:val="none" w:sz="0" w:space="0" w:color="auto"/>
                    <w:bottom w:val="none" w:sz="0" w:space="0" w:color="auto"/>
                    <w:right w:val="none" w:sz="0" w:space="0" w:color="auto"/>
                  </w:divBdr>
                  <w:divsChild>
                    <w:div w:id="828978809">
                      <w:marLeft w:val="0"/>
                      <w:marRight w:val="0"/>
                      <w:marTop w:val="0"/>
                      <w:marBottom w:val="0"/>
                      <w:divBdr>
                        <w:top w:val="none" w:sz="0" w:space="0" w:color="auto"/>
                        <w:left w:val="none" w:sz="0" w:space="0" w:color="auto"/>
                        <w:bottom w:val="none" w:sz="0" w:space="0" w:color="auto"/>
                        <w:right w:val="none" w:sz="0" w:space="0" w:color="auto"/>
                      </w:divBdr>
                    </w:div>
                  </w:divsChild>
                </w:div>
                <w:div w:id="1309281031">
                  <w:marLeft w:val="0"/>
                  <w:marRight w:val="0"/>
                  <w:marTop w:val="0"/>
                  <w:marBottom w:val="0"/>
                  <w:divBdr>
                    <w:top w:val="none" w:sz="0" w:space="0" w:color="auto"/>
                    <w:left w:val="none" w:sz="0" w:space="0" w:color="auto"/>
                    <w:bottom w:val="none" w:sz="0" w:space="0" w:color="auto"/>
                    <w:right w:val="none" w:sz="0" w:space="0" w:color="auto"/>
                  </w:divBdr>
                  <w:divsChild>
                    <w:div w:id="275525153">
                      <w:marLeft w:val="0"/>
                      <w:marRight w:val="0"/>
                      <w:marTop w:val="0"/>
                      <w:marBottom w:val="0"/>
                      <w:divBdr>
                        <w:top w:val="none" w:sz="0" w:space="0" w:color="auto"/>
                        <w:left w:val="none" w:sz="0" w:space="0" w:color="auto"/>
                        <w:bottom w:val="none" w:sz="0" w:space="0" w:color="auto"/>
                        <w:right w:val="none" w:sz="0" w:space="0" w:color="auto"/>
                      </w:divBdr>
                    </w:div>
                  </w:divsChild>
                </w:div>
                <w:div w:id="1327587366">
                  <w:marLeft w:val="0"/>
                  <w:marRight w:val="0"/>
                  <w:marTop w:val="0"/>
                  <w:marBottom w:val="0"/>
                  <w:divBdr>
                    <w:top w:val="none" w:sz="0" w:space="0" w:color="auto"/>
                    <w:left w:val="none" w:sz="0" w:space="0" w:color="auto"/>
                    <w:bottom w:val="none" w:sz="0" w:space="0" w:color="auto"/>
                    <w:right w:val="none" w:sz="0" w:space="0" w:color="auto"/>
                  </w:divBdr>
                  <w:divsChild>
                    <w:div w:id="927271785">
                      <w:marLeft w:val="0"/>
                      <w:marRight w:val="0"/>
                      <w:marTop w:val="0"/>
                      <w:marBottom w:val="0"/>
                      <w:divBdr>
                        <w:top w:val="none" w:sz="0" w:space="0" w:color="auto"/>
                        <w:left w:val="none" w:sz="0" w:space="0" w:color="auto"/>
                        <w:bottom w:val="none" w:sz="0" w:space="0" w:color="auto"/>
                        <w:right w:val="none" w:sz="0" w:space="0" w:color="auto"/>
                      </w:divBdr>
                    </w:div>
                  </w:divsChild>
                </w:div>
                <w:div w:id="1615207536">
                  <w:marLeft w:val="0"/>
                  <w:marRight w:val="0"/>
                  <w:marTop w:val="0"/>
                  <w:marBottom w:val="0"/>
                  <w:divBdr>
                    <w:top w:val="none" w:sz="0" w:space="0" w:color="auto"/>
                    <w:left w:val="none" w:sz="0" w:space="0" w:color="auto"/>
                    <w:bottom w:val="none" w:sz="0" w:space="0" w:color="auto"/>
                    <w:right w:val="none" w:sz="0" w:space="0" w:color="auto"/>
                  </w:divBdr>
                  <w:divsChild>
                    <w:div w:id="1105658038">
                      <w:marLeft w:val="0"/>
                      <w:marRight w:val="0"/>
                      <w:marTop w:val="0"/>
                      <w:marBottom w:val="0"/>
                      <w:divBdr>
                        <w:top w:val="none" w:sz="0" w:space="0" w:color="auto"/>
                        <w:left w:val="none" w:sz="0" w:space="0" w:color="auto"/>
                        <w:bottom w:val="none" w:sz="0" w:space="0" w:color="auto"/>
                        <w:right w:val="none" w:sz="0" w:space="0" w:color="auto"/>
                      </w:divBdr>
                    </w:div>
                  </w:divsChild>
                </w:div>
                <w:div w:id="1719429378">
                  <w:marLeft w:val="0"/>
                  <w:marRight w:val="0"/>
                  <w:marTop w:val="0"/>
                  <w:marBottom w:val="0"/>
                  <w:divBdr>
                    <w:top w:val="none" w:sz="0" w:space="0" w:color="auto"/>
                    <w:left w:val="none" w:sz="0" w:space="0" w:color="auto"/>
                    <w:bottom w:val="none" w:sz="0" w:space="0" w:color="auto"/>
                    <w:right w:val="none" w:sz="0" w:space="0" w:color="auto"/>
                  </w:divBdr>
                  <w:divsChild>
                    <w:div w:id="1326593364">
                      <w:marLeft w:val="0"/>
                      <w:marRight w:val="0"/>
                      <w:marTop w:val="0"/>
                      <w:marBottom w:val="0"/>
                      <w:divBdr>
                        <w:top w:val="none" w:sz="0" w:space="0" w:color="auto"/>
                        <w:left w:val="none" w:sz="0" w:space="0" w:color="auto"/>
                        <w:bottom w:val="none" w:sz="0" w:space="0" w:color="auto"/>
                        <w:right w:val="none" w:sz="0" w:space="0" w:color="auto"/>
                      </w:divBdr>
                    </w:div>
                  </w:divsChild>
                </w:div>
                <w:div w:id="1862544222">
                  <w:marLeft w:val="0"/>
                  <w:marRight w:val="0"/>
                  <w:marTop w:val="0"/>
                  <w:marBottom w:val="0"/>
                  <w:divBdr>
                    <w:top w:val="none" w:sz="0" w:space="0" w:color="auto"/>
                    <w:left w:val="none" w:sz="0" w:space="0" w:color="auto"/>
                    <w:bottom w:val="none" w:sz="0" w:space="0" w:color="auto"/>
                    <w:right w:val="none" w:sz="0" w:space="0" w:color="auto"/>
                  </w:divBdr>
                  <w:divsChild>
                    <w:div w:id="885070121">
                      <w:marLeft w:val="0"/>
                      <w:marRight w:val="0"/>
                      <w:marTop w:val="0"/>
                      <w:marBottom w:val="0"/>
                      <w:divBdr>
                        <w:top w:val="none" w:sz="0" w:space="0" w:color="auto"/>
                        <w:left w:val="none" w:sz="0" w:space="0" w:color="auto"/>
                        <w:bottom w:val="none" w:sz="0" w:space="0" w:color="auto"/>
                        <w:right w:val="none" w:sz="0" w:space="0" w:color="auto"/>
                      </w:divBdr>
                    </w:div>
                    <w:div w:id="10303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8846">
          <w:marLeft w:val="0"/>
          <w:marRight w:val="0"/>
          <w:marTop w:val="0"/>
          <w:marBottom w:val="0"/>
          <w:divBdr>
            <w:top w:val="none" w:sz="0" w:space="0" w:color="auto"/>
            <w:left w:val="none" w:sz="0" w:space="0" w:color="auto"/>
            <w:bottom w:val="none" w:sz="0" w:space="0" w:color="auto"/>
            <w:right w:val="none" w:sz="0" w:space="0" w:color="auto"/>
          </w:divBdr>
          <w:divsChild>
            <w:div w:id="189920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62498">
      <w:bodyDiv w:val="1"/>
      <w:marLeft w:val="0"/>
      <w:marRight w:val="0"/>
      <w:marTop w:val="0"/>
      <w:marBottom w:val="0"/>
      <w:divBdr>
        <w:top w:val="none" w:sz="0" w:space="0" w:color="auto"/>
        <w:left w:val="none" w:sz="0" w:space="0" w:color="auto"/>
        <w:bottom w:val="none" w:sz="0" w:space="0" w:color="auto"/>
        <w:right w:val="none" w:sz="0" w:space="0" w:color="auto"/>
      </w:divBdr>
      <w:divsChild>
        <w:div w:id="10300527">
          <w:marLeft w:val="446"/>
          <w:marRight w:val="0"/>
          <w:marTop w:val="200"/>
          <w:marBottom w:val="160"/>
          <w:divBdr>
            <w:top w:val="none" w:sz="0" w:space="0" w:color="auto"/>
            <w:left w:val="none" w:sz="0" w:space="0" w:color="auto"/>
            <w:bottom w:val="none" w:sz="0" w:space="0" w:color="auto"/>
            <w:right w:val="none" w:sz="0" w:space="0" w:color="auto"/>
          </w:divBdr>
        </w:div>
        <w:div w:id="464549206">
          <w:marLeft w:val="446"/>
          <w:marRight w:val="0"/>
          <w:marTop w:val="200"/>
          <w:marBottom w:val="160"/>
          <w:divBdr>
            <w:top w:val="none" w:sz="0" w:space="0" w:color="auto"/>
            <w:left w:val="none" w:sz="0" w:space="0" w:color="auto"/>
            <w:bottom w:val="none" w:sz="0" w:space="0" w:color="auto"/>
            <w:right w:val="none" w:sz="0" w:space="0" w:color="auto"/>
          </w:divBdr>
        </w:div>
        <w:div w:id="531186154">
          <w:marLeft w:val="446"/>
          <w:marRight w:val="0"/>
          <w:marTop w:val="200"/>
          <w:marBottom w:val="160"/>
          <w:divBdr>
            <w:top w:val="none" w:sz="0" w:space="0" w:color="auto"/>
            <w:left w:val="none" w:sz="0" w:space="0" w:color="auto"/>
            <w:bottom w:val="none" w:sz="0" w:space="0" w:color="auto"/>
            <w:right w:val="none" w:sz="0" w:space="0" w:color="auto"/>
          </w:divBdr>
        </w:div>
      </w:divsChild>
    </w:div>
    <w:div w:id="780304361">
      <w:bodyDiv w:val="1"/>
      <w:marLeft w:val="0"/>
      <w:marRight w:val="0"/>
      <w:marTop w:val="0"/>
      <w:marBottom w:val="0"/>
      <w:divBdr>
        <w:top w:val="none" w:sz="0" w:space="0" w:color="auto"/>
        <w:left w:val="none" w:sz="0" w:space="0" w:color="auto"/>
        <w:bottom w:val="none" w:sz="0" w:space="0" w:color="auto"/>
        <w:right w:val="none" w:sz="0" w:space="0" w:color="auto"/>
      </w:divBdr>
    </w:div>
    <w:div w:id="844826421">
      <w:bodyDiv w:val="1"/>
      <w:marLeft w:val="0"/>
      <w:marRight w:val="0"/>
      <w:marTop w:val="0"/>
      <w:marBottom w:val="0"/>
      <w:divBdr>
        <w:top w:val="none" w:sz="0" w:space="0" w:color="auto"/>
        <w:left w:val="none" w:sz="0" w:space="0" w:color="auto"/>
        <w:bottom w:val="none" w:sz="0" w:space="0" w:color="auto"/>
        <w:right w:val="none" w:sz="0" w:space="0" w:color="auto"/>
      </w:divBdr>
      <w:divsChild>
        <w:div w:id="180820958">
          <w:marLeft w:val="547"/>
          <w:marRight w:val="0"/>
          <w:marTop w:val="0"/>
          <w:marBottom w:val="160"/>
          <w:divBdr>
            <w:top w:val="none" w:sz="0" w:space="0" w:color="auto"/>
            <w:left w:val="none" w:sz="0" w:space="0" w:color="auto"/>
            <w:bottom w:val="none" w:sz="0" w:space="0" w:color="auto"/>
            <w:right w:val="none" w:sz="0" w:space="0" w:color="auto"/>
          </w:divBdr>
        </w:div>
        <w:div w:id="333144781">
          <w:marLeft w:val="547"/>
          <w:marRight w:val="0"/>
          <w:marTop w:val="0"/>
          <w:marBottom w:val="0"/>
          <w:divBdr>
            <w:top w:val="none" w:sz="0" w:space="0" w:color="auto"/>
            <w:left w:val="none" w:sz="0" w:space="0" w:color="auto"/>
            <w:bottom w:val="none" w:sz="0" w:space="0" w:color="auto"/>
            <w:right w:val="none" w:sz="0" w:space="0" w:color="auto"/>
          </w:divBdr>
        </w:div>
        <w:div w:id="680549216">
          <w:marLeft w:val="547"/>
          <w:marRight w:val="0"/>
          <w:marTop w:val="0"/>
          <w:marBottom w:val="0"/>
          <w:divBdr>
            <w:top w:val="none" w:sz="0" w:space="0" w:color="auto"/>
            <w:left w:val="none" w:sz="0" w:space="0" w:color="auto"/>
            <w:bottom w:val="none" w:sz="0" w:space="0" w:color="auto"/>
            <w:right w:val="none" w:sz="0" w:space="0" w:color="auto"/>
          </w:divBdr>
        </w:div>
        <w:div w:id="909922719">
          <w:marLeft w:val="720"/>
          <w:marRight w:val="0"/>
          <w:marTop w:val="0"/>
          <w:marBottom w:val="160"/>
          <w:divBdr>
            <w:top w:val="none" w:sz="0" w:space="0" w:color="auto"/>
            <w:left w:val="none" w:sz="0" w:space="0" w:color="auto"/>
            <w:bottom w:val="none" w:sz="0" w:space="0" w:color="auto"/>
            <w:right w:val="none" w:sz="0" w:space="0" w:color="auto"/>
          </w:divBdr>
        </w:div>
        <w:div w:id="1292900910">
          <w:marLeft w:val="547"/>
          <w:marRight w:val="0"/>
          <w:marTop w:val="0"/>
          <w:marBottom w:val="0"/>
          <w:divBdr>
            <w:top w:val="none" w:sz="0" w:space="0" w:color="auto"/>
            <w:left w:val="none" w:sz="0" w:space="0" w:color="auto"/>
            <w:bottom w:val="none" w:sz="0" w:space="0" w:color="auto"/>
            <w:right w:val="none" w:sz="0" w:space="0" w:color="auto"/>
          </w:divBdr>
        </w:div>
        <w:div w:id="1377467355">
          <w:marLeft w:val="0"/>
          <w:marRight w:val="0"/>
          <w:marTop w:val="0"/>
          <w:marBottom w:val="160"/>
          <w:divBdr>
            <w:top w:val="none" w:sz="0" w:space="0" w:color="auto"/>
            <w:left w:val="none" w:sz="0" w:space="0" w:color="auto"/>
            <w:bottom w:val="none" w:sz="0" w:space="0" w:color="auto"/>
            <w:right w:val="none" w:sz="0" w:space="0" w:color="auto"/>
          </w:divBdr>
        </w:div>
        <w:div w:id="1464349780">
          <w:marLeft w:val="547"/>
          <w:marRight w:val="0"/>
          <w:marTop w:val="0"/>
          <w:marBottom w:val="0"/>
          <w:divBdr>
            <w:top w:val="none" w:sz="0" w:space="0" w:color="auto"/>
            <w:left w:val="none" w:sz="0" w:space="0" w:color="auto"/>
            <w:bottom w:val="none" w:sz="0" w:space="0" w:color="auto"/>
            <w:right w:val="none" w:sz="0" w:space="0" w:color="auto"/>
          </w:divBdr>
        </w:div>
        <w:div w:id="1605845517">
          <w:marLeft w:val="547"/>
          <w:marRight w:val="0"/>
          <w:marTop w:val="0"/>
          <w:marBottom w:val="0"/>
          <w:divBdr>
            <w:top w:val="none" w:sz="0" w:space="0" w:color="auto"/>
            <w:left w:val="none" w:sz="0" w:space="0" w:color="auto"/>
            <w:bottom w:val="none" w:sz="0" w:space="0" w:color="auto"/>
            <w:right w:val="none" w:sz="0" w:space="0" w:color="auto"/>
          </w:divBdr>
        </w:div>
        <w:div w:id="1702123930">
          <w:marLeft w:val="720"/>
          <w:marRight w:val="0"/>
          <w:marTop w:val="0"/>
          <w:marBottom w:val="160"/>
          <w:divBdr>
            <w:top w:val="none" w:sz="0" w:space="0" w:color="auto"/>
            <w:left w:val="none" w:sz="0" w:space="0" w:color="auto"/>
            <w:bottom w:val="none" w:sz="0" w:space="0" w:color="auto"/>
            <w:right w:val="none" w:sz="0" w:space="0" w:color="auto"/>
          </w:divBdr>
        </w:div>
        <w:div w:id="2015959014">
          <w:marLeft w:val="0"/>
          <w:marRight w:val="0"/>
          <w:marTop w:val="0"/>
          <w:marBottom w:val="160"/>
          <w:divBdr>
            <w:top w:val="none" w:sz="0" w:space="0" w:color="auto"/>
            <w:left w:val="none" w:sz="0" w:space="0" w:color="auto"/>
            <w:bottom w:val="none" w:sz="0" w:space="0" w:color="auto"/>
            <w:right w:val="none" w:sz="0" w:space="0" w:color="auto"/>
          </w:divBdr>
        </w:div>
        <w:div w:id="2016226321">
          <w:marLeft w:val="547"/>
          <w:marRight w:val="0"/>
          <w:marTop w:val="0"/>
          <w:marBottom w:val="160"/>
          <w:divBdr>
            <w:top w:val="none" w:sz="0" w:space="0" w:color="auto"/>
            <w:left w:val="none" w:sz="0" w:space="0" w:color="auto"/>
            <w:bottom w:val="none" w:sz="0" w:space="0" w:color="auto"/>
            <w:right w:val="none" w:sz="0" w:space="0" w:color="auto"/>
          </w:divBdr>
        </w:div>
        <w:div w:id="2022973570">
          <w:marLeft w:val="547"/>
          <w:marRight w:val="0"/>
          <w:marTop w:val="0"/>
          <w:marBottom w:val="0"/>
          <w:divBdr>
            <w:top w:val="none" w:sz="0" w:space="0" w:color="auto"/>
            <w:left w:val="none" w:sz="0" w:space="0" w:color="auto"/>
            <w:bottom w:val="none" w:sz="0" w:space="0" w:color="auto"/>
            <w:right w:val="none" w:sz="0" w:space="0" w:color="auto"/>
          </w:divBdr>
        </w:div>
      </w:divsChild>
    </w:div>
    <w:div w:id="854465488">
      <w:bodyDiv w:val="1"/>
      <w:marLeft w:val="0"/>
      <w:marRight w:val="0"/>
      <w:marTop w:val="0"/>
      <w:marBottom w:val="0"/>
      <w:divBdr>
        <w:top w:val="none" w:sz="0" w:space="0" w:color="auto"/>
        <w:left w:val="none" w:sz="0" w:space="0" w:color="auto"/>
        <w:bottom w:val="none" w:sz="0" w:space="0" w:color="auto"/>
        <w:right w:val="none" w:sz="0" w:space="0" w:color="auto"/>
      </w:divBdr>
    </w:div>
    <w:div w:id="866991442">
      <w:bodyDiv w:val="1"/>
      <w:marLeft w:val="0"/>
      <w:marRight w:val="0"/>
      <w:marTop w:val="0"/>
      <w:marBottom w:val="0"/>
      <w:divBdr>
        <w:top w:val="none" w:sz="0" w:space="0" w:color="auto"/>
        <w:left w:val="none" w:sz="0" w:space="0" w:color="auto"/>
        <w:bottom w:val="none" w:sz="0" w:space="0" w:color="auto"/>
        <w:right w:val="none" w:sz="0" w:space="0" w:color="auto"/>
      </w:divBdr>
    </w:div>
    <w:div w:id="883323192">
      <w:bodyDiv w:val="1"/>
      <w:marLeft w:val="0"/>
      <w:marRight w:val="0"/>
      <w:marTop w:val="0"/>
      <w:marBottom w:val="0"/>
      <w:divBdr>
        <w:top w:val="none" w:sz="0" w:space="0" w:color="auto"/>
        <w:left w:val="none" w:sz="0" w:space="0" w:color="auto"/>
        <w:bottom w:val="none" w:sz="0" w:space="0" w:color="auto"/>
        <w:right w:val="none" w:sz="0" w:space="0" w:color="auto"/>
      </w:divBdr>
    </w:div>
    <w:div w:id="890070886">
      <w:bodyDiv w:val="1"/>
      <w:marLeft w:val="0"/>
      <w:marRight w:val="0"/>
      <w:marTop w:val="0"/>
      <w:marBottom w:val="0"/>
      <w:divBdr>
        <w:top w:val="none" w:sz="0" w:space="0" w:color="auto"/>
        <w:left w:val="none" w:sz="0" w:space="0" w:color="auto"/>
        <w:bottom w:val="none" w:sz="0" w:space="0" w:color="auto"/>
        <w:right w:val="none" w:sz="0" w:space="0" w:color="auto"/>
      </w:divBdr>
    </w:div>
    <w:div w:id="901789399">
      <w:bodyDiv w:val="1"/>
      <w:marLeft w:val="0"/>
      <w:marRight w:val="0"/>
      <w:marTop w:val="0"/>
      <w:marBottom w:val="0"/>
      <w:divBdr>
        <w:top w:val="none" w:sz="0" w:space="0" w:color="auto"/>
        <w:left w:val="none" w:sz="0" w:space="0" w:color="auto"/>
        <w:bottom w:val="none" w:sz="0" w:space="0" w:color="auto"/>
        <w:right w:val="none" w:sz="0" w:space="0" w:color="auto"/>
      </w:divBdr>
    </w:div>
    <w:div w:id="911933573">
      <w:bodyDiv w:val="1"/>
      <w:marLeft w:val="0"/>
      <w:marRight w:val="0"/>
      <w:marTop w:val="0"/>
      <w:marBottom w:val="0"/>
      <w:divBdr>
        <w:top w:val="none" w:sz="0" w:space="0" w:color="auto"/>
        <w:left w:val="none" w:sz="0" w:space="0" w:color="auto"/>
        <w:bottom w:val="none" w:sz="0" w:space="0" w:color="auto"/>
        <w:right w:val="none" w:sz="0" w:space="0" w:color="auto"/>
      </w:divBdr>
      <w:divsChild>
        <w:div w:id="1316910713">
          <w:marLeft w:val="0"/>
          <w:marRight w:val="0"/>
          <w:marTop w:val="0"/>
          <w:marBottom w:val="160"/>
          <w:divBdr>
            <w:top w:val="none" w:sz="0" w:space="0" w:color="auto"/>
            <w:left w:val="none" w:sz="0" w:space="0" w:color="auto"/>
            <w:bottom w:val="none" w:sz="0" w:space="0" w:color="auto"/>
            <w:right w:val="none" w:sz="0" w:space="0" w:color="auto"/>
          </w:divBdr>
        </w:div>
        <w:div w:id="1713380847">
          <w:marLeft w:val="0"/>
          <w:marRight w:val="0"/>
          <w:marTop w:val="0"/>
          <w:marBottom w:val="160"/>
          <w:divBdr>
            <w:top w:val="none" w:sz="0" w:space="0" w:color="auto"/>
            <w:left w:val="none" w:sz="0" w:space="0" w:color="auto"/>
            <w:bottom w:val="none" w:sz="0" w:space="0" w:color="auto"/>
            <w:right w:val="none" w:sz="0" w:space="0" w:color="auto"/>
          </w:divBdr>
        </w:div>
      </w:divsChild>
    </w:div>
    <w:div w:id="912424473">
      <w:bodyDiv w:val="1"/>
      <w:marLeft w:val="0"/>
      <w:marRight w:val="0"/>
      <w:marTop w:val="0"/>
      <w:marBottom w:val="0"/>
      <w:divBdr>
        <w:top w:val="none" w:sz="0" w:space="0" w:color="auto"/>
        <w:left w:val="none" w:sz="0" w:space="0" w:color="auto"/>
        <w:bottom w:val="none" w:sz="0" w:space="0" w:color="auto"/>
        <w:right w:val="none" w:sz="0" w:space="0" w:color="auto"/>
      </w:divBdr>
    </w:div>
    <w:div w:id="920137761">
      <w:bodyDiv w:val="1"/>
      <w:marLeft w:val="0"/>
      <w:marRight w:val="0"/>
      <w:marTop w:val="0"/>
      <w:marBottom w:val="0"/>
      <w:divBdr>
        <w:top w:val="none" w:sz="0" w:space="0" w:color="auto"/>
        <w:left w:val="none" w:sz="0" w:space="0" w:color="auto"/>
        <w:bottom w:val="none" w:sz="0" w:space="0" w:color="auto"/>
        <w:right w:val="none" w:sz="0" w:space="0" w:color="auto"/>
      </w:divBdr>
    </w:div>
    <w:div w:id="944843161">
      <w:bodyDiv w:val="1"/>
      <w:marLeft w:val="0"/>
      <w:marRight w:val="0"/>
      <w:marTop w:val="0"/>
      <w:marBottom w:val="0"/>
      <w:divBdr>
        <w:top w:val="none" w:sz="0" w:space="0" w:color="auto"/>
        <w:left w:val="none" w:sz="0" w:space="0" w:color="auto"/>
        <w:bottom w:val="none" w:sz="0" w:space="0" w:color="auto"/>
        <w:right w:val="none" w:sz="0" w:space="0" w:color="auto"/>
      </w:divBdr>
    </w:div>
    <w:div w:id="999118904">
      <w:bodyDiv w:val="1"/>
      <w:marLeft w:val="0"/>
      <w:marRight w:val="0"/>
      <w:marTop w:val="0"/>
      <w:marBottom w:val="0"/>
      <w:divBdr>
        <w:top w:val="none" w:sz="0" w:space="0" w:color="auto"/>
        <w:left w:val="none" w:sz="0" w:space="0" w:color="auto"/>
        <w:bottom w:val="none" w:sz="0" w:space="0" w:color="auto"/>
        <w:right w:val="none" w:sz="0" w:space="0" w:color="auto"/>
      </w:divBdr>
    </w:div>
    <w:div w:id="1013071533">
      <w:bodyDiv w:val="1"/>
      <w:marLeft w:val="0"/>
      <w:marRight w:val="0"/>
      <w:marTop w:val="0"/>
      <w:marBottom w:val="0"/>
      <w:divBdr>
        <w:top w:val="none" w:sz="0" w:space="0" w:color="auto"/>
        <w:left w:val="none" w:sz="0" w:space="0" w:color="auto"/>
        <w:bottom w:val="none" w:sz="0" w:space="0" w:color="auto"/>
        <w:right w:val="none" w:sz="0" w:space="0" w:color="auto"/>
      </w:divBdr>
    </w:div>
    <w:div w:id="1046027730">
      <w:bodyDiv w:val="1"/>
      <w:marLeft w:val="0"/>
      <w:marRight w:val="0"/>
      <w:marTop w:val="0"/>
      <w:marBottom w:val="0"/>
      <w:divBdr>
        <w:top w:val="none" w:sz="0" w:space="0" w:color="auto"/>
        <w:left w:val="none" w:sz="0" w:space="0" w:color="auto"/>
        <w:bottom w:val="none" w:sz="0" w:space="0" w:color="auto"/>
        <w:right w:val="none" w:sz="0" w:space="0" w:color="auto"/>
      </w:divBdr>
    </w:div>
    <w:div w:id="1120414804">
      <w:bodyDiv w:val="1"/>
      <w:marLeft w:val="0"/>
      <w:marRight w:val="0"/>
      <w:marTop w:val="0"/>
      <w:marBottom w:val="0"/>
      <w:divBdr>
        <w:top w:val="none" w:sz="0" w:space="0" w:color="auto"/>
        <w:left w:val="none" w:sz="0" w:space="0" w:color="auto"/>
        <w:bottom w:val="none" w:sz="0" w:space="0" w:color="auto"/>
        <w:right w:val="none" w:sz="0" w:space="0" w:color="auto"/>
      </w:divBdr>
    </w:div>
    <w:div w:id="1128931264">
      <w:bodyDiv w:val="1"/>
      <w:marLeft w:val="0"/>
      <w:marRight w:val="0"/>
      <w:marTop w:val="0"/>
      <w:marBottom w:val="0"/>
      <w:divBdr>
        <w:top w:val="none" w:sz="0" w:space="0" w:color="auto"/>
        <w:left w:val="none" w:sz="0" w:space="0" w:color="auto"/>
        <w:bottom w:val="none" w:sz="0" w:space="0" w:color="auto"/>
        <w:right w:val="none" w:sz="0" w:space="0" w:color="auto"/>
      </w:divBdr>
      <w:divsChild>
        <w:div w:id="756101345">
          <w:marLeft w:val="0"/>
          <w:marRight w:val="0"/>
          <w:marTop w:val="0"/>
          <w:marBottom w:val="0"/>
          <w:divBdr>
            <w:top w:val="none" w:sz="0" w:space="0" w:color="auto"/>
            <w:left w:val="none" w:sz="0" w:space="0" w:color="auto"/>
            <w:bottom w:val="none" w:sz="0" w:space="0" w:color="auto"/>
            <w:right w:val="none" w:sz="0" w:space="0" w:color="auto"/>
          </w:divBdr>
        </w:div>
        <w:div w:id="1036613388">
          <w:marLeft w:val="0"/>
          <w:marRight w:val="0"/>
          <w:marTop w:val="0"/>
          <w:marBottom w:val="0"/>
          <w:divBdr>
            <w:top w:val="none" w:sz="0" w:space="0" w:color="auto"/>
            <w:left w:val="none" w:sz="0" w:space="0" w:color="auto"/>
            <w:bottom w:val="none" w:sz="0" w:space="0" w:color="auto"/>
            <w:right w:val="none" w:sz="0" w:space="0" w:color="auto"/>
          </w:divBdr>
          <w:divsChild>
            <w:div w:id="1101025053">
              <w:marLeft w:val="0"/>
              <w:marRight w:val="0"/>
              <w:marTop w:val="0"/>
              <w:marBottom w:val="0"/>
              <w:divBdr>
                <w:top w:val="none" w:sz="0" w:space="0" w:color="auto"/>
                <w:left w:val="none" w:sz="0" w:space="0" w:color="auto"/>
                <w:bottom w:val="none" w:sz="0" w:space="0" w:color="auto"/>
                <w:right w:val="none" w:sz="0" w:space="0" w:color="auto"/>
              </w:divBdr>
            </w:div>
          </w:divsChild>
        </w:div>
        <w:div w:id="1072506741">
          <w:marLeft w:val="0"/>
          <w:marRight w:val="0"/>
          <w:marTop w:val="0"/>
          <w:marBottom w:val="0"/>
          <w:divBdr>
            <w:top w:val="none" w:sz="0" w:space="0" w:color="auto"/>
            <w:left w:val="none" w:sz="0" w:space="0" w:color="auto"/>
            <w:bottom w:val="none" w:sz="0" w:space="0" w:color="auto"/>
            <w:right w:val="none" w:sz="0" w:space="0" w:color="auto"/>
          </w:divBdr>
          <w:divsChild>
            <w:div w:id="399139969">
              <w:marLeft w:val="0"/>
              <w:marRight w:val="0"/>
              <w:marTop w:val="0"/>
              <w:marBottom w:val="0"/>
              <w:divBdr>
                <w:top w:val="none" w:sz="0" w:space="0" w:color="auto"/>
                <w:left w:val="none" w:sz="0" w:space="0" w:color="auto"/>
                <w:bottom w:val="none" w:sz="0" w:space="0" w:color="auto"/>
                <w:right w:val="none" w:sz="0" w:space="0" w:color="auto"/>
              </w:divBdr>
            </w:div>
            <w:div w:id="579023217">
              <w:marLeft w:val="0"/>
              <w:marRight w:val="0"/>
              <w:marTop w:val="0"/>
              <w:marBottom w:val="0"/>
              <w:divBdr>
                <w:top w:val="none" w:sz="0" w:space="0" w:color="auto"/>
                <w:left w:val="none" w:sz="0" w:space="0" w:color="auto"/>
                <w:bottom w:val="none" w:sz="0" w:space="0" w:color="auto"/>
                <w:right w:val="none" w:sz="0" w:space="0" w:color="auto"/>
              </w:divBdr>
            </w:div>
            <w:div w:id="1827670532">
              <w:marLeft w:val="0"/>
              <w:marRight w:val="0"/>
              <w:marTop w:val="0"/>
              <w:marBottom w:val="0"/>
              <w:divBdr>
                <w:top w:val="none" w:sz="0" w:space="0" w:color="auto"/>
                <w:left w:val="none" w:sz="0" w:space="0" w:color="auto"/>
                <w:bottom w:val="none" w:sz="0" w:space="0" w:color="auto"/>
                <w:right w:val="none" w:sz="0" w:space="0" w:color="auto"/>
              </w:divBdr>
            </w:div>
          </w:divsChild>
        </w:div>
        <w:div w:id="1119370251">
          <w:marLeft w:val="0"/>
          <w:marRight w:val="0"/>
          <w:marTop w:val="0"/>
          <w:marBottom w:val="0"/>
          <w:divBdr>
            <w:top w:val="none" w:sz="0" w:space="0" w:color="auto"/>
            <w:left w:val="none" w:sz="0" w:space="0" w:color="auto"/>
            <w:bottom w:val="none" w:sz="0" w:space="0" w:color="auto"/>
            <w:right w:val="none" w:sz="0" w:space="0" w:color="auto"/>
          </w:divBdr>
          <w:divsChild>
            <w:div w:id="451216966">
              <w:marLeft w:val="0"/>
              <w:marRight w:val="0"/>
              <w:marTop w:val="0"/>
              <w:marBottom w:val="0"/>
              <w:divBdr>
                <w:top w:val="none" w:sz="0" w:space="0" w:color="auto"/>
                <w:left w:val="none" w:sz="0" w:space="0" w:color="auto"/>
                <w:bottom w:val="none" w:sz="0" w:space="0" w:color="auto"/>
                <w:right w:val="none" w:sz="0" w:space="0" w:color="auto"/>
              </w:divBdr>
            </w:div>
            <w:div w:id="483595368">
              <w:marLeft w:val="0"/>
              <w:marRight w:val="0"/>
              <w:marTop w:val="0"/>
              <w:marBottom w:val="0"/>
              <w:divBdr>
                <w:top w:val="none" w:sz="0" w:space="0" w:color="auto"/>
                <w:left w:val="none" w:sz="0" w:space="0" w:color="auto"/>
                <w:bottom w:val="none" w:sz="0" w:space="0" w:color="auto"/>
                <w:right w:val="none" w:sz="0" w:space="0" w:color="auto"/>
              </w:divBdr>
            </w:div>
            <w:div w:id="581257233">
              <w:marLeft w:val="0"/>
              <w:marRight w:val="0"/>
              <w:marTop w:val="0"/>
              <w:marBottom w:val="0"/>
              <w:divBdr>
                <w:top w:val="none" w:sz="0" w:space="0" w:color="auto"/>
                <w:left w:val="none" w:sz="0" w:space="0" w:color="auto"/>
                <w:bottom w:val="none" w:sz="0" w:space="0" w:color="auto"/>
                <w:right w:val="none" w:sz="0" w:space="0" w:color="auto"/>
              </w:divBdr>
            </w:div>
            <w:div w:id="872156955">
              <w:marLeft w:val="0"/>
              <w:marRight w:val="0"/>
              <w:marTop w:val="0"/>
              <w:marBottom w:val="0"/>
              <w:divBdr>
                <w:top w:val="none" w:sz="0" w:space="0" w:color="auto"/>
                <w:left w:val="none" w:sz="0" w:space="0" w:color="auto"/>
                <w:bottom w:val="none" w:sz="0" w:space="0" w:color="auto"/>
                <w:right w:val="none" w:sz="0" w:space="0" w:color="auto"/>
              </w:divBdr>
            </w:div>
            <w:div w:id="971978769">
              <w:marLeft w:val="0"/>
              <w:marRight w:val="0"/>
              <w:marTop w:val="0"/>
              <w:marBottom w:val="0"/>
              <w:divBdr>
                <w:top w:val="none" w:sz="0" w:space="0" w:color="auto"/>
                <w:left w:val="none" w:sz="0" w:space="0" w:color="auto"/>
                <w:bottom w:val="none" w:sz="0" w:space="0" w:color="auto"/>
                <w:right w:val="none" w:sz="0" w:space="0" w:color="auto"/>
              </w:divBdr>
            </w:div>
            <w:div w:id="1406800978">
              <w:marLeft w:val="0"/>
              <w:marRight w:val="0"/>
              <w:marTop w:val="0"/>
              <w:marBottom w:val="0"/>
              <w:divBdr>
                <w:top w:val="none" w:sz="0" w:space="0" w:color="auto"/>
                <w:left w:val="none" w:sz="0" w:space="0" w:color="auto"/>
                <w:bottom w:val="none" w:sz="0" w:space="0" w:color="auto"/>
                <w:right w:val="none" w:sz="0" w:space="0" w:color="auto"/>
              </w:divBdr>
            </w:div>
            <w:div w:id="1407993791">
              <w:marLeft w:val="0"/>
              <w:marRight w:val="0"/>
              <w:marTop w:val="0"/>
              <w:marBottom w:val="0"/>
              <w:divBdr>
                <w:top w:val="none" w:sz="0" w:space="0" w:color="auto"/>
                <w:left w:val="none" w:sz="0" w:space="0" w:color="auto"/>
                <w:bottom w:val="none" w:sz="0" w:space="0" w:color="auto"/>
                <w:right w:val="none" w:sz="0" w:space="0" w:color="auto"/>
              </w:divBdr>
            </w:div>
            <w:div w:id="1431047175">
              <w:marLeft w:val="0"/>
              <w:marRight w:val="0"/>
              <w:marTop w:val="0"/>
              <w:marBottom w:val="0"/>
              <w:divBdr>
                <w:top w:val="none" w:sz="0" w:space="0" w:color="auto"/>
                <w:left w:val="none" w:sz="0" w:space="0" w:color="auto"/>
                <w:bottom w:val="none" w:sz="0" w:space="0" w:color="auto"/>
                <w:right w:val="none" w:sz="0" w:space="0" w:color="auto"/>
              </w:divBdr>
            </w:div>
            <w:div w:id="1515803954">
              <w:marLeft w:val="0"/>
              <w:marRight w:val="0"/>
              <w:marTop w:val="0"/>
              <w:marBottom w:val="0"/>
              <w:divBdr>
                <w:top w:val="none" w:sz="0" w:space="0" w:color="auto"/>
                <w:left w:val="none" w:sz="0" w:space="0" w:color="auto"/>
                <w:bottom w:val="none" w:sz="0" w:space="0" w:color="auto"/>
                <w:right w:val="none" w:sz="0" w:space="0" w:color="auto"/>
              </w:divBdr>
            </w:div>
            <w:div w:id="1642613669">
              <w:marLeft w:val="0"/>
              <w:marRight w:val="0"/>
              <w:marTop w:val="0"/>
              <w:marBottom w:val="0"/>
              <w:divBdr>
                <w:top w:val="none" w:sz="0" w:space="0" w:color="auto"/>
                <w:left w:val="none" w:sz="0" w:space="0" w:color="auto"/>
                <w:bottom w:val="none" w:sz="0" w:space="0" w:color="auto"/>
                <w:right w:val="none" w:sz="0" w:space="0" w:color="auto"/>
              </w:divBdr>
            </w:div>
            <w:div w:id="1794595244">
              <w:marLeft w:val="0"/>
              <w:marRight w:val="0"/>
              <w:marTop w:val="0"/>
              <w:marBottom w:val="0"/>
              <w:divBdr>
                <w:top w:val="none" w:sz="0" w:space="0" w:color="auto"/>
                <w:left w:val="none" w:sz="0" w:space="0" w:color="auto"/>
                <w:bottom w:val="none" w:sz="0" w:space="0" w:color="auto"/>
                <w:right w:val="none" w:sz="0" w:space="0" w:color="auto"/>
              </w:divBdr>
            </w:div>
            <w:div w:id="1865243955">
              <w:marLeft w:val="0"/>
              <w:marRight w:val="0"/>
              <w:marTop w:val="0"/>
              <w:marBottom w:val="0"/>
              <w:divBdr>
                <w:top w:val="none" w:sz="0" w:space="0" w:color="auto"/>
                <w:left w:val="none" w:sz="0" w:space="0" w:color="auto"/>
                <w:bottom w:val="none" w:sz="0" w:space="0" w:color="auto"/>
                <w:right w:val="none" w:sz="0" w:space="0" w:color="auto"/>
              </w:divBdr>
            </w:div>
            <w:div w:id="1908876628">
              <w:marLeft w:val="0"/>
              <w:marRight w:val="0"/>
              <w:marTop w:val="0"/>
              <w:marBottom w:val="0"/>
              <w:divBdr>
                <w:top w:val="none" w:sz="0" w:space="0" w:color="auto"/>
                <w:left w:val="none" w:sz="0" w:space="0" w:color="auto"/>
                <w:bottom w:val="none" w:sz="0" w:space="0" w:color="auto"/>
                <w:right w:val="none" w:sz="0" w:space="0" w:color="auto"/>
              </w:divBdr>
            </w:div>
            <w:div w:id="2040469277">
              <w:marLeft w:val="0"/>
              <w:marRight w:val="0"/>
              <w:marTop w:val="0"/>
              <w:marBottom w:val="0"/>
              <w:divBdr>
                <w:top w:val="none" w:sz="0" w:space="0" w:color="auto"/>
                <w:left w:val="none" w:sz="0" w:space="0" w:color="auto"/>
                <w:bottom w:val="none" w:sz="0" w:space="0" w:color="auto"/>
                <w:right w:val="none" w:sz="0" w:space="0" w:color="auto"/>
              </w:divBdr>
            </w:div>
            <w:div w:id="2096323439">
              <w:marLeft w:val="0"/>
              <w:marRight w:val="0"/>
              <w:marTop w:val="0"/>
              <w:marBottom w:val="0"/>
              <w:divBdr>
                <w:top w:val="none" w:sz="0" w:space="0" w:color="auto"/>
                <w:left w:val="none" w:sz="0" w:space="0" w:color="auto"/>
                <w:bottom w:val="none" w:sz="0" w:space="0" w:color="auto"/>
                <w:right w:val="none" w:sz="0" w:space="0" w:color="auto"/>
              </w:divBdr>
            </w:div>
          </w:divsChild>
        </w:div>
        <w:div w:id="1277521219">
          <w:marLeft w:val="0"/>
          <w:marRight w:val="0"/>
          <w:marTop w:val="0"/>
          <w:marBottom w:val="0"/>
          <w:divBdr>
            <w:top w:val="none" w:sz="0" w:space="0" w:color="auto"/>
            <w:left w:val="none" w:sz="0" w:space="0" w:color="auto"/>
            <w:bottom w:val="none" w:sz="0" w:space="0" w:color="auto"/>
            <w:right w:val="none" w:sz="0" w:space="0" w:color="auto"/>
          </w:divBdr>
        </w:div>
        <w:div w:id="1626083401">
          <w:marLeft w:val="0"/>
          <w:marRight w:val="0"/>
          <w:marTop w:val="0"/>
          <w:marBottom w:val="0"/>
          <w:divBdr>
            <w:top w:val="none" w:sz="0" w:space="0" w:color="auto"/>
            <w:left w:val="none" w:sz="0" w:space="0" w:color="auto"/>
            <w:bottom w:val="none" w:sz="0" w:space="0" w:color="auto"/>
            <w:right w:val="none" w:sz="0" w:space="0" w:color="auto"/>
          </w:divBdr>
          <w:divsChild>
            <w:div w:id="269244581">
              <w:marLeft w:val="0"/>
              <w:marRight w:val="0"/>
              <w:marTop w:val="0"/>
              <w:marBottom w:val="0"/>
              <w:divBdr>
                <w:top w:val="none" w:sz="0" w:space="0" w:color="auto"/>
                <w:left w:val="none" w:sz="0" w:space="0" w:color="auto"/>
                <w:bottom w:val="none" w:sz="0" w:space="0" w:color="auto"/>
                <w:right w:val="none" w:sz="0" w:space="0" w:color="auto"/>
              </w:divBdr>
            </w:div>
            <w:div w:id="411633422">
              <w:marLeft w:val="0"/>
              <w:marRight w:val="0"/>
              <w:marTop w:val="0"/>
              <w:marBottom w:val="0"/>
              <w:divBdr>
                <w:top w:val="none" w:sz="0" w:space="0" w:color="auto"/>
                <w:left w:val="none" w:sz="0" w:space="0" w:color="auto"/>
                <w:bottom w:val="none" w:sz="0" w:space="0" w:color="auto"/>
                <w:right w:val="none" w:sz="0" w:space="0" w:color="auto"/>
              </w:divBdr>
            </w:div>
            <w:div w:id="413355790">
              <w:marLeft w:val="0"/>
              <w:marRight w:val="0"/>
              <w:marTop w:val="0"/>
              <w:marBottom w:val="0"/>
              <w:divBdr>
                <w:top w:val="none" w:sz="0" w:space="0" w:color="auto"/>
                <w:left w:val="none" w:sz="0" w:space="0" w:color="auto"/>
                <w:bottom w:val="none" w:sz="0" w:space="0" w:color="auto"/>
                <w:right w:val="none" w:sz="0" w:space="0" w:color="auto"/>
              </w:divBdr>
            </w:div>
            <w:div w:id="482040907">
              <w:marLeft w:val="0"/>
              <w:marRight w:val="0"/>
              <w:marTop w:val="0"/>
              <w:marBottom w:val="0"/>
              <w:divBdr>
                <w:top w:val="none" w:sz="0" w:space="0" w:color="auto"/>
                <w:left w:val="none" w:sz="0" w:space="0" w:color="auto"/>
                <w:bottom w:val="none" w:sz="0" w:space="0" w:color="auto"/>
                <w:right w:val="none" w:sz="0" w:space="0" w:color="auto"/>
              </w:divBdr>
            </w:div>
            <w:div w:id="488256847">
              <w:marLeft w:val="0"/>
              <w:marRight w:val="0"/>
              <w:marTop w:val="0"/>
              <w:marBottom w:val="0"/>
              <w:divBdr>
                <w:top w:val="none" w:sz="0" w:space="0" w:color="auto"/>
                <w:left w:val="none" w:sz="0" w:space="0" w:color="auto"/>
                <w:bottom w:val="none" w:sz="0" w:space="0" w:color="auto"/>
                <w:right w:val="none" w:sz="0" w:space="0" w:color="auto"/>
              </w:divBdr>
            </w:div>
            <w:div w:id="714618876">
              <w:marLeft w:val="0"/>
              <w:marRight w:val="0"/>
              <w:marTop w:val="0"/>
              <w:marBottom w:val="0"/>
              <w:divBdr>
                <w:top w:val="none" w:sz="0" w:space="0" w:color="auto"/>
                <w:left w:val="none" w:sz="0" w:space="0" w:color="auto"/>
                <w:bottom w:val="none" w:sz="0" w:space="0" w:color="auto"/>
                <w:right w:val="none" w:sz="0" w:space="0" w:color="auto"/>
              </w:divBdr>
            </w:div>
            <w:div w:id="840197890">
              <w:marLeft w:val="0"/>
              <w:marRight w:val="0"/>
              <w:marTop w:val="0"/>
              <w:marBottom w:val="0"/>
              <w:divBdr>
                <w:top w:val="none" w:sz="0" w:space="0" w:color="auto"/>
                <w:left w:val="none" w:sz="0" w:space="0" w:color="auto"/>
                <w:bottom w:val="none" w:sz="0" w:space="0" w:color="auto"/>
                <w:right w:val="none" w:sz="0" w:space="0" w:color="auto"/>
              </w:divBdr>
            </w:div>
            <w:div w:id="870727289">
              <w:marLeft w:val="0"/>
              <w:marRight w:val="0"/>
              <w:marTop w:val="0"/>
              <w:marBottom w:val="0"/>
              <w:divBdr>
                <w:top w:val="none" w:sz="0" w:space="0" w:color="auto"/>
                <w:left w:val="none" w:sz="0" w:space="0" w:color="auto"/>
                <w:bottom w:val="none" w:sz="0" w:space="0" w:color="auto"/>
                <w:right w:val="none" w:sz="0" w:space="0" w:color="auto"/>
              </w:divBdr>
            </w:div>
            <w:div w:id="883099113">
              <w:marLeft w:val="0"/>
              <w:marRight w:val="0"/>
              <w:marTop w:val="0"/>
              <w:marBottom w:val="0"/>
              <w:divBdr>
                <w:top w:val="none" w:sz="0" w:space="0" w:color="auto"/>
                <w:left w:val="none" w:sz="0" w:space="0" w:color="auto"/>
                <w:bottom w:val="none" w:sz="0" w:space="0" w:color="auto"/>
                <w:right w:val="none" w:sz="0" w:space="0" w:color="auto"/>
              </w:divBdr>
            </w:div>
            <w:div w:id="901520006">
              <w:marLeft w:val="0"/>
              <w:marRight w:val="0"/>
              <w:marTop w:val="0"/>
              <w:marBottom w:val="0"/>
              <w:divBdr>
                <w:top w:val="none" w:sz="0" w:space="0" w:color="auto"/>
                <w:left w:val="none" w:sz="0" w:space="0" w:color="auto"/>
                <w:bottom w:val="none" w:sz="0" w:space="0" w:color="auto"/>
                <w:right w:val="none" w:sz="0" w:space="0" w:color="auto"/>
              </w:divBdr>
            </w:div>
            <w:div w:id="1051265832">
              <w:marLeft w:val="0"/>
              <w:marRight w:val="0"/>
              <w:marTop w:val="0"/>
              <w:marBottom w:val="0"/>
              <w:divBdr>
                <w:top w:val="none" w:sz="0" w:space="0" w:color="auto"/>
                <w:left w:val="none" w:sz="0" w:space="0" w:color="auto"/>
                <w:bottom w:val="none" w:sz="0" w:space="0" w:color="auto"/>
                <w:right w:val="none" w:sz="0" w:space="0" w:color="auto"/>
              </w:divBdr>
            </w:div>
            <w:div w:id="1109667865">
              <w:marLeft w:val="0"/>
              <w:marRight w:val="0"/>
              <w:marTop w:val="0"/>
              <w:marBottom w:val="0"/>
              <w:divBdr>
                <w:top w:val="none" w:sz="0" w:space="0" w:color="auto"/>
                <w:left w:val="none" w:sz="0" w:space="0" w:color="auto"/>
                <w:bottom w:val="none" w:sz="0" w:space="0" w:color="auto"/>
                <w:right w:val="none" w:sz="0" w:space="0" w:color="auto"/>
              </w:divBdr>
            </w:div>
            <w:div w:id="1202088232">
              <w:marLeft w:val="0"/>
              <w:marRight w:val="0"/>
              <w:marTop w:val="0"/>
              <w:marBottom w:val="0"/>
              <w:divBdr>
                <w:top w:val="none" w:sz="0" w:space="0" w:color="auto"/>
                <w:left w:val="none" w:sz="0" w:space="0" w:color="auto"/>
                <w:bottom w:val="none" w:sz="0" w:space="0" w:color="auto"/>
                <w:right w:val="none" w:sz="0" w:space="0" w:color="auto"/>
              </w:divBdr>
            </w:div>
            <w:div w:id="1286496670">
              <w:marLeft w:val="0"/>
              <w:marRight w:val="0"/>
              <w:marTop w:val="0"/>
              <w:marBottom w:val="0"/>
              <w:divBdr>
                <w:top w:val="none" w:sz="0" w:space="0" w:color="auto"/>
                <w:left w:val="none" w:sz="0" w:space="0" w:color="auto"/>
                <w:bottom w:val="none" w:sz="0" w:space="0" w:color="auto"/>
                <w:right w:val="none" w:sz="0" w:space="0" w:color="auto"/>
              </w:divBdr>
            </w:div>
            <w:div w:id="1421945217">
              <w:marLeft w:val="0"/>
              <w:marRight w:val="0"/>
              <w:marTop w:val="0"/>
              <w:marBottom w:val="0"/>
              <w:divBdr>
                <w:top w:val="none" w:sz="0" w:space="0" w:color="auto"/>
                <w:left w:val="none" w:sz="0" w:space="0" w:color="auto"/>
                <w:bottom w:val="none" w:sz="0" w:space="0" w:color="auto"/>
                <w:right w:val="none" w:sz="0" w:space="0" w:color="auto"/>
              </w:divBdr>
            </w:div>
            <w:div w:id="1423725458">
              <w:marLeft w:val="0"/>
              <w:marRight w:val="0"/>
              <w:marTop w:val="0"/>
              <w:marBottom w:val="0"/>
              <w:divBdr>
                <w:top w:val="none" w:sz="0" w:space="0" w:color="auto"/>
                <w:left w:val="none" w:sz="0" w:space="0" w:color="auto"/>
                <w:bottom w:val="none" w:sz="0" w:space="0" w:color="auto"/>
                <w:right w:val="none" w:sz="0" w:space="0" w:color="auto"/>
              </w:divBdr>
            </w:div>
            <w:div w:id="1496189769">
              <w:marLeft w:val="0"/>
              <w:marRight w:val="0"/>
              <w:marTop w:val="0"/>
              <w:marBottom w:val="0"/>
              <w:divBdr>
                <w:top w:val="none" w:sz="0" w:space="0" w:color="auto"/>
                <w:left w:val="none" w:sz="0" w:space="0" w:color="auto"/>
                <w:bottom w:val="none" w:sz="0" w:space="0" w:color="auto"/>
                <w:right w:val="none" w:sz="0" w:space="0" w:color="auto"/>
              </w:divBdr>
            </w:div>
            <w:div w:id="1496529616">
              <w:marLeft w:val="0"/>
              <w:marRight w:val="0"/>
              <w:marTop w:val="0"/>
              <w:marBottom w:val="0"/>
              <w:divBdr>
                <w:top w:val="none" w:sz="0" w:space="0" w:color="auto"/>
                <w:left w:val="none" w:sz="0" w:space="0" w:color="auto"/>
                <w:bottom w:val="none" w:sz="0" w:space="0" w:color="auto"/>
                <w:right w:val="none" w:sz="0" w:space="0" w:color="auto"/>
              </w:divBdr>
            </w:div>
            <w:div w:id="1535272361">
              <w:marLeft w:val="0"/>
              <w:marRight w:val="0"/>
              <w:marTop w:val="0"/>
              <w:marBottom w:val="0"/>
              <w:divBdr>
                <w:top w:val="none" w:sz="0" w:space="0" w:color="auto"/>
                <w:left w:val="none" w:sz="0" w:space="0" w:color="auto"/>
                <w:bottom w:val="none" w:sz="0" w:space="0" w:color="auto"/>
                <w:right w:val="none" w:sz="0" w:space="0" w:color="auto"/>
              </w:divBdr>
            </w:div>
            <w:div w:id="2085638627">
              <w:marLeft w:val="0"/>
              <w:marRight w:val="0"/>
              <w:marTop w:val="0"/>
              <w:marBottom w:val="0"/>
              <w:divBdr>
                <w:top w:val="none" w:sz="0" w:space="0" w:color="auto"/>
                <w:left w:val="none" w:sz="0" w:space="0" w:color="auto"/>
                <w:bottom w:val="none" w:sz="0" w:space="0" w:color="auto"/>
                <w:right w:val="none" w:sz="0" w:space="0" w:color="auto"/>
              </w:divBdr>
            </w:div>
          </w:divsChild>
        </w:div>
        <w:div w:id="1642688663">
          <w:marLeft w:val="0"/>
          <w:marRight w:val="0"/>
          <w:marTop w:val="0"/>
          <w:marBottom w:val="0"/>
          <w:divBdr>
            <w:top w:val="none" w:sz="0" w:space="0" w:color="auto"/>
            <w:left w:val="none" w:sz="0" w:space="0" w:color="auto"/>
            <w:bottom w:val="none" w:sz="0" w:space="0" w:color="auto"/>
            <w:right w:val="none" w:sz="0" w:space="0" w:color="auto"/>
          </w:divBdr>
          <w:divsChild>
            <w:div w:id="229655081">
              <w:marLeft w:val="0"/>
              <w:marRight w:val="0"/>
              <w:marTop w:val="0"/>
              <w:marBottom w:val="0"/>
              <w:divBdr>
                <w:top w:val="none" w:sz="0" w:space="0" w:color="auto"/>
                <w:left w:val="none" w:sz="0" w:space="0" w:color="auto"/>
                <w:bottom w:val="none" w:sz="0" w:space="0" w:color="auto"/>
                <w:right w:val="none" w:sz="0" w:space="0" w:color="auto"/>
              </w:divBdr>
            </w:div>
            <w:div w:id="279993244">
              <w:marLeft w:val="0"/>
              <w:marRight w:val="0"/>
              <w:marTop w:val="0"/>
              <w:marBottom w:val="0"/>
              <w:divBdr>
                <w:top w:val="none" w:sz="0" w:space="0" w:color="auto"/>
                <w:left w:val="none" w:sz="0" w:space="0" w:color="auto"/>
                <w:bottom w:val="none" w:sz="0" w:space="0" w:color="auto"/>
                <w:right w:val="none" w:sz="0" w:space="0" w:color="auto"/>
              </w:divBdr>
            </w:div>
            <w:div w:id="695278827">
              <w:marLeft w:val="0"/>
              <w:marRight w:val="0"/>
              <w:marTop w:val="0"/>
              <w:marBottom w:val="0"/>
              <w:divBdr>
                <w:top w:val="none" w:sz="0" w:space="0" w:color="auto"/>
                <w:left w:val="none" w:sz="0" w:space="0" w:color="auto"/>
                <w:bottom w:val="none" w:sz="0" w:space="0" w:color="auto"/>
                <w:right w:val="none" w:sz="0" w:space="0" w:color="auto"/>
              </w:divBdr>
            </w:div>
            <w:div w:id="1309170741">
              <w:marLeft w:val="0"/>
              <w:marRight w:val="0"/>
              <w:marTop w:val="0"/>
              <w:marBottom w:val="0"/>
              <w:divBdr>
                <w:top w:val="none" w:sz="0" w:space="0" w:color="auto"/>
                <w:left w:val="none" w:sz="0" w:space="0" w:color="auto"/>
                <w:bottom w:val="none" w:sz="0" w:space="0" w:color="auto"/>
                <w:right w:val="none" w:sz="0" w:space="0" w:color="auto"/>
              </w:divBdr>
            </w:div>
          </w:divsChild>
        </w:div>
        <w:div w:id="1836072917">
          <w:marLeft w:val="0"/>
          <w:marRight w:val="0"/>
          <w:marTop w:val="0"/>
          <w:marBottom w:val="0"/>
          <w:divBdr>
            <w:top w:val="none" w:sz="0" w:space="0" w:color="auto"/>
            <w:left w:val="none" w:sz="0" w:space="0" w:color="auto"/>
            <w:bottom w:val="none" w:sz="0" w:space="0" w:color="auto"/>
            <w:right w:val="none" w:sz="0" w:space="0" w:color="auto"/>
          </w:divBdr>
          <w:divsChild>
            <w:div w:id="2015497693">
              <w:marLeft w:val="-75"/>
              <w:marRight w:val="0"/>
              <w:marTop w:val="30"/>
              <w:marBottom w:val="30"/>
              <w:divBdr>
                <w:top w:val="none" w:sz="0" w:space="0" w:color="auto"/>
                <w:left w:val="none" w:sz="0" w:space="0" w:color="auto"/>
                <w:bottom w:val="none" w:sz="0" w:space="0" w:color="auto"/>
                <w:right w:val="none" w:sz="0" w:space="0" w:color="auto"/>
              </w:divBdr>
              <w:divsChild>
                <w:div w:id="319238403">
                  <w:marLeft w:val="0"/>
                  <w:marRight w:val="0"/>
                  <w:marTop w:val="0"/>
                  <w:marBottom w:val="0"/>
                  <w:divBdr>
                    <w:top w:val="none" w:sz="0" w:space="0" w:color="auto"/>
                    <w:left w:val="none" w:sz="0" w:space="0" w:color="auto"/>
                    <w:bottom w:val="none" w:sz="0" w:space="0" w:color="auto"/>
                    <w:right w:val="none" w:sz="0" w:space="0" w:color="auto"/>
                  </w:divBdr>
                  <w:divsChild>
                    <w:div w:id="1723410202">
                      <w:marLeft w:val="0"/>
                      <w:marRight w:val="0"/>
                      <w:marTop w:val="0"/>
                      <w:marBottom w:val="0"/>
                      <w:divBdr>
                        <w:top w:val="none" w:sz="0" w:space="0" w:color="auto"/>
                        <w:left w:val="none" w:sz="0" w:space="0" w:color="auto"/>
                        <w:bottom w:val="none" w:sz="0" w:space="0" w:color="auto"/>
                        <w:right w:val="none" w:sz="0" w:space="0" w:color="auto"/>
                      </w:divBdr>
                    </w:div>
                  </w:divsChild>
                </w:div>
                <w:div w:id="582884475">
                  <w:marLeft w:val="0"/>
                  <w:marRight w:val="0"/>
                  <w:marTop w:val="0"/>
                  <w:marBottom w:val="0"/>
                  <w:divBdr>
                    <w:top w:val="none" w:sz="0" w:space="0" w:color="auto"/>
                    <w:left w:val="none" w:sz="0" w:space="0" w:color="auto"/>
                    <w:bottom w:val="none" w:sz="0" w:space="0" w:color="auto"/>
                    <w:right w:val="none" w:sz="0" w:space="0" w:color="auto"/>
                  </w:divBdr>
                  <w:divsChild>
                    <w:div w:id="1098410986">
                      <w:marLeft w:val="0"/>
                      <w:marRight w:val="0"/>
                      <w:marTop w:val="0"/>
                      <w:marBottom w:val="0"/>
                      <w:divBdr>
                        <w:top w:val="none" w:sz="0" w:space="0" w:color="auto"/>
                        <w:left w:val="none" w:sz="0" w:space="0" w:color="auto"/>
                        <w:bottom w:val="none" w:sz="0" w:space="0" w:color="auto"/>
                        <w:right w:val="none" w:sz="0" w:space="0" w:color="auto"/>
                      </w:divBdr>
                    </w:div>
                  </w:divsChild>
                </w:div>
                <w:div w:id="601188593">
                  <w:marLeft w:val="0"/>
                  <w:marRight w:val="0"/>
                  <w:marTop w:val="0"/>
                  <w:marBottom w:val="0"/>
                  <w:divBdr>
                    <w:top w:val="none" w:sz="0" w:space="0" w:color="auto"/>
                    <w:left w:val="none" w:sz="0" w:space="0" w:color="auto"/>
                    <w:bottom w:val="none" w:sz="0" w:space="0" w:color="auto"/>
                    <w:right w:val="none" w:sz="0" w:space="0" w:color="auto"/>
                  </w:divBdr>
                  <w:divsChild>
                    <w:div w:id="1136602069">
                      <w:marLeft w:val="0"/>
                      <w:marRight w:val="0"/>
                      <w:marTop w:val="0"/>
                      <w:marBottom w:val="0"/>
                      <w:divBdr>
                        <w:top w:val="none" w:sz="0" w:space="0" w:color="auto"/>
                        <w:left w:val="none" w:sz="0" w:space="0" w:color="auto"/>
                        <w:bottom w:val="none" w:sz="0" w:space="0" w:color="auto"/>
                        <w:right w:val="none" w:sz="0" w:space="0" w:color="auto"/>
                      </w:divBdr>
                    </w:div>
                  </w:divsChild>
                </w:div>
                <w:div w:id="627051702">
                  <w:marLeft w:val="0"/>
                  <w:marRight w:val="0"/>
                  <w:marTop w:val="0"/>
                  <w:marBottom w:val="0"/>
                  <w:divBdr>
                    <w:top w:val="none" w:sz="0" w:space="0" w:color="auto"/>
                    <w:left w:val="none" w:sz="0" w:space="0" w:color="auto"/>
                    <w:bottom w:val="none" w:sz="0" w:space="0" w:color="auto"/>
                    <w:right w:val="none" w:sz="0" w:space="0" w:color="auto"/>
                  </w:divBdr>
                  <w:divsChild>
                    <w:div w:id="146745242">
                      <w:marLeft w:val="0"/>
                      <w:marRight w:val="0"/>
                      <w:marTop w:val="0"/>
                      <w:marBottom w:val="0"/>
                      <w:divBdr>
                        <w:top w:val="none" w:sz="0" w:space="0" w:color="auto"/>
                        <w:left w:val="none" w:sz="0" w:space="0" w:color="auto"/>
                        <w:bottom w:val="none" w:sz="0" w:space="0" w:color="auto"/>
                        <w:right w:val="none" w:sz="0" w:space="0" w:color="auto"/>
                      </w:divBdr>
                    </w:div>
                    <w:div w:id="1545408410">
                      <w:marLeft w:val="0"/>
                      <w:marRight w:val="0"/>
                      <w:marTop w:val="0"/>
                      <w:marBottom w:val="0"/>
                      <w:divBdr>
                        <w:top w:val="none" w:sz="0" w:space="0" w:color="auto"/>
                        <w:left w:val="none" w:sz="0" w:space="0" w:color="auto"/>
                        <w:bottom w:val="none" w:sz="0" w:space="0" w:color="auto"/>
                        <w:right w:val="none" w:sz="0" w:space="0" w:color="auto"/>
                      </w:divBdr>
                    </w:div>
                  </w:divsChild>
                </w:div>
                <w:div w:id="855966164">
                  <w:marLeft w:val="0"/>
                  <w:marRight w:val="0"/>
                  <w:marTop w:val="0"/>
                  <w:marBottom w:val="0"/>
                  <w:divBdr>
                    <w:top w:val="none" w:sz="0" w:space="0" w:color="auto"/>
                    <w:left w:val="none" w:sz="0" w:space="0" w:color="auto"/>
                    <w:bottom w:val="none" w:sz="0" w:space="0" w:color="auto"/>
                    <w:right w:val="none" w:sz="0" w:space="0" w:color="auto"/>
                  </w:divBdr>
                  <w:divsChild>
                    <w:div w:id="1496259330">
                      <w:marLeft w:val="0"/>
                      <w:marRight w:val="0"/>
                      <w:marTop w:val="0"/>
                      <w:marBottom w:val="0"/>
                      <w:divBdr>
                        <w:top w:val="none" w:sz="0" w:space="0" w:color="auto"/>
                        <w:left w:val="none" w:sz="0" w:space="0" w:color="auto"/>
                        <w:bottom w:val="none" w:sz="0" w:space="0" w:color="auto"/>
                        <w:right w:val="none" w:sz="0" w:space="0" w:color="auto"/>
                      </w:divBdr>
                    </w:div>
                  </w:divsChild>
                </w:div>
                <w:div w:id="876310535">
                  <w:marLeft w:val="0"/>
                  <w:marRight w:val="0"/>
                  <w:marTop w:val="0"/>
                  <w:marBottom w:val="0"/>
                  <w:divBdr>
                    <w:top w:val="none" w:sz="0" w:space="0" w:color="auto"/>
                    <w:left w:val="none" w:sz="0" w:space="0" w:color="auto"/>
                    <w:bottom w:val="none" w:sz="0" w:space="0" w:color="auto"/>
                    <w:right w:val="none" w:sz="0" w:space="0" w:color="auto"/>
                  </w:divBdr>
                  <w:divsChild>
                    <w:div w:id="168838157">
                      <w:marLeft w:val="0"/>
                      <w:marRight w:val="0"/>
                      <w:marTop w:val="0"/>
                      <w:marBottom w:val="0"/>
                      <w:divBdr>
                        <w:top w:val="none" w:sz="0" w:space="0" w:color="auto"/>
                        <w:left w:val="none" w:sz="0" w:space="0" w:color="auto"/>
                        <w:bottom w:val="none" w:sz="0" w:space="0" w:color="auto"/>
                        <w:right w:val="none" w:sz="0" w:space="0" w:color="auto"/>
                      </w:divBdr>
                    </w:div>
                  </w:divsChild>
                </w:div>
                <w:div w:id="1403332157">
                  <w:marLeft w:val="0"/>
                  <w:marRight w:val="0"/>
                  <w:marTop w:val="0"/>
                  <w:marBottom w:val="0"/>
                  <w:divBdr>
                    <w:top w:val="none" w:sz="0" w:space="0" w:color="auto"/>
                    <w:left w:val="none" w:sz="0" w:space="0" w:color="auto"/>
                    <w:bottom w:val="none" w:sz="0" w:space="0" w:color="auto"/>
                    <w:right w:val="none" w:sz="0" w:space="0" w:color="auto"/>
                  </w:divBdr>
                  <w:divsChild>
                    <w:div w:id="121584126">
                      <w:marLeft w:val="0"/>
                      <w:marRight w:val="0"/>
                      <w:marTop w:val="0"/>
                      <w:marBottom w:val="0"/>
                      <w:divBdr>
                        <w:top w:val="none" w:sz="0" w:space="0" w:color="auto"/>
                        <w:left w:val="none" w:sz="0" w:space="0" w:color="auto"/>
                        <w:bottom w:val="none" w:sz="0" w:space="0" w:color="auto"/>
                        <w:right w:val="none" w:sz="0" w:space="0" w:color="auto"/>
                      </w:divBdr>
                    </w:div>
                  </w:divsChild>
                </w:div>
                <w:div w:id="1670019786">
                  <w:marLeft w:val="0"/>
                  <w:marRight w:val="0"/>
                  <w:marTop w:val="0"/>
                  <w:marBottom w:val="0"/>
                  <w:divBdr>
                    <w:top w:val="none" w:sz="0" w:space="0" w:color="auto"/>
                    <w:left w:val="none" w:sz="0" w:space="0" w:color="auto"/>
                    <w:bottom w:val="none" w:sz="0" w:space="0" w:color="auto"/>
                    <w:right w:val="none" w:sz="0" w:space="0" w:color="auto"/>
                  </w:divBdr>
                  <w:divsChild>
                    <w:div w:id="594870961">
                      <w:marLeft w:val="0"/>
                      <w:marRight w:val="0"/>
                      <w:marTop w:val="0"/>
                      <w:marBottom w:val="0"/>
                      <w:divBdr>
                        <w:top w:val="none" w:sz="0" w:space="0" w:color="auto"/>
                        <w:left w:val="none" w:sz="0" w:space="0" w:color="auto"/>
                        <w:bottom w:val="none" w:sz="0" w:space="0" w:color="auto"/>
                        <w:right w:val="none" w:sz="0" w:space="0" w:color="auto"/>
                      </w:divBdr>
                    </w:div>
                    <w:div w:id="1489056427">
                      <w:marLeft w:val="0"/>
                      <w:marRight w:val="0"/>
                      <w:marTop w:val="0"/>
                      <w:marBottom w:val="0"/>
                      <w:divBdr>
                        <w:top w:val="none" w:sz="0" w:space="0" w:color="auto"/>
                        <w:left w:val="none" w:sz="0" w:space="0" w:color="auto"/>
                        <w:bottom w:val="none" w:sz="0" w:space="0" w:color="auto"/>
                        <w:right w:val="none" w:sz="0" w:space="0" w:color="auto"/>
                      </w:divBdr>
                    </w:div>
                  </w:divsChild>
                </w:div>
                <w:div w:id="1962616170">
                  <w:marLeft w:val="0"/>
                  <w:marRight w:val="0"/>
                  <w:marTop w:val="0"/>
                  <w:marBottom w:val="0"/>
                  <w:divBdr>
                    <w:top w:val="none" w:sz="0" w:space="0" w:color="auto"/>
                    <w:left w:val="none" w:sz="0" w:space="0" w:color="auto"/>
                    <w:bottom w:val="none" w:sz="0" w:space="0" w:color="auto"/>
                    <w:right w:val="none" w:sz="0" w:space="0" w:color="auto"/>
                  </w:divBdr>
                  <w:divsChild>
                    <w:div w:id="622002991">
                      <w:marLeft w:val="0"/>
                      <w:marRight w:val="0"/>
                      <w:marTop w:val="0"/>
                      <w:marBottom w:val="0"/>
                      <w:divBdr>
                        <w:top w:val="none" w:sz="0" w:space="0" w:color="auto"/>
                        <w:left w:val="none" w:sz="0" w:space="0" w:color="auto"/>
                        <w:bottom w:val="none" w:sz="0" w:space="0" w:color="auto"/>
                        <w:right w:val="none" w:sz="0" w:space="0" w:color="auto"/>
                      </w:divBdr>
                    </w:div>
                    <w:div w:id="702291559">
                      <w:marLeft w:val="0"/>
                      <w:marRight w:val="0"/>
                      <w:marTop w:val="0"/>
                      <w:marBottom w:val="0"/>
                      <w:divBdr>
                        <w:top w:val="none" w:sz="0" w:space="0" w:color="auto"/>
                        <w:left w:val="none" w:sz="0" w:space="0" w:color="auto"/>
                        <w:bottom w:val="none" w:sz="0" w:space="0" w:color="auto"/>
                        <w:right w:val="none" w:sz="0" w:space="0" w:color="auto"/>
                      </w:divBdr>
                    </w:div>
                  </w:divsChild>
                </w:div>
                <w:div w:id="2052994777">
                  <w:marLeft w:val="0"/>
                  <w:marRight w:val="0"/>
                  <w:marTop w:val="0"/>
                  <w:marBottom w:val="0"/>
                  <w:divBdr>
                    <w:top w:val="none" w:sz="0" w:space="0" w:color="auto"/>
                    <w:left w:val="none" w:sz="0" w:space="0" w:color="auto"/>
                    <w:bottom w:val="none" w:sz="0" w:space="0" w:color="auto"/>
                    <w:right w:val="none" w:sz="0" w:space="0" w:color="auto"/>
                  </w:divBdr>
                  <w:divsChild>
                    <w:div w:id="1864902365">
                      <w:marLeft w:val="0"/>
                      <w:marRight w:val="0"/>
                      <w:marTop w:val="0"/>
                      <w:marBottom w:val="0"/>
                      <w:divBdr>
                        <w:top w:val="none" w:sz="0" w:space="0" w:color="auto"/>
                        <w:left w:val="none" w:sz="0" w:space="0" w:color="auto"/>
                        <w:bottom w:val="none" w:sz="0" w:space="0" w:color="auto"/>
                        <w:right w:val="none" w:sz="0" w:space="0" w:color="auto"/>
                      </w:divBdr>
                    </w:div>
                  </w:divsChild>
                </w:div>
                <w:div w:id="2106071937">
                  <w:marLeft w:val="0"/>
                  <w:marRight w:val="0"/>
                  <w:marTop w:val="0"/>
                  <w:marBottom w:val="0"/>
                  <w:divBdr>
                    <w:top w:val="none" w:sz="0" w:space="0" w:color="auto"/>
                    <w:left w:val="none" w:sz="0" w:space="0" w:color="auto"/>
                    <w:bottom w:val="none" w:sz="0" w:space="0" w:color="auto"/>
                    <w:right w:val="none" w:sz="0" w:space="0" w:color="auto"/>
                  </w:divBdr>
                  <w:divsChild>
                    <w:div w:id="486895897">
                      <w:marLeft w:val="0"/>
                      <w:marRight w:val="0"/>
                      <w:marTop w:val="0"/>
                      <w:marBottom w:val="0"/>
                      <w:divBdr>
                        <w:top w:val="none" w:sz="0" w:space="0" w:color="auto"/>
                        <w:left w:val="none" w:sz="0" w:space="0" w:color="auto"/>
                        <w:bottom w:val="none" w:sz="0" w:space="0" w:color="auto"/>
                        <w:right w:val="none" w:sz="0" w:space="0" w:color="auto"/>
                      </w:divBdr>
                    </w:div>
                  </w:divsChild>
                </w:div>
                <w:div w:id="2138865331">
                  <w:marLeft w:val="0"/>
                  <w:marRight w:val="0"/>
                  <w:marTop w:val="0"/>
                  <w:marBottom w:val="0"/>
                  <w:divBdr>
                    <w:top w:val="none" w:sz="0" w:space="0" w:color="auto"/>
                    <w:left w:val="none" w:sz="0" w:space="0" w:color="auto"/>
                    <w:bottom w:val="none" w:sz="0" w:space="0" w:color="auto"/>
                    <w:right w:val="none" w:sz="0" w:space="0" w:color="auto"/>
                  </w:divBdr>
                  <w:divsChild>
                    <w:div w:id="12915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9563">
      <w:bodyDiv w:val="1"/>
      <w:marLeft w:val="0"/>
      <w:marRight w:val="0"/>
      <w:marTop w:val="0"/>
      <w:marBottom w:val="0"/>
      <w:divBdr>
        <w:top w:val="none" w:sz="0" w:space="0" w:color="auto"/>
        <w:left w:val="none" w:sz="0" w:space="0" w:color="auto"/>
        <w:bottom w:val="none" w:sz="0" w:space="0" w:color="auto"/>
        <w:right w:val="none" w:sz="0" w:space="0" w:color="auto"/>
      </w:divBdr>
      <w:divsChild>
        <w:div w:id="130251163">
          <w:marLeft w:val="0"/>
          <w:marRight w:val="0"/>
          <w:marTop w:val="0"/>
          <w:marBottom w:val="0"/>
          <w:divBdr>
            <w:top w:val="none" w:sz="0" w:space="0" w:color="auto"/>
            <w:left w:val="none" w:sz="0" w:space="0" w:color="auto"/>
            <w:bottom w:val="none" w:sz="0" w:space="0" w:color="auto"/>
            <w:right w:val="none" w:sz="0" w:space="0" w:color="auto"/>
          </w:divBdr>
        </w:div>
        <w:div w:id="406853572">
          <w:marLeft w:val="0"/>
          <w:marRight w:val="0"/>
          <w:marTop w:val="0"/>
          <w:marBottom w:val="0"/>
          <w:divBdr>
            <w:top w:val="none" w:sz="0" w:space="0" w:color="auto"/>
            <w:left w:val="none" w:sz="0" w:space="0" w:color="auto"/>
            <w:bottom w:val="none" w:sz="0" w:space="0" w:color="auto"/>
            <w:right w:val="none" w:sz="0" w:space="0" w:color="auto"/>
          </w:divBdr>
        </w:div>
        <w:div w:id="458962424">
          <w:marLeft w:val="0"/>
          <w:marRight w:val="0"/>
          <w:marTop w:val="0"/>
          <w:marBottom w:val="0"/>
          <w:divBdr>
            <w:top w:val="none" w:sz="0" w:space="0" w:color="auto"/>
            <w:left w:val="none" w:sz="0" w:space="0" w:color="auto"/>
            <w:bottom w:val="none" w:sz="0" w:space="0" w:color="auto"/>
            <w:right w:val="none" w:sz="0" w:space="0" w:color="auto"/>
          </w:divBdr>
        </w:div>
        <w:div w:id="573928376">
          <w:marLeft w:val="0"/>
          <w:marRight w:val="0"/>
          <w:marTop w:val="0"/>
          <w:marBottom w:val="0"/>
          <w:divBdr>
            <w:top w:val="none" w:sz="0" w:space="0" w:color="auto"/>
            <w:left w:val="none" w:sz="0" w:space="0" w:color="auto"/>
            <w:bottom w:val="none" w:sz="0" w:space="0" w:color="auto"/>
            <w:right w:val="none" w:sz="0" w:space="0" w:color="auto"/>
          </w:divBdr>
        </w:div>
        <w:div w:id="850947474">
          <w:marLeft w:val="0"/>
          <w:marRight w:val="0"/>
          <w:marTop w:val="0"/>
          <w:marBottom w:val="0"/>
          <w:divBdr>
            <w:top w:val="none" w:sz="0" w:space="0" w:color="auto"/>
            <w:left w:val="none" w:sz="0" w:space="0" w:color="auto"/>
            <w:bottom w:val="none" w:sz="0" w:space="0" w:color="auto"/>
            <w:right w:val="none" w:sz="0" w:space="0" w:color="auto"/>
          </w:divBdr>
        </w:div>
        <w:div w:id="1261134804">
          <w:marLeft w:val="0"/>
          <w:marRight w:val="0"/>
          <w:marTop w:val="0"/>
          <w:marBottom w:val="0"/>
          <w:divBdr>
            <w:top w:val="none" w:sz="0" w:space="0" w:color="auto"/>
            <w:left w:val="none" w:sz="0" w:space="0" w:color="auto"/>
            <w:bottom w:val="none" w:sz="0" w:space="0" w:color="auto"/>
            <w:right w:val="none" w:sz="0" w:space="0" w:color="auto"/>
          </w:divBdr>
        </w:div>
        <w:div w:id="1648246653">
          <w:marLeft w:val="0"/>
          <w:marRight w:val="0"/>
          <w:marTop w:val="0"/>
          <w:marBottom w:val="0"/>
          <w:divBdr>
            <w:top w:val="none" w:sz="0" w:space="0" w:color="auto"/>
            <w:left w:val="none" w:sz="0" w:space="0" w:color="auto"/>
            <w:bottom w:val="none" w:sz="0" w:space="0" w:color="auto"/>
            <w:right w:val="none" w:sz="0" w:space="0" w:color="auto"/>
          </w:divBdr>
        </w:div>
        <w:div w:id="1915554351">
          <w:marLeft w:val="0"/>
          <w:marRight w:val="0"/>
          <w:marTop w:val="0"/>
          <w:marBottom w:val="0"/>
          <w:divBdr>
            <w:top w:val="none" w:sz="0" w:space="0" w:color="auto"/>
            <w:left w:val="none" w:sz="0" w:space="0" w:color="auto"/>
            <w:bottom w:val="none" w:sz="0" w:space="0" w:color="auto"/>
            <w:right w:val="none" w:sz="0" w:space="0" w:color="auto"/>
          </w:divBdr>
        </w:div>
        <w:div w:id="2036617999">
          <w:marLeft w:val="0"/>
          <w:marRight w:val="0"/>
          <w:marTop w:val="0"/>
          <w:marBottom w:val="0"/>
          <w:divBdr>
            <w:top w:val="none" w:sz="0" w:space="0" w:color="auto"/>
            <w:left w:val="none" w:sz="0" w:space="0" w:color="auto"/>
            <w:bottom w:val="none" w:sz="0" w:space="0" w:color="auto"/>
            <w:right w:val="none" w:sz="0" w:space="0" w:color="auto"/>
          </w:divBdr>
        </w:div>
        <w:div w:id="2132628089">
          <w:marLeft w:val="0"/>
          <w:marRight w:val="0"/>
          <w:marTop w:val="0"/>
          <w:marBottom w:val="0"/>
          <w:divBdr>
            <w:top w:val="none" w:sz="0" w:space="0" w:color="auto"/>
            <w:left w:val="none" w:sz="0" w:space="0" w:color="auto"/>
            <w:bottom w:val="none" w:sz="0" w:space="0" w:color="auto"/>
            <w:right w:val="none" w:sz="0" w:space="0" w:color="auto"/>
          </w:divBdr>
        </w:div>
      </w:divsChild>
    </w:div>
    <w:div w:id="1144543146">
      <w:bodyDiv w:val="1"/>
      <w:marLeft w:val="0"/>
      <w:marRight w:val="0"/>
      <w:marTop w:val="0"/>
      <w:marBottom w:val="0"/>
      <w:divBdr>
        <w:top w:val="none" w:sz="0" w:space="0" w:color="auto"/>
        <w:left w:val="none" w:sz="0" w:space="0" w:color="auto"/>
        <w:bottom w:val="none" w:sz="0" w:space="0" w:color="auto"/>
        <w:right w:val="none" w:sz="0" w:space="0" w:color="auto"/>
      </w:divBdr>
    </w:div>
    <w:div w:id="1151092702">
      <w:bodyDiv w:val="1"/>
      <w:marLeft w:val="0"/>
      <w:marRight w:val="0"/>
      <w:marTop w:val="0"/>
      <w:marBottom w:val="0"/>
      <w:divBdr>
        <w:top w:val="none" w:sz="0" w:space="0" w:color="auto"/>
        <w:left w:val="none" w:sz="0" w:space="0" w:color="auto"/>
        <w:bottom w:val="none" w:sz="0" w:space="0" w:color="auto"/>
        <w:right w:val="none" w:sz="0" w:space="0" w:color="auto"/>
      </w:divBdr>
      <w:divsChild>
        <w:div w:id="185289430">
          <w:marLeft w:val="0"/>
          <w:marRight w:val="0"/>
          <w:marTop w:val="0"/>
          <w:marBottom w:val="0"/>
          <w:divBdr>
            <w:top w:val="none" w:sz="0" w:space="0" w:color="auto"/>
            <w:left w:val="none" w:sz="0" w:space="0" w:color="auto"/>
            <w:bottom w:val="none" w:sz="0" w:space="0" w:color="auto"/>
            <w:right w:val="none" w:sz="0" w:space="0" w:color="auto"/>
          </w:divBdr>
          <w:divsChild>
            <w:div w:id="278489765">
              <w:marLeft w:val="0"/>
              <w:marRight w:val="0"/>
              <w:marTop w:val="0"/>
              <w:marBottom w:val="0"/>
              <w:divBdr>
                <w:top w:val="none" w:sz="0" w:space="0" w:color="auto"/>
                <w:left w:val="none" w:sz="0" w:space="0" w:color="auto"/>
                <w:bottom w:val="none" w:sz="0" w:space="0" w:color="auto"/>
                <w:right w:val="none" w:sz="0" w:space="0" w:color="auto"/>
              </w:divBdr>
            </w:div>
            <w:div w:id="319038714">
              <w:marLeft w:val="0"/>
              <w:marRight w:val="0"/>
              <w:marTop w:val="0"/>
              <w:marBottom w:val="0"/>
              <w:divBdr>
                <w:top w:val="none" w:sz="0" w:space="0" w:color="auto"/>
                <w:left w:val="none" w:sz="0" w:space="0" w:color="auto"/>
                <w:bottom w:val="none" w:sz="0" w:space="0" w:color="auto"/>
                <w:right w:val="none" w:sz="0" w:space="0" w:color="auto"/>
              </w:divBdr>
            </w:div>
            <w:div w:id="1594586267">
              <w:marLeft w:val="0"/>
              <w:marRight w:val="0"/>
              <w:marTop w:val="0"/>
              <w:marBottom w:val="0"/>
              <w:divBdr>
                <w:top w:val="none" w:sz="0" w:space="0" w:color="auto"/>
                <w:left w:val="none" w:sz="0" w:space="0" w:color="auto"/>
                <w:bottom w:val="none" w:sz="0" w:space="0" w:color="auto"/>
                <w:right w:val="none" w:sz="0" w:space="0" w:color="auto"/>
              </w:divBdr>
            </w:div>
            <w:div w:id="1608345708">
              <w:marLeft w:val="0"/>
              <w:marRight w:val="0"/>
              <w:marTop w:val="0"/>
              <w:marBottom w:val="0"/>
              <w:divBdr>
                <w:top w:val="none" w:sz="0" w:space="0" w:color="auto"/>
                <w:left w:val="none" w:sz="0" w:space="0" w:color="auto"/>
                <w:bottom w:val="none" w:sz="0" w:space="0" w:color="auto"/>
                <w:right w:val="none" w:sz="0" w:space="0" w:color="auto"/>
              </w:divBdr>
            </w:div>
          </w:divsChild>
        </w:div>
        <w:div w:id="607155110">
          <w:marLeft w:val="0"/>
          <w:marRight w:val="0"/>
          <w:marTop w:val="0"/>
          <w:marBottom w:val="0"/>
          <w:divBdr>
            <w:top w:val="none" w:sz="0" w:space="0" w:color="auto"/>
            <w:left w:val="none" w:sz="0" w:space="0" w:color="auto"/>
            <w:bottom w:val="none" w:sz="0" w:space="0" w:color="auto"/>
            <w:right w:val="none" w:sz="0" w:space="0" w:color="auto"/>
          </w:divBdr>
        </w:div>
        <w:div w:id="940141701">
          <w:marLeft w:val="0"/>
          <w:marRight w:val="0"/>
          <w:marTop w:val="0"/>
          <w:marBottom w:val="0"/>
          <w:divBdr>
            <w:top w:val="none" w:sz="0" w:space="0" w:color="auto"/>
            <w:left w:val="none" w:sz="0" w:space="0" w:color="auto"/>
            <w:bottom w:val="none" w:sz="0" w:space="0" w:color="auto"/>
            <w:right w:val="none" w:sz="0" w:space="0" w:color="auto"/>
          </w:divBdr>
          <w:divsChild>
            <w:div w:id="120274004">
              <w:marLeft w:val="0"/>
              <w:marRight w:val="0"/>
              <w:marTop w:val="0"/>
              <w:marBottom w:val="0"/>
              <w:divBdr>
                <w:top w:val="none" w:sz="0" w:space="0" w:color="auto"/>
                <w:left w:val="none" w:sz="0" w:space="0" w:color="auto"/>
                <w:bottom w:val="none" w:sz="0" w:space="0" w:color="auto"/>
                <w:right w:val="none" w:sz="0" w:space="0" w:color="auto"/>
              </w:divBdr>
            </w:div>
            <w:div w:id="453523037">
              <w:marLeft w:val="0"/>
              <w:marRight w:val="0"/>
              <w:marTop w:val="0"/>
              <w:marBottom w:val="0"/>
              <w:divBdr>
                <w:top w:val="none" w:sz="0" w:space="0" w:color="auto"/>
                <w:left w:val="none" w:sz="0" w:space="0" w:color="auto"/>
                <w:bottom w:val="none" w:sz="0" w:space="0" w:color="auto"/>
                <w:right w:val="none" w:sz="0" w:space="0" w:color="auto"/>
              </w:divBdr>
            </w:div>
            <w:div w:id="578173008">
              <w:marLeft w:val="0"/>
              <w:marRight w:val="0"/>
              <w:marTop w:val="0"/>
              <w:marBottom w:val="0"/>
              <w:divBdr>
                <w:top w:val="none" w:sz="0" w:space="0" w:color="auto"/>
                <w:left w:val="none" w:sz="0" w:space="0" w:color="auto"/>
                <w:bottom w:val="none" w:sz="0" w:space="0" w:color="auto"/>
                <w:right w:val="none" w:sz="0" w:space="0" w:color="auto"/>
              </w:divBdr>
            </w:div>
            <w:div w:id="582960080">
              <w:marLeft w:val="0"/>
              <w:marRight w:val="0"/>
              <w:marTop w:val="0"/>
              <w:marBottom w:val="0"/>
              <w:divBdr>
                <w:top w:val="none" w:sz="0" w:space="0" w:color="auto"/>
                <w:left w:val="none" w:sz="0" w:space="0" w:color="auto"/>
                <w:bottom w:val="none" w:sz="0" w:space="0" w:color="auto"/>
                <w:right w:val="none" w:sz="0" w:space="0" w:color="auto"/>
              </w:divBdr>
            </w:div>
            <w:div w:id="917907196">
              <w:marLeft w:val="0"/>
              <w:marRight w:val="0"/>
              <w:marTop w:val="0"/>
              <w:marBottom w:val="0"/>
              <w:divBdr>
                <w:top w:val="none" w:sz="0" w:space="0" w:color="auto"/>
                <w:left w:val="none" w:sz="0" w:space="0" w:color="auto"/>
                <w:bottom w:val="none" w:sz="0" w:space="0" w:color="auto"/>
                <w:right w:val="none" w:sz="0" w:space="0" w:color="auto"/>
              </w:divBdr>
            </w:div>
            <w:div w:id="1055154369">
              <w:marLeft w:val="0"/>
              <w:marRight w:val="0"/>
              <w:marTop w:val="0"/>
              <w:marBottom w:val="0"/>
              <w:divBdr>
                <w:top w:val="none" w:sz="0" w:space="0" w:color="auto"/>
                <w:left w:val="none" w:sz="0" w:space="0" w:color="auto"/>
                <w:bottom w:val="none" w:sz="0" w:space="0" w:color="auto"/>
                <w:right w:val="none" w:sz="0" w:space="0" w:color="auto"/>
              </w:divBdr>
            </w:div>
            <w:div w:id="1151408966">
              <w:marLeft w:val="0"/>
              <w:marRight w:val="0"/>
              <w:marTop w:val="0"/>
              <w:marBottom w:val="0"/>
              <w:divBdr>
                <w:top w:val="none" w:sz="0" w:space="0" w:color="auto"/>
                <w:left w:val="none" w:sz="0" w:space="0" w:color="auto"/>
                <w:bottom w:val="none" w:sz="0" w:space="0" w:color="auto"/>
                <w:right w:val="none" w:sz="0" w:space="0" w:color="auto"/>
              </w:divBdr>
            </w:div>
            <w:div w:id="1182162808">
              <w:marLeft w:val="0"/>
              <w:marRight w:val="0"/>
              <w:marTop w:val="0"/>
              <w:marBottom w:val="0"/>
              <w:divBdr>
                <w:top w:val="none" w:sz="0" w:space="0" w:color="auto"/>
                <w:left w:val="none" w:sz="0" w:space="0" w:color="auto"/>
                <w:bottom w:val="none" w:sz="0" w:space="0" w:color="auto"/>
                <w:right w:val="none" w:sz="0" w:space="0" w:color="auto"/>
              </w:divBdr>
            </w:div>
            <w:div w:id="1319774076">
              <w:marLeft w:val="0"/>
              <w:marRight w:val="0"/>
              <w:marTop w:val="0"/>
              <w:marBottom w:val="0"/>
              <w:divBdr>
                <w:top w:val="none" w:sz="0" w:space="0" w:color="auto"/>
                <w:left w:val="none" w:sz="0" w:space="0" w:color="auto"/>
                <w:bottom w:val="none" w:sz="0" w:space="0" w:color="auto"/>
                <w:right w:val="none" w:sz="0" w:space="0" w:color="auto"/>
              </w:divBdr>
            </w:div>
            <w:div w:id="1664121504">
              <w:marLeft w:val="0"/>
              <w:marRight w:val="0"/>
              <w:marTop w:val="0"/>
              <w:marBottom w:val="0"/>
              <w:divBdr>
                <w:top w:val="none" w:sz="0" w:space="0" w:color="auto"/>
                <w:left w:val="none" w:sz="0" w:space="0" w:color="auto"/>
                <w:bottom w:val="none" w:sz="0" w:space="0" w:color="auto"/>
                <w:right w:val="none" w:sz="0" w:space="0" w:color="auto"/>
              </w:divBdr>
            </w:div>
            <w:div w:id="1731683119">
              <w:marLeft w:val="0"/>
              <w:marRight w:val="0"/>
              <w:marTop w:val="0"/>
              <w:marBottom w:val="0"/>
              <w:divBdr>
                <w:top w:val="none" w:sz="0" w:space="0" w:color="auto"/>
                <w:left w:val="none" w:sz="0" w:space="0" w:color="auto"/>
                <w:bottom w:val="none" w:sz="0" w:space="0" w:color="auto"/>
                <w:right w:val="none" w:sz="0" w:space="0" w:color="auto"/>
              </w:divBdr>
            </w:div>
            <w:div w:id="1874029300">
              <w:marLeft w:val="0"/>
              <w:marRight w:val="0"/>
              <w:marTop w:val="0"/>
              <w:marBottom w:val="0"/>
              <w:divBdr>
                <w:top w:val="none" w:sz="0" w:space="0" w:color="auto"/>
                <w:left w:val="none" w:sz="0" w:space="0" w:color="auto"/>
                <w:bottom w:val="none" w:sz="0" w:space="0" w:color="auto"/>
                <w:right w:val="none" w:sz="0" w:space="0" w:color="auto"/>
              </w:divBdr>
            </w:div>
            <w:div w:id="2027554834">
              <w:marLeft w:val="0"/>
              <w:marRight w:val="0"/>
              <w:marTop w:val="0"/>
              <w:marBottom w:val="0"/>
              <w:divBdr>
                <w:top w:val="none" w:sz="0" w:space="0" w:color="auto"/>
                <w:left w:val="none" w:sz="0" w:space="0" w:color="auto"/>
                <w:bottom w:val="none" w:sz="0" w:space="0" w:color="auto"/>
                <w:right w:val="none" w:sz="0" w:space="0" w:color="auto"/>
              </w:divBdr>
            </w:div>
            <w:div w:id="2127506547">
              <w:marLeft w:val="0"/>
              <w:marRight w:val="0"/>
              <w:marTop w:val="0"/>
              <w:marBottom w:val="0"/>
              <w:divBdr>
                <w:top w:val="none" w:sz="0" w:space="0" w:color="auto"/>
                <w:left w:val="none" w:sz="0" w:space="0" w:color="auto"/>
                <w:bottom w:val="none" w:sz="0" w:space="0" w:color="auto"/>
                <w:right w:val="none" w:sz="0" w:space="0" w:color="auto"/>
              </w:divBdr>
            </w:div>
            <w:div w:id="2138061709">
              <w:marLeft w:val="0"/>
              <w:marRight w:val="0"/>
              <w:marTop w:val="0"/>
              <w:marBottom w:val="0"/>
              <w:divBdr>
                <w:top w:val="none" w:sz="0" w:space="0" w:color="auto"/>
                <w:left w:val="none" w:sz="0" w:space="0" w:color="auto"/>
                <w:bottom w:val="none" w:sz="0" w:space="0" w:color="auto"/>
                <w:right w:val="none" w:sz="0" w:space="0" w:color="auto"/>
              </w:divBdr>
            </w:div>
          </w:divsChild>
        </w:div>
        <w:div w:id="1063602812">
          <w:marLeft w:val="0"/>
          <w:marRight w:val="0"/>
          <w:marTop w:val="0"/>
          <w:marBottom w:val="0"/>
          <w:divBdr>
            <w:top w:val="none" w:sz="0" w:space="0" w:color="auto"/>
            <w:left w:val="none" w:sz="0" w:space="0" w:color="auto"/>
            <w:bottom w:val="none" w:sz="0" w:space="0" w:color="auto"/>
            <w:right w:val="none" w:sz="0" w:space="0" w:color="auto"/>
          </w:divBdr>
          <w:divsChild>
            <w:div w:id="119348561">
              <w:marLeft w:val="0"/>
              <w:marRight w:val="0"/>
              <w:marTop w:val="0"/>
              <w:marBottom w:val="0"/>
              <w:divBdr>
                <w:top w:val="none" w:sz="0" w:space="0" w:color="auto"/>
                <w:left w:val="none" w:sz="0" w:space="0" w:color="auto"/>
                <w:bottom w:val="none" w:sz="0" w:space="0" w:color="auto"/>
                <w:right w:val="none" w:sz="0" w:space="0" w:color="auto"/>
              </w:divBdr>
            </w:div>
            <w:div w:id="338318649">
              <w:marLeft w:val="0"/>
              <w:marRight w:val="0"/>
              <w:marTop w:val="0"/>
              <w:marBottom w:val="0"/>
              <w:divBdr>
                <w:top w:val="none" w:sz="0" w:space="0" w:color="auto"/>
                <w:left w:val="none" w:sz="0" w:space="0" w:color="auto"/>
                <w:bottom w:val="none" w:sz="0" w:space="0" w:color="auto"/>
                <w:right w:val="none" w:sz="0" w:space="0" w:color="auto"/>
              </w:divBdr>
            </w:div>
            <w:div w:id="399989070">
              <w:marLeft w:val="0"/>
              <w:marRight w:val="0"/>
              <w:marTop w:val="0"/>
              <w:marBottom w:val="0"/>
              <w:divBdr>
                <w:top w:val="none" w:sz="0" w:space="0" w:color="auto"/>
                <w:left w:val="none" w:sz="0" w:space="0" w:color="auto"/>
                <w:bottom w:val="none" w:sz="0" w:space="0" w:color="auto"/>
                <w:right w:val="none" w:sz="0" w:space="0" w:color="auto"/>
              </w:divBdr>
            </w:div>
            <w:div w:id="621962463">
              <w:marLeft w:val="0"/>
              <w:marRight w:val="0"/>
              <w:marTop w:val="0"/>
              <w:marBottom w:val="0"/>
              <w:divBdr>
                <w:top w:val="none" w:sz="0" w:space="0" w:color="auto"/>
                <w:left w:val="none" w:sz="0" w:space="0" w:color="auto"/>
                <w:bottom w:val="none" w:sz="0" w:space="0" w:color="auto"/>
                <w:right w:val="none" w:sz="0" w:space="0" w:color="auto"/>
              </w:divBdr>
            </w:div>
            <w:div w:id="823276723">
              <w:marLeft w:val="0"/>
              <w:marRight w:val="0"/>
              <w:marTop w:val="0"/>
              <w:marBottom w:val="0"/>
              <w:divBdr>
                <w:top w:val="none" w:sz="0" w:space="0" w:color="auto"/>
                <w:left w:val="none" w:sz="0" w:space="0" w:color="auto"/>
                <w:bottom w:val="none" w:sz="0" w:space="0" w:color="auto"/>
                <w:right w:val="none" w:sz="0" w:space="0" w:color="auto"/>
              </w:divBdr>
            </w:div>
            <w:div w:id="882600745">
              <w:marLeft w:val="0"/>
              <w:marRight w:val="0"/>
              <w:marTop w:val="0"/>
              <w:marBottom w:val="0"/>
              <w:divBdr>
                <w:top w:val="none" w:sz="0" w:space="0" w:color="auto"/>
                <w:left w:val="none" w:sz="0" w:space="0" w:color="auto"/>
                <w:bottom w:val="none" w:sz="0" w:space="0" w:color="auto"/>
                <w:right w:val="none" w:sz="0" w:space="0" w:color="auto"/>
              </w:divBdr>
            </w:div>
            <w:div w:id="992562926">
              <w:marLeft w:val="0"/>
              <w:marRight w:val="0"/>
              <w:marTop w:val="0"/>
              <w:marBottom w:val="0"/>
              <w:divBdr>
                <w:top w:val="none" w:sz="0" w:space="0" w:color="auto"/>
                <w:left w:val="none" w:sz="0" w:space="0" w:color="auto"/>
                <w:bottom w:val="none" w:sz="0" w:space="0" w:color="auto"/>
                <w:right w:val="none" w:sz="0" w:space="0" w:color="auto"/>
              </w:divBdr>
            </w:div>
            <w:div w:id="1077241985">
              <w:marLeft w:val="0"/>
              <w:marRight w:val="0"/>
              <w:marTop w:val="0"/>
              <w:marBottom w:val="0"/>
              <w:divBdr>
                <w:top w:val="none" w:sz="0" w:space="0" w:color="auto"/>
                <w:left w:val="none" w:sz="0" w:space="0" w:color="auto"/>
                <w:bottom w:val="none" w:sz="0" w:space="0" w:color="auto"/>
                <w:right w:val="none" w:sz="0" w:space="0" w:color="auto"/>
              </w:divBdr>
            </w:div>
            <w:div w:id="1285843292">
              <w:marLeft w:val="0"/>
              <w:marRight w:val="0"/>
              <w:marTop w:val="0"/>
              <w:marBottom w:val="0"/>
              <w:divBdr>
                <w:top w:val="none" w:sz="0" w:space="0" w:color="auto"/>
                <w:left w:val="none" w:sz="0" w:space="0" w:color="auto"/>
                <w:bottom w:val="none" w:sz="0" w:space="0" w:color="auto"/>
                <w:right w:val="none" w:sz="0" w:space="0" w:color="auto"/>
              </w:divBdr>
            </w:div>
            <w:div w:id="1315523215">
              <w:marLeft w:val="0"/>
              <w:marRight w:val="0"/>
              <w:marTop w:val="0"/>
              <w:marBottom w:val="0"/>
              <w:divBdr>
                <w:top w:val="none" w:sz="0" w:space="0" w:color="auto"/>
                <w:left w:val="none" w:sz="0" w:space="0" w:color="auto"/>
                <w:bottom w:val="none" w:sz="0" w:space="0" w:color="auto"/>
                <w:right w:val="none" w:sz="0" w:space="0" w:color="auto"/>
              </w:divBdr>
            </w:div>
            <w:div w:id="1398362993">
              <w:marLeft w:val="0"/>
              <w:marRight w:val="0"/>
              <w:marTop w:val="0"/>
              <w:marBottom w:val="0"/>
              <w:divBdr>
                <w:top w:val="none" w:sz="0" w:space="0" w:color="auto"/>
                <w:left w:val="none" w:sz="0" w:space="0" w:color="auto"/>
                <w:bottom w:val="none" w:sz="0" w:space="0" w:color="auto"/>
                <w:right w:val="none" w:sz="0" w:space="0" w:color="auto"/>
              </w:divBdr>
            </w:div>
            <w:div w:id="1401251472">
              <w:marLeft w:val="0"/>
              <w:marRight w:val="0"/>
              <w:marTop w:val="0"/>
              <w:marBottom w:val="0"/>
              <w:divBdr>
                <w:top w:val="none" w:sz="0" w:space="0" w:color="auto"/>
                <w:left w:val="none" w:sz="0" w:space="0" w:color="auto"/>
                <w:bottom w:val="none" w:sz="0" w:space="0" w:color="auto"/>
                <w:right w:val="none" w:sz="0" w:space="0" w:color="auto"/>
              </w:divBdr>
            </w:div>
            <w:div w:id="1461532668">
              <w:marLeft w:val="0"/>
              <w:marRight w:val="0"/>
              <w:marTop w:val="0"/>
              <w:marBottom w:val="0"/>
              <w:divBdr>
                <w:top w:val="none" w:sz="0" w:space="0" w:color="auto"/>
                <w:left w:val="none" w:sz="0" w:space="0" w:color="auto"/>
                <w:bottom w:val="none" w:sz="0" w:space="0" w:color="auto"/>
                <w:right w:val="none" w:sz="0" w:space="0" w:color="auto"/>
              </w:divBdr>
            </w:div>
            <w:div w:id="1661232322">
              <w:marLeft w:val="0"/>
              <w:marRight w:val="0"/>
              <w:marTop w:val="0"/>
              <w:marBottom w:val="0"/>
              <w:divBdr>
                <w:top w:val="none" w:sz="0" w:space="0" w:color="auto"/>
                <w:left w:val="none" w:sz="0" w:space="0" w:color="auto"/>
                <w:bottom w:val="none" w:sz="0" w:space="0" w:color="auto"/>
                <w:right w:val="none" w:sz="0" w:space="0" w:color="auto"/>
              </w:divBdr>
            </w:div>
            <w:div w:id="1695379833">
              <w:marLeft w:val="0"/>
              <w:marRight w:val="0"/>
              <w:marTop w:val="0"/>
              <w:marBottom w:val="0"/>
              <w:divBdr>
                <w:top w:val="none" w:sz="0" w:space="0" w:color="auto"/>
                <w:left w:val="none" w:sz="0" w:space="0" w:color="auto"/>
                <w:bottom w:val="none" w:sz="0" w:space="0" w:color="auto"/>
                <w:right w:val="none" w:sz="0" w:space="0" w:color="auto"/>
              </w:divBdr>
            </w:div>
            <w:div w:id="1742749403">
              <w:marLeft w:val="0"/>
              <w:marRight w:val="0"/>
              <w:marTop w:val="0"/>
              <w:marBottom w:val="0"/>
              <w:divBdr>
                <w:top w:val="none" w:sz="0" w:space="0" w:color="auto"/>
                <w:left w:val="none" w:sz="0" w:space="0" w:color="auto"/>
                <w:bottom w:val="none" w:sz="0" w:space="0" w:color="auto"/>
                <w:right w:val="none" w:sz="0" w:space="0" w:color="auto"/>
              </w:divBdr>
            </w:div>
            <w:div w:id="1829592592">
              <w:marLeft w:val="0"/>
              <w:marRight w:val="0"/>
              <w:marTop w:val="0"/>
              <w:marBottom w:val="0"/>
              <w:divBdr>
                <w:top w:val="none" w:sz="0" w:space="0" w:color="auto"/>
                <w:left w:val="none" w:sz="0" w:space="0" w:color="auto"/>
                <w:bottom w:val="none" w:sz="0" w:space="0" w:color="auto"/>
                <w:right w:val="none" w:sz="0" w:space="0" w:color="auto"/>
              </w:divBdr>
            </w:div>
            <w:div w:id="2076930072">
              <w:marLeft w:val="0"/>
              <w:marRight w:val="0"/>
              <w:marTop w:val="0"/>
              <w:marBottom w:val="0"/>
              <w:divBdr>
                <w:top w:val="none" w:sz="0" w:space="0" w:color="auto"/>
                <w:left w:val="none" w:sz="0" w:space="0" w:color="auto"/>
                <w:bottom w:val="none" w:sz="0" w:space="0" w:color="auto"/>
                <w:right w:val="none" w:sz="0" w:space="0" w:color="auto"/>
              </w:divBdr>
            </w:div>
            <w:div w:id="2099908710">
              <w:marLeft w:val="0"/>
              <w:marRight w:val="0"/>
              <w:marTop w:val="0"/>
              <w:marBottom w:val="0"/>
              <w:divBdr>
                <w:top w:val="none" w:sz="0" w:space="0" w:color="auto"/>
                <w:left w:val="none" w:sz="0" w:space="0" w:color="auto"/>
                <w:bottom w:val="none" w:sz="0" w:space="0" w:color="auto"/>
                <w:right w:val="none" w:sz="0" w:space="0" w:color="auto"/>
              </w:divBdr>
            </w:div>
            <w:div w:id="2139253132">
              <w:marLeft w:val="0"/>
              <w:marRight w:val="0"/>
              <w:marTop w:val="0"/>
              <w:marBottom w:val="0"/>
              <w:divBdr>
                <w:top w:val="none" w:sz="0" w:space="0" w:color="auto"/>
                <w:left w:val="none" w:sz="0" w:space="0" w:color="auto"/>
                <w:bottom w:val="none" w:sz="0" w:space="0" w:color="auto"/>
                <w:right w:val="none" w:sz="0" w:space="0" w:color="auto"/>
              </w:divBdr>
            </w:div>
          </w:divsChild>
        </w:div>
        <w:div w:id="1119566255">
          <w:marLeft w:val="0"/>
          <w:marRight w:val="0"/>
          <w:marTop w:val="0"/>
          <w:marBottom w:val="0"/>
          <w:divBdr>
            <w:top w:val="none" w:sz="0" w:space="0" w:color="auto"/>
            <w:left w:val="none" w:sz="0" w:space="0" w:color="auto"/>
            <w:bottom w:val="none" w:sz="0" w:space="0" w:color="auto"/>
            <w:right w:val="none" w:sz="0" w:space="0" w:color="auto"/>
          </w:divBdr>
        </w:div>
        <w:div w:id="1125270081">
          <w:marLeft w:val="0"/>
          <w:marRight w:val="0"/>
          <w:marTop w:val="0"/>
          <w:marBottom w:val="0"/>
          <w:divBdr>
            <w:top w:val="none" w:sz="0" w:space="0" w:color="auto"/>
            <w:left w:val="none" w:sz="0" w:space="0" w:color="auto"/>
            <w:bottom w:val="none" w:sz="0" w:space="0" w:color="auto"/>
            <w:right w:val="none" w:sz="0" w:space="0" w:color="auto"/>
          </w:divBdr>
          <w:divsChild>
            <w:div w:id="621614520">
              <w:marLeft w:val="-75"/>
              <w:marRight w:val="0"/>
              <w:marTop w:val="30"/>
              <w:marBottom w:val="30"/>
              <w:divBdr>
                <w:top w:val="none" w:sz="0" w:space="0" w:color="auto"/>
                <w:left w:val="none" w:sz="0" w:space="0" w:color="auto"/>
                <w:bottom w:val="none" w:sz="0" w:space="0" w:color="auto"/>
                <w:right w:val="none" w:sz="0" w:space="0" w:color="auto"/>
              </w:divBdr>
              <w:divsChild>
                <w:div w:id="52435802">
                  <w:marLeft w:val="0"/>
                  <w:marRight w:val="0"/>
                  <w:marTop w:val="0"/>
                  <w:marBottom w:val="0"/>
                  <w:divBdr>
                    <w:top w:val="none" w:sz="0" w:space="0" w:color="auto"/>
                    <w:left w:val="none" w:sz="0" w:space="0" w:color="auto"/>
                    <w:bottom w:val="none" w:sz="0" w:space="0" w:color="auto"/>
                    <w:right w:val="none" w:sz="0" w:space="0" w:color="auto"/>
                  </w:divBdr>
                  <w:divsChild>
                    <w:div w:id="1067461615">
                      <w:marLeft w:val="0"/>
                      <w:marRight w:val="0"/>
                      <w:marTop w:val="0"/>
                      <w:marBottom w:val="0"/>
                      <w:divBdr>
                        <w:top w:val="none" w:sz="0" w:space="0" w:color="auto"/>
                        <w:left w:val="none" w:sz="0" w:space="0" w:color="auto"/>
                        <w:bottom w:val="none" w:sz="0" w:space="0" w:color="auto"/>
                        <w:right w:val="none" w:sz="0" w:space="0" w:color="auto"/>
                      </w:divBdr>
                    </w:div>
                  </w:divsChild>
                </w:div>
                <w:div w:id="347558957">
                  <w:marLeft w:val="0"/>
                  <w:marRight w:val="0"/>
                  <w:marTop w:val="0"/>
                  <w:marBottom w:val="0"/>
                  <w:divBdr>
                    <w:top w:val="none" w:sz="0" w:space="0" w:color="auto"/>
                    <w:left w:val="none" w:sz="0" w:space="0" w:color="auto"/>
                    <w:bottom w:val="none" w:sz="0" w:space="0" w:color="auto"/>
                    <w:right w:val="none" w:sz="0" w:space="0" w:color="auto"/>
                  </w:divBdr>
                  <w:divsChild>
                    <w:div w:id="201670484">
                      <w:marLeft w:val="0"/>
                      <w:marRight w:val="0"/>
                      <w:marTop w:val="0"/>
                      <w:marBottom w:val="0"/>
                      <w:divBdr>
                        <w:top w:val="none" w:sz="0" w:space="0" w:color="auto"/>
                        <w:left w:val="none" w:sz="0" w:space="0" w:color="auto"/>
                        <w:bottom w:val="none" w:sz="0" w:space="0" w:color="auto"/>
                        <w:right w:val="none" w:sz="0" w:space="0" w:color="auto"/>
                      </w:divBdr>
                    </w:div>
                  </w:divsChild>
                </w:div>
                <w:div w:id="732238650">
                  <w:marLeft w:val="0"/>
                  <w:marRight w:val="0"/>
                  <w:marTop w:val="0"/>
                  <w:marBottom w:val="0"/>
                  <w:divBdr>
                    <w:top w:val="none" w:sz="0" w:space="0" w:color="auto"/>
                    <w:left w:val="none" w:sz="0" w:space="0" w:color="auto"/>
                    <w:bottom w:val="none" w:sz="0" w:space="0" w:color="auto"/>
                    <w:right w:val="none" w:sz="0" w:space="0" w:color="auto"/>
                  </w:divBdr>
                  <w:divsChild>
                    <w:div w:id="532613502">
                      <w:marLeft w:val="0"/>
                      <w:marRight w:val="0"/>
                      <w:marTop w:val="0"/>
                      <w:marBottom w:val="0"/>
                      <w:divBdr>
                        <w:top w:val="none" w:sz="0" w:space="0" w:color="auto"/>
                        <w:left w:val="none" w:sz="0" w:space="0" w:color="auto"/>
                        <w:bottom w:val="none" w:sz="0" w:space="0" w:color="auto"/>
                        <w:right w:val="none" w:sz="0" w:space="0" w:color="auto"/>
                      </w:divBdr>
                    </w:div>
                  </w:divsChild>
                </w:div>
                <w:div w:id="786116780">
                  <w:marLeft w:val="0"/>
                  <w:marRight w:val="0"/>
                  <w:marTop w:val="0"/>
                  <w:marBottom w:val="0"/>
                  <w:divBdr>
                    <w:top w:val="none" w:sz="0" w:space="0" w:color="auto"/>
                    <w:left w:val="none" w:sz="0" w:space="0" w:color="auto"/>
                    <w:bottom w:val="none" w:sz="0" w:space="0" w:color="auto"/>
                    <w:right w:val="none" w:sz="0" w:space="0" w:color="auto"/>
                  </w:divBdr>
                  <w:divsChild>
                    <w:div w:id="795835478">
                      <w:marLeft w:val="0"/>
                      <w:marRight w:val="0"/>
                      <w:marTop w:val="0"/>
                      <w:marBottom w:val="0"/>
                      <w:divBdr>
                        <w:top w:val="none" w:sz="0" w:space="0" w:color="auto"/>
                        <w:left w:val="none" w:sz="0" w:space="0" w:color="auto"/>
                        <w:bottom w:val="none" w:sz="0" w:space="0" w:color="auto"/>
                        <w:right w:val="none" w:sz="0" w:space="0" w:color="auto"/>
                      </w:divBdr>
                    </w:div>
                  </w:divsChild>
                </w:div>
                <w:div w:id="1194729048">
                  <w:marLeft w:val="0"/>
                  <w:marRight w:val="0"/>
                  <w:marTop w:val="0"/>
                  <w:marBottom w:val="0"/>
                  <w:divBdr>
                    <w:top w:val="none" w:sz="0" w:space="0" w:color="auto"/>
                    <w:left w:val="none" w:sz="0" w:space="0" w:color="auto"/>
                    <w:bottom w:val="none" w:sz="0" w:space="0" w:color="auto"/>
                    <w:right w:val="none" w:sz="0" w:space="0" w:color="auto"/>
                  </w:divBdr>
                  <w:divsChild>
                    <w:div w:id="1922370262">
                      <w:marLeft w:val="0"/>
                      <w:marRight w:val="0"/>
                      <w:marTop w:val="0"/>
                      <w:marBottom w:val="0"/>
                      <w:divBdr>
                        <w:top w:val="none" w:sz="0" w:space="0" w:color="auto"/>
                        <w:left w:val="none" w:sz="0" w:space="0" w:color="auto"/>
                        <w:bottom w:val="none" w:sz="0" w:space="0" w:color="auto"/>
                        <w:right w:val="none" w:sz="0" w:space="0" w:color="auto"/>
                      </w:divBdr>
                    </w:div>
                    <w:div w:id="2086762644">
                      <w:marLeft w:val="0"/>
                      <w:marRight w:val="0"/>
                      <w:marTop w:val="0"/>
                      <w:marBottom w:val="0"/>
                      <w:divBdr>
                        <w:top w:val="none" w:sz="0" w:space="0" w:color="auto"/>
                        <w:left w:val="none" w:sz="0" w:space="0" w:color="auto"/>
                        <w:bottom w:val="none" w:sz="0" w:space="0" w:color="auto"/>
                        <w:right w:val="none" w:sz="0" w:space="0" w:color="auto"/>
                      </w:divBdr>
                    </w:div>
                  </w:divsChild>
                </w:div>
                <w:div w:id="1447848601">
                  <w:marLeft w:val="0"/>
                  <w:marRight w:val="0"/>
                  <w:marTop w:val="0"/>
                  <w:marBottom w:val="0"/>
                  <w:divBdr>
                    <w:top w:val="none" w:sz="0" w:space="0" w:color="auto"/>
                    <w:left w:val="none" w:sz="0" w:space="0" w:color="auto"/>
                    <w:bottom w:val="none" w:sz="0" w:space="0" w:color="auto"/>
                    <w:right w:val="none" w:sz="0" w:space="0" w:color="auto"/>
                  </w:divBdr>
                  <w:divsChild>
                    <w:div w:id="743718451">
                      <w:marLeft w:val="0"/>
                      <w:marRight w:val="0"/>
                      <w:marTop w:val="0"/>
                      <w:marBottom w:val="0"/>
                      <w:divBdr>
                        <w:top w:val="none" w:sz="0" w:space="0" w:color="auto"/>
                        <w:left w:val="none" w:sz="0" w:space="0" w:color="auto"/>
                        <w:bottom w:val="none" w:sz="0" w:space="0" w:color="auto"/>
                        <w:right w:val="none" w:sz="0" w:space="0" w:color="auto"/>
                      </w:divBdr>
                    </w:div>
                    <w:div w:id="2123765029">
                      <w:marLeft w:val="0"/>
                      <w:marRight w:val="0"/>
                      <w:marTop w:val="0"/>
                      <w:marBottom w:val="0"/>
                      <w:divBdr>
                        <w:top w:val="none" w:sz="0" w:space="0" w:color="auto"/>
                        <w:left w:val="none" w:sz="0" w:space="0" w:color="auto"/>
                        <w:bottom w:val="none" w:sz="0" w:space="0" w:color="auto"/>
                        <w:right w:val="none" w:sz="0" w:space="0" w:color="auto"/>
                      </w:divBdr>
                    </w:div>
                  </w:divsChild>
                </w:div>
                <w:div w:id="1471289754">
                  <w:marLeft w:val="0"/>
                  <w:marRight w:val="0"/>
                  <w:marTop w:val="0"/>
                  <w:marBottom w:val="0"/>
                  <w:divBdr>
                    <w:top w:val="none" w:sz="0" w:space="0" w:color="auto"/>
                    <w:left w:val="none" w:sz="0" w:space="0" w:color="auto"/>
                    <w:bottom w:val="none" w:sz="0" w:space="0" w:color="auto"/>
                    <w:right w:val="none" w:sz="0" w:space="0" w:color="auto"/>
                  </w:divBdr>
                  <w:divsChild>
                    <w:div w:id="1405645314">
                      <w:marLeft w:val="0"/>
                      <w:marRight w:val="0"/>
                      <w:marTop w:val="0"/>
                      <w:marBottom w:val="0"/>
                      <w:divBdr>
                        <w:top w:val="none" w:sz="0" w:space="0" w:color="auto"/>
                        <w:left w:val="none" w:sz="0" w:space="0" w:color="auto"/>
                        <w:bottom w:val="none" w:sz="0" w:space="0" w:color="auto"/>
                        <w:right w:val="none" w:sz="0" w:space="0" w:color="auto"/>
                      </w:divBdr>
                    </w:div>
                  </w:divsChild>
                </w:div>
                <w:div w:id="1526210324">
                  <w:marLeft w:val="0"/>
                  <w:marRight w:val="0"/>
                  <w:marTop w:val="0"/>
                  <w:marBottom w:val="0"/>
                  <w:divBdr>
                    <w:top w:val="none" w:sz="0" w:space="0" w:color="auto"/>
                    <w:left w:val="none" w:sz="0" w:space="0" w:color="auto"/>
                    <w:bottom w:val="none" w:sz="0" w:space="0" w:color="auto"/>
                    <w:right w:val="none" w:sz="0" w:space="0" w:color="auto"/>
                  </w:divBdr>
                  <w:divsChild>
                    <w:div w:id="176309749">
                      <w:marLeft w:val="0"/>
                      <w:marRight w:val="0"/>
                      <w:marTop w:val="0"/>
                      <w:marBottom w:val="0"/>
                      <w:divBdr>
                        <w:top w:val="none" w:sz="0" w:space="0" w:color="auto"/>
                        <w:left w:val="none" w:sz="0" w:space="0" w:color="auto"/>
                        <w:bottom w:val="none" w:sz="0" w:space="0" w:color="auto"/>
                        <w:right w:val="none" w:sz="0" w:space="0" w:color="auto"/>
                      </w:divBdr>
                    </w:div>
                  </w:divsChild>
                </w:div>
                <w:div w:id="1764448814">
                  <w:marLeft w:val="0"/>
                  <w:marRight w:val="0"/>
                  <w:marTop w:val="0"/>
                  <w:marBottom w:val="0"/>
                  <w:divBdr>
                    <w:top w:val="none" w:sz="0" w:space="0" w:color="auto"/>
                    <w:left w:val="none" w:sz="0" w:space="0" w:color="auto"/>
                    <w:bottom w:val="none" w:sz="0" w:space="0" w:color="auto"/>
                    <w:right w:val="none" w:sz="0" w:space="0" w:color="auto"/>
                  </w:divBdr>
                  <w:divsChild>
                    <w:div w:id="1134328593">
                      <w:marLeft w:val="0"/>
                      <w:marRight w:val="0"/>
                      <w:marTop w:val="0"/>
                      <w:marBottom w:val="0"/>
                      <w:divBdr>
                        <w:top w:val="none" w:sz="0" w:space="0" w:color="auto"/>
                        <w:left w:val="none" w:sz="0" w:space="0" w:color="auto"/>
                        <w:bottom w:val="none" w:sz="0" w:space="0" w:color="auto"/>
                        <w:right w:val="none" w:sz="0" w:space="0" w:color="auto"/>
                      </w:divBdr>
                    </w:div>
                    <w:div w:id="1698189616">
                      <w:marLeft w:val="0"/>
                      <w:marRight w:val="0"/>
                      <w:marTop w:val="0"/>
                      <w:marBottom w:val="0"/>
                      <w:divBdr>
                        <w:top w:val="none" w:sz="0" w:space="0" w:color="auto"/>
                        <w:left w:val="none" w:sz="0" w:space="0" w:color="auto"/>
                        <w:bottom w:val="none" w:sz="0" w:space="0" w:color="auto"/>
                        <w:right w:val="none" w:sz="0" w:space="0" w:color="auto"/>
                      </w:divBdr>
                    </w:div>
                  </w:divsChild>
                </w:div>
                <w:div w:id="1768885355">
                  <w:marLeft w:val="0"/>
                  <w:marRight w:val="0"/>
                  <w:marTop w:val="0"/>
                  <w:marBottom w:val="0"/>
                  <w:divBdr>
                    <w:top w:val="none" w:sz="0" w:space="0" w:color="auto"/>
                    <w:left w:val="none" w:sz="0" w:space="0" w:color="auto"/>
                    <w:bottom w:val="none" w:sz="0" w:space="0" w:color="auto"/>
                    <w:right w:val="none" w:sz="0" w:space="0" w:color="auto"/>
                  </w:divBdr>
                  <w:divsChild>
                    <w:div w:id="1419670635">
                      <w:marLeft w:val="0"/>
                      <w:marRight w:val="0"/>
                      <w:marTop w:val="0"/>
                      <w:marBottom w:val="0"/>
                      <w:divBdr>
                        <w:top w:val="none" w:sz="0" w:space="0" w:color="auto"/>
                        <w:left w:val="none" w:sz="0" w:space="0" w:color="auto"/>
                        <w:bottom w:val="none" w:sz="0" w:space="0" w:color="auto"/>
                        <w:right w:val="none" w:sz="0" w:space="0" w:color="auto"/>
                      </w:divBdr>
                    </w:div>
                  </w:divsChild>
                </w:div>
                <w:div w:id="1899973514">
                  <w:marLeft w:val="0"/>
                  <w:marRight w:val="0"/>
                  <w:marTop w:val="0"/>
                  <w:marBottom w:val="0"/>
                  <w:divBdr>
                    <w:top w:val="none" w:sz="0" w:space="0" w:color="auto"/>
                    <w:left w:val="none" w:sz="0" w:space="0" w:color="auto"/>
                    <w:bottom w:val="none" w:sz="0" w:space="0" w:color="auto"/>
                    <w:right w:val="none" w:sz="0" w:space="0" w:color="auto"/>
                  </w:divBdr>
                  <w:divsChild>
                    <w:div w:id="1392969394">
                      <w:marLeft w:val="0"/>
                      <w:marRight w:val="0"/>
                      <w:marTop w:val="0"/>
                      <w:marBottom w:val="0"/>
                      <w:divBdr>
                        <w:top w:val="none" w:sz="0" w:space="0" w:color="auto"/>
                        <w:left w:val="none" w:sz="0" w:space="0" w:color="auto"/>
                        <w:bottom w:val="none" w:sz="0" w:space="0" w:color="auto"/>
                        <w:right w:val="none" w:sz="0" w:space="0" w:color="auto"/>
                      </w:divBdr>
                    </w:div>
                  </w:divsChild>
                </w:div>
                <w:div w:id="1957831428">
                  <w:marLeft w:val="0"/>
                  <w:marRight w:val="0"/>
                  <w:marTop w:val="0"/>
                  <w:marBottom w:val="0"/>
                  <w:divBdr>
                    <w:top w:val="none" w:sz="0" w:space="0" w:color="auto"/>
                    <w:left w:val="none" w:sz="0" w:space="0" w:color="auto"/>
                    <w:bottom w:val="none" w:sz="0" w:space="0" w:color="auto"/>
                    <w:right w:val="none" w:sz="0" w:space="0" w:color="auto"/>
                  </w:divBdr>
                  <w:divsChild>
                    <w:div w:id="3164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6126">
          <w:marLeft w:val="0"/>
          <w:marRight w:val="0"/>
          <w:marTop w:val="0"/>
          <w:marBottom w:val="0"/>
          <w:divBdr>
            <w:top w:val="none" w:sz="0" w:space="0" w:color="auto"/>
            <w:left w:val="none" w:sz="0" w:space="0" w:color="auto"/>
            <w:bottom w:val="none" w:sz="0" w:space="0" w:color="auto"/>
            <w:right w:val="none" w:sz="0" w:space="0" w:color="auto"/>
          </w:divBdr>
          <w:divsChild>
            <w:div w:id="1885631285">
              <w:marLeft w:val="0"/>
              <w:marRight w:val="0"/>
              <w:marTop w:val="0"/>
              <w:marBottom w:val="0"/>
              <w:divBdr>
                <w:top w:val="none" w:sz="0" w:space="0" w:color="auto"/>
                <w:left w:val="none" w:sz="0" w:space="0" w:color="auto"/>
                <w:bottom w:val="none" w:sz="0" w:space="0" w:color="auto"/>
                <w:right w:val="none" w:sz="0" w:space="0" w:color="auto"/>
              </w:divBdr>
            </w:div>
          </w:divsChild>
        </w:div>
        <w:div w:id="1890074162">
          <w:marLeft w:val="0"/>
          <w:marRight w:val="0"/>
          <w:marTop w:val="0"/>
          <w:marBottom w:val="0"/>
          <w:divBdr>
            <w:top w:val="none" w:sz="0" w:space="0" w:color="auto"/>
            <w:left w:val="none" w:sz="0" w:space="0" w:color="auto"/>
            <w:bottom w:val="none" w:sz="0" w:space="0" w:color="auto"/>
            <w:right w:val="none" w:sz="0" w:space="0" w:color="auto"/>
          </w:divBdr>
          <w:divsChild>
            <w:div w:id="1005284980">
              <w:marLeft w:val="0"/>
              <w:marRight w:val="0"/>
              <w:marTop w:val="0"/>
              <w:marBottom w:val="0"/>
              <w:divBdr>
                <w:top w:val="none" w:sz="0" w:space="0" w:color="auto"/>
                <w:left w:val="none" w:sz="0" w:space="0" w:color="auto"/>
                <w:bottom w:val="none" w:sz="0" w:space="0" w:color="auto"/>
                <w:right w:val="none" w:sz="0" w:space="0" w:color="auto"/>
              </w:divBdr>
            </w:div>
            <w:div w:id="1333949423">
              <w:marLeft w:val="0"/>
              <w:marRight w:val="0"/>
              <w:marTop w:val="0"/>
              <w:marBottom w:val="0"/>
              <w:divBdr>
                <w:top w:val="none" w:sz="0" w:space="0" w:color="auto"/>
                <w:left w:val="none" w:sz="0" w:space="0" w:color="auto"/>
                <w:bottom w:val="none" w:sz="0" w:space="0" w:color="auto"/>
                <w:right w:val="none" w:sz="0" w:space="0" w:color="auto"/>
              </w:divBdr>
            </w:div>
            <w:div w:id="15868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92828">
      <w:bodyDiv w:val="1"/>
      <w:marLeft w:val="0"/>
      <w:marRight w:val="0"/>
      <w:marTop w:val="0"/>
      <w:marBottom w:val="0"/>
      <w:divBdr>
        <w:top w:val="none" w:sz="0" w:space="0" w:color="auto"/>
        <w:left w:val="none" w:sz="0" w:space="0" w:color="auto"/>
        <w:bottom w:val="none" w:sz="0" w:space="0" w:color="auto"/>
        <w:right w:val="none" w:sz="0" w:space="0" w:color="auto"/>
      </w:divBdr>
      <w:divsChild>
        <w:div w:id="326059855">
          <w:marLeft w:val="0"/>
          <w:marRight w:val="0"/>
          <w:marTop w:val="0"/>
          <w:marBottom w:val="0"/>
          <w:divBdr>
            <w:top w:val="none" w:sz="0" w:space="0" w:color="auto"/>
            <w:left w:val="none" w:sz="0" w:space="0" w:color="auto"/>
            <w:bottom w:val="none" w:sz="0" w:space="0" w:color="auto"/>
            <w:right w:val="none" w:sz="0" w:space="0" w:color="auto"/>
          </w:divBdr>
          <w:divsChild>
            <w:div w:id="226962277">
              <w:marLeft w:val="0"/>
              <w:marRight w:val="0"/>
              <w:marTop w:val="0"/>
              <w:marBottom w:val="0"/>
              <w:divBdr>
                <w:top w:val="none" w:sz="0" w:space="0" w:color="auto"/>
                <w:left w:val="none" w:sz="0" w:space="0" w:color="auto"/>
                <w:bottom w:val="none" w:sz="0" w:space="0" w:color="auto"/>
                <w:right w:val="none" w:sz="0" w:space="0" w:color="auto"/>
              </w:divBdr>
            </w:div>
            <w:div w:id="315650526">
              <w:marLeft w:val="0"/>
              <w:marRight w:val="0"/>
              <w:marTop w:val="0"/>
              <w:marBottom w:val="0"/>
              <w:divBdr>
                <w:top w:val="none" w:sz="0" w:space="0" w:color="auto"/>
                <w:left w:val="none" w:sz="0" w:space="0" w:color="auto"/>
                <w:bottom w:val="none" w:sz="0" w:space="0" w:color="auto"/>
                <w:right w:val="none" w:sz="0" w:space="0" w:color="auto"/>
              </w:divBdr>
            </w:div>
            <w:div w:id="480266695">
              <w:marLeft w:val="0"/>
              <w:marRight w:val="0"/>
              <w:marTop w:val="0"/>
              <w:marBottom w:val="0"/>
              <w:divBdr>
                <w:top w:val="none" w:sz="0" w:space="0" w:color="auto"/>
                <w:left w:val="none" w:sz="0" w:space="0" w:color="auto"/>
                <w:bottom w:val="none" w:sz="0" w:space="0" w:color="auto"/>
                <w:right w:val="none" w:sz="0" w:space="0" w:color="auto"/>
              </w:divBdr>
            </w:div>
            <w:div w:id="536115760">
              <w:marLeft w:val="0"/>
              <w:marRight w:val="0"/>
              <w:marTop w:val="0"/>
              <w:marBottom w:val="0"/>
              <w:divBdr>
                <w:top w:val="none" w:sz="0" w:space="0" w:color="auto"/>
                <w:left w:val="none" w:sz="0" w:space="0" w:color="auto"/>
                <w:bottom w:val="none" w:sz="0" w:space="0" w:color="auto"/>
                <w:right w:val="none" w:sz="0" w:space="0" w:color="auto"/>
              </w:divBdr>
            </w:div>
            <w:div w:id="611741964">
              <w:marLeft w:val="0"/>
              <w:marRight w:val="0"/>
              <w:marTop w:val="0"/>
              <w:marBottom w:val="0"/>
              <w:divBdr>
                <w:top w:val="none" w:sz="0" w:space="0" w:color="auto"/>
                <w:left w:val="none" w:sz="0" w:space="0" w:color="auto"/>
                <w:bottom w:val="none" w:sz="0" w:space="0" w:color="auto"/>
                <w:right w:val="none" w:sz="0" w:space="0" w:color="auto"/>
              </w:divBdr>
            </w:div>
            <w:div w:id="863207257">
              <w:marLeft w:val="0"/>
              <w:marRight w:val="0"/>
              <w:marTop w:val="0"/>
              <w:marBottom w:val="0"/>
              <w:divBdr>
                <w:top w:val="none" w:sz="0" w:space="0" w:color="auto"/>
                <w:left w:val="none" w:sz="0" w:space="0" w:color="auto"/>
                <w:bottom w:val="none" w:sz="0" w:space="0" w:color="auto"/>
                <w:right w:val="none" w:sz="0" w:space="0" w:color="auto"/>
              </w:divBdr>
            </w:div>
            <w:div w:id="865561701">
              <w:marLeft w:val="0"/>
              <w:marRight w:val="0"/>
              <w:marTop w:val="0"/>
              <w:marBottom w:val="0"/>
              <w:divBdr>
                <w:top w:val="none" w:sz="0" w:space="0" w:color="auto"/>
                <w:left w:val="none" w:sz="0" w:space="0" w:color="auto"/>
                <w:bottom w:val="none" w:sz="0" w:space="0" w:color="auto"/>
                <w:right w:val="none" w:sz="0" w:space="0" w:color="auto"/>
              </w:divBdr>
            </w:div>
            <w:div w:id="943657618">
              <w:marLeft w:val="0"/>
              <w:marRight w:val="0"/>
              <w:marTop w:val="0"/>
              <w:marBottom w:val="0"/>
              <w:divBdr>
                <w:top w:val="none" w:sz="0" w:space="0" w:color="auto"/>
                <w:left w:val="none" w:sz="0" w:space="0" w:color="auto"/>
                <w:bottom w:val="none" w:sz="0" w:space="0" w:color="auto"/>
                <w:right w:val="none" w:sz="0" w:space="0" w:color="auto"/>
              </w:divBdr>
            </w:div>
            <w:div w:id="957833298">
              <w:marLeft w:val="0"/>
              <w:marRight w:val="0"/>
              <w:marTop w:val="0"/>
              <w:marBottom w:val="0"/>
              <w:divBdr>
                <w:top w:val="none" w:sz="0" w:space="0" w:color="auto"/>
                <w:left w:val="none" w:sz="0" w:space="0" w:color="auto"/>
                <w:bottom w:val="none" w:sz="0" w:space="0" w:color="auto"/>
                <w:right w:val="none" w:sz="0" w:space="0" w:color="auto"/>
              </w:divBdr>
            </w:div>
            <w:div w:id="1086923751">
              <w:marLeft w:val="0"/>
              <w:marRight w:val="0"/>
              <w:marTop w:val="0"/>
              <w:marBottom w:val="0"/>
              <w:divBdr>
                <w:top w:val="none" w:sz="0" w:space="0" w:color="auto"/>
                <w:left w:val="none" w:sz="0" w:space="0" w:color="auto"/>
                <w:bottom w:val="none" w:sz="0" w:space="0" w:color="auto"/>
                <w:right w:val="none" w:sz="0" w:space="0" w:color="auto"/>
              </w:divBdr>
            </w:div>
            <w:div w:id="1232348763">
              <w:marLeft w:val="0"/>
              <w:marRight w:val="0"/>
              <w:marTop w:val="0"/>
              <w:marBottom w:val="0"/>
              <w:divBdr>
                <w:top w:val="none" w:sz="0" w:space="0" w:color="auto"/>
                <w:left w:val="none" w:sz="0" w:space="0" w:color="auto"/>
                <w:bottom w:val="none" w:sz="0" w:space="0" w:color="auto"/>
                <w:right w:val="none" w:sz="0" w:space="0" w:color="auto"/>
              </w:divBdr>
            </w:div>
            <w:div w:id="1262253215">
              <w:marLeft w:val="0"/>
              <w:marRight w:val="0"/>
              <w:marTop w:val="0"/>
              <w:marBottom w:val="0"/>
              <w:divBdr>
                <w:top w:val="none" w:sz="0" w:space="0" w:color="auto"/>
                <w:left w:val="none" w:sz="0" w:space="0" w:color="auto"/>
                <w:bottom w:val="none" w:sz="0" w:space="0" w:color="auto"/>
                <w:right w:val="none" w:sz="0" w:space="0" w:color="auto"/>
              </w:divBdr>
            </w:div>
            <w:div w:id="1353997198">
              <w:marLeft w:val="0"/>
              <w:marRight w:val="0"/>
              <w:marTop w:val="0"/>
              <w:marBottom w:val="0"/>
              <w:divBdr>
                <w:top w:val="none" w:sz="0" w:space="0" w:color="auto"/>
                <w:left w:val="none" w:sz="0" w:space="0" w:color="auto"/>
                <w:bottom w:val="none" w:sz="0" w:space="0" w:color="auto"/>
                <w:right w:val="none" w:sz="0" w:space="0" w:color="auto"/>
              </w:divBdr>
            </w:div>
            <w:div w:id="1593203778">
              <w:marLeft w:val="0"/>
              <w:marRight w:val="0"/>
              <w:marTop w:val="0"/>
              <w:marBottom w:val="0"/>
              <w:divBdr>
                <w:top w:val="none" w:sz="0" w:space="0" w:color="auto"/>
                <w:left w:val="none" w:sz="0" w:space="0" w:color="auto"/>
                <w:bottom w:val="none" w:sz="0" w:space="0" w:color="auto"/>
                <w:right w:val="none" w:sz="0" w:space="0" w:color="auto"/>
              </w:divBdr>
            </w:div>
            <w:div w:id="1663896328">
              <w:marLeft w:val="0"/>
              <w:marRight w:val="0"/>
              <w:marTop w:val="0"/>
              <w:marBottom w:val="0"/>
              <w:divBdr>
                <w:top w:val="none" w:sz="0" w:space="0" w:color="auto"/>
                <w:left w:val="none" w:sz="0" w:space="0" w:color="auto"/>
                <w:bottom w:val="none" w:sz="0" w:space="0" w:color="auto"/>
                <w:right w:val="none" w:sz="0" w:space="0" w:color="auto"/>
              </w:divBdr>
            </w:div>
            <w:div w:id="1943881631">
              <w:marLeft w:val="0"/>
              <w:marRight w:val="0"/>
              <w:marTop w:val="0"/>
              <w:marBottom w:val="0"/>
              <w:divBdr>
                <w:top w:val="none" w:sz="0" w:space="0" w:color="auto"/>
                <w:left w:val="none" w:sz="0" w:space="0" w:color="auto"/>
                <w:bottom w:val="none" w:sz="0" w:space="0" w:color="auto"/>
                <w:right w:val="none" w:sz="0" w:space="0" w:color="auto"/>
              </w:divBdr>
            </w:div>
            <w:div w:id="1962612171">
              <w:marLeft w:val="0"/>
              <w:marRight w:val="0"/>
              <w:marTop w:val="0"/>
              <w:marBottom w:val="0"/>
              <w:divBdr>
                <w:top w:val="none" w:sz="0" w:space="0" w:color="auto"/>
                <w:left w:val="none" w:sz="0" w:space="0" w:color="auto"/>
                <w:bottom w:val="none" w:sz="0" w:space="0" w:color="auto"/>
                <w:right w:val="none" w:sz="0" w:space="0" w:color="auto"/>
              </w:divBdr>
            </w:div>
            <w:div w:id="2034307385">
              <w:marLeft w:val="0"/>
              <w:marRight w:val="0"/>
              <w:marTop w:val="0"/>
              <w:marBottom w:val="0"/>
              <w:divBdr>
                <w:top w:val="none" w:sz="0" w:space="0" w:color="auto"/>
                <w:left w:val="none" w:sz="0" w:space="0" w:color="auto"/>
                <w:bottom w:val="none" w:sz="0" w:space="0" w:color="auto"/>
                <w:right w:val="none" w:sz="0" w:space="0" w:color="auto"/>
              </w:divBdr>
            </w:div>
            <w:div w:id="2046635457">
              <w:marLeft w:val="0"/>
              <w:marRight w:val="0"/>
              <w:marTop w:val="0"/>
              <w:marBottom w:val="0"/>
              <w:divBdr>
                <w:top w:val="none" w:sz="0" w:space="0" w:color="auto"/>
                <w:left w:val="none" w:sz="0" w:space="0" w:color="auto"/>
                <w:bottom w:val="none" w:sz="0" w:space="0" w:color="auto"/>
                <w:right w:val="none" w:sz="0" w:space="0" w:color="auto"/>
              </w:divBdr>
            </w:div>
            <w:div w:id="2142309815">
              <w:marLeft w:val="0"/>
              <w:marRight w:val="0"/>
              <w:marTop w:val="0"/>
              <w:marBottom w:val="0"/>
              <w:divBdr>
                <w:top w:val="none" w:sz="0" w:space="0" w:color="auto"/>
                <w:left w:val="none" w:sz="0" w:space="0" w:color="auto"/>
                <w:bottom w:val="none" w:sz="0" w:space="0" w:color="auto"/>
                <w:right w:val="none" w:sz="0" w:space="0" w:color="auto"/>
              </w:divBdr>
            </w:div>
          </w:divsChild>
        </w:div>
        <w:div w:id="341591393">
          <w:marLeft w:val="0"/>
          <w:marRight w:val="0"/>
          <w:marTop w:val="0"/>
          <w:marBottom w:val="0"/>
          <w:divBdr>
            <w:top w:val="none" w:sz="0" w:space="0" w:color="auto"/>
            <w:left w:val="none" w:sz="0" w:space="0" w:color="auto"/>
            <w:bottom w:val="none" w:sz="0" w:space="0" w:color="auto"/>
            <w:right w:val="none" w:sz="0" w:space="0" w:color="auto"/>
          </w:divBdr>
        </w:div>
        <w:div w:id="486827526">
          <w:marLeft w:val="0"/>
          <w:marRight w:val="0"/>
          <w:marTop w:val="0"/>
          <w:marBottom w:val="0"/>
          <w:divBdr>
            <w:top w:val="none" w:sz="0" w:space="0" w:color="auto"/>
            <w:left w:val="none" w:sz="0" w:space="0" w:color="auto"/>
            <w:bottom w:val="none" w:sz="0" w:space="0" w:color="auto"/>
            <w:right w:val="none" w:sz="0" w:space="0" w:color="auto"/>
          </w:divBdr>
          <w:divsChild>
            <w:div w:id="116030919">
              <w:marLeft w:val="0"/>
              <w:marRight w:val="0"/>
              <w:marTop w:val="0"/>
              <w:marBottom w:val="0"/>
              <w:divBdr>
                <w:top w:val="none" w:sz="0" w:space="0" w:color="auto"/>
                <w:left w:val="none" w:sz="0" w:space="0" w:color="auto"/>
                <w:bottom w:val="none" w:sz="0" w:space="0" w:color="auto"/>
                <w:right w:val="none" w:sz="0" w:space="0" w:color="auto"/>
              </w:divBdr>
            </w:div>
            <w:div w:id="483394465">
              <w:marLeft w:val="0"/>
              <w:marRight w:val="0"/>
              <w:marTop w:val="0"/>
              <w:marBottom w:val="0"/>
              <w:divBdr>
                <w:top w:val="none" w:sz="0" w:space="0" w:color="auto"/>
                <w:left w:val="none" w:sz="0" w:space="0" w:color="auto"/>
                <w:bottom w:val="none" w:sz="0" w:space="0" w:color="auto"/>
                <w:right w:val="none" w:sz="0" w:space="0" w:color="auto"/>
              </w:divBdr>
            </w:div>
            <w:div w:id="787817601">
              <w:marLeft w:val="0"/>
              <w:marRight w:val="0"/>
              <w:marTop w:val="0"/>
              <w:marBottom w:val="0"/>
              <w:divBdr>
                <w:top w:val="none" w:sz="0" w:space="0" w:color="auto"/>
                <w:left w:val="none" w:sz="0" w:space="0" w:color="auto"/>
                <w:bottom w:val="none" w:sz="0" w:space="0" w:color="auto"/>
                <w:right w:val="none" w:sz="0" w:space="0" w:color="auto"/>
              </w:divBdr>
            </w:div>
            <w:div w:id="835416890">
              <w:marLeft w:val="0"/>
              <w:marRight w:val="0"/>
              <w:marTop w:val="0"/>
              <w:marBottom w:val="0"/>
              <w:divBdr>
                <w:top w:val="none" w:sz="0" w:space="0" w:color="auto"/>
                <w:left w:val="none" w:sz="0" w:space="0" w:color="auto"/>
                <w:bottom w:val="none" w:sz="0" w:space="0" w:color="auto"/>
                <w:right w:val="none" w:sz="0" w:space="0" w:color="auto"/>
              </w:divBdr>
            </w:div>
            <w:div w:id="898132475">
              <w:marLeft w:val="0"/>
              <w:marRight w:val="0"/>
              <w:marTop w:val="0"/>
              <w:marBottom w:val="0"/>
              <w:divBdr>
                <w:top w:val="none" w:sz="0" w:space="0" w:color="auto"/>
                <w:left w:val="none" w:sz="0" w:space="0" w:color="auto"/>
                <w:bottom w:val="none" w:sz="0" w:space="0" w:color="auto"/>
                <w:right w:val="none" w:sz="0" w:space="0" w:color="auto"/>
              </w:divBdr>
            </w:div>
            <w:div w:id="1000700900">
              <w:marLeft w:val="0"/>
              <w:marRight w:val="0"/>
              <w:marTop w:val="0"/>
              <w:marBottom w:val="0"/>
              <w:divBdr>
                <w:top w:val="none" w:sz="0" w:space="0" w:color="auto"/>
                <w:left w:val="none" w:sz="0" w:space="0" w:color="auto"/>
                <w:bottom w:val="none" w:sz="0" w:space="0" w:color="auto"/>
                <w:right w:val="none" w:sz="0" w:space="0" w:color="auto"/>
              </w:divBdr>
            </w:div>
            <w:div w:id="1048143821">
              <w:marLeft w:val="0"/>
              <w:marRight w:val="0"/>
              <w:marTop w:val="0"/>
              <w:marBottom w:val="0"/>
              <w:divBdr>
                <w:top w:val="none" w:sz="0" w:space="0" w:color="auto"/>
                <w:left w:val="none" w:sz="0" w:space="0" w:color="auto"/>
                <w:bottom w:val="none" w:sz="0" w:space="0" w:color="auto"/>
                <w:right w:val="none" w:sz="0" w:space="0" w:color="auto"/>
              </w:divBdr>
            </w:div>
            <w:div w:id="1202210611">
              <w:marLeft w:val="0"/>
              <w:marRight w:val="0"/>
              <w:marTop w:val="0"/>
              <w:marBottom w:val="0"/>
              <w:divBdr>
                <w:top w:val="none" w:sz="0" w:space="0" w:color="auto"/>
                <w:left w:val="none" w:sz="0" w:space="0" w:color="auto"/>
                <w:bottom w:val="none" w:sz="0" w:space="0" w:color="auto"/>
                <w:right w:val="none" w:sz="0" w:space="0" w:color="auto"/>
              </w:divBdr>
            </w:div>
            <w:div w:id="1282761589">
              <w:marLeft w:val="0"/>
              <w:marRight w:val="0"/>
              <w:marTop w:val="0"/>
              <w:marBottom w:val="0"/>
              <w:divBdr>
                <w:top w:val="none" w:sz="0" w:space="0" w:color="auto"/>
                <w:left w:val="none" w:sz="0" w:space="0" w:color="auto"/>
                <w:bottom w:val="none" w:sz="0" w:space="0" w:color="auto"/>
                <w:right w:val="none" w:sz="0" w:space="0" w:color="auto"/>
              </w:divBdr>
            </w:div>
            <w:div w:id="1322925105">
              <w:marLeft w:val="0"/>
              <w:marRight w:val="0"/>
              <w:marTop w:val="0"/>
              <w:marBottom w:val="0"/>
              <w:divBdr>
                <w:top w:val="none" w:sz="0" w:space="0" w:color="auto"/>
                <w:left w:val="none" w:sz="0" w:space="0" w:color="auto"/>
                <w:bottom w:val="none" w:sz="0" w:space="0" w:color="auto"/>
                <w:right w:val="none" w:sz="0" w:space="0" w:color="auto"/>
              </w:divBdr>
            </w:div>
            <w:div w:id="1607157108">
              <w:marLeft w:val="0"/>
              <w:marRight w:val="0"/>
              <w:marTop w:val="0"/>
              <w:marBottom w:val="0"/>
              <w:divBdr>
                <w:top w:val="none" w:sz="0" w:space="0" w:color="auto"/>
                <w:left w:val="none" w:sz="0" w:space="0" w:color="auto"/>
                <w:bottom w:val="none" w:sz="0" w:space="0" w:color="auto"/>
                <w:right w:val="none" w:sz="0" w:space="0" w:color="auto"/>
              </w:divBdr>
            </w:div>
            <w:div w:id="1934706051">
              <w:marLeft w:val="0"/>
              <w:marRight w:val="0"/>
              <w:marTop w:val="0"/>
              <w:marBottom w:val="0"/>
              <w:divBdr>
                <w:top w:val="none" w:sz="0" w:space="0" w:color="auto"/>
                <w:left w:val="none" w:sz="0" w:space="0" w:color="auto"/>
                <w:bottom w:val="none" w:sz="0" w:space="0" w:color="auto"/>
                <w:right w:val="none" w:sz="0" w:space="0" w:color="auto"/>
              </w:divBdr>
            </w:div>
            <w:div w:id="1942645688">
              <w:marLeft w:val="0"/>
              <w:marRight w:val="0"/>
              <w:marTop w:val="0"/>
              <w:marBottom w:val="0"/>
              <w:divBdr>
                <w:top w:val="none" w:sz="0" w:space="0" w:color="auto"/>
                <w:left w:val="none" w:sz="0" w:space="0" w:color="auto"/>
                <w:bottom w:val="none" w:sz="0" w:space="0" w:color="auto"/>
                <w:right w:val="none" w:sz="0" w:space="0" w:color="auto"/>
              </w:divBdr>
            </w:div>
            <w:div w:id="1981110973">
              <w:marLeft w:val="0"/>
              <w:marRight w:val="0"/>
              <w:marTop w:val="0"/>
              <w:marBottom w:val="0"/>
              <w:divBdr>
                <w:top w:val="none" w:sz="0" w:space="0" w:color="auto"/>
                <w:left w:val="none" w:sz="0" w:space="0" w:color="auto"/>
                <w:bottom w:val="none" w:sz="0" w:space="0" w:color="auto"/>
                <w:right w:val="none" w:sz="0" w:space="0" w:color="auto"/>
              </w:divBdr>
            </w:div>
            <w:div w:id="1982924548">
              <w:marLeft w:val="0"/>
              <w:marRight w:val="0"/>
              <w:marTop w:val="0"/>
              <w:marBottom w:val="0"/>
              <w:divBdr>
                <w:top w:val="none" w:sz="0" w:space="0" w:color="auto"/>
                <w:left w:val="none" w:sz="0" w:space="0" w:color="auto"/>
                <w:bottom w:val="none" w:sz="0" w:space="0" w:color="auto"/>
                <w:right w:val="none" w:sz="0" w:space="0" w:color="auto"/>
              </w:divBdr>
            </w:div>
          </w:divsChild>
        </w:div>
        <w:div w:id="701052958">
          <w:marLeft w:val="0"/>
          <w:marRight w:val="0"/>
          <w:marTop w:val="0"/>
          <w:marBottom w:val="0"/>
          <w:divBdr>
            <w:top w:val="none" w:sz="0" w:space="0" w:color="auto"/>
            <w:left w:val="none" w:sz="0" w:space="0" w:color="auto"/>
            <w:bottom w:val="none" w:sz="0" w:space="0" w:color="auto"/>
            <w:right w:val="none" w:sz="0" w:space="0" w:color="auto"/>
          </w:divBdr>
          <w:divsChild>
            <w:div w:id="46342030">
              <w:marLeft w:val="0"/>
              <w:marRight w:val="0"/>
              <w:marTop w:val="0"/>
              <w:marBottom w:val="0"/>
              <w:divBdr>
                <w:top w:val="none" w:sz="0" w:space="0" w:color="auto"/>
                <w:left w:val="none" w:sz="0" w:space="0" w:color="auto"/>
                <w:bottom w:val="none" w:sz="0" w:space="0" w:color="auto"/>
                <w:right w:val="none" w:sz="0" w:space="0" w:color="auto"/>
              </w:divBdr>
            </w:div>
            <w:div w:id="552431323">
              <w:marLeft w:val="0"/>
              <w:marRight w:val="0"/>
              <w:marTop w:val="0"/>
              <w:marBottom w:val="0"/>
              <w:divBdr>
                <w:top w:val="none" w:sz="0" w:space="0" w:color="auto"/>
                <w:left w:val="none" w:sz="0" w:space="0" w:color="auto"/>
                <w:bottom w:val="none" w:sz="0" w:space="0" w:color="auto"/>
                <w:right w:val="none" w:sz="0" w:space="0" w:color="auto"/>
              </w:divBdr>
            </w:div>
            <w:div w:id="728576571">
              <w:marLeft w:val="0"/>
              <w:marRight w:val="0"/>
              <w:marTop w:val="0"/>
              <w:marBottom w:val="0"/>
              <w:divBdr>
                <w:top w:val="none" w:sz="0" w:space="0" w:color="auto"/>
                <w:left w:val="none" w:sz="0" w:space="0" w:color="auto"/>
                <w:bottom w:val="none" w:sz="0" w:space="0" w:color="auto"/>
                <w:right w:val="none" w:sz="0" w:space="0" w:color="auto"/>
              </w:divBdr>
            </w:div>
            <w:div w:id="958028590">
              <w:marLeft w:val="0"/>
              <w:marRight w:val="0"/>
              <w:marTop w:val="0"/>
              <w:marBottom w:val="0"/>
              <w:divBdr>
                <w:top w:val="none" w:sz="0" w:space="0" w:color="auto"/>
                <w:left w:val="none" w:sz="0" w:space="0" w:color="auto"/>
                <w:bottom w:val="none" w:sz="0" w:space="0" w:color="auto"/>
                <w:right w:val="none" w:sz="0" w:space="0" w:color="auto"/>
              </w:divBdr>
            </w:div>
          </w:divsChild>
        </w:div>
        <w:div w:id="834540457">
          <w:marLeft w:val="0"/>
          <w:marRight w:val="0"/>
          <w:marTop w:val="0"/>
          <w:marBottom w:val="0"/>
          <w:divBdr>
            <w:top w:val="none" w:sz="0" w:space="0" w:color="auto"/>
            <w:left w:val="none" w:sz="0" w:space="0" w:color="auto"/>
            <w:bottom w:val="none" w:sz="0" w:space="0" w:color="auto"/>
            <w:right w:val="none" w:sz="0" w:space="0" w:color="auto"/>
          </w:divBdr>
          <w:divsChild>
            <w:div w:id="413668628">
              <w:marLeft w:val="-75"/>
              <w:marRight w:val="0"/>
              <w:marTop w:val="30"/>
              <w:marBottom w:val="30"/>
              <w:divBdr>
                <w:top w:val="none" w:sz="0" w:space="0" w:color="auto"/>
                <w:left w:val="none" w:sz="0" w:space="0" w:color="auto"/>
                <w:bottom w:val="none" w:sz="0" w:space="0" w:color="auto"/>
                <w:right w:val="none" w:sz="0" w:space="0" w:color="auto"/>
              </w:divBdr>
              <w:divsChild>
                <w:div w:id="362367040">
                  <w:marLeft w:val="0"/>
                  <w:marRight w:val="0"/>
                  <w:marTop w:val="0"/>
                  <w:marBottom w:val="0"/>
                  <w:divBdr>
                    <w:top w:val="none" w:sz="0" w:space="0" w:color="auto"/>
                    <w:left w:val="none" w:sz="0" w:space="0" w:color="auto"/>
                    <w:bottom w:val="none" w:sz="0" w:space="0" w:color="auto"/>
                    <w:right w:val="none" w:sz="0" w:space="0" w:color="auto"/>
                  </w:divBdr>
                  <w:divsChild>
                    <w:div w:id="1597324348">
                      <w:marLeft w:val="0"/>
                      <w:marRight w:val="0"/>
                      <w:marTop w:val="0"/>
                      <w:marBottom w:val="0"/>
                      <w:divBdr>
                        <w:top w:val="none" w:sz="0" w:space="0" w:color="auto"/>
                        <w:left w:val="none" w:sz="0" w:space="0" w:color="auto"/>
                        <w:bottom w:val="none" w:sz="0" w:space="0" w:color="auto"/>
                        <w:right w:val="none" w:sz="0" w:space="0" w:color="auto"/>
                      </w:divBdr>
                    </w:div>
                    <w:div w:id="1895039944">
                      <w:marLeft w:val="0"/>
                      <w:marRight w:val="0"/>
                      <w:marTop w:val="0"/>
                      <w:marBottom w:val="0"/>
                      <w:divBdr>
                        <w:top w:val="none" w:sz="0" w:space="0" w:color="auto"/>
                        <w:left w:val="none" w:sz="0" w:space="0" w:color="auto"/>
                        <w:bottom w:val="none" w:sz="0" w:space="0" w:color="auto"/>
                        <w:right w:val="none" w:sz="0" w:space="0" w:color="auto"/>
                      </w:divBdr>
                    </w:div>
                  </w:divsChild>
                </w:div>
                <w:div w:id="488519423">
                  <w:marLeft w:val="0"/>
                  <w:marRight w:val="0"/>
                  <w:marTop w:val="0"/>
                  <w:marBottom w:val="0"/>
                  <w:divBdr>
                    <w:top w:val="none" w:sz="0" w:space="0" w:color="auto"/>
                    <w:left w:val="none" w:sz="0" w:space="0" w:color="auto"/>
                    <w:bottom w:val="none" w:sz="0" w:space="0" w:color="auto"/>
                    <w:right w:val="none" w:sz="0" w:space="0" w:color="auto"/>
                  </w:divBdr>
                  <w:divsChild>
                    <w:div w:id="1550998021">
                      <w:marLeft w:val="0"/>
                      <w:marRight w:val="0"/>
                      <w:marTop w:val="0"/>
                      <w:marBottom w:val="0"/>
                      <w:divBdr>
                        <w:top w:val="none" w:sz="0" w:space="0" w:color="auto"/>
                        <w:left w:val="none" w:sz="0" w:space="0" w:color="auto"/>
                        <w:bottom w:val="none" w:sz="0" w:space="0" w:color="auto"/>
                        <w:right w:val="none" w:sz="0" w:space="0" w:color="auto"/>
                      </w:divBdr>
                    </w:div>
                  </w:divsChild>
                </w:div>
                <w:div w:id="506941149">
                  <w:marLeft w:val="0"/>
                  <w:marRight w:val="0"/>
                  <w:marTop w:val="0"/>
                  <w:marBottom w:val="0"/>
                  <w:divBdr>
                    <w:top w:val="none" w:sz="0" w:space="0" w:color="auto"/>
                    <w:left w:val="none" w:sz="0" w:space="0" w:color="auto"/>
                    <w:bottom w:val="none" w:sz="0" w:space="0" w:color="auto"/>
                    <w:right w:val="none" w:sz="0" w:space="0" w:color="auto"/>
                  </w:divBdr>
                  <w:divsChild>
                    <w:div w:id="1845776600">
                      <w:marLeft w:val="0"/>
                      <w:marRight w:val="0"/>
                      <w:marTop w:val="0"/>
                      <w:marBottom w:val="0"/>
                      <w:divBdr>
                        <w:top w:val="none" w:sz="0" w:space="0" w:color="auto"/>
                        <w:left w:val="none" w:sz="0" w:space="0" w:color="auto"/>
                        <w:bottom w:val="none" w:sz="0" w:space="0" w:color="auto"/>
                        <w:right w:val="none" w:sz="0" w:space="0" w:color="auto"/>
                      </w:divBdr>
                    </w:div>
                  </w:divsChild>
                </w:div>
                <w:div w:id="618726206">
                  <w:marLeft w:val="0"/>
                  <w:marRight w:val="0"/>
                  <w:marTop w:val="0"/>
                  <w:marBottom w:val="0"/>
                  <w:divBdr>
                    <w:top w:val="none" w:sz="0" w:space="0" w:color="auto"/>
                    <w:left w:val="none" w:sz="0" w:space="0" w:color="auto"/>
                    <w:bottom w:val="none" w:sz="0" w:space="0" w:color="auto"/>
                    <w:right w:val="none" w:sz="0" w:space="0" w:color="auto"/>
                  </w:divBdr>
                  <w:divsChild>
                    <w:div w:id="307124982">
                      <w:marLeft w:val="0"/>
                      <w:marRight w:val="0"/>
                      <w:marTop w:val="0"/>
                      <w:marBottom w:val="0"/>
                      <w:divBdr>
                        <w:top w:val="none" w:sz="0" w:space="0" w:color="auto"/>
                        <w:left w:val="none" w:sz="0" w:space="0" w:color="auto"/>
                        <w:bottom w:val="none" w:sz="0" w:space="0" w:color="auto"/>
                        <w:right w:val="none" w:sz="0" w:space="0" w:color="auto"/>
                      </w:divBdr>
                    </w:div>
                  </w:divsChild>
                </w:div>
                <w:div w:id="689531861">
                  <w:marLeft w:val="0"/>
                  <w:marRight w:val="0"/>
                  <w:marTop w:val="0"/>
                  <w:marBottom w:val="0"/>
                  <w:divBdr>
                    <w:top w:val="none" w:sz="0" w:space="0" w:color="auto"/>
                    <w:left w:val="none" w:sz="0" w:space="0" w:color="auto"/>
                    <w:bottom w:val="none" w:sz="0" w:space="0" w:color="auto"/>
                    <w:right w:val="none" w:sz="0" w:space="0" w:color="auto"/>
                  </w:divBdr>
                  <w:divsChild>
                    <w:div w:id="443964583">
                      <w:marLeft w:val="0"/>
                      <w:marRight w:val="0"/>
                      <w:marTop w:val="0"/>
                      <w:marBottom w:val="0"/>
                      <w:divBdr>
                        <w:top w:val="none" w:sz="0" w:space="0" w:color="auto"/>
                        <w:left w:val="none" w:sz="0" w:space="0" w:color="auto"/>
                        <w:bottom w:val="none" w:sz="0" w:space="0" w:color="auto"/>
                        <w:right w:val="none" w:sz="0" w:space="0" w:color="auto"/>
                      </w:divBdr>
                    </w:div>
                    <w:div w:id="1957444840">
                      <w:marLeft w:val="0"/>
                      <w:marRight w:val="0"/>
                      <w:marTop w:val="0"/>
                      <w:marBottom w:val="0"/>
                      <w:divBdr>
                        <w:top w:val="none" w:sz="0" w:space="0" w:color="auto"/>
                        <w:left w:val="none" w:sz="0" w:space="0" w:color="auto"/>
                        <w:bottom w:val="none" w:sz="0" w:space="0" w:color="auto"/>
                        <w:right w:val="none" w:sz="0" w:space="0" w:color="auto"/>
                      </w:divBdr>
                    </w:div>
                  </w:divsChild>
                </w:div>
                <w:div w:id="761143977">
                  <w:marLeft w:val="0"/>
                  <w:marRight w:val="0"/>
                  <w:marTop w:val="0"/>
                  <w:marBottom w:val="0"/>
                  <w:divBdr>
                    <w:top w:val="none" w:sz="0" w:space="0" w:color="auto"/>
                    <w:left w:val="none" w:sz="0" w:space="0" w:color="auto"/>
                    <w:bottom w:val="none" w:sz="0" w:space="0" w:color="auto"/>
                    <w:right w:val="none" w:sz="0" w:space="0" w:color="auto"/>
                  </w:divBdr>
                  <w:divsChild>
                    <w:div w:id="1571885899">
                      <w:marLeft w:val="0"/>
                      <w:marRight w:val="0"/>
                      <w:marTop w:val="0"/>
                      <w:marBottom w:val="0"/>
                      <w:divBdr>
                        <w:top w:val="none" w:sz="0" w:space="0" w:color="auto"/>
                        <w:left w:val="none" w:sz="0" w:space="0" w:color="auto"/>
                        <w:bottom w:val="none" w:sz="0" w:space="0" w:color="auto"/>
                        <w:right w:val="none" w:sz="0" w:space="0" w:color="auto"/>
                      </w:divBdr>
                    </w:div>
                  </w:divsChild>
                </w:div>
                <w:div w:id="815607531">
                  <w:marLeft w:val="0"/>
                  <w:marRight w:val="0"/>
                  <w:marTop w:val="0"/>
                  <w:marBottom w:val="0"/>
                  <w:divBdr>
                    <w:top w:val="none" w:sz="0" w:space="0" w:color="auto"/>
                    <w:left w:val="none" w:sz="0" w:space="0" w:color="auto"/>
                    <w:bottom w:val="none" w:sz="0" w:space="0" w:color="auto"/>
                    <w:right w:val="none" w:sz="0" w:space="0" w:color="auto"/>
                  </w:divBdr>
                  <w:divsChild>
                    <w:div w:id="1605503798">
                      <w:marLeft w:val="0"/>
                      <w:marRight w:val="0"/>
                      <w:marTop w:val="0"/>
                      <w:marBottom w:val="0"/>
                      <w:divBdr>
                        <w:top w:val="none" w:sz="0" w:space="0" w:color="auto"/>
                        <w:left w:val="none" w:sz="0" w:space="0" w:color="auto"/>
                        <w:bottom w:val="none" w:sz="0" w:space="0" w:color="auto"/>
                        <w:right w:val="none" w:sz="0" w:space="0" w:color="auto"/>
                      </w:divBdr>
                    </w:div>
                  </w:divsChild>
                </w:div>
                <w:div w:id="961228692">
                  <w:marLeft w:val="0"/>
                  <w:marRight w:val="0"/>
                  <w:marTop w:val="0"/>
                  <w:marBottom w:val="0"/>
                  <w:divBdr>
                    <w:top w:val="none" w:sz="0" w:space="0" w:color="auto"/>
                    <w:left w:val="none" w:sz="0" w:space="0" w:color="auto"/>
                    <w:bottom w:val="none" w:sz="0" w:space="0" w:color="auto"/>
                    <w:right w:val="none" w:sz="0" w:space="0" w:color="auto"/>
                  </w:divBdr>
                  <w:divsChild>
                    <w:div w:id="115148899">
                      <w:marLeft w:val="0"/>
                      <w:marRight w:val="0"/>
                      <w:marTop w:val="0"/>
                      <w:marBottom w:val="0"/>
                      <w:divBdr>
                        <w:top w:val="none" w:sz="0" w:space="0" w:color="auto"/>
                        <w:left w:val="none" w:sz="0" w:space="0" w:color="auto"/>
                        <w:bottom w:val="none" w:sz="0" w:space="0" w:color="auto"/>
                        <w:right w:val="none" w:sz="0" w:space="0" w:color="auto"/>
                      </w:divBdr>
                    </w:div>
                  </w:divsChild>
                </w:div>
                <w:div w:id="1420567126">
                  <w:marLeft w:val="0"/>
                  <w:marRight w:val="0"/>
                  <w:marTop w:val="0"/>
                  <w:marBottom w:val="0"/>
                  <w:divBdr>
                    <w:top w:val="none" w:sz="0" w:space="0" w:color="auto"/>
                    <w:left w:val="none" w:sz="0" w:space="0" w:color="auto"/>
                    <w:bottom w:val="none" w:sz="0" w:space="0" w:color="auto"/>
                    <w:right w:val="none" w:sz="0" w:space="0" w:color="auto"/>
                  </w:divBdr>
                  <w:divsChild>
                    <w:div w:id="784809620">
                      <w:marLeft w:val="0"/>
                      <w:marRight w:val="0"/>
                      <w:marTop w:val="0"/>
                      <w:marBottom w:val="0"/>
                      <w:divBdr>
                        <w:top w:val="none" w:sz="0" w:space="0" w:color="auto"/>
                        <w:left w:val="none" w:sz="0" w:space="0" w:color="auto"/>
                        <w:bottom w:val="none" w:sz="0" w:space="0" w:color="auto"/>
                        <w:right w:val="none" w:sz="0" w:space="0" w:color="auto"/>
                      </w:divBdr>
                    </w:div>
                  </w:divsChild>
                </w:div>
                <w:div w:id="1457985043">
                  <w:marLeft w:val="0"/>
                  <w:marRight w:val="0"/>
                  <w:marTop w:val="0"/>
                  <w:marBottom w:val="0"/>
                  <w:divBdr>
                    <w:top w:val="none" w:sz="0" w:space="0" w:color="auto"/>
                    <w:left w:val="none" w:sz="0" w:space="0" w:color="auto"/>
                    <w:bottom w:val="none" w:sz="0" w:space="0" w:color="auto"/>
                    <w:right w:val="none" w:sz="0" w:space="0" w:color="auto"/>
                  </w:divBdr>
                  <w:divsChild>
                    <w:div w:id="1230574799">
                      <w:marLeft w:val="0"/>
                      <w:marRight w:val="0"/>
                      <w:marTop w:val="0"/>
                      <w:marBottom w:val="0"/>
                      <w:divBdr>
                        <w:top w:val="none" w:sz="0" w:space="0" w:color="auto"/>
                        <w:left w:val="none" w:sz="0" w:space="0" w:color="auto"/>
                        <w:bottom w:val="none" w:sz="0" w:space="0" w:color="auto"/>
                        <w:right w:val="none" w:sz="0" w:space="0" w:color="auto"/>
                      </w:divBdr>
                    </w:div>
                  </w:divsChild>
                </w:div>
                <w:div w:id="1494104340">
                  <w:marLeft w:val="0"/>
                  <w:marRight w:val="0"/>
                  <w:marTop w:val="0"/>
                  <w:marBottom w:val="0"/>
                  <w:divBdr>
                    <w:top w:val="none" w:sz="0" w:space="0" w:color="auto"/>
                    <w:left w:val="none" w:sz="0" w:space="0" w:color="auto"/>
                    <w:bottom w:val="none" w:sz="0" w:space="0" w:color="auto"/>
                    <w:right w:val="none" w:sz="0" w:space="0" w:color="auto"/>
                  </w:divBdr>
                  <w:divsChild>
                    <w:div w:id="967784501">
                      <w:marLeft w:val="0"/>
                      <w:marRight w:val="0"/>
                      <w:marTop w:val="0"/>
                      <w:marBottom w:val="0"/>
                      <w:divBdr>
                        <w:top w:val="none" w:sz="0" w:space="0" w:color="auto"/>
                        <w:left w:val="none" w:sz="0" w:space="0" w:color="auto"/>
                        <w:bottom w:val="none" w:sz="0" w:space="0" w:color="auto"/>
                        <w:right w:val="none" w:sz="0" w:space="0" w:color="auto"/>
                      </w:divBdr>
                    </w:div>
                  </w:divsChild>
                </w:div>
                <w:div w:id="2059551607">
                  <w:marLeft w:val="0"/>
                  <w:marRight w:val="0"/>
                  <w:marTop w:val="0"/>
                  <w:marBottom w:val="0"/>
                  <w:divBdr>
                    <w:top w:val="none" w:sz="0" w:space="0" w:color="auto"/>
                    <w:left w:val="none" w:sz="0" w:space="0" w:color="auto"/>
                    <w:bottom w:val="none" w:sz="0" w:space="0" w:color="auto"/>
                    <w:right w:val="none" w:sz="0" w:space="0" w:color="auto"/>
                  </w:divBdr>
                  <w:divsChild>
                    <w:div w:id="470288011">
                      <w:marLeft w:val="0"/>
                      <w:marRight w:val="0"/>
                      <w:marTop w:val="0"/>
                      <w:marBottom w:val="0"/>
                      <w:divBdr>
                        <w:top w:val="none" w:sz="0" w:space="0" w:color="auto"/>
                        <w:left w:val="none" w:sz="0" w:space="0" w:color="auto"/>
                        <w:bottom w:val="none" w:sz="0" w:space="0" w:color="auto"/>
                        <w:right w:val="none" w:sz="0" w:space="0" w:color="auto"/>
                      </w:divBdr>
                    </w:div>
                    <w:div w:id="1542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93880">
          <w:marLeft w:val="0"/>
          <w:marRight w:val="0"/>
          <w:marTop w:val="0"/>
          <w:marBottom w:val="0"/>
          <w:divBdr>
            <w:top w:val="none" w:sz="0" w:space="0" w:color="auto"/>
            <w:left w:val="none" w:sz="0" w:space="0" w:color="auto"/>
            <w:bottom w:val="none" w:sz="0" w:space="0" w:color="auto"/>
            <w:right w:val="none" w:sz="0" w:space="0" w:color="auto"/>
          </w:divBdr>
          <w:divsChild>
            <w:div w:id="665937689">
              <w:marLeft w:val="0"/>
              <w:marRight w:val="0"/>
              <w:marTop w:val="0"/>
              <w:marBottom w:val="0"/>
              <w:divBdr>
                <w:top w:val="none" w:sz="0" w:space="0" w:color="auto"/>
                <w:left w:val="none" w:sz="0" w:space="0" w:color="auto"/>
                <w:bottom w:val="none" w:sz="0" w:space="0" w:color="auto"/>
                <w:right w:val="none" w:sz="0" w:space="0" w:color="auto"/>
              </w:divBdr>
            </w:div>
          </w:divsChild>
        </w:div>
        <w:div w:id="1766027831">
          <w:marLeft w:val="0"/>
          <w:marRight w:val="0"/>
          <w:marTop w:val="0"/>
          <w:marBottom w:val="0"/>
          <w:divBdr>
            <w:top w:val="none" w:sz="0" w:space="0" w:color="auto"/>
            <w:left w:val="none" w:sz="0" w:space="0" w:color="auto"/>
            <w:bottom w:val="none" w:sz="0" w:space="0" w:color="auto"/>
            <w:right w:val="none" w:sz="0" w:space="0" w:color="auto"/>
          </w:divBdr>
        </w:div>
        <w:div w:id="1907639765">
          <w:marLeft w:val="0"/>
          <w:marRight w:val="0"/>
          <w:marTop w:val="0"/>
          <w:marBottom w:val="0"/>
          <w:divBdr>
            <w:top w:val="none" w:sz="0" w:space="0" w:color="auto"/>
            <w:left w:val="none" w:sz="0" w:space="0" w:color="auto"/>
            <w:bottom w:val="none" w:sz="0" w:space="0" w:color="auto"/>
            <w:right w:val="none" w:sz="0" w:space="0" w:color="auto"/>
          </w:divBdr>
          <w:divsChild>
            <w:div w:id="601910983">
              <w:marLeft w:val="0"/>
              <w:marRight w:val="0"/>
              <w:marTop w:val="0"/>
              <w:marBottom w:val="0"/>
              <w:divBdr>
                <w:top w:val="none" w:sz="0" w:space="0" w:color="auto"/>
                <w:left w:val="none" w:sz="0" w:space="0" w:color="auto"/>
                <w:bottom w:val="none" w:sz="0" w:space="0" w:color="auto"/>
                <w:right w:val="none" w:sz="0" w:space="0" w:color="auto"/>
              </w:divBdr>
            </w:div>
            <w:div w:id="723069054">
              <w:marLeft w:val="0"/>
              <w:marRight w:val="0"/>
              <w:marTop w:val="0"/>
              <w:marBottom w:val="0"/>
              <w:divBdr>
                <w:top w:val="none" w:sz="0" w:space="0" w:color="auto"/>
                <w:left w:val="none" w:sz="0" w:space="0" w:color="auto"/>
                <w:bottom w:val="none" w:sz="0" w:space="0" w:color="auto"/>
                <w:right w:val="none" w:sz="0" w:space="0" w:color="auto"/>
              </w:divBdr>
            </w:div>
            <w:div w:id="1312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7200">
      <w:bodyDiv w:val="1"/>
      <w:marLeft w:val="0"/>
      <w:marRight w:val="0"/>
      <w:marTop w:val="0"/>
      <w:marBottom w:val="0"/>
      <w:divBdr>
        <w:top w:val="none" w:sz="0" w:space="0" w:color="auto"/>
        <w:left w:val="none" w:sz="0" w:space="0" w:color="auto"/>
        <w:bottom w:val="none" w:sz="0" w:space="0" w:color="auto"/>
        <w:right w:val="none" w:sz="0" w:space="0" w:color="auto"/>
      </w:divBdr>
      <w:divsChild>
        <w:div w:id="137307604">
          <w:marLeft w:val="0"/>
          <w:marRight w:val="0"/>
          <w:marTop w:val="0"/>
          <w:marBottom w:val="0"/>
          <w:divBdr>
            <w:top w:val="none" w:sz="0" w:space="0" w:color="auto"/>
            <w:left w:val="none" w:sz="0" w:space="0" w:color="auto"/>
            <w:bottom w:val="none" w:sz="0" w:space="0" w:color="auto"/>
            <w:right w:val="none" w:sz="0" w:space="0" w:color="auto"/>
          </w:divBdr>
        </w:div>
        <w:div w:id="235166415">
          <w:marLeft w:val="0"/>
          <w:marRight w:val="0"/>
          <w:marTop w:val="0"/>
          <w:marBottom w:val="0"/>
          <w:divBdr>
            <w:top w:val="none" w:sz="0" w:space="0" w:color="auto"/>
            <w:left w:val="none" w:sz="0" w:space="0" w:color="auto"/>
            <w:bottom w:val="none" w:sz="0" w:space="0" w:color="auto"/>
            <w:right w:val="none" w:sz="0" w:space="0" w:color="auto"/>
          </w:divBdr>
        </w:div>
        <w:div w:id="273051708">
          <w:marLeft w:val="0"/>
          <w:marRight w:val="0"/>
          <w:marTop w:val="0"/>
          <w:marBottom w:val="0"/>
          <w:divBdr>
            <w:top w:val="none" w:sz="0" w:space="0" w:color="auto"/>
            <w:left w:val="none" w:sz="0" w:space="0" w:color="auto"/>
            <w:bottom w:val="none" w:sz="0" w:space="0" w:color="auto"/>
            <w:right w:val="none" w:sz="0" w:space="0" w:color="auto"/>
          </w:divBdr>
        </w:div>
        <w:div w:id="768888267">
          <w:marLeft w:val="0"/>
          <w:marRight w:val="0"/>
          <w:marTop w:val="0"/>
          <w:marBottom w:val="0"/>
          <w:divBdr>
            <w:top w:val="none" w:sz="0" w:space="0" w:color="auto"/>
            <w:left w:val="none" w:sz="0" w:space="0" w:color="auto"/>
            <w:bottom w:val="none" w:sz="0" w:space="0" w:color="auto"/>
            <w:right w:val="none" w:sz="0" w:space="0" w:color="auto"/>
          </w:divBdr>
        </w:div>
        <w:div w:id="817192733">
          <w:marLeft w:val="0"/>
          <w:marRight w:val="0"/>
          <w:marTop w:val="0"/>
          <w:marBottom w:val="0"/>
          <w:divBdr>
            <w:top w:val="none" w:sz="0" w:space="0" w:color="auto"/>
            <w:left w:val="none" w:sz="0" w:space="0" w:color="auto"/>
            <w:bottom w:val="none" w:sz="0" w:space="0" w:color="auto"/>
            <w:right w:val="none" w:sz="0" w:space="0" w:color="auto"/>
          </w:divBdr>
        </w:div>
        <w:div w:id="897206627">
          <w:marLeft w:val="0"/>
          <w:marRight w:val="0"/>
          <w:marTop w:val="0"/>
          <w:marBottom w:val="0"/>
          <w:divBdr>
            <w:top w:val="none" w:sz="0" w:space="0" w:color="auto"/>
            <w:left w:val="none" w:sz="0" w:space="0" w:color="auto"/>
            <w:bottom w:val="none" w:sz="0" w:space="0" w:color="auto"/>
            <w:right w:val="none" w:sz="0" w:space="0" w:color="auto"/>
          </w:divBdr>
        </w:div>
        <w:div w:id="1320419992">
          <w:marLeft w:val="0"/>
          <w:marRight w:val="0"/>
          <w:marTop w:val="0"/>
          <w:marBottom w:val="0"/>
          <w:divBdr>
            <w:top w:val="none" w:sz="0" w:space="0" w:color="auto"/>
            <w:left w:val="none" w:sz="0" w:space="0" w:color="auto"/>
            <w:bottom w:val="none" w:sz="0" w:space="0" w:color="auto"/>
            <w:right w:val="none" w:sz="0" w:space="0" w:color="auto"/>
          </w:divBdr>
        </w:div>
        <w:div w:id="1723208586">
          <w:marLeft w:val="0"/>
          <w:marRight w:val="0"/>
          <w:marTop w:val="0"/>
          <w:marBottom w:val="0"/>
          <w:divBdr>
            <w:top w:val="none" w:sz="0" w:space="0" w:color="auto"/>
            <w:left w:val="none" w:sz="0" w:space="0" w:color="auto"/>
            <w:bottom w:val="none" w:sz="0" w:space="0" w:color="auto"/>
            <w:right w:val="none" w:sz="0" w:space="0" w:color="auto"/>
          </w:divBdr>
        </w:div>
        <w:div w:id="1774277565">
          <w:marLeft w:val="0"/>
          <w:marRight w:val="0"/>
          <w:marTop w:val="0"/>
          <w:marBottom w:val="0"/>
          <w:divBdr>
            <w:top w:val="none" w:sz="0" w:space="0" w:color="auto"/>
            <w:left w:val="none" w:sz="0" w:space="0" w:color="auto"/>
            <w:bottom w:val="none" w:sz="0" w:space="0" w:color="auto"/>
            <w:right w:val="none" w:sz="0" w:space="0" w:color="auto"/>
          </w:divBdr>
        </w:div>
        <w:div w:id="1927035590">
          <w:marLeft w:val="0"/>
          <w:marRight w:val="0"/>
          <w:marTop w:val="0"/>
          <w:marBottom w:val="0"/>
          <w:divBdr>
            <w:top w:val="none" w:sz="0" w:space="0" w:color="auto"/>
            <w:left w:val="none" w:sz="0" w:space="0" w:color="auto"/>
            <w:bottom w:val="none" w:sz="0" w:space="0" w:color="auto"/>
            <w:right w:val="none" w:sz="0" w:space="0" w:color="auto"/>
          </w:divBdr>
        </w:div>
      </w:divsChild>
    </w:div>
    <w:div w:id="1298530948">
      <w:bodyDiv w:val="1"/>
      <w:marLeft w:val="0"/>
      <w:marRight w:val="0"/>
      <w:marTop w:val="0"/>
      <w:marBottom w:val="0"/>
      <w:divBdr>
        <w:top w:val="none" w:sz="0" w:space="0" w:color="auto"/>
        <w:left w:val="none" w:sz="0" w:space="0" w:color="auto"/>
        <w:bottom w:val="none" w:sz="0" w:space="0" w:color="auto"/>
        <w:right w:val="none" w:sz="0" w:space="0" w:color="auto"/>
      </w:divBdr>
      <w:divsChild>
        <w:div w:id="178741714">
          <w:marLeft w:val="893"/>
          <w:marRight w:val="0"/>
          <w:marTop w:val="0"/>
          <w:marBottom w:val="120"/>
          <w:divBdr>
            <w:top w:val="none" w:sz="0" w:space="0" w:color="auto"/>
            <w:left w:val="none" w:sz="0" w:space="0" w:color="auto"/>
            <w:bottom w:val="none" w:sz="0" w:space="0" w:color="auto"/>
            <w:right w:val="none" w:sz="0" w:space="0" w:color="auto"/>
          </w:divBdr>
        </w:div>
        <w:div w:id="348071773">
          <w:marLeft w:val="893"/>
          <w:marRight w:val="0"/>
          <w:marTop w:val="0"/>
          <w:marBottom w:val="120"/>
          <w:divBdr>
            <w:top w:val="none" w:sz="0" w:space="0" w:color="auto"/>
            <w:left w:val="none" w:sz="0" w:space="0" w:color="auto"/>
            <w:bottom w:val="none" w:sz="0" w:space="0" w:color="auto"/>
            <w:right w:val="none" w:sz="0" w:space="0" w:color="auto"/>
          </w:divBdr>
        </w:div>
        <w:div w:id="492993640">
          <w:marLeft w:val="893"/>
          <w:marRight w:val="0"/>
          <w:marTop w:val="0"/>
          <w:marBottom w:val="120"/>
          <w:divBdr>
            <w:top w:val="none" w:sz="0" w:space="0" w:color="auto"/>
            <w:left w:val="none" w:sz="0" w:space="0" w:color="auto"/>
            <w:bottom w:val="none" w:sz="0" w:space="0" w:color="auto"/>
            <w:right w:val="none" w:sz="0" w:space="0" w:color="auto"/>
          </w:divBdr>
        </w:div>
        <w:div w:id="1413352589">
          <w:marLeft w:val="893"/>
          <w:marRight w:val="0"/>
          <w:marTop w:val="0"/>
          <w:marBottom w:val="120"/>
          <w:divBdr>
            <w:top w:val="none" w:sz="0" w:space="0" w:color="auto"/>
            <w:left w:val="none" w:sz="0" w:space="0" w:color="auto"/>
            <w:bottom w:val="none" w:sz="0" w:space="0" w:color="auto"/>
            <w:right w:val="none" w:sz="0" w:space="0" w:color="auto"/>
          </w:divBdr>
        </w:div>
        <w:div w:id="1920748333">
          <w:marLeft w:val="893"/>
          <w:marRight w:val="0"/>
          <w:marTop w:val="0"/>
          <w:marBottom w:val="120"/>
          <w:divBdr>
            <w:top w:val="none" w:sz="0" w:space="0" w:color="auto"/>
            <w:left w:val="none" w:sz="0" w:space="0" w:color="auto"/>
            <w:bottom w:val="none" w:sz="0" w:space="0" w:color="auto"/>
            <w:right w:val="none" w:sz="0" w:space="0" w:color="auto"/>
          </w:divBdr>
        </w:div>
        <w:div w:id="1932426844">
          <w:marLeft w:val="893"/>
          <w:marRight w:val="0"/>
          <w:marTop w:val="0"/>
          <w:marBottom w:val="120"/>
          <w:divBdr>
            <w:top w:val="none" w:sz="0" w:space="0" w:color="auto"/>
            <w:left w:val="none" w:sz="0" w:space="0" w:color="auto"/>
            <w:bottom w:val="none" w:sz="0" w:space="0" w:color="auto"/>
            <w:right w:val="none" w:sz="0" w:space="0" w:color="auto"/>
          </w:divBdr>
        </w:div>
      </w:divsChild>
    </w:div>
    <w:div w:id="1312827170">
      <w:bodyDiv w:val="1"/>
      <w:marLeft w:val="0"/>
      <w:marRight w:val="0"/>
      <w:marTop w:val="0"/>
      <w:marBottom w:val="0"/>
      <w:divBdr>
        <w:top w:val="none" w:sz="0" w:space="0" w:color="auto"/>
        <w:left w:val="none" w:sz="0" w:space="0" w:color="auto"/>
        <w:bottom w:val="none" w:sz="0" w:space="0" w:color="auto"/>
        <w:right w:val="none" w:sz="0" w:space="0" w:color="auto"/>
      </w:divBdr>
    </w:div>
    <w:div w:id="1327978564">
      <w:bodyDiv w:val="1"/>
      <w:marLeft w:val="0"/>
      <w:marRight w:val="0"/>
      <w:marTop w:val="0"/>
      <w:marBottom w:val="0"/>
      <w:divBdr>
        <w:top w:val="none" w:sz="0" w:space="0" w:color="auto"/>
        <w:left w:val="none" w:sz="0" w:space="0" w:color="auto"/>
        <w:bottom w:val="none" w:sz="0" w:space="0" w:color="auto"/>
        <w:right w:val="none" w:sz="0" w:space="0" w:color="auto"/>
      </w:divBdr>
    </w:div>
    <w:div w:id="1330861875">
      <w:bodyDiv w:val="1"/>
      <w:marLeft w:val="0"/>
      <w:marRight w:val="0"/>
      <w:marTop w:val="0"/>
      <w:marBottom w:val="0"/>
      <w:divBdr>
        <w:top w:val="none" w:sz="0" w:space="0" w:color="auto"/>
        <w:left w:val="none" w:sz="0" w:space="0" w:color="auto"/>
        <w:bottom w:val="none" w:sz="0" w:space="0" w:color="auto"/>
        <w:right w:val="none" w:sz="0" w:space="0" w:color="auto"/>
      </w:divBdr>
    </w:div>
    <w:div w:id="1364549247">
      <w:bodyDiv w:val="1"/>
      <w:marLeft w:val="0"/>
      <w:marRight w:val="0"/>
      <w:marTop w:val="0"/>
      <w:marBottom w:val="0"/>
      <w:divBdr>
        <w:top w:val="none" w:sz="0" w:space="0" w:color="auto"/>
        <w:left w:val="none" w:sz="0" w:space="0" w:color="auto"/>
        <w:bottom w:val="none" w:sz="0" w:space="0" w:color="auto"/>
        <w:right w:val="none" w:sz="0" w:space="0" w:color="auto"/>
      </w:divBdr>
      <w:divsChild>
        <w:div w:id="794297483">
          <w:marLeft w:val="0"/>
          <w:marRight w:val="0"/>
          <w:marTop w:val="0"/>
          <w:marBottom w:val="0"/>
          <w:divBdr>
            <w:top w:val="none" w:sz="0" w:space="0" w:color="auto"/>
            <w:left w:val="none" w:sz="0" w:space="0" w:color="auto"/>
            <w:bottom w:val="none" w:sz="0" w:space="0" w:color="auto"/>
            <w:right w:val="none" w:sz="0" w:space="0" w:color="auto"/>
          </w:divBdr>
          <w:divsChild>
            <w:div w:id="378864075">
              <w:marLeft w:val="0"/>
              <w:marRight w:val="0"/>
              <w:marTop w:val="0"/>
              <w:marBottom w:val="0"/>
              <w:divBdr>
                <w:top w:val="none" w:sz="0" w:space="0" w:color="auto"/>
                <w:left w:val="none" w:sz="0" w:space="0" w:color="auto"/>
                <w:bottom w:val="none" w:sz="0" w:space="0" w:color="auto"/>
                <w:right w:val="none" w:sz="0" w:space="0" w:color="auto"/>
              </w:divBdr>
            </w:div>
            <w:div w:id="415395635">
              <w:marLeft w:val="0"/>
              <w:marRight w:val="0"/>
              <w:marTop w:val="0"/>
              <w:marBottom w:val="0"/>
              <w:divBdr>
                <w:top w:val="none" w:sz="0" w:space="0" w:color="auto"/>
                <w:left w:val="none" w:sz="0" w:space="0" w:color="auto"/>
                <w:bottom w:val="none" w:sz="0" w:space="0" w:color="auto"/>
                <w:right w:val="none" w:sz="0" w:space="0" w:color="auto"/>
              </w:divBdr>
            </w:div>
            <w:div w:id="1152603579">
              <w:marLeft w:val="0"/>
              <w:marRight w:val="0"/>
              <w:marTop w:val="0"/>
              <w:marBottom w:val="0"/>
              <w:divBdr>
                <w:top w:val="none" w:sz="0" w:space="0" w:color="auto"/>
                <w:left w:val="none" w:sz="0" w:space="0" w:color="auto"/>
                <w:bottom w:val="none" w:sz="0" w:space="0" w:color="auto"/>
                <w:right w:val="none" w:sz="0" w:space="0" w:color="auto"/>
              </w:divBdr>
            </w:div>
          </w:divsChild>
        </w:div>
        <w:div w:id="1291518330">
          <w:marLeft w:val="0"/>
          <w:marRight w:val="0"/>
          <w:marTop w:val="0"/>
          <w:marBottom w:val="0"/>
          <w:divBdr>
            <w:top w:val="none" w:sz="0" w:space="0" w:color="auto"/>
            <w:left w:val="none" w:sz="0" w:space="0" w:color="auto"/>
            <w:bottom w:val="none" w:sz="0" w:space="0" w:color="auto"/>
            <w:right w:val="none" w:sz="0" w:space="0" w:color="auto"/>
          </w:divBdr>
          <w:divsChild>
            <w:div w:id="358747212">
              <w:marLeft w:val="0"/>
              <w:marRight w:val="0"/>
              <w:marTop w:val="0"/>
              <w:marBottom w:val="0"/>
              <w:divBdr>
                <w:top w:val="none" w:sz="0" w:space="0" w:color="auto"/>
                <w:left w:val="none" w:sz="0" w:space="0" w:color="auto"/>
                <w:bottom w:val="none" w:sz="0" w:space="0" w:color="auto"/>
                <w:right w:val="none" w:sz="0" w:space="0" w:color="auto"/>
              </w:divBdr>
            </w:div>
            <w:div w:id="1718355602">
              <w:marLeft w:val="0"/>
              <w:marRight w:val="0"/>
              <w:marTop w:val="0"/>
              <w:marBottom w:val="0"/>
              <w:divBdr>
                <w:top w:val="none" w:sz="0" w:space="0" w:color="auto"/>
                <w:left w:val="none" w:sz="0" w:space="0" w:color="auto"/>
                <w:bottom w:val="none" w:sz="0" w:space="0" w:color="auto"/>
                <w:right w:val="none" w:sz="0" w:space="0" w:color="auto"/>
              </w:divBdr>
            </w:div>
            <w:div w:id="20205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41842">
      <w:bodyDiv w:val="1"/>
      <w:marLeft w:val="0"/>
      <w:marRight w:val="0"/>
      <w:marTop w:val="0"/>
      <w:marBottom w:val="0"/>
      <w:divBdr>
        <w:top w:val="none" w:sz="0" w:space="0" w:color="auto"/>
        <w:left w:val="none" w:sz="0" w:space="0" w:color="auto"/>
        <w:bottom w:val="none" w:sz="0" w:space="0" w:color="auto"/>
        <w:right w:val="none" w:sz="0" w:space="0" w:color="auto"/>
      </w:divBdr>
    </w:div>
    <w:div w:id="1414089468">
      <w:bodyDiv w:val="1"/>
      <w:marLeft w:val="0"/>
      <w:marRight w:val="0"/>
      <w:marTop w:val="0"/>
      <w:marBottom w:val="0"/>
      <w:divBdr>
        <w:top w:val="none" w:sz="0" w:space="0" w:color="auto"/>
        <w:left w:val="none" w:sz="0" w:space="0" w:color="auto"/>
        <w:bottom w:val="none" w:sz="0" w:space="0" w:color="auto"/>
        <w:right w:val="none" w:sz="0" w:space="0" w:color="auto"/>
      </w:divBdr>
      <w:divsChild>
        <w:div w:id="165555645">
          <w:marLeft w:val="893"/>
          <w:marRight w:val="0"/>
          <w:marTop w:val="0"/>
          <w:marBottom w:val="120"/>
          <w:divBdr>
            <w:top w:val="none" w:sz="0" w:space="0" w:color="auto"/>
            <w:left w:val="none" w:sz="0" w:space="0" w:color="auto"/>
            <w:bottom w:val="none" w:sz="0" w:space="0" w:color="auto"/>
            <w:right w:val="none" w:sz="0" w:space="0" w:color="auto"/>
          </w:divBdr>
        </w:div>
        <w:div w:id="549728742">
          <w:marLeft w:val="893"/>
          <w:marRight w:val="0"/>
          <w:marTop w:val="0"/>
          <w:marBottom w:val="120"/>
          <w:divBdr>
            <w:top w:val="none" w:sz="0" w:space="0" w:color="auto"/>
            <w:left w:val="none" w:sz="0" w:space="0" w:color="auto"/>
            <w:bottom w:val="none" w:sz="0" w:space="0" w:color="auto"/>
            <w:right w:val="none" w:sz="0" w:space="0" w:color="auto"/>
          </w:divBdr>
        </w:div>
        <w:div w:id="955910196">
          <w:marLeft w:val="893"/>
          <w:marRight w:val="0"/>
          <w:marTop w:val="0"/>
          <w:marBottom w:val="120"/>
          <w:divBdr>
            <w:top w:val="none" w:sz="0" w:space="0" w:color="auto"/>
            <w:left w:val="none" w:sz="0" w:space="0" w:color="auto"/>
            <w:bottom w:val="none" w:sz="0" w:space="0" w:color="auto"/>
            <w:right w:val="none" w:sz="0" w:space="0" w:color="auto"/>
          </w:divBdr>
        </w:div>
        <w:div w:id="1595166657">
          <w:marLeft w:val="893"/>
          <w:marRight w:val="0"/>
          <w:marTop w:val="0"/>
          <w:marBottom w:val="120"/>
          <w:divBdr>
            <w:top w:val="none" w:sz="0" w:space="0" w:color="auto"/>
            <w:left w:val="none" w:sz="0" w:space="0" w:color="auto"/>
            <w:bottom w:val="none" w:sz="0" w:space="0" w:color="auto"/>
            <w:right w:val="none" w:sz="0" w:space="0" w:color="auto"/>
          </w:divBdr>
        </w:div>
        <w:div w:id="1683319763">
          <w:marLeft w:val="893"/>
          <w:marRight w:val="0"/>
          <w:marTop w:val="0"/>
          <w:marBottom w:val="120"/>
          <w:divBdr>
            <w:top w:val="none" w:sz="0" w:space="0" w:color="auto"/>
            <w:left w:val="none" w:sz="0" w:space="0" w:color="auto"/>
            <w:bottom w:val="none" w:sz="0" w:space="0" w:color="auto"/>
            <w:right w:val="none" w:sz="0" w:space="0" w:color="auto"/>
          </w:divBdr>
        </w:div>
        <w:div w:id="1785883668">
          <w:marLeft w:val="893"/>
          <w:marRight w:val="0"/>
          <w:marTop w:val="0"/>
          <w:marBottom w:val="120"/>
          <w:divBdr>
            <w:top w:val="none" w:sz="0" w:space="0" w:color="auto"/>
            <w:left w:val="none" w:sz="0" w:space="0" w:color="auto"/>
            <w:bottom w:val="none" w:sz="0" w:space="0" w:color="auto"/>
            <w:right w:val="none" w:sz="0" w:space="0" w:color="auto"/>
          </w:divBdr>
        </w:div>
      </w:divsChild>
    </w:div>
    <w:div w:id="1455638033">
      <w:bodyDiv w:val="1"/>
      <w:marLeft w:val="0"/>
      <w:marRight w:val="0"/>
      <w:marTop w:val="0"/>
      <w:marBottom w:val="0"/>
      <w:divBdr>
        <w:top w:val="none" w:sz="0" w:space="0" w:color="auto"/>
        <w:left w:val="none" w:sz="0" w:space="0" w:color="auto"/>
        <w:bottom w:val="none" w:sz="0" w:space="0" w:color="auto"/>
        <w:right w:val="none" w:sz="0" w:space="0" w:color="auto"/>
      </w:divBdr>
    </w:div>
    <w:div w:id="1461026533">
      <w:bodyDiv w:val="1"/>
      <w:marLeft w:val="0"/>
      <w:marRight w:val="0"/>
      <w:marTop w:val="0"/>
      <w:marBottom w:val="0"/>
      <w:divBdr>
        <w:top w:val="none" w:sz="0" w:space="0" w:color="auto"/>
        <w:left w:val="none" w:sz="0" w:space="0" w:color="auto"/>
        <w:bottom w:val="none" w:sz="0" w:space="0" w:color="auto"/>
        <w:right w:val="none" w:sz="0" w:space="0" w:color="auto"/>
      </w:divBdr>
    </w:div>
    <w:div w:id="1486556239">
      <w:bodyDiv w:val="1"/>
      <w:marLeft w:val="0"/>
      <w:marRight w:val="0"/>
      <w:marTop w:val="0"/>
      <w:marBottom w:val="0"/>
      <w:divBdr>
        <w:top w:val="none" w:sz="0" w:space="0" w:color="auto"/>
        <w:left w:val="none" w:sz="0" w:space="0" w:color="auto"/>
        <w:bottom w:val="none" w:sz="0" w:space="0" w:color="auto"/>
        <w:right w:val="none" w:sz="0" w:space="0" w:color="auto"/>
      </w:divBdr>
    </w:div>
    <w:div w:id="1486701665">
      <w:bodyDiv w:val="1"/>
      <w:marLeft w:val="0"/>
      <w:marRight w:val="0"/>
      <w:marTop w:val="0"/>
      <w:marBottom w:val="0"/>
      <w:divBdr>
        <w:top w:val="none" w:sz="0" w:space="0" w:color="auto"/>
        <w:left w:val="none" w:sz="0" w:space="0" w:color="auto"/>
        <w:bottom w:val="none" w:sz="0" w:space="0" w:color="auto"/>
        <w:right w:val="none" w:sz="0" w:space="0" w:color="auto"/>
      </w:divBdr>
    </w:div>
    <w:div w:id="1494106623">
      <w:bodyDiv w:val="1"/>
      <w:marLeft w:val="0"/>
      <w:marRight w:val="0"/>
      <w:marTop w:val="0"/>
      <w:marBottom w:val="0"/>
      <w:divBdr>
        <w:top w:val="none" w:sz="0" w:space="0" w:color="auto"/>
        <w:left w:val="none" w:sz="0" w:space="0" w:color="auto"/>
        <w:bottom w:val="none" w:sz="0" w:space="0" w:color="auto"/>
        <w:right w:val="none" w:sz="0" w:space="0" w:color="auto"/>
      </w:divBdr>
    </w:div>
    <w:div w:id="1494950434">
      <w:bodyDiv w:val="1"/>
      <w:marLeft w:val="0"/>
      <w:marRight w:val="0"/>
      <w:marTop w:val="0"/>
      <w:marBottom w:val="0"/>
      <w:divBdr>
        <w:top w:val="none" w:sz="0" w:space="0" w:color="auto"/>
        <w:left w:val="none" w:sz="0" w:space="0" w:color="auto"/>
        <w:bottom w:val="none" w:sz="0" w:space="0" w:color="auto"/>
        <w:right w:val="none" w:sz="0" w:space="0" w:color="auto"/>
      </w:divBdr>
      <w:divsChild>
        <w:div w:id="475489139">
          <w:marLeft w:val="0"/>
          <w:marRight w:val="0"/>
          <w:marTop w:val="0"/>
          <w:marBottom w:val="0"/>
          <w:divBdr>
            <w:top w:val="none" w:sz="0" w:space="0" w:color="auto"/>
            <w:left w:val="none" w:sz="0" w:space="0" w:color="auto"/>
            <w:bottom w:val="none" w:sz="0" w:space="0" w:color="auto"/>
            <w:right w:val="none" w:sz="0" w:space="0" w:color="auto"/>
          </w:divBdr>
          <w:divsChild>
            <w:div w:id="1035697653">
              <w:marLeft w:val="0"/>
              <w:marRight w:val="0"/>
              <w:marTop w:val="0"/>
              <w:marBottom w:val="0"/>
              <w:divBdr>
                <w:top w:val="none" w:sz="0" w:space="0" w:color="auto"/>
                <w:left w:val="none" w:sz="0" w:space="0" w:color="auto"/>
                <w:bottom w:val="none" w:sz="0" w:space="0" w:color="auto"/>
                <w:right w:val="none" w:sz="0" w:space="0" w:color="auto"/>
              </w:divBdr>
            </w:div>
            <w:div w:id="1489906852">
              <w:marLeft w:val="0"/>
              <w:marRight w:val="0"/>
              <w:marTop w:val="0"/>
              <w:marBottom w:val="0"/>
              <w:divBdr>
                <w:top w:val="none" w:sz="0" w:space="0" w:color="auto"/>
                <w:left w:val="none" w:sz="0" w:space="0" w:color="auto"/>
                <w:bottom w:val="none" w:sz="0" w:space="0" w:color="auto"/>
                <w:right w:val="none" w:sz="0" w:space="0" w:color="auto"/>
              </w:divBdr>
            </w:div>
            <w:div w:id="2126388430">
              <w:marLeft w:val="0"/>
              <w:marRight w:val="0"/>
              <w:marTop w:val="0"/>
              <w:marBottom w:val="0"/>
              <w:divBdr>
                <w:top w:val="none" w:sz="0" w:space="0" w:color="auto"/>
                <w:left w:val="none" w:sz="0" w:space="0" w:color="auto"/>
                <w:bottom w:val="none" w:sz="0" w:space="0" w:color="auto"/>
                <w:right w:val="none" w:sz="0" w:space="0" w:color="auto"/>
              </w:divBdr>
            </w:div>
          </w:divsChild>
        </w:div>
        <w:div w:id="831524427">
          <w:marLeft w:val="0"/>
          <w:marRight w:val="0"/>
          <w:marTop w:val="0"/>
          <w:marBottom w:val="0"/>
          <w:divBdr>
            <w:top w:val="none" w:sz="0" w:space="0" w:color="auto"/>
            <w:left w:val="none" w:sz="0" w:space="0" w:color="auto"/>
            <w:bottom w:val="none" w:sz="0" w:space="0" w:color="auto"/>
            <w:right w:val="none" w:sz="0" w:space="0" w:color="auto"/>
          </w:divBdr>
          <w:divsChild>
            <w:div w:id="32930178">
              <w:marLeft w:val="0"/>
              <w:marRight w:val="0"/>
              <w:marTop w:val="0"/>
              <w:marBottom w:val="0"/>
              <w:divBdr>
                <w:top w:val="none" w:sz="0" w:space="0" w:color="auto"/>
                <w:left w:val="none" w:sz="0" w:space="0" w:color="auto"/>
                <w:bottom w:val="none" w:sz="0" w:space="0" w:color="auto"/>
                <w:right w:val="none" w:sz="0" w:space="0" w:color="auto"/>
              </w:divBdr>
            </w:div>
            <w:div w:id="691416215">
              <w:marLeft w:val="0"/>
              <w:marRight w:val="0"/>
              <w:marTop w:val="0"/>
              <w:marBottom w:val="0"/>
              <w:divBdr>
                <w:top w:val="none" w:sz="0" w:space="0" w:color="auto"/>
                <w:left w:val="none" w:sz="0" w:space="0" w:color="auto"/>
                <w:bottom w:val="none" w:sz="0" w:space="0" w:color="auto"/>
                <w:right w:val="none" w:sz="0" w:space="0" w:color="auto"/>
              </w:divBdr>
            </w:div>
            <w:div w:id="10131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809">
      <w:bodyDiv w:val="1"/>
      <w:marLeft w:val="0"/>
      <w:marRight w:val="0"/>
      <w:marTop w:val="0"/>
      <w:marBottom w:val="0"/>
      <w:divBdr>
        <w:top w:val="none" w:sz="0" w:space="0" w:color="auto"/>
        <w:left w:val="none" w:sz="0" w:space="0" w:color="auto"/>
        <w:bottom w:val="none" w:sz="0" w:space="0" w:color="auto"/>
        <w:right w:val="none" w:sz="0" w:space="0" w:color="auto"/>
      </w:divBdr>
    </w:div>
    <w:div w:id="1597715881">
      <w:bodyDiv w:val="1"/>
      <w:marLeft w:val="0"/>
      <w:marRight w:val="0"/>
      <w:marTop w:val="0"/>
      <w:marBottom w:val="0"/>
      <w:divBdr>
        <w:top w:val="none" w:sz="0" w:space="0" w:color="auto"/>
        <w:left w:val="none" w:sz="0" w:space="0" w:color="auto"/>
        <w:bottom w:val="none" w:sz="0" w:space="0" w:color="auto"/>
        <w:right w:val="none" w:sz="0" w:space="0" w:color="auto"/>
      </w:divBdr>
      <w:divsChild>
        <w:div w:id="694423759">
          <w:marLeft w:val="0"/>
          <w:marRight w:val="0"/>
          <w:marTop w:val="0"/>
          <w:marBottom w:val="0"/>
          <w:divBdr>
            <w:top w:val="none" w:sz="0" w:space="0" w:color="auto"/>
            <w:left w:val="none" w:sz="0" w:space="0" w:color="auto"/>
            <w:bottom w:val="none" w:sz="0" w:space="0" w:color="auto"/>
            <w:right w:val="none" w:sz="0" w:space="0" w:color="auto"/>
          </w:divBdr>
          <w:divsChild>
            <w:div w:id="667053853">
              <w:marLeft w:val="0"/>
              <w:marRight w:val="0"/>
              <w:marTop w:val="0"/>
              <w:marBottom w:val="0"/>
              <w:divBdr>
                <w:top w:val="none" w:sz="0" w:space="0" w:color="auto"/>
                <w:left w:val="none" w:sz="0" w:space="0" w:color="auto"/>
                <w:bottom w:val="none" w:sz="0" w:space="0" w:color="auto"/>
                <w:right w:val="none" w:sz="0" w:space="0" w:color="auto"/>
              </w:divBdr>
            </w:div>
            <w:div w:id="774062326">
              <w:marLeft w:val="0"/>
              <w:marRight w:val="0"/>
              <w:marTop w:val="0"/>
              <w:marBottom w:val="0"/>
              <w:divBdr>
                <w:top w:val="none" w:sz="0" w:space="0" w:color="auto"/>
                <w:left w:val="none" w:sz="0" w:space="0" w:color="auto"/>
                <w:bottom w:val="none" w:sz="0" w:space="0" w:color="auto"/>
                <w:right w:val="none" w:sz="0" w:space="0" w:color="auto"/>
              </w:divBdr>
            </w:div>
            <w:div w:id="1165776826">
              <w:marLeft w:val="0"/>
              <w:marRight w:val="0"/>
              <w:marTop w:val="0"/>
              <w:marBottom w:val="0"/>
              <w:divBdr>
                <w:top w:val="none" w:sz="0" w:space="0" w:color="auto"/>
                <w:left w:val="none" w:sz="0" w:space="0" w:color="auto"/>
                <w:bottom w:val="none" w:sz="0" w:space="0" w:color="auto"/>
                <w:right w:val="none" w:sz="0" w:space="0" w:color="auto"/>
              </w:divBdr>
            </w:div>
            <w:div w:id="1337003475">
              <w:marLeft w:val="0"/>
              <w:marRight w:val="0"/>
              <w:marTop w:val="0"/>
              <w:marBottom w:val="0"/>
              <w:divBdr>
                <w:top w:val="none" w:sz="0" w:space="0" w:color="auto"/>
                <w:left w:val="none" w:sz="0" w:space="0" w:color="auto"/>
                <w:bottom w:val="none" w:sz="0" w:space="0" w:color="auto"/>
                <w:right w:val="none" w:sz="0" w:space="0" w:color="auto"/>
              </w:divBdr>
            </w:div>
            <w:div w:id="1510951907">
              <w:marLeft w:val="0"/>
              <w:marRight w:val="0"/>
              <w:marTop w:val="0"/>
              <w:marBottom w:val="0"/>
              <w:divBdr>
                <w:top w:val="none" w:sz="0" w:space="0" w:color="auto"/>
                <w:left w:val="none" w:sz="0" w:space="0" w:color="auto"/>
                <w:bottom w:val="none" w:sz="0" w:space="0" w:color="auto"/>
                <w:right w:val="none" w:sz="0" w:space="0" w:color="auto"/>
              </w:divBdr>
            </w:div>
            <w:div w:id="1708286807">
              <w:marLeft w:val="0"/>
              <w:marRight w:val="0"/>
              <w:marTop w:val="0"/>
              <w:marBottom w:val="0"/>
              <w:divBdr>
                <w:top w:val="none" w:sz="0" w:space="0" w:color="auto"/>
                <w:left w:val="none" w:sz="0" w:space="0" w:color="auto"/>
                <w:bottom w:val="none" w:sz="0" w:space="0" w:color="auto"/>
                <w:right w:val="none" w:sz="0" w:space="0" w:color="auto"/>
              </w:divBdr>
            </w:div>
          </w:divsChild>
        </w:div>
        <w:div w:id="1028871435">
          <w:marLeft w:val="0"/>
          <w:marRight w:val="0"/>
          <w:marTop w:val="0"/>
          <w:marBottom w:val="0"/>
          <w:divBdr>
            <w:top w:val="none" w:sz="0" w:space="0" w:color="auto"/>
            <w:left w:val="none" w:sz="0" w:space="0" w:color="auto"/>
            <w:bottom w:val="none" w:sz="0" w:space="0" w:color="auto"/>
            <w:right w:val="none" w:sz="0" w:space="0" w:color="auto"/>
          </w:divBdr>
          <w:divsChild>
            <w:div w:id="1637367610">
              <w:marLeft w:val="-75"/>
              <w:marRight w:val="0"/>
              <w:marTop w:val="30"/>
              <w:marBottom w:val="30"/>
              <w:divBdr>
                <w:top w:val="none" w:sz="0" w:space="0" w:color="auto"/>
                <w:left w:val="none" w:sz="0" w:space="0" w:color="auto"/>
                <w:bottom w:val="none" w:sz="0" w:space="0" w:color="auto"/>
                <w:right w:val="none" w:sz="0" w:space="0" w:color="auto"/>
              </w:divBdr>
              <w:divsChild>
                <w:div w:id="153686356">
                  <w:marLeft w:val="0"/>
                  <w:marRight w:val="0"/>
                  <w:marTop w:val="0"/>
                  <w:marBottom w:val="0"/>
                  <w:divBdr>
                    <w:top w:val="none" w:sz="0" w:space="0" w:color="auto"/>
                    <w:left w:val="none" w:sz="0" w:space="0" w:color="auto"/>
                    <w:bottom w:val="none" w:sz="0" w:space="0" w:color="auto"/>
                    <w:right w:val="none" w:sz="0" w:space="0" w:color="auto"/>
                  </w:divBdr>
                  <w:divsChild>
                    <w:div w:id="967126699">
                      <w:marLeft w:val="0"/>
                      <w:marRight w:val="0"/>
                      <w:marTop w:val="0"/>
                      <w:marBottom w:val="0"/>
                      <w:divBdr>
                        <w:top w:val="none" w:sz="0" w:space="0" w:color="auto"/>
                        <w:left w:val="none" w:sz="0" w:space="0" w:color="auto"/>
                        <w:bottom w:val="none" w:sz="0" w:space="0" w:color="auto"/>
                        <w:right w:val="none" w:sz="0" w:space="0" w:color="auto"/>
                      </w:divBdr>
                    </w:div>
                    <w:div w:id="1515876570">
                      <w:marLeft w:val="0"/>
                      <w:marRight w:val="0"/>
                      <w:marTop w:val="0"/>
                      <w:marBottom w:val="0"/>
                      <w:divBdr>
                        <w:top w:val="none" w:sz="0" w:space="0" w:color="auto"/>
                        <w:left w:val="none" w:sz="0" w:space="0" w:color="auto"/>
                        <w:bottom w:val="none" w:sz="0" w:space="0" w:color="auto"/>
                        <w:right w:val="none" w:sz="0" w:space="0" w:color="auto"/>
                      </w:divBdr>
                    </w:div>
                  </w:divsChild>
                </w:div>
                <w:div w:id="162018649">
                  <w:marLeft w:val="0"/>
                  <w:marRight w:val="0"/>
                  <w:marTop w:val="0"/>
                  <w:marBottom w:val="0"/>
                  <w:divBdr>
                    <w:top w:val="none" w:sz="0" w:space="0" w:color="auto"/>
                    <w:left w:val="none" w:sz="0" w:space="0" w:color="auto"/>
                    <w:bottom w:val="none" w:sz="0" w:space="0" w:color="auto"/>
                    <w:right w:val="none" w:sz="0" w:space="0" w:color="auto"/>
                  </w:divBdr>
                  <w:divsChild>
                    <w:div w:id="1681732838">
                      <w:marLeft w:val="0"/>
                      <w:marRight w:val="0"/>
                      <w:marTop w:val="0"/>
                      <w:marBottom w:val="0"/>
                      <w:divBdr>
                        <w:top w:val="none" w:sz="0" w:space="0" w:color="auto"/>
                        <w:left w:val="none" w:sz="0" w:space="0" w:color="auto"/>
                        <w:bottom w:val="none" w:sz="0" w:space="0" w:color="auto"/>
                        <w:right w:val="none" w:sz="0" w:space="0" w:color="auto"/>
                      </w:divBdr>
                    </w:div>
                    <w:div w:id="1692954318">
                      <w:marLeft w:val="0"/>
                      <w:marRight w:val="0"/>
                      <w:marTop w:val="0"/>
                      <w:marBottom w:val="0"/>
                      <w:divBdr>
                        <w:top w:val="none" w:sz="0" w:space="0" w:color="auto"/>
                        <w:left w:val="none" w:sz="0" w:space="0" w:color="auto"/>
                        <w:bottom w:val="none" w:sz="0" w:space="0" w:color="auto"/>
                        <w:right w:val="none" w:sz="0" w:space="0" w:color="auto"/>
                      </w:divBdr>
                    </w:div>
                  </w:divsChild>
                </w:div>
                <w:div w:id="634068151">
                  <w:marLeft w:val="0"/>
                  <w:marRight w:val="0"/>
                  <w:marTop w:val="0"/>
                  <w:marBottom w:val="0"/>
                  <w:divBdr>
                    <w:top w:val="none" w:sz="0" w:space="0" w:color="auto"/>
                    <w:left w:val="none" w:sz="0" w:space="0" w:color="auto"/>
                    <w:bottom w:val="none" w:sz="0" w:space="0" w:color="auto"/>
                    <w:right w:val="none" w:sz="0" w:space="0" w:color="auto"/>
                  </w:divBdr>
                  <w:divsChild>
                    <w:div w:id="224490438">
                      <w:marLeft w:val="0"/>
                      <w:marRight w:val="0"/>
                      <w:marTop w:val="0"/>
                      <w:marBottom w:val="0"/>
                      <w:divBdr>
                        <w:top w:val="none" w:sz="0" w:space="0" w:color="auto"/>
                        <w:left w:val="none" w:sz="0" w:space="0" w:color="auto"/>
                        <w:bottom w:val="none" w:sz="0" w:space="0" w:color="auto"/>
                        <w:right w:val="none" w:sz="0" w:space="0" w:color="auto"/>
                      </w:divBdr>
                    </w:div>
                    <w:div w:id="970400350">
                      <w:marLeft w:val="0"/>
                      <w:marRight w:val="0"/>
                      <w:marTop w:val="0"/>
                      <w:marBottom w:val="0"/>
                      <w:divBdr>
                        <w:top w:val="none" w:sz="0" w:space="0" w:color="auto"/>
                        <w:left w:val="none" w:sz="0" w:space="0" w:color="auto"/>
                        <w:bottom w:val="none" w:sz="0" w:space="0" w:color="auto"/>
                        <w:right w:val="none" w:sz="0" w:space="0" w:color="auto"/>
                      </w:divBdr>
                    </w:div>
                  </w:divsChild>
                </w:div>
                <w:div w:id="689377757">
                  <w:marLeft w:val="0"/>
                  <w:marRight w:val="0"/>
                  <w:marTop w:val="0"/>
                  <w:marBottom w:val="0"/>
                  <w:divBdr>
                    <w:top w:val="none" w:sz="0" w:space="0" w:color="auto"/>
                    <w:left w:val="none" w:sz="0" w:space="0" w:color="auto"/>
                    <w:bottom w:val="none" w:sz="0" w:space="0" w:color="auto"/>
                    <w:right w:val="none" w:sz="0" w:space="0" w:color="auto"/>
                  </w:divBdr>
                  <w:divsChild>
                    <w:div w:id="831724046">
                      <w:marLeft w:val="0"/>
                      <w:marRight w:val="0"/>
                      <w:marTop w:val="0"/>
                      <w:marBottom w:val="0"/>
                      <w:divBdr>
                        <w:top w:val="none" w:sz="0" w:space="0" w:color="auto"/>
                        <w:left w:val="none" w:sz="0" w:space="0" w:color="auto"/>
                        <w:bottom w:val="none" w:sz="0" w:space="0" w:color="auto"/>
                        <w:right w:val="none" w:sz="0" w:space="0" w:color="auto"/>
                      </w:divBdr>
                    </w:div>
                    <w:div w:id="1109393686">
                      <w:marLeft w:val="0"/>
                      <w:marRight w:val="0"/>
                      <w:marTop w:val="0"/>
                      <w:marBottom w:val="0"/>
                      <w:divBdr>
                        <w:top w:val="none" w:sz="0" w:space="0" w:color="auto"/>
                        <w:left w:val="none" w:sz="0" w:space="0" w:color="auto"/>
                        <w:bottom w:val="none" w:sz="0" w:space="0" w:color="auto"/>
                        <w:right w:val="none" w:sz="0" w:space="0" w:color="auto"/>
                      </w:divBdr>
                    </w:div>
                  </w:divsChild>
                </w:div>
                <w:div w:id="853232320">
                  <w:marLeft w:val="0"/>
                  <w:marRight w:val="0"/>
                  <w:marTop w:val="0"/>
                  <w:marBottom w:val="0"/>
                  <w:divBdr>
                    <w:top w:val="none" w:sz="0" w:space="0" w:color="auto"/>
                    <w:left w:val="none" w:sz="0" w:space="0" w:color="auto"/>
                    <w:bottom w:val="none" w:sz="0" w:space="0" w:color="auto"/>
                    <w:right w:val="none" w:sz="0" w:space="0" w:color="auto"/>
                  </w:divBdr>
                  <w:divsChild>
                    <w:div w:id="3752601">
                      <w:marLeft w:val="0"/>
                      <w:marRight w:val="0"/>
                      <w:marTop w:val="0"/>
                      <w:marBottom w:val="0"/>
                      <w:divBdr>
                        <w:top w:val="none" w:sz="0" w:space="0" w:color="auto"/>
                        <w:left w:val="none" w:sz="0" w:space="0" w:color="auto"/>
                        <w:bottom w:val="none" w:sz="0" w:space="0" w:color="auto"/>
                        <w:right w:val="none" w:sz="0" w:space="0" w:color="auto"/>
                      </w:divBdr>
                    </w:div>
                    <w:div w:id="1963337405">
                      <w:marLeft w:val="0"/>
                      <w:marRight w:val="0"/>
                      <w:marTop w:val="0"/>
                      <w:marBottom w:val="0"/>
                      <w:divBdr>
                        <w:top w:val="none" w:sz="0" w:space="0" w:color="auto"/>
                        <w:left w:val="none" w:sz="0" w:space="0" w:color="auto"/>
                        <w:bottom w:val="none" w:sz="0" w:space="0" w:color="auto"/>
                        <w:right w:val="none" w:sz="0" w:space="0" w:color="auto"/>
                      </w:divBdr>
                    </w:div>
                  </w:divsChild>
                </w:div>
                <w:div w:id="902449679">
                  <w:marLeft w:val="0"/>
                  <w:marRight w:val="0"/>
                  <w:marTop w:val="0"/>
                  <w:marBottom w:val="0"/>
                  <w:divBdr>
                    <w:top w:val="none" w:sz="0" w:space="0" w:color="auto"/>
                    <w:left w:val="none" w:sz="0" w:space="0" w:color="auto"/>
                    <w:bottom w:val="none" w:sz="0" w:space="0" w:color="auto"/>
                    <w:right w:val="none" w:sz="0" w:space="0" w:color="auto"/>
                  </w:divBdr>
                  <w:divsChild>
                    <w:div w:id="10839645">
                      <w:marLeft w:val="0"/>
                      <w:marRight w:val="0"/>
                      <w:marTop w:val="0"/>
                      <w:marBottom w:val="0"/>
                      <w:divBdr>
                        <w:top w:val="none" w:sz="0" w:space="0" w:color="auto"/>
                        <w:left w:val="none" w:sz="0" w:space="0" w:color="auto"/>
                        <w:bottom w:val="none" w:sz="0" w:space="0" w:color="auto"/>
                        <w:right w:val="none" w:sz="0" w:space="0" w:color="auto"/>
                      </w:divBdr>
                    </w:div>
                    <w:div w:id="1445077400">
                      <w:marLeft w:val="0"/>
                      <w:marRight w:val="0"/>
                      <w:marTop w:val="0"/>
                      <w:marBottom w:val="0"/>
                      <w:divBdr>
                        <w:top w:val="none" w:sz="0" w:space="0" w:color="auto"/>
                        <w:left w:val="none" w:sz="0" w:space="0" w:color="auto"/>
                        <w:bottom w:val="none" w:sz="0" w:space="0" w:color="auto"/>
                        <w:right w:val="none" w:sz="0" w:space="0" w:color="auto"/>
                      </w:divBdr>
                    </w:div>
                  </w:divsChild>
                </w:div>
                <w:div w:id="1070419184">
                  <w:marLeft w:val="0"/>
                  <w:marRight w:val="0"/>
                  <w:marTop w:val="0"/>
                  <w:marBottom w:val="0"/>
                  <w:divBdr>
                    <w:top w:val="none" w:sz="0" w:space="0" w:color="auto"/>
                    <w:left w:val="none" w:sz="0" w:space="0" w:color="auto"/>
                    <w:bottom w:val="none" w:sz="0" w:space="0" w:color="auto"/>
                    <w:right w:val="none" w:sz="0" w:space="0" w:color="auto"/>
                  </w:divBdr>
                  <w:divsChild>
                    <w:div w:id="91515479">
                      <w:marLeft w:val="0"/>
                      <w:marRight w:val="0"/>
                      <w:marTop w:val="0"/>
                      <w:marBottom w:val="0"/>
                      <w:divBdr>
                        <w:top w:val="none" w:sz="0" w:space="0" w:color="auto"/>
                        <w:left w:val="none" w:sz="0" w:space="0" w:color="auto"/>
                        <w:bottom w:val="none" w:sz="0" w:space="0" w:color="auto"/>
                        <w:right w:val="none" w:sz="0" w:space="0" w:color="auto"/>
                      </w:divBdr>
                    </w:div>
                    <w:div w:id="1650787388">
                      <w:marLeft w:val="0"/>
                      <w:marRight w:val="0"/>
                      <w:marTop w:val="0"/>
                      <w:marBottom w:val="0"/>
                      <w:divBdr>
                        <w:top w:val="none" w:sz="0" w:space="0" w:color="auto"/>
                        <w:left w:val="none" w:sz="0" w:space="0" w:color="auto"/>
                        <w:bottom w:val="none" w:sz="0" w:space="0" w:color="auto"/>
                        <w:right w:val="none" w:sz="0" w:space="0" w:color="auto"/>
                      </w:divBdr>
                    </w:div>
                  </w:divsChild>
                </w:div>
                <w:div w:id="1242914158">
                  <w:marLeft w:val="0"/>
                  <w:marRight w:val="0"/>
                  <w:marTop w:val="0"/>
                  <w:marBottom w:val="0"/>
                  <w:divBdr>
                    <w:top w:val="none" w:sz="0" w:space="0" w:color="auto"/>
                    <w:left w:val="none" w:sz="0" w:space="0" w:color="auto"/>
                    <w:bottom w:val="none" w:sz="0" w:space="0" w:color="auto"/>
                    <w:right w:val="none" w:sz="0" w:space="0" w:color="auto"/>
                  </w:divBdr>
                  <w:divsChild>
                    <w:div w:id="312568542">
                      <w:marLeft w:val="0"/>
                      <w:marRight w:val="0"/>
                      <w:marTop w:val="0"/>
                      <w:marBottom w:val="0"/>
                      <w:divBdr>
                        <w:top w:val="none" w:sz="0" w:space="0" w:color="auto"/>
                        <w:left w:val="none" w:sz="0" w:space="0" w:color="auto"/>
                        <w:bottom w:val="none" w:sz="0" w:space="0" w:color="auto"/>
                        <w:right w:val="none" w:sz="0" w:space="0" w:color="auto"/>
                      </w:divBdr>
                    </w:div>
                    <w:div w:id="382828289">
                      <w:marLeft w:val="0"/>
                      <w:marRight w:val="0"/>
                      <w:marTop w:val="0"/>
                      <w:marBottom w:val="0"/>
                      <w:divBdr>
                        <w:top w:val="none" w:sz="0" w:space="0" w:color="auto"/>
                        <w:left w:val="none" w:sz="0" w:space="0" w:color="auto"/>
                        <w:bottom w:val="none" w:sz="0" w:space="0" w:color="auto"/>
                        <w:right w:val="none" w:sz="0" w:space="0" w:color="auto"/>
                      </w:divBdr>
                    </w:div>
                    <w:div w:id="734208660">
                      <w:marLeft w:val="0"/>
                      <w:marRight w:val="0"/>
                      <w:marTop w:val="0"/>
                      <w:marBottom w:val="0"/>
                      <w:divBdr>
                        <w:top w:val="none" w:sz="0" w:space="0" w:color="auto"/>
                        <w:left w:val="none" w:sz="0" w:space="0" w:color="auto"/>
                        <w:bottom w:val="none" w:sz="0" w:space="0" w:color="auto"/>
                        <w:right w:val="none" w:sz="0" w:space="0" w:color="auto"/>
                      </w:divBdr>
                    </w:div>
                    <w:div w:id="908462493">
                      <w:marLeft w:val="0"/>
                      <w:marRight w:val="0"/>
                      <w:marTop w:val="0"/>
                      <w:marBottom w:val="0"/>
                      <w:divBdr>
                        <w:top w:val="none" w:sz="0" w:space="0" w:color="auto"/>
                        <w:left w:val="none" w:sz="0" w:space="0" w:color="auto"/>
                        <w:bottom w:val="none" w:sz="0" w:space="0" w:color="auto"/>
                        <w:right w:val="none" w:sz="0" w:space="0" w:color="auto"/>
                      </w:divBdr>
                    </w:div>
                    <w:div w:id="1852796121">
                      <w:marLeft w:val="0"/>
                      <w:marRight w:val="0"/>
                      <w:marTop w:val="0"/>
                      <w:marBottom w:val="0"/>
                      <w:divBdr>
                        <w:top w:val="none" w:sz="0" w:space="0" w:color="auto"/>
                        <w:left w:val="none" w:sz="0" w:space="0" w:color="auto"/>
                        <w:bottom w:val="none" w:sz="0" w:space="0" w:color="auto"/>
                        <w:right w:val="none" w:sz="0" w:space="0" w:color="auto"/>
                      </w:divBdr>
                    </w:div>
                    <w:div w:id="2043699345">
                      <w:marLeft w:val="0"/>
                      <w:marRight w:val="0"/>
                      <w:marTop w:val="0"/>
                      <w:marBottom w:val="0"/>
                      <w:divBdr>
                        <w:top w:val="none" w:sz="0" w:space="0" w:color="auto"/>
                        <w:left w:val="none" w:sz="0" w:space="0" w:color="auto"/>
                        <w:bottom w:val="none" w:sz="0" w:space="0" w:color="auto"/>
                        <w:right w:val="none" w:sz="0" w:space="0" w:color="auto"/>
                      </w:divBdr>
                    </w:div>
                  </w:divsChild>
                </w:div>
                <w:div w:id="1318220805">
                  <w:marLeft w:val="0"/>
                  <w:marRight w:val="0"/>
                  <w:marTop w:val="0"/>
                  <w:marBottom w:val="0"/>
                  <w:divBdr>
                    <w:top w:val="none" w:sz="0" w:space="0" w:color="auto"/>
                    <w:left w:val="none" w:sz="0" w:space="0" w:color="auto"/>
                    <w:bottom w:val="none" w:sz="0" w:space="0" w:color="auto"/>
                    <w:right w:val="none" w:sz="0" w:space="0" w:color="auto"/>
                  </w:divBdr>
                  <w:divsChild>
                    <w:div w:id="50201178">
                      <w:marLeft w:val="0"/>
                      <w:marRight w:val="0"/>
                      <w:marTop w:val="0"/>
                      <w:marBottom w:val="0"/>
                      <w:divBdr>
                        <w:top w:val="none" w:sz="0" w:space="0" w:color="auto"/>
                        <w:left w:val="none" w:sz="0" w:space="0" w:color="auto"/>
                        <w:bottom w:val="none" w:sz="0" w:space="0" w:color="auto"/>
                        <w:right w:val="none" w:sz="0" w:space="0" w:color="auto"/>
                      </w:divBdr>
                    </w:div>
                  </w:divsChild>
                </w:div>
                <w:div w:id="1400132857">
                  <w:marLeft w:val="0"/>
                  <w:marRight w:val="0"/>
                  <w:marTop w:val="0"/>
                  <w:marBottom w:val="0"/>
                  <w:divBdr>
                    <w:top w:val="none" w:sz="0" w:space="0" w:color="auto"/>
                    <w:left w:val="none" w:sz="0" w:space="0" w:color="auto"/>
                    <w:bottom w:val="none" w:sz="0" w:space="0" w:color="auto"/>
                    <w:right w:val="none" w:sz="0" w:space="0" w:color="auto"/>
                  </w:divBdr>
                  <w:divsChild>
                    <w:div w:id="264192757">
                      <w:marLeft w:val="0"/>
                      <w:marRight w:val="0"/>
                      <w:marTop w:val="0"/>
                      <w:marBottom w:val="0"/>
                      <w:divBdr>
                        <w:top w:val="none" w:sz="0" w:space="0" w:color="auto"/>
                        <w:left w:val="none" w:sz="0" w:space="0" w:color="auto"/>
                        <w:bottom w:val="none" w:sz="0" w:space="0" w:color="auto"/>
                        <w:right w:val="none" w:sz="0" w:space="0" w:color="auto"/>
                      </w:divBdr>
                    </w:div>
                  </w:divsChild>
                </w:div>
                <w:div w:id="1408110422">
                  <w:marLeft w:val="0"/>
                  <w:marRight w:val="0"/>
                  <w:marTop w:val="0"/>
                  <w:marBottom w:val="0"/>
                  <w:divBdr>
                    <w:top w:val="none" w:sz="0" w:space="0" w:color="auto"/>
                    <w:left w:val="none" w:sz="0" w:space="0" w:color="auto"/>
                    <w:bottom w:val="none" w:sz="0" w:space="0" w:color="auto"/>
                    <w:right w:val="none" w:sz="0" w:space="0" w:color="auto"/>
                  </w:divBdr>
                  <w:divsChild>
                    <w:div w:id="1512182380">
                      <w:marLeft w:val="0"/>
                      <w:marRight w:val="0"/>
                      <w:marTop w:val="0"/>
                      <w:marBottom w:val="0"/>
                      <w:divBdr>
                        <w:top w:val="none" w:sz="0" w:space="0" w:color="auto"/>
                        <w:left w:val="none" w:sz="0" w:space="0" w:color="auto"/>
                        <w:bottom w:val="none" w:sz="0" w:space="0" w:color="auto"/>
                        <w:right w:val="none" w:sz="0" w:space="0" w:color="auto"/>
                      </w:divBdr>
                    </w:div>
                    <w:div w:id="1648126272">
                      <w:marLeft w:val="0"/>
                      <w:marRight w:val="0"/>
                      <w:marTop w:val="0"/>
                      <w:marBottom w:val="0"/>
                      <w:divBdr>
                        <w:top w:val="none" w:sz="0" w:space="0" w:color="auto"/>
                        <w:left w:val="none" w:sz="0" w:space="0" w:color="auto"/>
                        <w:bottom w:val="none" w:sz="0" w:space="0" w:color="auto"/>
                        <w:right w:val="none" w:sz="0" w:space="0" w:color="auto"/>
                      </w:divBdr>
                    </w:div>
                  </w:divsChild>
                </w:div>
                <w:div w:id="1546716314">
                  <w:marLeft w:val="0"/>
                  <w:marRight w:val="0"/>
                  <w:marTop w:val="0"/>
                  <w:marBottom w:val="0"/>
                  <w:divBdr>
                    <w:top w:val="none" w:sz="0" w:space="0" w:color="auto"/>
                    <w:left w:val="none" w:sz="0" w:space="0" w:color="auto"/>
                    <w:bottom w:val="none" w:sz="0" w:space="0" w:color="auto"/>
                    <w:right w:val="none" w:sz="0" w:space="0" w:color="auto"/>
                  </w:divBdr>
                  <w:divsChild>
                    <w:div w:id="1555000063">
                      <w:marLeft w:val="0"/>
                      <w:marRight w:val="0"/>
                      <w:marTop w:val="0"/>
                      <w:marBottom w:val="0"/>
                      <w:divBdr>
                        <w:top w:val="none" w:sz="0" w:space="0" w:color="auto"/>
                        <w:left w:val="none" w:sz="0" w:space="0" w:color="auto"/>
                        <w:bottom w:val="none" w:sz="0" w:space="0" w:color="auto"/>
                        <w:right w:val="none" w:sz="0" w:space="0" w:color="auto"/>
                      </w:divBdr>
                    </w:div>
                  </w:divsChild>
                </w:div>
                <w:div w:id="1766028708">
                  <w:marLeft w:val="0"/>
                  <w:marRight w:val="0"/>
                  <w:marTop w:val="0"/>
                  <w:marBottom w:val="0"/>
                  <w:divBdr>
                    <w:top w:val="none" w:sz="0" w:space="0" w:color="auto"/>
                    <w:left w:val="none" w:sz="0" w:space="0" w:color="auto"/>
                    <w:bottom w:val="none" w:sz="0" w:space="0" w:color="auto"/>
                    <w:right w:val="none" w:sz="0" w:space="0" w:color="auto"/>
                  </w:divBdr>
                  <w:divsChild>
                    <w:div w:id="83693681">
                      <w:marLeft w:val="0"/>
                      <w:marRight w:val="0"/>
                      <w:marTop w:val="0"/>
                      <w:marBottom w:val="0"/>
                      <w:divBdr>
                        <w:top w:val="none" w:sz="0" w:space="0" w:color="auto"/>
                        <w:left w:val="none" w:sz="0" w:space="0" w:color="auto"/>
                        <w:bottom w:val="none" w:sz="0" w:space="0" w:color="auto"/>
                        <w:right w:val="none" w:sz="0" w:space="0" w:color="auto"/>
                      </w:divBdr>
                    </w:div>
                    <w:div w:id="166558794">
                      <w:marLeft w:val="0"/>
                      <w:marRight w:val="0"/>
                      <w:marTop w:val="0"/>
                      <w:marBottom w:val="0"/>
                      <w:divBdr>
                        <w:top w:val="none" w:sz="0" w:space="0" w:color="auto"/>
                        <w:left w:val="none" w:sz="0" w:space="0" w:color="auto"/>
                        <w:bottom w:val="none" w:sz="0" w:space="0" w:color="auto"/>
                        <w:right w:val="none" w:sz="0" w:space="0" w:color="auto"/>
                      </w:divBdr>
                    </w:div>
                    <w:div w:id="230626850">
                      <w:marLeft w:val="0"/>
                      <w:marRight w:val="0"/>
                      <w:marTop w:val="0"/>
                      <w:marBottom w:val="0"/>
                      <w:divBdr>
                        <w:top w:val="none" w:sz="0" w:space="0" w:color="auto"/>
                        <w:left w:val="none" w:sz="0" w:space="0" w:color="auto"/>
                        <w:bottom w:val="none" w:sz="0" w:space="0" w:color="auto"/>
                        <w:right w:val="none" w:sz="0" w:space="0" w:color="auto"/>
                      </w:divBdr>
                    </w:div>
                    <w:div w:id="688022459">
                      <w:marLeft w:val="0"/>
                      <w:marRight w:val="0"/>
                      <w:marTop w:val="0"/>
                      <w:marBottom w:val="0"/>
                      <w:divBdr>
                        <w:top w:val="none" w:sz="0" w:space="0" w:color="auto"/>
                        <w:left w:val="none" w:sz="0" w:space="0" w:color="auto"/>
                        <w:bottom w:val="none" w:sz="0" w:space="0" w:color="auto"/>
                        <w:right w:val="none" w:sz="0" w:space="0" w:color="auto"/>
                      </w:divBdr>
                    </w:div>
                    <w:div w:id="1235045120">
                      <w:marLeft w:val="0"/>
                      <w:marRight w:val="0"/>
                      <w:marTop w:val="0"/>
                      <w:marBottom w:val="0"/>
                      <w:divBdr>
                        <w:top w:val="none" w:sz="0" w:space="0" w:color="auto"/>
                        <w:left w:val="none" w:sz="0" w:space="0" w:color="auto"/>
                        <w:bottom w:val="none" w:sz="0" w:space="0" w:color="auto"/>
                        <w:right w:val="none" w:sz="0" w:space="0" w:color="auto"/>
                      </w:divBdr>
                    </w:div>
                  </w:divsChild>
                </w:div>
                <w:div w:id="1920360647">
                  <w:marLeft w:val="0"/>
                  <w:marRight w:val="0"/>
                  <w:marTop w:val="0"/>
                  <w:marBottom w:val="0"/>
                  <w:divBdr>
                    <w:top w:val="none" w:sz="0" w:space="0" w:color="auto"/>
                    <w:left w:val="none" w:sz="0" w:space="0" w:color="auto"/>
                    <w:bottom w:val="none" w:sz="0" w:space="0" w:color="auto"/>
                    <w:right w:val="none" w:sz="0" w:space="0" w:color="auto"/>
                  </w:divBdr>
                  <w:divsChild>
                    <w:div w:id="1990743322">
                      <w:marLeft w:val="0"/>
                      <w:marRight w:val="0"/>
                      <w:marTop w:val="0"/>
                      <w:marBottom w:val="0"/>
                      <w:divBdr>
                        <w:top w:val="none" w:sz="0" w:space="0" w:color="auto"/>
                        <w:left w:val="none" w:sz="0" w:space="0" w:color="auto"/>
                        <w:bottom w:val="none" w:sz="0" w:space="0" w:color="auto"/>
                        <w:right w:val="none" w:sz="0" w:space="0" w:color="auto"/>
                      </w:divBdr>
                    </w:div>
                  </w:divsChild>
                </w:div>
                <w:div w:id="1950502527">
                  <w:marLeft w:val="0"/>
                  <w:marRight w:val="0"/>
                  <w:marTop w:val="0"/>
                  <w:marBottom w:val="0"/>
                  <w:divBdr>
                    <w:top w:val="none" w:sz="0" w:space="0" w:color="auto"/>
                    <w:left w:val="none" w:sz="0" w:space="0" w:color="auto"/>
                    <w:bottom w:val="none" w:sz="0" w:space="0" w:color="auto"/>
                    <w:right w:val="none" w:sz="0" w:space="0" w:color="auto"/>
                  </w:divBdr>
                  <w:divsChild>
                    <w:div w:id="54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7258">
          <w:marLeft w:val="0"/>
          <w:marRight w:val="0"/>
          <w:marTop w:val="0"/>
          <w:marBottom w:val="0"/>
          <w:divBdr>
            <w:top w:val="none" w:sz="0" w:space="0" w:color="auto"/>
            <w:left w:val="none" w:sz="0" w:space="0" w:color="auto"/>
            <w:bottom w:val="none" w:sz="0" w:space="0" w:color="auto"/>
            <w:right w:val="none" w:sz="0" w:space="0" w:color="auto"/>
          </w:divBdr>
          <w:divsChild>
            <w:div w:id="567495138">
              <w:marLeft w:val="0"/>
              <w:marRight w:val="0"/>
              <w:marTop w:val="0"/>
              <w:marBottom w:val="0"/>
              <w:divBdr>
                <w:top w:val="none" w:sz="0" w:space="0" w:color="auto"/>
                <w:left w:val="none" w:sz="0" w:space="0" w:color="auto"/>
                <w:bottom w:val="none" w:sz="0" w:space="0" w:color="auto"/>
                <w:right w:val="none" w:sz="0" w:space="0" w:color="auto"/>
              </w:divBdr>
            </w:div>
            <w:div w:id="1073815865">
              <w:marLeft w:val="0"/>
              <w:marRight w:val="0"/>
              <w:marTop w:val="0"/>
              <w:marBottom w:val="0"/>
              <w:divBdr>
                <w:top w:val="none" w:sz="0" w:space="0" w:color="auto"/>
                <w:left w:val="none" w:sz="0" w:space="0" w:color="auto"/>
                <w:bottom w:val="none" w:sz="0" w:space="0" w:color="auto"/>
                <w:right w:val="none" w:sz="0" w:space="0" w:color="auto"/>
              </w:divBdr>
            </w:div>
            <w:div w:id="1308631746">
              <w:marLeft w:val="0"/>
              <w:marRight w:val="0"/>
              <w:marTop w:val="0"/>
              <w:marBottom w:val="0"/>
              <w:divBdr>
                <w:top w:val="none" w:sz="0" w:space="0" w:color="auto"/>
                <w:left w:val="none" w:sz="0" w:space="0" w:color="auto"/>
                <w:bottom w:val="none" w:sz="0" w:space="0" w:color="auto"/>
                <w:right w:val="none" w:sz="0" w:space="0" w:color="auto"/>
              </w:divBdr>
            </w:div>
            <w:div w:id="16266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2235">
      <w:bodyDiv w:val="1"/>
      <w:marLeft w:val="0"/>
      <w:marRight w:val="0"/>
      <w:marTop w:val="0"/>
      <w:marBottom w:val="0"/>
      <w:divBdr>
        <w:top w:val="none" w:sz="0" w:space="0" w:color="auto"/>
        <w:left w:val="none" w:sz="0" w:space="0" w:color="auto"/>
        <w:bottom w:val="none" w:sz="0" w:space="0" w:color="auto"/>
        <w:right w:val="none" w:sz="0" w:space="0" w:color="auto"/>
      </w:divBdr>
    </w:div>
    <w:div w:id="1617835648">
      <w:bodyDiv w:val="1"/>
      <w:marLeft w:val="0"/>
      <w:marRight w:val="0"/>
      <w:marTop w:val="0"/>
      <w:marBottom w:val="0"/>
      <w:divBdr>
        <w:top w:val="none" w:sz="0" w:space="0" w:color="auto"/>
        <w:left w:val="none" w:sz="0" w:space="0" w:color="auto"/>
        <w:bottom w:val="none" w:sz="0" w:space="0" w:color="auto"/>
        <w:right w:val="none" w:sz="0" w:space="0" w:color="auto"/>
      </w:divBdr>
    </w:div>
    <w:div w:id="1630429243">
      <w:bodyDiv w:val="1"/>
      <w:marLeft w:val="0"/>
      <w:marRight w:val="0"/>
      <w:marTop w:val="0"/>
      <w:marBottom w:val="0"/>
      <w:divBdr>
        <w:top w:val="none" w:sz="0" w:space="0" w:color="auto"/>
        <w:left w:val="none" w:sz="0" w:space="0" w:color="auto"/>
        <w:bottom w:val="none" w:sz="0" w:space="0" w:color="auto"/>
        <w:right w:val="none" w:sz="0" w:space="0" w:color="auto"/>
      </w:divBdr>
    </w:div>
    <w:div w:id="1632591410">
      <w:bodyDiv w:val="1"/>
      <w:marLeft w:val="0"/>
      <w:marRight w:val="0"/>
      <w:marTop w:val="0"/>
      <w:marBottom w:val="0"/>
      <w:divBdr>
        <w:top w:val="none" w:sz="0" w:space="0" w:color="auto"/>
        <w:left w:val="none" w:sz="0" w:space="0" w:color="auto"/>
        <w:bottom w:val="none" w:sz="0" w:space="0" w:color="auto"/>
        <w:right w:val="none" w:sz="0" w:space="0" w:color="auto"/>
      </w:divBdr>
    </w:div>
    <w:div w:id="1635209343">
      <w:bodyDiv w:val="1"/>
      <w:marLeft w:val="0"/>
      <w:marRight w:val="0"/>
      <w:marTop w:val="0"/>
      <w:marBottom w:val="0"/>
      <w:divBdr>
        <w:top w:val="none" w:sz="0" w:space="0" w:color="auto"/>
        <w:left w:val="none" w:sz="0" w:space="0" w:color="auto"/>
        <w:bottom w:val="none" w:sz="0" w:space="0" w:color="auto"/>
        <w:right w:val="none" w:sz="0" w:space="0" w:color="auto"/>
      </w:divBdr>
    </w:div>
    <w:div w:id="1637561932">
      <w:bodyDiv w:val="1"/>
      <w:marLeft w:val="0"/>
      <w:marRight w:val="0"/>
      <w:marTop w:val="0"/>
      <w:marBottom w:val="0"/>
      <w:divBdr>
        <w:top w:val="none" w:sz="0" w:space="0" w:color="auto"/>
        <w:left w:val="none" w:sz="0" w:space="0" w:color="auto"/>
        <w:bottom w:val="none" w:sz="0" w:space="0" w:color="auto"/>
        <w:right w:val="none" w:sz="0" w:space="0" w:color="auto"/>
      </w:divBdr>
      <w:divsChild>
        <w:div w:id="1153789107">
          <w:marLeft w:val="446"/>
          <w:marRight w:val="0"/>
          <w:marTop w:val="200"/>
          <w:marBottom w:val="0"/>
          <w:divBdr>
            <w:top w:val="none" w:sz="0" w:space="0" w:color="auto"/>
            <w:left w:val="none" w:sz="0" w:space="0" w:color="auto"/>
            <w:bottom w:val="none" w:sz="0" w:space="0" w:color="auto"/>
            <w:right w:val="none" w:sz="0" w:space="0" w:color="auto"/>
          </w:divBdr>
        </w:div>
        <w:div w:id="1494838919">
          <w:marLeft w:val="446"/>
          <w:marRight w:val="0"/>
          <w:marTop w:val="200"/>
          <w:marBottom w:val="0"/>
          <w:divBdr>
            <w:top w:val="none" w:sz="0" w:space="0" w:color="auto"/>
            <w:left w:val="none" w:sz="0" w:space="0" w:color="auto"/>
            <w:bottom w:val="none" w:sz="0" w:space="0" w:color="auto"/>
            <w:right w:val="none" w:sz="0" w:space="0" w:color="auto"/>
          </w:divBdr>
        </w:div>
        <w:div w:id="1649284383">
          <w:marLeft w:val="446"/>
          <w:marRight w:val="0"/>
          <w:marTop w:val="200"/>
          <w:marBottom w:val="160"/>
          <w:divBdr>
            <w:top w:val="none" w:sz="0" w:space="0" w:color="auto"/>
            <w:left w:val="none" w:sz="0" w:space="0" w:color="auto"/>
            <w:bottom w:val="none" w:sz="0" w:space="0" w:color="auto"/>
            <w:right w:val="none" w:sz="0" w:space="0" w:color="auto"/>
          </w:divBdr>
        </w:div>
        <w:div w:id="1679697065">
          <w:marLeft w:val="446"/>
          <w:marRight w:val="0"/>
          <w:marTop w:val="200"/>
          <w:marBottom w:val="160"/>
          <w:divBdr>
            <w:top w:val="none" w:sz="0" w:space="0" w:color="auto"/>
            <w:left w:val="none" w:sz="0" w:space="0" w:color="auto"/>
            <w:bottom w:val="none" w:sz="0" w:space="0" w:color="auto"/>
            <w:right w:val="none" w:sz="0" w:space="0" w:color="auto"/>
          </w:divBdr>
        </w:div>
        <w:div w:id="2008314761">
          <w:marLeft w:val="446"/>
          <w:marRight w:val="0"/>
          <w:marTop w:val="200"/>
          <w:marBottom w:val="0"/>
          <w:divBdr>
            <w:top w:val="none" w:sz="0" w:space="0" w:color="auto"/>
            <w:left w:val="none" w:sz="0" w:space="0" w:color="auto"/>
            <w:bottom w:val="none" w:sz="0" w:space="0" w:color="auto"/>
            <w:right w:val="none" w:sz="0" w:space="0" w:color="auto"/>
          </w:divBdr>
        </w:div>
      </w:divsChild>
    </w:div>
    <w:div w:id="1678457704">
      <w:bodyDiv w:val="1"/>
      <w:marLeft w:val="0"/>
      <w:marRight w:val="0"/>
      <w:marTop w:val="0"/>
      <w:marBottom w:val="0"/>
      <w:divBdr>
        <w:top w:val="none" w:sz="0" w:space="0" w:color="auto"/>
        <w:left w:val="none" w:sz="0" w:space="0" w:color="auto"/>
        <w:bottom w:val="none" w:sz="0" w:space="0" w:color="auto"/>
        <w:right w:val="none" w:sz="0" w:space="0" w:color="auto"/>
      </w:divBdr>
    </w:div>
    <w:div w:id="1688874027">
      <w:bodyDiv w:val="1"/>
      <w:marLeft w:val="0"/>
      <w:marRight w:val="0"/>
      <w:marTop w:val="0"/>
      <w:marBottom w:val="0"/>
      <w:divBdr>
        <w:top w:val="none" w:sz="0" w:space="0" w:color="auto"/>
        <w:left w:val="none" w:sz="0" w:space="0" w:color="auto"/>
        <w:bottom w:val="none" w:sz="0" w:space="0" w:color="auto"/>
        <w:right w:val="none" w:sz="0" w:space="0" w:color="auto"/>
      </w:divBdr>
    </w:div>
    <w:div w:id="1692955246">
      <w:bodyDiv w:val="1"/>
      <w:marLeft w:val="0"/>
      <w:marRight w:val="0"/>
      <w:marTop w:val="0"/>
      <w:marBottom w:val="0"/>
      <w:divBdr>
        <w:top w:val="none" w:sz="0" w:space="0" w:color="auto"/>
        <w:left w:val="none" w:sz="0" w:space="0" w:color="auto"/>
        <w:bottom w:val="none" w:sz="0" w:space="0" w:color="auto"/>
        <w:right w:val="none" w:sz="0" w:space="0" w:color="auto"/>
      </w:divBdr>
    </w:div>
    <w:div w:id="1717049951">
      <w:bodyDiv w:val="1"/>
      <w:marLeft w:val="0"/>
      <w:marRight w:val="0"/>
      <w:marTop w:val="0"/>
      <w:marBottom w:val="0"/>
      <w:divBdr>
        <w:top w:val="none" w:sz="0" w:space="0" w:color="auto"/>
        <w:left w:val="none" w:sz="0" w:space="0" w:color="auto"/>
        <w:bottom w:val="none" w:sz="0" w:space="0" w:color="auto"/>
        <w:right w:val="none" w:sz="0" w:space="0" w:color="auto"/>
      </w:divBdr>
    </w:div>
    <w:div w:id="1723170412">
      <w:bodyDiv w:val="1"/>
      <w:marLeft w:val="0"/>
      <w:marRight w:val="0"/>
      <w:marTop w:val="0"/>
      <w:marBottom w:val="0"/>
      <w:divBdr>
        <w:top w:val="none" w:sz="0" w:space="0" w:color="auto"/>
        <w:left w:val="none" w:sz="0" w:space="0" w:color="auto"/>
        <w:bottom w:val="none" w:sz="0" w:space="0" w:color="auto"/>
        <w:right w:val="none" w:sz="0" w:space="0" w:color="auto"/>
      </w:divBdr>
    </w:div>
    <w:div w:id="1726757990">
      <w:bodyDiv w:val="1"/>
      <w:marLeft w:val="0"/>
      <w:marRight w:val="0"/>
      <w:marTop w:val="0"/>
      <w:marBottom w:val="0"/>
      <w:divBdr>
        <w:top w:val="none" w:sz="0" w:space="0" w:color="auto"/>
        <w:left w:val="none" w:sz="0" w:space="0" w:color="auto"/>
        <w:bottom w:val="none" w:sz="0" w:space="0" w:color="auto"/>
        <w:right w:val="none" w:sz="0" w:space="0" w:color="auto"/>
      </w:divBdr>
      <w:divsChild>
        <w:div w:id="26413039">
          <w:marLeft w:val="0"/>
          <w:marRight w:val="0"/>
          <w:marTop w:val="0"/>
          <w:marBottom w:val="0"/>
          <w:divBdr>
            <w:top w:val="none" w:sz="0" w:space="0" w:color="auto"/>
            <w:left w:val="none" w:sz="0" w:space="0" w:color="auto"/>
            <w:bottom w:val="none" w:sz="0" w:space="0" w:color="auto"/>
            <w:right w:val="none" w:sz="0" w:space="0" w:color="auto"/>
          </w:divBdr>
          <w:divsChild>
            <w:div w:id="1053969266">
              <w:marLeft w:val="0"/>
              <w:marRight w:val="0"/>
              <w:marTop w:val="0"/>
              <w:marBottom w:val="0"/>
              <w:divBdr>
                <w:top w:val="none" w:sz="0" w:space="0" w:color="auto"/>
                <w:left w:val="none" w:sz="0" w:space="0" w:color="auto"/>
                <w:bottom w:val="none" w:sz="0" w:space="0" w:color="auto"/>
                <w:right w:val="none" w:sz="0" w:space="0" w:color="auto"/>
              </w:divBdr>
            </w:div>
            <w:div w:id="1153985922">
              <w:marLeft w:val="0"/>
              <w:marRight w:val="0"/>
              <w:marTop w:val="0"/>
              <w:marBottom w:val="0"/>
              <w:divBdr>
                <w:top w:val="none" w:sz="0" w:space="0" w:color="auto"/>
                <w:left w:val="none" w:sz="0" w:space="0" w:color="auto"/>
                <w:bottom w:val="none" w:sz="0" w:space="0" w:color="auto"/>
                <w:right w:val="none" w:sz="0" w:space="0" w:color="auto"/>
              </w:divBdr>
            </w:div>
            <w:div w:id="1294601427">
              <w:marLeft w:val="0"/>
              <w:marRight w:val="0"/>
              <w:marTop w:val="0"/>
              <w:marBottom w:val="0"/>
              <w:divBdr>
                <w:top w:val="none" w:sz="0" w:space="0" w:color="auto"/>
                <w:left w:val="none" w:sz="0" w:space="0" w:color="auto"/>
                <w:bottom w:val="none" w:sz="0" w:space="0" w:color="auto"/>
                <w:right w:val="none" w:sz="0" w:space="0" w:color="auto"/>
              </w:divBdr>
            </w:div>
            <w:div w:id="1462189178">
              <w:marLeft w:val="0"/>
              <w:marRight w:val="0"/>
              <w:marTop w:val="0"/>
              <w:marBottom w:val="0"/>
              <w:divBdr>
                <w:top w:val="none" w:sz="0" w:space="0" w:color="auto"/>
                <w:left w:val="none" w:sz="0" w:space="0" w:color="auto"/>
                <w:bottom w:val="none" w:sz="0" w:space="0" w:color="auto"/>
                <w:right w:val="none" w:sz="0" w:space="0" w:color="auto"/>
              </w:divBdr>
            </w:div>
          </w:divsChild>
        </w:div>
        <w:div w:id="1142386056">
          <w:marLeft w:val="0"/>
          <w:marRight w:val="0"/>
          <w:marTop w:val="0"/>
          <w:marBottom w:val="0"/>
          <w:divBdr>
            <w:top w:val="none" w:sz="0" w:space="0" w:color="auto"/>
            <w:left w:val="none" w:sz="0" w:space="0" w:color="auto"/>
            <w:bottom w:val="none" w:sz="0" w:space="0" w:color="auto"/>
            <w:right w:val="none" w:sz="0" w:space="0" w:color="auto"/>
          </w:divBdr>
          <w:divsChild>
            <w:div w:id="1886677108">
              <w:marLeft w:val="-75"/>
              <w:marRight w:val="0"/>
              <w:marTop w:val="30"/>
              <w:marBottom w:val="30"/>
              <w:divBdr>
                <w:top w:val="none" w:sz="0" w:space="0" w:color="auto"/>
                <w:left w:val="none" w:sz="0" w:space="0" w:color="auto"/>
                <w:bottom w:val="none" w:sz="0" w:space="0" w:color="auto"/>
                <w:right w:val="none" w:sz="0" w:space="0" w:color="auto"/>
              </w:divBdr>
              <w:divsChild>
                <w:div w:id="54742725">
                  <w:marLeft w:val="0"/>
                  <w:marRight w:val="0"/>
                  <w:marTop w:val="0"/>
                  <w:marBottom w:val="0"/>
                  <w:divBdr>
                    <w:top w:val="none" w:sz="0" w:space="0" w:color="auto"/>
                    <w:left w:val="none" w:sz="0" w:space="0" w:color="auto"/>
                    <w:bottom w:val="none" w:sz="0" w:space="0" w:color="auto"/>
                    <w:right w:val="none" w:sz="0" w:space="0" w:color="auto"/>
                  </w:divBdr>
                  <w:divsChild>
                    <w:div w:id="1435326863">
                      <w:marLeft w:val="0"/>
                      <w:marRight w:val="0"/>
                      <w:marTop w:val="0"/>
                      <w:marBottom w:val="0"/>
                      <w:divBdr>
                        <w:top w:val="none" w:sz="0" w:space="0" w:color="auto"/>
                        <w:left w:val="none" w:sz="0" w:space="0" w:color="auto"/>
                        <w:bottom w:val="none" w:sz="0" w:space="0" w:color="auto"/>
                        <w:right w:val="none" w:sz="0" w:space="0" w:color="auto"/>
                      </w:divBdr>
                    </w:div>
                    <w:div w:id="1847401844">
                      <w:marLeft w:val="0"/>
                      <w:marRight w:val="0"/>
                      <w:marTop w:val="0"/>
                      <w:marBottom w:val="0"/>
                      <w:divBdr>
                        <w:top w:val="none" w:sz="0" w:space="0" w:color="auto"/>
                        <w:left w:val="none" w:sz="0" w:space="0" w:color="auto"/>
                        <w:bottom w:val="none" w:sz="0" w:space="0" w:color="auto"/>
                        <w:right w:val="none" w:sz="0" w:space="0" w:color="auto"/>
                      </w:divBdr>
                    </w:div>
                  </w:divsChild>
                </w:div>
                <w:div w:id="211498507">
                  <w:marLeft w:val="0"/>
                  <w:marRight w:val="0"/>
                  <w:marTop w:val="0"/>
                  <w:marBottom w:val="0"/>
                  <w:divBdr>
                    <w:top w:val="none" w:sz="0" w:space="0" w:color="auto"/>
                    <w:left w:val="none" w:sz="0" w:space="0" w:color="auto"/>
                    <w:bottom w:val="none" w:sz="0" w:space="0" w:color="auto"/>
                    <w:right w:val="none" w:sz="0" w:space="0" w:color="auto"/>
                  </w:divBdr>
                  <w:divsChild>
                    <w:div w:id="499348628">
                      <w:marLeft w:val="0"/>
                      <w:marRight w:val="0"/>
                      <w:marTop w:val="0"/>
                      <w:marBottom w:val="0"/>
                      <w:divBdr>
                        <w:top w:val="none" w:sz="0" w:space="0" w:color="auto"/>
                        <w:left w:val="none" w:sz="0" w:space="0" w:color="auto"/>
                        <w:bottom w:val="none" w:sz="0" w:space="0" w:color="auto"/>
                        <w:right w:val="none" w:sz="0" w:space="0" w:color="auto"/>
                      </w:divBdr>
                    </w:div>
                    <w:div w:id="1357074088">
                      <w:marLeft w:val="0"/>
                      <w:marRight w:val="0"/>
                      <w:marTop w:val="0"/>
                      <w:marBottom w:val="0"/>
                      <w:divBdr>
                        <w:top w:val="none" w:sz="0" w:space="0" w:color="auto"/>
                        <w:left w:val="none" w:sz="0" w:space="0" w:color="auto"/>
                        <w:bottom w:val="none" w:sz="0" w:space="0" w:color="auto"/>
                        <w:right w:val="none" w:sz="0" w:space="0" w:color="auto"/>
                      </w:divBdr>
                    </w:div>
                  </w:divsChild>
                </w:div>
                <w:div w:id="356850981">
                  <w:marLeft w:val="0"/>
                  <w:marRight w:val="0"/>
                  <w:marTop w:val="0"/>
                  <w:marBottom w:val="0"/>
                  <w:divBdr>
                    <w:top w:val="none" w:sz="0" w:space="0" w:color="auto"/>
                    <w:left w:val="none" w:sz="0" w:space="0" w:color="auto"/>
                    <w:bottom w:val="none" w:sz="0" w:space="0" w:color="auto"/>
                    <w:right w:val="none" w:sz="0" w:space="0" w:color="auto"/>
                  </w:divBdr>
                  <w:divsChild>
                    <w:div w:id="781724078">
                      <w:marLeft w:val="0"/>
                      <w:marRight w:val="0"/>
                      <w:marTop w:val="0"/>
                      <w:marBottom w:val="0"/>
                      <w:divBdr>
                        <w:top w:val="none" w:sz="0" w:space="0" w:color="auto"/>
                        <w:left w:val="none" w:sz="0" w:space="0" w:color="auto"/>
                        <w:bottom w:val="none" w:sz="0" w:space="0" w:color="auto"/>
                        <w:right w:val="none" w:sz="0" w:space="0" w:color="auto"/>
                      </w:divBdr>
                    </w:div>
                    <w:div w:id="1924756009">
                      <w:marLeft w:val="0"/>
                      <w:marRight w:val="0"/>
                      <w:marTop w:val="0"/>
                      <w:marBottom w:val="0"/>
                      <w:divBdr>
                        <w:top w:val="none" w:sz="0" w:space="0" w:color="auto"/>
                        <w:left w:val="none" w:sz="0" w:space="0" w:color="auto"/>
                        <w:bottom w:val="none" w:sz="0" w:space="0" w:color="auto"/>
                        <w:right w:val="none" w:sz="0" w:space="0" w:color="auto"/>
                      </w:divBdr>
                    </w:div>
                  </w:divsChild>
                </w:div>
                <w:div w:id="392705355">
                  <w:marLeft w:val="0"/>
                  <w:marRight w:val="0"/>
                  <w:marTop w:val="0"/>
                  <w:marBottom w:val="0"/>
                  <w:divBdr>
                    <w:top w:val="none" w:sz="0" w:space="0" w:color="auto"/>
                    <w:left w:val="none" w:sz="0" w:space="0" w:color="auto"/>
                    <w:bottom w:val="none" w:sz="0" w:space="0" w:color="auto"/>
                    <w:right w:val="none" w:sz="0" w:space="0" w:color="auto"/>
                  </w:divBdr>
                  <w:divsChild>
                    <w:div w:id="478305735">
                      <w:marLeft w:val="0"/>
                      <w:marRight w:val="0"/>
                      <w:marTop w:val="0"/>
                      <w:marBottom w:val="0"/>
                      <w:divBdr>
                        <w:top w:val="none" w:sz="0" w:space="0" w:color="auto"/>
                        <w:left w:val="none" w:sz="0" w:space="0" w:color="auto"/>
                        <w:bottom w:val="none" w:sz="0" w:space="0" w:color="auto"/>
                        <w:right w:val="none" w:sz="0" w:space="0" w:color="auto"/>
                      </w:divBdr>
                    </w:div>
                    <w:div w:id="682364447">
                      <w:marLeft w:val="0"/>
                      <w:marRight w:val="0"/>
                      <w:marTop w:val="0"/>
                      <w:marBottom w:val="0"/>
                      <w:divBdr>
                        <w:top w:val="none" w:sz="0" w:space="0" w:color="auto"/>
                        <w:left w:val="none" w:sz="0" w:space="0" w:color="auto"/>
                        <w:bottom w:val="none" w:sz="0" w:space="0" w:color="auto"/>
                        <w:right w:val="none" w:sz="0" w:space="0" w:color="auto"/>
                      </w:divBdr>
                    </w:div>
                    <w:div w:id="735979513">
                      <w:marLeft w:val="0"/>
                      <w:marRight w:val="0"/>
                      <w:marTop w:val="0"/>
                      <w:marBottom w:val="0"/>
                      <w:divBdr>
                        <w:top w:val="none" w:sz="0" w:space="0" w:color="auto"/>
                        <w:left w:val="none" w:sz="0" w:space="0" w:color="auto"/>
                        <w:bottom w:val="none" w:sz="0" w:space="0" w:color="auto"/>
                        <w:right w:val="none" w:sz="0" w:space="0" w:color="auto"/>
                      </w:divBdr>
                    </w:div>
                    <w:div w:id="944730132">
                      <w:marLeft w:val="0"/>
                      <w:marRight w:val="0"/>
                      <w:marTop w:val="0"/>
                      <w:marBottom w:val="0"/>
                      <w:divBdr>
                        <w:top w:val="none" w:sz="0" w:space="0" w:color="auto"/>
                        <w:left w:val="none" w:sz="0" w:space="0" w:color="auto"/>
                        <w:bottom w:val="none" w:sz="0" w:space="0" w:color="auto"/>
                        <w:right w:val="none" w:sz="0" w:space="0" w:color="auto"/>
                      </w:divBdr>
                    </w:div>
                    <w:div w:id="1947813072">
                      <w:marLeft w:val="0"/>
                      <w:marRight w:val="0"/>
                      <w:marTop w:val="0"/>
                      <w:marBottom w:val="0"/>
                      <w:divBdr>
                        <w:top w:val="none" w:sz="0" w:space="0" w:color="auto"/>
                        <w:left w:val="none" w:sz="0" w:space="0" w:color="auto"/>
                        <w:bottom w:val="none" w:sz="0" w:space="0" w:color="auto"/>
                        <w:right w:val="none" w:sz="0" w:space="0" w:color="auto"/>
                      </w:divBdr>
                    </w:div>
                    <w:div w:id="2117559495">
                      <w:marLeft w:val="0"/>
                      <w:marRight w:val="0"/>
                      <w:marTop w:val="0"/>
                      <w:marBottom w:val="0"/>
                      <w:divBdr>
                        <w:top w:val="none" w:sz="0" w:space="0" w:color="auto"/>
                        <w:left w:val="none" w:sz="0" w:space="0" w:color="auto"/>
                        <w:bottom w:val="none" w:sz="0" w:space="0" w:color="auto"/>
                        <w:right w:val="none" w:sz="0" w:space="0" w:color="auto"/>
                      </w:divBdr>
                    </w:div>
                  </w:divsChild>
                </w:div>
                <w:div w:id="432168425">
                  <w:marLeft w:val="0"/>
                  <w:marRight w:val="0"/>
                  <w:marTop w:val="0"/>
                  <w:marBottom w:val="0"/>
                  <w:divBdr>
                    <w:top w:val="none" w:sz="0" w:space="0" w:color="auto"/>
                    <w:left w:val="none" w:sz="0" w:space="0" w:color="auto"/>
                    <w:bottom w:val="none" w:sz="0" w:space="0" w:color="auto"/>
                    <w:right w:val="none" w:sz="0" w:space="0" w:color="auto"/>
                  </w:divBdr>
                  <w:divsChild>
                    <w:div w:id="105734546">
                      <w:marLeft w:val="0"/>
                      <w:marRight w:val="0"/>
                      <w:marTop w:val="0"/>
                      <w:marBottom w:val="0"/>
                      <w:divBdr>
                        <w:top w:val="none" w:sz="0" w:space="0" w:color="auto"/>
                        <w:left w:val="none" w:sz="0" w:space="0" w:color="auto"/>
                        <w:bottom w:val="none" w:sz="0" w:space="0" w:color="auto"/>
                        <w:right w:val="none" w:sz="0" w:space="0" w:color="auto"/>
                      </w:divBdr>
                    </w:div>
                    <w:div w:id="973021731">
                      <w:marLeft w:val="0"/>
                      <w:marRight w:val="0"/>
                      <w:marTop w:val="0"/>
                      <w:marBottom w:val="0"/>
                      <w:divBdr>
                        <w:top w:val="none" w:sz="0" w:space="0" w:color="auto"/>
                        <w:left w:val="none" w:sz="0" w:space="0" w:color="auto"/>
                        <w:bottom w:val="none" w:sz="0" w:space="0" w:color="auto"/>
                        <w:right w:val="none" w:sz="0" w:space="0" w:color="auto"/>
                      </w:divBdr>
                    </w:div>
                  </w:divsChild>
                </w:div>
                <w:div w:id="473723000">
                  <w:marLeft w:val="0"/>
                  <w:marRight w:val="0"/>
                  <w:marTop w:val="0"/>
                  <w:marBottom w:val="0"/>
                  <w:divBdr>
                    <w:top w:val="none" w:sz="0" w:space="0" w:color="auto"/>
                    <w:left w:val="none" w:sz="0" w:space="0" w:color="auto"/>
                    <w:bottom w:val="none" w:sz="0" w:space="0" w:color="auto"/>
                    <w:right w:val="none" w:sz="0" w:space="0" w:color="auto"/>
                  </w:divBdr>
                  <w:divsChild>
                    <w:div w:id="729769686">
                      <w:marLeft w:val="0"/>
                      <w:marRight w:val="0"/>
                      <w:marTop w:val="0"/>
                      <w:marBottom w:val="0"/>
                      <w:divBdr>
                        <w:top w:val="none" w:sz="0" w:space="0" w:color="auto"/>
                        <w:left w:val="none" w:sz="0" w:space="0" w:color="auto"/>
                        <w:bottom w:val="none" w:sz="0" w:space="0" w:color="auto"/>
                        <w:right w:val="none" w:sz="0" w:space="0" w:color="auto"/>
                      </w:divBdr>
                    </w:div>
                    <w:div w:id="1422869029">
                      <w:marLeft w:val="0"/>
                      <w:marRight w:val="0"/>
                      <w:marTop w:val="0"/>
                      <w:marBottom w:val="0"/>
                      <w:divBdr>
                        <w:top w:val="none" w:sz="0" w:space="0" w:color="auto"/>
                        <w:left w:val="none" w:sz="0" w:space="0" w:color="auto"/>
                        <w:bottom w:val="none" w:sz="0" w:space="0" w:color="auto"/>
                        <w:right w:val="none" w:sz="0" w:space="0" w:color="auto"/>
                      </w:divBdr>
                    </w:div>
                  </w:divsChild>
                </w:div>
                <w:div w:id="572618337">
                  <w:marLeft w:val="0"/>
                  <w:marRight w:val="0"/>
                  <w:marTop w:val="0"/>
                  <w:marBottom w:val="0"/>
                  <w:divBdr>
                    <w:top w:val="none" w:sz="0" w:space="0" w:color="auto"/>
                    <w:left w:val="none" w:sz="0" w:space="0" w:color="auto"/>
                    <w:bottom w:val="none" w:sz="0" w:space="0" w:color="auto"/>
                    <w:right w:val="none" w:sz="0" w:space="0" w:color="auto"/>
                  </w:divBdr>
                  <w:divsChild>
                    <w:div w:id="392386770">
                      <w:marLeft w:val="0"/>
                      <w:marRight w:val="0"/>
                      <w:marTop w:val="0"/>
                      <w:marBottom w:val="0"/>
                      <w:divBdr>
                        <w:top w:val="none" w:sz="0" w:space="0" w:color="auto"/>
                        <w:left w:val="none" w:sz="0" w:space="0" w:color="auto"/>
                        <w:bottom w:val="none" w:sz="0" w:space="0" w:color="auto"/>
                        <w:right w:val="none" w:sz="0" w:space="0" w:color="auto"/>
                      </w:divBdr>
                    </w:div>
                  </w:divsChild>
                </w:div>
                <w:div w:id="1073166710">
                  <w:marLeft w:val="0"/>
                  <w:marRight w:val="0"/>
                  <w:marTop w:val="0"/>
                  <w:marBottom w:val="0"/>
                  <w:divBdr>
                    <w:top w:val="none" w:sz="0" w:space="0" w:color="auto"/>
                    <w:left w:val="none" w:sz="0" w:space="0" w:color="auto"/>
                    <w:bottom w:val="none" w:sz="0" w:space="0" w:color="auto"/>
                    <w:right w:val="none" w:sz="0" w:space="0" w:color="auto"/>
                  </w:divBdr>
                  <w:divsChild>
                    <w:div w:id="232356190">
                      <w:marLeft w:val="0"/>
                      <w:marRight w:val="0"/>
                      <w:marTop w:val="0"/>
                      <w:marBottom w:val="0"/>
                      <w:divBdr>
                        <w:top w:val="none" w:sz="0" w:space="0" w:color="auto"/>
                        <w:left w:val="none" w:sz="0" w:space="0" w:color="auto"/>
                        <w:bottom w:val="none" w:sz="0" w:space="0" w:color="auto"/>
                        <w:right w:val="none" w:sz="0" w:space="0" w:color="auto"/>
                      </w:divBdr>
                    </w:div>
                  </w:divsChild>
                </w:div>
                <w:div w:id="1167406152">
                  <w:marLeft w:val="0"/>
                  <w:marRight w:val="0"/>
                  <w:marTop w:val="0"/>
                  <w:marBottom w:val="0"/>
                  <w:divBdr>
                    <w:top w:val="none" w:sz="0" w:space="0" w:color="auto"/>
                    <w:left w:val="none" w:sz="0" w:space="0" w:color="auto"/>
                    <w:bottom w:val="none" w:sz="0" w:space="0" w:color="auto"/>
                    <w:right w:val="none" w:sz="0" w:space="0" w:color="auto"/>
                  </w:divBdr>
                  <w:divsChild>
                    <w:div w:id="634915757">
                      <w:marLeft w:val="0"/>
                      <w:marRight w:val="0"/>
                      <w:marTop w:val="0"/>
                      <w:marBottom w:val="0"/>
                      <w:divBdr>
                        <w:top w:val="none" w:sz="0" w:space="0" w:color="auto"/>
                        <w:left w:val="none" w:sz="0" w:space="0" w:color="auto"/>
                        <w:bottom w:val="none" w:sz="0" w:space="0" w:color="auto"/>
                        <w:right w:val="none" w:sz="0" w:space="0" w:color="auto"/>
                      </w:divBdr>
                    </w:div>
                    <w:div w:id="2048018562">
                      <w:marLeft w:val="0"/>
                      <w:marRight w:val="0"/>
                      <w:marTop w:val="0"/>
                      <w:marBottom w:val="0"/>
                      <w:divBdr>
                        <w:top w:val="none" w:sz="0" w:space="0" w:color="auto"/>
                        <w:left w:val="none" w:sz="0" w:space="0" w:color="auto"/>
                        <w:bottom w:val="none" w:sz="0" w:space="0" w:color="auto"/>
                        <w:right w:val="none" w:sz="0" w:space="0" w:color="auto"/>
                      </w:divBdr>
                    </w:div>
                  </w:divsChild>
                </w:div>
                <w:div w:id="1286279587">
                  <w:marLeft w:val="0"/>
                  <w:marRight w:val="0"/>
                  <w:marTop w:val="0"/>
                  <w:marBottom w:val="0"/>
                  <w:divBdr>
                    <w:top w:val="none" w:sz="0" w:space="0" w:color="auto"/>
                    <w:left w:val="none" w:sz="0" w:space="0" w:color="auto"/>
                    <w:bottom w:val="none" w:sz="0" w:space="0" w:color="auto"/>
                    <w:right w:val="none" w:sz="0" w:space="0" w:color="auto"/>
                  </w:divBdr>
                  <w:divsChild>
                    <w:div w:id="2092579669">
                      <w:marLeft w:val="0"/>
                      <w:marRight w:val="0"/>
                      <w:marTop w:val="0"/>
                      <w:marBottom w:val="0"/>
                      <w:divBdr>
                        <w:top w:val="none" w:sz="0" w:space="0" w:color="auto"/>
                        <w:left w:val="none" w:sz="0" w:space="0" w:color="auto"/>
                        <w:bottom w:val="none" w:sz="0" w:space="0" w:color="auto"/>
                        <w:right w:val="none" w:sz="0" w:space="0" w:color="auto"/>
                      </w:divBdr>
                    </w:div>
                  </w:divsChild>
                </w:div>
                <w:div w:id="1403017857">
                  <w:marLeft w:val="0"/>
                  <w:marRight w:val="0"/>
                  <w:marTop w:val="0"/>
                  <w:marBottom w:val="0"/>
                  <w:divBdr>
                    <w:top w:val="none" w:sz="0" w:space="0" w:color="auto"/>
                    <w:left w:val="none" w:sz="0" w:space="0" w:color="auto"/>
                    <w:bottom w:val="none" w:sz="0" w:space="0" w:color="auto"/>
                    <w:right w:val="none" w:sz="0" w:space="0" w:color="auto"/>
                  </w:divBdr>
                  <w:divsChild>
                    <w:div w:id="635649701">
                      <w:marLeft w:val="0"/>
                      <w:marRight w:val="0"/>
                      <w:marTop w:val="0"/>
                      <w:marBottom w:val="0"/>
                      <w:divBdr>
                        <w:top w:val="none" w:sz="0" w:space="0" w:color="auto"/>
                        <w:left w:val="none" w:sz="0" w:space="0" w:color="auto"/>
                        <w:bottom w:val="none" w:sz="0" w:space="0" w:color="auto"/>
                        <w:right w:val="none" w:sz="0" w:space="0" w:color="auto"/>
                      </w:divBdr>
                    </w:div>
                  </w:divsChild>
                </w:div>
                <w:div w:id="1803840960">
                  <w:marLeft w:val="0"/>
                  <w:marRight w:val="0"/>
                  <w:marTop w:val="0"/>
                  <w:marBottom w:val="0"/>
                  <w:divBdr>
                    <w:top w:val="none" w:sz="0" w:space="0" w:color="auto"/>
                    <w:left w:val="none" w:sz="0" w:space="0" w:color="auto"/>
                    <w:bottom w:val="none" w:sz="0" w:space="0" w:color="auto"/>
                    <w:right w:val="none" w:sz="0" w:space="0" w:color="auto"/>
                  </w:divBdr>
                  <w:divsChild>
                    <w:div w:id="177429677">
                      <w:marLeft w:val="0"/>
                      <w:marRight w:val="0"/>
                      <w:marTop w:val="0"/>
                      <w:marBottom w:val="0"/>
                      <w:divBdr>
                        <w:top w:val="none" w:sz="0" w:space="0" w:color="auto"/>
                        <w:left w:val="none" w:sz="0" w:space="0" w:color="auto"/>
                        <w:bottom w:val="none" w:sz="0" w:space="0" w:color="auto"/>
                        <w:right w:val="none" w:sz="0" w:space="0" w:color="auto"/>
                      </w:divBdr>
                    </w:div>
                    <w:div w:id="2064940734">
                      <w:marLeft w:val="0"/>
                      <w:marRight w:val="0"/>
                      <w:marTop w:val="0"/>
                      <w:marBottom w:val="0"/>
                      <w:divBdr>
                        <w:top w:val="none" w:sz="0" w:space="0" w:color="auto"/>
                        <w:left w:val="none" w:sz="0" w:space="0" w:color="auto"/>
                        <w:bottom w:val="none" w:sz="0" w:space="0" w:color="auto"/>
                        <w:right w:val="none" w:sz="0" w:space="0" w:color="auto"/>
                      </w:divBdr>
                    </w:div>
                  </w:divsChild>
                </w:div>
                <w:div w:id="1807115979">
                  <w:marLeft w:val="0"/>
                  <w:marRight w:val="0"/>
                  <w:marTop w:val="0"/>
                  <w:marBottom w:val="0"/>
                  <w:divBdr>
                    <w:top w:val="none" w:sz="0" w:space="0" w:color="auto"/>
                    <w:left w:val="none" w:sz="0" w:space="0" w:color="auto"/>
                    <w:bottom w:val="none" w:sz="0" w:space="0" w:color="auto"/>
                    <w:right w:val="none" w:sz="0" w:space="0" w:color="auto"/>
                  </w:divBdr>
                  <w:divsChild>
                    <w:div w:id="1936551082">
                      <w:marLeft w:val="0"/>
                      <w:marRight w:val="0"/>
                      <w:marTop w:val="0"/>
                      <w:marBottom w:val="0"/>
                      <w:divBdr>
                        <w:top w:val="none" w:sz="0" w:space="0" w:color="auto"/>
                        <w:left w:val="none" w:sz="0" w:space="0" w:color="auto"/>
                        <w:bottom w:val="none" w:sz="0" w:space="0" w:color="auto"/>
                        <w:right w:val="none" w:sz="0" w:space="0" w:color="auto"/>
                      </w:divBdr>
                    </w:div>
                  </w:divsChild>
                </w:div>
                <w:div w:id="1893810712">
                  <w:marLeft w:val="0"/>
                  <w:marRight w:val="0"/>
                  <w:marTop w:val="0"/>
                  <w:marBottom w:val="0"/>
                  <w:divBdr>
                    <w:top w:val="none" w:sz="0" w:space="0" w:color="auto"/>
                    <w:left w:val="none" w:sz="0" w:space="0" w:color="auto"/>
                    <w:bottom w:val="none" w:sz="0" w:space="0" w:color="auto"/>
                    <w:right w:val="none" w:sz="0" w:space="0" w:color="auto"/>
                  </w:divBdr>
                  <w:divsChild>
                    <w:div w:id="202642129">
                      <w:marLeft w:val="0"/>
                      <w:marRight w:val="0"/>
                      <w:marTop w:val="0"/>
                      <w:marBottom w:val="0"/>
                      <w:divBdr>
                        <w:top w:val="none" w:sz="0" w:space="0" w:color="auto"/>
                        <w:left w:val="none" w:sz="0" w:space="0" w:color="auto"/>
                        <w:bottom w:val="none" w:sz="0" w:space="0" w:color="auto"/>
                        <w:right w:val="none" w:sz="0" w:space="0" w:color="auto"/>
                      </w:divBdr>
                    </w:div>
                    <w:div w:id="597251358">
                      <w:marLeft w:val="0"/>
                      <w:marRight w:val="0"/>
                      <w:marTop w:val="0"/>
                      <w:marBottom w:val="0"/>
                      <w:divBdr>
                        <w:top w:val="none" w:sz="0" w:space="0" w:color="auto"/>
                        <w:left w:val="none" w:sz="0" w:space="0" w:color="auto"/>
                        <w:bottom w:val="none" w:sz="0" w:space="0" w:color="auto"/>
                        <w:right w:val="none" w:sz="0" w:space="0" w:color="auto"/>
                      </w:divBdr>
                    </w:div>
                  </w:divsChild>
                </w:div>
                <w:div w:id="1960523218">
                  <w:marLeft w:val="0"/>
                  <w:marRight w:val="0"/>
                  <w:marTop w:val="0"/>
                  <w:marBottom w:val="0"/>
                  <w:divBdr>
                    <w:top w:val="none" w:sz="0" w:space="0" w:color="auto"/>
                    <w:left w:val="none" w:sz="0" w:space="0" w:color="auto"/>
                    <w:bottom w:val="none" w:sz="0" w:space="0" w:color="auto"/>
                    <w:right w:val="none" w:sz="0" w:space="0" w:color="auto"/>
                  </w:divBdr>
                  <w:divsChild>
                    <w:div w:id="135152571">
                      <w:marLeft w:val="0"/>
                      <w:marRight w:val="0"/>
                      <w:marTop w:val="0"/>
                      <w:marBottom w:val="0"/>
                      <w:divBdr>
                        <w:top w:val="none" w:sz="0" w:space="0" w:color="auto"/>
                        <w:left w:val="none" w:sz="0" w:space="0" w:color="auto"/>
                        <w:bottom w:val="none" w:sz="0" w:space="0" w:color="auto"/>
                        <w:right w:val="none" w:sz="0" w:space="0" w:color="auto"/>
                      </w:divBdr>
                    </w:div>
                    <w:div w:id="259994716">
                      <w:marLeft w:val="0"/>
                      <w:marRight w:val="0"/>
                      <w:marTop w:val="0"/>
                      <w:marBottom w:val="0"/>
                      <w:divBdr>
                        <w:top w:val="none" w:sz="0" w:space="0" w:color="auto"/>
                        <w:left w:val="none" w:sz="0" w:space="0" w:color="auto"/>
                        <w:bottom w:val="none" w:sz="0" w:space="0" w:color="auto"/>
                        <w:right w:val="none" w:sz="0" w:space="0" w:color="auto"/>
                      </w:divBdr>
                    </w:div>
                    <w:div w:id="795488575">
                      <w:marLeft w:val="0"/>
                      <w:marRight w:val="0"/>
                      <w:marTop w:val="0"/>
                      <w:marBottom w:val="0"/>
                      <w:divBdr>
                        <w:top w:val="none" w:sz="0" w:space="0" w:color="auto"/>
                        <w:left w:val="none" w:sz="0" w:space="0" w:color="auto"/>
                        <w:bottom w:val="none" w:sz="0" w:space="0" w:color="auto"/>
                        <w:right w:val="none" w:sz="0" w:space="0" w:color="auto"/>
                      </w:divBdr>
                    </w:div>
                    <w:div w:id="947544778">
                      <w:marLeft w:val="0"/>
                      <w:marRight w:val="0"/>
                      <w:marTop w:val="0"/>
                      <w:marBottom w:val="0"/>
                      <w:divBdr>
                        <w:top w:val="none" w:sz="0" w:space="0" w:color="auto"/>
                        <w:left w:val="none" w:sz="0" w:space="0" w:color="auto"/>
                        <w:bottom w:val="none" w:sz="0" w:space="0" w:color="auto"/>
                        <w:right w:val="none" w:sz="0" w:space="0" w:color="auto"/>
                      </w:divBdr>
                    </w:div>
                    <w:div w:id="21225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75190">
          <w:marLeft w:val="0"/>
          <w:marRight w:val="0"/>
          <w:marTop w:val="0"/>
          <w:marBottom w:val="0"/>
          <w:divBdr>
            <w:top w:val="none" w:sz="0" w:space="0" w:color="auto"/>
            <w:left w:val="none" w:sz="0" w:space="0" w:color="auto"/>
            <w:bottom w:val="none" w:sz="0" w:space="0" w:color="auto"/>
            <w:right w:val="none" w:sz="0" w:space="0" w:color="auto"/>
          </w:divBdr>
          <w:divsChild>
            <w:div w:id="156313750">
              <w:marLeft w:val="0"/>
              <w:marRight w:val="0"/>
              <w:marTop w:val="0"/>
              <w:marBottom w:val="0"/>
              <w:divBdr>
                <w:top w:val="none" w:sz="0" w:space="0" w:color="auto"/>
                <w:left w:val="none" w:sz="0" w:space="0" w:color="auto"/>
                <w:bottom w:val="none" w:sz="0" w:space="0" w:color="auto"/>
                <w:right w:val="none" w:sz="0" w:space="0" w:color="auto"/>
              </w:divBdr>
            </w:div>
            <w:div w:id="449058924">
              <w:marLeft w:val="0"/>
              <w:marRight w:val="0"/>
              <w:marTop w:val="0"/>
              <w:marBottom w:val="0"/>
              <w:divBdr>
                <w:top w:val="none" w:sz="0" w:space="0" w:color="auto"/>
                <w:left w:val="none" w:sz="0" w:space="0" w:color="auto"/>
                <w:bottom w:val="none" w:sz="0" w:space="0" w:color="auto"/>
                <w:right w:val="none" w:sz="0" w:space="0" w:color="auto"/>
              </w:divBdr>
            </w:div>
            <w:div w:id="673722898">
              <w:marLeft w:val="0"/>
              <w:marRight w:val="0"/>
              <w:marTop w:val="0"/>
              <w:marBottom w:val="0"/>
              <w:divBdr>
                <w:top w:val="none" w:sz="0" w:space="0" w:color="auto"/>
                <w:left w:val="none" w:sz="0" w:space="0" w:color="auto"/>
                <w:bottom w:val="none" w:sz="0" w:space="0" w:color="auto"/>
                <w:right w:val="none" w:sz="0" w:space="0" w:color="auto"/>
              </w:divBdr>
            </w:div>
            <w:div w:id="737483223">
              <w:marLeft w:val="0"/>
              <w:marRight w:val="0"/>
              <w:marTop w:val="0"/>
              <w:marBottom w:val="0"/>
              <w:divBdr>
                <w:top w:val="none" w:sz="0" w:space="0" w:color="auto"/>
                <w:left w:val="none" w:sz="0" w:space="0" w:color="auto"/>
                <w:bottom w:val="none" w:sz="0" w:space="0" w:color="auto"/>
                <w:right w:val="none" w:sz="0" w:space="0" w:color="auto"/>
              </w:divBdr>
            </w:div>
            <w:div w:id="1449082287">
              <w:marLeft w:val="0"/>
              <w:marRight w:val="0"/>
              <w:marTop w:val="0"/>
              <w:marBottom w:val="0"/>
              <w:divBdr>
                <w:top w:val="none" w:sz="0" w:space="0" w:color="auto"/>
                <w:left w:val="none" w:sz="0" w:space="0" w:color="auto"/>
                <w:bottom w:val="none" w:sz="0" w:space="0" w:color="auto"/>
                <w:right w:val="none" w:sz="0" w:space="0" w:color="auto"/>
              </w:divBdr>
            </w:div>
            <w:div w:id="21458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8888">
      <w:bodyDiv w:val="1"/>
      <w:marLeft w:val="0"/>
      <w:marRight w:val="0"/>
      <w:marTop w:val="0"/>
      <w:marBottom w:val="0"/>
      <w:divBdr>
        <w:top w:val="none" w:sz="0" w:space="0" w:color="auto"/>
        <w:left w:val="none" w:sz="0" w:space="0" w:color="auto"/>
        <w:bottom w:val="none" w:sz="0" w:space="0" w:color="auto"/>
        <w:right w:val="none" w:sz="0" w:space="0" w:color="auto"/>
      </w:divBdr>
    </w:div>
    <w:div w:id="1768191648">
      <w:bodyDiv w:val="1"/>
      <w:marLeft w:val="0"/>
      <w:marRight w:val="0"/>
      <w:marTop w:val="0"/>
      <w:marBottom w:val="0"/>
      <w:divBdr>
        <w:top w:val="none" w:sz="0" w:space="0" w:color="auto"/>
        <w:left w:val="none" w:sz="0" w:space="0" w:color="auto"/>
        <w:bottom w:val="none" w:sz="0" w:space="0" w:color="auto"/>
        <w:right w:val="none" w:sz="0" w:space="0" w:color="auto"/>
      </w:divBdr>
    </w:div>
    <w:div w:id="1789087091">
      <w:bodyDiv w:val="1"/>
      <w:marLeft w:val="0"/>
      <w:marRight w:val="0"/>
      <w:marTop w:val="0"/>
      <w:marBottom w:val="0"/>
      <w:divBdr>
        <w:top w:val="none" w:sz="0" w:space="0" w:color="auto"/>
        <w:left w:val="none" w:sz="0" w:space="0" w:color="auto"/>
        <w:bottom w:val="none" w:sz="0" w:space="0" w:color="auto"/>
        <w:right w:val="none" w:sz="0" w:space="0" w:color="auto"/>
      </w:divBdr>
    </w:div>
    <w:div w:id="1863398005">
      <w:bodyDiv w:val="1"/>
      <w:marLeft w:val="0"/>
      <w:marRight w:val="0"/>
      <w:marTop w:val="0"/>
      <w:marBottom w:val="0"/>
      <w:divBdr>
        <w:top w:val="none" w:sz="0" w:space="0" w:color="auto"/>
        <w:left w:val="none" w:sz="0" w:space="0" w:color="auto"/>
        <w:bottom w:val="none" w:sz="0" w:space="0" w:color="auto"/>
        <w:right w:val="none" w:sz="0" w:space="0" w:color="auto"/>
      </w:divBdr>
      <w:divsChild>
        <w:div w:id="119540121">
          <w:marLeft w:val="446"/>
          <w:marRight w:val="0"/>
          <w:marTop w:val="120"/>
          <w:marBottom w:val="0"/>
          <w:divBdr>
            <w:top w:val="none" w:sz="0" w:space="0" w:color="auto"/>
            <w:left w:val="none" w:sz="0" w:space="0" w:color="auto"/>
            <w:bottom w:val="none" w:sz="0" w:space="0" w:color="auto"/>
            <w:right w:val="none" w:sz="0" w:space="0" w:color="auto"/>
          </w:divBdr>
        </w:div>
        <w:div w:id="817303517">
          <w:marLeft w:val="446"/>
          <w:marRight w:val="0"/>
          <w:marTop w:val="120"/>
          <w:marBottom w:val="0"/>
          <w:divBdr>
            <w:top w:val="none" w:sz="0" w:space="0" w:color="auto"/>
            <w:left w:val="none" w:sz="0" w:space="0" w:color="auto"/>
            <w:bottom w:val="none" w:sz="0" w:space="0" w:color="auto"/>
            <w:right w:val="none" w:sz="0" w:space="0" w:color="auto"/>
          </w:divBdr>
        </w:div>
        <w:div w:id="1372149976">
          <w:marLeft w:val="446"/>
          <w:marRight w:val="0"/>
          <w:marTop w:val="120"/>
          <w:marBottom w:val="0"/>
          <w:divBdr>
            <w:top w:val="none" w:sz="0" w:space="0" w:color="auto"/>
            <w:left w:val="none" w:sz="0" w:space="0" w:color="auto"/>
            <w:bottom w:val="none" w:sz="0" w:space="0" w:color="auto"/>
            <w:right w:val="none" w:sz="0" w:space="0" w:color="auto"/>
          </w:divBdr>
        </w:div>
        <w:div w:id="2073429789">
          <w:marLeft w:val="446"/>
          <w:marRight w:val="0"/>
          <w:marTop w:val="120"/>
          <w:marBottom w:val="0"/>
          <w:divBdr>
            <w:top w:val="none" w:sz="0" w:space="0" w:color="auto"/>
            <w:left w:val="none" w:sz="0" w:space="0" w:color="auto"/>
            <w:bottom w:val="none" w:sz="0" w:space="0" w:color="auto"/>
            <w:right w:val="none" w:sz="0" w:space="0" w:color="auto"/>
          </w:divBdr>
        </w:div>
        <w:div w:id="2117865830">
          <w:marLeft w:val="446"/>
          <w:marRight w:val="0"/>
          <w:marTop w:val="120"/>
          <w:marBottom w:val="0"/>
          <w:divBdr>
            <w:top w:val="none" w:sz="0" w:space="0" w:color="auto"/>
            <w:left w:val="none" w:sz="0" w:space="0" w:color="auto"/>
            <w:bottom w:val="none" w:sz="0" w:space="0" w:color="auto"/>
            <w:right w:val="none" w:sz="0" w:space="0" w:color="auto"/>
          </w:divBdr>
        </w:div>
      </w:divsChild>
    </w:div>
    <w:div w:id="1891111187">
      <w:bodyDiv w:val="1"/>
      <w:marLeft w:val="0"/>
      <w:marRight w:val="0"/>
      <w:marTop w:val="0"/>
      <w:marBottom w:val="0"/>
      <w:divBdr>
        <w:top w:val="none" w:sz="0" w:space="0" w:color="auto"/>
        <w:left w:val="none" w:sz="0" w:space="0" w:color="auto"/>
        <w:bottom w:val="none" w:sz="0" w:space="0" w:color="auto"/>
        <w:right w:val="none" w:sz="0" w:space="0" w:color="auto"/>
      </w:divBdr>
      <w:divsChild>
        <w:div w:id="1463618873">
          <w:marLeft w:val="0"/>
          <w:marRight w:val="0"/>
          <w:marTop w:val="0"/>
          <w:marBottom w:val="0"/>
          <w:divBdr>
            <w:top w:val="none" w:sz="0" w:space="0" w:color="auto"/>
            <w:left w:val="none" w:sz="0" w:space="0" w:color="auto"/>
            <w:bottom w:val="none" w:sz="0" w:space="0" w:color="auto"/>
            <w:right w:val="none" w:sz="0" w:space="0" w:color="auto"/>
          </w:divBdr>
          <w:divsChild>
            <w:div w:id="65152405">
              <w:marLeft w:val="0"/>
              <w:marRight w:val="0"/>
              <w:marTop w:val="0"/>
              <w:marBottom w:val="0"/>
              <w:divBdr>
                <w:top w:val="none" w:sz="0" w:space="0" w:color="auto"/>
                <w:left w:val="none" w:sz="0" w:space="0" w:color="auto"/>
                <w:bottom w:val="none" w:sz="0" w:space="0" w:color="auto"/>
                <w:right w:val="none" w:sz="0" w:space="0" w:color="auto"/>
              </w:divBdr>
            </w:div>
            <w:div w:id="867721398">
              <w:marLeft w:val="0"/>
              <w:marRight w:val="0"/>
              <w:marTop w:val="0"/>
              <w:marBottom w:val="0"/>
              <w:divBdr>
                <w:top w:val="none" w:sz="0" w:space="0" w:color="auto"/>
                <w:left w:val="none" w:sz="0" w:space="0" w:color="auto"/>
                <w:bottom w:val="none" w:sz="0" w:space="0" w:color="auto"/>
                <w:right w:val="none" w:sz="0" w:space="0" w:color="auto"/>
              </w:divBdr>
            </w:div>
            <w:div w:id="1355109603">
              <w:marLeft w:val="0"/>
              <w:marRight w:val="0"/>
              <w:marTop w:val="0"/>
              <w:marBottom w:val="0"/>
              <w:divBdr>
                <w:top w:val="none" w:sz="0" w:space="0" w:color="auto"/>
                <w:left w:val="none" w:sz="0" w:space="0" w:color="auto"/>
                <w:bottom w:val="none" w:sz="0" w:space="0" w:color="auto"/>
                <w:right w:val="none" w:sz="0" w:space="0" w:color="auto"/>
              </w:divBdr>
            </w:div>
          </w:divsChild>
        </w:div>
        <w:div w:id="1820614762">
          <w:marLeft w:val="0"/>
          <w:marRight w:val="0"/>
          <w:marTop w:val="0"/>
          <w:marBottom w:val="0"/>
          <w:divBdr>
            <w:top w:val="none" w:sz="0" w:space="0" w:color="auto"/>
            <w:left w:val="none" w:sz="0" w:space="0" w:color="auto"/>
            <w:bottom w:val="none" w:sz="0" w:space="0" w:color="auto"/>
            <w:right w:val="none" w:sz="0" w:space="0" w:color="auto"/>
          </w:divBdr>
          <w:divsChild>
            <w:div w:id="1057243667">
              <w:marLeft w:val="0"/>
              <w:marRight w:val="0"/>
              <w:marTop w:val="0"/>
              <w:marBottom w:val="0"/>
              <w:divBdr>
                <w:top w:val="none" w:sz="0" w:space="0" w:color="auto"/>
                <w:left w:val="none" w:sz="0" w:space="0" w:color="auto"/>
                <w:bottom w:val="none" w:sz="0" w:space="0" w:color="auto"/>
                <w:right w:val="none" w:sz="0" w:space="0" w:color="auto"/>
              </w:divBdr>
            </w:div>
            <w:div w:id="1579749050">
              <w:marLeft w:val="0"/>
              <w:marRight w:val="0"/>
              <w:marTop w:val="0"/>
              <w:marBottom w:val="0"/>
              <w:divBdr>
                <w:top w:val="none" w:sz="0" w:space="0" w:color="auto"/>
                <w:left w:val="none" w:sz="0" w:space="0" w:color="auto"/>
                <w:bottom w:val="none" w:sz="0" w:space="0" w:color="auto"/>
                <w:right w:val="none" w:sz="0" w:space="0" w:color="auto"/>
              </w:divBdr>
            </w:div>
            <w:div w:id="18642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8654">
      <w:bodyDiv w:val="1"/>
      <w:marLeft w:val="0"/>
      <w:marRight w:val="0"/>
      <w:marTop w:val="0"/>
      <w:marBottom w:val="0"/>
      <w:divBdr>
        <w:top w:val="none" w:sz="0" w:space="0" w:color="auto"/>
        <w:left w:val="none" w:sz="0" w:space="0" w:color="auto"/>
        <w:bottom w:val="none" w:sz="0" w:space="0" w:color="auto"/>
        <w:right w:val="none" w:sz="0" w:space="0" w:color="auto"/>
      </w:divBdr>
      <w:divsChild>
        <w:div w:id="404188522">
          <w:marLeft w:val="547"/>
          <w:marRight w:val="0"/>
          <w:marTop w:val="0"/>
          <w:marBottom w:val="0"/>
          <w:divBdr>
            <w:top w:val="none" w:sz="0" w:space="0" w:color="auto"/>
            <w:left w:val="none" w:sz="0" w:space="0" w:color="auto"/>
            <w:bottom w:val="none" w:sz="0" w:space="0" w:color="auto"/>
            <w:right w:val="none" w:sz="0" w:space="0" w:color="auto"/>
          </w:divBdr>
        </w:div>
        <w:div w:id="433288418">
          <w:marLeft w:val="547"/>
          <w:marRight w:val="0"/>
          <w:marTop w:val="0"/>
          <w:marBottom w:val="0"/>
          <w:divBdr>
            <w:top w:val="none" w:sz="0" w:space="0" w:color="auto"/>
            <w:left w:val="none" w:sz="0" w:space="0" w:color="auto"/>
            <w:bottom w:val="none" w:sz="0" w:space="0" w:color="auto"/>
            <w:right w:val="none" w:sz="0" w:space="0" w:color="auto"/>
          </w:divBdr>
        </w:div>
        <w:div w:id="631322999">
          <w:marLeft w:val="547"/>
          <w:marRight w:val="0"/>
          <w:marTop w:val="0"/>
          <w:marBottom w:val="0"/>
          <w:divBdr>
            <w:top w:val="none" w:sz="0" w:space="0" w:color="auto"/>
            <w:left w:val="none" w:sz="0" w:space="0" w:color="auto"/>
            <w:bottom w:val="none" w:sz="0" w:space="0" w:color="auto"/>
            <w:right w:val="none" w:sz="0" w:space="0" w:color="auto"/>
          </w:divBdr>
        </w:div>
        <w:div w:id="689111587">
          <w:marLeft w:val="547"/>
          <w:marRight w:val="0"/>
          <w:marTop w:val="0"/>
          <w:marBottom w:val="0"/>
          <w:divBdr>
            <w:top w:val="none" w:sz="0" w:space="0" w:color="auto"/>
            <w:left w:val="none" w:sz="0" w:space="0" w:color="auto"/>
            <w:bottom w:val="none" w:sz="0" w:space="0" w:color="auto"/>
            <w:right w:val="none" w:sz="0" w:space="0" w:color="auto"/>
          </w:divBdr>
        </w:div>
        <w:div w:id="735248628">
          <w:marLeft w:val="547"/>
          <w:marRight w:val="0"/>
          <w:marTop w:val="0"/>
          <w:marBottom w:val="160"/>
          <w:divBdr>
            <w:top w:val="none" w:sz="0" w:space="0" w:color="auto"/>
            <w:left w:val="none" w:sz="0" w:space="0" w:color="auto"/>
            <w:bottom w:val="none" w:sz="0" w:space="0" w:color="auto"/>
            <w:right w:val="none" w:sz="0" w:space="0" w:color="auto"/>
          </w:divBdr>
        </w:div>
        <w:div w:id="828639797">
          <w:marLeft w:val="0"/>
          <w:marRight w:val="0"/>
          <w:marTop w:val="0"/>
          <w:marBottom w:val="160"/>
          <w:divBdr>
            <w:top w:val="none" w:sz="0" w:space="0" w:color="auto"/>
            <w:left w:val="none" w:sz="0" w:space="0" w:color="auto"/>
            <w:bottom w:val="none" w:sz="0" w:space="0" w:color="auto"/>
            <w:right w:val="none" w:sz="0" w:space="0" w:color="auto"/>
          </w:divBdr>
        </w:div>
        <w:div w:id="849678530">
          <w:marLeft w:val="547"/>
          <w:marRight w:val="0"/>
          <w:marTop w:val="0"/>
          <w:marBottom w:val="0"/>
          <w:divBdr>
            <w:top w:val="none" w:sz="0" w:space="0" w:color="auto"/>
            <w:left w:val="none" w:sz="0" w:space="0" w:color="auto"/>
            <w:bottom w:val="none" w:sz="0" w:space="0" w:color="auto"/>
            <w:right w:val="none" w:sz="0" w:space="0" w:color="auto"/>
          </w:divBdr>
        </w:div>
        <w:div w:id="1317102636">
          <w:marLeft w:val="720"/>
          <w:marRight w:val="0"/>
          <w:marTop w:val="0"/>
          <w:marBottom w:val="160"/>
          <w:divBdr>
            <w:top w:val="none" w:sz="0" w:space="0" w:color="auto"/>
            <w:left w:val="none" w:sz="0" w:space="0" w:color="auto"/>
            <w:bottom w:val="none" w:sz="0" w:space="0" w:color="auto"/>
            <w:right w:val="none" w:sz="0" w:space="0" w:color="auto"/>
          </w:divBdr>
        </w:div>
        <w:div w:id="1360621444">
          <w:marLeft w:val="0"/>
          <w:marRight w:val="0"/>
          <w:marTop w:val="0"/>
          <w:marBottom w:val="160"/>
          <w:divBdr>
            <w:top w:val="none" w:sz="0" w:space="0" w:color="auto"/>
            <w:left w:val="none" w:sz="0" w:space="0" w:color="auto"/>
            <w:bottom w:val="none" w:sz="0" w:space="0" w:color="auto"/>
            <w:right w:val="none" w:sz="0" w:space="0" w:color="auto"/>
          </w:divBdr>
        </w:div>
        <w:div w:id="1875146176">
          <w:marLeft w:val="720"/>
          <w:marRight w:val="0"/>
          <w:marTop w:val="0"/>
          <w:marBottom w:val="160"/>
          <w:divBdr>
            <w:top w:val="none" w:sz="0" w:space="0" w:color="auto"/>
            <w:left w:val="none" w:sz="0" w:space="0" w:color="auto"/>
            <w:bottom w:val="none" w:sz="0" w:space="0" w:color="auto"/>
            <w:right w:val="none" w:sz="0" w:space="0" w:color="auto"/>
          </w:divBdr>
        </w:div>
        <w:div w:id="2079742424">
          <w:marLeft w:val="547"/>
          <w:marRight w:val="0"/>
          <w:marTop w:val="0"/>
          <w:marBottom w:val="160"/>
          <w:divBdr>
            <w:top w:val="none" w:sz="0" w:space="0" w:color="auto"/>
            <w:left w:val="none" w:sz="0" w:space="0" w:color="auto"/>
            <w:bottom w:val="none" w:sz="0" w:space="0" w:color="auto"/>
            <w:right w:val="none" w:sz="0" w:space="0" w:color="auto"/>
          </w:divBdr>
        </w:div>
        <w:div w:id="2116627464">
          <w:marLeft w:val="547"/>
          <w:marRight w:val="0"/>
          <w:marTop w:val="0"/>
          <w:marBottom w:val="0"/>
          <w:divBdr>
            <w:top w:val="none" w:sz="0" w:space="0" w:color="auto"/>
            <w:left w:val="none" w:sz="0" w:space="0" w:color="auto"/>
            <w:bottom w:val="none" w:sz="0" w:space="0" w:color="auto"/>
            <w:right w:val="none" w:sz="0" w:space="0" w:color="auto"/>
          </w:divBdr>
        </w:div>
      </w:divsChild>
    </w:div>
    <w:div w:id="1952318520">
      <w:bodyDiv w:val="1"/>
      <w:marLeft w:val="0"/>
      <w:marRight w:val="0"/>
      <w:marTop w:val="0"/>
      <w:marBottom w:val="0"/>
      <w:divBdr>
        <w:top w:val="none" w:sz="0" w:space="0" w:color="auto"/>
        <w:left w:val="none" w:sz="0" w:space="0" w:color="auto"/>
        <w:bottom w:val="none" w:sz="0" w:space="0" w:color="auto"/>
        <w:right w:val="none" w:sz="0" w:space="0" w:color="auto"/>
      </w:divBdr>
    </w:div>
    <w:div w:id="1971327499">
      <w:bodyDiv w:val="1"/>
      <w:marLeft w:val="0"/>
      <w:marRight w:val="0"/>
      <w:marTop w:val="0"/>
      <w:marBottom w:val="0"/>
      <w:divBdr>
        <w:top w:val="none" w:sz="0" w:space="0" w:color="auto"/>
        <w:left w:val="none" w:sz="0" w:space="0" w:color="auto"/>
        <w:bottom w:val="none" w:sz="0" w:space="0" w:color="auto"/>
        <w:right w:val="none" w:sz="0" w:space="0" w:color="auto"/>
      </w:divBdr>
    </w:div>
    <w:div w:id="1993872931">
      <w:bodyDiv w:val="1"/>
      <w:marLeft w:val="0"/>
      <w:marRight w:val="0"/>
      <w:marTop w:val="0"/>
      <w:marBottom w:val="0"/>
      <w:divBdr>
        <w:top w:val="none" w:sz="0" w:space="0" w:color="auto"/>
        <w:left w:val="none" w:sz="0" w:space="0" w:color="auto"/>
        <w:bottom w:val="none" w:sz="0" w:space="0" w:color="auto"/>
        <w:right w:val="none" w:sz="0" w:space="0" w:color="auto"/>
      </w:divBdr>
    </w:div>
    <w:div w:id="2090535064">
      <w:bodyDiv w:val="1"/>
      <w:marLeft w:val="0"/>
      <w:marRight w:val="0"/>
      <w:marTop w:val="0"/>
      <w:marBottom w:val="0"/>
      <w:divBdr>
        <w:top w:val="none" w:sz="0" w:space="0" w:color="auto"/>
        <w:left w:val="none" w:sz="0" w:space="0" w:color="auto"/>
        <w:bottom w:val="none" w:sz="0" w:space="0" w:color="auto"/>
        <w:right w:val="none" w:sz="0" w:space="0" w:color="auto"/>
      </w:divBdr>
      <w:divsChild>
        <w:div w:id="110320280">
          <w:marLeft w:val="446"/>
          <w:marRight w:val="0"/>
          <w:marTop w:val="200"/>
          <w:marBottom w:val="0"/>
          <w:divBdr>
            <w:top w:val="none" w:sz="0" w:space="0" w:color="auto"/>
            <w:left w:val="none" w:sz="0" w:space="0" w:color="auto"/>
            <w:bottom w:val="none" w:sz="0" w:space="0" w:color="auto"/>
            <w:right w:val="none" w:sz="0" w:space="0" w:color="auto"/>
          </w:divBdr>
        </w:div>
        <w:div w:id="141197291">
          <w:marLeft w:val="446"/>
          <w:marRight w:val="0"/>
          <w:marTop w:val="200"/>
          <w:marBottom w:val="0"/>
          <w:divBdr>
            <w:top w:val="none" w:sz="0" w:space="0" w:color="auto"/>
            <w:left w:val="none" w:sz="0" w:space="0" w:color="auto"/>
            <w:bottom w:val="none" w:sz="0" w:space="0" w:color="auto"/>
            <w:right w:val="none" w:sz="0" w:space="0" w:color="auto"/>
          </w:divBdr>
        </w:div>
        <w:div w:id="706218845">
          <w:marLeft w:val="446"/>
          <w:marRight w:val="0"/>
          <w:marTop w:val="200"/>
          <w:marBottom w:val="0"/>
          <w:divBdr>
            <w:top w:val="none" w:sz="0" w:space="0" w:color="auto"/>
            <w:left w:val="none" w:sz="0" w:space="0" w:color="auto"/>
            <w:bottom w:val="none" w:sz="0" w:space="0" w:color="auto"/>
            <w:right w:val="none" w:sz="0" w:space="0" w:color="auto"/>
          </w:divBdr>
        </w:div>
        <w:div w:id="779027571">
          <w:marLeft w:val="446"/>
          <w:marRight w:val="0"/>
          <w:marTop w:val="200"/>
          <w:marBottom w:val="0"/>
          <w:divBdr>
            <w:top w:val="none" w:sz="0" w:space="0" w:color="auto"/>
            <w:left w:val="none" w:sz="0" w:space="0" w:color="auto"/>
            <w:bottom w:val="none" w:sz="0" w:space="0" w:color="auto"/>
            <w:right w:val="none" w:sz="0" w:space="0" w:color="auto"/>
          </w:divBdr>
        </w:div>
        <w:div w:id="1243835179">
          <w:marLeft w:val="446"/>
          <w:marRight w:val="0"/>
          <w:marTop w:val="200"/>
          <w:marBottom w:val="0"/>
          <w:divBdr>
            <w:top w:val="none" w:sz="0" w:space="0" w:color="auto"/>
            <w:left w:val="none" w:sz="0" w:space="0" w:color="auto"/>
            <w:bottom w:val="none" w:sz="0" w:space="0" w:color="auto"/>
            <w:right w:val="none" w:sz="0" w:space="0" w:color="auto"/>
          </w:divBdr>
        </w:div>
        <w:div w:id="1880895815">
          <w:marLeft w:val="446"/>
          <w:marRight w:val="0"/>
          <w:marTop w:val="200"/>
          <w:marBottom w:val="0"/>
          <w:divBdr>
            <w:top w:val="none" w:sz="0" w:space="0" w:color="auto"/>
            <w:left w:val="none" w:sz="0" w:space="0" w:color="auto"/>
            <w:bottom w:val="none" w:sz="0" w:space="0" w:color="auto"/>
            <w:right w:val="none" w:sz="0" w:space="0" w:color="auto"/>
          </w:divBdr>
        </w:div>
        <w:div w:id="1910460990">
          <w:marLeft w:val="446"/>
          <w:marRight w:val="0"/>
          <w:marTop w:val="200"/>
          <w:marBottom w:val="0"/>
          <w:divBdr>
            <w:top w:val="none" w:sz="0" w:space="0" w:color="auto"/>
            <w:left w:val="none" w:sz="0" w:space="0" w:color="auto"/>
            <w:bottom w:val="none" w:sz="0" w:space="0" w:color="auto"/>
            <w:right w:val="none" w:sz="0" w:space="0" w:color="auto"/>
          </w:divBdr>
        </w:div>
        <w:div w:id="1989163167">
          <w:marLeft w:val="446"/>
          <w:marRight w:val="0"/>
          <w:marTop w:val="200"/>
          <w:marBottom w:val="0"/>
          <w:divBdr>
            <w:top w:val="none" w:sz="0" w:space="0" w:color="auto"/>
            <w:left w:val="none" w:sz="0" w:space="0" w:color="auto"/>
            <w:bottom w:val="none" w:sz="0" w:space="0" w:color="auto"/>
            <w:right w:val="none" w:sz="0" w:space="0" w:color="auto"/>
          </w:divBdr>
        </w:div>
        <w:div w:id="2120833638">
          <w:marLeft w:val="446"/>
          <w:marRight w:val="0"/>
          <w:marTop w:val="200"/>
          <w:marBottom w:val="0"/>
          <w:divBdr>
            <w:top w:val="none" w:sz="0" w:space="0" w:color="auto"/>
            <w:left w:val="none" w:sz="0" w:space="0" w:color="auto"/>
            <w:bottom w:val="none" w:sz="0" w:space="0" w:color="auto"/>
            <w:right w:val="none" w:sz="0" w:space="0" w:color="auto"/>
          </w:divBdr>
        </w:div>
      </w:divsChild>
    </w:div>
    <w:div w:id="2109736849">
      <w:bodyDiv w:val="1"/>
      <w:marLeft w:val="0"/>
      <w:marRight w:val="0"/>
      <w:marTop w:val="0"/>
      <w:marBottom w:val="0"/>
      <w:divBdr>
        <w:top w:val="none" w:sz="0" w:space="0" w:color="auto"/>
        <w:left w:val="none" w:sz="0" w:space="0" w:color="auto"/>
        <w:bottom w:val="none" w:sz="0" w:space="0" w:color="auto"/>
        <w:right w:val="none" w:sz="0" w:space="0" w:color="auto"/>
      </w:divBdr>
    </w:div>
    <w:div w:id="2130542374">
      <w:bodyDiv w:val="1"/>
      <w:marLeft w:val="0"/>
      <w:marRight w:val="0"/>
      <w:marTop w:val="0"/>
      <w:marBottom w:val="0"/>
      <w:divBdr>
        <w:top w:val="none" w:sz="0" w:space="0" w:color="auto"/>
        <w:left w:val="none" w:sz="0" w:space="0" w:color="auto"/>
        <w:bottom w:val="none" w:sz="0" w:space="0" w:color="auto"/>
        <w:right w:val="none" w:sz="0" w:space="0" w:color="auto"/>
      </w:divBdr>
      <w:divsChild>
        <w:div w:id="26836651">
          <w:marLeft w:val="0"/>
          <w:marRight w:val="0"/>
          <w:marTop w:val="0"/>
          <w:marBottom w:val="0"/>
          <w:divBdr>
            <w:top w:val="none" w:sz="0" w:space="0" w:color="auto"/>
            <w:left w:val="none" w:sz="0" w:space="0" w:color="auto"/>
            <w:bottom w:val="none" w:sz="0" w:space="0" w:color="auto"/>
            <w:right w:val="none" w:sz="0" w:space="0" w:color="auto"/>
          </w:divBdr>
          <w:divsChild>
            <w:div w:id="1786609079">
              <w:marLeft w:val="-75"/>
              <w:marRight w:val="0"/>
              <w:marTop w:val="30"/>
              <w:marBottom w:val="30"/>
              <w:divBdr>
                <w:top w:val="none" w:sz="0" w:space="0" w:color="auto"/>
                <w:left w:val="none" w:sz="0" w:space="0" w:color="auto"/>
                <w:bottom w:val="none" w:sz="0" w:space="0" w:color="auto"/>
                <w:right w:val="none" w:sz="0" w:space="0" w:color="auto"/>
              </w:divBdr>
              <w:divsChild>
                <w:div w:id="627784530">
                  <w:marLeft w:val="0"/>
                  <w:marRight w:val="0"/>
                  <w:marTop w:val="0"/>
                  <w:marBottom w:val="0"/>
                  <w:divBdr>
                    <w:top w:val="none" w:sz="0" w:space="0" w:color="auto"/>
                    <w:left w:val="none" w:sz="0" w:space="0" w:color="auto"/>
                    <w:bottom w:val="none" w:sz="0" w:space="0" w:color="auto"/>
                    <w:right w:val="none" w:sz="0" w:space="0" w:color="auto"/>
                  </w:divBdr>
                  <w:divsChild>
                    <w:div w:id="1221790371">
                      <w:marLeft w:val="0"/>
                      <w:marRight w:val="0"/>
                      <w:marTop w:val="0"/>
                      <w:marBottom w:val="0"/>
                      <w:divBdr>
                        <w:top w:val="none" w:sz="0" w:space="0" w:color="auto"/>
                        <w:left w:val="none" w:sz="0" w:space="0" w:color="auto"/>
                        <w:bottom w:val="none" w:sz="0" w:space="0" w:color="auto"/>
                        <w:right w:val="none" w:sz="0" w:space="0" w:color="auto"/>
                      </w:divBdr>
                    </w:div>
                  </w:divsChild>
                </w:div>
                <w:div w:id="682822925">
                  <w:marLeft w:val="0"/>
                  <w:marRight w:val="0"/>
                  <w:marTop w:val="0"/>
                  <w:marBottom w:val="0"/>
                  <w:divBdr>
                    <w:top w:val="none" w:sz="0" w:space="0" w:color="auto"/>
                    <w:left w:val="none" w:sz="0" w:space="0" w:color="auto"/>
                    <w:bottom w:val="none" w:sz="0" w:space="0" w:color="auto"/>
                    <w:right w:val="none" w:sz="0" w:space="0" w:color="auto"/>
                  </w:divBdr>
                  <w:divsChild>
                    <w:div w:id="2123257893">
                      <w:marLeft w:val="0"/>
                      <w:marRight w:val="0"/>
                      <w:marTop w:val="0"/>
                      <w:marBottom w:val="0"/>
                      <w:divBdr>
                        <w:top w:val="none" w:sz="0" w:space="0" w:color="auto"/>
                        <w:left w:val="none" w:sz="0" w:space="0" w:color="auto"/>
                        <w:bottom w:val="none" w:sz="0" w:space="0" w:color="auto"/>
                        <w:right w:val="none" w:sz="0" w:space="0" w:color="auto"/>
                      </w:divBdr>
                    </w:div>
                  </w:divsChild>
                </w:div>
                <w:div w:id="725186439">
                  <w:marLeft w:val="0"/>
                  <w:marRight w:val="0"/>
                  <w:marTop w:val="0"/>
                  <w:marBottom w:val="0"/>
                  <w:divBdr>
                    <w:top w:val="none" w:sz="0" w:space="0" w:color="auto"/>
                    <w:left w:val="none" w:sz="0" w:space="0" w:color="auto"/>
                    <w:bottom w:val="none" w:sz="0" w:space="0" w:color="auto"/>
                    <w:right w:val="none" w:sz="0" w:space="0" w:color="auto"/>
                  </w:divBdr>
                  <w:divsChild>
                    <w:div w:id="177233190">
                      <w:marLeft w:val="0"/>
                      <w:marRight w:val="0"/>
                      <w:marTop w:val="0"/>
                      <w:marBottom w:val="0"/>
                      <w:divBdr>
                        <w:top w:val="none" w:sz="0" w:space="0" w:color="auto"/>
                        <w:left w:val="none" w:sz="0" w:space="0" w:color="auto"/>
                        <w:bottom w:val="none" w:sz="0" w:space="0" w:color="auto"/>
                        <w:right w:val="none" w:sz="0" w:space="0" w:color="auto"/>
                      </w:divBdr>
                    </w:div>
                  </w:divsChild>
                </w:div>
                <w:div w:id="808472829">
                  <w:marLeft w:val="0"/>
                  <w:marRight w:val="0"/>
                  <w:marTop w:val="0"/>
                  <w:marBottom w:val="0"/>
                  <w:divBdr>
                    <w:top w:val="none" w:sz="0" w:space="0" w:color="auto"/>
                    <w:left w:val="none" w:sz="0" w:space="0" w:color="auto"/>
                    <w:bottom w:val="none" w:sz="0" w:space="0" w:color="auto"/>
                    <w:right w:val="none" w:sz="0" w:space="0" w:color="auto"/>
                  </w:divBdr>
                  <w:divsChild>
                    <w:div w:id="478497024">
                      <w:marLeft w:val="0"/>
                      <w:marRight w:val="0"/>
                      <w:marTop w:val="0"/>
                      <w:marBottom w:val="0"/>
                      <w:divBdr>
                        <w:top w:val="none" w:sz="0" w:space="0" w:color="auto"/>
                        <w:left w:val="none" w:sz="0" w:space="0" w:color="auto"/>
                        <w:bottom w:val="none" w:sz="0" w:space="0" w:color="auto"/>
                        <w:right w:val="none" w:sz="0" w:space="0" w:color="auto"/>
                      </w:divBdr>
                    </w:div>
                    <w:div w:id="637953002">
                      <w:marLeft w:val="0"/>
                      <w:marRight w:val="0"/>
                      <w:marTop w:val="0"/>
                      <w:marBottom w:val="0"/>
                      <w:divBdr>
                        <w:top w:val="none" w:sz="0" w:space="0" w:color="auto"/>
                        <w:left w:val="none" w:sz="0" w:space="0" w:color="auto"/>
                        <w:bottom w:val="none" w:sz="0" w:space="0" w:color="auto"/>
                        <w:right w:val="none" w:sz="0" w:space="0" w:color="auto"/>
                      </w:divBdr>
                    </w:div>
                  </w:divsChild>
                </w:div>
                <w:div w:id="886795895">
                  <w:marLeft w:val="0"/>
                  <w:marRight w:val="0"/>
                  <w:marTop w:val="0"/>
                  <w:marBottom w:val="0"/>
                  <w:divBdr>
                    <w:top w:val="none" w:sz="0" w:space="0" w:color="auto"/>
                    <w:left w:val="none" w:sz="0" w:space="0" w:color="auto"/>
                    <w:bottom w:val="none" w:sz="0" w:space="0" w:color="auto"/>
                    <w:right w:val="none" w:sz="0" w:space="0" w:color="auto"/>
                  </w:divBdr>
                  <w:divsChild>
                    <w:div w:id="736517378">
                      <w:marLeft w:val="0"/>
                      <w:marRight w:val="0"/>
                      <w:marTop w:val="0"/>
                      <w:marBottom w:val="0"/>
                      <w:divBdr>
                        <w:top w:val="none" w:sz="0" w:space="0" w:color="auto"/>
                        <w:left w:val="none" w:sz="0" w:space="0" w:color="auto"/>
                        <w:bottom w:val="none" w:sz="0" w:space="0" w:color="auto"/>
                        <w:right w:val="none" w:sz="0" w:space="0" w:color="auto"/>
                      </w:divBdr>
                    </w:div>
                    <w:div w:id="1055667742">
                      <w:marLeft w:val="0"/>
                      <w:marRight w:val="0"/>
                      <w:marTop w:val="0"/>
                      <w:marBottom w:val="0"/>
                      <w:divBdr>
                        <w:top w:val="none" w:sz="0" w:space="0" w:color="auto"/>
                        <w:left w:val="none" w:sz="0" w:space="0" w:color="auto"/>
                        <w:bottom w:val="none" w:sz="0" w:space="0" w:color="auto"/>
                        <w:right w:val="none" w:sz="0" w:space="0" w:color="auto"/>
                      </w:divBdr>
                    </w:div>
                  </w:divsChild>
                </w:div>
                <w:div w:id="1306665397">
                  <w:marLeft w:val="0"/>
                  <w:marRight w:val="0"/>
                  <w:marTop w:val="0"/>
                  <w:marBottom w:val="0"/>
                  <w:divBdr>
                    <w:top w:val="none" w:sz="0" w:space="0" w:color="auto"/>
                    <w:left w:val="none" w:sz="0" w:space="0" w:color="auto"/>
                    <w:bottom w:val="none" w:sz="0" w:space="0" w:color="auto"/>
                    <w:right w:val="none" w:sz="0" w:space="0" w:color="auto"/>
                  </w:divBdr>
                  <w:divsChild>
                    <w:div w:id="775372946">
                      <w:marLeft w:val="0"/>
                      <w:marRight w:val="0"/>
                      <w:marTop w:val="0"/>
                      <w:marBottom w:val="0"/>
                      <w:divBdr>
                        <w:top w:val="none" w:sz="0" w:space="0" w:color="auto"/>
                        <w:left w:val="none" w:sz="0" w:space="0" w:color="auto"/>
                        <w:bottom w:val="none" w:sz="0" w:space="0" w:color="auto"/>
                        <w:right w:val="none" w:sz="0" w:space="0" w:color="auto"/>
                      </w:divBdr>
                    </w:div>
                  </w:divsChild>
                </w:div>
                <w:div w:id="1451976000">
                  <w:marLeft w:val="0"/>
                  <w:marRight w:val="0"/>
                  <w:marTop w:val="0"/>
                  <w:marBottom w:val="0"/>
                  <w:divBdr>
                    <w:top w:val="none" w:sz="0" w:space="0" w:color="auto"/>
                    <w:left w:val="none" w:sz="0" w:space="0" w:color="auto"/>
                    <w:bottom w:val="none" w:sz="0" w:space="0" w:color="auto"/>
                    <w:right w:val="none" w:sz="0" w:space="0" w:color="auto"/>
                  </w:divBdr>
                  <w:divsChild>
                    <w:div w:id="52508097">
                      <w:marLeft w:val="0"/>
                      <w:marRight w:val="0"/>
                      <w:marTop w:val="0"/>
                      <w:marBottom w:val="0"/>
                      <w:divBdr>
                        <w:top w:val="none" w:sz="0" w:space="0" w:color="auto"/>
                        <w:left w:val="none" w:sz="0" w:space="0" w:color="auto"/>
                        <w:bottom w:val="none" w:sz="0" w:space="0" w:color="auto"/>
                        <w:right w:val="none" w:sz="0" w:space="0" w:color="auto"/>
                      </w:divBdr>
                    </w:div>
                  </w:divsChild>
                </w:div>
                <w:div w:id="1738281755">
                  <w:marLeft w:val="0"/>
                  <w:marRight w:val="0"/>
                  <w:marTop w:val="0"/>
                  <w:marBottom w:val="0"/>
                  <w:divBdr>
                    <w:top w:val="none" w:sz="0" w:space="0" w:color="auto"/>
                    <w:left w:val="none" w:sz="0" w:space="0" w:color="auto"/>
                    <w:bottom w:val="none" w:sz="0" w:space="0" w:color="auto"/>
                    <w:right w:val="none" w:sz="0" w:space="0" w:color="auto"/>
                  </w:divBdr>
                  <w:divsChild>
                    <w:div w:id="1232883780">
                      <w:marLeft w:val="0"/>
                      <w:marRight w:val="0"/>
                      <w:marTop w:val="0"/>
                      <w:marBottom w:val="0"/>
                      <w:divBdr>
                        <w:top w:val="none" w:sz="0" w:space="0" w:color="auto"/>
                        <w:left w:val="none" w:sz="0" w:space="0" w:color="auto"/>
                        <w:bottom w:val="none" w:sz="0" w:space="0" w:color="auto"/>
                        <w:right w:val="none" w:sz="0" w:space="0" w:color="auto"/>
                      </w:divBdr>
                    </w:div>
                  </w:divsChild>
                </w:div>
                <w:div w:id="1858959933">
                  <w:marLeft w:val="0"/>
                  <w:marRight w:val="0"/>
                  <w:marTop w:val="0"/>
                  <w:marBottom w:val="0"/>
                  <w:divBdr>
                    <w:top w:val="none" w:sz="0" w:space="0" w:color="auto"/>
                    <w:left w:val="none" w:sz="0" w:space="0" w:color="auto"/>
                    <w:bottom w:val="none" w:sz="0" w:space="0" w:color="auto"/>
                    <w:right w:val="none" w:sz="0" w:space="0" w:color="auto"/>
                  </w:divBdr>
                  <w:divsChild>
                    <w:div w:id="1542285245">
                      <w:marLeft w:val="0"/>
                      <w:marRight w:val="0"/>
                      <w:marTop w:val="0"/>
                      <w:marBottom w:val="0"/>
                      <w:divBdr>
                        <w:top w:val="none" w:sz="0" w:space="0" w:color="auto"/>
                        <w:left w:val="none" w:sz="0" w:space="0" w:color="auto"/>
                        <w:bottom w:val="none" w:sz="0" w:space="0" w:color="auto"/>
                        <w:right w:val="none" w:sz="0" w:space="0" w:color="auto"/>
                      </w:divBdr>
                    </w:div>
                  </w:divsChild>
                </w:div>
                <w:div w:id="1923754911">
                  <w:marLeft w:val="0"/>
                  <w:marRight w:val="0"/>
                  <w:marTop w:val="0"/>
                  <w:marBottom w:val="0"/>
                  <w:divBdr>
                    <w:top w:val="none" w:sz="0" w:space="0" w:color="auto"/>
                    <w:left w:val="none" w:sz="0" w:space="0" w:color="auto"/>
                    <w:bottom w:val="none" w:sz="0" w:space="0" w:color="auto"/>
                    <w:right w:val="none" w:sz="0" w:space="0" w:color="auto"/>
                  </w:divBdr>
                  <w:divsChild>
                    <w:div w:id="1307124718">
                      <w:marLeft w:val="0"/>
                      <w:marRight w:val="0"/>
                      <w:marTop w:val="0"/>
                      <w:marBottom w:val="0"/>
                      <w:divBdr>
                        <w:top w:val="none" w:sz="0" w:space="0" w:color="auto"/>
                        <w:left w:val="none" w:sz="0" w:space="0" w:color="auto"/>
                        <w:bottom w:val="none" w:sz="0" w:space="0" w:color="auto"/>
                        <w:right w:val="none" w:sz="0" w:space="0" w:color="auto"/>
                      </w:divBdr>
                    </w:div>
                    <w:div w:id="1927107249">
                      <w:marLeft w:val="0"/>
                      <w:marRight w:val="0"/>
                      <w:marTop w:val="0"/>
                      <w:marBottom w:val="0"/>
                      <w:divBdr>
                        <w:top w:val="none" w:sz="0" w:space="0" w:color="auto"/>
                        <w:left w:val="none" w:sz="0" w:space="0" w:color="auto"/>
                        <w:bottom w:val="none" w:sz="0" w:space="0" w:color="auto"/>
                        <w:right w:val="none" w:sz="0" w:space="0" w:color="auto"/>
                      </w:divBdr>
                    </w:div>
                  </w:divsChild>
                </w:div>
                <w:div w:id="2057123148">
                  <w:marLeft w:val="0"/>
                  <w:marRight w:val="0"/>
                  <w:marTop w:val="0"/>
                  <w:marBottom w:val="0"/>
                  <w:divBdr>
                    <w:top w:val="none" w:sz="0" w:space="0" w:color="auto"/>
                    <w:left w:val="none" w:sz="0" w:space="0" w:color="auto"/>
                    <w:bottom w:val="none" w:sz="0" w:space="0" w:color="auto"/>
                    <w:right w:val="none" w:sz="0" w:space="0" w:color="auto"/>
                  </w:divBdr>
                  <w:divsChild>
                    <w:div w:id="2078937533">
                      <w:marLeft w:val="0"/>
                      <w:marRight w:val="0"/>
                      <w:marTop w:val="0"/>
                      <w:marBottom w:val="0"/>
                      <w:divBdr>
                        <w:top w:val="none" w:sz="0" w:space="0" w:color="auto"/>
                        <w:left w:val="none" w:sz="0" w:space="0" w:color="auto"/>
                        <w:bottom w:val="none" w:sz="0" w:space="0" w:color="auto"/>
                        <w:right w:val="none" w:sz="0" w:space="0" w:color="auto"/>
                      </w:divBdr>
                    </w:div>
                  </w:divsChild>
                </w:div>
                <w:div w:id="2057583268">
                  <w:marLeft w:val="0"/>
                  <w:marRight w:val="0"/>
                  <w:marTop w:val="0"/>
                  <w:marBottom w:val="0"/>
                  <w:divBdr>
                    <w:top w:val="none" w:sz="0" w:space="0" w:color="auto"/>
                    <w:left w:val="none" w:sz="0" w:space="0" w:color="auto"/>
                    <w:bottom w:val="none" w:sz="0" w:space="0" w:color="auto"/>
                    <w:right w:val="none" w:sz="0" w:space="0" w:color="auto"/>
                  </w:divBdr>
                  <w:divsChild>
                    <w:div w:id="298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8577">
          <w:marLeft w:val="0"/>
          <w:marRight w:val="0"/>
          <w:marTop w:val="0"/>
          <w:marBottom w:val="0"/>
          <w:divBdr>
            <w:top w:val="none" w:sz="0" w:space="0" w:color="auto"/>
            <w:left w:val="none" w:sz="0" w:space="0" w:color="auto"/>
            <w:bottom w:val="none" w:sz="0" w:space="0" w:color="auto"/>
            <w:right w:val="none" w:sz="0" w:space="0" w:color="auto"/>
          </w:divBdr>
          <w:divsChild>
            <w:div w:id="604847573">
              <w:marLeft w:val="0"/>
              <w:marRight w:val="0"/>
              <w:marTop w:val="0"/>
              <w:marBottom w:val="0"/>
              <w:divBdr>
                <w:top w:val="none" w:sz="0" w:space="0" w:color="auto"/>
                <w:left w:val="none" w:sz="0" w:space="0" w:color="auto"/>
                <w:bottom w:val="none" w:sz="0" w:space="0" w:color="auto"/>
                <w:right w:val="none" w:sz="0" w:space="0" w:color="auto"/>
              </w:divBdr>
            </w:div>
            <w:div w:id="721557882">
              <w:marLeft w:val="0"/>
              <w:marRight w:val="0"/>
              <w:marTop w:val="0"/>
              <w:marBottom w:val="0"/>
              <w:divBdr>
                <w:top w:val="none" w:sz="0" w:space="0" w:color="auto"/>
                <w:left w:val="none" w:sz="0" w:space="0" w:color="auto"/>
                <w:bottom w:val="none" w:sz="0" w:space="0" w:color="auto"/>
                <w:right w:val="none" w:sz="0" w:space="0" w:color="auto"/>
              </w:divBdr>
            </w:div>
            <w:div w:id="1841383055">
              <w:marLeft w:val="0"/>
              <w:marRight w:val="0"/>
              <w:marTop w:val="0"/>
              <w:marBottom w:val="0"/>
              <w:divBdr>
                <w:top w:val="none" w:sz="0" w:space="0" w:color="auto"/>
                <w:left w:val="none" w:sz="0" w:space="0" w:color="auto"/>
                <w:bottom w:val="none" w:sz="0" w:space="0" w:color="auto"/>
                <w:right w:val="none" w:sz="0" w:space="0" w:color="auto"/>
              </w:divBdr>
            </w:div>
            <w:div w:id="2006517720">
              <w:marLeft w:val="0"/>
              <w:marRight w:val="0"/>
              <w:marTop w:val="0"/>
              <w:marBottom w:val="0"/>
              <w:divBdr>
                <w:top w:val="none" w:sz="0" w:space="0" w:color="auto"/>
                <w:left w:val="none" w:sz="0" w:space="0" w:color="auto"/>
                <w:bottom w:val="none" w:sz="0" w:space="0" w:color="auto"/>
                <w:right w:val="none" w:sz="0" w:space="0" w:color="auto"/>
              </w:divBdr>
            </w:div>
          </w:divsChild>
        </w:div>
        <w:div w:id="116605241">
          <w:marLeft w:val="0"/>
          <w:marRight w:val="0"/>
          <w:marTop w:val="0"/>
          <w:marBottom w:val="0"/>
          <w:divBdr>
            <w:top w:val="none" w:sz="0" w:space="0" w:color="auto"/>
            <w:left w:val="none" w:sz="0" w:space="0" w:color="auto"/>
            <w:bottom w:val="none" w:sz="0" w:space="0" w:color="auto"/>
            <w:right w:val="none" w:sz="0" w:space="0" w:color="auto"/>
          </w:divBdr>
          <w:divsChild>
            <w:div w:id="242689885">
              <w:marLeft w:val="0"/>
              <w:marRight w:val="0"/>
              <w:marTop w:val="0"/>
              <w:marBottom w:val="0"/>
              <w:divBdr>
                <w:top w:val="none" w:sz="0" w:space="0" w:color="auto"/>
                <w:left w:val="none" w:sz="0" w:space="0" w:color="auto"/>
                <w:bottom w:val="none" w:sz="0" w:space="0" w:color="auto"/>
                <w:right w:val="none" w:sz="0" w:space="0" w:color="auto"/>
              </w:divBdr>
            </w:div>
            <w:div w:id="409742483">
              <w:marLeft w:val="0"/>
              <w:marRight w:val="0"/>
              <w:marTop w:val="0"/>
              <w:marBottom w:val="0"/>
              <w:divBdr>
                <w:top w:val="none" w:sz="0" w:space="0" w:color="auto"/>
                <w:left w:val="none" w:sz="0" w:space="0" w:color="auto"/>
                <w:bottom w:val="none" w:sz="0" w:space="0" w:color="auto"/>
                <w:right w:val="none" w:sz="0" w:space="0" w:color="auto"/>
              </w:divBdr>
            </w:div>
            <w:div w:id="426384072">
              <w:marLeft w:val="0"/>
              <w:marRight w:val="0"/>
              <w:marTop w:val="0"/>
              <w:marBottom w:val="0"/>
              <w:divBdr>
                <w:top w:val="none" w:sz="0" w:space="0" w:color="auto"/>
                <w:left w:val="none" w:sz="0" w:space="0" w:color="auto"/>
                <w:bottom w:val="none" w:sz="0" w:space="0" w:color="auto"/>
                <w:right w:val="none" w:sz="0" w:space="0" w:color="auto"/>
              </w:divBdr>
            </w:div>
            <w:div w:id="563443826">
              <w:marLeft w:val="0"/>
              <w:marRight w:val="0"/>
              <w:marTop w:val="0"/>
              <w:marBottom w:val="0"/>
              <w:divBdr>
                <w:top w:val="none" w:sz="0" w:space="0" w:color="auto"/>
                <w:left w:val="none" w:sz="0" w:space="0" w:color="auto"/>
                <w:bottom w:val="none" w:sz="0" w:space="0" w:color="auto"/>
                <w:right w:val="none" w:sz="0" w:space="0" w:color="auto"/>
              </w:divBdr>
            </w:div>
            <w:div w:id="620500933">
              <w:marLeft w:val="0"/>
              <w:marRight w:val="0"/>
              <w:marTop w:val="0"/>
              <w:marBottom w:val="0"/>
              <w:divBdr>
                <w:top w:val="none" w:sz="0" w:space="0" w:color="auto"/>
                <w:left w:val="none" w:sz="0" w:space="0" w:color="auto"/>
                <w:bottom w:val="none" w:sz="0" w:space="0" w:color="auto"/>
                <w:right w:val="none" w:sz="0" w:space="0" w:color="auto"/>
              </w:divBdr>
            </w:div>
            <w:div w:id="629558796">
              <w:marLeft w:val="0"/>
              <w:marRight w:val="0"/>
              <w:marTop w:val="0"/>
              <w:marBottom w:val="0"/>
              <w:divBdr>
                <w:top w:val="none" w:sz="0" w:space="0" w:color="auto"/>
                <w:left w:val="none" w:sz="0" w:space="0" w:color="auto"/>
                <w:bottom w:val="none" w:sz="0" w:space="0" w:color="auto"/>
                <w:right w:val="none" w:sz="0" w:space="0" w:color="auto"/>
              </w:divBdr>
            </w:div>
            <w:div w:id="1001154567">
              <w:marLeft w:val="0"/>
              <w:marRight w:val="0"/>
              <w:marTop w:val="0"/>
              <w:marBottom w:val="0"/>
              <w:divBdr>
                <w:top w:val="none" w:sz="0" w:space="0" w:color="auto"/>
                <w:left w:val="none" w:sz="0" w:space="0" w:color="auto"/>
                <w:bottom w:val="none" w:sz="0" w:space="0" w:color="auto"/>
                <w:right w:val="none" w:sz="0" w:space="0" w:color="auto"/>
              </w:divBdr>
            </w:div>
            <w:div w:id="1137382251">
              <w:marLeft w:val="0"/>
              <w:marRight w:val="0"/>
              <w:marTop w:val="0"/>
              <w:marBottom w:val="0"/>
              <w:divBdr>
                <w:top w:val="none" w:sz="0" w:space="0" w:color="auto"/>
                <w:left w:val="none" w:sz="0" w:space="0" w:color="auto"/>
                <w:bottom w:val="none" w:sz="0" w:space="0" w:color="auto"/>
                <w:right w:val="none" w:sz="0" w:space="0" w:color="auto"/>
              </w:divBdr>
            </w:div>
            <w:div w:id="1150290786">
              <w:marLeft w:val="0"/>
              <w:marRight w:val="0"/>
              <w:marTop w:val="0"/>
              <w:marBottom w:val="0"/>
              <w:divBdr>
                <w:top w:val="none" w:sz="0" w:space="0" w:color="auto"/>
                <w:left w:val="none" w:sz="0" w:space="0" w:color="auto"/>
                <w:bottom w:val="none" w:sz="0" w:space="0" w:color="auto"/>
                <w:right w:val="none" w:sz="0" w:space="0" w:color="auto"/>
              </w:divBdr>
            </w:div>
            <w:div w:id="1241332769">
              <w:marLeft w:val="0"/>
              <w:marRight w:val="0"/>
              <w:marTop w:val="0"/>
              <w:marBottom w:val="0"/>
              <w:divBdr>
                <w:top w:val="none" w:sz="0" w:space="0" w:color="auto"/>
                <w:left w:val="none" w:sz="0" w:space="0" w:color="auto"/>
                <w:bottom w:val="none" w:sz="0" w:space="0" w:color="auto"/>
                <w:right w:val="none" w:sz="0" w:space="0" w:color="auto"/>
              </w:divBdr>
            </w:div>
            <w:div w:id="1406565637">
              <w:marLeft w:val="0"/>
              <w:marRight w:val="0"/>
              <w:marTop w:val="0"/>
              <w:marBottom w:val="0"/>
              <w:divBdr>
                <w:top w:val="none" w:sz="0" w:space="0" w:color="auto"/>
                <w:left w:val="none" w:sz="0" w:space="0" w:color="auto"/>
                <w:bottom w:val="none" w:sz="0" w:space="0" w:color="auto"/>
                <w:right w:val="none" w:sz="0" w:space="0" w:color="auto"/>
              </w:divBdr>
            </w:div>
            <w:div w:id="1475372296">
              <w:marLeft w:val="0"/>
              <w:marRight w:val="0"/>
              <w:marTop w:val="0"/>
              <w:marBottom w:val="0"/>
              <w:divBdr>
                <w:top w:val="none" w:sz="0" w:space="0" w:color="auto"/>
                <w:left w:val="none" w:sz="0" w:space="0" w:color="auto"/>
                <w:bottom w:val="none" w:sz="0" w:space="0" w:color="auto"/>
                <w:right w:val="none" w:sz="0" w:space="0" w:color="auto"/>
              </w:divBdr>
            </w:div>
            <w:div w:id="1737170052">
              <w:marLeft w:val="0"/>
              <w:marRight w:val="0"/>
              <w:marTop w:val="0"/>
              <w:marBottom w:val="0"/>
              <w:divBdr>
                <w:top w:val="none" w:sz="0" w:space="0" w:color="auto"/>
                <w:left w:val="none" w:sz="0" w:space="0" w:color="auto"/>
                <w:bottom w:val="none" w:sz="0" w:space="0" w:color="auto"/>
                <w:right w:val="none" w:sz="0" w:space="0" w:color="auto"/>
              </w:divBdr>
            </w:div>
            <w:div w:id="1827167557">
              <w:marLeft w:val="0"/>
              <w:marRight w:val="0"/>
              <w:marTop w:val="0"/>
              <w:marBottom w:val="0"/>
              <w:divBdr>
                <w:top w:val="none" w:sz="0" w:space="0" w:color="auto"/>
                <w:left w:val="none" w:sz="0" w:space="0" w:color="auto"/>
                <w:bottom w:val="none" w:sz="0" w:space="0" w:color="auto"/>
                <w:right w:val="none" w:sz="0" w:space="0" w:color="auto"/>
              </w:divBdr>
            </w:div>
            <w:div w:id="1963345074">
              <w:marLeft w:val="0"/>
              <w:marRight w:val="0"/>
              <w:marTop w:val="0"/>
              <w:marBottom w:val="0"/>
              <w:divBdr>
                <w:top w:val="none" w:sz="0" w:space="0" w:color="auto"/>
                <w:left w:val="none" w:sz="0" w:space="0" w:color="auto"/>
                <w:bottom w:val="none" w:sz="0" w:space="0" w:color="auto"/>
                <w:right w:val="none" w:sz="0" w:space="0" w:color="auto"/>
              </w:divBdr>
            </w:div>
          </w:divsChild>
        </w:div>
        <w:div w:id="472064262">
          <w:marLeft w:val="0"/>
          <w:marRight w:val="0"/>
          <w:marTop w:val="0"/>
          <w:marBottom w:val="0"/>
          <w:divBdr>
            <w:top w:val="none" w:sz="0" w:space="0" w:color="auto"/>
            <w:left w:val="none" w:sz="0" w:space="0" w:color="auto"/>
            <w:bottom w:val="none" w:sz="0" w:space="0" w:color="auto"/>
            <w:right w:val="none" w:sz="0" w:space="0" w:color="auto"/>
          </w:divBdr>
          <w:divsChild>
            <w:div w:id="943881275">
              <w:marLeft w:val="0"/>
              <w:marRight w:val="0"/>
              <w:marTop w:val="0"/>
              <w:marBottom w:val="0"/>
              <w:divBdr>
                <w:top w:val="none" w:sz="0" w:space="0" w:color="auto"/>
                <w:left w:val="none" w:sz="0" w:space="0" w:color="auto"/>
                <w:bottom w:val="none" w:sz="0" w:space="0" w:color="auto"/>
                <w:right w:val="none" w:sz="0" w:space="0" w:color="auto"/>
              </w:divBdr>
            </w:div>
            <w:div w:id="984705864">
              <w:marLeft w:val="0"/>
              <w:marRight w:val="0"/>
              <w:marTop w:val="0"/>
              <w:marBottom w:val="0"/>
              <w:divBdr>
                <w:top w:val="none" w:sz="0" w:space="0" w:color="auto"/>
                <w:left w:val="none" w:sz="0" w:space="0" w:color="auto"/>
                <w:bottom w:val="none" w:sz="0" w:space="0" w:color="auto"/>
                <w:right w:val="none" w:sz="0" w:space="0" w:color="auto"/>
              </w:divBdr>
            </w:div>
            <w:div w:id="1352880391">
              <w:marLeft w:val="0"/>
              <w:marRight w:val="0"/>
              <w:marTop w:val="0"/>
              <w:marBottom w:val="0"/>
              <w:divBdr>
                <w:top w:val="none" w:sz="0" w:space="0" w:color="auto"/>
                <w:left w:val="none" w:sz="0" w:space="0" w:color="auto"/>
                <w:bottom w:val="none" w:sz="0" w:space="0" w:color="auto"/>
                <w:right w:val="none" w:sz="0" w:space="0" w:color="auto"/>
              </w:divBdr>
            </w:div>
          </w:divsChild>
        </w:div>
        <w:div w:id="1126462904">
          <w:marLeft w:val="0"/>
          <w:marRight w:val="0"/>
          <w:marTop w:val="0"/>
          <w:marBottom w:val="0"/>
          <w:divBdr>
            <w:top w:val="none" w:sz="0" w:space="0" w:color="auto"/>
            <w:left w:val="none" w:sz="0" w:space="0" w:color="auto"/>
            <w:bottom w:val="none" w:sz="0" w:space="0" w:color="auto"/>
            <w:right w:val="none" w:sz="0" w:space="0" w:color="auto"/>
          </w:divBdr>
          <w:divsChild>
            <w:div w:id="7143652">
              <w:marLeft w:val="0"/>
              <w:marRight w:val="0"/>
              <w:marTop w:val="0"/>
              <w:marBottom w:val="0"/>
              <w:divBdr>
                <w:top w:val="none" w:sz="0" w:space="0" w:color="auto"/>
                <w:left w:val="none" w:sz="0" w:space="0" w:color="auto"/>
                <w:bottom w:val="none" w:sz="0" w:space="0" w:color="auto"/>
                <w:right w:val="none" w:sz="0" w:space="0" w:color="auto"/>
              </w:divBdr>
            </w:div>
          </w:divsChild>
        </w:div>
        <w:div w:id="1159464741">
          <w:marLeft w:val="0"/>
          <w:marRight w:val="0"/>
          <w:marTop w:val="0"/>
          <w:marBottom w:val="0"/>
          <w:divBdr>
            <w:top w:val="none" w:sz="0" w:space="0" w:color="auto"/>
            <w:left w:val="none" w:sz="0" w:space="0" w:color="auto"/>
            <w:bottom w:val="none" w:sz="0" w:space="0" w:color="auto"/>
            <w:right w:val="none" w:sz="0" w:space="0" w:color="auto"/>
          </w:divBdr>
        </w:div>
        <w:div w:id="1357661206">
          <w:marLeft w:val="0"/>
          <w:marRight w:val="0"/>
          <w:marTop w:val="0"/>
          <w:marBottom w:val="0"/>
          <w:divBdr>
            <w:top w:val="none" w:sz="0" w:space="0" w:color="auto"/>
            <w:left w:val="none" w:sz="0" w:space="0" w:color="auto"/>
            <w:bottom w:val="none" w:sz="0" w:space="0" w:color="auto"/>
            <w:right w:val="none" w:sz="0" w:space="0" w:color="auto"/>
          </w:divBdr>
          <w:divsChild>
            <w:div w:id="17779856">
              <w:marLeft w:val="0"/>
              <w:marRight w:val="0"/>
              <w:marTop w:val="0"/>
              <w:marBottom w:val="0"/>
              <w:divBdr>
                <w:top w:val="none" w:sz="0" w:space="0" w:color="auto"/>
                <w:left w:val="none" w:sz="0" w:space="0" w:color="auto"/>
                <w:bottom w:val="none" w:sz="0" w:space="0" w:color="auto"/>
                <w:right w:val="none" w:sz="0" w:space="0" w:color="auto"/>
              </w:divBdr>
            </w:div>
            <w:div w:id="18361156">
              <w:marLeft w:val="0"/>
              <w:marRight w:val="0"/>
              <w:marTop w:val="0"/>
              <w:marBottom w:val="0"/>
              <w:divBdr>
                <w:top w:val="none" w:sz="0" w:space="0" w:color="auto"/>
                <w:left w:val="none" w:sz="0" w:space="0" w:color="auto"/>
                <w:bottom w:val="none" w:sz="0" w:space="0" w:color="auto"/>
                <w:right w:val="none" w:sz="0" w:space="0" w:color="auto"/>
              </w:divBdr>
            </w:div>
            <w:div w:id="253437593">
              <w:marLeft w:val="0"/>
              <w:marRight w:val="0"/>
              <w:marTop w:val="0"/>
              <w:marBottom w:val="0"/>
              <w:divBdr>
                <w:top w:val="none" w:sz="0" w:space="0" w:color="auto"/>
                <w:left w:val="none" w:sz="0" w:space="0" w:color="auto"/>
                <w:bottom w:val="none" w:sz="0" w:space="0" w:color="auto"/>
                <w:right w:val="none" w:sz="0" w:space="0" w:color="auto"/>
              </w:divBdr>
            </w:div>
            <w:div w:id="274100808">
              <w:marLeft w:val="0"/>
              <w:marRight w:val="0"/>
              <w:marTop w:val="0"/>
              <w:marBottom w:val="0"/>
              <w:divBdr>
                <w:top w:val="none" w:sz="0" w:space="0" w:color="auto"/>
                <w:left w:val="none" w:sz="0" w:space="0" w:color="auto"/>
                <w:bottom w:val="none" w:sz="0" w:space="0" w:color="auto"/>
                <w:right w:val="none" w:sz="0" w:space="0" w:color="auto"/>
              </w:divBdr>
            </w:div>
            <w:div w:id="400953442">
              <w:marLeft w:val="0"/>
              <w:marRight w:val="0"/>
              <w:marTop w:val="0"/>
              <w:marBottom w:val="0"/>
              <w:divBdr>
                <w:top w:val="none" w:sz="0" w:space="0" w:color="auto"/>
                <w:left w:val="none" w:sz="0" w:space="0" w:color="auto"/>
                <w:bottom w:val="none" w:sz="0" w:space="0" w:color="auto"/>
                <w:right w:val="none" w:sz="0" w:space="0" w:color="auto"/>
              </w:divBdr>
            </w:div>
            <w:div w:id="516581164">
              <w:marLeft w:val="0"/>
              <w:marRight w:val="0"/>
              <w:marTop w:val="0"/>
              <w:marBottom w:val="0"/>
              <w:divBdr>
                <w:top w:val="none" w:sz="0" w:space="0" w:color="auto"/>
                <w:left w:val="none" w:sz="0" w:space="0" w:color="auto"/>
                <w:bottom w:val="none" w:sz="0" w:space="0" w:color="auto"/>
                <w:right w:val="none" w:sz="0" w:space="0" w:color="auto"/>
              </w:divBdr>
            </w:div>
            <w:div w:id="538710641">
              <w:marLeft w:val="0"/>
              <w:marRight w:val="0"/>
              <w:marTop w:val="0"/>
              <w:marBottom w:val="0"/>
              <w:divBdr>
                <w:top w:val="none" w:sz="0" w:space="0" w:color="auto"/>
                <w:left w:val="none" w:sz="0" w:space="0" w:color="auto"/>
                <w:bottom w:val="none" w:sz="0" w:space="0" w:color="auto"/>
                <w:right w:val="none" w:sz="0" w:space="0" w:color="auto"/>
              </w:divBdr>
            </w:div>
            <w:div w:id="635725685">
              <w:marLeft w:val="0"/>
              <w:marRight w:val="0"/>
              <w:marTop w:val="0"/>
              <w:marBottom w:val="0"/>
              <w:divBdr>
                <w:top w:val="none" w:sz="0" w:space="0" w:color="auto"/>
                <w:left w:val="none" w:sz="0" w:space="0" w:color="auto"/>
                <w:bottom w:val="none" w:sz="0" w:space="0" w:color="auto"/>
                <w:right w:val="none" w:sz="0" w:space="0" w:color="auto"/>
              </w:divBdr>
            </w:div>
            <w:div w:id="771436116">
              <w:marLeft w:val="0"/>
              <w:marRight w:val="0"/>
              <w:marTop w:val="0"/>
              <w:marBottom w:val="0"/>
              <w:divBdr>
                <w:top w:val="none" w:sz="0" w:space="0" w:color="auto"/>
                <w:left w:val="none" w:sz="0" w:space="0" w:color="auto"/>
                <w:bottom w:val="none" w:sz="0" w:space="0" w:color="auto"/>
                <w:right w:val="none" w:sz="0" w:space="0" w:color="auto"/>
              </w:divBdr>
            </w:div>
            <w:div w:id="933367193">
              <w:marLeft w:val="0"/>
              <w:marRight w:val="0"/>
              <w:marTop w:val="0"/>
              <w:marBottom w:val="0"/>
              <w:divBdr>
                <w:top w:val="none" w:sz="0" w:space="0" w:color="auto"/>
                <w:left w:val="none" w:sz="0" w:space="0" w:color="auto"/>
                <w:bottom w:val="none" w:sz="0" w:space="0" w:color="auto"/>
                <w:right w:val="none" w:sz="0" w:space="0" w:color="auto"/>
              </w:divBdr>
            </w:div>
            <w:div w:id="1025210310">
              <w:marLeft w:val="0"/>
              <w:marRight w:val="0"/>
              <w:marTop w:val="0"/>
              <w:marBottom w:val="0"/>
              <w:divBdr>
                <w:top w:val="none" w:sz="0" w:space="0" w:color="auto"/>
                <w:left w:val="none" w:sz="0" w:space="0" w:color="auto"/>
                <w:bottom w:val="none" w:sz="0" w:space="0" w:color="auto"/>
                <w:right w:val="none" w:sz="0" w:space="0" w:color="auto"/>
              </w:divBdr>
            </w:div>
            <w:div w:id="1053506217">
              <w:marLeft w:val="0"/>
              <w:marRight w:val="0"/>
              <w:marTop w:val="0"/>
              <w:marBottom w:val="0"/>
              <w:divBdr>
                <w:top w:val="none" w:sz="0" w:space="0" w:color="auto"/>
                <w:left w:val="none" w:sz="0" w:space="0" w:color="auto"/>
                <w:bottom w:val="none" w:sz="0" w:space="0" w:color="auto"/>
                <w:right w:val="none" w:sz="0" w:space="0" w:color="auto"/>
              </w:divBdr>
            </w:div>
            <w:div w:id="1319379557">
              <w:marLeft w:val="0"/>
              <w:marRight w:val="0"/>
              <w:marTop w:val="0"/>
              <w:marBottom w:val="0"/>
              <w:divBdr>
                <w:top w:val="none" w:sz="0" w:space="0" w:color="auto"/>
                <w:left w:val="none" w:sz="0" w:space="0" w:color="auto"/>
                <w:bottom w:val="none" w:sz="0" w:space="0" w:color="auto"/>
                <w:right w:val="none" w:sz="0" w:space="0" w:color="auto"/>
              </w:divBdr>
            </w:div>
            <w:div w:id="1324240999">
              <w:marLeft w:val="0"/>
              <w:marRight w:val="0"/>
              <w:marTop w:val="0"/>
              <w:marBottom w:val="0"/>
              <w:divBdr>
                <w:top w:val="none" w:sz="0" w:space="0" w:color="auto"/>
                <w:left w:val="none" w:sz="0" w:space="0" w:color="auto"/>
                <w:bottom w:val="none" w:sz="0" w:space="0" w:color="auto"/>
                <w:right w:val="none" w:sz="0" w:space="0" w:color="auto"/>
              </w:divBdr>
            </w:div>
            <w:div w:id="1468738546">
              <w:marLeft w:val="0"/>
              <w:marRight w:val="0"/>
              <w:marTop w:val="0"/>
              <w:marBottom w:val="0"/>
              <w:divBdr>
                <w:top w:val="none" w:sz="0" w:space="0" w:color="auto"/>
                <w:left w:val="none" w:sz="0" w:space="0" w:color="auto"/>
                <w:bottom w:val="none" w:sz="0" w:space="0" w:color="auto"/>
                <w:right w:val="none" w:sz="0" w:space="0" w:color="auto"/>
              </w:divBdr>
            </w:div>
            <w:div w:id="1512061764">
              <w:marLeft w:val="0"/>
              <w:marRight w:val="0"/>
              <w:marTop w:val="0"/>
              <w:marBottom w:val="0"/>
              <w:divBdr>
                <w:top w:val="none" w:sz="0" w:space="0" w:color="auto"/>
                <w:left w:val="none" w:sz="0" w:space="0" w:color="auto"/>
                <w:bottom w:val="none" w:sz="0" w:space="0" w:color="auto"/>
                <w:right w:val="none" w:sz="0" w:space="0" w:color="auto"/>
              </w:divBdr>
            </w:div>
            <w:div w:id="1731031667">
              <w:marLeft w:val="0"/>
              <w:marRight w:val="0"/>
              <w:marTop w:val="0"/>
              <w:marBottom w:val="0"/>
              <w:divBdr>
                <w:top w:val="none" w:sz="0" w:space="0" w:color="auto"/>
                <w:left w:val="none" w:sz="0" w:space="0" w:color="auto"/>
                <w:bottom w:val="none" w:sz="0" w:space="0" w:color="auto"/>
                <w:right w:val="none" w:sz="0" w:space="0" w:color="auto"/>
              </w:divBdr>
            </w:div>
            <w:div w:id="1752317338">
              <w:marLeft w:val="0"/>
              <w:marRight w:val="0"/>
              <w:marTop w:val="0"/>
              <w:marBottom w:val="0"/>
              <w:divBdr>
                <w:top w:val="none" w:sz="0" w:space="0" w:color="auto"/>
                <w:left w:val="none" w:sz="0" w:space="0" w:color="auto"/>
                <w:bottom w:val="none" w:sz="0" w:space="0" w:color="auto"/>
                <w:right w:val="none" w:sz="0" w:space="0" w:color="auto"/>
              </w:divBdr>
            </w:div>
            <w:div w:id="1803115682">
              <w:marLeft w:val="0"/>
              <w:marRight w:val="0"/>
              <w:marTop w:val="0"/>
              <w:marBottom w:val="0"/>
              <w:divBdr>
                <w:top w:val="none" w:sz="0" w:space="0" w:color="auto"/>
                <w:left w:val="none" w:sz="0" w:space="0" w:color="auto"/>
                <w:bottom w:val="none" w:sz="0" w:space="0" w:color="auto"/>
                <w:right w:val="none" w:sz="0" w:space="0" w:color="auto"/>
              </w:divBdr>
            </w:div>
            <w:div w:id="1877306776">
              <w:marLeft w:val="0"/>
              <w:marRight w:val="0"/>
              <w:marTop w:val="0"/>
              <w:marBottom w:val="0"/>
              <w:divBdr>
                <w:top w:val="none" w:sz="0" w:space="0" w:color="auto"/>
                <w:left w:val="none" w:sz="0" w:space="0" w:color="auto"/>
                <w:bottom w:val="none" w:sz="0" w:space="0" w:color="auto"/>
                <w:right w:val="none" w:sz="0" w:space="0" w:color="auto"/>
              </w:divBdr>
            </w:div>
          </w:divsChild>
        </w:div>
        <w:div w:id="1789274228">
          <w:marLeft w:val="0"/>
          <w:marRight w:val="0"/>
          <w:marTop w:val="0"/>
          <w:marBottom w:val="0"/>
          <w:divBdr>
            <w:top w:val="none" w:sz="0" w:space="0" w:color="auto"/>
            <w:left w:val="none" w:sz="0" w:space="0" w:color="auto"/>
            <w:bottom w:val="none" w:sz="0" w:space="0" w:color="auto"/>
            <w:right w:val="none" w:sz="0" w:space="0" w:color="auto"/>
          </w:divBdr>
        </w:div>
      </w:divsChild>
    </w:div>
    <w:div w:id="2133592755">
      <w:bodyDiv w:val="1"/>
      <w:marLeft w:val="0"/>
      <w:marRight w:val="0"/>
      <w:marTop w:val="0"/>
      <w:marBottom w:val="0"/>
      <w:divBdr>
        <w:top w:val="none" w:sz="0" w:space="0" w:color="auto"/>
        <w:left w:val="none" w:sz="0" w:space="0" w:color="auto"/>
        <w:bottom w:val="none" w:sz="0" w:space="0" w:color="auto"/>
        <w:right w:val="none" w:sz="0" w:space="0" w:color="auto"/>
      </w:divBdr>
      <w:divsChild>
        <w:div w:id="347682164">
          <w:marLeft w:val="446"/>
          <w:marRight w:val="0"/>
          <w:marTop w:val="200"/>
          <w:marBottom w:val="0"/>
          <w:divBdr>
            <w:top w:val="none" w:sz="0" w:space="0" w:color="auto"/>
            <w:left w:val="none" w:sz="0" w:space="0" w:color="auto"/>
            <w:bottom w:val="none" w:sz="0" w:space="0" w:color="auto"/>
            <w:right w:val="none" w:sz="0" w:space="0" w:color="auto"/>
          </w:divBdr>
        </w:div>
        <w:div w:id="1098017823">
          <w:marLeft w:val="446"/>
          <w:marRight w:val="0"/>
          <w:marTop w:val="200"/>
          <w:marBottom w:val="0"/>
          <w:divBdr>
            <w:top w:val="none" w:sz="0" w:space="0" w:color="auto"/>
            <w:left w:val="none" w:sz="0" w:space="0" w:color="auto"/>
            <w:bottom w:val="none" w:sz="0" w:space="0" w:color="auto"/>
            <w:right w:val="none" w:sz="0" w:space="0" w:color="auto"/>
          </w:divBdr>
        </w:div>
        <w:div w:id="1628705886">
          <w:marLeft w:val="446"/>
          <w:marRight w:val="0"/>
          <w:marTop w:val="200"/>
          <w:marBottom w:val="0"/>
          <w:divBdr>
            <w:top w:val="none" w:sz="0" w:space="0" w:color="auto"/>
            <w:left w:val="none" w:sz="0" w:space="0" w:color="auto"/>
            <w:bottom w:val="none" w:sz="0" w:space="0" w:color="auto"/>
            <w:right w:val="none" w:sz="0" w:space="0" w:color="auto"/>
          </w:divBdr>
        </w:div>
        <w:div w:id="2051876138">
          <w:marLeft w:val="446"/>
          <w:marRight w:val="0"/>
          <w:marTop w:val="200"/>
          <w:marBottom w:val="0"/>
          <w:divBdr>
            <w:top w:val="none" w:sz="0" w:space="0" w:color="auto"/>
            <w:left w:val="none" w:sz="0" w:space="0" w:color="auto"/>
            <w:bottom w:val="none" w:sz="0" w:space="0" w:color="auto"/>
            <w:right w:val="none" w:sz="0" w:space="0" w:color="auto"/>
          </w:divBdr>
        </w:div>
        <w:div w:id="2064671396">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13" /><Relationship Type="http://schemas.openxmlformats.org/officeDocument/2006/relationships/header" Target="header3.xml" Id="rId26" /><Relationship Type="http://schemas.openxmlformats.org/officeDocument/2006/relationships/image" Target="media/image8.png" Id="rId39" /><Relationship Type="http://schemas.openxmlformats.org/officeDocument/2006/relationships/image" Target="media/image3.emf" Id="rId21" /><Relationship Type="http://schemas.openxmlformats.org/officeDocument/2006/relationships/hyperlink" Target="https://casaclimate.org/wp-content/uploads/2021/10/CASA_Technical-paper_GGA-for-SIDS.pdf" TargetMode="External" Id="rId34" /><Relationship Type="http://schemas.openxmlformats.org/officeDocument/2006/relationships/glossaryDocument" Target="glossary/document.xml" Id="rId42" /><Relationship Type="http://schemas.openxmlformats.org/officeDocument/2006/relationships/customXml" Target="../customXml/item12.xml" Id="rId47" /><Relationship Type="http://schemas.openxmlformats.org/officeDocument/2006/relationships/customXml" Target="../customXml/item7.xml" Id="rId7" /><Relationship Type="http://schemas.openxmlformats.org/officeDocument/2006/relationships/customXml" Target="../customXml/item2.xml" Id="rId2" /><Relationship Type="http://schemas.openxmlformats.org/officeDocument/2006/relationships/image" Target="media/image2.emf" Id="rId16" /><Relationship Type="http://schemas.openxmlformats.org/officeDocument/2006/relationships/footer" Target="footer4.xm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settings" Target="settings.xml" Id="rId11" /><Relationship Type="http://schemas.openxmlformats.org/officeDocument/2006/relationships/footer" Target="footer1.xml" Id="rId24" /><Relationship Type="http://schemas.openxmlformats.org/officeDocument/2006/relationships/hyperlink" Target="https://publications.parliament.uk/pa/cm5804/cmselect/cmintdev/476/report.html" TargetMode="External" Id="rId32" /><Relationship Type="http://schemas.openxmlformats.org/officeDocument/2006/relationships/hyperlink" Target="https://casaclimate.org/wp-content/uploads/2021/10/CASA_Technical-paper_GGA-for-SIDS.pdf" TargetMode="External" Id="rId37" /><Relationship Type="http://schemas.openxmlformats.org/officeDocument/2006/relationships/chart" Target="charts/chart1.xml" Id="rId40" /><Relationship Type="http://schemas.openxmlformats.org/officeDocument/2006/relationships/customXml" Target="../customXml/item10.xml" Id="rId45" /><Relationship Type="http://schemas.openxmlformats.org/officeDocument/2006/relationships/customXml" Target="../customXml/item5.xml" Id="rId5" /><Relationship Type="http://schemas.openxmlformats.org/officeDocument/2006/relationships/image" Target="media/image1.jpg" Id="rId15" /><Relationship Type="http://schemas.openxmlformats.org/officeDocument/2006/relationships/header" Target="header2.xml" Id="rId23" /><Relationship Type="http://schemas.openxmlformats.org/officeDocument/2006/relationships/header" Target="header4.xml" Id="rId28" /><Relationship Type="http://schemas.openxmlformats.org/officeDocument/2006/relationships/hyperlink" Target="https://odi.org/en/publications/mapping-the-information-and-learning-landscape-for-adaptation-in-sids/" TargetMode="External" Id="rId36" /><Relationship Type="http://schemas.openxmlformats.org/officeDocument/2006/relationships/styles" Target="styles.xml" Id="rId10" /><Relationship Type="http://schemas.openxmlformats.org/officeDocument/2006/relationships/image" Target="media/image6.png" Id="rId31" /><Relationship Type="http://schemas.openxmlformats.org/officeDocument/2006/relationships/customXml" Target="../customXml/item9.xml" Id="rId44" /><Relationship Type="http://schemas.openxmlformats.org/officeDocument/2006/relationships/customXml" Target="../customXml/item4.xml" Id="rId4" /><Relationship Type="http://schemas.openxmlformats.org/officeDocument/2006/relationships/numbering" Target="numbering.xml" Id="rId9" /><Relationship Type="http://schemas.openxmlformats.org/officeDocument/2006/relationships/endnotes" Target="endnotes.xml"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image" Target="media/image5.png" Id="rId30" /><Relationship Type="http://schemas.openxmlformats.org/officeDocument/2006/relationships/hyperlink" Target="https://publications.parliament.uk/pa/cm5804/cmselect/cmintdev/476/report.html" TargetMode="External" Id="rId35" /><Relationship Type="http://schemas.openxmlformats.org/officeDocument/2006/relationships/theme" Target="theme/theme1.xml" Id="rId43" /><Relationship Type="http://schemas.openxmlformats.org/officeDocument/2006/relationships/customXml" Target="../customXml/item8.xml" Id="rId8" /><Relationship Type="http://schemas.openxmlformats.org/officeDocument/2006/relationships/customXml" Target="../customXml/item3.xml" Id="rId3" /><Relationship Type="http://schemas.openxmlformats.org/officeDocument/2006/relationships/webSettings" Target="webSettings.xml" Id="rId12" /><Relationship Type="http://schemas.openxmlformats.org/officeDocument/2006/relationships/footer" Target="footer2.xml" Id="rId25" /><Relationship Type="http://schemas.openxmlformats.org/officeDocument/2006/relationships/hyperlink" Target="https://odi.org/en/publications/mapping-the-information-and-learning-landscape-for-adaptation-in-sids/" TargetMode="External" Id="rId33" /><Relationship Type="http://schemas.openxmlformats.org/officeDocument/2006/relationships/image" Target="media/image7.png" Id="rId38" /><Relationship Type="http://schemas.openxmlformats.org/officeDocument/2006/relationships/customXml" Target="../customXml/item11.xml" Id="rId46" /></Relationships>
</file>

<file path=word/_rels/footnotes.xml.rels><?xml version="1.0" encoding="UTF-8" standalone="yes"?>
<Relationships xmlns="http://schemas.openxmlformats.org/package/2006/relationships"><Relationship Id="rId3" Type="http://schemas.openxmlformats.org/officeDocument/2006/relationships/hyperlink" Target="https://unfccc.int/process-and-meetings/conferences/the-big-picture/what-are-united-nations-climate-change-conferences/how-cops-are-organized-questions-and-answers" TargetMode="External"/><Relationship Id="rId2" Type="http://schemas.openxmlformats.org/officeDocument/2006/relationships/hyperlink" Target="https://www.merriam-webster.com/dictionary/norm" TargetMode="External"/><Relationship Id="rId1" Type="http://schemas.openxmlformats.org/officeDocument/2006/relationships/hyperlink" Target="https://www.intrac.org/app/uploads/2016/06/Monitoring-and-Evaluation-Series-Outcome-Mapping-14.pdf" TargetMode="External"/><Relationship Id="rId4" Type="http://schemas.openxmlformats.org/officeDocument/2006/relationships/hyperlink" Target="https://assets.publishing.service.gov.uk/media/63fe28fb8fa8f527fb67caf8/international-climate-finance_KPI_15_Methodology_Note_Extent_to_which_ICF_intervention_is_likely_to_lead_to_transformational_chang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https://niras.sharepoint.com/sites/CVPT017681EX/Shared%20Documents/Final%20Evaluation/Report/Graphs%20for%20repo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Outcome Indicator 2: Percentage of outcomes with moderate change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0.11940471914491653"/>
          <c:y val="0.13070621986205214"/>
          <c:w val="0.86370173000574002"/>
          <c:h val="0.67025025941524752"/>
        </c:manualLayout>
      </c:layout>
      <c:barChart>
        <c:barDir val="col"/>
        <c:grouping val="clustered"/>
        <c:varyColors val="0"/>
        <c:ser>
          <c:idx val="0"/>
          <c:order val="0"/>
          <c:tx>
            <c:strRef>
              <c:f>Outcome!$H$1</c:f>
              <c:strCache>
                <c:ptCount val="1"/>
                <c:pt idx="0">
                  <c:v>Target 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Outcome!$G$2:$G$4</c:f>
              <c:strCache>
                <c:ptCount val="3"/>
                <c:pt idx="0">
                  <c:v>Expect to see</c:v>
                </c:pt>
                <c:pt idx="1">
                  <c:v>Like to see</c:v>
                </c:pt>
                <c:pt idx="2">
                  <c:v>Love to see</c:v>
                </c:pt>
              </c:strCache>
            </c:strRef>
          </c:cat>
          <c:val>
            <c:numRef>
              <c:f>Outcome!$H$2:$H$4</c:f>
              <c:numCache>
                <c:formatCode>0%</c:formatCode>
                <c:ptCount val="3"/>
                <c:pt idx="0">
                  <c:v>0.5</c:v>
                </c:pt>
                <c:pt idx="1">
                  <c:v>0.25</c:v>
                </c:pt>
                <c:pt idx="2">
                  <c:v>0</c:v>
                </c:pt>
              </c:numCache>
            </c:numRef>
          </c:val>
          <c:extLst>
            <c:ext xmlns:c16="http://schemas.microsoft.com/office/drawing/2014/chart" uri="{C3380CC4-5D6E-409C-BE32-E72D297353CC}">
              <c16:uniqueId val="{00000000-FD32-4270-8C51-C95EE8DBA197}"/>
            </c:ext>
          </c:extLst>
        </c:ser>
        <c:ser>
          <c:idx val="1"/>
          <c:order val="1"/>
          <c:tx>
            <c:strRef>
              <c:f>Outcome!$I$1</c:f>
              <c:strCache>
                <c:ptCount val="1"/>
                <c:pt idx="0">
                  <c:v>Actuals 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Outcome!$G$2:$G$4</c:f>
              <c:strCache>
                <c:ptCount val="3"/>
                <c:pt idx="0">
                  <c:v>Expect to see</c:v>
                </c:pt>
                <c:pt idx="1">
                  <c:v>Like to see</c:v>
                </c:pt>
                <c:pt idx="2">
                  <c:v>Love to see</c:v>
                </c:pt>
              </c:strCache>
            </c:strRef>
          </c:cat>
          <c:val>
            <c:numRef>
              <c:f>Outcome!$I$2:$I$4</c:f>
              <c:numCache>
                <c:formatCode>0%</c:formatCode>
                <c:ptCount val="3"/>
                <c:pt idx="0">
                  <c:v>0.52</c:v>
                </c:pt>
                <c:pt idx="1">
                  <c:v>0.4</c:v>
                </c:pt>
                <c:pt idx="2">
                  <c:v>0.25</c:v>
                </c:pt>
              </c:numCache>
            </c:numRef>
          </c:val>
          <c:extLst>
            <c:ext xmlns:c16="http://schemas.microsoft.com/office/drawing/2014/chart" uri="{C3380CC4-5D6E-409C-BE32-E72D297353CC}">
              <c16:uniqueId val="{00000001-FD32-4270-8C51-C95EE8DBA197}"/>
            </c:ext>
          </c:extLst>
        </c:ser>
        <c:ser>
          <c:idx val="2"/>
          <c:order val="2"/>
          <c:tx>
            <c:strRef>
              <c:f>Outcome!$J$1</c:f>
              <c:strCache>
                <c:ptCount val="1"/>
                <c:pt idx="0">
                  <c:v>Target 2025</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Outcome!$G$2:$G$4</c:f>
              <c:strCache>
                <c:ptCount val="3"/>
                <c:pt idx="0">
                  <c:v>Expect to see</c:v>
                </c:pt>
                <c:pt idx="1">
                  <c:v>Like to see</c:v>
                </c:pt>
                <c:pt idx="2">
                  <c:v>Love to see</c:v>
                </c:pt>
              </c:strCache>
            </c:strRef>
          </c:cat>
          <c:val>
            <c:numRef>
              <c:f>Outcome!$J$2:$J$4</c:f>
              <c:numCache>
                <c:formatCode>0%</c:formatCode>
                <c:ptCount val="3"/>
                <c:pt idx="0">
                  <c:v>0.75</c:v>
                </c:pt>
                <c:pt idx="1">
                  <c:v>0.6</c:v>
                </c:pt>
                <c:pt idx="2">
                  <c:v>0.4</c:v>
                </c:pt>
              </c:numCache>
            </c:numRef>
          </c:val>
          <c:extLst>
            <c:ext xmlns:c16="http://schemas.microsoft.com/office/drawing/2014/chart" uri="{C3380CC4-5D6E-409C-BE32-E72D297353CC}">
              <c16:uniqueId val="{00000002-FD32-4270-8C51-C95EE8DBA197}"/>
            </c:ext>
          </c:extLst>
        </c:ser>
        <c:ser>
          <c:idx val="3"/>
          <c:order val="3"/>
          <c:tx>
            <c:strRef>
              <c:f>Outcome!$K$1</c:f>
              <c:strCache>
                <c:ptCount val="1"/>
                <c:pt idx="0">
                  <c:v>Actuals 2025</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Outcome!$G$2:$G$4</c:f>
              <c:strCache>
                <c:ptCount val="3"/>
                <c:pt idx="0">
                  <c:v>Expect to see</c:v>
                </c:pt>
                <c:pt idx="1">
                  <c:v>Like to see</c:v>
                </c:pt>
                <c:pt idx="2">
                  <c:v>Love to see</c:v>
                </c:pt>
              </c:strCache>
            </c:strRef>
          </c:cat>
          <c:val>
            <c:numRef>
              <c:f>Outcome!$K$2:$K$4</c:f>
              <c:numCache>
                <c:formatCode>0%</c:formatCode>
                <c:ptCount val="3"/>
                <c:pt idx="0">
                  <c:v>0.46</c:v>
                </c:pt>
                <c:pt idx="1">
                  <c:v>0.56999999999999995</c:v>
                </c:pt>
                <c:pt idx="2">
                  <c:v>0.4</c:v>
                </c:pt>
              </c:numCache>
            </c:numRef>
          </c:val>
          <c:extLst>
            <c:ext xmlns:c16="http://schemas.microsoft.com/office/drawing/2014/chart" uri="{C3380CC4-5D6E-409C-BE32-E72D297353CC}">
              <c16:uniqueId val="{00000003-FD32-4270-8C51-C95EE8DBA197}"/>
            </c:ext>
          </c:extLst>
        </c:ser>
        <c:dLbls>
          <c:showLegendKey val="0"/>
          <c:showVal val="1"/>
          <c:showCatName val="0"/>
          <c:showSerName val="0"/>
          <c:showPercent val="0"/>
          <c:showBubbleSize val="0"/>
        </c:dLbls>
        <c:gapWidth val="219"/>
        <c:overlap val="-27"/>
        <c:axId val="1681594912"/>
        <c:axId val="1681593952"/>
      </c:barChart>
      <c:catAx>
        <c:axId val="16815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593952"/>
        <c:crosses val="autoZero"/>
        <c:auto val="1"/>
        <c:lblAlgn val="ctr"/>
        <c:lblOffset val="100"/>
        <c:noMultiLvlLbl val="0"/>
      </c:catAx>
      <c:valAx>
        <c:axId val="168159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 of outcomes where there has been moderate change</a:t>
                </a:r>
              </a:p>
            </c:rich>
          </c:tx>
          <c:layout>
            <c:manualLayout>
              <c:xMode val="edge"/>
              <c:yMode val="edge"/>
              <c:x val="0"/>
              <c:y val="8.214536644457903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GB"/>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59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2765F3FB184FC8A337AFE781A10B62"/>
        <w:category>
          <w:name w:val="General"/>
          <w:gallery w:val="placeholder"/>
        </w:category>
        <w:types>
          <w:type w:val="bbPlcHdr"/>
        </w:types>
        <w:behaviors>
          <w:behavior w:val="content"/>
        </w:behaviors>
        <w:guid w:val="{1DF85CF7-65F6-41AE-A98C-BD81DFDE1F4A}"/>
      </w:docPartPr>
      <w:docPartBody>
        <w:p xmlns:wp14="http://schemas.microsoft.com/office/word/2010/wordml" w:rsidR="00CD662E" w:rsidRDefault="00375D1E" w14:paraId="4C3E277F" wp14:textId="77777777">
          <w:pPr>
            <w:pStyle w:val="232765F3FB184FC8A337AFE781A10B62"/>
          </w:pPr>
          <w:r w:rsidRPr="00F545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62E"/>
    <w:rsid w:val="000012D4"/>
    <w:rsid w:val="000058DD"/>
    <w:rsid w:val="00035A89"/>
    <w:rsid w:val="00035E4B"/>
    <w:rsid w:val="0004246F"/>
    <w:rsid w:val="00066E8F"/>
    <w:rsid w:val="00075639"/>
    <w:rsid w:val="00080E60"/>
    <w:rsid w:val="00082318"/>
    <w:rsid w:val="0008510D"/>
    <w:rsid w:val="00085B17"/>
    <w:rsid w:val="000961C0"/>
    <w:rsid w:val="000A24FB"/>
    <w:rsid w:val="000C481F"/>
    <w:rsid w:val="000D1915"/>
    <w:rsid w:val="000D3EE6"/>
    <w:rsid w:val="000E2497"/>
    <w:rsid w:val="000E466F"/>
    <w:rsid w:val="000F65D2"/>
    <w:rsid w:val="0010430D"/>
    <w:rsid w:val="0010712D"/>
    <w:rsid w:val="00111EF3"/>
    <w:rsid w:val="00114A1C"/>
    <w:rsid w:val="00126FAE"/>
    <w:rsid w:val="00132DC2"/>
    <w:rsid w:val="00133FB1"/>
    <w:rsid w:val="00141DE4"/>
    <w:rsid w:val="00177049"/>
    <w:rsid w:val="00181483"/>
    <w:rsid w:val="001A1C20"/>
    <w:rsid w:val="001A2FF7"/>
    <w:rsid w:val="001C5C99"/>
    <w:rsid w:val="001C75CE"/>
    <w:rsid w:val="001D469E"/>
    <w:rsid w:val="001D7078"/>
    <w:rsid w:val="001E63BD"/>
    <w:rsid w:val="001F2329"/>
    <w:rsid w:val="00210B68"/>
    <w:rsid w:val="0021254F"/>
    <w:rsid w:val="00227F5E"/>
    <w:rsid w:val="002306B0"/>
    <w:rsid w:val="00232659"/>
    <w:rsid w:val="00233092"/>
    <w:rsid w:val="00245B20"/>
    <w:rsid w:val="00272931"/>
    <w:rsid w:val="00277704"/>
    <w:rsid w:val="00280E4D"/>
    <w:rsid w:val="00282C5C"/>
    <w:rsid w:val="00291B5A"/>
    <w:rsid w:val="00291B67"/>
    <w:rsid w:val="002A4AAE"/>
    <w:rsid w:val="002B3B31"/>
    <w:rsid w:val="002C29FC"/>
    <w:rsid w:val="002E5014"/>
    <w:rsid w:val="002E6EA3"/>
    <w:rsid w:val="002F3525"/>
    <w:rsid w:val="002F3709"/>
    <w:rsid w:val="002F568D"/>
    <w:rsid w:val="002F5F3A"/>
    <w:rsid w:val="002F6D9A"/>
    <w:rsid w:val="003018AF"/>
    <w:rsid w:val="003055A8"/>
    <w:rsid w:val="003226A4"/>
    <w:rsid w:val="00331100"/>
    <w:rsid w:val="00334AE5"/>
    <w:rsid w:val="003629DA"/>
    <w:rsid w:val="00366A5B"/>
    <w:rsid w:val="00366EF7"/>
    <w:rsid w:val="00375D1E"/>
    <w:rsid w:val="003A375E"/>
    <w:rsid w:val="003B0F39"/>
    <w:rsid w:val="003B4008"/>
    <w:rsid w:val="003B684D"/>
    <w:rsid w:val="003C623A"/>
    <w:rsid w:val="003C6293"/>
    <w:rsid w:val="003D2FBF"/>
    <w:rsid w:val="003E11FE"/>
    <w:rsid w:val="003F56F5"/>
    <w:rsid w:val="004135FF"/>
    <w:rsid w:val="0041611E"/>
    <w:rsid w:val="0042052F"/>
    <w:rsid w:val="00422811"/>
    <w:rsid w:val="004236F8"/>
    <w:rsid w:val="004401CE"/>
    <w:rsid w:val="00451476"/>
    <w:rsid w:val="00464F0B"/>
    <w:rsid w:val="00466599"/>
    <w:rsid w:val="00473D92"/>
    <w:rsid w:val="00482206"/>
    <w:rsid w:val="004A6CCE"/>
    <w:rsid w:val="004A76F6"/>
    <w:rsid w:val="004A78A1"/>
    <w:rsid w:val="004C1EB7"/>
    <w:rsid w:val="004C3079"/>
    <w:rsid w:val="004D2A3E"/>
    <w:rsid w:val="004E15DA"/>
    <w:rsid w:val="004E684D"/>
    <w:rsid w:val="004F4932"/>
    <w:rsid w:val="0050664C"/>
    <w:rsid w:val="00513580"/>
    <w:rsid w:val="00533A45"/>
    <w:rsid w:val="00540901"/>
    <w:rsid w:val="00547044"/>
    <w:rsid w:val="00556948"/>
    <w:rsid w:val="005602C2"/>
    <w:rsid w:val="0057640D"/>
    <w:rsid w:val="00576D38"/>
    <w:rsid w:val="00583741"/>
    <w:rsid w:val="00592C60"/>
    <w:rsid w:val="00596041"/>
    <w:rsid w:val="005C3617"/>
    <w:rsid w:val="005D5808"/>
    <w:rsid w:val="005D62B1"/>
    <w:rsid w:val="00614E1E"/>
    <w:rsid w:val="00636470"/>
    <w:rsid w:val="00641919"/>
    <w:rsid w:val="0064298C"/>
    <w:rsid w:val="00650DD5"/>
    <w:rsid w:val="00654015"/>
    <w:rsid w:val="006619CE"/>
    <w:rsid w:val="00661C52"/>
    <w:rsid w:val="00662B8E"/>
    <w:rsid w:val="006651D3"/>
    <w:rsid w:val="00671070"/>
    <w:rsid w:val="00675E6D"/>
    <w:rsid w:val="006876FA"/>
    <w:rsid w:val="006A305A"/>
    <w:rsid w:val="006A5743"/>
    <w:rsid w:val="006B316F"/>
    <w:rsid w:val="006B40D3"/>
    <w:rsid w:val="006C12E4"/>
    <w:rsid w:val="006C7C8F"/>
    <w:rsid w:val="006D23F1"/>
    <w:rsid w:val="006D5F94"/>
    <w:rsid w:val="006D7875"/>
    <w:rsid w:val="006E16AE"/>
    <w:rsid w:val="006E283A"/>
    <w:rsid w:val="006E5417"/>
    <w:rsid w:val="006F4102"/>
    <w:rsid w:val="006F5F4B"/>
    <w:rsid w:val="0070659F"/>
    <w:rsid w:val="00710D5E"/>
    <w:rsid w:val="00722714"/>
    <w:rsid w:val="0072578B"/>
    <w:rsid w:val="00730207"/>
    <w:rsid w:val="00740EA6"/>
    <w:rsid w:val="00742562"/>
    <w:rsid w:val="00754FF2"/>
    <w:rsid w:val="00765596"/>
    <w:rsid w:val="00771F6D"/>
    <w:rsid w:val="007905F5"/>
    <w:rsid w:val="007A23B8"/>
    <w:rsid w:val="007A4662"/>
    <w:rsid w:val="007C635E"/>
    <w:rsid w:val="007D24AC"/>
    <w:rsid w:val="007E727D"/>
    <w:rsid w:val="007F1C01"/>
    <w:rsid w:val="0080517A"/>
    <w:rsid w:val="00806F28"/>
    <w:rsid w:val="00812FAA"/>
    <w:rsid w:val="008215BA"/>
    <w:rsid w:val="00822D0C"/>
    <w:rsid w:val="0082311D"/>
    <w:rsid w:val="00836023"/>
    <w:rsid w:val="008369FB"/>
    <w:rsid w:val="008456CF"/>
    <w:rsid w:val="00846714"/>
    <w:rsid w:val="0085373B"/>
    <w:rsid w:val="008630AE"/>
    <w:rsid w:val="008648B1"/>
    <w:rsid w:val="008918F1"/>
    <w:rsid w:val="008B2E8E"/>
    <w:rsid w:val="008B464D"/>
    <w:rsid w:val="008C4F13"/>
    <w:rsid w:val="008D75A3"/>
    <w:rsid w:val="008F5B67"/>
    <w:rsid w:val="0090139F"/>
    <w:rsid w:val="00907263"/>
    <w:rsid w:val="00910E69"/>
    <w:rsid w:val="009347FC"/>
    <w:rsid w:val="0094743A"/>
    <w:rsid w:val="009564BF"/>
    <w:rsid w:val="00962E1E"/>
    <w:rsid w:val="00974190"/>
    <w:rsid w:val="00990408"/>
    <w:rsid w:val="00993812"/>
    <w:rsid w:val="00995EBA"/>
    <w:rsid w:val="009B31C4"/>
    <w:rsid w:val="009C3336"/>
    <w:rsid w:val="009D556B"/>
    <w:rsid w:val="009D6C49"/>
    <w:rsid w:val="00A12B74"/>
    <w:rsid w:val="00A275D9"/>
    <w:rsid w:val="00A3229E"/>
    <w:rsid w:val="00A443F9"/>
    <w:rsid w:val="00A5094B"/>
    <w:rsid w:val="00A63E14"/>
    <w:rsid w:val="00A66BC3"/>
    <w:rsid w:val="00A71823"/>
    <w:rsid w:val="00A80CC5"/>
    <w:rsid w:val="00A8230A"/>
    <w:rsid w:val="00A854B2"/>
    <w:rsid w:val="00A86C56"/>
    <w:rsid w:val="00AA55CE"/>
    <w:rsid w:val="00AA789D"/>
    <w:rsid w:val="00AC0586"/>
    <w:rsid w:val="00AE3565"/>
    <w:rsid w:val="00AF4E3A"/>
    <w:rsid w:val="00B05F13"/>
    <w:rsid w:val="00B122B6"/>
    <w:rsid w:val="00B15466"/>
    <w:rsid w:val="00B168A4"/>
    <w:rsid w:val="00B16AC7"/>
    <w:rsid w:val="00B21A6D"/>
    <w:rsid w:val="00B324AA"/>
    <w:rsid w:val="00B41CC3"/>
    <w:rsid w:val="00B5096A"/>
    <w:rsid w:val="00B5727A"/>
    <w:rsid w:val="00B71784"/>
    <w:rsid w:val="00B8169E"/>
    <w:rsid w:val="00B95512"/>
    <w:rsid w:val="00BB147E"/>
    <w:rsid w:val="00BC0865"/>
    <w:rsid w:val="00BC3F6B"/>
    <w:rsid w:val="00BE1060"/>
    <w:rsid w:val="00BF5592"/>
    <w:rsid w:val="00BF7160"/>
    <w:rsid w:val="00C20C4E"/>
    <w:rsid w:val="00C26A0F"/>
    <w:rsid w:val="00C3427C"/>
    <w:rsid w:val="00C421AB"/>
    <w:rsid w:val="00C604EF"/>
    <w:rsid w:val="00C65A6A"/>
    <w:rsid w:val="00C6640B"/>
    <w:rsid w:val="00C7037E"/>
    <w:rsid w:val="00C70857"/>
    <w:rsid w:val="00C7562F"/>
    <w:rsid w:val="00C82FC4"/>
    <w:rsid w:val="00C8584C"/>
    <w:rsid w:val="00C92C79"/>
    <w:rsid w:val="00CB5BC4"/>
    <w:rsid w:val="00CC1E02"/>
    <w:rsid w:val="00CC6B60"/>
    <w:rsid w:val="00CD662E"/>
    <w:rsid w:val="00CE64D0"/>
    <w:rsid w:val="00CF12D5"/>
    <w:rsid w:val="00D00405"/>
    <w:rsid w:val="00D0053E"/>
    <w:rsid w:val="00D02249"/>
    <w:rsid w:val="00D05536"/>
    <w:rsid w:val="00D1454D"/>
    <w:rsid w:val="00D50100"/>
    <w:rsid w:val="00D54E91"/>
    <w:rsid w:val="00D6392E"/>
    <w:rsid w:val="00D73DAB"/>
    <w:rsid w:val="00D756F6"/>
    <w:rsid w:val="00D77EE7"/>
    <w:rsid w:val="00D82F78"/>
    <w:rsid w:val="00D84D9E"/>
    <w:rsid w:val="00D85B7F"/>
    <w:rsid w:val="00D86041"/>
    <w:rsid w:val="00DB4B48"/>
    <w:rsid w:val="00DB6FC4"/>
    <w:rsid w:val="00DC1B58"/>
    <w:rsid w:val="00DC3BFA"/>
    <w:rsid w:val="00DC751B"/>
    <w:rsid w:val="00DD1676"/>
    <w:rsid w:val="00DD4722"/>
    <w:rsid w:val="00DF4E8A"/>
    <w:rsid w:val="00E01517"/>
    <w:rsid w:val="00E03C10"/>
    <w:rsid w:val="00E16B3D"/>
    <w:rsid w:val="00E16E07"/>
    <w:rsid w:val="00E20E14"/>
    <w:rsid w:val="00E30EA4"/>
    <w:rsid w:val="00E32A3F"/>
    <w:rsid w:val="00E440F6"/>
    <w:rsid w:val="00E477B9"/>
    <w:rsid w:val="00E50FD4"/>
    <w:rsid w:val="00E57FDD"/>
    <w:rsid w:val="00E74ED6"/>
    <w:rsid w:val="00E76B09"/>
    <w:rsid w:val="00EA240E"/>
    <w:rsid w:val="00EB7FAF"/>
    <w:rsid w:val="00EC781E"/>
    <w:rsid w:val="00F04029"/>
    <w:rsid w:val="00F24B01"/>
    <w:rsid w:val="00F279FE"/>
    <w:rsid w:val="00F37B86"/>
    <w:rsid w:val="00F40898"/>
    <w:rsid w:val="00F41405"/>
    <w:rsid w:val="00F41925"/>
    <w:rsid w:val="00F42BC4"/>
    <w:rsid w:val="00F4362F"/>
    <w:rsid w:val="00F5040C"/>
    <w:rsid w:val="00F542D3"/>
    <w:rsid w:val="00F54CE4"/>
    <w:rsid w:val="00F56D9B"/>
    <w:rsid w:val="00F754C3"/>
    <w:rsid w:val="00F92EE9"/>
    <w:rsid w:val="00F97A89"/>
    <w:rsid w:val="00FA0139"/>
    <w:rsid w:val="00FB5760"/>
    <w:rsid w:val="00FC7E24"/>
    <w:rsid w:val="00FE2168"/>
    <w:rsid w:val="00FE3BDF"/>
    <w:rsid w:val="00FE3DF2"/>
    <w:rsid w:val="00FF194F"/>
    <w:rsid w:val="00FF7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32765F3FB184FC8A337AFE781A10B62">
    <w:name w:val="232765F3FB184FC8A337AFE781A10B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Life">
  <a:themeElements>
    <a:clrScheme name="LIFE">
      <a:dk1>
        <a:srgbClr val="303030"/>
      </a:dk1>
      <a:lt1>
        <a:srgbClr val="FFFFFF"/>
      </a:lt1>
      <a:dk2>
        <a:srgbClr val="1D4542"/>
      </a:dk2>
      <a:lt2>
        <a:srgbClr val="EBF1F0"/>
      </a:lt2>
      <a:accent1>
        <a:srgbClr val="C4D5D3"/>
      </a:accent1>
      <a:accent2>
        <a:srgbClr val="86A9A6"/>
      </a:accent2>
      <a:accent3>
        <a:srgbClr val="5E8D89"/>
      </a:accent3>
      <a:accent4>
        <a:srgbClr val="36706B"/>
      </a:accent4>
      <a:accent5>
        <a:srgbClr val="2B5A56"/>
      </a:accent5>
      <a:accent6>
        <a:srgbClr val="5EC1A0"/>
      </a:accent6>
      <a:hlink>
        <a:srgbClr val="1B10F8"/>
      </a:hlink>
      <a:folHlink>
        <a:srgbClr val="800080"/>
      </a:folHlink>
    </a:clrScheme>
    <a:fontScheme name="NIRAS Theme Fonts">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ife_Ny" id="{6C10779B-CB58-4A49-868D-2C888AEFB809}" vid="{ED8E496E-3FD0-45EF-938A-3C5E37F826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user xmlns="http://niras/templates/user">
  <email/>
  <phone/>
  <username/>
  <ini/>
</user>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egacyData xmlns="aaacb922-5235-4a66-b188-303b9b46fbd7" xsi:nil="true"/>
    <_dlc_DocId xmlns="92ad9e33-5271-4ce6-bdd9-333434fbc601">FQW7PQWC2EQU-2126234253-39504</_dlc_DocId>
    <lcf76f155ced4ddcb4097134ff3c332f xmlns="c428dd7c-603b-4269-bcac-7b8676926974">
      <Terms xmlns="http://schemas.microsoft.com/office/infopath/2007/PartnerControls"/>
    </lcf76f155ced4ddcb4097134ff3c332f>
    <TaxCatchAll xmlns="92ad9e33-5271-4ce6-bdd9-333434fbc601">
      <Value>1</Value>
    </TaxCatchAll>
    <_dlc_DocIdUrl xmlns="92ad9e33-5271-4ce6-bdd9-333434fbc601">
      <Url>https://beisgov.sharepoint.com/sites/ICF/_layouts/15/DocIdRedir.aspx?ID=FQW7PQWC2EQU-2126234253-39504</Url>
      <Description>FQW7PQWC2EQU-2126234253-39504</Description>
    </_dlc_DocIdUrl>
    <Government_x0020_Body xmlns="b413c3fd-5a3b-4239-b985-69032e371c04">BEIS</Government_x0020_Body>
    <Date_x0020_Opened xmlns="b413c3fd-5a3b-4239-b985-69032e371c04">2026-07-03T09:34:02+00:00</Date_x0020_Opened>
    <Descriptor xmlns="0063f72e-ace3-48fb-9c1f-5b513408b31f" xsi:nil="true"/>
    <m975189f4ba442ecbf67d4147307b177 xmlns="92ad9e33-5271-4ce6-bdd9-333434fbc601">
      <Terms xmlns="http://schemas.microsoft.com/office/infopath/2007/PartnerControls">
        <TermInfo xmlns="http://schemas.microsoft.com/office/infopath/2007/PartnerControls">
          <TermName xmlns="http://schemas.microsoft.com/office/infopath/2007/PartnerControls">International Climate Finance</TermName>
          <TermId xmlns="http://schemas.microsoft.com/office/infopath/2007/PartnerControls">25a07eec-082c-4868-be05-2bef48a6767e</TermId>
        </TermInfo>
      </Terms>
    </m975189f4ba442ecbf67d4147307b177>
    <overview xmlns="c428dd7c-603b-4269-bcac-7b8676926974" xsi:nil="true"/>
    <Security_x0020_Classification xmlns="0063f72e-ace3-48fb-9c1f-5b513408b31f">OFFICIAL</Security_x0020_Classification>
    <Retention_x0020_Label xmlns="a8f60570-4bd3-4f2b-950b-a996de8ab151" xsi:nil="true"/>
    <Date_x0020_Closed xmlns="b413c3fd-5a3b-4239-b985-69032e371c04" xsi:nil="true"/>
  </documentManagement>
</p:properties>
</file>

<file path=customXml/item2.xml>��< ? x m l   v e r s i o n = " 1 . 0 "   e n c o d i n g = " u t f - 1 6 " ? > < l o g o   x m l n s = " h t t p : / / n i r a s / t e m p l a t e s / l o g o " >  
     < i m a g e > A Q A A A H Q A A A B f A A A A 4 f v / / 8 Q A A A A B / P / / m Q s A A D d / / / / t F w A A H 4 P / / y B F T U Y A A A E A 0 A U A A C s A A A A D A A A A D Q A A A F g A A A A A A A A A A A Q A A A A D A A B A A Q A A 8 A A A A E E A Z A B v A G I A Z Q A g A F M A e Q B z A H Q A Z Q B t A H M A A A A R A A A A D A A A A A g A A A A S A A A A D A A A A A E A A A A K A A A A E A A A A A A A A A A A A A A A D A A A A B A A A A A A A A A A A A A A A A k A A A A Q A A A A j Q M A A B 0 B A A A L A A A A E A A A A C 8 B A A B f A A A A E w A A A A w A A A A C A A A A J w A A A B g A A A A B A A A A A A A A A L c N G A A A A A A A J Q A A A A w A A A A B A A A A X w A A A D Q A A A A C A A A A L A A A A A A A A A A s A A A A A A A A A A U A A A A A A A A A A A A A A A A A A A A A A A A A A A A A A C U A A A A M A A A A A g A A A F s A A A B Q A A A A X g A A A O / 7 / / 9 0 A A A A A f z / / w E A A A A L A A A A C w A A A E g B 6 v M u A d D z H A H Q 8 x w B A f Q r A Q H 0 L A H j 8 0 o B A f R Z A Q H 0 W Q H Q 8 0 k B 0 P N I A e r z E w A A A A w A A A A C A A A A W w A A A D g A A A B 3 A A A A 7 / v / / 3 4 A A A A B / P / / A Q A A A A U A A A A F A A A A Z w E B 9 H g B A f R 4 A d D z Z w H Q 8 2 c B A f Q T A A A A D A A A A A I A A A A 7 A A A A C A A A A B s A A A A Q A A A A v g E A A N 7 z / / 9 Y A A A A u A A A A I E A A A D v + / / / l g A A A A H 8 / / 8 n A A A A v g H S 8 7 A B z / O l A c / z n A H P 8 4 Y B 0 P O G A d D z h g E B 9 I Y B A f S G A Q H 0 l Q E B 9 J U B A f S V A Q H 0 m A H Z 8 5 g B 2 f O Y A d n z m A H Z 8 5 4 B 2 f O i A d n z q A H Z 8 6 w B 2 / O t A d / z r Q H j 8 6 s B 6 P O d A e j z n Q H w 8 5 0 B 8 P O d A f D z r Q E B 9 K 0 B A f S t A Q H 0 v g E B 9 L 4 B A f S + A Q H 0 s g H v 8 7 I B 7 / O y A e / z s g H v 8 7 8 B 7 P O + A d 7 z P A A A A A g A A A A + A A A A G A A A A J + G A Q C f h g E A Y X n + / 2 F 5 / v 8 T A A A A D A A A A A I A A A A 7 A A A A C A A A A B s A A A A Q A A A A + A E A A N D z / / 9 Y A A A A 9 A A A A J c A A A D t + / / / s Q A A A A H 8 / / 8 2 A A A A 3 w H Q 8 9 8 B 0 P P f A d D z 3 w H Q 8 9 0 B 0 / P V A e P z y g H a 8 8 c B z / P G A c n z x g H J 8 8 Y B y f P G A c n z x g H f 8 8 Y B 3 / P G A d / z x g H f 8 8 g B 6 P P P A e / z y A H + 8 8 c B A f T H A Q H 0 1 w E B 9 N c B A f T X A Q H 0 3 A H 3 8 9 w B 9 / P c A f f z 3 A H 3 8 9 w B 9 / P c A f f z 5 A H 6 8 + w B + v P s A f r z 7 A H s 8 + w B 7 P P s A e z z 7 A H s 8 + g B 7 f P j A e v z 6 w H c 8 + s B 3 P P r A d z z A A I B 9 A A C A f Q A A g H 0 E A I B 9 B A C A f Q Q A g H 0 E A I B 9 A 4 C / P M E A u f z + g H T 8 / g B 0 P P 4 A d D z P A A A A A g A A A A + A A A A G A A A A J + G A Q C f h g E A Y X n + / 2 F 5 / v 8 T A A A A D A A A A A I A A A A 7 A A A A C A A A A B s A A A A Q A A A A L w I A A O H z / / 9 Y A A A A x A A A A L E A A A D v + / / / x A A A A A L 8 / / 8 q A A A A K g L h 8 y c C 3 / M n A t 3 z J w L a 8 y s C 2 f M 0 A t n z P A L Z 8 0 c C 2 / N H A t v z R w L P 8 0 c C z / N H A s / z R w L P 8 z s C z v M u A s 7 z K g L O 8 x Q C z v M V A t / z F Q L v 8 y k C 7 / M y A u / z N g L v 8 z k C 8 P M 5 A v P z O g L 2 8 z M C 9 / M q A v f z I A L 3 8 x c C 9 f M X A v X z F w I B 9 B c C A f Q X A g H 0 F w I B 9 C Q C A / Q u A g P 0 M w I D 9 E s C B P R L A v L z S w L g 8 z c C 4 f M v A u H z P A A A A A g A A A A + A A A A G A A A A J + G A Q C f h g E A Y X n + / 2 F 5 / v 8 T A A A A D A A A A A I A A A A 7 A A A A C A A A A B s A A A A Q A A A A 0 Q E A A M v z / / 9 Y A A A A T A A A A J o A A A D h + / / / p Q A A A O / 7 / / 8 M A A A A 0 w H A 8 9 4 B t P P s A b T z 7 A G k 8 + w B p P P s A a T z 1 w G n 8 8 8 B u f P Q A c P z 0 A H G 8 9 A B y f P R A c v z P Q A A A A g A A A A 8 A A A A C A A A A D 4 A A A A Y A A A A n 4 Y B A J + G A Q B h e f 7 / Y X n + / y g A A A A M A A A A A Q A A A C g A A A A M A A A A A g A A A A 4 A A A A U A A A A A A A A A B A A A A A U A A A A < / i m a g e >  
 < / l o g o > 
</file>

<file path=customXml/item3.xml>��< ? x m l   v e r s i o n = " 1 . 0 "   e n c o d i n g = " u t f - 1 6 " ? > < l a b e l s   x m l n s = " h t t p : / / n i r a s / t e m p l a t e s / l a b e l s " >  
     < D a t e > D a t e < / D a t e >  
     < F a x > F a x < / F a x >  
     < C o m p a n y > C o m p a n y < / C o m p a n y >  
     < D i s t r i b u t i o n > D i s t r i b u t i o n < / D i s t r i b u t i o n >  
     < A p p r o v e d > A p p r o v e d < / A p p r o v e d >  
     < E n c l o s e d P l e a s e F i n d > E n c l o s e d   p l e a s e   f i n d < / E n c l o s e d P l e a s e F i n d >  
     < A s A g r e e d > A s   a g r e e d < / A s A g r e e d >  
     < Y o u r s F a i t h f u l l y > Y o u r s   f a i t h f u l l y < / Y o u r s F a i t h f u l l y >  
     < R e c i p i e n t > R e c i p i e n t : < / R e c i p i e n t >  
     < P a r t i c i p a n t s > P a r t i c i p a n t s < / P a r t i c i p a n t s >  
     < D a t e P l a c e O f M e e t i n g > D a t e / p l a c e   o f   m e e t i n g < / D a t e P l a c e O f M e e t i n g >  
     < T i m e > T i m e < / T i m e >  
     < N e x t M e e t i n g > N e x t   m e e t i n g < / N e x t M e e t i n g >  
     < R e v i s i o n > R e v i s i o n < / R e v i s i o n >  
     < F o r Y o u r A p p r o v a l > F o r   y o u r   a p p r o v a l < / F o r Y o u r A p p r o v a l >  
     < F o r Y o u r I n f o r m a t i o n > F o r   y o u r   i n f o r m a t i o n < / F o r Y o u r I n f o r m a t i o n >  
     < Y o u r C o m m e n t s P l e a s e > Y o u r   c o m m e n t s   p l e a s e < / Y o u r C o m m e n t s P l e a s e >  
     < D r a f t > D r a f t < / D r a f t >  
     < I f E r r o r I n T r a n s m i s s i o n P l e a s e C a l l > I f   e r r o r   i n   t r a n s m i s s i o n   p l e a s e   c a l l < / I f E r r o r I n T r a n s m i s s i o n P l e a s e C a l l >  
     < P l e a s e R e t u r n > P l e a s e   r e t u r n < / P l e a s e R e t u r n >  
     < N u m b e r O f P a g e s > N u m b e r   o f   p a g e s < / N u m b e r O f P a g e s >  
     < D e l i v e r y N o t e > D e l i v e r y   n o t e < / D e l i v e r y N o t e >  
     < M i n u t e s O f M e e t i n g > M i n u t e s   o f   M e e t i n g < / M i n u t e s O f M e e t i n g >  
     < N o t e > N o t e < / N o t e >  
     < P r o j e c t N o > P r o j e c t   I D < / P r o j e c t N o >  
     < D o c u m e n t N o > D o c u m e n t   I D < / D o c u m e n t N o >  
     < V e r s i o n > V e r s i o n < / V e r s i o n >  
     < T > T < / T >  
     < F > F < / F >  
     < E > E < / E >  
     < D > D < / D >  
     < W > W < / W >  
     < J a n u a r y > J a n u a r y < / J a n u a r y >  
     < F e b r u a r y > F e b r u a r y < / F e b r u a r y >  
     < M a r c h > M a r c h < / M a r c h >  
     < A p r i l > A p r i l < / A p r i l >  
     < M a y > M a y < / M a y >  
     < J u n e > J u n e < / J u n e >  
     < J u l y > J u l y < / J u l y >  
     < A u g u s t > A u g u s t < / A u g u s t >  
     < S e p t e m b e r > S e p t e m b e r < / S e p t e m b e r >  
     < O c t o b e r > O c t o b e r < / O c t o b e r >  
     < N o v e m b e r > N o v e m b e r < / N o v e m b e r >  
     < D e c e m b e r > D e c e m b e r < / D e c e m b e r >  
     < M i n u t e T a k e r > M i n u t e   t a k e r < / M i n u t e T a k e r >  
     < A b s e n t > A b s e n t < / A b s e n t >  
     < C o n t a c t > C o n t a c t < / C o n t a c t >  
     < P r o j e c t > P r o j e c t < / P r o j e c t >  
     < C o n t e n t s > C o n t e n t s < / C o n t e n t s >  
     < A p p e n d i x > A p p e n d i x < / A p p e n d i x >  
     < P r e p a r e d B y > P r e p a r e d   b y < / P r e p a r e d B y >  
     < V e r i f i e d B y > V e r i f i e d   b y < / V e r i f i e d B y >  
     < A p p r o v e d B y > A p p r o v e d   b y < / A p p r o v e d B y >  
     < P a g e > P a g e < / P a g e >  
     < A t t n > A t t n . < / A t t n >  
     < V e r > V e r . < / V e r >  
     < M > M < / M >  
     < C l i e n t > C l i e n t < / C l i e n t >  
     < M e e t i n g S u b j e c t > M e e t i n g   s u b j e c t < / M e e t i n g S u b j e c t >  
     < M e m o > M e m o < / M e m o >  
     < T o > T o < / T o >  
     < C o p y > C o p y < / C o p y >  
     < F r o m > F r o m < / F r o m >  
     < F i g u r e > F i g u r e < / F i g u r e >  
     < T e l e p h o n e > T e l e p h o n e < / T e l e p h o n e >  
     < T e n d e r > T e n d e r < / T e n d e r >  
     < B i d F o r > B i d   f o r < / B i d F o r >  
     < E O I > E O I < / E O I >  
     < A g e n d a > A g e n d a < / A g e n d a >  
     < T a b l e > T a b l e < / T a b l e >  
     < M o d i f i e d > M o d i f i e d < / M o d i f i e d >  
     < P l a c e O f M e e t i n g > P l a c e   o f   m e e t i n g < / P l a c e O f M e e t i n g >  
     < D a t e O f M e e t i n g > D a t e   o f   m e e t i n g < / D a t e O f M e e t i n g >  
     < C a n c e l l a t i o n s > C a n c e l l a t i o n s < / C a n c e l l a t i o n s >  
     < R e v N o > R e v . n o . < / R e v N o >  
     < D e s c r i p t i o n > D e s c r i p t i o n < / D e s c r i p t i o n >  
     < R e s p o n s i b i l i t y > R e s p o n s i b l e < / R e s p o n s i b i l i t y >  
     < D e a d l i n e > D e a d l i n e < / D e a d l i n e >  
     < R e c o r d B a c k g r o u n d A c t i o n > A c t i o n   & a m p ;   s t a t u s < / R e c o r d B a c k g r o u n d A c t i o n >  
     < A c t i o n L i s t > A c t i o n   l i s t < / A c t i o n L i s t >  
 < / l a b e l s > 
</file>

<file path=customXml/item4.xml><?xml version="1.0" encoding="utf-8"?>
<constants xmlns="http://niras/templates/constants">
  <ControlledBy/>
  <ApprovedBy/>
</constants>
</file>

<file path=customXml/item5.xml><?xml version="1.0" encoding="utf-8"?>
<project xmlns="http://niras/templates/project">
  <projectName/>
  <clientName/>
  <projectId/>
</project>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1 6 " ? > < a d d r e s s   x m l n s = " h t t p : / / n i r a s / t e m p l a t e s / a d d r e s s " >  
     < T i t l e > N I R A S   G R O U P   ( U K )   L t d . < / T i t l e >  
     < C o m p a n y > N I R A S   G R O U P   ( U K )   L t d . < / C o m p a n y >  
     < O f f i c e > E d i n b u r g h < / O f f i c e >  
     < N I R A S T e m p l a t e L a n g u a g e > e n < / N I R A S T e m p l a t e L a n g u a g e >  
     < F i r m > N I R A S   G R O U P   ( U K )   L t d . < / F i r m >  
     < A d d r e s s 1 > P e n t l a n d s   S c i e n c e   P a r k ,   B u s h   L o a n ,  
 P e n i c u i k < / A d d r e s s 1 >  
     < P o s t a l D i s t r i c t > N r .   E d i n b u r g h   E H 2 6   0 P L < / P o s t a l D i s t r i c t >  
     < C o u n t r y > � < / C o u n t r y >  
     < T e l e p h o n e > + 4 4   1 3 1   4 4 0   5 5 0 0 < / T e l e p h o n e >  
     < F a x > + 4 4   1 3 1   4 4 0   5 5 0 1 < / F a x >  
     < E m a i l > m a i l @ l t s i . c o . u k < / E m a i l >  
     < R e g > R e g .   n o .   1 2 5 0 4 4 3 < / R e g >  
     < F R I > V A T   R e g .   2 6 7   7 6 3 7   1 2 < / F R I >  
     < W e b A d d r e s s > w w w . n i r a s . c o m / s e c t o r s / d e v e l o p m e n t - c o n s u l t i n g < / W e b A d d r e s s >  
 < / a d d r e s s > 
</file>

<file path=customXml/item8.xml><?xml version="1.0" encoding="utf-8"?>
<settings xmlns="http://niras/templates/settings">
  <date>19 September 2023</date>
</settings>
</file>

<file path=customXml/item9.xml><?xml version="1.0" encoding="utf-8"?>
<ct:contentTypeSchema xmlns:ct="http://schemas.microsoft.com/office/2006/metadata/contentType" xmlns:ma="http://schemas.microsoft.com/office/2006/metadata/properties/metaAttributes" ct:_="" ma:_="" ma:contentTypeName="Document" ma:contentTypeID="0x010100C86BC38FBA6AE64EBB94A713A201E924" ma:contentTypeVersion="20" ma:contentTypeDescription="Create a new document." ma:contentTypeScope="" ma:versionID="2817b948c73515af29ee4a10379e8f93">
  <xsd:schema xmlns:xsd="http://www.w3.org/2001/XMLSchema" xmlns:xs="http://www.w3.org/2001/XMLSchema" xmlns:p="http://schemas.microsoft.com/office/2006/metadata/properties" xmlns:ns1="http://schemas.microsoft.com/sharepoint/v3" xmlns:ns2="92ad9e33-5271-4ce6-bdd9-333434fbc601" xmlns:ns3="0063f72e-ace3-48fb-9c1f-5b513408b31f" xmlns:ns4="b413c3fd-5a3b-4239-b985-69032e371c04" xmlns:ns5="a8f60570-4bd3-4f2b-950b-a996de8ab151" xmlns:ns6="aaacb922-5235-4a66-b188-303b9b46fbd7" xmlns:ns7="c428dd7c-603b-4269-bcac-7b8676926974" targetNamespace="http://schemas.microsoft.com/office/2006/metadata/properties" ma:root="true" ma:fieldsID="809daeac288255535ae8f0686bc760d9" ns1:_="" ns2:_="" ns3:_="" ns4:_="" ns5:_="" ns6:_="" ns7:_="">
    <xsd:import namespace="http://schemas.microsoft.com/sharepoint/v3"/>
    <xsd:import namespace="92ad9e33-5271-4ce6-bdd9-333434fbc601"/>
    <xsd:import namespace="0063f72e-ace3-48fb-9c1f-5b513408b31f"/>
    <xsd:import namespace="b413c3fd-5a3b-4239-b985-69032e371c04"/>
    <xsd:import namespace="a8f60570-4bd3-4f2b-950b-a996de8ab151"/>
    <xsd:import namespace="aaacb922-5235-4a66-b188-303b9b46fbd7"/>
    <xsd:import namespace="c428dd7c-603b-4269-bcac-7b8676926974"/>
    <xsd:element name="properties">
      <xsd:complexType>
        <xsd:sequence>
          <xsd:element name="documentManagement">
            <xsd:complexType>
              <xsd:all>
                <xsd:element ref="ns2:_dlc_DocId" minOccurs="0"/>
                <xsd:element ref="ns2:_dlc_DocIdUrl" minOccurs="0"/>
                <xsd:element ref="ns2:_dlc_DocIdPersistId" minOccurs="0"/>
                <xsd:element ref="ns3:Security_x0020_Classification" minOccurs="0"/>
                <xsd:element ref="ns3:Descriptor" minOccurs="0"/>
                <xsd:element ref="ns2:m975189f4ba442ecbf67d4147307b177" minOccurs="0"/>
                <xsd:element ref="ns2:TaxCatchAll" minOccurs="0"/>
                <xsd:element ref="ns2: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element ref="ns2:SharedWithUsers" minOccurs="0"/>
                <xsd:element ref="ns2:SharedWithDetails" minOccurs="0"/>
                <xsd:element ref="ns7:MediaLengthInSeconds" minOccurs="0"/>
                <xsd:element ref="ns7:MediaServiceObjectDetectorVersions" minOccurs="0"/>
                <xsd:element ref="ns7:overview" minOccurs="0"/>
                <xsd:element ref="ns7:lcf76f155ced4ddcb4097134ff3c332f" minOccurs="0"/>
                <xsd:element ref="ns7: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ad9e33-5271-4ce6-bdd9-333434fbc6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75189f4ba442ecbf67d4147307b177" ma:index="13" nillable="true" ma:taxonomy="true" ma:internalName="m975189f4ba442ecbf67d4147307b177" ma:taxonomyFieldName="Business_x0020_Unit" ma:displayName="Business Unit" ma:default="1;#International Climate Finance|25a07eec-082c-4868-be05-2bef48a6767e"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d136d9e3-02d7-4447-9a9a-9d02553843e1}" ma:internalName="TaxCatchAll" ma:showField="CatchAllData"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d136d9e3-02d7-4447-9a9a-9d02553843e1}" ma:internalName="TaxCatchAllLabel" ma:readOnly="true" ma:showField="CatchAllDataLabel"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11"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12"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7" nillable="true" ma:displayName="Government Body" ma:default="BEIS" ma:internalName="Government_x0020_Body">
      <xsd:simpleType>
        <xsd:restriction base="dms:Text">
          <xsd:maxLength value="255"/>
        </xsd:restriction>
      </xsd:simpleType>
    </xsd:element>
    <xsd:element name="Date_x0020_Opened" ma:index="18" nillable="true" ma:displayName="Date Opened" ma:default="[Today]" ma:format="DateOnly" ma:internalName="Date_x0020_Opened">
      <xsd:simpleType>
        <xsd:restriction base="dms:DateTime"/>
      </xsd:simpleType>
    </xsd:element>
    <xsd:element name="Date_x0020_Closed" ma:index="19"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20"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21"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28dd7c-603b-4269-bcac-7b8676926974"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overview" ma:index="36" nillable="true" ma:displayName="overview" ma:format="Dropdown" ma:internalName="overview">
      <xsd:simpleType>
        <xsd:restriction base="dms:Note">
          <xsd:maxLength value="255"/>
        </xsd:restrictio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03347-75DD-4D17-B276-8199B1CBB443}">
  <ds:schemaRefs>
    <ds:schemaRef ds:uri="http://niras/templates/user"/>
  </ds:schemaRefs>
</ds:datastoreItem>
</file>

<file path=customXml/itemProps10.xml><?xml version="1.0" encoding="utf-8"?>
<ds:datastoreItem xmlns:ds="http://schemas.openxmlformats.org/officeDocument/2006/customXml" ds:itemID="{D970EC40-94FE-468D-B21C-7CD4B9D71D17}"/>
</file>

<file path=customXml/itemProps11.xml><?xml version="1.0" encoding="utf-8"?>
<ds:datastoreItem xmlns:ds="http://schemas.openxmlformats.org/officeDocument/2006/customXml" ds:itemID="{79294B63-911E-435B-A36B-484EB29FE703}"/>
</file>

<file path=customXml/itemProps12.xml><?xml version="1.0" encoding="utf-8"?>
<ds:datastoreItem xmlns:ds="http://schemas.openxmlformats.org/officeDocument/2006/customXml" ds:itemID="{E246781B-F716-49B3-99C1-C60D7F9ABE09}"/>
</file>

<file path=customXml/itemProps2.xml><?xml version="1.0" encoding="utf-8"?>
<ds:datastoreItem xmlns:ds="http://schemas.openxmlformats.org/officeDocument/2006/customXml" ds:itemID="{5831B250-2D74-4D7D-BDA8-ACC64AE5CFD2}">
  <ds:schemaRefs>
    <ds:schemaRef ds:uri="http://niras/templates/logo"/>
  </ds:schemaRefs>
</ds:datastoreItem>
</file>

<file path=customXml/itemProps3.xml><?xml version="1.0" encoding="utf-8"?>
<ds:datastoreItem xmlns:ds="http://schemas.openxmlformats.org/officeDocument/2006/customXml" ds:itemID="{A7E9DC5A-3E65-439A-8E20-A9CAA6A46846}">
  <ds:schemaRefs>
    <ds:schemaRef ds:uri="http://niras/templates/labels"/>
  </ds:schemaRefs>
</ds:datastoreItem>
</file>

<file path=customXml/itemProps4.xml><?xml version="1.0" encoding="utf-8"?>
<ds:datastoreItem xmlns:ds="http://schemas.openxmlformats.org/officeDocument/2006/customXml" ds:itemID="{4E5DF10B-6199-477F-BD17-083F38876CBF}">
  <ds:schemaRefs>
    <ds:schemaRef ds:uri="http://niras/templates/constants"/>
  </ds:schemaRefs>
</ds:datastoreItem>
</file>

<file path=customXml/itemProps5.xml><?xml version="1.0" encoding="utf-8"?>
<ds:datastoreItem xmlns:ds="http://schemas.openxmlformats.org/officeDocument/2006/customXml" ds:itemID="{C9BC6985-D57A-4135-A603-54903DCC49CB}">
  <ds:schemaRefs>
    <ds:schemaRef ds:uri="http://niras/templates/project"/>
  </ds:schemaRefs>
</ds:datastoreItem>
</file>

<file path=customXml/itemProps6.xml><?xml version="1.0" encoding="utf-8"?>
<ds:datastoreItem xmlns:ds="http://schemas.openxmlformats.org/officeDocument/2006/customXml" ds:itemID="{0D558636-8D62-47AC-961F-8E83DD257B70}">
  <ds:schemaRefs>
    <ds:schemaRef ds:uri="http://schemas.openxmlformats.org/officeDocument/2006/bibliography"/>
  </ds:schemaRefs>
</ds:datastoreItem>
</file>

<file path=customXml/itemProps7.xml><?xml version="1.0" encoding="utf-8"?>
<ds:datastoreItem xmlns:ds="http://schemas.openxmlformats.org/officeDocument/2006/customXml" ds:itemID="{9B2875FF-4A94-472C-93DD-5FCA0855990E}">
  <ds:schemaRefs>
    <ds:schemaRef ds:uri="http://niras/templates/address"/>
  </ds:schemaRefs>
</ds:datastoreItem>
</file>

<file path=customXml/itemProps8.xml><?xml version="1.0" encoding="utf-8"?>
<ds:datastoreItem xmlns:ds="http://schemas.openxmlformats.org/officeDocument/2006/customXml" ds:itemID="{9BA5C65E-7773-41E4-B4C7-CE3CC64B18A6}">
  <ds:schemaRefs>
    <ds:schemaRef ds:uri="http://niras/templates/settings"/>
  </ds:schemaRefs>
</ds:datastoreItem>
</file>

<file path=customXml/itemProps9.xml><?xml version="1.0" encoding="utf-8"?>
<ds:datastoreItem xmlns:ds="http://schemas.openxmlformats.org/officeDocument/2006/customXml" ds:itemID="{2D607EC3-8163-464B-9B9B-1DC2BEF6DEFD}"/>
</file>

<file path=docMetadata/LabelInfo.xml><?xml version="1.0" encoding="utf-8"?>
<clbl:labelList xmlns:clbl="http://schemas.microsoft.com/office/2020/mipLabelMetadata">
  <clbl:label id="{ba62f585-b40f-4ab9-bafe-39150f03d124}" enabled="1" method="Standard" siteId="{cbac7005-02c1-43eb-b497-e6492d1b2dd8}"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Baker, Rachel (Energy Security)</cp:lastModifiedBy>
  <cp:revision>2</cp:revision>
  <dcterms:created xsi:type="dcterms:W3CDTF">2026-01-15T09:14:00Z</dcterms:created>
  <dcterms:modified xsi:type="dcterms:W3CDTF">2026-07-02T08:48:14Z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M_Activity">
    <vt:lpwstr>2;#International climate|5a595758-250c-1237-4802-ae3329732708</vt:lpwstr>
  </property>
  <property fmtid="{D5CDD505-2E9C-101B-9397-08002B2CF9AE}" pid="3" name="MSIP_Label_ba62f585-b40f-4ab9-bafe-39150f03d124_SiteId">
    <vt:lpwstr>cbac7005-02c1-43eb-b497-e6492d1b2dd8</vt:lpwstr>
  </property>
  <property fmtid="{D5CDD505-2E9C-101B-9397-08002B2CF9AE}" pid="4" name="_dlc_DocId_src">
    <vt:lpwstr>{Module.FooterText}</vt:lpwstr>
  </property>
  <property fmtid="{D5CDD505-2E9C-101B-9397-08002B2CF9AE}" pid="5" name="templatetype">
    <vt:lpwstr>Tender</vt:lpwstr>
  </property>
  <property fmtid="{D5CDD505-2E9C-101B-9397-08002B2CF9AE}" pid="6" name="MSIP_Label_ba62f585-b40f-4ab9-bafe-39150f03d124_Method">
    <vt:lpwstr>Standard</vt:lpwstr>
  </property>
  <property fmtid="{D5CDD505-2E9C-101B-9397-08002B2CF9AE}" pid="7" name="NIRASScale">
    <vt:lpwstr/>
  </property>
  <property fmtid="{D5CDD505-2E9C-101B-9397-08002B2CF9AE}" pid="8" name="MediaServiceImageTags">
    <vt:lpwstr/>
  </property>
  <property fmtid="{D5CDD505-2E9C-101B-9397-08002B2CF9AE}" pid="9" name="MSIP_Label_ba62f585-b40f-4ab9-bafe-39150f03d124_ContentBits">
    <vt:lpwstr>3</vt:lpwstr>
  </property>
  <property fmtid="{D5CDD505-2E9C-101B-9397-08002B2CF9AE}" pid="10" name="ContentTypeId">
    <vt:lpwstr>0x010100C86BC38FBA6AE64EBB94A713A201E924</vt:lpwstr>
  </property>
  <property fmtid="{D5CDD505-2E9C-101B-9397-08002B2CF9AE}" pid="11" name="MSIP_Label_ba62f585-b40f-4ab9-bafe-39150f03d124_Name">
    <vt:lpwstr>OFFICIAL</vt:lpwstr>
  </property>
  <property fmtid="{D5CDD505-2E9C-101B-9397-08002B2CF9AE}" pid="12" name="NIRASPriceListSupplier">
    <vt:lpwstr/>
  </property>
  <property fmtid="{D5CDD505-2E9C-101B-9397-08002B2CF9AE}" pid="13" name="RevisionLog">
    <vt:lpwstr>true</vt:lpwstr>
  </property>
  <property fmtid="{D5CDD505-2E9C-101B-9397-08002B2CF9AE}" pid="14" name="ImageCover">
    <vt:lpwstr>True</vt:lpwstr>
  </property>
  <property fmtid="{D5CDD505-2E9C-101B-9397-08002B2CF9AE}" pid="15" name="HeadingStyleSets">
    <vt:lpwstr>true</vt:lpwstr>
  </property>
  <property fmtid="{D5CDD505-2E9C-101B-9397-08002B2CF9AE}" pid="16" name="ClassificationContentMarkingHeaderFontProps">
    <vt:lpwstr>#000000,10,Calibri</vt:lpwstr>
  </property>
  <property fmtid="{D5CDD505-2E9C-101B-9397-08002B2CF9AE}" pid="17" name="MSIP_Label_ba62f585-b40f-4ab9-bafe-39150f03d124_Tag">
    <vt:lpwstr>10, 3, 0, 1</vt:lpwstr>
  </property>
  <property fmtid="{D5CDD505-2E9C-101B-9397-08002B2CF9AE}" pid="18" name="PartnerLogo">
    <vt:lpwstr>True</vt:lpwstr>
  </property>
  <property fmtid="{D5CDD505-2E9C-101B-9397-08002B2CF9AE}" pid="19" name="NIRASAI">
    <vt:lpwstr/>
  </property>
  <property fmtid="{D5CDD505-2E9C-101B-9397-08002B2CF9AE}" pid="20" name="ApplyLanguageRun">
    <vt:lpwstr>true</vt:lpwstr>
  </property>
  <property fmtid="{D5CDD505-2E9C-101B-9397-08002B2CF9AE}" pid="21" name="docLang">
    <vt:lpwstr>en</vt:lpwstr>
  </property>
  <property fmtid="{D5CDD505-2E9C-101B-9397-08002B2CF9AE}" pid="22" name="KIM_GovernmentBody">
    <vt:lpwstr>3;#BEIS|b386cac2-c28c-4db4-8fca-43733d0e74ef</vt:lpwstr>
  </property>
  <property fmtid="{D5CDD505-2E9C-101B-9397-08002B2CF9AE}" pid="23" name="NIRASDocumentKind">
    <vt:lpwstr>10;#Report|d16b5c7b-ec9d-476b-ba75-1bbbd340a9f6</vt:lpwstr>
  </property>
  <property fmtid="{D5CDD505-2E9C-101B-9397-08002B2CF9AE}" pid="24" name="Appendix">
    <vt:lpwstr>true</vt:lpwstr>
  </property>
  <property fmtid="{D5CDD505-2E9C-101B-9397-08002B2CF9AE}" pid="25" name="ClassificationContentMarkingFooterShapeIds">
    <vt:lpwstr>5776543c,56a51bc8,69808bf3,63ba4025</vt:lpwstr>
  </property>
  <property fmtid="{D5CDD505-2E9C-101B-9397-08002B2CF9AE}" pid="26" name="MSIP_Label_ba62f585-b40f-4ab9-bafe-39150f03d124_ActionId">
    <vt:lpwstr>fe7aad44-cb1b-4249-9bd9-95d0752dfa7b</vt:lpwstr>
  </property>
  <property fmtid="{D5CDD505-2E9C-101B-9397-08002B2CF9AE}" pid="27" name="ClassificationContentMarkingHeaderShapeIds">
    <vt:lpwstr>64410e72,5f65c61e,4790fec7,61e951a4</vt:lpwstr>
  </property>
  <property fmtid="{D5CDD505-2E9C-101B-9397-08002B2CF9AE}" pid="28" name="ClassificationContentMarkingFooterFontProps">
    <vt:lpwstr>#000000,10,Calibri</vt:lpwstr>
  </property>
  <property fmtid="{D5CDD505-2E9C-101B-9397-08002B2CF9AE}" pid="29" name="KIM_Function">
    <vt:lpwstr>1;#Climate and energy|98b2efea-a649-07e6-a104-07f256801c42</vt:lpwstr>
  </property>
  <property fmtid="{D5CDD505-2E9C-101B-9397-08002B2CF9AE}" pid="30" name="NIRASQAGroup">
    <vt:lpwstr/>
  </property>
  <property fmtid="{D5CDD505-2E9C-101B-9397-08002B2CF9AE}" pid="31" name="NIRASPriceListTechnology">
    <vt:lpwstr/>
  </property>
  <property fmtid="{D5CDD505-2E9C-101B-9397-08002B2CF9AE}" pid="32" name="NIRASQAStatus">
    <vt:lpwstr/>
  </property>
  <property fmtid="{D5CDD505-2E9C-101B-9397-08002B2CF9AE}" pid="33" name="MSIP_Label_ba62f585-b40f-4ab9-bafe-39150f03d124_Enabled">
    <vt:lpwstr>true</vt:lpwstr>
  </property>
  <property fmtid="{D5CDD505-2E9C-101B-9397-08002B2CF9AE}" pid="34" name="TOC">
    <vt:lpwstr>true</vt:lpwstr>
  </property>
  <property fmtid="{D5CDD505-2E9C-101B-9397-08002B2CF9AE}" pid="35" name="_dlc_DocIdItemGuid">
    <vt:lpwstr>8915bccd-0cf2-4cc9-93c4-2993b8f83436</vt:lpwstr>
  </property>
  <property fmtid="{D5CDD505-2E9C-101B-9397-08002B2CF9AE}" pid="36" name="Index">
    <vt:lpwstr>true</vt:lpwstr>
  </property>
  <property fmtid="{D5CDD505-2E9C-101B-9397-08002B2CF9AE}" pid="37" name="MSIP_Label_ba62f585-b40f-4ab9-bafe-39150f03d124_SetDate">
    <vt:lpwstr>2025-07-11T14:41:35Z</vt:lpwstr>
  </property>
  <property fmtid="{D5CDD505-2E9C-101B-9397-08002B2CF9AE}" pid="38" name="InsertLandscape">
    <vt:lpwstr>true</vt:lpwstr>
  </property>
  <property fmtid="{D5CDD505-2E9C-101B-9397-08002B2CF9AE}" pid="39" name="ClassificationContentMarkingFooterText">
    <vt:lpwstr>OFFICIAL</vt:lpwstr>
  </property>
  <property fmtid="{D5CDD505-2E9C-101B-9397-08002B2CF9AE}" pid="40" name="Business Unit">
    <vt:lpwstr>1;#International Climate Finance|25a07eec-082c-4868-be05-2bef48a6767e</vt:lpwstr>
  </property>
  <property fmtid="{D5CDD505-2E9C-101B-9397-08002B2CF9AE}" pid="41" name="ClassificationContentMarkingHeaderText">
    <vt:lpwstr>OFFICIAL</vt:lpwstr>
  </property>
  <property fmtid="{D5CDD505-2E9C-101B-9397-08002B2CF9AE}" pid="42" name="Business_x0020_Unit">
    <vt:lpwstr>1;#International Climate Finance|25a07eec-082c-4868-be05-2bef48a6767e</vt:lpwstr>
  </property>
</Properties>
</file>