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FC00" w14:textId="620CE13D" w:rsidR="00560847" w:rsidRDefault="00F46ECD" w:rsidP="007D5E89">
      <w:pPr>
        <w:pStyle w:val="Heading1"/>
      </w:pPr>
      <w:r>
        <w:t xml:space="preserve">DESNZ response to the </w:t>
      </w:r>
      <w:r w:rsidR="007D5E89" w:rsidRPr="007D5E89">
        <w:t>Final Evaluation of the Climate Ambition Support Alliance (CASA) II programme 2023–25</w:t>
      </w:r>
    </w:p>
    <w:p w14:paraId="671FFCC0" w14:textId="0BCD3F4A" w:rsidR="007D5E89" w:rsidRDefault="007D5E89" w:rsidP="007D5E89">
      <w:r>
        <w:t xml:space="preserve">Date: </w:t>
      </w:r>
      <w:r w:rsidR="000E71E8">
        <w:t>09/10/2025</w:t>
      </w:r>
    </w:p>
    <w:p w14:paraId="64D10D9A" w14:textId="0F36DC22" w:rsidR="007A384A" w:rsidRDefault="007A384A" w:rsidP="00CA2A86">
      <w:pPr>
        <w:jc w:val="both"/>
        <w:rPr>
          <w:rFonts w:ascii="Aptos" w:hAnsi="Aptos"/>
          <w:color w:val="000000" w:themeColor="text1"/>
        </w:rPr>
      </w:pPr>
      <w:r w:rsidRPr="62EB372F">
        <w:rPr>
          <w:rFonts w:ascii="Aptos" w:hAnsi="Aptos"/>
          <w:color w:val="000000" w:themeColor="text1"/>
        </w:rPr>
        <w:t>The Climate Ambition Support Alliance (CASA) is a UK</w:t>
      </w:r>
      <w:r w:rsidR="00934CD1" w:rsidRPr="62EB372F">
        <w:rPr>
          <w:rFonts w:ascii="Aptos" w:hAnsi="Aptos"/>
          <w:color w:val="000000" w:themeColor="text1"/>
        </w:rPr>
        <w:t xml:space="preserve"> </w:t>
      </w:r>
      <w:r w:rsidR="000A0D8B" w:rsidRPr="62EB372F">
        <w:rPr>
          <w:rFonts w:ascii="Aptos" w:hAnsi="Aptos"/>
          <w:color w:val="000000" w:themeColor="text1"/>
        </w:rPr>
        <w:t>International Climate Finance (ICF)</w:t>
      </w:r>
      <w:r w:rsidRPr="62EB372F">
        <w:rPr>
          <w:rFonts w:ascii="Aptos" w:hAnsi="Aptos"/>
          <w:color w:val="000000" w:themeColor="text1"/>
        </w:rPr>
        <w:t xml:space="preserve"> programme, dedicated to enhancing the capacity and capability of ambitious</w:t>
      </w:r>
      <w:r w:rsidR="00CA2A86" w:rsidRPr="62EB372F">
        <w:rPr>
          <w:rFonts w:ascii="Aptos" w:hAnsi="Aptos"/>
          <w:color w:val="000000" w:themeColor="text1"/>
        </w:rPr>
        <w:t>,</w:t>
      </w:r>
      <w:r w:rsidRPr="62EB372F">
        <w:rPr>
          <w:rFonts w:ascii="Aptos" w:hAnsi="Aptos"/>
          <w:color w:val="000000" w:themeColor="text1"/>
        </w:rPr>
        <w:t xml:space="preserve"> </w:t>
      </w:r>
      <w:r w:rsidR="0058428E" w:rsidRPr="62EB372F">
        <w:rPr>
          <w:rFonts w:ascii="Aptos" w:hAnsi="Aptos"/>
          <w:color w:val="000000" w:themeColor="text1"/>
        </w:rPr>
        <w:t>developing</w:t>
      </w:r>
      <w:r w:rsidRPr="62EB372F">
        <w:rPr>
          <w:rFonts w:ascii="Aptos" w:hAnsi="Aptos"/>
          <w:color w:val="000000" w:themeColor="text1"/>
        </w:rPr>
        <w:t xml:space="preserve"> countr</w:t>
      </w:r>
      <w:r w:rsidR="0058428E" w:rsidRPr="62EB372F">
        <w:rPr>
          <w:rFonts w:ascii="Aptos" w:hAnsi="Aptos"/>
          <w:color w:val="000000" w:themeColor="text1"/>
        </w:rPr>
        <w:t>y negotiating groups</w:t>
      </w:r>
      <w:r w:rsidRPr="62EB372F">
        <w:rPr>
          <w:rFonts w:ascii="Aptos" w:hAnsi="Aptos"/>
          <w:color w:val="000000" w:themeColor="text1"/>
        </w:rPr>
        <w:t xml:space="preserve"> in international climate negotiations. CASA provides targeted technical, legal, scientific, and strategic advisory services to facilitate effective participation by these </w:t>
      </w:r>
      <w:r w:rsidR="00F22BDB" w:rsidRPr="62EB372F">
        <w:rPr>
          <w:rFonts w:ascii="Aptos" w:hAnsi="Aptos"/>
          <w:color w:val="000000" w:themeColor="text1"/>
        </w:rPr>
        <w:t xml:space="preserve">groups </w:t>
      </w:r>
      <w:r w:rsidRPr="62EB372F">
        <w:rPr>
          <w:rFonts w:ascii="Aptos" w:hAnsi="Aptos"/>
          <w:color w:val="000000" w:themeColor="text1"/>
        </w:rPr>
        <w:t>in the negotiation process.</w:t>
      </w:r>
    </w:p>
    <w:p w14:paraId="4303B3AC" w14:textId="41E81E15" w:rsidR="007A384A" w:rsidRDefault="007A384A" w:rsidP="00CA2A86">
      <w:pPr>
        <w:jc w:val="both"/>
      </w:pPr>
      <w:r>
        <w:t xml:space="preserve">The UK is committed to supporting active participation from </w:t>
      </w:r>
      <w:r w:rsidR="003B4C58">
        <w:t>d</w:t>
      </w:r>
      <w:r>
        <w:t xml:space="preserve">eveloping </w:t>
      </w:r>
      <w:r w:rsidR="003B4C58">
        <w:t>c</w:t>
      </w:r>
      <w:r>
        <w:t>ountry partners in international climate negotiations. This helps level the playing field in negotiations and empower progressive voices to drive higher ambition in collective agreements, whilst preserving and enhancing the rules based international system.</w:t>
      </w:r>
      <w:r>
        <w:rPr>
          <w:rFonts w:ascii="Arial" w:hAnsi="Arial" w:cs="Arial"/>
        </w:rPr>
        <w:t>    </w:t>
      </w:r>
      <w:r>
        <w:t xml:space="preserve"> </w:t>
      </w:r>
    </w:p>
    <w:p w14:paraId="196CC26D" w14:textId="2894A58D" w:rsidR="00301C51" w:rsidRDefault="00586E14" w:rsidP="00CA2A86">
      <w:pPr>
        <w:jc w:val="both"/>
      </w:pPr>
      <w:r>
        <w:t xml:space="preserve">DESNZ welcomes </w:t>
      </w:r>
      <w:r w:rsidR="00B67AF3">
        <w:t xml:space="preserve">Niras’ </w:t>
      </w:r>
      <w:r w:rsidR="00AF7AFF">
        <w:t>f</w:t>
      </w:r>
      <w:r w:rsidR="00B67AF3">
        <w:t>inal evaluation of the CASA programme</w:t>
      </w:r>
      <w:r w:rsidR="00CB7DCC">
        <w:t>. It is encouraging to see</w:t>
      </w:r>
      <w:r w:rsidR="00E87FCF">
        <w:t xml:space="preserve"> findings showing that CASA </w:t>
      </w:r>
      <w:r w:rsidR="00B82C60">
        <w:t>has been</w:t>
      </w:r>
      <w:r w:rsidR="005A5971" w:rsidRPr="007421C1">
        <w:t xml:space="preserve"> highly relevant and effective in </w:t>
      </w:r>
      <w:r w:rsidR="005A5971">
        <w:t>its aims</w:t>
      </w:r>
      <w:r w:rsidR="00B82C60">
        <w:t xml:space="preserve">. The evaluation underscores </w:t>
      </w:r>
      <w:r w:rsidR="001F47D0">
        <w:t>the programme’s</w:t>
      </w:r>
      <w:r w:rsidR="00B82C60">
        <w:t xml:space="preserve"> </w:t>
      </w:r>
      <w:r w:rsidR="005A5971" w:rsidRPr="007421C1">
        <w:t xml:space="preserve">strong value for money, and </w:t>
      </w:r>
      <w:r w:rsidR="001239A2">
        <w:t xml:space="preserve">its </w:t>
      </w:r>
      <w:r w:rsidR="001239A2" w:rsidRPr="007421C1">
        <w:t>critical</w:t>
      </w:r>
      <w:r w:rsidR="005A5971" w:rsidRPr="007421C1">
        <w:t xml:space="preserve"> contribution to </w:t>
      </w:r>
      <w:r w:rsidR="00617FBF">
        <w:t>advancing</w:t>
      </w:r>
      <w:r w:rsidR="00DF6DA0">
        <w:t xml:space="preserve"> </w:t>
      </w:r>
      <w:r w:rsidR="005A5971" w:rsidRPr="007421C1">
        <w:t>fairer</w:t>
      </w:r>
      <w:r w:rsidR="00DF6DA0">
        <w:t xml:space="preserve"> and </w:t>
      </w:r>
      <w:r w:rsidR="005A5971" w:rsidRPr="007421C1">
        <w:t>more inclusive international climate negotiations</w:t>
      </w:r>
      <w:r w:rsidR="003231B2">
        <w:t xml:space="preserve">, </w:t>
      </w:r>
      <w:r w:rsidR="00A869E8" w:rsidRPr="007421C1">
        <w:t>particularly</w:t>
      </w:r>
      <w:r w:rsidR="005A5971" w:rsidRPr="007421C1">
        <w:t xml:space="preserve"> for </w:t>
      </w:r>
      <w:r w:rsidR="004B61F7">
        <w:t xml:space="preserve">the Least Developed Countries </w:t>
      </w:r>
      <w:r w:rsidR="00FF2DA1">
        <w:t>group (LDC group)</w:t>
      </w:r>
      <w:r w:rsidR="004B61F7">
        <w:t>, the</w:t>
      </w:r>
      <w:r w:rsidR="00FF2DA1">
        <w:t xml:space="preserve"> Alliance of Small Island States (AOSIS)</w:t>
      </w:r>
      <w:r w:rsidR="005A5971" w:rsidRPr="007421C1">
        <w:t>, and the High Ambition Coalition</w:t>
      </w:r>
      <w:r w:rsidR="00431562">
        <w:t xml:space="preserve"> (HAC)</w:t>
      </w:r>
      <w:r w:rsidR="005A5971" w:rsidRPr="007421C1">
        <w:t>.</w:t>
      </w:r>
      <w:r w:rsidR="00301C51">
        <w:t xml:space="preserve"> </w:t>
      </w:r>
      <w:r w:rsidR="00CB15D1">
        <w:t>T</w:t>
      </w:r>
      <w:r w:rsidR="005A5971" w:rsidRPr="007421C1">
        <w:t xml:space="preserve">he programme’s flexible, demand-led support model, trusted technical partners, and </w:t>
      </w:r>
      <w:r w:rsidR="00C26E4B">
        <w:t>emphasis</w:t>
      </w:r>
      <w:r w:rsidR="00C26E4B" w:rsidRPr="007421C1">
        <w:t xml:space="preserve"> </w:t>
      </w:r>
      <w:r w:rsidR="005A5971" w:rsidRPr="007421C1">
        <w:t>on gender and youth inclusion are highlighted as major strengths</w:t>
      </w:r>
      <w:r w:rsidR="00A34592">
        <w:t>.</w:t>
      </w:r>
      <w:r w:rsidR="005A5971" w:rsidRPr="007421C1">
        <w:t xml:space="preserve"> </w:t>
      </w:r>
    </w:p>
    <w:p w14:paraId="34EBB58B" w14:textId="02BD1362" w:rsidR="000324CA" w:rsidRDefault="003F3D0A" w:rsidP="00CA2A86">
      <w:pPr>
        <w:jc w:val="both"/>
      </w:pPr>
      <w:r>
        <w:t xml:space="preserve">DESNZ also </w:t>
      </w:r>
      <w:r w:rsidR="00696808">
        <w:t xml:space="preserve">welcomes </w:t>
      </w:r>
      <w:r w:rsidR="00515E56">
        <w:t>the evaluation’s valuable insights into the programme’s limitations and areas for</w:t>
      </w:r>
      <w:r w:rsidR="00E70B8D">
        <w:t xml:space="preserve"> potential</w:t>
      </w:r>
      <w:r w:rsidR="00515E56">
        <w:t xml:space="preserve"> strengthening</w:t>
      </w:r>
      <w:r>
        <w:t>. T</w:t>
      </w:r>
      <w:r w:rsidR="005A5971" w:rsidRPr="007421C1">
        <w:t xml:space="preserve">he report notes that sustainability of results is mixed, with </w:t>
      </w:r>
      <w:r w:rsidR="009C2004">
        <w:t xml:space="preserve">CASA’s notable impact </w:t>
      </w:r>
      <w:r w:rsidR="00E10B44">
        <w:t>being driven by an</w:t>
      </w:r>
      <w:r w:rsidR="005A5971" w:rsidRPr="007421C1">
        <w:t xml:space="preserve"> ongoing reliance on external support and </w:t>
      </w:r>
      <w:r w:rsidR="00585A09">
        <w:t xml:space="preserve">a limited focus on strengthening </w:t>
      </w:r>
      <w:r w:rsidR="005A5971" w:rsidRPr="007421C1">
        <w:t>domestic institutional capacity.</w:t>
      </w:r>
      <w:r w:rsidR="0099581E">
        <w:t xml:space="preserve"> </w:t>
      </w:r>
      <w:r w:rsidR="006762DD">
        <w:t>In</w:t>
      </w:r>
      <w:r w:rsidR="00515E56">
        <w:t xml:space="preserve"> the context of an</w:t>
      </w:r>
      <w:r w:rsidR="0084548B" w:rsidRPr="0084548B">
        <w:t xml:space="preserve"> increasingly challenging geopolitical </w:t>
      </w:r>
      <w:r w:rsidR="00ED47F8">
        <w:t>landscape</w:t>
      </w:r>
      <w:r w:rsidR="00ED47F8" w:rsidRPr="0084548B">
        <w:t xml:space="preserve"> </w:t>
      </w:r>
      <w:r w:rsidR="0084548B" w:rsidRPr="0084548B">
        <w:t>for climate ambition</w:t>
      </w:r>
      <w:r w:rsidR="00BB31BB">
        <w:t xml:space="preserve">, we are keen to ensure that the support we provide is sustainable and </w:t>
      </w:r>
      <w:r w:rsidR="000D656D">
        <w:t xml:space="preserve">builds organisational </w:t>
      </w:r>
      <w:r w:rsidR="001C4452">
        <w:t xml:space="preserve">capacity that can reduce the reliance on </w:t>
      </w:r>
      <w:r w:rsidR="009031D4">
        <w:t>technical partners</w:t>
      </w:r>
      <w:r w:rsidR="00BB31BB">
        <w:t>.</w:t>
      </w:r>
    </w:p>
    <w:p w14:paraId="26A183A8" w14:textId="25A23697" w:rsidR="0099581E" w:rsidRDefault="000F511F" w:rsidP="00CA2A86">
      <w:pPr>
        <w:jc w:val="both"/>
      </w:pPr>
      <w:r>
        <w:t xml:space="preserve">The findings of this evaluation will be used to inform </w:t>
      </w:r>
      <w:r w:rsidR="009F596B">
        <w:t xml:space="preserve">future planning of the CASA programme and recommendations will be taken into consideration. Please see our detailed response to each recommendation below. </w:t>
      </w:r>
    </w:p>
    <w:tbl>
      <w:tblPr>
        <w:tblStyle w:val="TableGrid"/>
        <w:tblpPr w:leftFromText="180" w:rightFromText="180" w:vertAnchor="page" w:horzAnchor="margin" w:tblpY="978"/>
        <w:tblW w:w="0" w:type="auto"/>
        <w:tblLook w:val="04A0" w:firstRow="1" w:lastRow="0" w:firstColumn="1" w:lastColumn="0" w:noHBand="0" w:noVBand="1"/>
      </w:tblPr>
      <w:tblGrid>
        <w:gridCol w:w="2075"/>
        <w:gridCol w:w="6882"/>
        <w:gridCol w:w="961"/>
        <w:gridCol w:w="4030"/>
      </w:tblGrid>
      <w:tr w:rsidR="00D2253E" w14:paraId="69AFFEF7" w14:textId="77777777" w:rsidTr="00B81D81">
        <w:tc>
          <w:tcPr>
            <w:tcW w:w="13948" w:type="dxa"/>
            <w:gridSpan w:val="4"/>
            <w:shd w:val="clear" w:color="auto" w:fill="182D4C"/>
          </w:tcPr>
          <w:p w14:paraId="38DBF76E" w14:textId="77777777" w:rsidR="00D2253E" w:rsidRPr="00BE144E" w:rsidRDefault="00D2253E" w:rsidP="00D2253E">
            <w:pPr>
              <w:rPr>
                <w:b/>
                <w:bCs/>
              </w:rPr>
            </w:pPr>
            <w:r w:rsidRPr="00405A89">
              <w:rPr>
                <w:b/>
                <w:bCs/>
                <w:sz w:val="28"/>
                <w:szCs w:val="28"/>
              </w:rPr>
              <w:lastRenderedPageBreak/>
              <w:t>Lesson 1. Sustainability must be designed, not assumed</w:t>
            </w:r>
          </w:p>
        </w:tc>
      </w:tr>
      <w:tr w:rsidR="00D2253E" w14:paraId="2AF5DB0F" w14:textId="77777777" w:rsidTr="00B81D81">
        <w:tc>
          <w:tcPr>
            <w:tcW w:w="2075" w:type="dxa"/>
            <w:shd w:val="clear" w:color="auto" w:fill="B4E3FA"/>
          </w:tcPr>
          <w:p w14:paraId="1FD538ED" w14:textId="77777777" w:rsidR="00D2253E" w:rsidRPr="00BE144E" w:rsidRDefault="00D2253E" w:rsidP="00D2253E">
            <w:pPr>
              <w:rPr>
                <w:bCs/>
              </w:rPr>
            </w:pPr>
            <w:r>
              <w:rPr>
                <w:bCs/>
              </w:rPr>
              <w:t>Recommendation #</w:t>
            </w:r>
          </w:p>
        </w:tc>
        <w:tc>
          <w:tcPr>
            <w:tcW w:w="6882" w:type="dxa"/>
            <w:shd w:val="clear" w:color="auto" w:fill="B4E3FA"/>
          </w:tcPr>
          <w:p w14:paraId="51F5A4DA" w14:textId="77777777" w:rsidR="00D2253E" w:rsidRPr="00BE144E" w:rsidRDefault="00D2253E" w:rsidP="00D2253E">
            <w:pPr>
              <w:rPr>
                <w:bCs/>
              </w:rPr>
            </w:pPr>
            <w:r w:rsidRPr="00BE144E">
              <w:rPr>
                <w:bCs/>
              </w:rPr>
              <w:t>Recommendation</w:t>
            </w:r>
          </w:p>
        </w:tc>
        <w:tc>
          <w:tcPr>
            <w:tcW w:w="961" w:type="dxa"/>
            <w:shd w:val="clear" w:color="auto" w:fill="B4E3FA"/>
          </w:tcPr>
          <w:p w14:paraId="57C22758" w14:textId="152D7289" w:rsidR="00D2253E" w:rsidRPr="00BE144E" w:rsidRDefault="00D2253E" w:rsidP="00D2253E">
            <w:pPr>
              <w:rPr>
                <w:bCs/>
              </w:rPr>
            </w:pPr>
            <w:r w:rsidRPr="00BE144E">
              <w:rPr>
                <w:bCs/>
              </w:rPr>
              <w:t>Accept</w:t>
            </w:r>
            <w:r w:rsidR="001734F5">
              <w:rPr>
                <w:bCs/>
              </w:rPr>
              <w:t xml:space="preserve"> </w:t>
            </w:r>
            <w:r w:rsidRPr="00BE144E">
              <w:rPr>
                <w:bCs/>
              </w:rPr>
              <w:t xml:space="preserve">or </w:t>
            </w:r>
            <w:proofErr w:type="gramStart"/>
            <w:r w:rsidRPr="00BE144E">
              <w:rPr>
                <w:bCs/>
              </w:rPr>
              <w:t>Reject</w:t>
            </w:r>
            <w:proofErr w:type="gramEnd"/>
          </w:p>
        </w:tc>
        <w:tc>
          <w:tcPr>
            <w:tcW w:w="4030" w:type="dxa"/>
            <w:shd w:val="clear" w:color="auto" w:fill="B4E3FA"/>
          </w:tcPr>
          <w:p w14:paraId="4E6C473D" w14:textId="77777777" w:rsidR="00D2253E" w:rsidRPr="00BE144E" w:rsidRDefault="00D2253E" w:rsidP="00D2253E">
            <w:pPr>
              <w:rPr>
                <w:bCs/>
              </w:rPr>
            </w:pPr>
            <w:r w:rsidRPr="00BE144E">
              <w:rPr>
                <w:bCs/>
              </w:rPr>
              <w:t>If “Accepted”, Action plan for Implementation or if “Rejected”, Reason for Rejection</w:t>
            </w:r>
          </w:p>
        </w:tc>
      </w:tr>
      <w:tr w:rsidR="00D2253E" w14:paraId="5CAC8E8B" w14:textId="77777777" w:rsidTr="00B81D81">
        <w:trPr>
          <w:trHeight w:val="656"/>
        </w:trPr>
        <w:tc>
          <w:tcPr>
            <w:tcW w:w="2075" w:type="dxa"/>
            <w:shd w:val="clear" w:color="auto" w:fill="D9D9D9" w:themeFill="background1" w:themeFillShade="D9"/>
          </w:tcPr>
          <w:p w14:paraId="34E19781" w14:textId="77777777" w:rsidR="00D2253E" w:rsidRPr="00BE144E" w:rsidRDefault="00D2253E" w:rsidP="00D2253E">
            <w:pPr>
              <w:rPr>
                <w:b/>
              </w:rPr>
            </w:pPr>
            <w:r>
              <w:rPr>
                <w:b/>
              </w:rPr>
              <w:t>1.1</w:t>
            </w:r>
          </w:p>
        </w:tc>
        <w:tc>
          <w:tcPr>
            <w:tcW w:w="6882" w:type="dxa"/>
          </w:tcPr>
          <w:p w14:paraId="4D7E0D86" w14:textId="77777777" w:rsidR="00D2253E" w:rsidRDefault="00D2253E" w:rsidP="00D2253E">
            <w:pPr>
              <w:rPr>
                <w:b/>
              </w:rPr>
            </w:pPr>
            <w:r w:rsidRPr="00BE144E">
              <w:rPr>
                <w:b/>
              </w:rPr>
              <w:t>Support negotiating group governance structures, strategy processes, and coordinator continuity</w:t>
            </w:r>
          </w:p>
          <w:p w14:paraId="77D9A977" w14:textId="77777777" w:rsidR="00D2253E" w:rsidRPr="00BE144E" w:rsidRDefault="00D2253E" w:rsidP="00D2253E">
            <w:pPr>
              <w:rPr>
                <w:bCs/>
              </w:rPr>
            </w:pPr>
            <w:r w:rsidRPr="00BE144E">
              <w:rPr>
                <w:bCs/>
              </w:rPr>
              <w:t>DESNZ should provide support that allows negotiating groups to strengthen internal governance, support continuity in coordinator roles, and embed planning and documentation processes. Funding could support activities such as multi-year strategic planning, onboarding of new group members, peer-led governance reviews, and retention strategies for experienced coordinators. While this is already being implemented with the LDC Group, DESNZ should also explore similar approaches for AOSIS and the HAC, paying close attention to what happens with the Secretariat funded by UNIDO–GEF—and potentially seeking to establish direct relations with UNIDO as the implementor.</w:t>
            </w:r>
          </w:p>
        </w:tc>
        <w:tc>
          <w:tcPr>
            <w:tcW w:w="961" w:type="dxa"/>
          </w:tcPr>
          <w:p w14:paraId="7447279F" w14:textId="77777777" w:rsidR="00D2253E" w:rsidRPr="00BE144E" w:rsidRDefault="00D2253E" w:rsidP="00D2253E">
            <w:pPr>
              <w:rPr>
                <w:bCs/>
              </w:rPr>
            </w:pPr>
            <w:r>
              <w:rPr>
                <w:bCs/>
              </w:rPr>
              <w:t>Accept</w:t>
            </w:r>
          </w:p>
        </w:tc>
        <w:tc>
          <w:tcPr>
            <w:tcW w:w="4030" w:type="dxa"/>
          </w:tcPr>
          <w:p w14:paraId="68C80674" w14:textId="77777777" w:rsidR="00D2253E" w:rsidRPr="00BE144E" w:rsidRDefault="00D2253E" w:rsidP="00D2253E">
            <w:pPr>
              <w:rPr>
                <w:bCs/>
              </w:rPr>
            </w:pPr>
            <w:r>
              <w:rPr>
                <w:bCs/>
              </w:rPr>
              <w:t xml:space="preserve">We accept this recommendation and agree that a core aim of the programme is to strengthen the institutional capacity of the negotiating groups. We will continue to support the creation of the LDC secretariate and use lessons from this process to guide other groups.  </w:t>
            </w:r>
          </w:p>
        </w:tc>
      </w:tr>
      <w:tr w:rsidR="00D2253E" w14:paraId="01BA9D23" w14:textId="77777777" w:rsidTr="00B81D81">
        <w:trPr>
          <w:trHeight w:val="656"/>
        </w:trPr>
        <w:tc>
          <w:tcPr>
            <w:tcW w:w="2075" w:type="dxa"/>
            <w:shd w:val="clear" w:color="auto" w:fill="D9D9D9" w:themeFill="background1" w:themeFillShade="D9"/>
          </w:tcPr>
          <w:p w14:paraId="62E554BE" w14:textId="77777777" w:rsidR="00D2253E" w:rsidRPr="00BE144E" w:rsidRDefault="00D2253E" w:rsidP="00D2253E">
            <w:pPr>
              <w:rPr>
                <w:b/>
                <w:bCs/>
              </w:rPr>
            </w:pPr>
            <w:r>
              <w:rPr>
                <w:b/>
                <w:bCs/>
              </w:rPr>
              <w:t>1.2</w:t>
            </w:r>
          </w:p>
        </w:tc>
        <w:tc>
          <w:tcPr>
            <w:tcW w:w="6882" w:type="dxa"/>
          </w:tcPr>
          <w:p w14:paraId="12F0EC98" w14:textId="77777777" w:rsidR="00D2253E" w:rsidRPr="00BE144E" w:rsidRDefault="00D2253E" w:rsidP="00D2253E">
            <w:pPr>
              <w:rPr>
                <w:b/>
              </w:rPr>
            </w:pPr>
            <w:r w:rsidRPr="00BE144E">
              <w:rPr>
                <w:b/>
                <w:bCs/>
              </w:rPr>
              <w:t xml:space="preserve">Shift TP roles from a delivery focus to greater empowerment of negotiating groups, embedding structured transition plans into all workstreams. </w:t>
            </w:r>
          </w:p>
          <w:p w14:paraId="3FB14874" w14:textId="77777777" w:rsidR="00D2253E" w:rsidRPr="00BE144E" w:rsidRDefault="00D2253E" w:rsidP="00D2253E">
            <w:pPr>
              <w:rPr>
                <w:bCs/>
              </w:rPr>
            </w:pPr>
            <w:r w:rsidRPr="00BE144E">
              <w:rPr>
                <w:bCs/>
              </w:rPr>
              <w:t>DESNZ should revise TP contracts and terms of reference to require sustainability measures, such as structured handover to supported groups, individuals, or governments, and embedded transition planning. Consider adding reporting requirements or learning reflections that reflect on these transition and sustainability provisions, reflecting negotiating group-specific needs and the capacities of individual negotiators in these groups.</w:t>
            </w:r>
          </w:p>
        </w:tc>
        <w:tc>
          <w:tcPr>
            <w:tcW w:w="961" w:type="dxa"/>
          </w:tcPr>
          <w:p w14:paraId="0F355DB0" w14:textId="77777777" w:rsidR="00D2253E" w:rsidRPr="00BE144E" w:rsidRDefault="00D2253E" w:rsidP="00D2253E">
            <w:pPr>
              <w:rPr>
                <w:bCs/>
              </w:rPr>
            </w:pPr>
            <w:r>
              <w:rPr>
                <w:bCs/>
              </w:rPr>
              <w:t>Accept</w:t>
            </w:r>
          </w:p>
        </w:tc>
        <w:tc>
          <w:tcPr>
            <w:tcW w:w="4030" w:type="dxa"/>
          </w:tcPr>
          <w:p w14:paraId="0D57F0B9" w14:textId="4226106A" w:rsidR="00D2253E" w:rsidRPr="00BE144E" w:rsidRDefault="00D2253E" w:rsidP="00D2253E">
            <w:pPr>
              <w:rPr>
                <w:bCs/>
              </w:rPr>
            </w:pPr>
            <w:r>
              <w:rPr>
                <w:bCs/>
              </w:rPr>
              <w:t xml:space="preserve">DESNZ does not </w:t>
            </w:r>
            <w:r w:rsidR="00344854">
              <w:rPr>
                <w:bCs/>
              </w:rPr>
              <w:t xml:space="preserve">directly </w:t>
            </w:r>
            <w:r w:rsidR="00A925AB">
              <w:rPr>
                <w:bCs/>
              </w:rPr>
              <w:t xml:space="preserve">contract </w:t>
            </w:r>
            <w:r w:rsidR="00BB331E">
              <w:rPr>
                <w:bCs/>
              </w:rPr>
              <w:t>technical partners (</w:t>
            </w:r>
            <w:r w:rsidR="00A925AB">
              <w:rPr>
                <w:bCs/>
              </w:rPr>
              <w:t>TPs</w:t>
            </w:r>
            <w:r w:rsidR="00BB331E">
              <w:rPr>
                <w:bCs/>
              </w:rPr>
              <w:t>)</w:t>
            </w:r>
            <w:r w:rsidR="00A925AB">
              <w:rPr>
                <w:bCs/>
              </w:rPr>
              <w:t xml:space="preserve">. </w:t>
            </w:r>
            <w:r w:rsidR="00A925AB">
              <w:t xml:space="preserve">This recommendation will be </w:t>
            </w:r>
            <w:r w:rsidR="005F50A7">
              <w:t xml:space="preserve">shared with the </w:t>
            </w:r>
            <w:r w:rsidR="001F47D0">
              <w:t xml:space="preserve">delivery </w:t>
            </w:r>
            <w:r w:rsidR="005F50A7">
              <w:t>partner for implementation.</w:t>
            </w:r>
            <w:r w:rsidR="005F50A7">
              <w:rPr>
                <w:bCs/>
              </w:rPr>
              <w:t xml:space="preserve"> </w:t>
            </w:r>
            <w:r>
              <w:rPr>
                <w:bCs/>
              </w:rPr>
              <w:t xml:space="preserve"> </w:t>
            </w:r>
          </w:p>
        </w:tc>
      </w:tr>
      <w:tr w:rsidR="00D2253E" w14:paraId="28463483" w14:textId="77777777" w:rsidTr="00B81D81">
        <w:trPr>
          <w:trHeight w:val="656"/>
        </w:trPr>
        <w:tc>
          <w:tcPr>
            <w:tcW w:w="2075" w:type="dxa"/>
            <w:shd w:val="clear" w:color="auto" w:fill="D9D9D9" w:themeFill="background1" w:themeFillShade="D9"/>
          </w:tcPr>
          <w:p w14:paraId="6F2AF678" w14:textId="77777777" w:rsidR="00D2253E" w:rsidRPr="00BE144E" w:rsidRDefault="00D2253E" w:rsidP="00D2253E">
            <w:pPr>
              <w:rPr>
                <w:b/>
                <w:bCs/>
              </w:rPr>
            </w:pPr>
            <w:r>
              <w:rPr>
                <w:b/>
                <w:bCs/>
              </w:rPr>
              <w:t>1.3</w:t>
            </w:r>
          </w:p>
        </w:tc>
        <w:tc>
          <w:tcPr>
            <w:tcW w:w="6882" w:type="dxa"/>
          </w:tcPr>
          <w:p w14:paraId="5E3E409F" w14:textId="77777777" w:rsidR="00D2253E" w:rsidRPr="00BE144E" w:rsidRDefault="00D2253E" w:rsidP="00D2253E">
            <w:pPr>
              <w:rPr>
                <w:b/>
                <w:bCs/>
              </w:rPr>
            </w:pPr>
            <w:r w:rsidRPr="00BE144E">
              <w:rPr>
                <w:b/>
                <w:bCs/>
              </w:rPr>
              <w:t xml:space="preserve">Codify and clarify the roles of group secretariats, ensuring alignment with chairs and stakeholders. </w:t>
            </w:r>
          </w:p>
          <w:p w14:paraId="1541FB3E" w14:textId="77777777" w:rsidR="00D2253E" w:rsidRPr="00BE144E" w:rsidRDefault="00D2253E" w:rsidP="00D2253E">
            <w:r w:rsidRPr="00BE144E">
              <w:lastRenderedPageBreak/>
              <w:t>DESNZ could position itself as a supporter of structured consultations between group, chairs coordinators, TPs, and donors to define secretariat remits, as negotiating groups potentially move towards this model, following the LDC Group. This should result in jointly agreed terms of reference that clarify authority and coordination responsibilities. Short-term administrative and facilitation support should be provided to institutionalise roles. Learning should draw on the experiences of the LDC Group and emerging structures supported by other funders.</w:t>
            </w:r>
          </w:p>
        </w:tc>
        <w:tc>
          <w:tcPr>
            <w:tcW w:w="961" w:type="dxa"/>
          </w:tcPr>
          <w:p w14:paraId="1F502715" w14:textId="1D2CD20F" w:rsidR="00D2253E" w:rsidRPr="00BE144E" w:rsidRDefault="0068727E" w:rsidP="00D2253E">
            <w:pPr>
              <w:rPr>
                <w:bCs/>
              </w:rPr>
            </w:pPr>
            <w:r>
              <w:rPr>
                <w:bCs/>
              </w:rPr>
              <w:lastRenderedPageBreak/>
              <w:t>Reject</w:t>
            </w:r>
            <w:r w:rsidR="00D2253E">
              <w:rPr>
                <w:bCs/>
              </w:rPr>
              <w:t xml:space="preserve"> </w:t>
            </w:r>
          </w:p>
        </w:tc>
        <w:tc>
          <w:tcPr>
            <w:tcW w:w="4030" w:type="dxa"/>
          </w:tcPr>
          <w:p w14:paraId="60F814E3" w14:textId="0F30101F" w:rsidR="00D2253E" w:rsidRPr="00BE144E" w:rsidRDefault="00E01663" w:rsidP="00D2253E">
            <w:pPr>
              <w:rPr>
                <w:bCs/>
              </w:rPr>
            </w:pPr>
            <w:r>
              <w:rPr>
                <w:bCs/>
              </w:rPr>
              <w:t>CASA is a demand led programme</w:t>
            </w:r>
            <w:r w:rsidR="00AF1F0A">
              <w:rPr>
                <w:bCs/>
              </w:rPr>
              <w:t xml:space="preserve">, supporting the needs and objectives </w:t>
            </w:r>
            <w:r w:rsidR="00AF1F0A">
              <w:rPr>
                <w:bCs/>
              </w:rPr>
              <w:lastRenderedPageBreak/>
              <w:t xml:space="preserve">of </w:t>
            </w:r>
            <w:r w:rsidR="00660C68">
              <w:rPr>
                <w:bCs/>
              </w:rPr>
              <w:t>negotiating groups.</w:t>
            </w:r>
            <w:r w:rsidR="00E50F51">
              <w:rPr>
                <w:bCs/>
              </w:rPr>
              <w:t xml:space="preserve"> </w:t>
            </w:r>
            <w:r w:rsidR="00D2253E">
              <w:rPr>
                <w:bCs/>
              </w:rPr>
              <w:t xml:space="preserve">We will continue to </w:t>
            </w:r>
            <w:r w:rsidR="00E50F51">
              <w:rPr>
                <w:bCs/>
              </w:rPr>
              <w:t xml:space="preserve">track and </w:t>
            </w:r>
            <w:r w:rsidR="00D2253E">
              <w:rPr>
                <w:bCs/>
              </w:rPr>
              <w:t xml:space="preserve">support the progression of negotiating groups’ secretariats, </w:t>
            </w:r>
            <w:r w:rsidR="000D5B63">
              <w:rPr>
                <w:bCs/>
              </w:rPr>
              <w:t xml:space="preserve">ensuring every effort is made to transfer institutional knowledge and learning from CASA partners to any new structures. </w:t>
            </w:r>
            <w:r w:rsidR="00660C68">
              <w:rPr>
                <w:bCs/>
              </w:rPr>
              <w:t xml:space="preserve">However, the </w:t>
            </w:r>
            <w:r w:rsidR="00FA0744">
              <w:rPr>
                <w:bCs/>
              </w:rPr>
              <w:t xml:space="preserve">responsibility for defining secretariat remits sits with the groups themselves. </w:t>
            </w:r>
            <w:r w:rsidR="000D5B63">
              <w:rPr>
                <w:bCs/>
              </w:rPr>
              <w:t xml:space="preserve"> </w:t>
            </w:r>
          </w:p>
        </w:tc>
      </w:tr>
    </w:tbl>
    <w:p w14:paraId="2F65DE5F" w14:textId="77777777" w:rsidR="009E4D9E" w:rsidRDefault="009E4D9E"/>
    <w:tbl>
      <w:tblPr>
        <w:tblStyle w:val="TableGrid"/>
        <w:tblW w:w="0" w:type="auto"/>
        <w:tblLook w:val="04A0" w:firstRow="1" w:lastRow="0" w:firstColumn="1" w:lastColumn="0" w:noHBand="0" w:noVBand="1"/>
      </w:tblPr>
      <w:tblGrid>
        <w:gridCol w:w="2122"/>
        <w:gridCol w:w="6756"/>
        <w:gridCol w:w="1134"/>
        <w:gridCol w:w="3936"/>
      </w:tblGrid>
      <w:tr w:rsidR="008D0F09" w14:paraId="5CBA4A22" w14:textId="77777777" w:rsidTr="00B81D81">
        <w:tc>
          <w:tcPr>
            <w:tcW w:w="13948" w:type="dxa"/>
            <w:gridSpan w:val="4"/>
            <w:shd w:val="clear" w:color="auto" w:fill="182D4C"/>
          </w:tcPr>
          <w:p w14:paraId="1665DC1F" w14:textId="636522F0" w:rsidR="008D0F09" w:rsidRPr="00BE144E" w:rsidRDefault="008D0F09">
            <w:pPr>
              <w:rPr>
                <w:b/>
                <w:bCs/>
              </w:rPr>
            </w:pPr>
            <w:r w:rsidRPr="00405A89">
              <w:rPr>
                <w:b/>
                <w:bCs/>
                <w:sz w:val="28"/>
                <w:szCs w:val="28"/>
              </w:rPr>
              <w:t>Lesson 2: Ownership, legitimacy, and capability are critical to ensure that outcomes are durable</w:t>
            </w:r>
          </w:p>
        </w:tc>
      </w:tr>
      <w:tr w:rsidR="008D0F09" w14:paraId="516DEA70" w14:textId="77777777" w:rsidTr="00B81D81">
        <w:tc>
          <w:tcPr>
            <w:tcW w:w="2122" w:type="dxa"/>
            <w:shd w:val="clear" w:color="auto" w:fill="B4E3FA"/>
          </w:tcPr>
          <w:p w14:paraId="4C24646F" w14:textId="72C5E6F1" w:rsidR="008D0F09" w:rsidRPr="00BE144E" w:rsidRDefault="008D0F09" w:rsidP="008D0F09">
            <w:pPr>
              <w:rPr>
                <w:bCs/>
              </w:rPr>
            </w:pPr>
            <w:r>
              <w:rPr>
                <w:bCs/>
              </w:rPr>
              <w:t>Recommendation #</w:t>
            </w:r>
          </w:p>
        </w:tc>
        <w:tc>
          <w:tcPr>
            <w:tcW w:w="6756" w:type="dxa"/>
            <w:shd w:val="clear" w:color="auto" w:fill="B4E3FA"/>
          </w:tcPr>
          <w:p w14:paraId="71BACF05" w14:textId="4DB8F88F" w:rsidR="008D0F09" w:rsidRPr="00BE144E" w:rsidRDefault="008D0F09" w:rsidP="008D0F09">
            <w:pPr>
              <w:rPr>
                <w:bCs/>
              </w:rPr>
            </w:pPr>
            <w:r w:rsidRPr="00BE144E">
              <w:rPr>
                <w:bCs/>
              </w:rPr>
              <w:t>Recommendation</w:t>
            </w:r>
          </w:p>
        </w:tc>
        <w:tc>
          <w:tcPr>
            <w:tcW w:w="1134" w:type="dxa"/>
            <w:shd w:val="clear" w:color="auto" w:fill="B4E3FA"/>
          </w:tcPr>
          <w:p w14:paraId="26A4D666" w14:textId="77777777" w:rsidR="008D0F09" w:rsidRPr="00BE144E" w:rsidRDefault="008D0F09" w:rsidP="008D0F09">
            <w:pPr>
              <w:rPr>
                <w:bCs/>
              </w:rPr>
            </w:pPr>
            <w:r w:rsidRPr="00BE144E">
              <w:rPr>
                <w:bCs/>
              </w:rPr>
              <w:t xml:space="preserve">Accept or </w:t>
            </w:r>
            <w:proofErr w:type="gramStart"/>
            <w:r w:rsidRPr="00BE144E">
              <w:rPr>
                <w:bCs/>
              </w:rPr>
              <w:t>Reject</w:t>
            </w:r>
            <w:proofErr w:type="gramEnd"/>
          </w:p>
        </w:tc>
        <w:tc>
          <w:tcPr>
            <w:tcW w:w="3936" w:type="dxa"/>
            <w:shd w:val="clear" w:color="auto" w:fill="B4E3FA"/>
          </w:tcPr>
          <w:p w14:paraId="1CC1C9F8" w14:textId="77777777" w:rsidR="008D0F09" w:rsidRPr="00BE144E" w:rsidRDefault="008D0F09" w:rsidP="008D0F09">
            <w:pPr>
              <w:rPr>
                <w:bCs/>
              </w:rPr>
            </w:pPr>
            <w:r w:rsidRPr="00BE144E">
              <w:rPr>
                <w:bCs/>
              </w:rPr>
              <w:t>If “Accepted”, Action plan for Implementation or if “Rejected”, Reason for Rejection</w:t>
            </w:r>
          </w:p>
        </w:tc>
      </w:tr>
      <w:tr w:rsidR="008D0F09" w14:paraId="37606D87" w14:textId="77777777" w:rsidTr="00B81D81">
        <w:trPr>
          <w:trHeight w:val="656"/>
        </w:trPr>
        <w:tc>
          <w:tcPr>
            <w:tcW w:w="2122" w:type="dxa"/>
            <w:shd w:val="clear" w:color="auto" w:fill="D9D9D9" w:themeFill="background1" w:themeFillShade="D9"/>
          </w:tcPr>
          <w:p w14:paraId="17DF89B3" w14:textId="69282721" w:rsidR="008D0F09" w:rsidRPr="00BE144E" w:rsidRDefault="008D0F09" w:rsidP="008D0F09">
            <w:pPr>
              <w:rPr>
                <w:b/>
                <w:bCs/>
              </w:rPr>
            </w:pPr>
            <w:r>
              <w:rPr>
                <w:b/>
                <w:bCs/>
              </w:rPr>
              <w:t>2.1</w:t>
            </w:r>
          </w:p>
        </w:tc>
        <w:tc>
          <w:tcPr>
            <w:tcW w:w="6756" w:type="dxa"/>
          </w:tcPr>
          <w:p w14:paraId="034BD5C1" w14:textId="447204B0" w:rsidR="008D0F09" w:rsidRPr="00BE144E" w:rsidRDefault="008D0F09" w:rsidP="008D0F09">
            <w:pPr>
              <w:rPr>
                <w:b/>
              </w:rPr>
            </w:pPr>
            <w:r w:rsidRPr="00BE144E">
              <w:rPr>
                <w:b/>
                <w:bCs/>
              </w:rPr>
              <w:t xml:space="preserve">Continue, and expand, group-nominated fellow selection and embed similar group-led nomination processes into other programme mechanisms. </w:t>
            </w:r>
          </w:p>
          <w:p w14:paraId="0530AA08" w14:textId="218221DB" w:rsidR="008D0F09" w:rsidRPr="00BE144E" w:rsidRDefault="008D0F09" w:rsidP="008D0F09">
            <w:pPr>
              <w:rPr>
                <w:bCs/>
              </w:rPr>
            </w:pPr>
            <w:r w:rsidRPr="00BE144E">
              <w:rPr>
                <w:bCs/>
              </w:rPr>
              <w:t xml:space="preserve">DESNZ should institutionalise group-led nomination processes (which are, in effect, National Focal Point-led nominations) for fellowships and placements, as seen with the NGP. Provide clear approaches for doing </w:t>
            </w:r>
            <w:r w:rsidR="00BB331E" w:rsidRPr="00BE144E">
              <w:rPr>
                <w:bCs/>
              </w:rPr>
              <w:t>this and</w:t>
            </w:r>
            <w:r w:rsidRPr="00BE144E">
              <w:rPr>
                <w:bCs/>
              </w:rPr>
              <w:t xml:space="preserve"> allow space for strategic nominations only in exceptional circumstances.</w:t>
            </w:r>
          </w:p>
        </w:tc>
        <w:tc>
          <w:tcPr>
            <w:tcW w:w="1134" w:type="dxa"/>
          </w:tcPr>
          <w:p w14:paraId="36F79DBF" w14:textId="1E530597" w:rsidR="008D0F09" w:rsidRPr="00BE144E" w:rsidRDefault="00157DE8" w:rsidP="008D0F09">
            <w:pPr>
              <w:rPr>
                <w:bCs/>
              </w:rPr>
            </w:pPr>
            <w:r>
              <w:rPr>
                <w:bCs/>
              </w:rPr>
              <w:t>Reject</w:t>
            </w:r>
          </w:p>
        </w:tc>
        <w:tc>
          <w:tcPr>
            <w:tcW w:w="3936" w:type="dxa"/>
          </w:tcPr>
          <w:p w14:paraId="546B6722" w14:textId="41B10B39" w:rsidR="008D0F09" w:rsidRPr="00BE144E" w:rsidRDefault="00157DE8" w:rsidP="008D0F09">
            <w:pPr>
              <w:rPr>
                <w:bCs/>
              </w:rPr>
            </w:pPr>
            <w:r>
              <w:rPr>
                <w:bCs/>
              </w:rPr>
              <w:t>This is out of the scope for DESNZ’ involvement. Although we are very supportive</w:t>
            </w:r>
            <w:r w:rsidR="0074040C">
              <w:rPr>
                <w:bCs/>
              </w:rPr>
              <w:t xml:space="preserve"> of</w:t>
            </w:r>
            <w:r>
              <w:rPr>
                <w:bCs/>
              </w:rPr>
              <w:t xml:space="preserve"> </w:t>
            </w:r>
            <w:r w:rsidR="00662178">
              <w:rPr>
                <w:bCs/>
              </w:rPr>
              <w:t>negotiating group’s Fellow</w:t>
            </w:r>
            <w:r w:rsidR="00006C28">
              <w:rPr>
                <w:bCs/>
              </w:rPr>
              <w:t xml:space="preserve">ship </w:t>
            </w:r>
            <w:r w:rsidR="007E0815">
              <w:rPr>
                <w:bCs/>
              </w:rPr>
              <w:t>Programmes, these processes and nominations should be led and driven by the groups themselves (with support from TPs where relevant).</w:t>
            </w:r>
          </w:p>
        </w:tc>
      </w:tr>
      <w:tr w:rsidR="008D0F09" w14:paraId="556530F9" w14:textId="77777777" w:rsidTr="00B81D81">
        <w:trPr>
          <w:trHeight w:val="656"/>
        </w:trPr>
        <w:tc>
          <w:tcPr>
            <w:tcW w:w="2122" w:type="dxa"/>
            <w:shd w:val="clear" w:color="auto" w:fill="D9D9D9" w:themeFill="background1" w:themeFillShade="D9"/>
          </w:tcPr>
          <w:p w14:paraId="55C4F17D" w14:textId="4A69C10A" w:rsidR="008D0F09" w:rsidRPr="00BE144E" w:rsidRDefault="008D0F09" w:rsidP="008D0F09">
            <w:pPr>
              <w:rPr>
                <w:b/>
                <w:bCs/>
              </w:rPr>
            </w:pPr>
            <w:r>
              <w:rPr>
                <w:b/>
                <w:bCs/>
              </w:rPr>
              <w:t>2.2</w:t>
            </w:r>
          </w:p>
        </w:tc>
        <w:tc>
          <w:tcPr>
            <w:tcW w:w="6756" w:type="dxa"/>
          </w:tcPr>
          <w:p w14:paraId="5518E96C" w14:textId="652ABCC3" w:rsidR="008D0F09" w:rsidRPr="00BE144E" w:rsidRDefault="008D0F09" w:rsidP="008D0F09">
            <w:pPr>
              <w:rPr>
                <w:b/>
              </w:rPr>
            </w:pPr>
            <w:r w:rsidRPr="00BE144E">
              <w:rPr>
                <w:b/>
                <w:bCs/>
              </w:rPr>
              <w:t xml:space="preserve">Prioritise support to negotiating group governance, including internal strategy-setting, documentation, and coordination. </w:t>
            </w:r>
          </w:p>
          <w:p w14:paraId="59D01183" w14:textId="37BFC441" w:rsidR="008D0F09" w:rsidRPr="00BE144E" w:rsidRDefault="008D0F09" w:rsidP="008D0F09">
            <w:pPr>
              <w:rPr>
                <w:bCs/>
              </w:rPr>
            </w:pPr>
            <w:r w:rsidRPr="00BE144E">
              <w:rPr>
                <w:bCs/>
              </w:rPr>
              <w:t xml:space="preserve">In the context of potential UK aid cuts, DESNZ should prioritise strengthening the organisational capabilities and governance structures of negotiating groups. This includes targeted support </w:t>
            </w:r>
            <w:r w:rsidRPr="00BE144E">
              <w:rPr>
                <w:bCs/>
              </w:rPr>
              <w:lastRenderedPageBreak/>
              <w:t>for internal strategy development, documentation, and coordination. These areas have proven effective to date, and sustained investment will be critical to maintaining negotiating groups’ influence and cohesion in international forums.</w:t>
            </w:r>
          </w:p>
        </w:tc>
        <w:tc>
          <w:tcPr>
            <w:tcW w:w="1134" w:type="dxa"/>
          </w:tcPr>
          <w:p w14:paraId="1E3CA1C3" w14:textId="2A3F285A" w:rsidR="008D0F09" w:rsidRPr="00BE144E" w:rsidRDefault="004C65CF" w:rsidP="008D0F09">
            <w:pPr>
              <w:rPr>
                <w:bCs/>
              </w:rPr>
            </w:pPr>
            <w:r>
              <w:rPr>
                <w:bCs/>
              </w:rPr>
              <w:lastRenderedPageBreak/>
              <w:t xml:space="preserve">Partially </w:t>
            </w:r>
            <w:r w:rsidR="00FE3E5E">
              <w:rPr>
                <w:bCs/>
              </w:rPr>
              <w:t>Accept</w:t>
            </w:r>
            <w:r w:rsidR="00550FF0">
              <w:rPr>
                <w:bCs/>
              </w:rPr>
              <w:t xml:space="preserve"> </w:t>
            </w:r>
          </w:p>
        </w:tc>
        <w:tc>
          <w:tcPr>
            <w:tcW w:w="3936" w:type="dxa"/>
          </w:tcPr>
          <w:p w14:paraId="17168125" w14:textId="38770520" w:rsidR="008D0F09" w:rsidRPr="00BE144E" w:rsidRDefault="000543B9" w:rsidP="008D0F09">
            <w:pPr>
              <w:rPr>
                <w:bCs/>
              </w:rPr>
            </w:pPr>
            <w:r>
              <w:t xml:space="preserve">DESNZ will continue to place a strong emphasis </w:t>
            </w:r>
            <w:r w:rsidR="00E34F86">
              <w:t>o</w:t>
            </w:r>
            <w:r>
              <w:t>n governance support</w:t>
            </w:r>
            <w:r w:rsidR="002D1A8A">
              <w:t xml:space="preserve"> in T</w:t>
            </w:r>
            <w:r w:rsidR="00D8032F">
              <w:t xml:space="preserve">erms </w:t>
            </w:r>
            <w:r w:rsidR="002D1A8A">
              <w:t>o</w:t>
            </w:r>
            <w:r w:rsidR="00D8032F">
              <w:t xml:space="preserve">f </w:t>
            </w:r>
            <w:r w:rsidR="002D1A8A">
              <w:t>R</w:t>
            </w:r>
            <w:r w:rsidR="00D8032F">
              <w:t>eference</w:t>
            </w:r>
            <w:r w:rsidR="002D1A8A">
              <w:t>s</w:t>
            </w:r>
            <w:r w:rsidR="009A136C">
              <w:t xml:space="preserve">, budgets and </w:t>
            </w:r>
            <w:r w:rsidR="002D1A8A">
              <w:t xml:space="preserve">workplans with the CASA </w:t>
            </w:r>
            <w:r w:rsidR="001F47D0">
              <w:t>delivery</w:t>
            </w:r>
            <w:r w:rsidR="002D1A8A">
              <w:t xml:space="preserve"> partner</w:t>
            </w:r>
            <w:r w:rsidR="00E34F86">
              <w:rPr>
                <w:bCs/>
              </w:rPr>
              <w:t>. H</w:t>
            </w:r>
            <w:r w:rsidR="0031403B">
              <w:rPr>
                <w:bCs/>
              </w:rPr>
              <w:t xml:space="preserve">owever, as </w:t>
            </w:r>
            <w:r w:rsidR="004C65CF">
              <w:rPr>
                <w:bCs/>
              </w:rPr>
              <w:t>CASA is a demand led programme</w:t>
            </w:r>
            <w:r w:rsidR="00E34F86">
              <w:rPr>
                <w:bCs/>
              </w:rPr>
              <w:t>,</w:t>
            </w:r>
            <w:r w:rsidR="0031403B">
              <w:rPr>
                <w:bCs/>
              </w:rPr>
              <w:t xml:space="preserve"> </w:t>
            </w:r>
            <w:r w:rsidR="0031403B">
              <w:rPr>
                <w:bCs/>
              </w:rPr>
              <w:lastRenderedPageBreak/>
              <w:t>th</w:t>
            </w:r>
            <w:r w:rsidR="002D1A8A">
              <w:rPr>
                <w:bCs/>
              </w:rPr>
              <w:t xml:space="preserve">e prioritisation of support must be </w:t>
            </w:r>
            <w:r w:rsidR="00DA3627">
              <w:rPr>
                <w:bCs/>
              </w:rPr>
              <w:t>done in close consultation with supported groups.</w:t>
            </w:r>
            <w:r w:rsidR="002D1A8A">
              <w:rPr>
                <w:bCs/>
              </w:rPr>
              <w:t xml:space="preserve"> </w:t>
            </w:r>
            <w:r w:rsidR="000F5AF0">
              <w:rPr>
                <w:bCs/>
              </w:rPr>
              <w:t xml:space="preserve"> </w:t>
            </w:r>
          </w:p>
        </w:tc>
      </w:tr>
      <w:tr w:rsidR="008D0F09" w14:paraId="4973B225" w14:textId="77777777" w:rsidTr="00B81D81">
        <w:trPr>
          <w:trHeight w:val="656"/>
        </w:trPr>
        <w:tc>
          <w:tcPr>
            <w:tcW w:w="2122" w:type="dxa"/>
            <w:shd w:val="clear" w:color="auto" w:fill="D9D9D9" w:themeFill="background1" w:themeFillShade="D9"/>
          </w:tcPr>
          <w:p w14:paraId="342FEC6C" w14:textId="38CFF05A" w:rsidR="008D0F09" w:rsidRPr="00BE144E" w:rsidRDefault="008D0F09" w:rsidP="008D0F09">
            <w:pPr>
              <w:rPr>
                <w:b/>
                <w:bCs/>
              </w:rPr>
            </w:pPr>
            <w:r>
              <w:rPr>
                <w:b/>
                <w:bCs/>
              </w:rPr>
              <w:lastRenderedPageBreak/>
              <w:t>2.3</w:t>
            </w:r>
          </w:p>
        </w:tc>
        <w:tc>
          <w:tcPr>
            <w:tcW w:w="6756" w:type="dxa"/>
          </w:tcPr>
          <w:p w14:paraId="56B62B40" w14:textId="499B3913" w:rsidR="008D0F09" w:rsidRPr="00BE144E" w:rsidRDefault="008D0F09" w:rsidP="008D0F09">
            <w:pPr>
              <w:rPr>
                <w:b/>
              </w:rPr>
            </w:pPr>
            <w:r w:rsidRPr="00BE144E">
              <w:rPr>
                <w:b/>
                <w:bCs/>
              </w:rPr>
              <w:t xml:space="preserve">Negotiate group-led approaches with accountability mechanisms (e.g. joint planning processes with TPs). </w:t>
            </w:r>
          </w:p>
          <w:p w14:paraId="7E7332A9" w14:textId="25A62A8A" w:rsidR="008D0F09" w:rsidRPr="00BE144E" w:rsidRDefault="008D0F09" w:rsidP="008D0F09">
            <w:r w:rsidRPr="00BE144E">
              <w:t xml:space="preserve">DESNZ should mandate annual joint planning processes between negotiating groups and </w:t>
            </w:r>
            <w:proofErr w:type="gramStart"/>
            <w:r w:rsidRPr="00BE144E">
              <w:t>TPs, and</w:t>
            </w:r>
            <w:proofErr w:type="gramEnd"/>
            <w:r w:rsidRPr="00BE144E">
              <w:t xml:space="preserve"> require shared workplans as part of programme design. The most effective model, from DESNZ’s perspective, would be for this to be led and overseen by DAI. However, this would both add an additional layer of management expenditure to the </w:t>
            </w:r>
            <w:proofErr w:type="gramStart"/>
            <w:r w:rsidRPr="00BE144E">
              <w:t>budget, and</w:t>
            </w:r>
            <w:proofErr w:type="gramEnd"/>
            <w:r w:rsidRPr="00BE144E">
              <w:t xml:space="preserve"> likely create more work for TPs. As things stand, the recommendation would be for DAI to take an active interest in reviewing—and offering support to— joint development and monitoring of workplans, rather than owning the process.</w:t>
            </w:r>
          </w:p>
        </w:tc>
        <w:tc>
          <w:tcPr>
            <w:tcW w:w="1134" w:type="dxa"/>
          </w:tcPr>
          <w:p w14:paraId="246B682B" w14:textId="5FAD340D" w:rsidR="008D0F09" w:rsidRPr="00BE144E" w:rsidRDefault="005B3FBA" w:rsidP="008D0F09">
            <w:pPr>
              <w:rPr>
                <w:bCs/>
              </w:rPr>
            </w:pPr>
            <w:r>
              <w:rPr>
                <w:bCs/>
              </w:rPr>
              <w:t xml:space="preserve">Partially </w:t>
            </w:r>
            <w:r w:rsidR="00A26563">
              <w:rPr>
                <w:bCs/>
              </w:rPr>
              <w:t>Accept</w:t>
            </w:r>
            <w:r w:rsidR="009B53CC">
              <w:rPr>
                <w:bCs/>
              </w:rPr>
              <w:t xml:space="preserve"> </w:t>
            </w:r>
          </w:p>
        </w:tc>
        <w:tc>
          <w:tcPr>
            <w:tcW w:w="3936" w:type="dxa"/>
          </w:tcPr>
          <w:p w14:paraId="5BAB6D08" w14:textId="77777777" w:rsidR="00E35E1B" w:rsidRDefault="009B53CC" w:rsidP="008D0F09">
            <w:pPr>
              <w:rPr>
                <w:bCs/>
              </w:rPr>
            </w:pPr>
            <w:r>
              <w:rPr>
                <w:bCs/>
              </w:rPr>
              <w:t xml:space="preserve">There </w:t>
            </w:r>
            <w:proofErr w:type="gramStart"/>
            <w:r>
              <w:rPr>
                <w:bCs/>
              </w:rPr>
              <w:t>is</w:t>
            </w:r>
            <w:proofErr w:type="gramEnd"/>
            <w:r>
              <w:rPr>
                <w:bCs/>
              </w:rPr>
              <w:t xml:space="preserve"> already collaboration and</w:t>
            </w:r>
            <w:r w:rsidR="002E1932">
              <w:rPr>
                <w:bCs/>
              </w:rPr>
              <w:t xml:space="preserve"> discussion between TPs and negotiating groups. However, DESNZ accepts this </w:t>
            </w:r>
            <w:r w:rsidR="005006DA">
              <w:rPr>
                <w:bCs/>
              </w:rPr>
              <w:t xml:space="preserve">recommendation to build more structured joint planning </w:t>
            </w:r>
            <w:r w:rsidR="00E35E1B">
              <w:rPr>
                <w:bCs/>
              </w:rPr>
              <w:t xml:space="preserve">into the yearly processes. </w:t>
            </w:r>
          </w:p>
          <w:p w14:paraId="47880D51" w14:textId="2DBF031E" w:rsidR="008D0F09" w:rsidRPr="00BE144E" w:rsidRDefault="00E35E1B" w:rsidP="008D0F09">
            <w:pPr>
              <w:rPr>
                <w:bCs/>
              </w:rPr>
            </w:pPr>
            <w:r>
              <w:rPr>
                <w:bCs/>
              </w:rPr>
              <w:t>DESNZ will build specific time to collaborate</w:t>
            </w:r>
            <w:r w:rsidR="00475917">
              <w:rPr>
                <w:bCs/>
              </w:rPr>
              <w:t xml:space="preserve"> into the annual technical workshop (note: the workshop did not take place in 2025 due to competing commitments). </w:t>
            </w:r>
            <w:r w:rsidR="009B53CC">
              <w:rPr>
                <w:bCs/>
              </w:rPr>
              <w:t xml:space="preserve"> </w:t>
            </w:r>
          </w:p>
        </w:tc>
      </w:tr>
    </w:tbl>
    <w:p w14:paraId="41EC4D49" w14:textId="77777777" w:rsidR="00BE144E" w:rsidRDefault="00BE144E"/>
    <w:tbl>
      <w:tblPr>
        <w:tblStyle w:val="TableGrid"/>
        <w:tblW w:w="0" w:type="auto"/>
        <w:tblLook w:val="04A0" w:firstRow="1" w:lastRow="0" w:firstColumn="1" w:lastColumn="0" w:noHBand="0" w:noVBand="1"/>
      </w:tblPr>
      <w:tblGrid>
        <w:gridCol w:w="2122"/>
        <w:gridCol w:w="6759"/>
        <w:gridCol w:w="1133"/>
        <w:gridCol w:w="3934"/>
      </w:tblGrid>
      <w:tr w:rsidR="008D0F09" w14:paraId="6E929127" w14:textId="77777777" w:rsidTr="00B81D81">
        <w:tc>
          <w:tcPr>
            <w:tcW w:w="13948" w:type="dxa"/>
            <w:gridSpan w:val="4"/>
            <w:shd w:val="clear" w:color="auto" w:fill="182D4C"/>
          </w:tcPr>
          <w:p w14:paraId="580C652F" w14:textId="5495280D" w:rsidR="008D0F09" w:rsidRPr="00BE144E" w:rsidRDefault="008D0F09">
            <w:pPr>
              <w:rPr>
                <w:b/>
                <w:bCs/>
              </w:rPr>
            </w:pPr>
            <w:r w:rsidRPr="00405A89">
              <w:rPr>
                <w:b/>
                <w:bCs/>
                <w:sz w:val="28"/>
                <w:szCs w:val="28"/>
              </w:rPr>
              <w:t>Lesson 3: Equity and access require structural solutions</w:t>
            </w:r>
          </w:p>
        </w:tc>
      </w:tr>
      <w:tr w:rsidR="008D0F09" w14:paraId="1C0644DB" w14:textId="77777777" w:rsidTr="00B81D81">
        <w:tc>
          <w:tcPr>
            <w:tcW w:w="2122" w:type="dxa"/>
            <w:shd w:val="clear" w:color="auto" w:fill="B4E3FA"/>
          </w:tcPr>
          <w:p w14:paraId="6B881108" w14:textId="5826ACE5" w:rsidR="008D0F09" w:rsidRPr="00BE144E" w:rsidRDefault="001F47D0">
            <w:pPr>
              <w:rPr>
                <w:bCs/>
              </w:rPr>
            </w:pPr>
            <w:r>
              <w:rPr>
                <w:bCs/>
              </w:rPr>
              <w:t>Recommendation</w:t>
            </w:r>
            <w:r w:rsidR="008D0F09">
              <w:rPr>
                <w:bCs/>
              </w:rPr>
              <w:t xml:space="preserve"> #</w:t>
            </w:r>
          </w:p>
        </w:tc>
        <w:tc>
          <w:tcPr>
            <w:tcW w:w="6759" w:type="dxa"/>
            <w:shd w:val="clear" w:color="auto" w:fill="B4E3FA"/>
          </w:tcPr>
          <w:p w14:paraId="07D77BDC" w14:textId="02C21ABA" w:rsidR="008D0F09" w:rsidRPr="00BE144E" w:rsidRDefault="008D0F09">
            <w:pPr>
              <w:rPr>
                <w:bCs/>
              </w:rPr>
            </w:pPr>
            <w:r w:rsidRPr="00BE144E">
              <w:rPr>
                <w:bCs/>
              </w:rPr>
              <w:t>Recommendation</w:t>
            </w:r>
          </w:p>
        </w:tc>
        <w:tc>
          <w:tcPr>
            <w:tcW w:w="1133" w:type="dxa"/>
            <w:shd w:val="clear" w:color="auto" w:fill="B4E3FA"/>
          </w:tcPr>
          <w:p w14:paraId="70B74F9B" w14:textId="77777777" w:rsidR="008D0F09" w:rsidRPr="00BE144E" w:rsidRDefault="008D0F09">
            <w:pPr>
              <w:rPr>
                <w:bCs/>
              </w:rPr>
            </w:pPr>
            <w:r w:rsidRPr="00BE144E">
              <w:rPr>
                <w:bCs/>
              </w:rPr>
              <w:t xml:space="preserve">Accept or </w:t>
            </w:r>
            <w:proofErr w:type="gramStart"/>
            <w:r w:rsidRPr="00BE144E">
              <w:rPr>
                <w:bCs/>
              </w:rPr>
              <w:t>Reject</w:t>
            </w:r>
            <w:proofErr w:type="gramEnd"/>
          </w:p>
        </w:tc>
        <w:tc>
          <w:tcPr>
            <w:tcW w:w="3934" w:type="dxa"/>
            <w:shd w:val="clear" w:color="auto" w:fill="B4E3FA"/>
          </w:tcPr>
          <w:p w14:paraId="4375DF59" w14:textId="77777777" w:rsidR="008D0F09" w:rsidRPr="00BE144E" w:rsidRDefault="008D0F09">
            <w:pPr>
              <w:rPr>
                <w:bCs/>
              </w:rPr>
            </w:pPr>
            <w:r w:rsidRPr="00BE144E">
              <w:rPr>
                <w:bCs/>
              </w:rPr>
              <w:t>If “Accepted”, Action plan for Implementation or if “Rejected”, Reason for Rejection</w:t>
            </w:r>
          </w:p>
        </w:tc>
      </w:tr>
      <w:tr w:rsidR="008D0F09" w14:paraId="0EDB52AA" w14:textId="77777777" w:rsidTr="00B81D81">
        <w:trPr>
          <w:trHeight w:val="656"/>
        </w:trPr>
        <w:tc>
          <w:tcPr>
            <w:tcW w:w="2122" w:type="dxa"/>
            <w:shd w:val="clear" w:color="auto" w:fill="D9D9D9" w:themeFill="background1" w:themeFillShade="D9"/>
          </w:tcPr>
          <w:p w14:paraId="1B50A4E2" w14:textId="67444D8C" w:rsidR="008D0F09" w:rsidRPr="00BE144E" w:rsidRDefault="008D0F09" w:rsidP="00BE144E">
            <w:pPr>
              <w:rPr>
                <w:b/>
                <w:bCs/>
              </w:rPr>
            </w:pPr>
            <w:r>
              <w:rPr>
                <w:b/>
                <w:bCs/>
              </w:rPr>
              <w:t>3.1</w:t>
            </w:r>
          </w:p>
        </w:tc>
        <w:tc>
          <w:tcPr>
            <w:tcW w:w="6759" w:type="dxa"/>
          </w:tcPr>
          <w:p w14:paraId="0F3ACE5C" w14:textId="10C00C97" w:rsidR="008D0F09" w:rsidRPr="00BE144E" w:rsidRDefault="008D0F09" w:rsidP="00BE144E">
            <w:pPr>
              <w:rPr>
                <w:b/>
              </w:rPr>
            </w:pPr>
            <w:r w:rsidRPr="00BE144E">
              <w:rPr>
                <w:b/>
                <w:bCs/>
              </w:rPr>
              <w:t xml:space="preserve">Support negotiators to access external funding, with TPs and DAI resourced to provide light-touch guidance and signposting. </w:t>
            </w:r>
          </w:p>
          <w:p w14:paraId="1D37D49F" w14:textId="5E0B584A" w:rsidR="008D0F09" w:rsidRPr="00BE144E" w:rsidRDefault="008D0F09" w:rsidP="00BE144E">
            <w:pPr>
              <w:rPr>
                <w:bCs/>
              </w:rPr>
            </w:pPr>
            <w:r w:rsidRPr="00BE144E">
              <w:rPr>
                <w:bCs/>
              </w:rPr>
              <w:t xml:space="preserve">DESNZ should fund a basic knowledge product and information session series per group on key international participation funds, such as the UNFCCC Trust Fund for Participation and the Green Climate Fund Readiness Programme. This would </w:t>
            </w:r>
            <w:r w:rsidRPr="00BE144E">
              <w:rPr>
                <w:bCs/>
              </w:rPr>
              <w:lastRenderedPageBreak/>
              <w:t>require minimal resourcing and could be coordinated by DAI and TPs.</w:t>
            </w:r>
          </w:p>
        </w:tc>
        <w:tc>
          <w:tcPr>
            <w:tcW w:w="1133" w:type="dxa"/>
          </w:tcPr>
          <w:p w14:paraId="01E48B51" w14:textId="6B827896" w:rsidR="008D0F09" w:rsidRPr="00BE144E" w:rsidRDefault="00475917">
            <w:pPr>
              <w:rPr>
                <w:bCs/>
              </w:rPr>
            </w:pPr>
            <w:r>
              <w:rPr>
                <w:bCs/>
              </w:rPr>
              <w:lastRenderedPageBreak/>
              <w:t>Reje</w:t>
            </w:r>
            <w:r w:rsidR="00334ABC">
              <w:rPr>
                <w:bCs/>
              </w:rPr>
              <w:t>ct</w:t>
            </w:r>
          </w:p>
        </w:tc>
        <w:tc>
          <w:tcPr>
            <w:tcW w:w="3934" w:type="dxa"/>
          </w:tcPr>
          <w:p w14:paraId="37C154B4" w14:textId="7672B232" w:rsidR="008D0F09" w:rsidRPr="00BE144E" w:rsidRDefault="00C46FF0">
            <w:pPr>
              <w:rPr>
                <w:bCs/>
              </w:rPr>
            </w:pPr>
            <w:r>
              <w:rPr>
                <w:bCs/>
              </w:rPr>
              <w:t xml:space="preserve">Although we </w:t>
            </w:r>
            <w:r w:rsidR="008516CD">
              <w:rPr>
                <w:bCs/>
              </w:rPr>
              <w:t xml:space="preserve">recognise the need for this </w:t>
            </w:r>
            <w:r w:rsidR="00EC709B">
              <w:rPr>
                <w:bCs/>
              </w:rPr>
              <w:t>support</w:t>
            </w:r>
            <w:r>
              <w:rPr>
                <w:bCs/>
              </w:rPr>
              <w:t xml:space="preserve">, this is </w:t>
            </w:r>
            <w:r w:rsidR="007327D5">
              <w:rPr>
                <w:bCs/>
              </w:rPr>
              <w:t>beyond the scope of the programme</w:t>
            </w:r>
            <w:r>
              <w:rPr>
                <w:bCs/>
              </w:rPr>
              <w:t xml:space="preserve">. </w:t>
            </w:r>
            <w:r w:rsidR="005B3FBA">
              <w:rPr>
                <w:bCs/>
              </w:rPr>
              <w:t>DESNZ and DAI</w:t>
            </w:r>
            <w:r w:rsidR="00917CB5">
              <w:rPr>
                <w:bCs/>
              </w:rPr>
              <w:t xml:space="preserve"> will continue to share </w:t>
            </w:r>
            <w:r w:rsidR="00E577D4">
              <w:rPr>
                <w:bCs/>
              </w:rPr>
              <w:t>information on alternative programmes</w:t>
            </w:r>
            <w:r w:rsidR="00281426">
              <w:rPr>
                <w:bCs/>
              </w:rPr>
              <w:t xml:space="preserve"> when </w:t>
            </w:r>
            <w:r w:rsidR="00E577D4">
              <w:rPr>
                <w:bCs/>
              </w:rPr>
              <w:t xml:space="preserve">funding is rejected by CASA. </w:t>
            </w:r>
          </w:p>
        </w:tc>
      </w:tr>
      <w:tr w:rsidR="008D0F09" w14:paraId="2A195F9E" w14:textId="77777777" w:rsidTr="00B81D81">
        <w:trPr>
          <w:trHeight w:val="656"/>
        </w:trPr>
        <w:tc>
          <w:tcPr>
            <w:tcW w:w="2122" w:type="dxa"/>
            <w:shd w:val="clear" w:color="auto" w:fill="D9D9D9" w:themeFill="background1" w:themeFillShade="D9"/>
          </w:tcPr>
          <w:p w14:paraId="3D2642DC" w14:textId="5207AE03" w:rsidR="008D0F09" w:rsidRPr="00BE144E" w:rsidRDefault="008D0F09" w:rsidP="00BE144E">
            <w:pPr>
              <w:rPr>
                <w:b/>
                <w:bCs/>
              </w:rPr>
            </w:pPr>
            <w:r>
              <w:rPr>
                <w:b/>
                <w:bCs/>
              </w:rPr>
              <w:t>3.2</w:t>
            </w:r>
          </w:p>
        </w:tc>
        <w:tc>
          <w:tcPr>
            <w:tcW w:w="6759" w:type="dxa"/>
          </w:tcPr>
          <w:p w14:paraId="0569B49E" w14:textId="425FDBB6" w:rsidR="008D0F09" w:rsidRPr="00BE144E" w:rsidRDefault="008D0F09" w:rsidP="00BE144E">
            <w:pPr>
              <w:rPr>
                <w:b/>
              </w:rPr>
            </w:pPr>
            <w:r w:rsidRPr="00BE144E">
              <w:rPr>
                <w:b/>
                <w:bCs/>
              </w:rPr>
              <w:t xml:space="preserve">Ensure the OF remains a core feature of the programme, providing flexible, GESI-oriented support that negotiating groups can shape. </w:t>
            </w:r>
          </w:p>
          <w:p w14:paraId="6822D62A" w14:textId="4342CEB1" w:rsidR="008D0F09" w:rsidRPr="00BE144E" w:rsidRDefault="008D0F09" w:rsidP="00BE144E">
            <w:pPr>
              <w:rPr>
                <w:bCs/>
              </w:rPr>
            </w:pPr>
            <w:r w:rsidRPr="00BE144E">
              <w:rPr>
                <w:bCs/>
              </w:rPr>
              <w:t>DESNZ should transition the OF from a competitive grant mechanism to a flexible instrument that is aligned with negotiating group priorities. It should retain its current Global South-led, inclusive approach and be streamlined to reduce administrative burden. Rather than expanding funding, the focus should be on adapting the existing fund to enable group-led planning, with co-designed reporting formats and collaborative development of calls and funding decisions. The fund could be owned by negotiating groups and deployed as they see fit, potentially requiring coordination across group members to access and manage its use within an agreed accountability and governance framework.</w:t>
            </w:r>
          </w:p>
        </w:tc>
        <w:tc>
          <w:tcPr>
            <w:tcW w:w="1133" w:type="dxa"/>
          </w:tcPr>
          <w:p w14:paraId="1B7EE7D2" w14:textId="668EEAD1" w:rsidR="008D0F09" w:rsidRPr="00BE144E" w:rsidRDefault="00F66FAD">
            <w:pPr>
              <w:rPr>
                <w:bCs/>
              </w:rPr>
            </w:pPr>
            <w:r>
              <w:rPr>
                <w:bCs/>
              </w:rPr>
              <w:t>Partially a</w:t>
            </w:r>
            <w:r w:rsidR="005B27FE">
              <w:rPr>
                <w:bCs/>
              </w:rPr>
              <w:t xml:space="preserve">ccept </w:t>
            </w:r>
          </w:p>
        </w:tc>
        <w:tc>
          <w:tcPr>
            <w:tcW w:w="3934" w:type="dxa"/>
          </w:tcPr>
          <w:p w14:paraId="38CED411" w14:textId="6AA4D8BF" w:rsidR="00124900" w:rsidRDefault="00124900">
            <w:pPr>
              <w:rPr>
                <w:bCs/>
              </w:rPr>
            </w:pPr>
            <w:r>
              <w:rPr>
                <w:bCs/>
              </w:rPr>
              <w:t xml:space="preserve">The evaluation findings will be used to inform future </w:t>
            </w:r>
            <w:r w:rsidR="009119DF">
              <w:rPr>
                <w:bCs/>
              </w:rPr>
              <w:t>planning,</w:t>
            </w:r>
            <w:r w:rsidR="00DB34DC">
              <w:rPr>
                <w:bCs/>
              </w:rPr>
              <w:t xml:space="preserve"> and we welcome the evaluation</w:t>
            </w:r>
            <w:r w:rsidR="00571094">
              <w:rPr>
                <w:bCs/>
              </w:rPr>
              <w:t xml:space="preserve">’s findings on the benefits </w:t>
            </w:r>
            <w:r w:rsidR="001D688C">
              <w:rPr>
                <w:bCs/>
              </w:rPr>
              <w:t xml:space="preserve">of </w:t>
            </w:r>
            <w:r w:rsidR="00DE7B0F">
              <w:rPr>
                <w:bCs/>
              </w:rPr>
              <w:t>the</w:t>
            </w:r>
            <w:r w:rsidR="009119DF">
              <w:rPr>
                <w:bCs/>
              </w:rPr>
              <w:t xml:space="preserve"> Opportunity</w:t>
            </w:r>
            <w:r w:rsidR="00DE7B0F">
              <w:rPr>
                <w:bCs/>
              </w:rPr>
              <w:t xml:space="preserve"> </w:t>
            </w:r>
            <w:r w:rsidR="009119DF">
              <w:rPr>
                <w:bCs/>
              </w:rPr>
              <w:t>F</w:t>
            </w:r>
            <w:r w:rsidR="00DE7B0F">
              <w:rPr>
                <w:bCs/>
              </w:rPr>
              <w:t xml:space="preserve">und (e.g. uplifting smaller organisations, often based in the global south, the focus on youth, and high numbers of female negotiators that have been trained). </w:t>
            </w:r>
            <w:r w:rsidR="00D07985">
              <w:rPr>
                <w:bCs/>
              </w:rPr>
              <w:t>We recognise the importance of flexibility and welcome the recommendation on how this can</w:t>
            </w:r>
            <w:r w:rsidR="00993C01">
              <w:rPr>
                <w:bCs/>
              </w:rPr>
              <w:t xml:space="preserve"> evolve from the grant mechanism trialled </w:t>
            </w:r>
            <w:r w:rsidR="00FA772A">
              <w:rPr>
                <w:bCs/>
              </w:rPr>
              <w:t>in</w:t>
            </w:r>
            <w:r w:rsidR="00993C01">
              <w:rPr>
                <w:bCs/>
              </w:rPr>
              <w:t xml:space="preserve"> this phase. </w:t>
            </w:r>
          </w:p>
          <w:p w14:paraId="1BF75A45" w14:textId="77777777" w:rsidR="006C2C44" w:rsidRDefault="006C2C44">
            <w:pPr>
              <w:rPr>
                <w:bCs/>
              </w:rPr>
            </w:pPr>
          </w:p>
          <w:p w14:paraId="1995104A" w14:textId="213F9DCC" w:rsidR="006C2C44" w:rsidRDefault="00CC51D1">
            <w:pPr>
              <w:rPr>
                <w:bCs/>
              </w:rPr>
            </w:pPr>
            <w:r>
              <w:rPr>
                <w:bCs/>
              </w:rPr>
              <w:t xml:space="preserve">During FY 25/26, the OF has been used flexibly to respond to negotiating group priorities whilst prioritising GESI-oriented and global </w:t>
            </w:r>
            <w:r w:rsidR="009119DF">
              <w:rPr>
                <w:bCs/>
              </w:rPr>
              <w:t>south-based</w:t>
            </w:r>
            <w:r>
              <w:rPr>
                <w:bCs/>
              </w:rPr>
              <w:t xml:space="preserve"> support. </w:t>
            </w:r>
            <w:r w:rsidR="004F5E09">
              <w:rPr>
                <w:bCs/>
              </w:rPr>
              <w:t xml:space="preserve">Future funding is subject to portfolio level decision-making processes following the Spending Review. </w:t>
            </w:r>
          </w:p>
          <w:p w14:paraId="6E901F9B" w14:textId="6FDBCBA8" w:rsidR="00124900" w:rsidRPr="00BE144E" w:rsidRDefault="00124900">
            <w:pPr>
              <w:rPr>
                <w:bCs/>
              </w:rPr>
            </w:pPr>
          </w:p>
        </w:tc>
      </w:tr>
      <w:tr w:rsidR="008D0F09" w14:paraId="49C9139D" w14:textId="77777777" w:rsidTr="00B81D81">
        <w:trPr>
          <w:trHeight w:val="656"/>
        </w:trPr>
        <w:tc>
          <w:tcPr>
            <w:tcW w:w="2122" w:type="dxa"/>
            <w:shd w:val="clear" w:color="auto" w:fill="D9D9D9" w:themeFill="background1" w:themeFillShade="D9"/>
          </w:tcPr>
          <w:p w14:paraId="45EF5CA7" w14:textId="35399AB6" w:rsidR="008D0F09" w:rsidRPr="00BE144E" w:rsidRDefault="008D0F09" w:rsidP="00BE144E">
            <w:pPr>
              <w:rPr>
                <w:b/>
                <w:bCs/>
              </w:rPr>
            </w:pPr>
            <w:r>
              <w:rPr>
                <w:b/>
                <w:bCs/>
              </w:rPr>
              <w:t>3.3</w:t>
            </w:r>
          </w:p>
        </w:tc>
        <w:tc>
          <w:tcPr>
            <w:tcW w:w="6759" w:type="dxa"/>
          </w:tcPr>
          <w:p w14:paraId="1AC8BA1C" w14:textId="0BAB94D7" w:rsidR="008D0F09" w:rsidRPr="00BE144E" w:rsidRDefault="008D0F09" w:rsidP="00BE144E">
            <w:pPr>
              <w:rPr>
                <w:b/>
              </w:rPr>
            </w:pPr>
            <w:r w:rsidRPr="00BE144E">
              <w:rPr>
                <w:b/>
                <w:bCs/>
              </w:rPr>
              <w:t xml:space="preserve">Invest in mentorship and alumni engagement, particularly for underrepresented negotiators, and compensate mentors from the Global South. </w:t>
            </w:r>
          </w:p>
          <w:p w14:paraId="097FC55C" w14:textId="21988FC7" w:rsidR="008D0F09" w:rsidRPr="00BE144E" w:rsidRDefault="008D0F09" w:rsidP="00BE144E">
            <w:r w:rsidRPr="00BE144E">
              <w:lastRenderedPageBreak/>
              <w:t>DESNZ should create a small budget line to formalise mentorship roles, support mentor stipends, and enable quarterly peer groups for alumni, with an emphasis on diversity and regional balance.</w:t>
            </w:r>
          </w:p>
        </w:tc>
        <w:tc>
          <w:tcPr>
            <w:tcW w:w="1133" w:type="dxa"/>
          </w:tcPr>
          <w:p w14:paraId="05C30642" w14:textId="5EBF0F2F" w:rsidR="008D0F09" w:rsidRPr="00BE144E" w:rsidRDefault="004F5E09">
            <w:pPr>
              <w:rPr>
                <w:bCs/>
              </w:rPr>
            </w:pPr>
            <w:r>
              <w:rPr>
                <w:bCs/>
              </w:rPr>
              <w:lastRenderedPageBreak/>
              <w:t>Partially a</w:t>
            </w:r>
            <w:r w:rsidR="00362658">
              <w:rPr>
                <w:bCs/>
              </w:rPr>
              <w:t xml:space="preserve">ccept </w:t>
            </w:r>
          </w:p>
        </w:tc>
        <w:tc>
          <w:tcPr>
            <w:tcW w:w="3934" w:type="dxa"/>
          </w:tcPr>
          <w:p w14:paraId="570F4BB1" w14:textId="77777777" w:rsidR="001A4FBD" w:rsidRDefault="00006832">
            <w:pPr>
              <w:rPr>
                <w:bCs/>
              </w:rPr>
            </w:pPr>
            <w:r>
              <w:t>This will be explored</w:t>
            </w:r>
            <w:r w:rsidR="0090528B">
              <w:t xml:space="preserve"> with </w:t>
            </w:r>
            <w:r w:rsidR="004F5E09">
              <w:t xml:space="preserve">the </w:t>
            </w:r>
            <w:r w:rsidR="00156401">
              <w:t>delivery partner</w:t>
            </w:r>
            <w:r w:rsidR="001A4FBD">
              <w:t xml:space="preserve"> </w:t>
            </w:r>
            <w:r w:rsidR="0090528B">
              <w:t xml:space="preserve">and </w:t>
            </w:r>
            <w:r w:rsidR="00C56381">
              <w:t xml:space="preserve">relevant </w:t>
            </w:r>
            <w:r w:rsidR="00F406F3">
              <w:t>TPs will be encouraged to build this into annual workplans</w:t>
            </w:r>
            <w:r w:rsidR="00C56381">
              <w:t xml:space="preserve"> and budgets</w:t>
            </w:r>
            <w:r w:rsidR="000F72F7">
              <w:t>.</w:t>
            </w:r>
            <w:r w:rsidR="000F72F7">
              <w:rPr>
                <w:bCs/>
              </w:rPr>
              <w:t xml:space="preserve"> </w:t>
            </w:r>
            <w:r w:rsidR="0090528B">
              <w:rPr>
                <w:bCs/>
              </w:rPr>
              <w:t xml:space="preserve"> </w:t>
            </w:r>
          </w:p>
          <w:p w14:paraId="6D625E55" w14:textId="77777777" w:rsidR="001A4FBD" w:rsidRDefault="001A4FBD">
            <w:pPr>
              <w:rPr>
                <w:bCs/>
              </w:rPr>
            </w:pPr>
          </w:p>
          <w:p w14:paraId="25D3CF6B" w14:textId="71C9C4F5" w:rsidR="008D0F09" w:rsidRPr="00BE144E" w:rsidRDefault="000F72F7">
            <w:pPr>
              <w:rPr>
                <w:bCs/>
              </w:rPr>
            </w:pPr>
            <w:r>
              <w:rPr>
                <w:bCs/>
              </w:rPr>
              <w:t>H</w:t>
            </w:r>
            <w:r w:rsidR="0090528B">
              <w:rPr>
                <w:bCs/>
              </w:rPr>
              <w:t>owever</w:t>
            </w:r>
            <w:r w:rsidR="004F5E09">
              <w:rPr>
                <w:bCs/>
              </w:rPr>
              <w:t>, as CASA is a demand led programme</w:t>
            </w:r>
            <w:r w:rsidR="001A4FBD">
              <w:rPr>
                <w:bCs/>
              </w:rPr>
              <w:t>,</w:t>
            </w:r>
            <w:r w:rsidR="004F5E09">
              <w:rPr>
                <w:bCs/>
              </w:rPr>
              <w:t xml:space="preserve"> the prioritisation of support and </w:t>
            </w:r>
            <w:r w:rsidR="00F406F3">
              <w:rPr>
                <w:bCs/>
              </w:rPr>
              <w:t>annual</w:t>
            </w:r>
            <w:r w:rsidR="004F5E09">
              <w:rPr>
                <w:bCs/>
              </w:rPr>
              <w:t xml:space="preserve"> workplans must be designed in close consultation with supported groups.  </w:t>
            </w:r>
          </w:p>
        </w:tc>
      </w:tr>
    </w:tbl>
    <w:p w14:paraId="2681AE67" w14:textId="77777777" w:rsidR="00BE144E" w:rsidRDefault="00BE144E"/>
    <w:tbl>
      <w:tblPr>
        <w:tblStyle w:val="TableGrid"/>
        <w:tblW w:w="0" w:type="auto"/>
        <w:tblLook w:val="04A0" w:firstRow="1" w:lastRow="0" w:firstColumn="1" w:lastColumn="0" w:noHBand="0" w:noVBand="1"/>
      </w:tblPr>
      <w:tblGrid>
        <w:gridCol w:w="2122"/>
        <w:gridCol w:w="6756"/>
        <w:gridCol w:w="1134"/>
        <w:gridCol w:w="3936"/>
      </w:tblGrid>
      <w:tr w:rsidR="008D0F09" w14:paraId="6E6743D4" w14:textId="77777777" w:rsidTr="00B81D81">
        <w:tc>
          <w:tcPr>
            <w:tcW w:w="13948" w:type="dxa"/>
            <w:gridSpan w:val="4"/>
            <w:shd w:val="clear" w:color="auto" w:fill="182D4C"/>
          </w:tcPr>
          <w:p w14:paraId="7A10B7C7" w14:textId="59A36D55" w:rsidR="008D0F09" w:rsidRPr="00BE144E" w:rsidRDefault="008D0F09">
            <w:pPr>
              <w:rPr>
                <w:b/>
                <w:bCs/>
              </w:rPr>
            </w:pPr>
            <w:r w:rsidRPr="00405A89">
              <w:rPr>
                <w:b/>
                <w:bCs/>
                <w:sz w:val="28"/>
                <w:szCs w:val="28"/>
              </w:rPr>
              <w:t>Lesson 4: Flexible, trusted support is CASA’s signature strength</w:t>
            </w:r>
          </w:p>
        </w:tc>
      </w:tr>
      <w:tr w:rsidR="008D0F09" w14:paraId="480B3014" w14:textId="77777777" w:rsidTr="00B81D81">
        <w:tc>
          <w:tcPr>
            <w:tcW w:w="2122" w:type="dxa"/>
            <w:shd w:val="clear" w:color="auto" w:fill="B4E3FA"/>
          </w:tcPr>
          <w:p w14:paraId="68411EB7" w14:textId="13E46099" w:rsidR="008D0F09" w:rsidRPr="00BE144E" w:rsidRDefault="008D0F09">
            <w:pPr>
              <w:rPr>
                <w:bCs/>
              </w:rPr>
            </w:pPr>
            <w:r>
              <w:rPr>
                <w:bCs/>
              </w:rPr>
              <w:t>Recommendation #</w:t>
            </w:r>
          </w:p>
        </w:tc>
        <w:tc>
          <w:tcPr>
            <w:tcW w:w="6756" w:type="dxa"/>
            <w:shd w:val="clear" w:color="auto" w:fill="B4E3FA"/>
          </w:tcPr>
          <w:p w14:paraId="0AA203A5" w14:textId="1CB509AE" w:rsidR="008D0F09" w:rsidRPr="00BE144E" w:rsidRDefault="008D0F09">
            <w:pPr>
              <w:rPr>
                <w:bCs/>
              </w:rPr>
            </w:pPr>
            <w:r w:rsidRPr="00BE144E">
              <w:rPr>
                <w:bCs/>
              </w:rPr>
              <w:t>Recommendation</w:t>
            </w:r>
          </w:p>
        </w:tc>
        <w:tc>
          <w:tcPr>
            <w:tcW w:w="1134" w:type="dxa"/>
            <w:shd w:val="clear" w:color="auto" w:fill="B4E3FA"/>
          </w:tcPr>
          <w:p w14:paraId="04728C83" w14:textId="77777777" w:rsidR="008D0F09" w:rsidRPr="00BE144E" w:rsidRDefault="008D0F09">
            <w:pPr>
              <w:rPr>
                <w:bCs/>
              </w:rPr>
            </w:pPr>
            <w:r w:rsidRPr="00BE144E">
              <w:rPr>
                <w:bCs/>
              </w:rPr>
              <w:t xml:space="preserve">Accept or </w:t>
            </w:r>
            <w:proofErr w:type="gramStart"/>
            <w:r w:rsidRPr="00BE144E">
              <w:rPr>
                <w:bCs/>
              </w:rPr>
              <w:t>Reject</w:t>
            </w:r>
            <w:proofErr w:type="gramEnd"/>
          </w:p>
        </w:tc>
        <w:tc>
          <w:tcPr>
            <w:tcW w:w="3936" w:type="dxa"/>
            <w:shd w:val="clear" w:color="auto" w:fill="B4E3FA"/>
          </w:tcPr>
          <w:p w14:paraId="39854094" w14:textId="77777777" w:rsidR="008D0F09" w:rsidRPr="00BE144E" w:rsidRDefault="008D0F09">
            <w:pPr>
              <w:rPr>
                <w:bCs/>
              </w:rPr>
            </w:pPr>
            <w:r w:rsidRPr="00BE144E">
              <w:rPr>
                <w:bCs/>
              </w:rPr>
              <w:t>If “Accepted”, Action plan for Implementation or if “Rejected”, Reason for Rejection</w:t>
            </w:r>
          </w:p>
        </w:tc>
      </w:tr>
      <w:tr w:rsidR="008D0F09" w14:paraId="7F984CA3" w14:textId="77777777" w:rsidTr="00B81D81">
        <w:trPr>
          <w:trHeight w:val="656"/>
        </w:trPr>
        <w:tc>
          <w:tcPr>
            <w:tcW w:w="2122" w:type="dxa"/>
            <w:shd w:val="clear" w:color="auto" w:fill="D9D9D9" w:themeFill="background1" w:themeFillShade="D9"/>
          </w:tcPr>
          <w:p w14:paraId="48B4BA4A" w14:textId="29AD4F40" w:rsidR="008D0F09" w:rsidRPr="008D0F09" w:rsidRDefault="008D0F09" w:rsidP="008D0F09">
            <w:pPr>
              <w:rPr>
                <w:b/>
                <w:bCs/>
              </w:rPr>
            </w:pPr>
            <w:r>
              <w:rPr>
                <w:b/>
                <w:bCs/>
              </w:rPr>
              <w:t>4.1</w:t>
            </w:r>
          </w:p>
        </w:tc>
        <w:tc>
          <w:tcPr>
            <w:tcW w:w="6756" w:type="dxa"/>
          </w:tcPr>
          <w:p w14:paraId="72374DCB" w14:textId="02679441" w:rsidR="008D0F09" w:rsidRPr="008D0F09" w:rsidRDefault="008D0F09" w:rsidP="008D0F09">
            <w:pPr>
              <w:rPr>
                <w:b/>
              </w:rPr>
            </w:pPr>
            <w:r w:rsidRPr="008D0F09">
              <w:rPr>
                <w:b/>
                <w:bCs/>
              </w:rPr>
              <w:t xml:space="preserve">Protect the budget and operational space for in-COP support (e.g. legal drafting, strategic advice via informal channels). </w:t>
            </w:r>
          </w:p>
          <w:p w14:paraId="6BD452E7" w14:textId="4EB068B2" w:rsidR="008D0F09" w:rsidRPr="00BE144E" w:rsidRDefault="008D0F09" w:rsidP="008D0F09">
            <w:pPr>
              <w:rPr>
                <w:bCs/>
              </w:rPr>
            </w:pPr>
            <w:r w:rsidRPr="008D0F09">
              <w:rPr>
                <w:bCs/>
              </w:rPr>
              <w:t>DESNZ should ensure TP budgets include a flexible COP-support line at their core. This should enable responsive, real-time inputs to chairs and leads through embedded advisors and informal tools. While operational expenses to cover travel and accommodation are limited, DESNZ could support improved information sharing between funders to ensure basic operational costs are being covered by projects funding TPs.</w:t>
            </w:r>
          </w:p>
        </w:tc>
        <w:tc>
          <w:tcPr>
            <w:tcW w:w="1134" w:type="dxa"/>
          </w:tcPr>
          <w:p w14:paraId="4B7D5A09" w14:textId="3819B605" w:rsidR="008D0F09" w:rsidRPr="00BE144E" w:rsidRDefault="000F72F7">
            <w:pPr>
              <w:rPr>
                <w:bCs/>
              </w:rPr>
            </w:pPr>
            <w:r>
              <w:rPr>
                <w:bCs/>
              </w:rPr>
              <w:t xml:space="preserve">Accept </w:t>
            </w:r>
          </w:p>
        </w:tc>
        <w:tc>
          <w:tcPr>
            <w:tcW w:w="3936" w:type="dxa"/>
          </w:tcPr>
          <w:p w14:paraId="22F3D753" w14:textId="593DFDBF" w:rsidR="008D0F09" w:rsidRPr="00BE144E" w:rsidRDefault="00FF19B2">
            <w:pPr>
              <w:rPr>
                <w:bCs/>
              </w:rPr>
            </w:pPr>
            <w:r>
              <w:rPr>
                <w:bCs/>
              </w:rPr>
              <w:t xml:space="preserve">COP is the core milestone within the CASA year, and </w:t>
            </w:r>
            <w:r w:rsidR="00B936E0">
              <w:rPr>
                <w:bCs/>
              </w:rPr>
              <w:t xml:space="preserve">DESNZ, </w:t>
            </w:r>
            <w:r w:rsidR="00C1166D">
              <w:rPr>
                <w:bCs/>
              </w:rPr>
              <w:t>the managing partner</w:t>
            </w:r>
            <w:r w:rsidR="00B936E0">
              <w:rPr>
                <w:bCs/>
              </w:rPr>
              <w:t xml:space="preserve">, and the TPs work hard to ensure negotiating groups are provided with as much support as possible. </w:t>
            </w:r>
          </w:p>
        </w:tc>
      </w:tr>
      <w:tr w:rsidR="008D0F09" w14:paraId="23B95BC4" w14:textId="77777777" w:rsidTr="00B81D81">
        <w:trPr>
          <w:trHeight w:val="656"/>
        </w:trPr>
        <w:tc>
          <w:tcPr>
            <w:tcW w:w="2122" w:type="dxa"/>
            <w:shd w:val="clear" w:color="auto" w:fill="D9D9D9" w:themeFill="background1" w:themeFillShade="D9"/>
          </w:tcPr>
          <w:p w14:paraId="4AB8591C" w14:textId="58E27321" w:rsidR="008D0F09" w:rsidRPr="008D0F09" w:rsidRDefault="008D0F09" w:rsidP="008D0F09">
            <w:pPr>
              <w:rPr>
                <w:b/>
                <w:bCs/>
              </w:rPr>
            </w:pPr>
            <w:r>
              <w:rPr>
                <w:b/>
                <w:bCs/>
              </w:rPr>
              <w:t>4.2</w:t>
            </w:r>
          </w:p>
        </w:tc>
        <w:tc>
          <w:tcPr>
            <w:tcW w:w="6756" w:type="dxa"/>
          </w:tcPr>
          <w:p w14:paraId="72036D44" w14:textId="5AAF3E3B" w:rsidR="008D0F09" w:rsidRPr="008D0F09" w:rsidRDefault="008D0F09" w:rsidP="008D0F09">
            <w:pPr>
              <w:rPr>
                <w:b/>
              </w:rPr>
            </w:pPr>
            <w:r w:rsidRPr="008D0F09">
              <w:rPr>
                <w:b/>
                <w:bCs/>
              </w:rPr>
              <w:t xml:space="preserve">Retain TPs’ mechanisms for demand-led deployment, rather than rigid workplans. </w:t>
            </w:r>
          </w:p>
          <w:p w14:paraId="5728EFE9" w14:textId="0883AF62" w:rsidR="008D0F09" w:rsidRPr="00BE144E" w:rsidRDefault="008D0F09" w:rsidP="008D0F09">
            <w:pPr>
              <w:rPr>
                <w:bCs/>
              </w:rPr>
            </w:pPr>
            <w:r w:rsidRPr="008D0F09">
              <w:rPr>
                <w:bCs/>
              </w:rPr>
              <w:t>DESNZ should prioritise the ‘on-call’ delivery clauses within contract agreements and require light-touch tracking of demand-led requests (as is the case with LRI).</w:t>
            </w:r>
          </w:p>
        </w:tc>
        <w:tc>
          <w:tcPr>
            <w:tcW w:w="1134" w:type="dxa"/>
          </w:tcPr>
          <w:p w14:paraId="5888B288" w14:textId="171D5274" w:rsidR="008D0F09" w:rsidRPr="00BE144E" w:rsidRDefault="00FD129B">
            <w:pPr>
              <w:rPr>
                <w:bCs/>
              </w:rPr>
            </w:pPr>
            <w:r>
              <w:rPr>
                <w:bCs/>
              </w:rPr>
              <w:t>Accept</w:t>
            </w:r>
          </w:p>
        </w:tc>
        <w:tc>
          <w:tcPr>
            <w:tcW w:w="3936" w:type="dxa"/>
          </w:tcPr>
          <w:p w14:paraId="0F35F309" w14:textId="29F1D552" w:rsidR="008D0F09" w:rsidRPr="00BE144E" w:rsidRDefault="00C742EF">
            <w:pPr>
              <w:rPr>
                <w:bCs/>
              </w:rPr>
            </w:pPr>
            <w:r>
              <w:rPr>
                <w:bCs/>
              </w:rPr>
              <w:t xml:space="preserve">DESNZ </w:t>
            </w:r>
            <w:r w:rsidR="00662FD9">
              <w:rPr>
                <w:bCs/>
              </w:rPr>
              <w:t xml:space="preserve">will </w:t>
            </w:r>
            <w:r>
              <w:rPr>
                <w:bCs/>
              </w:rPr>
              <w:t>recognise the need for flexibility within the programme’s design</w:t>
            </w:r>
            <w:r w:rsidR="00115A02">
              <w:rPr>
                <w:bCs/>
              </w:rPr>
              <w:t xml:space="preserve"> and delivery</w:t>
            </w:r>
            <w:r>
              <w:rPr>
                <w:bCs/>
              </w:rPr>
              <w:t xml:space="preserve">. We will look to further strengthen this </w:t>
            </w:r>
            <w:r w:rsidR="00115A02">
              <w:rPr>
                <w:bCs/>
              </w:rPr>
              <w:t xml:space="preserve">during the next round of annual work planning. </w:t>
            </w:r>
          </w:p>
        </w:tc>
      </w:tr>
    </w:tbl>
    <w:p w14:paraId="15BBE1A7" w14:textId="77777777" w:rsidR="001F47D0" w:rsidRDefault="001F47D0"/>
    <w:tbl>
      <w:tblPr>
        <w:tblStyle w:val="TableGrid"/>
        <w:tblW w:w="0" w:type="auto"/>
        <w:tblLook w:val="04A0" w:firstRow="1" w:lastRow="0" w:firstColumn="1" w:lastColumn="0" w:noHBand="0" w:noVBand="1"/>
      </w:tblPr>
      <w:tblGrid>
        <w:gridCol w:w="2122"/>
        <w:gridCol w:w="6756"/>
        <w:gridCol w:w="1134"/>
        <w:gridCol w:w="3936"/>
      </w:tblGrid>
      <w:tr w:rsidR="008D0F09" w14:paraId="6A7C979F" w14:textId="77777777" w:rsidTr="00B81D81">
        <w:tc>
          <w:tcPr>
            <w:tcW w:w="13948" w:type="dxa"/>
            <w:gridSpan w:val="4"/>
            <w:shd w:val="clear" w:color="auto" w:fill="182D4C"/>
          </w:tcPr>
          <w:p w14:paraId="132E18DD" w14:textId="489B4125" w:rsidR="008D0F09" w:rsidRPr="00BE144E" w:rsidRDefault="008D0F09">
            <w:pPr>
              <w:rPr>
                <w:b/>
                <w:bCs/>
              </w:rPr>
            </w:pPr>
            <w:r w:rsidRPr="00405A89">
              <w:rPr>
                <w:b/>
                <w:bCs/>
                <w:sz w:val="28"/>
                <w:szCs w:val="28"/>
              </w:rPr>
              <w:lastRenderedPageBreak/>
              <w:t>Lesson 5: Knowledge-sharing, coordination, and learning need stronger systems</w:t>
            </w:r>
          </w:p>
        </w:tc>
      </w:tr>
      <w:tr w:rsidR="008D0F09" w14:paraId="5789DF29" w14:textId="77777777" w:rsidTr="00B81D81">
        <w:tc>
          <w:tcPr>
            <w:tcW w:w="2122" w:type="dxa"/>
            <w:shd w:val="clear" w:color="auto" w:fill="B4E3FA"/>
          </w:tcPr>
          <w:p w14:paraId="7CEABD05" w14:textId="5838151B" w:rsidR="008D0F09" w:rsidRPr="00BE144E" w:rsidRDefault="008D0F09">
            <w:pPr>
              <w:rPr>
                <w:bCs/>
              </w:rPr>
            </w:pPr>
            <w:r>
              <w:rPr>
                <w:bCs/>
              </w:rPr>
              <w:t>Recommendation #</w:t>
            </w:r>
          </w:p>
        </w:tc>
        <w:tc>
          <w:tcPr>
            <w:tcW w:w="6756" w:type="dxa"/>
            <w:shd w:val="clear" w:color="auto" w:fill="B4E3FA"/>
          </w:tcPr>
          <w:p w14:paraId="48D19796" w14:textId="4E2858FD" w:rsidR="008D0F09" w:rsidRPr="00BE144E" w:rsidRDefault="008D0F09">
            <w:pPr>
              <w:rPr>
                <w:bCs/>
              </w:rPr>
            </w:pPr>
            <w:r w:rsidRPr="00BE144E">
              <w:rPr>
                <w:bCs/>
              </w:rPr>
              <w:t>Recommendation</w:t>
            </w:r>
          </w:p>
        </w:tc>
        <w:tc>
          <w:tcPr>
            <w:tcW w:w="1134" w:type="dxa"/>
            <w:shd w:val="clear" w:color="auto" w:fill="B4E3FA"/>
          </w:tcPr>
          <w:p w14:paraId="2BB133C1" w14:textId="77777777" w:rsidR="008D0F09" w:rsidRPr="00BE144E" w:rsidRDefault="008D0F09">
            <w:pPr>
              <w:rPr>
                <w:bCs/>
              </w:rPr>
            </w:pPr>
            <w:r w:rsidRPr="00BE144E">
              <w:rPr>
                <w:bCs/>
              </w:rPr>
              <w:t xml:space="preserve">Accept or </w:t>
            </w:r>
            <w:proofErr w:type="gramStart"/>
            <w:r w:rsidRPr="00BE144E">
              <w:rPr>
                <w:bCs/>
              </w:rPr>
              <w:t>Reject</w:t>
            </w:r>
            <w:proofErr w:type="gramEnd"/>
          </w:p>
        </w:tc>
        <w:tc>
          <w:tcPr>
            <w:tcW w:w="3936" w:type="dxa"/>
            <w:shd w:val="clear" w:color="auto" w:fill="B4E3FA"/>
          </w:tcPr>
          <w:p w14:paraId="481B39EC" w14:textId="77777777" w:rsidR="008D0F09" w:rsidRPr="00BE144E" w:rsidRDefault="008D0F09">
            <w:pPr>
              <w:rPr>
                <w:bCs/>
              </w:rPr>
            </w:pPr>
            <w:r w:rsidRPr="00BE144E">
              <w:rPr>
                <w:bCs/>
              </w:rPr>
              <w:t>If “Accepted”, Action plan for Implementation or if “Rejected”, Reason for Rejection</w:t>
            </w:r>
          </w:p>
        </w:tc>
      </w:tr>
      <w:tr w:rsidR="008D0F09" w14:paraId="313124D8" w14:textId="77777777" w:rsidTr="00B81D81">
        <w:trPr>
          <w:trHeight w:val="656"/>
        </w:trPr>
        <w:tc>
          <w:tcPr>
            <w:tcW w:w="2122" w:type="dxa"/>
            <w:shd w:val="clear" w:color="auto" w:fill="D9D9D9" w:themeFill="background1" w:themeFillShade="D9"/>
          </w:tcPr>
          <w:p w14:paraId="5DABBED7" w14:textId="115C0269" w:rsidR="008D0F09" w:rsidRPr="008D0F09" w:rsidRDefault="008D0F09" w:rsidP="008D0F09">
            <w:pPr>
              <w:rPr>
                <w:b/>
                <w:bCs/>
              </w:rPr>
            </w:pPr>
            <w:r>
              <w:rPr>
                <w:b/>
                <w:bCs/>
              </w:rPr>
              <w:t>5.1</w:t>
            </w:r>
          </w:p>
        </w:tc>
        <w:tc>
          <w:tcPr>
            <w:tcW w:w="6756" w:type="dxa"/>
          </w:tcPr>
          <w:p w14:paraId="0C56B4F8" w14:textId="474DBC05" w:rsidR="008D0F09" w:rsidRPr="008D0F09" w:rsidRDefault="008D0F09" w:rsidP="008D0F09">
            <w:pPr>
              <w:rPr>
                <w:b/>
              </w:rPr>
            </w:pPr>
            <w:r w:rsidRPr="008D0F09">
              <w:rPr>
                <w:b/>
                <w:bCs/>
              </w:rPr>
              <w:t xml:space="preserve">Require greater transparency from TPs about other funding relationships with negotiating groups. </w:t>
            </w:r>
          </w:p>
          <w:p w14:paraId="2A38C8DD" w14:textId="7569422A" w:rsidR="008D0F09" w:rsidRPr="00BE144E" w:rsidRDefault="008D0F09" w:rsidP="008D0F09">
            <w:pPr>
              <w:rPr>
                <w:bCs/>
              </w:rPr>
            </w:pPr>
            <w:r w:rsidRPr="008D0F09">
              <w:rPr>
                <w:bCs/>
              </w:rPr>
              <w:t>To support coherence and avoid duplicating efforts, DESNZ should require all TPs to declare other major funding relationships with the groups they support, and to share basic summaries of any parallel workstreams. This would help DESNZ and other stakeholders see the full support landscape.</w:t>
            </w:r>
          </w:p>
        </w:tc>
        <w:tc>
          <w:tcPr>
            <w:tcW w:w="1134" w:type="dxa"/>
          </w:tcPr>
          <w:p w14:paraId="5F7E9E2D" w14:textId="4D689F14" w:rsidR="008D0F09" w:rsidRPr="00BE144E" w:rsidRDefault="00A64479">
            <w:pPr>
              <w:rPr>
                <w:bCs/>
              </w:rPr>
            </w:pPr>
            <w:r>
              <w:rPr>
                <w:bCs/>
              </w:rPr>
              <w:t xml:space="preserve">Accept </w:t>
            </w:r>
          </w:p>
        </w:tc>
        <w:tc>
          <w:tcPr>
            <w:tcW w:w="3936" w:type="dxa"/>
          </w:tcPr>
          <w:p w14:paraId="178700A9" w14:textId="23C05D94" w:rsidR="008D0F09" w:rsidRPr="00BE144E" w:rsidRDefault="00A64479">
            <w:pPr>
              <w:rPr>
                <w:bCs/>
              </w:rPr>
            </w:pPr>
            <w:r>
              <w:rPr>
                <w:bCs/>
              </w:rPr>
              <w:t xml:space="preserve">Although we cannot require the TPs to declare </w:t>
            </w:r>
            <w:proofErr w:type="gramStart"/>
            <w:r>
              <w:rPr>
                <w:bCs/>
              </w:rPr>
              <w:t>all of</w:t>
            </w:r>
            <w:proofErr w:type="gramEnd"/>
            <w:r>
              <w:rPr>
                <w:bCs/>
              </w:rPr>
              <w:t xml:space="preserve"> their funding relationships, we recognise the importance of this recommendation. We will ask TPs to </w:t>
            </w:r>
            <w:r w:rsidR="00B42566">
              <w:rPr>
                <w:bCs/>
              </w:rPr>
              <w:t>declare other funding and DESNZ will</w:t>
            </w:r>
            <w:r w:rsidR="00E10054">
              <w:rPr>
                <w:bCs/>
              </w:rPr>
              <w:t xml:space="preserve"> work to create and keep up to date a funding landscape of negotiations support. </w:t>
            </w:r>
          </w:p>
        </w:tc>
      </w:tr>
      <w:tr w:rsidR="008D0F09" w14:paraId="5325A008" w14:textId="77777777" w:rsidTr="00B81D81">
        <w:trPr>
          <w:trHeight w:val="656"/>
        </w:trPr>
        <w:tc>
          <w:tcPr>
            <w:tcW w:w="2122" w:type="dxa"/>
            <w:shd w:val="clear" w:color="auto" w:fill="D9D9D9" w:themeFill="background1" w:themeFillShade="D9"/>
          </w:tcPr>
          <w:p w14:paraId="44768D9D" w14:textId="6FCABF65" w:rsidR="008D0F09" w:rsidRPr="008D0F09" w:rsidRDefault="008D0F09" w:rsidP="008D0F09">
            <w:pPr>
              <w:rPr>
                <w:b/>
                <w:bCs/>
              </w:rPr>
            </w:pPr>
            <w:r>
              <w:rPr>
                <w:b/>
                <w:bCs/>
              </w:rPr>
              <w:t>5.2</w:t>
            </w:r>
          </w:p>
        </w:tc>
        <w:tc>
          <w:tcPr>
            <w:tcW w:w="6756" w:type="dxa"/>
          </w:tcPr>
          <w:p w14:paraId="3D8F6EE0" w14:textId="1C8E6681" w:rsidR="008D0F09" w:rsidRPr="008D0F09" w:rsidRDefault="008D0F09" w:rsidP="008D0F09">
            <w:pPr>
              <w:rPr>
                <w:b/>
              </w:rPr>
            </w:pPr>
            <w:r w:rsidRPr="008D0F09">
              <w:rPr>
                <w:b/>
                <w:bCs/>
              </w:rPr>
              <w:t xml:space="preserve">Establish joint planning and regular coordination mechanisms among TPs supporting the same group. </w:t>
            </w:r>
          </w:p>
          <w:p w14:paraId="70CC093A" w14:textId="429D5D05" w:rsidR="008D0F09" w:rsidRPr="00BE144E" w:rsidRDefault="008D0F09" w:rsidP="008D0F09">
            <w:pPr>
              <w:rPr>
                <w:bCs/>
              </w:rPr>
            </w:pPr>
            <w:r w:rsidRPr="008D0F09">
              <w:rPr>
                <w:bCs/>
              </w:rPr>
              <w:t>DESNZ should require structured coordination (e.g. quarterly calls, annual retreats) and shared deliverables where multiple TPs support the same group.</w:t>
            </w:r>
          </w:p>
        </w:tc>
        <w:tc>
          <w:tcPr>
            <w:tcW w:w="1134" w:type="dxa"/>
          </w:tcPr>
          <w:p w14:paraId="5E8AE710" w14:textId="00632AB0" w:rsidR="008D0F09" w:rsidRPr="00BE144E" w:rsidRDefault="00275217">
            <w:pPr>
              <w:rPr>
                <w:bCs/>
              </w:rPr>
            </w:pPr>
            <w:r>
              <w:rPr>
                <w:bCs/>
              </w:rPr>
              <w:t>Accept</w:t>
            </w:r>
          </w:p>
        </w:tc>
        <w:tc>
          <w:tcPr>
            <w:tcW w:w="3936" w:type="dxa"/>
          </w:tcPr>
          <w:p w14:paraId="6E0EC960" w14:textId="77777777" w:rsidR="004E4470" w:rsidRDefault="00275217" w:rsidP="004E4470">
            <w:pPr>
              <w:rPr>
                <w:bCs/>
              </w:rPr>
            </w:pPr>
            <w:r>
              <w:rPr>
                <w:bCs/>
              </w:rPr>
              <w:t xml:space="preserve">The TPs supported by CASA have been working together for a long </w:t>
            </w:r>
            <w:r w:rsidR="004E4470">
              <w:rPr>
                <w:bCs/>
              </w:rPr>
              <w:t>time and</w:t>
            </w:r>
            <w:r w:rsidR="00357A4F">
              <w:rPr>
                <w:bCs/>
              </w:rPr>
              <w:t xml:space="preserve"> </w:t>
            </w:r>
            <w:r w:rsidR="00B970CE">
              <w:rPr>
                <w:bCs/>
              </w:rPr>
              <w:t xml:space="preserve">often coordinate </w:t>
            </w:r>
            <w:r w:rsidR="00FE18A6">
              <w:rPr>
                <w:bCs/>
              </w:rPr>
              <w:t>informally</w:t>
            </w:r>
            <w:r w:rsidR="00357A4F">
              <w:rPr>
                <w:bCs/>
              </w:rPr>
              <w:t xml:space="preserve">. </w:t>
            </w:r>
          </w:p>
          <w:p w14:paraId="11CF275C" w14:textId="31B151FD" w:rsidR="008D0F09" w:rsidRPr="00BE144E" w:rsidRDefault="00115A02" w:rsidP="004E4470">
            <w:pPr>
              <w:rPr>
                <w:rFonts w:ascii="Aptos" w:hAnsi="Aptos"/>
                <w:color w:val="000000" w:themeColor="text1"/>
              </w:rPr>
            </w:pPr>
            <w:r w:rsidRPr="62EB372F">
              <w:rPr>
                <w:rFonts w:ascii="Aptos" w:hAnsi="Aptos"/>
                <w:color w:val="000000" w:themeColor="text1"/>
              </w:rPr>
              <w:t xml:space="preserve">We will work with </w:t>
            </w:r>
            <w:r w:rsidR="00FA4733" w:rsidRPr="62EB372F">
              <w:rPr>
                <w:rFonts w:ascii="Aptos" w:hAnsi="Aptos"/>
                <w:color w:val="000000" w:themeColor="text1"/>
              </w:rPr>
              <w:t xml:space="preserve">the </w:t>
            </w:r>
            <w:r w:rsidR="00156401" w:rsidRPr="62EB372F">
              <w:rPr>
                <w:rFonts w:ascii="Aptos" w:hAnsi="Aptos"/>
                <w:color w:val="000000" w:themeColor="text1"/>
              </w:rPr>
              <w:t xml:space="preserve">delivery partner </w:t>
            </w:r>
            <w:r w:rsidR="00FA4733" w:rsidRPr="62EB372F">
              <w:rPr>
                <w:rFonts w:ascii="Aptos" w:hAnsi="Aptos"/>
                <w:color w:val="000000" w:themeColor="text1"/>
              </w:rPr>
              <w:t>and</w:t>
            </w:r>
            <w:r w:rsidR="002D138E" w:rsidRPr="62EB372F">
              <w:rPr>
                <w:rFonts w:ascii="Aptos" w:hAnsi="Aptos"/>
                <w:color w:val="000000" w:themeColor="text1"/>
              </w:rPr>
              <w:t xml:space="preserve"> </w:t>
            </w:r>
            <w:r w:rsidR="004E4470" w:rsidRPr="62EB372F">
              <w:rPr>
                <w:rFonts w:ascii="Aptos" w:hAnsi="Aptos"/>
                <w:color w:val="000000" w:themeColor="text1"/>
              </w:rPr>
              <w:t xml:space="preserve">TPs to assess support for a more structured approach to coordination. </w:t>
            </w:r>
          </w:p>
        </w:tc>
      </w:tr>
      <w:tr w:rsidR="008D0F09" w14:paraId="706795CD" w14:textId="77777777" w:rsidTr="00B81D81">
        <w:trPr>
          <w:trHeight w:val="656"/>
        </w:trPr>
        <w:tc>
          <w:tcPr>
            <w:tcW w:w="2122" w:type="dxa"/>
            <w:shd w:val="clear" w:color="auto" w:fill="D9D9D9" w:themeFill="background1" w:themeFillShade="D9"/>
          </w:tcPr>
          <w:p w14:paraId="550CF7FD" w14:textId="52CED1D8" w:rsidR="008D0F09" w:rsidRPr="008D0F09" w:rsidRDefault="008D0F09" w:rsidP="008D0F09">
            <w:pPr>
              <w:rPr>
                <w:b/>
                <w:bCs/>
              </w:rPr>
            </w:pPr>
            <w:r>
              <w:rPr>
                <w:b/>
                <w:bCs/>
              </w:rPr>
              <w:t>5.3</w:t>
            </w:r>
          </w:p>
        </w:tc>
        <w:tc>
          <w:tcPr>
            <w:tcW w:w="6756" w:type="dxa"/>
          </w:tcPr>
          <w:p w14:paraId="3D36262C" w14:textId="1DFF26E7" w:rsidR="008D0F09" w:rsidRPr="008D0F09" w:rsidRDefault="008D0F09" w:rsidP="008D0F09">
            <w:pPr>
              <w:rPr>
                <w:b/>
              </w:rPr>
            </w:pPr>
            <w:r w:rsidRPr="008D0F09">
              <w:rPr>
                <w:b/>
                <w:bCs/>
              </w:rPr>
              <w:t xml:space="preserve">Improve documentation and internal knowledge-sharing, including on what works across negotiating groups and on how influence is achieved. </w:t>
            </w:r>
          </w:p>
          <w:p w14:paraId="657921CE" w14:textId="616337E1" w:rsidR="008D0F09" w:rsidRPr="00BE144E" w:rsidRDefault="008D0F09" w:rsidP="008D0F09">
            <w:r w:rsidRPr="008D0F09">
              <w:t>DESNZ should require a basic knowledge-sharing platform and regular cross-group learning events. Fund light curation and dissemination roles if necessary.</w:t>
            </w:r>
          </w:p>
        </w:tc>
        <w:tc>
          <w:tcPr>
            <w:tcW w:w="1134" w:type="dxa"/>
          </w:tcPr>
          <w:p w14:paraId="7312BFF0" w14:textId="2823DF0F" w:rsidR="008D0F09" w:rsidRPr="00BE144E" w:rsidRDefault="00401082">
            <w:pPr>
              <w:rPr>
                <w:bCs/>
              </w:rPr>
            </w:pPr>
            <w:r>
              <w:rPr>
                <w:bCs/>
              </w:rPr>
              <w:t xml:space="preserve">Partially accept </w:t>
            </w:r>
          </w:p>
        </w:tc>
        <w:tc>
          <w:tcPr>
            <w:tcW w:w="3936" w:type="dxa"/>
          </w:tcPr>
          <w:p w14:paraId="315A4DCE" w14:textId="3F8A24C4" w:rsidR="008D0F09" w:rsidRPr="00BE144E" w:rsidRDefault="00C733CC">
            <w:pPr>
              <w:rPr>
                <w:bCs/>
              </w:rPr>
            </w:pPr>
            <w:r>
              <w:rPr>
                <w:bCs/>
              </w:rPr>
              <w:t xml:space="preserve">This is not within the </w:t>
            </w:r>
            <w:r w:rsidR="008E45FC">
              <w:rPr>
                <w:bCs/>
              </w:rPr>
              <w:t>scope of the current programme</w:t>
            </w:r>
            <w:r w:rsidR="00841822">
              <w:rPr>
                <w:bCs/>
              </w:rPr>
              <w:t xml:space="preserve"> and </w:t>
            </w:r>
            <w:r w:rsidR="00EF4193">
              <w:rPr>
                <w:bCs/>
              </w:rPr>
              <w:t>budget is not available for a new platform</w:t>
            </w:r>
            <w:r w:rsidR="008E45FC">
              <w:rPr>
                <w:bCs/>
              </w:rPr>
              <w:t>.</w:t>
            </w:r>
            <w:r>
              <w:rPr>
                <w:bCs/>
              </w:rPr>
              <w:t xml:space="preserve"> </w:t>
            </w:r>
            <w:r>
              <w:t xml:space="preserve">However, we will </w:t>
            </w:r>
            <w:r w:rsidR="00401082">
              <w:t xml:space="preserve">work with the </w:t>
            </w:r>
            <w:r w:rsidR="00156401">
              <w:t xml:space="preserve">delivery partner </w:t>
            </w:r>
            <w:r w:rsidR="00401082">
              <w:t xml:space="preserve">to scope </w:t>
            </w:r>
            <w:r w:rsidR="00841822">
              <w:t>options for cross-group knowledge sharing within</w:t>
            </w:r>
            <w:r w:rsidR="00EF4193">
              <w:t xml:space="preserve"> TPs annual workplans, where there is demand from supported groups.</w:t>
            </w:r>
            <w:r w:rsidR="00841822">
              <w:rPr>
                <w:bCs/>
              </w:rPr>
              <w:t xml:space="preserve">  </w:t>
            </w:r>
            <w:r w:rsidR="001F3290">
              <w:rPr>
                <w:bCs/>
              </w:rPr>
              <w:t xml:space="preserve"> </w:t>
            </w:r>
          </w:p>
        </w:tc>
      </w:tr>
      <w:tr w:rsidR="008D0F09" w14:paraId="4423111D" w14:textId="77777777" w:rsidTr="00B81D81">
        <w:trPr>
          <w:trHeight w:val="656"/>
        </w:trPr>
        <w:tc>
          <w:tcPr>
            <w:tcW w:w="2122" w:type="dxa"/>
            <w:shd w:val="clear" w:color="auto" w:fill="D9D9D9" w:themeFill="background1" w:themeFillShade="D9"/>
          </w:tcPr>
          <w:p w14:paraId="2B14DAE5" w14:textId="661C6E6D" w:rsidR="008D0F09" w:rsidRPr="008D0F09" w:rsidRDefault="008D0F09" w:rsidP="008D0F09">
            <w:pPr>
              <w:rPr>
                <w:b/>
                <w:bCs/>
              </w:rPr>
            </w:pPr>
            <w:r>
              <w:rPr>
                <w:b/>
                <w:bCs/>
              </w:rPr>
              <w:lastRenderedPageBreak/>
              <w:t>5.4</w:t>
            </w:r>
          </w:p>
        </w:tc>
        <w:tc>
          <w:tcPr>
            <w:tcW w:w="6756" w:type="dxa"/>
          </w:tcPr>
          <w:p w14:paraId="23FAFFC6" w14:textId="60841CB2" w:rsidR="008D0F09" w:rsidRPr="008D0F09" w:rsidRDefault="008D0F09" w:rsidP="008D0F09">
            <w:pPr>
              <w:rPr>
                <w:b/>
                <w:bCs/>
              </w:rPr>
            </w:pPr>
            <w:r w:rsidRPr="008D0F09">
              <w:rPr>
                <w:b/>
                <w:bCs/>
              </w:rPr>
              <w:t xml:space="preserve">Integrate outcome-focused MEL and learning tools (e.g. outcome harvesting, contribution analysis, level of effort tracking) into coordination systems. </w:t>
            </w:r>
          </w:p>
          <w:p w14:paraId="13BB0423" w14:textId="4B74D6CB" w:rsidR="008D0F09" w:rsidRPr="008D0F09" w:rsidRDefault="008D0F09" w:rsidP="008D0F09">
            <w:r w:rsidRPr="008D0F09">
              <w:t>DESNZ should require outcome reflection as part of quarterly TP meetings. Track and incentivise quality of learning contributions alongside formal indicators.</w:t>
            </w:r>
          </w:p>
        </w:tc>
        <w:tc>
          <w:tcPr>
            <w:tcW w:w="1134" w:type="dxa"/>
          </w:tcPr>
          <w:p w14:paraId="089A65AB" w14:textId="41ABA41F" w:rsidR="008D0F09" w:rsidRPr="00BE144E" w:rsidRDefault="00024A1F">
            <w:pPr>
              <w:rPr>
                <w:bCs/>
              </w:rPr>
            </w:pPr>
            <w:r>
              <w:rPr>
                <w:bCs/>
              </w:rPr>
              <w:t xml:space="preserve">Accept </w:t>
            </w:r>
          </w:p>
        </w:tc>
        <w:tc>
          <w:tcPr>
            <w:tcW w:w="3936" w:type="dxa"/>
          </w:tcPr>
          <w:p w14:paraId="263B1861" w14:textId="7AA32821" w:rsidR="008D0F09" w:rsidRPr="00BE144E" w:rsidRDefault="00024A1F">
            <w:pPr>
              <w:rPr>
                <w:bCs/>
              </w:rPr>
            </w:pPr>
            <w:r>
              <w:t xml:space="preserve">This recommendation will be shared with </w:t>
            </w:r>
            <w:r w:rsidR="00EF4193">
              <w:t xml:space="preserve">the </w:t>
            </w:r>
            <w:r w:rsidR="00156401">
              <w:t xml:space="preserve">delivery partner </w:t>
            </w:r>
            <w:r w:rsidR="00560847">
              <w:t xml:space="preserve">and </w:t>
            </w:r>
            <w:r w:rsidR="00EF4193">
              <w:t xml:space="preserve">integrated </w:t>
            </w:r>
            <w:r w:rsidR="00560847">
              <w:t>in</w:t>
            </w:r>
            <w:r w:rsidR="00EF4193">
              <w:t>to</w:t>
            </w:r>
            <w:r w:rsidR="00560847">
              <w:t xml:space="preserve"> future MEL plans.</w:t>
            </w:r>
            <w:r w:rsidR="00560847">
              <w:rPr>
                <w:bCs/>
              </w:rPr>
              <w:t xml:space="preserve"> </w:t>
            </w:r>
          </w:p>
        </w:tc>
      </w:tr>
    </w:tbl>
    <w:p w14:paraId="0FC8533E" w14:textId="77777777" w:rsidR="008D0F09" w:rsidRDefault="008D0F09"/>
    <w:sectPr w:rsidR="008D0F09" w:rsidSect="00BE144E">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620C" w14:textId="77777777" w:rsidR="005A4003" w:rsidRDefault="005A4003" w:rsidP="009E4D9E">
      <w:pPr>
        <w:spacing w:after="0" w:line="240" w:lineRule="auto"/>
      </w:pPr>
      <w:r>
        <w:separator/>
      </w:r>
    </w:p>
  </w:endnote>
  <w:endnote w:type="continuationSeparator" w:id="0">
    <w:p w14:paraId="5C7402D1" w14:textId="77777777" w:rsidR="005A4003" w:rsidRDefault="005A4003" w:rsidP="009E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02D2" w14:textId="59D15D03" w:rsidR="000221F0" w:rsidRDefault="000221F0">
    <w:pPr>
      <w:pStyle w:val="Footer"/>
    </w:pPr>
    <w:r>
      <w:rPr>
        <w:noProof/>
      </w:rPr>
      <mc:AlternateContent>
        <mc:Choice Requires="wps">
          <w:drawing>
            <wp:anchor distT="0" distB="0" distL="0" distR="0" simplePos="0" relativeHeight="251658244" behindDoc="0" locked="0" layoutInCell="1" allowOverlap="1" wp14:anchorId="4FEA2D61" wp14:editId="6B8F1416">
              <wp:simplePos x="635" y="635"/>
              <wp:positionH relativeFrom="page">
                <wp:align>center</wp:align>
              </wp:positionH>
              <wp:positionV relativeFrom="page">
                <wp:align>bottom</wp:align>
              </wp:positionV>
              <wp:extent cx="459740" cy="370205"/>
              <wp:effectExtent l="0" t="0" r="16510" b="0"/>
              <wp:wrapNone/>
              <wp:docPr id="11327119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0A59A8B8" w14:textId="2CAA4A80"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FEA2D61" id="_x0000_t202" coordsize="21600,21600" o:spt="202" path="m,l,21600r21600,l21600,xe">
              <v:stroke joinstyle="miter"/>
              <v:path gradientshapeok="t" o:connecttype="rect"/>
            </v:shapetype>
            <v:shape id="Text Box 5" o:spid="_x0000_s1028" type="#_x0000_t202" alt="OFFICIAL" style="position:absolute;margin-left:0;margin-top:0;width:36.2pt;height:29.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textbox style="mso-fit-shape-to-text:t" inset="0,0,0,15pt">
                <w:txbxContent>
                  <w:p w14:paraId="0A59A8B8" w14:textId="2CAA4A80"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187A" w14:textId="5991204C" w:rsidR="000221F0" w:rsidRDefault="000221F0">
    <w:pPr>
      <w:pStyle w:val="Footer"/>
    </w:pPr>
    <w:r>
      <w:rPr>
        <w:noProof/>
      </w:rPr>
      <mc:AlternateContent>
        <mc:Choice Requires="wps">
          <w:drawing>
            <wp:anchor distT="0" distB="0" distL="0" distR="0" simplePos="0" relativeHeight="251658245" behindDoc="0" locked="0" layoutInCell="1" allowOverlap="1" wp14:anchorId="2F90DBA7" wp14:editId="65B9EFDB">
              <wp:simplePos x="914400" y="6923314"/>
              <wp:positionH relativeFrom="page">
                <wp:align>center</wp:align>
              </wp:positionH>
              <wp:positionV relativeFrom="page">
                <wp:align>bottom</wp:align>
              </wp:positionV>
              <wp:extent cx="459740" cy="370205"/>
              <wp:effectExtent l="0" t="0" r="16510" b="0"/>
              <wp:wrapNone/>
              <wp:docPr id="5178283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0BA4E1FC" w14:textId="4F7E2DBA"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F90DBA7" id="_x0000_t202" coordsize="21600,21600" o:spt="202" path="m,l,21600r21600,l21600,xe">
              <v:stroke joinstyle="miter"/>
              <v:path gradientshapeok="t" o:connecttype="rect"/>
            </v:shapetype>
            <v:shape id="Text Box 6" o:spid="_x0000_s1029" type="#_x0000_t202" alt="OFFICIAL" style="position:absolute;margin-left:0;margin-top:0;width:36.2pt;height:29.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H2DQ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" filled="f" stroked="f">
              <v:textbox style="mso-fit-shape-to-text:t" inset="0,0,0,15pt">
                <w:txbxContent>
                  <w:p w14:paraId="0BA4E1FC" w14:textId="4F7E2DBA"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ECEA" w14:textId="689B2DAE" w:rsidR="000221F0" w:rsidRDefault="000221F0">
    <w:pPr>
      <w:pStyle w:val="Footer"/>
    </w:pPr>
    <w:r>
      <w:rPr>
        <w:noProof/>
      </w:rPr>
      <mc:AlternateContent>
        <mc:Choice Requires="wps">
          <w:drawing>
            <wp:anchor distT="0" distB="0" distL="0" distR="0" simplePos="0" relativeHeight="251658243" behindDoc="0" locked="0" layoutInCell="1" allowOverlap="1" wp14:anchorId="24346573" wp14:editId="60EB40B1">
              <wp:simplePos x="635" y="635"/>
              <wp:positionH relativeFrom="page">
                <wp:align>center</wp:align>
              </wp:positionH>
              <wp:positionV relativeFrom="page">
                <wp:align>bottom</wp:align>
              </wp:positionV>
              <wp:extent cx="459740" cy="370205"/>
              <wp:effectExtent l="0" t="0" r="16510" b="0"/>
              <wp:wrapNone/>
              <wp:docPr id="5626628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EFC033F" w14:textId="0515682C"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4346573" id="_x0000_t202" coordsize="21600,21600" o:spt="202" path="m,l,21600r21600,l21600,xe">
              <v:stroke joinstyle="miter"/>
              <v:path gradientshapeok="t" o:connecttype="rect"/>
            </v:shapetype>
            <v:shape id="Text Box 4" o:spid="_x0000_s1031" type="#_x0000_t202" alt="OFFICIAL" style="position:absolute;margin-left:0;margin-top:0;width:36.2pt;height:29.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" filled="f" stroked="f">
              <v:textbox style="mso-fit-shape-to-text:t" inset="0,0,0,15pt">
                <w:txbxContent>
                  <w:p w14:paraId="5EFC033F" w14:textId="0515682C"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E2BA" w14:textId="77777777" w:rsidR="005A4003" w:rsidRDefault="005A4003" w:rsidP="009E4D9E">
      <w:pPr>
        <w:spacing w:after="0" w:line="240" w:lineRule="auto"/>
      </w:pPr>
      <w:r>
        <w:separator/>
      </w:r>
    </w:p>
  </w:footnote>
  <w:footnote w:type="continuationSeparator" w:id="0">
    <w:p w14:paraId="45D3540B" w14:textId="77777777" w:rsidR="005A4003" w:rsidRDefault="005A4003" w:rsidP="009E4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9A27" w14:textId="0B68B835" w:rsidR="000221F0" w:rsidRDefault="000221F0">
    <w:pPr>
      <w:pStyle w:val="Header"/>
    </w:pPr>
    <w:r>
      <w:rPr>
        <w:noProof/>
      </w:rPr>
      <mc:AlternateContent>
        <mc:Choice Requires="wps">
          <w:drawing>
            <wp:anchor distT="0" distB="0" distL="0" distR="0" simplePos="0" relativeHeight="251658241" behindDoc="0" locked="0" layoutInCell="1" allowOverlap="1" wp14:anchorId="4B6F8A84" wp14:editId="09B2EDD2">
              <wp:simplePos x="635" y="635"/>
              <wp:positionH relativeFrom="page">
                <wp:align>center</wp:align>
              </wp:positionH>
              <wp:positionV relativeFrom="page">
                <wp:align>top</wp:align>
              </wp:positionV>
              <wp:extent cx="459740" cy="370205"/>
              <wp:effectExtent l="0" t="0" r="16510" b="10795"/>
              <wp:wrapNone/>
              <wp:docPr id="5621791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9C7688F" w14:textId="52032C43"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B6F8A84"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" filled="f" stroked="f">
              <v:textbox style="mso-fit-shape-to-text:t" inset="0,15pt,0,0">
                <w:txbxContent>
                  <w:p w14:paraId="59C7688F" w14:textId="52032C43"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1AE5" w14:textId="10F6116C" w:rsidR="009E4D9E" w:rsidRDefault="000221F0" w:rsidP="009E4D9E">
    <w:pPr>
      <w:pStyle w:val="Header"/>
      <w:jc w:val="center"/>
    </w:pPr>
    <w:r>
      <w:rPr>
        <w:noProof/>
      </w:rPr>
      <mc:AlternateContent>
        <mc:Choice Requires="wps">
          <w:drawing>
            <wp:anchor distT="0" distB="0" distL="0" distR="0" simplePos="0" relativeHeight="251658242" behindDoc="0" locked="0" layoutInCell="1" allowOverlap="1" wp14:anchorId="4B071F5F" wp14:editId="5AA07251">
              <wp:simplePos x="914400" y="451262"/>
              <wp:positionH relativeFrom="page">
                <wp:align>center</wp:align>
              </wp:positionH>
              <wp:positionV relativeFrom="page">
                <wp:align>top</wp:align>
              </wp:positionV>
              <wp:extent cx="459740" cy="370205"/>
              <wp:effectExtent l="0" t="0" r="16510" b="10795"/>
              <wp:wrapNone/>
              <wp:docPr id="10517486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7DE634AE" w14:textId="037FF026"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B071F5F"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9.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" filled="f" stroked="f">
              <v:textbox style="mso-fit-shape-to-text:t" inset="0,15pt,0,0">
                <w:txbxContent>
                  <w:p w14:paraId="7DE634AE" w14:textId="037FF026"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v:textbox>
              <w10:wrap anchorx="page" anchory="page"/>
            </v:shape>
          </w:pict>
        </mc:Fallback>
      </mc:AlternateContent>
    </w:r>
    <w:r w:rsidR="009E4D9E">
      <w:t xml:space="preserve">Management Response &amp; Recommendations Action Plan </w:t>
    </w:r>
  </w:p>
  <w:p w14:paraId="1D641F3A" w14:textId="77777777" w:rsidR="009E4D9E" w:rsidRDefault="009E4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3565" w14:textId="73B8517B" w:rsidR="000221F0" w:rsidRDefault="000221F0">
    <w:pPr>
      <w:pStyle w:val="Header"/>
    </w:pPr>
    <w:r>
      <w:rPr>
        <w:noProof/>
      </w:rPr>
      <mc:AlternateContent>
        <mc:Choice Requires="wps">
          <w:drawing>
            <wp:anchor distT="0" distB="0" distL="0" distR="0" simplePos="0" relativeHeight="251658240" behindDoc="0" locked="0" layoutInCell="1" allowOverlap="1" wp14:anchorId="011AC2B7" wp14:editId="69563E45">
              <wp:simplePos x="635" y="635"/>
              <wp:positionH relativeFrom="page">
                <wp:align>center</wp:align>
              </wp:positionH>
              <wp:positionV relativeFrom="page">
                <wp:align>top</wp:align>
              </wp:positionV>
              <wp:extent cx="459740" cy="370205"/>
              <wp:effectExtent l="0" t="0" r="16510" b="10795"/>
              <wp:wrapNone/>
              <wp:docPr id="99563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1B31055" w14:textId="5D867853"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11AC2B7" id="_x0000_t202" coordsize="21600,21600" o:spt="202" path="m,l,21600r21600,l21600,xe">
              <v:stroke joinstyle="miter"/>
              <v:path gradientshapeok="t" o:connecttype="rect"/>
            </v:shapetype>
            <v:shape id="Text Box 1" o:spid="_x0000_s1030"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3yDQ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" filled="f" stroked="f">
              <v:textbox style="mso-fit-shape-to-text:t" inset="0,15pt,0,0">
                <w:txbxContent>
                  <w:p w14:paraId="51B31055" w14:textId="5D867853" w:rsidR="000221F0" w:rsidRPr="000221F0" w:rsidRDefault="000221F0" w:rsidP="000221F0">
                    <w:pPr>
                      <w:spacing w:after="0"/>
                      <w:rPr>
                        <w:rFonts w:ascii="Calibri" w:eastAsia="Calibri" w:hAnsi="Calibri" w:cs="Calibri"/>
                        <w:noProof/>
                        <w:color w:val="000000"/>
                        <w:sz w:val="20"/>
                        <w:szCs w:val="20"/>
                      </w:rPr>
                    </w:pPr>
                    <w:r w:rsidRPr="000221F0">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BA6"/>
    <w:multiLevelType w:val="multilevel"/>
    <w:tmpl w:val="FDA6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772AA"/>
    <w:multiLevelType w:val="multilevel"/>
    <w:tmpl w:val="7670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46FC6"/>
    <w:multiLevelType w:val="multilevel"/>
    <w:tmpl w:val="A7D0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217E3"/>
    <w:multiLevelType w:val="multilevel"/>
    <w:tmpl w:val="3798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554EC"/>
    <w:multiLevelType w:val="multilevel"/>
    <w:tmpl w:val="30C2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5068E1"/>
    <w:multiLevelType w:val="multilevel"/>
    <w:tmpl w:val="C11C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B65A8"/>
    <w:multiLevelType w:val="multilevel"/>
    <w:tmpl w:val="3A6C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759806">
    <w:abstractNumId w:val="3"/>
  </w:num>
  <w:num w:numId="2" w16cid:durableId="398669389">
    <w:abstractNumId w:val="4"/>
  </w:num>
  <w:num w:numId="3" w16cid:durableId="702167002">
    <w:abstractNumId w:val="6"/>
  </w:num>
  <w:num w:numId="4" w16cid:durableId="751970604">
    <w:abstractNumId w:val="5"/>
  </w:num>
  <w:num w:numId="5" w16cid:durableId="956638877">
    <w:abstractNumId w:val="2"/>
  </w:num>
  <w:num w:numId="6" w16cid:durableId="1758477976">
    <w:abstractNumId w:val="1"/>
  </w:num>
  <w:num w:numId="7" w16cid:durableId="201642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9E"/>
    <w:rsid w:val="00006832"/>
    <w:rsid w:val="00006C28"/>
    <w:rsid w:val="00010870"/>
    <w:rsid w:val="000221F0"/>
    <w:rsid w:val="00024A1F"/>
    <w:rsid w:val="0002788E"/>
    <w:rsid w:val="00030D09"/>
    <w:rsid w:val="000324CA"/>
    <w:rsid w:val="00036EB0"/>
    <w:rsid w:val="00040FDC"/>
    <w:rsid w:val="000543B9"/>
    <w:rsid w:val="00067C21"/>
    <w:rsid w:val="000738F3"/>
    <w:rsid w:val="00077E96"/>
    <w:rsid w:val="00080C4B"/>
    <w:rsid w:val="00084BC3"/>
    <w:rsid w:val="0009502F"/>
    <w:rsid w:val="000959B8"/>
    <w:rsid w:val="000A00B7"/>
    <w:rsid w:val="000A0D8B"/>
    <w:rsid w:val="000B2363"/>
    <w:rsid w:val="000C69EB"/>
    <w:rsid w:val="000D5B63"/>
    <w:rsid w:val="000D656D"/>
    <w:rsid w:val="000E2409"/>
    <w:rsid w:val="000E2CFD"/>
    <w:rsid w:val="000E71E8"/>
    <w:rsid w:val="000F1F50"/>
    <w:rsid w:val="000F23CF"/>
    <w:rsid w:val="000F511F"/>
    <w:rsid w:val="000F5AF0"/>
    <w:rsid w:val="000F72F7"/>
    <w:rsid w:val="00102153"/>
    <w:rsid w:val="00106024"/>
    <w:rsid w:val="00110060"/>
    <w:rsid w:val="001102E6"/>
    <w:rsid w:val="00114A1C"/>
    <w:rsid w:val="00115A02"/>
    <w:rsid w:val="001239A2"/>
    <w:rsid w:val="00124900"/>
    <w:rsid w:val="00125C35"/>
    <w:rsid w:val="00130967"/>
    <w:rsid w:val="0013456B"/>
    <w:rsid w:val="00134D48"/>
    <w:rsid w:val="00142709"/>
    <w:rsid w:val="00150ED3"/>
    <w:rsid w:val="0015255B"/>
    <w:rsid w:val="001530CC"/>
    <w:rsid w:val="00155DAE"/>
    <w:rsid w:val="00156401"/>
    <w:rsid w:val="00156EA2"/>
    <w:rsid w:val="001574BE"/>
    <w:rsid w:val="00157DE8"/>
    <w:rsid w:val="00160148"/>
    <w:rsid w:val="001734F5"/>
    <w:rsid w:val="001759E6"/>
    <w:rsid w:val="001861A1"/>
    <w:rsid w:val="00191DBA"/>
    <w:rsid w:val="00193103"/>
    <w:rsid w:val="001A039B"/>
    <w:rsid w:val="001A3530"/>
    <w:rsid w:val="001A4FBD"/>
    <w:rsid w:val="001A5C59"/>
    <w:rsid w:val="001B368B"/>
    <w:rsid w:val="001B64F0"/>
    <w:rsid w:val="001C011D"/>
    <w:rsid w:val="001C01D3"/>
    <w:rsid w:val="001C161D"/>
    <w:rsid w:val="001C4452"/>
    <w:rsid w:val="001D688C"/>
    <w:rsid w:val="001E0F9A"/>
    <w:rsid w:val="001E3DD5"/>
    <w:rsid w:val="001E6D48"/>
    <w:rsid w:val="001E77E2"/>
    <w:rsid w:val="001F3290"/>
    <w:rsid w:val="001F46DD"/>
    <w:rsid w:val="001F47D0"/>
    <w:rsid w:val="001F7424"/>
    <w:rsid w:val="0020318E"/>
    <w:rsid w:val="002150E9"/>
    <w:rsid w:val="00216089"/>
    <w:rsid w:val="002210E3"/>
    <w:rsid w:val="002221E8"/>
    <w:rsid w:val="002301D4"/>
    <w:rsid w:val="002304FE"/>
    <w:rsid w:val="00253864"/>
    <w:rsid w:val="00260F0C"/>
    <w:rsid w:val="002660F1"/>
    <w:rsid w:val="00274D04"/>
    <w:rsid w:val="00275217"/>
    <w:rsid w:val="00280192"/>
    <w:rsid w:val="00281426"/>
    <w:rsid w:val="002825A7"/>
    <w:rsid w:val="00286835"/>
    <w:rsid w:val="00293650"/>
    <w:rsid w:val="0029615B"/>
    <w:rsid w:val="00296B55"/>
    <w:rsid w:val="0029792B"/>
    <w:rsid w:val="002A347A"/>
    <w:rsid w:val="002B18FC"/>
    <w:rsid w:val="002B2208"/>
    <w:rsid w:val="002B67A7"/>
    <w:rsid w:val="002C10D7"/>
    <w:rsid w:val="002C27D7"/>
    <w:rsid w:val="002D138E"/>
    <w:rsid w:val="002D1A8A"/>
    <w:rsid w:val="002E05F1"/>
    <w:rsid w:val="002E1932"/>
    <w:rsid w:val="002E61F9"/>
    <w:rsid w:val="002F10B2"/>
    <w:rsid w:val="002F2308"/>
    <w:rsid w:val="00301C51"/>
    <w:rsid w:val="003040A1"/>
    <w:rsid w:val="003059A3"/>
    <w:rsid w:val="0030661D"/>
    <w:rsid w:val="003100C1"/>
    <w:rsid w:val="0031403B"/>
    <w:rsid w:val="00316198"/>
    <w:rsid w:val="003231B2"/>
    <w:rsid w:val="00330AB5"/>
    <w:rsid w:val="00334ABC"/>
    <w:rsid w:val="00344854"/>
    <w:rsid w:val="003461FB"/>
    <w:rsid w:val="00352C08"/>
    <w:rsid w:val="00354806"/>
    <w:rsid w:val="00356814"/>
    <w:rsid w:val="00357A4F"/>
    <w:rsid w:val="003603EC"/>
    <w:rsid w:val="00362658"/>
    <w:rsid w:val="003A2D39"/>
    <w:rsid w:val="003A6922"/>
    <w:rsid w:val="003B4C58"/>
    <w:rsid w:val="003B6129"/>
    <w:rsid w:val="003B6853"/>
    <w:rsid w:val="003B730F"/>
    <w:rsid w:val="003C19E4"/>
    <w:rsid w:val="003C62AE"/>
    <w:rsid w:val="003D3F1B"/>
    <w:rsid w:val="003D6399"/>
    <w:rsid w:val="003F343A"/>
    <w:rsid w:val="003F3D0A"/>
    <w:rsid w:val="003F4C7F"/>
    <w:rsid w:val="00401082"/>
    <w:rsid w:val="00405A89"/>
    <w:rsid w:val="004061D2"/>
    <w:rsid w:val="00407D30"/>
    <w:rsid w:val="0041124A"/>
    <w:rsid w:val="00415F95"/>
    <w:rsid w:val="00431562"/>
    <w:rsid w:val="00432F9A"/>
    <w:rsid w:val="00433EBA"/>
    <w:rsid w:val="00434F2C"/>
    <w:rsid w:val="00451155"/>
    <w:rsid w:val="00454DE6"/>
    <w:rsid w:val="0046575E"/>
    <w:rsid w:val="004702AD"/>
    <w:rsid w:val="00475917"/>
    <w:rsid w:val="00481A66"/>
    <w:rsid w:val="0048296F"/>
    <w:rsid w:val="00491F48"/>
    <w:rsid w:val="00493E1B"/>
    <w:rsid w:val="004A034A"/>
    <w:rsid w:val="004A06AB"/>
    <w:rsid w:val="004A1A09"/>
    <w:rsid w:val="004B5B43"/>
    <w:rsid w:val="004B61F7"/>
    <w:rsid w:val="004C2978"/>
    <w:rsid w:val="004C3C80"/>
    <w:rsid w:val="004C3DC6"/>
    <w:rsid w:val="004C65CF"/>
    <w:rsid w:val="004D5F55"/>
    <w:rsid w:val="004D7D4E"/>
    <w:rsid w:val="004E4470"/>
    <w:rsid w:val="004F1CF8"/>
    <w:rsid w:val="004F5E09"/>
    <w:rsid w:val="004F7CC5"/>
    <w:rsid w:val="005006DA"/>
    <w:rsid w:val="00505FDF"/>
    <w:rsid w:val="0050759E"/>
    <w:rsid w:val="00515E56"/>
    <w:rsid w:val="00516DDB"/>
    <w:rsid w:val="00523AC1"/>
    <w:rsid w:val="00533D6F"/>
    <w:rsid w:val="005347B7"/>
    <w:rsid w:val="00550BAC"/>
    <w:rsid w:val="00550FF0"/>
    <w:rsid w:val="00555E6D"/>
    <w:rsid w:val="00560847"/>
    <w:rsid w:val="00560FFE"/>
    <w:rsid w:val="00571094"/>
    <w:rsid w:val="00573D2A"/>
    <w:rsid w:val="005772E7"/>
    <w:rsid w:val="0058428E"/>
    <w:rsid w:val="005858C1"/>
    <w:rsid w:val="00585A09"/>
    <w:rsid w:val="00586E14"/>
    <w:rsid w:val="00597A3E"/>
    <w:rsid w:val="005A4003"/>
    <w:rsid w:val="005A5953"/>
    <w:rsid w:val="005A5971"/>
    <w:rsid w:val="005B27FE"/>
    <w:rsid w:val="005B3FBA"/>
    <w:rsid w:val="005D5A1A"/>
    <w:rsid w:val="005E0939"/>
    <w:rsid w:val="005E38B7"/>
    <w:rsid w:val="005E5534"/>
    <w:rsid w:val="005F05A1"/>
    <w:rsid w:val="005F19F3"/>
    <w:rsid w:val="005F373F"/>
    <w:rsid w:val="005F4680"/>
    <w:rsid w:val="005F50A7"/>
    <w:rsid w:val="0061063D"/>
    <w:rsid w:val="00612AD9"/>
    <w:rsid w:val="00614366"/>
    <w:rsid w:val="0061520B"/>
    <w:rsid w:val="00616524"/>
    <w:rsid w:val="00617FBF"/>
    <w:rsid w:val="00626844"/>
    <w:rsid w:val="00630612"/>
    <w:rsid w:val="00636470"/>
    <w:rsid w:val="00660C68"/>
    <w:rsid w:val="00662178"/>
    <w:rsid w:val="00662FD9"/>
    <w:rsid w:val="00667357"/>
    <w:rsid w:val="00671AB2"/>
    <w:rsid w:val="006762DD"/>
    <w:rsid w:val="006867D3"/>
    <w:rsid w:val="0068727E"/>
    <w:rsid w:val="00696808"/>
    <w:rsid w:val="006A70A4"/>
    <w:rsid w:val="006B11F5"/>
    <w:rsid w:val="006B2B82"/>
    <w:rsid w:val="006C0122"/>
    <w:rsid w:val="006C2C44"/>
    <w:rsid w:val="006D18A8"/>
    <w:rsid w:val="006E5EC3"/>
    <w:rsid w:val="006F1FEF"/>
    <w:rsid w:val="007215BC"/>
    <w:rsid w:val="00721E6A"/>
    <w:rsid w:val="00721EB8"/>
    <w:rsid w:val="00724E43"/>
    <w:rsid w:val="007327D5"/>
    <w:rsid w:val="0073729C"/>
    <w:rsid w:val="0074040C"/>
    <w:rsid w:val="007437C9"/>
    <w:rsid w:val="007577A7"/>
    <w:rsid w:val="00765265"/>
    <w:rsid w:val="0077451B"/>
    <w:rsid w:val="00790EC5"/>
    <w:rsid w:val="00791C70"/>
    <w:rsid w:val="0079265B"/>
    <w:rsid w:val="00792F2B"/>
    <w:rsid w:val="00793413"/>
    <w:rsid w:val="00796E11"/>
    <w:rsid w:val="007A384A"/>
    <w:rsid w:val="007A3FFF"/>
    <w:rsid w:val="007A52C2"/>
    <w:rsid w:val="007A67F5"/>
    <w:rsid w:val="007B419C"/>
    <w:rsid w:val="007C3568"/>
    <w:rsid w:val="007C49B3"/>
    <w:rsid w:val="007D3060"/>
    <w:rsid w:val="007D5E89"/>
    <w:rsid w:val="007D7C7B"/>
    <w:rsid w:val="007E0815"/>
    <w:rsid w:val="007E7025"/>
    <w:rsid w:val="008049C5"/>
    <w:rsid w:val="00807892"/>
    <w:rsid w:val="008124E2"/>
    <w:rsid w:val="00816A4B"/>
    <w:rsid w:val="00816CCF"/>
    <w:rsid w:val="00822E86"/>
    <w:rsid w:val="0083299C"/>
    <w:rsid w:val="0083529B"/>
    <w:rsid w:val="00835B61"/>
    <w:rsid w:val="00841822"/>
    <w:rsid w:val="00842D53"/>
    <w:rsid w:val="0084314B"/>
    <w:rsid w:val="00843AB4"/>
    <w:rsid w:val="0084548B"/>
    <w:rsid w:val="008516CD"/>
    <w:rsid w:val="0088423D"/>
    <w:rsid w:val="008A5C7B"/>
    <w:rsid w:val="008A7902"/>
    <w:rsid w:val="008B14DB"/>
    <w:rsid w:val="008B5480"/>
    <w:rsid w:val="008D0F09"/>
    <w:rsid w:val="008D7C55"/>
    <w:rsid w:val="008E1095"/>
    <w:rsid w:val="008E45FC"/>
    <w:rsid w:val="008F3FD0"/>
    <w:rsid w:val="009031D4"/>
    <w:rsid w:val="00904AAC"/>
    <w:rsid w:val="0090528B"/>
    <w:rsid w:val="009119DF"/>
    <w:rsid w:val="00912450"/>
    <w:rsid w:val="00917CB5"/>
    <w:rsid w:val="00927C52"/>
    <w:rsid w:val="009342A0"/>
    <w:rsid w:val="00934CD1"/>
    <w:rsid w:val="0093568D"/>
    <w:rsid w:val="0093685B"/>
    <w:rsid w:val="0094307D"/>
    <w:rsid w:val="00945124"/>
    <w:rsid w:val="00946B7A"/>
    <w:rsid w:val="00947940"/>
    <w:rsid w:val="00975FBC"/>
    <w:rsid w:val="009803DB"/>
    <w:rsid w:val="0098425D"/>
    <w:rsid w:val="00987227"/>
    <w:rsid w:val="00993C01"/>
    <w:rsid w:val="0099581E"/>
    <w:rsid w:val="009A136C"/>
    <w:rsid w:val="009A5B92"/>
    <w:rsid w:val="009B53CC"/>
    <w:rsid w:val="009B5A23"/>
    <w:rsid w:val="009C2004"/>
    <w:rsid w:val="009C3FAD"/>
    <w:rsid w:val="009D621E"/>
    <w:rsid w:val="009E2C73"/>
    <w:rsid w:val="009E4D9E"/>
    <w:rsid w:val="009F596B"/>
    <w:rsid w:val="009F657C"/>
    <w:rsid w:val="009F6BF5"/>
    <w:rsid w:val="00A034A6"/>
    <w:rsid w:val="00A06CE7"/>
    <w:rsid w:val="00A10597"/>
    <w:rsid w:val="00A201B2"/>
    <w:rsid w:val="00A207B6"/>
    <w:rsid w:val="00A251F6"/>
    <w:rsid w:val="00A26563"/>
    <w:rsid w:val="00A3082F"/>
    <w:rsid w:val="00A31ED5"/>
    <w:rsid w:val="00A34592"/>
    <w:rsid w:val="00A40210"/>
    <w:rsid w:val="00A45228"/>
    <w:rsid w:val="00A45C94"/>
    <w:rsid w:val="00A503C5"/>
    <w:rsid w:val="00A533D2"/>
    <w:rsid w:val="00A5489A"/>
    <w:rsid w:val="00A56F30"/>
    <w:rsid w:val="00A63066"/>
    <w:rsid w:val="00A64479"/>
    <w:rsid w:val="00A65B64"/>
    <w:rsid w:val="00A7282A"/>
    <w:rsid w:val="00A7388F"/>
    <w:rsid w:val="00A80A1B"/>
    <w:rsid w:val="00A8179F"/>
    <w:rsid w:val="00A869E8"/>
    <w:rsid w:val="00A8724A"/>
    <w:rsid w:val="00A925AB"/>
    <w:rsid w:val="00A9650A"/>
    <w:rsid w:val="00AB057B"/>
    <w:rsid w:val="00AC1576"/>
    <w:rsid w:val="00AC27DF"/>
    <w:rsid w:val="00AC2AAD"/>
    <w:rsid w:val="00AE163D"/>
    <w:rsid w:val="00AE1C94"/>
    <w:rsid w:val="00AE37AC"/>
    <w:rsid w:val="00AF1F0A"/>
    <w:rsid w:val="00AF3450"/>
    <w:rsid w:val="00AF48F8"/>
    <w:rsid w:val="00AF7AFF"/>
    <w:rsid w:val="00B065DA"/>
    <w:rsid w:val="00B162C4"/>
    <w:rsid w:val="00B174B9"/>
    <w:rsid w:val="00B23D2C"/>
    <w:rsid w:val="00B2482A"/>
    <w:rsid w:val="00B3009D"/>
    <w:rsid w:val="00B30E20"/>
    <w:rsid w:val="00B37DBD"/>
    <w:rsid w:val="00B42566"/>
    <w:rsid w:val="00B44A9B"/>
    <w:rsid w:val="00B46A81"/>
    <w:rsid w:val="00B52724"/>
    <w:rsid w:val="00B60934"/>
    <w:rsid w:val="00B626F0"/>
    <w:rsid w:val="00B67AF3"/>
    <w:rsid w:val="00B74D82"/>
    <w:rsid w:val="00B81D81"/>
    <w:rsid w:val="00B82C60"/>
    <w:rsid w:val="00B844C4"/>
    <w:rsid w:val="00B9234E"/>
    <w:rsid w:val="00B936E0"/>
    <w:rsid w:val="00B970CE"/>
    <w:rsid w:val="00BA7A73"/>
    <w:rsid w:val="00BA7A96"/>
    <w:rsid w:val="00BB31BB"/>
    <w:rsid w:val="00BB331E"/>
    <w:rsid w:val="00BB64F2"/>
    <w:rsid w:val="00BB7276"/>
    <w:rsid w:val="00BD1C5D"/>
    <w:rsid w:val="00BD3AA0"/>
    <w:rsid w:val="00BD76F0"/>
    <w:rsid w:val="00BE144E"/>
    <w:rsid w:val="00BF43D7"/>
    <w:rsid w:val="00BF592D"/>
    <w:rsid w:val="00C0517E"/>
    <w:rsid w:val="00C1166D"/>
    <w:rsid w:val="00C21E7A"/>
    <w:rsid w:val="00C26E4B"/>
    <w:rsid w:val="00C42D3D"/>
    <w:rsid w:val="00C46FF0"/>
    <w:rsid w:val="00C515A8"/>
    <w:rsid w:val="00C56381"/>
    <w:rsid w:val="00C621FF"/>
    <w:rsid w:val="00C665EF"/>
    <w:rsid w:val="00C67D13"/>
    <w:rsid w:val="00C733CC"/>
    <w:rsid w:val="00C742EF"/>
    <w:rsid w:val="00C75864"/>
    <w:rsid w:val="00C85514"/>
    <w:rsid w:val="00CA2323"/>
    <w:rsid w:val="00CA2A86"/>
    <w:rsid w:val="00CA69E3"/>
    <w:rsid w:val="00CB15D1"/>
    <w:rsid w:val="00CB43A6"/>
    <w:rsid w:val="00CB584E"/>
    <w:rsid w:val="00CB73DE"/>
    <w:rsid w:val="00CB7DCC"/>
    <w:rsid w:val="00CC51D1"/>
    <w:rsid w:val="00CC72D4"/>
    <w:rsid w:val="00CD20A1"/>
    <w:rsid w:val="00CD4931"/>
    <w:rsid w:val="00CD7D8B"/>
    <w:rsid w:val="00CE7DA3"/>
    <w:rsid w:val="00CF05DB"/>
    <w:rsid w:val="00CF1255"/>
    <w:rsid w:val="00CF1A43"/>
    <w:rsid w:val="00CF7750"/>
    <w:rsid w:val="00D07985"/>
    <w:rsid w:val="00D14CDB"/>
    <w:rsid w:val="00D2253E"/>
    <w:rsid w:val="00D458D2"/>
    <w:rsid w:val="00D50FC8"/>
    <w:rsid w:val="00D51C10"/>
    <w:rsid w:val="00D604FB"/>
    <w:rsid w:val="00D8032F"/>
    <w:rsid w:val="00D82BF1"/>
    <w:rsid w:val="00D90C6F"/>
    <w:rsid w:val="00D976F2"/>
    <w:rsid w:val="00DA1777"/>
    <w:rsid w:val="00DA3627"/>
    <w:rsid w:val="00DA3CBF"/>
    <w:rsid w:val="00DA3D01"/>
    <w:rsid w:val="00DA66E3"/>
    <w:rsid w:val="00DA7F74"/>
    <w:rsid w:val="00DB34DC"/>
    <w:rsid w:val="00DC0EC5"/>
    <w:rsid w:val="00DC5FFA"/>
    <w:rsid w:val="00DC648B"/>
    <w:rsid w:val="00DC6A00"/>
    <w:rsid w:val="00DD273E"/>
    <w:rsid w:val="00DD7507"/>
    <w:rsid w:val="00DE7B0F"/>
    <w:rsid w:val="00DF0A53"/>
    <w:rsid w:val="00DF6DA0"/>
    <w:rsid w:val="00E01663"/>
    <w:rsid w:val="00E0492F"/>
    <w:rsid w:val="00E10054"/>
    <w:rsid w:val="00E10B44"/>
    <w:rsid w:val="00E125E1"/>
    <w:rsid w:val="00E14763"/>
    <w:rsid w:val="00E2685A"/>
    <w:rsid w:val="00E30FF8"/>
    <w:rsid w:val="00E32417"/>
    <w:rsid w:val="00E32EE7"/>
    <w:rsid w:val="00E34F86"/>
    <w:rsid w:val="00E35E1B"/>
    <w:rsid w:val="00E44151"/>
    <w:rsid w:val="00E45925"/>
    <w:rsid w:val="00E4636F"/>
    <w:rsid w:val="00E502F6"/>
    <w:rsid w:val="00E50F51"/>
    <w:rsid w:val="00E535E0"/>
    <w:rsid w:val="00E577D4"/>
    <w:rsid w:val="00E664B1"/>
    <w:rsid w:val="00E70B8D"/>
    <w:rsid w:val="00E83CC7"/>
    <w:rsid w:val="00E87171"/>
    <w:rsid w:val="00E87FCF"/>
    <w:rsid w:val="00E9528A"/>
    <w:rsid w:val="00EA1D5E"/>
    <w:rsid w:val="00EA348E"/>
    <w:rsid w:val="00EB6712"/>
    <w:rsid w:val="00EB79C8"/>
    <w:rsid w:val="00EB7FAF"/>
    <w:rsid w:val="00EC0973"/>
    <w:rsid w:val="00EC3F9E"/>
    <w:rsid w:val="00EC48D0"/>
    <w:rsid w:val="00EC709B"/>
    <w:rsid w:val="00ED47F8"/>
    <w:rsid w:val="00EE4FCB"/>
    <w:rsid w:val="00EE7D41"/>
    <w:rsid w:val="00EF0E01"/>
    <w:rsid w:val="00EF4193"/>
    <w:rsid w:val="00F00E57"/>
    <w:rsid w:val="00F032FB"/>
    <w:rsid w:val="00F062C4"/>
    <w:rsid w:val="00F06E47"/>
    <w:rsid w:val="00F22BDB"/>
    <w:rsid w:val="00F25101"/>
    <w:rsid w:val="00F30A6C"/>
    <w:rsid w:val="00F3221B"/>
    <w:rsid w:val="00F33DD5"/>
    <w:rsid w:val="00F406F3"/>
    <w:rsid w:val="00F43EAA"/>
    <w:rsid w:val="00F46D9D"/>
    <w:rsid w:val="00F46ECD"/>
    <w:rsid w:val="00F5166D"/>
    <w:rsid w:val="00F57865"/>
    <w:rsid w:val="00F57B53"/>
    <w:rsid w:val="00F66FAD"/>
    <w:rsid w:val="00F730F8"/>
    <w:rsid w:val="00F760F5"/>
    <w:rsid w:val="00F9061F"/>
    <w:rsid w:val="00FA0744"/>
    <w:rsid w:val="00FA140C"/>
    <w:rsid w:val="00FA4733"/>
    <w:rsid w:val="00FA4E6E"/>
    <w:rsid w:val="00FA772A"/>
    <w:rsid w:val="00FA7F1C"/>
    <w:rsid w:val="00FB3999"/>
    <w:rsid w:val="00FB3C7E"/>
    <w:rsid w:val="00FB6659"/>
    <w:rsid w:val="00FC3DB0"/>
    <w:rsid w:val="00FC6B45"/>
    <w:rsid w:val="00FD129B"/>
    <w:rsid w:val="00FD2928"/>
    <w:rsid w:val="00FD71FB"/>
    <w:rsid w:val="00FE18A6"/>
    <w:rsid w:val="00FE29BA"/>
    <w:rsid w:val="00FE3E5E"/>
    <w:rsid w:val="00FE3F38"/>
    <w:rsid w:val="00FF19B2"/>
    <w:rsid w:val="00FF2DA1"/>
    <w:rsid w:val="00FF67EE"/>
    <w:rsid w:val="62EB37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8F25"/>
  <w15:chartTrackingRefBased/>
  <w15:docId w15:val="{2C48A2D6-806D-4B56-BF65-78BDD6A3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4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4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D9E"/>
    <w:rPr>
      <w:rFonts w:eastAsiaTheme="majorEastAsia" w:cstheme="majorBidi"/>
      <w:color w:val="272727" w:themeColor="text1" w:themeTint="D8"/>
    </w:rPr>
  </w:style>
  <w:style w:type="paragraph" w:styleId="Title">
    <w:name w:val="Title"/>
    <w:basedOn w:val="Normal"/>
    <w:next w:val="Normal"/>
    <w:link w:val="TitleChar"/>
    <w:uiPriority w:val="10"/>
    <w:qFormat/>
    <w:rsid w:val="009E4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D9E"/>
    <w:pPr>
      <w:spacing w:before="160"/>
      <w:jc w:val="center"/>
    </w:pPr>
    <w:rPr>
      <w:i/>
      <w:iCs/>
      <w:color w:val="404040" w:themeColor="text1" w:themeTint="BF"/>
    </w:rPr>
  </w:style>
  <w:style w:type="character" w:customStyle="1" w:styleId="QuoteChar">
    <w:name w:val="Quote Char"/>
    <w:basedOn w:val="DefaultParagraphFont"/>
    <w:link w:val="Quote"/>
    <w:uiPriority w:val="29"/>
    <w:rsid w:val="009E4D9E"/>
    <w:rPr>
      <w:i/>
      <w:iCs/>
      <w:color w:val="404040" w:themeColor="text1" w:themeTint="BF"/>
    </w:rPr>
  </w:style>
  <w:style w:type="paragraph" w:styleId="ListParagraph">
    <w:name w:val="List Paragraph"/>
    <w:basedOn w:val="Normal"/>
    <w:uiPriority w:val="34"/>
    <w:qFormat/>
    <w:rsid w:val="009E4D9E"/>
    <w:pPr>
      <w:ind w:left="720"/>
      <w:contextualSpacing/>
    </w:pPr>
  </w:style>
  <w:style w:type="character" w:styleId="IntenseEmphasis">
    <w:name w:val="Intense Emphasis"/>
    <w:basedOn w:val="DefaultParagraphFont"/>
    <w:uiPriority w:val="21"/>
    <w:qFormat/>
    <w:rsid w:val="009E4D9E"/>
    <w:rPr>
      <w:i/>
      <w:iCs/>
      <w:color w:val="0F4761" w:themeColor="accent1" w:themeShade="BF"/>
    </w:rPr>
  </w:style>
  <w:style w:type="paragraph" w:styleId="IntenseQuote">
    <w:name w:val="Intense Quote"/>
    <w:basedOn w:val="Normal"/>
    <w:next w:val="Normal"/>
    <w:link w:val="IntenseQuoteChar"/>
    <w:uiPriority w:val="30"/>
    <w:qFormat/>
    <w:rsid w:val="009E4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D9E"/>
    <w:rPr>
      <w:i/>
      <w:iCs/>
      <w:color w:val="0F4761" w:themeColor="accent1" w:themeShade="BF"/>
    </w:rPr>
  </w:style>
  <w:style w:type="character" w:styleId="IntenseReference">
    <w:name w:val="Intense Reference"/>
    <w:basedOn w:val="DefaultParagraphFont"/>
    <w:uiPriority w:val="32"/>
    <w:qFormat/>
    <w:rsid w:val="009E4D9E"/>
    <w:rPr>
      <w:b/>
      <w:bCs/>
      <w:smallCaps/>
      <w:color w:val="0F4761" w:themeColor="accent1" w:themeShade="BF"/>
      <w:spacing w:val="5"/>
    </w:rPr>
  </w:style>
  <w:style w:type="paragraph" w:styleId="Header">
    <w:name w:val="header"/>
    <w:basedOn w:val="Normal"/>
    <w:link w:val="HeaderChar"/>
    <w:unhideWhenUsed/>
    <w:rsid w:val="009E4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D9E"/>
  </w:style>
  <w:style w:type="paragraph" w:styleId="Footer">
    <w:name w:val="footer"/>
    <w:basedOn w:val="Normal"/>
    <w:link w:val="FooterChar"/>
    <w:uiPriority w:val="99"/>
    <w:unhideWhenUsed/>
    <w:rsid w:val="009E4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D9E"/>
  </w:style>
  <w:style w:type="table" w:styleId="TableGrid">
    <w:name w:val="Table Grid"/>
    <w:basedOn w:val="TableNormal"/>
    <w:uiPriority w:val="39"/>
    <w:rsid w:val="00BE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0148"/>
    <w:rPr>
      <w:sz w:val="16"/>
      <w:szCs w:val="16"/>
    </w:rPr>
  </w:style>
  <w:style w:type="paragraph" w:styleId="CommentText">
    <w:name w:val="annotation text"/>
    <w:basedOn w:val="Normal"/>
    <w:link w:val="CommentTextChar"/>
    <w:uiPriority w:val="99"/>
    <w:unhideWhenUsed/>
    <w:rsid w:val="00160148"/>
    <w:pPr>
      <w:spacing w:line="240" w:lineRule="auto"/>
    </w:pPr>
    <w:rPr>
      <w:sz w:val="20"/>
      <w:szCs w:val="20"/>
    </w:rPr>
  </w:style>
  <w:style w:type="character" w:customStyle="1" w:styleId="CommentTextChar">
    <w:name w:val="Comment Text Char"/>
    <w:basedOn w:val="DefaultParagraphFont"/>
    <w:link w:val="CommentText"/>
    <w:uiPriority w:val="99"/>
    <w:rsid w:val="00160148"/>
    <w:rPr>
      <w:sz w:val="20"/>
      <w:szCs w:val="20"/>
    </w:rPr>
  </w:style>
  <w:style w:type="paragraph" w:styleId="CommentSubject">
    <w:name w:val="annotation subject"/>
    <w:basedOn w:val="CommentText"/>
    <w:next w:val="CommentText"/>
    <w:link w:val="CommentSubjectChar"/>
    <w:uiPriority w:val="99"/>
    <w:semiHidden/>
    <w:unhideWhenUsed/>
    <w:rsid w:val="00160148"/>
    <w:rPr>
      <w:b/>
      <w:bCs/>
    </w:rPr>
  </w:style>
  <w:style w:type="character" w:customStyle="1" w:styleId="CommentSubjectChar">
    <w:name w:val="Comment Subject Char"/>
    <w:basedOn w:val="CommentTextChar"/>
    <w:link w:val="CommentSubject"/>
    <w:uiPriority w:val="99"/>
    <w:semiHidden/>
    <w:rsid w:val="00160148"/>
    <w:rPr>
      <w:b/>
      <w:bCs/>
      <w:sz w:val="20"/>
      <w:szCs w:val="20"/>
    </w:rPr>
  </w:style>
  <w:style w:type="paragraph" w:styleId="Revision">
    <w:name w:val="Revision"/>
    <w:hidden/>
    <w:uiPriority w:val="99"/>
    <w:semiHidden/>
    <w:rsid w:val="00BF43D7"/>
    <w:pPr>
      <w:spacing w:after="0" w:line="240" w:lineRule="auto"/>
    </w:pPr>
  </w:style>
  <w:style w:type="character" w:styleId="Mention">
    <w:name w:val="Mention"/>
    <w:basedOn w:val="DefaultParagraphFont"/>
    <w:uiPriority w:val="99"/>
    <w:unhideWhenUsed/>
    <w:rsid w:val="003626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86BC38FBA6AE64EBB94A713A201E924" ma:contentTypeVersion="20" ma:contentTypeDescription="Create a new document." ma:contentTypeScope="" ma:versionID="2817b948c73515af29ee4a10379e8f93">
  <xsd:schema xmlns:xsd="http://www.w3.org/2001/XMLSchema" xmlns:xs="http://www.w3.org/2001/XMLSchema" xmlns:p="http://schemas.microsoft.com/office/2006/metadata/properties" xmlns:ns1="http://schemas.microsoft.com/sharepoint/v3" xmlns:ns2="92ad9e33-5271-4ce6-bdd9-333434fbc601" xmlns:ns3="0063f72e-ace3-48fb-9c1f-5b513408b31f" xmlns:ns4="b413c3fd-5a3b-4239-b985-69032e371c04" xmlns:ns5="a8f60570-4bd3-4f2b-950b-a996de8ab151" xmlns:ns6="aaacb922-5235-4a66-b188-303b9b46fbd7" xmlns:ns7="c428dd7c-603b-4269-bcac-7b8676926974" targetNamespace="http://schemas.microsoft.com/office/2006/metadata/properties" ma:root="true" ma:fieldsID="809daeac288255535ae8f0686bc760d9" ns1:_="" ns2:_="" ns3:_="" ns4:_="" ns5:_="" ns6:_="" ns7:_="">
    <xsd:import namespace="http://schemas.microsoft.com/sharepoint/v3"/>
    <xsd:import namespace="92ad9e33-5271-4ce6-bdd9-333434fbc601"/>
    <xsd:import namespace="0063f72e-ace3-48fb-9c1f-5b513408b31f"/>
    <xsd:import namespace="b413c3fd-5a3b-4239-b985-69032e371c04"/>
    <xsd:import namespace="a8f60570-4bd3-4f2b-950b-a996de8ab151"/>
    <xsd:import namespace="aaacb922-5235-4a66-b188-303b9b46fbd7"/>
    <xsd:import namespace="c428dd7c-603b-4269-bcac-7b867692697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2:SharedWithUsers" minOccurs="0"/>
                <xsd:element ref="ns2:SharedWithDetails" minOccurs="0"/>
                <xsd:element ref="ns7:MediaLengthInSeconds" minOccurs="0"/>
                <xsd:element ref="ns7:MediaServiceObjectDetectorVersions" minOccurs="0"/>
                <xsd:element ref="ns7:overview" minOccurs="0"/>
                <xsd:element ref="ns7:lcf76f155ced4ddcb4097134ff3c332f"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d9e33-5271-4ce6-bdd9-333434fbc6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nternational Climate Finance|25a07eec-082c-4868-be05-2bef48a6767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36d9e3-02d7-4447-9a9a-9d02553843e1}" ma:internalName="TaxCatchAll" ma:showField="CatchAllData"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36d9e3-02d7-4447-9a9a-9d02553843e1}" ma:internalName="TaxCatchAllLabel" ma:readOnly="true" ma:showField="CatchAllDataLabel"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dd7c-603b-4269-bcac-7b867692697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overview" ma:index="36" nillable="true" ma:displayName="overview" ma:format="Dropdown" ma:internalName="overview">
      <xsd:simpleType>
        <xsd:restriction base="dms:Note">
          <xsd:maxLength value="255"/>
        </xsd:restrictio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ip_UnifiedCompliancePolicyUIAction xmlns="http://schemas.microsoft.com/sharepoint/v3" xsi:nil="true"/>
    <_ip_UnifiedCompliancePolicyProperties xmlns="http://schemas.microsoft.com/sharepoint/v3" xsi:nil="true"/>
    <lcf76f155ced4ddcb4097134ff3c332f xmlns="c428dd7c-603b-4269-bcac-7b8676926974">
      <Terms xmlns="http://schemas.microsoft.com/office/infopath/2007/PartnerControls"/>
    </lcf76f155ced4ddcb4097134ff3c332f>
    <TaxCatchAll xmlns="92ad9e33-5271-4ce6-bdd9-333434fbc601">
      <Value>1</Value>
    </TaxCatchAll>
    <_dlc_DocId xmlns="92ad9e33-5271-4ce6-bdd9-333434fbc601">FQW7PQWC2EQU-2126234253-39502</_dlc_DocId>
    <_dlc_DocIdUrl xmlns="92ad9e33-5271-4ce6-bdd9-333434fbc601">
      <Url>https://beisgov.sharepoint.com/sites/ICF/_layouts/15/DocIdRedir.aspx?ID=FQW7PQWC2EQU-2126234253-39502</Url>
      <Description>FQW7PQWC2EQU-2126234253-39502</Description>
    </_dlc_DocIdUrl>
    <Government_x0020_Body xmlns="b413c3fd-5a3b-4239-b985-69032e371c04">BEIS</Government_x0020_Body>
    <Date_x0020_Opened xmlns="b413c3fd-5a3b-4239-b985-69032e371c04">2026-07-03T09:34:00+00:00</Date_x0020_Opened>
    <Descriptor xmlns="0063f72e-ace3-48fb-9c1f-5b513408b31f" xsi:nil="true"/>
    <m975189f4ba442ecbf67d4147307b177 xmlns="92ad9e33-5271-4ce6-bdd9-333434fbc601">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overview xmlns="c428dd7c-603b-4269-bcac-7b8676926974" xsi:nil="true"/>
    <Security_x0020_Classification xmlns="0063f72e-ace3-48fb-9c1f-5b513408b31f">OFFICIAL</Security_x0020_Classification>
    <Retention_x0020_Label xmlns="a8f60570-4bd3-4f2b-950b-a996de8ab151" xsi:nil="true"/>
    <Date_x0020_Closed xmlns="b413c3fd-5a3b-4239-b985-69032e371c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C9E09-A769-4BBE-AF25-B91A15B062F8}">
  <ds:schemaRefs>
    <ds:schemaRef ds:uri="http://schemas.microsoft.com/sharepoint/events"/>
  </ds:schemaRefs>
</ds:datastoreItem>
</file>

<file path=customXml/itemProps2.xml><?xml version="1.0" encoding="utf-8"?>
<ds:datastoreItem xmlns:ds="http://schemas.openxmlformats.org/officeDocument/2006/customXml" ds:itemID="{66375C58-C559-42AB-AA66-74B393D4C35C}"/>
</file>

<file path=customXml/itemProps3.xml><?xml version="1.0" encoding="utf-8"?>
<ds:datastoreItem xmlns:ds="http://schemas.openxmlformats.org/officeDocument/2006/customXml" ds:itemID="{4BE563F7-0E94-41E5-9DF7-D4B49EED340E}">
  <ds:schemaRefs>
    <ds:schemaRef ds:uri="http://purl.org/dc/terms/"/>
    <ds:schemaRef ds:uri="http://www.w3.org/XML/1998/namespace"/>
    <ds:schemaRef ds:uri="http://schemas.microsoft.com/office/2006/metadata/properties"/>
    <ds:schemaRef ds:uri="aaacb922-5235-4a66-b188-303b9b46fbd7"/>
    <ds:schemaRef ds:uri="b9d65af1-18fa-4dc7-9941-b26f165da588"/>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374ed4d6-b127-4161-a8d5-91d2d6d266bd"/>
    <ds:schemaRef ds:uri="0f9fa326-da26-4ea8-b6a9-645e8136fe1d"/>
    <ds:schemaRef ds:uri="http://purl.org/dc/dcmitype/"/>
    <ds:schemaRef ds:uri="http://purl.org/dc/elements/1.1/"/>
  </ds:schemaRefs>
</ds:datastoreItem>
</file>

<file path=customXml/itemProps4.xml><?xml version="1.0" encoding="utf-8"?>
<ds:datastoreItem xmlns:ds="http://schemas.openxmlformats.org/officeDocument/2006/customXml" ds:itemID="{8CEB2074-87AD-402E-84F5-B49B525DFD57}">
  <ds:schemaRefs>
    <ds:schemaRef ds:uri="http://schemas.microsoft.com/sharepoint/v3/contenttype/forms"/>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2126</Words>
  <Characters>12763</Characters>
  <Application>Microsoft Office Word</Application>
  <DocSecurity>0</DocSecurity>
  <Lines>382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Black2, Meg (Energy Security)</dc:creator>
  <cp:keywords/>
  <dc:description/>
  <cp:lastModifiedBy>Black2, Meg (Energy Security)</cp:lastModifiedBy>
  <cp:revision>15</cp:revision>
  <dcterms:created xsi:type="dcterms:W3CDTF">2025-10-09T01:26:00Z</dcterms:created>
  <dcterms:modified xsi:type="dcterms:W3CDTF">2025-12-10T10:36:00Z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0x010100C86BC38FBA6AE64EBB94A713A201E924</vt:lpwstr>
  </property>
  <property fmtid="{D5CDD505-2E9C-101B-9397-08002B2CF9AE}" pid="3" name="ClassificationContentMarkingHeaderShapeIds">
    <vt:lpwstr>5ef388d,21822c76,3eb06912</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21898d9a,4383cfe3,1edd6f2d</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KIM_GovernmentBody">
    <vt:lpwstr>3;#BEIS|b386cac2-c28c-4db4-8fca-43733d0e74ef</vt:lpwstr>
  </property>
  <property fmtid="{D5CDD505-2E9C-101B-9397-08002B2CF9AE}" pid="10" name="KIM_Activity">
    <vt:lpwstr>2;#International climate|5a595758-250c-1237-4802-ae3329732708</vt:lpwstr>
  </property>
  <property fmtid="{D5CDD505-2E9C-101B-9397-08002B2CF9AE}" pid="11" name="KIM_Function">
    <vt:lpwstr>1;#Climate and energy|98b2efea-a649-07e6-a104-07f256801c42</vt:lpwstr>
  </property>
  <property fmtid="{D5CDD505-2E9C-101B-9397-08002B2CF9AE}" pid="12" name="MediaServiceImageTags">
    <vt:lpwstr/>
  </property>
  <property fmtid="{D5CDD505-2E9C-101B-9397-08002B2CF9AE}" pid="13" name="docLang">
    <vt:lpwstr>en</vt:lpwstr>
  </property>
  <property fmtid="{D5CDD505-2E9C-101B-9397-08002B2CF9AE}" pid="14" name="_dlc_DocIdItemGuid">
    <vt:lpwstr>5261d6cd-1593-4d81-bea6-fe5a1cbc65b2</vt:lpwstr>
  </property>
  <property fmtid="{D5CDD505-2E9C-101B-9397-08002B2CF9AE}" pid="15" name="Business Unit">
    <vt:i4>1</vt:i4>
  </property>
</Properties>
</file>