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2410"/>
        <w:gridCol w:w="3209"/>
      </w:tblGrid>
      <w:tr w:rsidR="00306B0F" w:rsidRPr="00F70DBE" w14:paraId="359F50FF" w14:textId="77777777" w:rsidTr="00D452D2">
        <w:trPr>
          <w:trHeight w:val="407"/>
        </w:trPr>
        <w:tc>
          <w:tcPr>
            <w:tcW w:w="9016" w:type="dxa"/>
            <w:gridSpan w:val="3"/>
            <w:tcBorders>
              <w:top w:val="single" w:sz="4" w:space="0" w:color="auto"/>
              <w:left w:val="single" w:sz="4" w:space="0" w:color="auto"/>
              <w:bottom w:val="dotted" w:sz="2" w:space="0" w:color="000000" w:themeColor="text1"/>
              <w:right w:val="single" w:sz="4" w:space="0" w:color="auto"/>
            </w:tcBorders>
          </w:tcPr>
          <w:p w14:paraId="05FC2836" w14:textId="77777777" w:rsidR="00306B0F" w:rsidRPr="00CC6489" w:rsidRDefault="00306B0F" w:rsidP="00D452D2">
            <w:pPr>
              <w:rPr>
                <w:b/>
                <w:sz w:val="20"/>
                <w:szCs w:val="22"/>
              </w:rPr>
            </w:pPr>
            <w:r w:rsidRPr="00CC6489">
              <w:rPr>
                <w:b/>
                <w:sz w:val="20"/>
                <w:szCs w:val="22"/>
              </w:rPr>
              <w:t xml:space="preserve">Title:  </w:t>
            </w:r>
            <w:r w:rsidRPr="009279D3">
              <w:rPr>
                <w:bCs/>
                <w:sz w:val="20"/>
                <w:szCs w:val="22"/>
              </w:rPr>
              <w:t>International Carbon Capture, Usage and Storage (CCUS) Programme</w:t>
            </w:r>
          </w:p>
        </w:tc>
      </w:tr>
      <w:tr w:rsidR="00306B0F" w:rsidRPr="00F70DBE" w14:paraId="773E3EF5" w14:textId="77777777" w:rsidTr="00D452D2">
        <w:trPr>
          <w:trHeight w:val="413"/>
        </w:trPr>
        <w:tc>
          <w:tcPr>
            <w:tcW w:w="5807"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3BF31503" w14:textId="77777777" w:rsidR="00306B0F" w:rsidRPr="00CC6489" w:rsidRDefault="00306B0F" w:rsidP="00D452D2">
            <w:pPr>
              <w:rPr>
                <w:b/>
                <w:sz w:val="20"/>
                <w:szCs w:val="22"/>
              </w:rPr>
            </w:pPr>
            <w:r w:rsidRPr="00CC6489">
              <w:rPr>
                <w:b/>
                <w:sz w:val="20"/>
                <w:szCs w:val="22"/>
              </w:rPr>
              <w:t>Programme Value:</w:t>
            </w:r>
            <w:r>
              <w:rPr>
                <w:b/>
                <w:sz w:val="20"/>
                <w:szCs w:val="22"/>
              </w:rPr>
              <w:t xml:space="preserve"> </w:t>
            </w:r>
            <w:r w:rsidRPr="00D46B2E">
              <w:rPr>
                <w:bCs/>
                <w:sz w:val="20"/>
                <w:szCs w:val="22"/>
              </w:rPr>
              <w:t>£70m</w:t>
            </w:r>
            <w:r w:rsidRPr="00CC6489">
              <w:rPr>
                <w:b/>
                <w:sz w:val="20"/>
                <w:szCs w:val="22"/>
              </w:rPr>
              <w:t xml:space="preserve"> </w:t>
            </w:r>
          </w:p>
        </w:tc>
        <w:tc>
          <w:tcPr>
            <w:tcW w:w="3209"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7779EDC7" w14:textId="77777777" w:rsidR="00306B0F" w:rsidRPr="00D46B2E" w:rsidRDefault="00306B0F" w:rsidP="00D452D2">
            <w:pPr>
              <w:rPr>
                <w:bCs/>
                <w:sz w:val="20"/>
                <w:szCs w:val="22"/>
              </w:rPr>
            </w:pPr>
            <w:r w:rsidRPr="00CC6489">
              <w:rPr>
                <w:b/>
                <w:sz w:val="20"/>
                <w:szCs w:val="22"/>
              </w:rPr>
              <w:t xml:space="preserve">Review </w:t>
            </w:r>
            <w:r>
              <w:rPr>
                <w:b/>
                <w:sz w:val="20"/>
                <w:szCs w:val="22"/>
              </w:rPr>
              <w:t xml:space="preserve">period: </w:t>
            </w:r>
            <w:r w:rsidRPr="00D46B2E">
              <w:rPr>
                <w:bCs/>
                <w:sz w:val="20"/>
                <w:szCs w:val="22"/>
              </w:rPr>
              <w:t xml:space="preserve">January to December 2020 </w:t>
            </w:r>
          </w:p>
          <w:p w14:paraId="1BA3D565" w14:textId="7AAAE188" w:rsidR="00306B0F" w:rsidRPr="00CC6489" w:rsidRDefault="00306B0F" w:rsidP="00D452D2">
            <w:pPr>
              <w:rPr>
                <w:b/>
                <w:sz w:val="20"/>
                <w:szCs w:val="22"/>
              </w:rPr>
            </w:pPr>
            <w:r>
              <w:rPr>
                <w:b/>
                <w:sz w:val="20"/>
                <w:szCs w:val="22"/>
              </w:rPr>
              <w:t>Review date:</w:t>
            </w:r>
            <w:r>
              <w:rPr>
                <w:bCs/>
                <w:sz w:val="20"/>
                <w:szCs w:val="22"/>
              </w:rPr>
              <w:t xml:space="preserve"> July </w:t>
            </w:r>
            <w:r w:rsidRPr="00D46B2E">
              <w:rPr>
                <w:bCs/>
                <w:sz w:val="20"/>
                <w:szCs w:val="22"/>
              </w:rPr>
              <w:t>2021</w:t>
            </w:r>
          </w:p>
        </w:tc>
      </w:tr>
      <w:tr w:rsidR="00306B0F" w:rsidRPr="00F70DBE" w14:paraId="58C01A3F" w14:textId="77777777" w:rsidTr="00D452D2">
        <w:trPr>
          <w:trHeight w:val="300"/>
        </w:trPr>
        <w:tc>
          <w:tcPr>
            <w:tcW w:w="3397" w:type="dxa"/>
            <w:tcBorders>
              <w:top w:val="dotted" w:sz="2" w:space="0" w:color="000000" w:themeColor="text1"/>
              <w:left w:val="single" w:sz="4" w:space="0" w:color="auto"/>
              <w:bottom w:val="single" w:sz="4" w:space="0" w:color="auto"/>
              <w:right w:val="dotted" w:sz="2" w:space="0" w:color="000000" w:themeColor="text1"/>
            </w:tcBorders>
          </w:tcPr>
          <w:p w14:paraId="2A0230D8" w14:textId="77777777" w:rsidR="00306B0F" w:rsidRPr="000D7E0D" w:rsidRDefault="00306B0F" w:rsidP="00D452D2">
            <w:pPr>
              <w:rPr>
                <w:b/>
                <w:sz w:val="20"/>
                <w:szCs w:val="20"/>
                <w:lang w:val="fr-FR"/>
              </w:rPr>
            </w:pPr>
            <w:r w:rsidRPr="000D7E0D">
              <w:rPr>
                <w:b/>
                <w:sz w:val="20"/>
                <w:szCs w:val="22"/>
                <w:lang w:val="fr-FR"/>
              </w:rPr>
              <w:t xml:space="preserve">Programme Code: </w:t>
            </w:r>
            <w:r w:rsidRPr="000D7E0D">
              <w:rPr>
                <w:rStyle w:val="Hyperlink"/>
                <w:sz w:val="20"/>
                <w:szCs w:val="20"/>
                <w:lang w:val="fr-FR"/>
              </w:rPr>
              <w:t>GB-GOV-13-ICF-0001-CCUS</w:t>
            </w:r>
          </w:p>
          <w:p w14:paraId="3118A16A" w14:textId="77777777" w:rsidR="00306B0F" w:rsidRPr="000D7E0D" w:rsidRDefault="00306B0F" w:rsidP="00D452D2">
            <w:pPr>
              <w:rPr>
                <w:b/>
                <w:sz w:val="20"/>
                <w:szCs w:val="22"/>
                <w:lang w:val="fr-FR"/>
              </w:rPr>
            </w:pPr>
          </w:p>
        </w:tc>
        <w:tc>
          <w:tcPr>
            <w:tcW w:w="2410"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18F53C46" w14:textId="77777777" w:rsidR="00306B0F" w:rsidRPr="00CC6489" w:rsidRDefault="00306B0F" w:rsidP="00D452D2">
            <w:pPr>
              <w:rPr>
                <w:b/>
                <w:sz w:val="20"/>
                <w:szCs w:val="22"/>
              </w:rPr>
            </w:pPr>
            <w:r>
              <w:rPr>
                <w:b/>
                <w:sz w:val="20"/>
                <w:szCs w:val="22"/>
              </w:rPr>
              <w:t>Programme start d</w:t>
            </w:r>
            <w:r w:rsidRPr="00CC6489">
              <w:rPr>
                <w:b/>
                <w:sz w:val="20"/>
                <w:szCs w:val="22"/>
              </w:rPr>
              <w:t>ate:</w:t>
            </w:r>
            <w:r w:rsidRPr="00CC6489">
              <w:rPr>
                <w:sz w:val="20"/>
              </w:rPr>
              <w:t xml:space="preserve"> </w:t>
            </w:r>
            <w:r>
              <w:rPr>
                <w:sz w:val="20"/>
              </w:rPr>
              <w:t>December 2012</w:t>
            </w:r>
          </w:p>
        </w:tc>
        <w:tc>
          <w:tcPr>
            <w:tcW w:w="3209" w:type="dxa"/>
            <w:tcBorders>
              <w:top w:val="dotted" w:sz="2" w:space="0" w:color="000000" w:themeColor="text1"/>
              <w:left w:val="dotted" w:sz="2" w:space="0" w:color="000000" w:themeColor="text1"/>
              <w:bottom w:val="single" w:sz="4" w:space="0" w:color="auto"/>
              <w:right w:val="single" w:sz="4" w:space="0" w:color="auto"/>
            </w:tcBorders>
            <w:hideMark/>
          </w:tcPr>
          <w:p w14:paraId="1315F7F7" w14:textId="77777777" w:rsidR="00306B0F" w:rsidRDefault="00306B0F" w:rsidP="00D452D2">
            <w:pPr>
              <w:rPr>
                <w:sz w:val="20"/>
              </w:rPr>
            </w:pPr>
            <w:r>
              <w:rPr>
                <w:b/>
                <w:sz w:val="20"/>
                <w:szCs w:val="22"/>
              </w:rPr>
              <w:t>Programme end d</w:t>
            </w:r>
            <w:r w:rsidRPr="00CC6489">
              <w:rPr>
                <w:b/>
                <w:sz w:val="20"/>
                <w:szCs w:val="22"/>
              </w:rPr>
              <w:t>ate:</w:t>
            </w:r>
            <w:r w:rsidRPr="00CC6489">
              <w:rPr>
                <w:sz w:val="20"/>
              </w:rPr>
              <w:t xml:space="preserve"> </w:t>
            </w:r>
          </w:p>
          <w:p w14:paraId="4CD66A7D" w14:textId="77777777" w:rsidR="00306B0F" w:rsidRPr="009279D3" w:rsidRDefault="00306B0F" w:rsidP="00D452D2">
            <w:pPr>
              <w:rPr>
                <w:bCs/>
                <w:sz w:val="20"/>
                <w:szCs w:val="22"/>
              </w:rPr>
            </w:pPr>
            <w:r w:rsidRPr="009279D3">
              <w:rPr>
                <w:bCs/>
                <w:sz w:val="20"/>
              </w:rPr>
              <w:t>December 2023</w:t>
            </w:r>
          </w:p>
        </w:tc>
      </w:tr>
    </w:tbl>
    <w:p w14:paraId="5CBBBEBF" w14:textId="77777777" w:rsidR="00306B0F" w:rsidRPr="00F70DBE" w:rsidRDefault="00306B0F" w:rsidP="00306B0F">
      <w:pPr>
        <w:rPr>
          <w:b/>
          <w:sz w:val="22"/>
          <w:szCs w:val="22"/>
        </w:rPr>
      </w:pPr>
    </w:p>
    <w:p w14:paraId="299199C1" w14:textId="77777777" w:rsidR="00306B0F" w:rsidRDefault="00306B0F" w:rsidP="00306B0F">
      <w:pPr>
        <w:rPr>
          <w:b/>
          <w:sz w:val="22"/>
          <w:szCs w:val="22"/>
        </w:rPr>
      </w:pPr>
      <w:r w:rsidRPr="00CC6489">
        <w:rPr>
          <w:b/>
          <w:sz w:val="22"/>
          <w:szCs w:val="22"/>
        </w:rPr>
        <w:t xml:space="preserve">Summary of Programme Performance </w:t>
      </w:r>
    </w:p>
    <w:p w14:paraId="51C437F6" w14:textId="77777777" w:rsidR="00306B0F" w:rsidRPr="00CC6489" w:rsidRDefault="00306B0F" w:rsidP="00306B0F">
      <w:pPr>
        <w:rPr>
          <w:b/>
          <w:sz w:val="22"/>
          <w:szCs w:val="22"/>
        </w:rPr>
      </w:pPr>
    </w:p>
    <w:tbl>
      <w:tblPr>
        <w:tblStyle w:val="TableGrid"/>
        <w:tblW w:w="0" w:type="auto"/>
        <w:tblLook w:val="04A0" w:firstRow="1" w:lastRow="0" w:firstColumn="1" w:lastColumn="0" w:noHBand="0" w:noVBand="1"/>
      </w:tblPr>
      <w:tblGrid>
        <w:gridCol w:w="2376"/>
        <w:gridCol w:w="717"/>
        <w:gridCol w:w="844"/>
        <w:gridCol w:w="846"/>
        <w:gridCol w:w="846"/>
        <w:gridCol w:w="845"/>
        <w:gridCol w:w="846"/>
        <w:gridCol w:w="846"/>
        <w:gridCol w:w="850"/>
      </w:tblGrid>
      <w:tr w:rsidR="00306B0F" w:rsidRPr="00CC6489" w14:paraId="43EAF10C" w14:textId="77777777" w:rsidTr="00D452D2">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FA3B0B4" w14:textId="77777777" w:rsidR="00306B0F" w:rsidRPr="00CC6489" w:rsidRDefault="00306B0F" w:rsidP="00D452D2">
            <w:pPr>
              <w:rPr>
                <w:sz w:val="20"/>
                <w:szCs w:val="22"/>
              </w:rPr>
            </w:pPr>
            <w:r w:rsidRPr="00CC6489">
              <w:rPr>
                <w:sz w:val="20"/>
                <w:szCs w:val="22"/>
              </w:rPr>
              <w:t>Year</w:t>
            </w:r>
          </w:p>
        </w:tc>
        <w:tc>
          <w:tcPr>
            <w:tcW w:w="677" w:type="dxa"/>
            <w:tcBorders>
              <w:top w:val="single" w:sz="4" w:space="0" w:color="auto"/>
              <w:left w:val="single" w:sz="4" w:space="0" w:color="auto"/>
              <w:bottom w:val="single" w:sz="4" w:space="0" w:color="auto"/>
              <w:right w:val="single" w:sz="4" w:space="0" w:color="auto"/>
            </w:tcBorders>
          </w:tcPr>
          <w:p w14:paraId="75BEEF82" w14:textId="77777777" w:rsidR="00306B0F" w:rsidRPr="009279D3" w:rsidRDefault="00306B0F" w:rsidP="00D452D2">
            <w:pPr>
              <w:rPr>
                <w:bCs/>
                <w:sz w:val="20"/>
                <w:szCs w:val="22"/>
              </w:rPr>
            </w:pPr>
            <w:r w:rsidRPr="009279D3">
              <w:rPr>
                <w:bCs/>
                <w:sz w:val="20"/>
                <w:szCs w:val="22"/>
              </w:rPr>
              <w:t>2014</w:t>
            </w:r>
          </w:p>
        </w:tc>
        <w:tc>
          <w:tcPr>
            <w:tcW w:w="847" w:type="dxa"/>
            <w:tcBorders>
              <w:top w:val="single" w:sz="4" w:space="0" w:color="auto"/>
              <w:left w:val="single" w:sz="4" w:space="0" w:color="auto"/>
              <w:bottom w:val="single" w:sz="4" w:space="0" w:color="auto"/>
              <w:right w:val="single" w:sz="4" w:space="0" w:color="auto"/>
            </w:tcBorders>
          </w:tcPr>
          <w:p w14:paraId="38F753D3" w14:textId="77777777" w:rsidR="00306B0F" w:rsidRPr="009279D3" w:rsidRDefault="00306B0F" w:rsidP="00D452D2">
            <w:pPr>
              <w:rPr>
                <w:bCs/>
                <w:sz w:val="20"/>
                <w:szCs w:val="22"/>
              </w:rPr>
            </w:pPr>
            <w:r w:rsidRPr="009279D3">
              <w:rPr>
                <w:bCs/>
                <w:sz w:val="20"/>
                <w:szCs w:val="22"/>
              </w:rPr>
              <w:t>2015</w:t>
            </w:r>
          </w:p>
        </w:tc>
        <w:tc>
          <w:tcPr>
            <w:tcW w:w="848" w:type="dxa"/>
            <w:tcBorders>
              <w:top w:val="single" w:sz="4" w:space="0" w:color="auto"/>
              <w:left w:val="single" w:sz="4" w:space="0" w:color="auto"/>
              <w:bottom w:val="single" w:sz="4" w:space="0" w:color="auto"/>
              <w:right w:val="single" w:sz="4" w:space="0" w:color="auto"/>
            </w:tcBorders>
          </w:tcPr>
          <w:p w14:paraId="03579A66" w14:textId="77777777" w:rsidR="00306B0F" w:rsidRPr="009279D3" w:rsidRDefault="00306B0F" w:rsidP="00D452D2">
            <w:pPr>
              <w:rPr>
                <w:bCs/>
                <w:sz w:val="20"/>
                <w:szCs w:val="22"/>
              </w:rPr>
            </w:pPr>
            <w:r w:rsidRPr="009279D3">
              <w:rPr>
                <w:bCs/>
                <w:sz w:val="20"/>
                <w:szCs w:val="22"/>
              </w:rPr>
              <w:t>2016</w:t>
            </w:r>
          </w:p>
        </w:tc>
        <w:tc>
          <w:tcPr>
            <w:tcW w:w="848" w:type="dxa"/>
            <w:tcBorders>
              <w:top w:val="single" w:sz="4" w:space="0" w:color="auto"/>
              <w:left w:val="single" w:sz="4" w:space="0" w:color="auto"/>
              <w:bottom w:val="single" w:sz="4" w:space="0" w:color="auto"/>
              <w:right w:val="single" w:sz="4" w:space="0" w:color="auto"/>
            </w:tcBorders>
          </w:tcPr>
          <w:p w14:paraId="52CAFF3D" w14:textId="77777777" w:rsidR="00306B0F" w:rsidRPr="009279D3" w:rsidRDefault="00306B0F" w:rsidP="00D452D2">
            <w:pPr>
              <w:rPr>
                <w:bCs/>
                <w:sz w:val="20"/>
                <w:szCs w:val="22"/>
              </w:rPr>
            </w:pPr>
            <w:r w:rsidRPr="009279D3">
              <w:rPr>
                <w:bCs/>
                <w:sz w:val="20"/>
                <w:szCs w:val="22"/>
              </w:rPr>
              <w:t>2017</w:t>
            </w:r>
          </w:p>
        </w:tc>
        <w:tc>
          <w:tcPr>
            <w:tcW w:w="847" w:type="dxa"/>
            <w:tcBorders>
              <w:top w:val="single" w:sz="4" w:space="0" w:color="auto"/>
              <w:left w:val="single" w:sz="4" w:space="0" w:color="auto"/>
              <w:bottom w:val="single" w:sz="4" w:space="0" w:color="auto"/>
              <w:right w:val="single" w:sz="4" w:space="0" w:color="auto"/>
            </w:tcBorders>
          </w:tcPr>
          <w:p w14:paraId="50AEAC3D" w14:textId="77777777" w:rsidR="00306B0F" w:rsidRPr="009279D3" w:rsidRDefault="00306B0F" w:rsidP="00D452D2">
            <w:pPr>
              <w:rPr>
                <w:bCs/>
                <w:sz w:val="20"/>
                <w:szCs w:val="22"/>
              </w:rPr>
            </w:pPr>
            <w:r w:rsidRPr="009279D3">
              <w:rPr>
                <w:bCs/>
                <w:sz w:val="20"/>
                <w:szCs w:val="22"/>
              </w:rPr>
              <w:t>2018</w:t>
            </w:r>
          </w:p>
        </w:tc>
        <w:tc>
          <w:tcPr>
            <w:tcW w:w="848" w:type="dxa"/>
            <w:tcBorders>
              <w:top w:val="single" w:sz="4" w:space="0" w:color="auto"/>
              <w:left w:val="single" w:sz="4" w:space="0" w:color="auto"/>
              <w:bottom w:val="single" w:sz="4" w:space="0" w:color="auto"/>
              <w:right w:val="single" w:sz="4" w:space="0" w:color="auto"/>
            </w:tcBorders>
          </w:tcPr>
          <w:p w14:paraId="58127B46" w14:textId="77777777" w:rsidR="00306B0F" w:rsidRPr="009279D3" w:rsidRDefault="00306B0F" w:rsidP="00D452D2">
            <w:pPr>
              <w:rPr>
                <w:bCs/>
                <w:sz w:val="20"/>
                <w:szCs w:val="22"/>
              </w:rPr>
            </w:pPr>
            <w:r w:rsidRPr="009279D3">
              <w:rPr>
                <w:bCs/>
                <w:sz w:val="20"/>
                <w:szCs w:val="22"/>
              </w:rPr>
              <w:t>2019</w:t>
            </w:r>
          </w:p>
        </w:tc>
        <w:tc>
          <w:tcPr>
            <w:tcW w:w="848" w:type="dxa"/>
            <w:tcBorders>
              <w:top w:val="single" w:sz="4" w:space="0" w:color="auto"/>
              <w:left w:val="single" w:sz="4" w:space="0" w:color="auto"/>
              <w:bottom w:val="single" w:sz="4" w:space="0" w:color="auto"/>
              <w:right w:val="single" w:sz="4" w:space="0" w:color="auto"/>
            </w:tcBorders>
          </w:tcPr>
          <w:p w14:paraId="58100179" w14:textId="77777777" w:rsidR="00306B0F" w:rsidRPr="009279D3" w:rsidRDefault="00306B0F" w:rsidP="00D452D2">
            <w:pPr>
              <w:rPr>
                <w:bCs/>
                <w:sz w:val="20"/>
                <w:szCs w:val="22"/>
              </w:rPr>
            </w:pPr>
            <w:r w:rsidRPr="009279D3">
              <w:rPr>
                <w:bCs/>
                <w:sz w:val="20"/>
                <w:szCs w:val="22"/>
              </w:rPr>
              <w:t>2020</w:t>
            </w:r>
          </w:p>
        </w:tc>
        <w:tc>
          <w:tcPr>
            <w:tcW w:w="848" w:type="dxa"/>
            <w:tcBorders>
              <w:top w:val="single" w:sz="4" w:space="0" w:color="auto"/>
              <w:left w:val="single" w:sz="4" w:space="0" w:color="auto"/>
              <w:bottom w:val="single" w:sz="4" w:space="0" w:color="auto"/>
              <w:right w:val="single" w:sz="4" w:space="0" w:color="auto"/>
            </w:tcBorders>
          </w:tcPr>
          <w:p w14:paraId="79155F03" w14:textId="77777777" w:rsidR="00306B0F" w:rsidRPr="00E67245" w:rsidRDefault="00306B0F" w:rsidP="00D452D2">
            <w:pPr>
              <w:rPr>
                <w:bCs/>
                <w:sz w:val="20"/>
                <w:szCs w:val="22"/>
              </w:rPr>
            </w:pPr>
            <w:r>
              <w:rPr>
                <w:bCs/>
                <w:sz w:val="20"/>
                <w:szCs w:val="22"/>
              </w:rPr>
              <w:t>2021</w:t>
            </w:r>
          </w:p>
        </w:tc>
      </w:tr>
      <w:tr w:rsidR="00306B0F" w:rsidRPr="00CC6489" w14:paraId="0524F6A6" w14:textId="77777777" w:rsidTr="00D452D2">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72E360C" w14:textId="77777777" w:rsidR="00306B0F" w:rsidRPr="00CC6489" w:rsidRDefault="00306B0F" w:rsidP="00D452D2">
            <w:pPr>
              <w:rPr>
                <w:sz w:val="20"/>
                <w:szCs w:val="22"/>
              </w:rPr>
            </w:pPr>
            <w:r w:rsidRPr="00CC6489">
              <w:rPr>
                <w:sz w:val="20"/>
                <w:szCs w:val="22"/>
              </w:rPr>
              <w:t>Overall Output Score</w:t>
            </w:r>
          </w:p>
        </w:tc>
        <w:tc>
          <w:tcPr>
            <w:tcW w:w="677" w:type="dxa"/>
            <w:tcBorders>
              <w:top w:val="single" w:sz="4" w:space="0" w:color="auto"/>
              <w:left w:val="single" w:sz="4" w:space="0" w:color="auto"/>
              <w:bottom w:val="single" w:sz="4" w:space="0" w:color="auto"/>
              <w:right w:val="single" w:sz="4" w:space="0" w:color="auto"/>
            </w:tcBorders>
          </w:tcPr>
          <w:p w14:paraId="32DC3849" w14:textId="77777777" w:rsidR="00306B0F" w:rsidRPr="009279D3" w:rsidRDefault="00306B0F" w:rsidP="00D452D2">
            <w:pPr>
              <w:rPr>
                <w:bCs/>
                <w:sz w:val="20"/>
                <w:szCs w:val="22"/>
              </w:rPr>
            </w:pPr>
            <w:r w:rsidRPr="009279D3">
              <w:rPr>
                <w:bCs/>
                <w:sz w:val="20"/>
                <w:szCs w:val="22"/>
              </w:rPr>
              <w:t>A</w:t>
            </w:r>
          </w:p>
        </w:tc>
        <w:tc>
          <w:tcPr>
            <w:tcW w:w="847" w:type="dxa"/>
            <w:tcBorders>
              <w:top w:val="single" w:sz="4" w:space="0" w:color="auto"/>
              <w:left w:val="single" w:sz="4" w:space="0" w:color="auto"/>
              <w:bottom w:val="single" w:sz="4" w:space="0" w:color="auto"/>
              <w:right w:val="single" w:sz="4" w:space="0" w:color="auto"/>
            </w:tcBorders>
          </w:tcPr>
          <w:p w14:paraId="45681EC3" w14:textId="77777777" w:rsidR="00306B0F" w:rsidRPr="009279D3" w:rsidRDefault="00306B0F" w:rsidP="00D452D2">
            <w:pPr>
              <w:rPr>
                <w:bCs/>
                <w:sz w:val="20"/>
                <w:szCs w:val="22"/>
              </w:rPr>
            </w:pPr>
            <w:r w:rsidRPr="009279D3">
              <w:rPr>
                <w:bCs/>
                <w:sz w:val="20"/>
                <w:szCs w:val="22"/>
              </w:rPr>
              <w:t>A</w:t>
            </w:r>
          </w:p>
        </w:tc>
        <w:tc>
          <w:tcPr>
            <w:tcW w:w="848" w:type="dxa"/>
            <w:tcBorders>
              <w:top w:val="single" w:sz="4" w:space="0" w:color="auto"/>
              <w:left w:val="single" w:sz="4" w:space="0" w:color="auto"/>
              <w:bottom w:val="single" w:sz="4" w:space="0" w:color="auto"/>
              <w:right w:val="single" w:sz="4" w:space="0" w:color="auto"/>
            </w:tcBorders>
          </w:tcPr>
          <w:p w14:paraId="4670FB4D" w14:textId="77777777" w:rsidR="00306B0F" w:rsidRPr="009279D3" w:rsidRDefault="00306B0F" w:rsidP="00D452D2">
            <w:pPr>
              <w:rPr>
                <w:bCs/>
                <w:sz w:val="20"/>
                <w:szCs w:val="22"/>
              </w:rPr>
            </w:pPr>
            <w:r w:rsidRPr="009279D3">
              <w:rPr>
                <w:bCs/>
                <w:sz w:val="20"/>
                <w:szCs w:val="22"/>
              </w:rPr>
              <w:t>A</w:t>
            </w:r>
          </w:p>
        </w:tc>
        <w:tc>
          <w:tcPr>
            <w:tcW w:w="848" w:type="dxa"/>
            <w:tcBorders>
              <w:top w:val="single" w:sz="4" w:space="0" w:color="auto"/>
              <w:left w:val="single" w:sz="4" w:space="0" w:color="auto"/>
              <w:bottom w:val="single" w:sz="4" w:space="0" w:color="auto"/>
              <w:right w:val="single" w:sz="4" w:space="0" w:color="auto"/>
            </w:tcBorders>
          </w:tcPr>
          <w:p w14:paraId="7765985A" w14:textId="77777777" w:rsidR="00306B0F" w:rsidRPr="009279D3" w:rsidRDefault="00306B0F" w:rsidP="00D452D2">
            <w:pPr>
              <w:rPr>
                <w:bCs/>
                <w:sz w:val="20"/>
                <w:szCs w:val="22"/>
              </w:rPr>
            </w:pPr>
            <w:r w:rsidRPr="009279D3">
              <w:rPr>
                <w:bCs/>
                <w:sz w:val="20"/>
                <w:szCs w:val="22"/>
              </w:rPr>
              <w:t>A</w:t>
            </w:r>
          </w:p>
        </w:tc>
        <w:tc>
          <w:tcPr>
            <w:tcW w:w="847" w:type="dxa"/>
            <w:tcBorders>
              <w:top w:val="single" w:sz="4" w:space="0" w:color="auto"/>
              <w:left w:val="single" w:sz="4" w:space="0" w:color="auto"/>
              <w:bottom w:val="single" w:sz="4" w:space="0" w:color="auto"/>
              <w:right w:val="single" w:sz="4" w:space="0" w:color="auto"/>
            </w:tcBorders>
          </w:tcPr>
          <w:p w14:paraId="0F92BDAB" w14:textId="77777777" w:rsidR="00306B0F" w:rsidRPr="009279D3" w:rsidRDefault="00306B0F" w:rsidP="00D452D2">
            <w:pPr>
              <w:rPr>
                <w:bCs/>
                <w:sz w:val="20"/>
                <w:szCs w:val="22"/>
              </w:rPr>
            </w:pPr>
            <w:r>
              <w:rPr>
                <w:bCs/>
                <w:sz w:val="20"/>
                <w:szCs w:val="22"/>
              </w:rPr>
              <w:t>A</w:t>
            </w:r>
          </w:p>
        </w:tc>
        <w:tc>
          <w:tcPr>
            <w:tcW w:w="848" w:type="dxa"/>
            <w:tcBorders>
              <w:top w:val="single" w:sz="4" w:space="0" w:color="auto"/>
              <w:left w:val="single" w:sz="4" w:space="0" w:color="auto"/>
              <w:bottom w:val="single" w:sz="4" w:space="0" w:color="auto"/>
              <w:right w:val="single" w:sz="4" w:space="0" w:color="auto"/>
            </w:tcBorders>
          </w:tcPr>
          <w:p w14:paraId="0B82FE19" w14:textId="77777777" w:rsidR="00306B0F" w:rsidRPr="009279D3" w:rsidRDefault="00306B0F" w:rsidP="00D452D2">
            <w:pPr>
              <w:rPr>
                <w:bCs/>
                <w:sz w:val="20"/>
                <w:szCs w:val="22"/>
              </w:rPr>
            </w:pPr>
            <w:r w:rsidRPr="009279D3">
              <w:rPr>
                <w:bCs/>
                <w:sz w:val="20"/>
                <w:szCs w:val="22"/>
              </w:rPr>
              <w:t>B</w:t>
            </w:r>
          </w:p>
        </w:tc>
        <w:tc>
          <w:tcPr>
            <w:tcW w:w="848" w:type="dxa"/>
            <w:tcBorders>
              <w:top w:val="single" w:sz="4" w:space="0" w:color="auto"/>
              <w:left w:val="single" w:sz="4" w:space="0" w:color="auto"/>
              <w:bottom w:val="single" w:sz="4" w:space="0" w:color="auto"/>
              <w:right w:val="single" w:sz="4" w:space="0" w:color="auto"/>
            </w:tcBorders>
          </w:tcPr>
          <w:p w14:paraId="3B5AC8AB" w14:textId="77777777" w:rsidR="00306B0F" w:rsidRPr="009279D3" w:rsidRDefault="00306B0F" w:rsidP="00D452D2">
            <w:pPr>
              <w:rPr>
                <w:bCs/>
                <w:sz w:val="20"/>
                <w:szCs w:val="22"/>
              </w:rPr>
            </w:pPr>
            <w:r>
              <w:rPr>
                <w:bCs/>
                <w:sz w:val="20"/>
                <w:szCs w:val="22"/>
              </w:rPr>
              <w:t>B</w:t>
            </w:r>
          </w:p>
        </w:tc>
        <w:tc>
          <w:tcPr>
            <w:tcW w:w="848" w:type="dxa"/>
            <w:tcBorders>
              <w:top w:val="single" w:sz="4" w:space="0" w:color="auto"/>
              <w:left w:val="single" w:sz="4" w:space="0" w:color="auto"/>
              <w:bottom w:val="single" w:sz="4" w:space="0" w:color="auto"/>
              <w:right w:val="single" w:sz="4" w:space="0" w:color="auto"/>
            </w:tcBorders>
          </w:tcPr>
          <w:p w14:paraId="24D11BD1" w14:textId="6C30DD42" w:rsidR="00306B0F" w:rsidRPr="00E67245" w:rsidRDefault="003E3159" w:rsidP="00D452D2">
            <w:pPr>
              <w:rPr>
                <w:bCs/>
                <w:sz w:val="20"/>
                <w:szCs w:val="22"/>
              </w:rPr>
            </w:pPr>
            <w:r>
              <w:rPr>
                <w:bCs/>
                <w:sz w:val="20"/>
                <w:szCs w:val="22"/>
              </w:rPr>
              <w:t>C</w:t>
            </w:r>
          </w:p>
        </w:tc>
      </w:tr>
      <w:tr w:rsidR="00306B0F" w:rsidRPr="00CC6489" w14:paraId="4E19F18C" w14:textId="77777777" w:rsidTr="00D452D2">
        <w:trPr>
          <w:trHeight w:val="309"/>
        </w:trPr>
        <w:tc>
          <w:tcPr>
            <w:tcW w:w="24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616E9FC" w14:textId="77777777" w:rsidR="00306B0F" w:rsidRPr="00CC6489" w:rsidRDefault="00306B0F" w:rsidP="00D452D2">
            <w:pPr>
              <w:rPr>
                <w:sz w:val="20"/>
                <w:szCs w:val="22"/>
              </w:rPr>
            </w:pPr>
            <w:r w:rsidRPr="00CC6489">
              <w:rPr>
                <w:sz w:val="20"/>
                <w:szCs w:val="22"/>
              </w:rPr>
              <w:t>Risk Rating</w:t>
            </w:r>
            <w:r w:rsidRPr="00CC6489">
              <w:rPr>
                <w:sz w:val="22"/>
              </w:rPr>
              <w:t xml:space="preserve"> </w:t>
            </w:r>
          </w:p>
        </w:tc>
        <w:tc>
          <w:tcPr>
            <w:tcW w:w="677" w:type="dxa"/>
            <w:tcBorders>
              <w:top w:val="single" w:sz="4" w:space="0" w:color="auto"/>
              <w:left w:val="single" w:sz="4" w:space="0" w:color="auto"/>
              <w:bottom w:val="single" w:sz="4" w:space="0" w:color="auto"/>
              <w:right w:val="single" w:sz="4" w:space="0" w:color="auto"/>
            </w:tcBorders>
          </w:tcPr>
          <w:p w14:paraId="681B64C7" w14:textId="77777777" w:rsidR="00306B0F" w:rsidRPr="009279D3" w:rsidRDefault="00306B0F" w:rsidP="00D452D2">
            <w:pPr>
              <w:rPr>
                <w:bCs/>
                <w:sz w:val="20"/>
                <w:szCs w:val="22"/>
              </w:rPr>
            </w:pPr>
            <w:r w:rsidRPr="009279D3">
              <w:rPr>
                <w:bCs/>
                <w:sz w:val="20"/>
                <w:szCs w:val="22"/>
              </w:rPr>
              <w:t>Major</w:t>
            </w:r>
          </w:p>
        </w:tc>
        <w:tc>
          <w:tcPr>
            <w:tcW w:w="847" w:type="dxa"/>
            <w:tcBorders>
              <w:top w:val="single" w:sz="4" w:space="0" w:color="auto"/>
              <w:left w:val="single" w:sz="4" w:space="0" w:color="auto"/>
              <w:bottom w:val="single" w:sz="4" w:space="0" w:color="auto"/>
              <w:right w:val="single" w:sz="4" w:space="0" w:color="auto"/>
            </w:tcBorders>
          </w:tcPr>
          <w:p w14:paraId="7DF6066C" w14:textId="77777777" w:rsidR="00306B0F" w:rsidRPr="009279D3" w:rsidRDefault="00306B0F" w:rsidP="00D452D2">
            <w:pPr>
              <w:rPr>
                <w:bCs/>
                <w:sz w:val="20"/>
                <w:szCs w:val="22"/>
              </w:rPr>
            </w:pPr>
            <w:r w:rsidRPr="009279D3">
              <w:rPr>
                <w:bCs/>
                <w:sz w:val="20"/>
                <w:szCs w:val="22"/>
              </w:rPr>
              <w:t>Major</w:t>
            </w:r>
          </w:p>
        </w:tc>
        <w:tc>
          <w:tcPr>
            <w:tcW w:w="848" w:type="dxa"/>
            <w:tcBorders>
              <w:top w:val="single" w:sz="4" w:space="0" w:color="auto"/>
              <w:left w:val="single" w:sz="4" w:space="0" w:color="auto"/>
              <w:bottom w:val="single" w:sz="4" w:space="0" w:color="auto"/>
              <w:right w:val="single" w:sz="4" w:space="0" w:color="auto"/>
            </w:tcBorders>
          </w:tcPr>
          <w:p w14:paraId="62615F29" w14:textId="77777777" w:rsidR="00306B0F" w:rsidRPr="009279D3" w:rsidRDefault="00306B0F" w:rsidP="00D452D2">
            <w:pPr>
              <w:rPr>
                <w:bCs/>
                <w:sz w:val="20"/>
                <w:szCs w:val="22"/>
              </w:rPr>
            </w:pPr>
            <w:r w:rsidRPr="009279D3">
              <w:rPr>
                <w:bCs/>
                <w:sz w:val="20"/>
                <w:szCs w:val="22"/>
              </w:rPr>
              <w:t>Major</w:t>
            </w:r>
          </w:p>
        </w:tc>
        <w:tc>
          <w:tcPr>
            <w:tcW w:w="848" w:type="dxa"/>
            <w:tcBorders>
              <w:top w:val="single" w:sz="4" w:space="0" w:color="auto"/>
              <w:left w:val="single" w:sz="4" w:space="0" w:color="auto"/>
              <w:bottom w:val="single" w:sz="4" w:space="0" w:color="auto"/>
              <w:right w:val="single" w:sz="4" w:space="0" w:color="auto"/>
            </w:tcBorders>
          </w:tcPr>
          <w:p w14:paraId="4C8C8089" w14:textId="77777777" w:rsidR="00306B0F" w:rsidRPr="009279D3" w:rsidRDefault="00306B0F" w:rsidP="00D452D2">
            <w:pPr>
              <w:rPr>
                <w:bCs/>
                <w:sz w:val="20"/>
                <w:szCs w:val="22"/>
              </w:rPr>
            </w:pPr>
            <w:r w:rsidRPr="009279D3">
              <w:rPr>
                <w:bCs/>
                <w:sz w:val="20"/>
                <w:szCs w:val="22"/>
              </w:rPr>
              <w:t>Major</w:t>
            </w:r>
          </w:p>
        </w:tc>
        <w:tc>
          <w:tcPr>
            <w:tcW w:w="847" w:type="dxa"/>
            <w:tcBorders>
              <w:top w:val="single" w:sz="4" w:space="0" w:color="auto"/>
              <w:left w:val="single" w:sz="4" w:space="0" w:color="auto"/>
              <w:bottom w:val="single" w:sz="4" w:space="0" w:color="auto"/>
              <w:right w:val="single" w:sz="4" w:space="0" w:color="auto"/>
            </w:tcBorders>
          </w:tcPr>
          <w:p w14:paraId="452BDD0A" w14:textId="77777777" w:rsidR="00306B0F" w:rsidRPr="009279D3" w:rsidRDefault="00306B0F" w:rsidP="00D452D2">
            <w:pPr>
              <w:rPr>
                <w:bCs/>
                <w:sz w:val="20"/>
                <w:szCs w:val="22"/>
              </w:rPr>
            </w:pPr>
            <w:r w:rsidRPr="009279D3">
              <w:rPr>
                <w:bCs/>
                <w:sz w:val="20"/>
                <w:szCs w:val="22"/>
              </w:rPr>
              <w:t>Major</w:t>
            </w:r>
          </w:p>
        </w:tc>
        <w:tc>
          <w:tcPr>
            <w:tcW w:w="848" w:type="dxa"/>
            <w:tcBorders>
              <w:top w:val="single" w:sz="4" w:space="0" w:color="auto"/>
              <w:left w:val="single" w:sz="4" w:space="0" w:color="auto"/>
              <w:bottom w:val="single" w:sz="4" w:space="0" w:color="auto"/>
              <w:right w:val="single" w:sz="4" w:space="0" w:color="auto"/>
            </w:tcBorders>
          </w:tcPr>
          <w:p w14:paraId="3ECB973C" w14:textId="77777777" w:rsidR="00306B0F" w:rsidRPr="009279D3" w:rsidRDefault="00306B0F" w:rsidP="00D452D2">
            <w:pPr>
              <w:rPr>
                <w:bCs/>
                <w:sz w:val="20"/>
                <w:szCs w:val="22"/>
              </w:rPr>
            </w:pPr>
            <w:r w:rsidRPr="009279D3">
              <w:rPr>
                <w:bCs/>
                <w:sz w:val="20"/>
                <w:szCs w:val="22"/>
              </w:rPr>
              <w:t>Major</w:t>
            </w:r>
          </w:p>
        </w:tc>
        <w:tc>
          <w:tcPr>
            <w:tcW w:w="848" w:type="dxa"/>
            <w:tcBorders>
              <w:top w:val="single" w:sz="4" w:space="0" w:color="auto"/>
              <w:left w:val="single" w:sz="4" w:space="0" w:color="auto"/>
              <w:bottom w:val="single" w:sz="4" w:space="0" w:color="auto"/>
              <w:right w:val="single" w:sz="4" w:space="0" w:color="auto"/>
            </w:tcBorders>
          </w:tcPr>
          <w:p w14:paraId="2375A108" w14:textId="77777777" w:rsidR="00306B0F" w:rsidRPr="009279D3" w:rsidRDefault="00306B0F" w:rsidP="00D452D2">
            <w:pPr>
              <w:rPr>
                <w:bCs/>
                <w:sz w:val="20"/>
                <w:szCs w:val="22"/>
              </w:rPr>
            </w:pPr>
            <w:r>
              <w:rPr>
                <w:bCs/>
                <w:sz w:val="20"/>
                <w:szCs w:val="22"/>
              </w:rPr>
              <w:t>Major</w:t>
            </w:r>
          </w:p>
        </w:tc>
        <w:tc>
          <w:tcPr>
            <w:tcW w:w="848" w:type="dxa"/>
            <w:tcBorders>
              <w:top w:val="single" w:sz="4" w:space="0" w:color="auto"/>
              <w:left w:val="single" w:sz="4" w:space="0" w:color="auto"/>
              <w:bottom w:val="single" w:sz="4" w:space="0" w:color="auto"/>
              <w:right w:val="single" w:sz="4" w:space="0" w:color="auto"/>
            </w:tcBorders>
          </w:tcPr>
          <w:p w14:paraId="72AF6747" w14:textId="77777777" w:rsidR="00306B0F" w:rsidRPr="00E67245" w:rsidRDefault="00306B0F" w:rsidP="00D452D2">
            <w:pPr>
              <w:rPr>
                <w:bCs/>
                <w:sz w:val="20"/>
                <w:szCs w:val="22"/>
              </w:rPr>
            </w:pPr>
            <w:r>
              <w:rPr>
                <w:bCs/>
                <w:sz w:val="20"/>
                <w:szCs w:val="22"/>
              </w:rPr>
              <w:t>Severe</w:t>
            </w:r>
          </w:p>
        </w:tc>
      </w:tr>
    </w:tbl>
    <w:p w14:paraId="54547148" w14:textId="77777777" w:rsidR="00306B0F" w:rsidRDefault="00306B0F" w:rsidP="00306B0F">
      <w:pPr>
        <w:rPr>
          <w:b/>
          <w:sz w:val="22"/>
          <w:szCs w:val="22"/>
        </w:rPr>
      </w:pPr>
    </w:p>
    <w:tbl>
      <w:tblPr>
        <w:tblStyle w:val="TableGrid"/>
        <w:tblW w:w="0" w:type="auto"/>
        <w:tblInd w:w="-5" w:type="dxa"/>
        <w:tblLook w:val="04A0" w:firstRow="1" w:lastRow="0" w:firstColumn="1" w:lastColumn="0" w:noHBand="0" w:noVBand="1"/>
      </w:tblPr>
      <w:tblGrid>
        <w:gridCol w:w="3969"/>
        <w:gridCol w:w="5052"/>
      </w:tblGrid>
      <w:tr w:rsidR="0057457A" w:rsidRPr="00F70DBE" w14:paraId="27161396" w14:textId="77777777" w:rsidTr="00D452D2">
        <w:trPr>
          <w:trHeight w:val="355"/>
        </w:trPr>
        <w:tc>
          <w:tcPr>
            <w:tcW w:w="3969" w:type="dxa"/>
            <w:shd w:val="clear" w:color="auto" w:fill="B4C6E7" w:themeFill="accent1" w:themeFillTint="66"/>
            <w:hideMark/>
          </w:tcPr>
          <w:p w14:paraId="468AC6CD" w14:textId="77777777" w:rsidR="00306B0F" w:rsidRPr="00F70DBE" w:rsidRDefault="00306B0F" w:rsidP="00D452D2">
            <w:pPr>
              <w:rPr>
                <w:rFonts w:cs="Arial"/>
                <w:sz w:val="20"/>
                <w:szCs w:val="20"/>
              </w:rPr>
            </w:pPr>
            <w:r w:rsidRPr="00F70DBE">
              <w:rPr>
                <w:rFonts w:cs="Arial"/>
                <w:bCs/>
                <w:sz w:val="20"/>
                <w:szCs w:val="20"/>
              </w:rPr>
              <w:t xml:space="preserve">Link to Business Case: </w:t>
            </w:r>
          </w:p>
        </w:tc>
        <w:tc>
          <w:tcPr>
            <w:tcW w:w="5052" w:type="dxa"/>
          </w:tcPr>
          <w:p w14:paraId="54F972AC" w14:textId="77777777" w:rsidR="00306B0F" w:rsidRPr="00F13B35" w:rsidRDefault="00306B0F" w:rsidP="00D452D2">
            <w:pPr>
              <w:rPr>
                <w:rFonts w:cs="Arial"/>
                <w:bCs/>
                <w:sz w:val="20"/>
                <w:szCs w:val="20"/>
              </w:rPr>
            </w:pPr>
            <w:r w:rsidRPr="00F13B35">
              <w:rPr>
                <w:rFonts w:cs="Arial"/>
                <w:bCs/>
                <w:sz w:val="20"/>
                <w:szCs w:val="20"/>
              </w:rPr>
              <w:t xml:space="preserve">Original - </w:t>
            </w:r>
            <w:hyperlink r:id="rId11" w:history="1">
              <w:r w:rsidRPr="00F13B35">
                <w:rPr>
                  <w:rStyle w:val="Hyperlink"/>
                  <w:rFonts w:cs="Arial"/>
                  <w:bCs/>
                  <w:sz w:val="20"/>
                  <w:szCs w:val="20"/>
                </w:rPr>
                <w:t>2012</w:t>
              </w:r>
            </w:hyperlink>
          </w:p>
          <w:p w14:paraId="00B12647" w14:textId="77777777" w:rsidR="00306B0F" w:rsidRPr="00F13B35" w:rsidRDefault="00306B0F" w:rsidP="00D452D2">
            <w:pPr>
              <w:rPr>
                <w:rFonts w:cs="Arial"/>
                <w:bCs/>
                <w:i/>
                <w:iCs/>
                <w:sz w:val="20"/>
                <w:szCs w:val="20"/>
              </w:rPr>
            </w:pPr>
            <w:r w:rsidRPr="00F13B35">
              <w:rPr>
                <w:rFonts w:cs="Arial"/>
                <w:bCs/>
                <w:sz w:val="20"/>
                <w:szCs w:val="20"/>
              </w:rPr>
              <w:t>Extension</w:t>
            </w:r>
            <w:r w:rsidRPr="00F13B35">
              <w:rPr>
                <w:rFonts w:cs="Arial"/>
                <w:bCs/>
                <w:i/>
                <w:iCs/>
                <w:sz w:val="20"/>
                <w:szCs w:val="20"/>
              </w:rPr>
              <w:t xml:space="preserve"> - </w:t>
            </w:r>
            <w:hyperlink r:id="rId12" w:history="1">
              <w:r w:rsidRPr="00F13B35">
                <w:rPr>
                  <w:rStyle w:val="Hyperlink"/>
                  <w:rFonts w:cs="Arial"/>
                  <w:bCs/>
                  <w:sz w:val="20"/>
                  <w:szCs w:val="20"/>
                </w:rPr>
                <w:t>2017</w:t>
              </w:r>
            </w:hyperlink>
          </w:p>
        </w:tc>
      </w:tr>
      <w:tr w:rsidR="0057457A" w:rsidRPr="00F70DBE" w14:paraId="51F82A3E" w14:textId="77777777" w:rsidTr="00D452D2">
        <w:trPr>
          <w:trHeight w:val="403"/>
        </w:trPr>
        <w:tc>
          <w:tcPr>
            <w:tcW w:w="3969" w:type="dxa"/>
            <w:shd w:val="clear" w:color="auto" w:fill="B4C6E7" w:themeFill="accent1" w:themeFillTint="66"/>
            <w:hideMark/>
          </w:tcPr>
          <w:p w14:paraId="14FA3843" w14:textId="77777777" w:rsidR="00306B0F" w:rsidRPr="00F70DBE" w:rsidRDefault="00306B0F" w:rsidP="00D452D2">
            <w:pPr>
              <w:rPr>
                <w:rFonts w:cs="Arial"/>
                <w:bCs/>
                <w:i/>
                <w:sz w:val="20"/>
                <w:szCs w:val="20"/>
              </w:rPr>
            </w:pPr>
            <w:r w:rsidRPr="00F70DBE">
              <w:rPr>
                <w:rFonts w:cs="Arial"/>
                <w:bCs/>
                <w:sz w:val="20"/>
                <w:szCs w:val="20"/>
              </w:rPr>
              <w:t xml:space="preserve">Link to </w:t>
            </w:r>
            <w:r>
              <w:rPr>
                <w:rFonts w:cs="Arial"/>
                <w:bCs/>
                <w:sz w:val="20"/>
                <w:szCs w:val="20"/>
              </w:rPr>
              <w:t>Results Framework</w:t>
            </w:r>
            <w:r w:rsidRPr="00F70DBE">
              <w:rPr>
                <w:rFonts w:cs="Arial"/>
                <w:bCs/>
                <w:sz w:val="20"/>
                <w:szCs w:val="20"/>
              </w:rPr>
              <w:t xml:space="preserve">: </w:t>
            </w:r>
          </w:p>
        </w:tc>
        <w:tc>
          <w:tcPr>
            <w:tcW w:w="5052" w:type="dxa"/>
          </w:tcPr>
          <w:p w14:paraId="5E4D2E5A" w14:textId="37861ED9" w:rsidR="00306B0F" w:rsidRPr="00F13B35" w:rsidRDefault="006D7C83" w:rsidP="00D452D2">
            <w:pPr>
              <w:rPr>
                <w:rFonts w:cs="Arial"/>
                <w:bCs/>
                <w:i/>
                <w:iCs/>
                <w:sz w:val="20"/>
                <w:szCs w:val="20"/>
              </w:rPr>
            </w:pPr>
            <w:hyperlink r:id="rId13" w:history="1">
              <w:r w:rsidR="00306B0F" w:rsidRPr="00F13B35">
                <w:rPr>
                  <w:rStyle w:val="Hyperlink"/>
                  <w:rFonts w:cs="Arial"/>
                  <w:sz w:val="20"/>
                  <w:szCs w:val="20"/>
                </w:rPr>
                <w:t>2015-2019</w:t>
              </w:r>
            </w:hyperlink>
            <w:r w:rsidR="00306B0F" w:rsidRPr="00F13B35">
              <w:rPr>
                <w:rFonts w:cs="Arial"/>
                <w:sz w:val="20"/>
                <w:szCs w:val="20"/>
              </w:rPr>
              <w:t>, </w:t>
            </w:r>
            <w:hyperlink r:id="rId14" w:history="1">
              <w:r w:rsidR="00306B0F" w:rsidRPr="00F13B35">
                <w:rPr>
                  <w:rStyle w:val="Hyperlink"/>
                  <w:rFonts w:cs="Arial"/>
                  <w:sz w:val="20"/>
                  <w:szCs w:val="20"/>
                </w:rPr>
                <w:t>2019</w:t>
              </w:r>
            </w:hyperlink>
            <w:r w:rsidR="00306B0F" w:rsidRPr="00F13B35">
              <w:rPr>
                <w:rFonts w:cs="Arial"/>
                <w:sz w:val="20"/>
                <w:szCs w:val="20"/>
              </w:rPr>
              <w:t>, </w:t>
            </w:r>
            <w:hyperlink r:id="rId15" w:history="1">
              <w:r w:rsidR="00306B0F" w:rsidRPr="00F13B35">
                <w:rPr>
                  <w:rStyle w:val="Hyperlink"/>
                  <w:rFonts w:cs="Arial"/>
                  <w:sz w:val="20"/>
                  <w:szCs w:val="20"/>
                </w:rPr>
                <w:t>2020</w:t>
              </w:r>
            </w:hyperlink>
            <w:r w:rsidR="009A2739">
              <w:rPr>
                <w:rStyle w:val="Hyperlink"/>
                <w:rFonts w:cs="Arial"/>
                <w:sz w:val="20"/>
                <w:szCs w:val="20"/>
              </w:rPr>
              <w:t xml:space="preserve">, </w:t>
            </w:r>
            <w:hyperlink r:id="rId16" w:history="1">
              <w:r w:rsidR="009A2739" w:rsidRPr="0038393B">
                <w:rPr>
                  <w:rStyle w:val="Hyperlink"/>
                  <w:rFonts w:cs="Arial"/>
                  <w:sz w:val="20"/>
                  <w:szCs w:val="20"/>
                </w:rPr>
                <w:t>2021</w:t>
              </w:r>
            </w:hyperlink>
          </w:p>
        </w:tc>
      </w:tr>
      <w:tr w:rsidR="0057457A" w:rsidRPr="00F70DBE" w14:paraId="1F4A85BB" w14:textId="77777777" w:rsidTr="00D452D2">
        <w:trPr>
          <w:trHeight w:val="403"/>
        </w:trPr>
        <w:tc>
          <w:tcPr>
            <w:tcW w:w="3969" w:type="dxa"/>
            <w:shd w:val="clear" w:color="auto" w:fill="B4C6E7" w:themeFill="accent1" w:themeFillTint="66"/>
          </w:tcPr>
          <w:p w14:paraId="38797221" w14:textId="77777777" w:rsidR="00306B0F" w:rsidRPr="00F70DBE" w:rsidRDefault="00306B0F" w:rsidP="00D452D2">
            <w:pPr>
              <w:rPr>
                <w:rFonts w:cs="Arial"/>
                <w:bCs/>
                <w:sz w:val="20"/>
                <w:szCs w:val="20"/>
              </w:rPr>
            </w:pPr>
            <w:r w:rsidRPr="00C2294A">
              <w:rPr>
                <w:rFonts w:cs="Arial"/>
                <w:bCs/>
                <w:sz w:val="20"/>
                <w:szCs w:val="20"/>
              </w:rPr>
              <w:t>Link to previous Annual Review</w:t>
            </w:r>
            <w:r>
              <w:rPr>
                <w:rFonts w:cs="Arial"/>
                <w:bCs/>
                <w:sz w:val="20"/>
                <w:szCs w:val="20"/>
              </w:rPr>
              <w:t>s:</w:t>
            </w:r>
          </w:p>
        </w:tc>
        <w:tc>
          <w:tcPr>
            <w:tcW w:w="5052" w:type="dxa"/>
          </w:tcPr>
          <w:p w14:paraId="261C1B28" w14:textId="77777777" w:rsidR="00306B0F" w:rsidRPr="00F13B35" w:rsidRDefault="006D7C83" w:rsidP="00D452D2">
            <w:pPr>
              <w:rPr>
                <w:rFonts w:cs="Arial"/>
                <w:bCs/>
                <w:i/>
                <w:iCs/>
                <w:sz w:val="20"/>
                <w:szCs w:val="20"/>
              </w:rPr>
            </w:pPr>
            <w:hyperlink r:id="rId17" w:history="1">
              <w:r w:rsidR="00306B0F" w:rsidRPr="00F13B35">
                <w:rPr>
                  <w:rStyle w:val="Hyperlink"/>
                  <w:rFonts w:cs="Arial"/>
                  <w:sz w:val="20"/>
                  <w:szCs w:val="20"/>
                </w:rPr>
                <w:t>2015-2016</w:t>
              </w:r>
            </w:hyperlink>
            <w:r w:rsidR="00306B0F" w:rsidRPr="00F13B35">
              <w:rPr>
                <w:rFonts w:cs="Arial"/>
                <w:sz w:val="20"/>
                <w:szCs w:val="20"/>
              </w:rPr>
              <w:t>, </w:t>
            </w:r>
            <w:hyperlink r:id="rId18" w:history="1">
              <w:r w:rsidR="00306B0F" w:rsidRPr="00F13B35">
                <w:rPr>
                  <w:rStyle w:val="Hyperlink"/>
                  <w:rFonts w:cs="Arial"/>
                  <w:sz w:val="20"/>
                  <w:szCs w:val="20"/>
                </w:rPr>
                <w:t>2016-2017</w:t>
              </w:r>
            </w:hyperlink>
            <w:r w:rsidR="00306B0F" w:rsidRPr="00F13B35">
              <w:rPr>
                <w:rFonts w:cs="Arial"/>
                <w:sz w:val="20"/>
                <w:szCs w:val="20"/>
              </w:rPr>
              <w:t>, </w:t>
            </w:r>
            <w:hyperlink r:id="rId19" w:history="1">
              <w:r w:rsidR="00306B0F" w:rsidRPr="00F13B35">
                <w:rPr>
                  <w:rStyle w:val="Hyperlink"/>
                  <w:rFonts w:cs="Arial"/>
                  <w:sz w:val="20"/>
                  <w:szCs w:val="20"/>
                </w:rPr>
                <w:t>2017-2018</w:t>
              </w:r>
            </w:hyperlink>
            <w:r w:rsidR="00306B0F" w:rsidRPr="00F13B35">
              <w:rPr>
                <w:rFonts w:cs="Arial"/>
                <w:sz w:val="20"/>
                <w:szCs w:val="20"/>
              </w:rPr>
              <w:t>, </w:t>
            </w:r>
            <w:hyperlink r:id="rId20" w:history="1">
              <w:r w:rsidR="00306B0F" w:rsidRPr="00F13B35">
                <w:rPr>
                  <w:rStyle w:val="Hyperlink"/>
                  <w:rFonts w:cs="Arial"/>
                  <w:sz w:val="20"/>
                  <w:szCs w:val="20"/>
                </w:rPr>
                <w:t>2019</w:t>
              </w:r>
            </w:hyperlink>
            <w:r w:rsidR="00306B0F" w:rsidRPr="00F13B35">
              <w:rPr>
                <w:rFonts w:cs="Arial"/>
                <w:sz w:val="20"/>
                <w:szCs w:val="20"/>
              </w:rPr>
              <w:t>, </w:t>
            </w:r>
            <w:hyperlink r:id="rId21" w:history="1">
              <w:r w:rsidR="00306B0F" w:rsidRPr="00F13B35">
                <w:rPr>
                  <w:rStyle w:val="Hyperlink"/>
                  <w:rFonts w:cs="Arial"/>
                  <w:sz w:val="20"/>
                  <w:szCs w:val="20"/>
                </w:rPr>
                <w:t>2020</w:t>
              </w:r>
            </w:hyperlink>
          </w:p>
        </w:tc>
      </w:tr>
    </w:tbl>
    <w:p w14:paraId="5664608E" w14:textId="77777777" w:rsidR="00306B0F" w:rsidRDefault="00306B0F" w:rsidP="00306B0F">
      <w:pPr>
        <w:rPr>
          <w:sz w:val="20"/>
          <w:szCs w:val="22"/>
        </w:rPr>
      </w:pPr>
    </w:p>
    <w:p w14:paraId="63D90D69" w14:textId="77777777" w:rsidR="00306B0F" w:rsidRPr="00CE0979" w:rsidRDefault="00306B0F" w:rsidP="00306B0F">
      <w:pPr>
        <w:pBdr>
          <w:top w:val="single" w:sz="4" w:space="1" w:color="auto"/>
          <w:left w:val="single" w:sz="4" w:space="4" w:color="auto"/>
          <w:bottom w:val="single" w:sz="4" w:space="1" w:color="auto"/>
          <w:right w:val="single" w:sz="4" w:space="4" w:color="auto"/>
        </w:pBdr>
        <w:shd w:val="clear" w:color="auto" w:fill="D9E2F3" w:themeFill="accent1" w:themeFillTint="33"/>
      </w:pPr>
      <w:r w:rsidRPr="00F70DBE">
        <w:rPr>
          <w:b/>
          <w:sz w:val="28"/>
        </w:rPr>
        <w:t xml:space="preserve">A. </w:t>
      </w:r>
      <w:r>
        <w:rPr>
          <w:b/>
          <w:sz w:val="28"/>
        </w:rPr>
        <w:t xml:space="preserve">SUMMARY AND OVERVIEW </w:t>
      </w:r>
    </w:p>
    <w:p w14:paraId="18E46F94" w14:textId="77777777" w:rsidR="00306B0F" w:rsidRDefault="00306B0F" w:rsidP="00306B0F">
      <w:pPr>
        <w:rPr>
          <w:b/>
          <w:sz w:val="22"/>
          <w:szCs w:val="22"/>
        </w:rPr>
      </w:pPr>
    </w:p>
    <w:p w14:paraId="0E9952F7" w14:textId="77777777" w:rsidR="00306B0F" w:rsidRPr="00A849A1" w:rsidRDefault="00306B0F" w:rsidP="00306B0F">
      <w:pPr>
        <w:rPr>
          <w:rFonts w:cs="Arial"/>
          <w:sz w:val="22"/>
          <w:szCs w:val="22"/>
        </w:rPr>
      </w:pPr>
      <w:r w:rsidRPr="00A849A1">
        <w:rPr>
          <w:b/>
          <w:sz w:val="22"/>
          <w:szCs w:val="22"/>
        </w:rPr>
        <w:t xml:space="preserve">Description of programme </w:t>
      </w:r>
    </w:p>
    <w:p w14:paraId="2B108B2C" w14:textId="77777777" w:rsidR="00306B0F" w:rsidRPr="00A849A1" w:rsidRDefault="00306B0F" w:rsidP="00306B0F">
      <w:pPr>
        <w:rPr>
          <w:b/>
          <w:sz w:val="22"/>
          <w:szCs w:val="22"/>
        </w:rPr>
      </w:pPr>
    </w:p>
    <w:p w14:paraId="34B7EEBA" w14:textId="77777777" w:rsidR="00306B0F" w:rsidRPr="00A849A1" w:rsidRDefault="00306B0F" w:rsidP="00306B0F">
      <w:pPr>
        <w:rPr>
          <w:sz w:val="22"/>
          <w:szCs w:val="22"/>
        </w:rPr>
      </w:pPr>
      <w:r w:rsidRPr="00A849A1">
        <w:rPr>
          <w:sz w:val="22"/>
          <w:szCs w:val="22"/>
        </w:rPr>
        <w:t xml:space="preserve">The Department for Business, Energy and Industrial Strategy’s (BEIS) International Climate Finance (ICF) £70 million international carbon capture, usage and storage (CCUS) programme is delivered through the World Bank (£35m) and the Asian Development Bank (ADB) (£35m). The programme </w:t>
      </w:r>
      <w:r>
        <w:rPr>
          <w:sz w:val="22"/>
          <w:szCs w:val="22"/>
        </w:rPr>
        <w:t>aims</w:t>
      </w:r>
      <w:r w:rsidRPr="00A849A1">
        <w:rPr>
          <w:sz w:val="22"/>
          <w:szCs w:val="22"/>
        </w:rPr>
        <w:t xml:space="preserve"> to increase the technical and institutional knowledge of CCUS within key developing countries by supporting pilot projects, capacity building, and the development of policy and regulatory frameworks. </w:t>
      </w:r>
    </w:p>
    <w:p w14:paraId="0F4E23F3" w14:textId="77777777" w:rsidR="00306B0F" w:rsidRPr="00A849A1" w:rsidRDefault="00306B0F" w:rsidP="00306B0F">
      <w:pPr>
        <w:rPr>
          <w:sz w:val="22"/>
          <w:szCs w:val="22"/>
        </w:rPr>
      </w:pPr>
    </w:p>
    <w:p w14:paraId="43C5D49A" w14:textId="77777777" w:rsidR="00306B0F" w:rsidRPr="00A849A1" w:rsidRDefault="00306B0F" w:rsidP="00306B0F">
      <w:pPr>
        <w:rPr>
          <w:sz w:val="22"/>
          <w:szCs w:val="22"/>
        </w:rPr>
      </w:pPr>
      <w:r w:rsidRPr="00A849A1">
        <w:rPr>
          <w:sz w:val="22"/>
          <w:szCs w:val="22"/>
        </w:rPr>
        <w:t>The original business case provided £60m</w:t>
      </w:r>
      <w:r>
        <w:rPr>
          <w:sz w:val="22"/>
          <w:szCs w:val="22"/>
        </w:rPr>
        <w:t xml:space="preserve"> of Official Development Assistance (ODA)</w:t>
      </w:r>
      <w:r w:rsidRPr="00A849A1">
        <w:rPr>
          <w:sz w:val="22"/>
          <w:szCs w:val="22"/>
        </w:rPr>
        <w:t xml:space="preserve"> in 2012, primarily to support Indonesia, South Africa and China. In 2017, a further £10m </w:t>
      </w:r>
      <w:r>
        <w:rPr>
          <w:sz w:val="22"/>
          <w:szCs w:val="22"/>
        </w:rPr>
        <w:t xml:space="preserve">ODA </w:t>
      </w:r>
      <w:r w:rsidRPr="00A849A1">
        <w:rPr>
          <w:sz w:val="22"/>
          <w:szCs w:val="22"/>
        </w:rPr>
        <w:t xml:space="preserve">capital contribution was provided to the World Bank to support pilot project development in South Africa and Mexico. </w:t>
      </w:r>
    </w:p>
    <w:p w14:paraId="177A020C" w14:textId="77777777" w:rsidR="00306B0F" w:rsidRPr="00A849A1" w:rsidRDefault="00306B0F" w:rsidP="00306B0F">
      <w:pPr>
        <w:rPr>
          <w:sz w:val="22"/>
          <w:szCs w:val="22"/>
        </w:rPr>
      </w:pPr>
    </w:p>
    <w:p w14:paraId="3EAD41A1" w14:textId="76364713" w:rsidR="00306B0F" w:rsidRPr="00A849A1" w:rsidRDefault="00306B0F" w:rsidP="00306B0F">
      <w:pPr>
        <w:rPr>
          <w:sz w:val="22"/>
          <w:szCs w:val="22"/>
        </w:rPr>
      </w:pPr>
      <w:r w:rsidRPr="00A849A1">
        <w:rPr>
          <w:rFonts w:eastAsiaTheme="minorEastAsia"/>
          <w:sz w:val="22"/>
          <w:szCs w:val="22"/>
        </w:rPr>
        <w:t>The UK is the largest investor in</w:t>
      </w:r>
      <w:r w:rsidR="0032780C">
        <w:rPr>
          <w:rFonts w:eastAsiaTheme="minorEastAsia"/>
          <w:sz w:val="22"/>
          <w:szCs w:val="22"/>
        </w:rPr>
        <w:t xml:space="preserve"> multilateral interventions in</w:t>
      </w:r>
      <w:r w:rsidRPr="00A849A1">
        <w:rPr>
          <w:rFonts w:eastAsiaTheme="minorEastAsia"/>
          <w:sz w:val="22"/>
          <w:szCs w:val="22"/>
        </w:rPr>
        <w:t xml:space="preserve"> CCUS globally. Domestically, the UK is committed to deploying CCUS this decade, with our ambition laid out in the ten-point plan for a green industrial revolution announced in November 2020. </w:t>
      </w:r>
      <w:r w:rsidRPr="00A849A1">
        <w:rPr>
          <w:sz w:val="22"/>
          <w:szCs w:val="22"/>
        </w:rPr>
        <w:t xml:space="preserve"> </w:t>
      </w:r>
    </w:p>
    <w:p w14:paraId="17BB8AF8" w14:textId="77777777" w:rsidR="00306B0F" w:rsidRPr="00A849A1" w:rsidRDefault="00306B0F" w:rsidP="00306B0F">
      <w:pPr>
        <w:rPr>
          <w:b/>
          <w:sz w:val="22"/>
          <w:szCs w:val="22"/>
        </w:rPr>
      </w:pPr>
    </w:p>
    <w:p w14:paraId="10CEF888" w14:textId="5CA834CB" w:rsidR="00306B0F" w:rsidRDefault="00306B0F" w:rsidP="00306B0F">
      <w:pPr>
        <w:rPr>
          <w:rFonts w:cs="Arial"/>
          <w:b/>
          <w:sz w:val="22"/>
          <w:szCs w:val="22"/>
        </w:rPr>
      </w:pPr>
      <w:r w:rsidRPr="00A849A1">
        <w:rPr>
          <w:rFonts w:cs="Arial"/>
          <w:b/>
          <w:sz w:val="22"/>
          <w:szCs w:val="22"/>
        </w:rPr>
        <w:t xml:space="preserve">Summary of progress and supporting narrative for the overall score in this review </w:t>
      </w:r>
    </w:p>
    <w:p w14:paraId="3BFE4828" w14:textId="77777777" w:rsidR="0011527C" w:rsidRPr="00A849A1" w:rsidRDefault="0011527C" w:rsidP="00306B0F">
      <w:pPr>
        <w:rPr>
          <w:rFonts w:cs="Arial"/>
          <w:b/>
          <w:sz w:val="22"/>
          <w:szCs w:val="22"/>
        </w:rPr>
      </w:pPr>
    </w:p>
    <w:p w14:paraId="651D1EC8" w14:textId="388E94F9" w:rsidR="00306B0F" w:rsidRDefault="00DE1B9A" w:rsidP="00306B0F">
      <w:pPr>
        <w:tabs>
          <w:tab w:val="left" w:pos="7020"/>
        </w:tabs>
        <w:rPr>
          <w:rFonts w:cs="Arial"/>
          <w:sz w:val="22"/>
          <w:szCs w:val="22"/>
        </w:rPr>
      </w:pPr>
      <w:r>
        <w:rPr>
          <w:rFonts w:cs="Arial"/>
          <w:sz w:val="22"/>
          <w:szCs w:val="22"/>
          <w:lang w:eastAsia="en-GB"/>
        </w:rPr>
        <w:t>Longer-term d</w:t>
      </w:r>
      <w:r w:rsidR="0050697B">
        <w:rPr>
          <w:rFonts w:cs="Arial"/>
          <w:sz w:val="22"/>
          <w:szCs w:val="22"/>
          <w:lang w:eastAsia="en-GB"/>
        </w:rPr>
        <w:t>elays</w:t>
      </w:r>
      <w:r w:rsidR="004C5EA5" w:rsidRPr="004C5EA5">
        <w:rPr>
          <w:rFonts w:cs="Arial"/>
          <w:sz w:val="22"/>
          <w:szCs w:val="22"/>
          <w:lang w:eastAsia="en-GB"/>
        </w:rPr>
        <w:t xml:space="preserve"> </w:t>
      </w:r>
      <w:r w:rsidR="004D74B0">
        <w:rPr>
          <w:rFonts w:cs="Arial"/>
          <w:sz w:val="22"/>
          <w:szCs w:val="22"/>
          <w:lang w:eastAsia="en-GB"/>
        </w:rPr>
        <w:t>(</w:t>
      </w:r>
      <w:r w:rsidR="00F553E7">
        <w:rPr>
          <w:rFonts w:cs="Arial"/>
          <w:sz w:val="22"/>
          <w:szCs w:val="22"/>
          <w:lang w:eastAsia="en-GB"/>
        </w:rPr>
        <w:t>originating in</w:t>
      </w:r>
      <w:r w:rsidR="004D74B0">
        <w:rPr>
          <w:rFonts w:cs="Arial"/>
          <w:sz w:val="22"/>
          <w:szCs w:val="22"/>
          <w:lang w:eastAsia="en-GB"/>
        </w:rPr>
        <w:t xml:space="preserve"> 2018) </w:t>
      </w:r>
      <w:r w:rsidR="004C5EA5">
        <w:rPr>
          <w:rFonts w:cs="Arial"/>
          <w:sz w:val="22"/>
          <w:szCs w:val="22"/>
          <w:lang w:eastAsia="en-GB"/>
        </w:rPr>
        <w:t xml:space="preserve">to </w:t>
      </w:r>
      <w:r w:rsidR="004C5EA5" w:rsidRPr="0064215D">
        <w:rPr>
          <w:rFonts w:cs="Arial"/>
          <w:sz w:val="22"/>
          <w:szCs w:val="22"/>
          <w:lang w:eastAsia="en-GB"/>
        </w:rPr>
        <w:t>the implementation of pilot project activitie</w:t>
      </w:r>
      <w:r w:rsidR="004C5EA5">
        <w:rPr>
          <w:rFonts w:cs="Arial"/>
          <w:sz w:val="22"/>
          <w:szCs w:val="22"/>
          <w:lang w:eastAsia="en-GB"/>
        </w:rPr>
        <w:t>s</w:t>
      </w:r>
      <w:r w:rsidR="004C5EA5" w:rsidRPr="0064215D">
        <w:rPr>
          <w:rFonts w:cs="Arial"/>
          <w:sz w:val="22"/>
          <w:szCs w:val="22"/>
          <w:lang w:eastAsia="en-GB"/>
        </w:rPr>
        <w:t xml:space="preserve"> and legal, regulatory and policy</w:t>
      </w:r>
      <w:r w:rsidR="002A0949">
        <w:rPr>
          <w:rFonts w:cs="Arial"/>
          <w:sz w:val="22"/>
          <w:szCs w:val="22"/>
          <w:lang w:eastAsia="en-GB"/>
        </w:rPr>
        <w:t xml:space="preserve"> activities</w:t>
      </w:r>
      <w:r w:rsidR="00335495">
        <w:rPr>
          <w:rFonts w:cs="Arial"/>
          <w:sz w:val="22"/>
          <w:szCs w:val="22"/>
          <w:lang w:eastAsia="en-GB"/>
        </w:rPr>
        <w:t xml:space="preserve"> </w:t>
      </w:r>
      <w:r w:rsidR="0050697B">
        <w:rPr>
          <w:rFonts w:cs="Arial"/>
          <w:sz w:val="22"/>
          <w:szCs w:val="22"/>
          <w:lang w:eastAsia="en-GB"/>
        </w:rPr>
        <w:t xml:space="preserve">continued </w:t>
      </w:r>
      <w:r w:rsidR="00B6555F">
        <w:rPr>
          <w:rFonts w:cs="Arial"/>
          <w:sz w:val="22"/>
          <w:szCs w:val="22"/>
          <w:lang w:eastAsia="en-GB"/>
        </w:rPr>
        <w:t>in 2020</w:t>
      </w:r>
      <w:r w:rsidR="0011527C">
        <w:rPr>
          <w:rFonts w:cs="Arial"/>
          <w:sz w:val="22"/>
          <w:szCs w:val="22"/>
          <w:lang w:eastAsia="en-GB"/>
        </w:rPr>
        <w:t>.</w:t>
      </w:r>
      <w:r w:rsidR="00306B0F">
        <w:rPr>
          <w:rFonts w:cs="Arial"/>
          <w:sz w:val="22"/>
          <w:szCs w:val="22"/>
          <w:lang w:eastAsia="en-GB"/>
        </w:rPr>
        <w:t xml:space="preserve"> </w:t>
      </w:r>
      <w:r w:rsidR="00306B0F" w:rsidRPr="00A849A1">
        <w:rPr>
          <w:rFonts w:cs="Arial"/>
          <w:sz w:val="22"/>
          <w:szCs w:val="22"/>
        </w:rPr>
        <w:t>T</w:t>
      </w:r>
      <w:r w:rsidR="00306B0F">
        <w:rPr>
          <w:rFonts w:cs="Arial"/>
          <w:sz w:val="22"/>
          <w:szCs w:val="22"/>
        </w:rPr>
        <w:t xml:space="preserve">echnical issues at pilot project sites and </w:t>
      </w:r>
      <w:r w:rsidR="00204A4C">
        <w:rPr>
          <w:rFonts w:cs="Arial"/>
          <w:sz w:val="22"/>
          <w:szCs w:val="22"/>
        </w:rPr>
        <w:t xml:space="preserve">on-going delays to </w:t>
      </w:r>
      <w:r w:rsidR="00BD1916">
        <w:rPr>
          <w:rFonts w:cs="Arial"/>
          <w:sz w:val="22"/>
          <w:szCs w:val="22"/>
        </w:rPr>
        <w:t xml:space="preserve">their </w:t>
      </w:r>
      <w:r w:rsidR="00522517">
        <w:rPr>
          <w:rFonts w:cs="Arial"/>
          <w:sz w:val="22"/>
          <w:szCs w:val="22"/>
        </w:rPr>
        <w:t xml:space="preserve">final </w:t>
      </w:r>
      <w:r w:rsidR="00BD1916">
        <w:rPr>
          <w:rFonts w:cs="Arial"/>
          <w:sz w:val="22"/>
          <w:szCs w:val="22"/>
        </w:rPr>
        <w:t xml:space="preserve">approvals </w:t>
      </w:r>
      <w:r w:rsidR="00D7087B">
        <w:rPr>
          <w:rFonts w:cs="Arial"/>
          <w:sz w:val="22"/>
          <w:szCs w:val="22"/>
        </w:rPr>
        <w:t>in</w:t>
      </w:r>
      <w:r w:rsidR="00BD1916">
        <w:rPr>
          <w:rFonts w:cs="Arial"/>
          <w:sz w:val="22"/>
          <w:szCs w:val="22"/>
        </w:rPr>
        <w:t xml:space="preserve"> </w:t>
      </w:r>
      <w:r w:rsidR="00D22BC6">
        <w:rPr>
          <w:rFonts w:cs="Arial"/>
          <w:sz w:val="22"/>
          <w:szCs w:val="22"/>
        </w:rPr>
        <w:t xml:space="preserve">supported </w:t>
      </w:r>
      <w:r w:rsidR="00204A4C">
        <w:rPr>
          <w:rFonts w:cs="Arial"/>
          <w:sz w:val="22"/>
          <w:szCs w:val="22"/>
        </w:rPr>
        <w:t>government</w:t>
      </w:r>
      <w:r w:rsidR="00522517">
        <w:rPr>
          <w:rFonts w:cs="Arial"/>
          <w:sz w:val="22"/>
          <w:szCs w:val="22"/>
        </w:rPr>
        <w:t>s</w:t>
      </w:r>
      <w:r w:rsidR="00204A4C">
        <w:rPr>
          <w:rFonts w:cs="Arial"/>
          <w:sz w:val="22"/>
          <w:szCs w:val="22"/>
        </w:rPr>
        <w:t xml:space="preserve"> </w:t>
      </w:r>
      <w:r w:rsidR="00306B0F">
        <w:rPr>
          <w:rFonts w:cs="Arial"/>
          <w:sz w:val="22"/>
          <w:szCs w:val="22"/>
        </w:rPr>
        <w:t>were further exacerbated by the</w:t>
      </w:r>
      <w:r w:rsidR="00306B0F" w:rsidRPr="00A849A1">
        <w:rPr>
          <w:rFonts w:cs="Arial"/>
          <w:sz w:val="22"/>
          <w:szCs w:val="22"/>
        </w:rPr>
        <w:t xml:space="preserve"> </w:t>
      </w:r>
      <w:r w:rsidR="00306B0F">
        <w:rPr>
          <w:rFonts w:cs="Arial"/>
          <w:sz w:val="22"/>
          <w:szCs w:val="22"/>
        </w:rPr>
        <w:t xml:space="preserve">impacts of the </w:t>
      </w:r>
      <w:r w:rsidR="00306B0F" w:rsidRPr="00A849A1">
        <w:rPr>
          <w:rFonts w:cs="Arial"/>
          <w:sz w:val="22"/>
          <w:szCs w:val="22"/>
        </w:rPr>
        <w:t>COVID</w:t>
      </w:r>
      <w:r w:rsidR="00D66285">
        <w:rPr>
          <w:rFonts w:cs="Arial"/>
          <w:sz w:val="22"/>
          <w:szCs w:val="22"/>
        </w:rPr>
        <w:t>-</w:t>
      </w:r>
      <w:r w:rsidR="00306B0F" w:rsidRPr="00A849A1">
        <w:rPr>
          <w:rFonts w:cs="Arial"/>
          <w:sz w:val="22"/>
          <w:szCs w:val="22"/>
        </w:rPr>
        <w:t>19 pandemic</w:t>
      </w:r>
      <w:r w:rsidR="00D66285">
        <w:rPr>
          <w:rFonts w:cs="Arial"/>
          <w:sz w:val="22"/>
          <w:szCs w:val="22"/>
        </w:rPr>
        <w:t xml:space="preserve"> putting pressure on the public budgets of </w:t>
      </w:r>
      <w:r w:rsidR="007A558D">
        <w:rPr>
          <w:rFonts w:cs="Arial"/>
          <w:sz w:val="22"/>
          <w:szCs w:val="22"/>
        </w:rPr>
        <w:t>those countries</w:t>
      </w:r>
      <w:r w:rsidR="00306B0F" w:rsidRPr="00A849A1">
        <w:rPr>
          <w:rFonts w:cs="Arial"/>
          <w:sz w:val="22"/>
          <w:szCs w:val="22"/>
        </w:rPr>
        <w:t xml:space="preserve">. </w:t>
      </w:r>
      <w:r w:rsidR="00306B0F">
        <w:rPr>
          <w:rFonts w:cs="Arial"/>
          <w:sz w:val="22"/>
          <w:szCs w:val="22"/>
        </w:rPr>
        <w:t xml:space="preserve">The disbursement rate of the programme is off-track with </w:t>
      </w:r>
      <w:r w:rsidR="00306B0F">
        <w:rPr>
          <w:rFonts w:cs="Arial"/>
          <w:sz w:val="22"/>
          <w:szCs w:val="22"/>
          <w:lang w:eastAsia="en-GB"/>
        </w:rPr>
        <w:t>53% of BEIS’s investment yet to be encashed</w:t>
      </w:r>
      <w:r w:rsidR="00085C01">
        <w:rPr>
          <w:rFonts w:cs="Arial"/>
          <w:sz w:val="22"/>
          <w:szCs w:val="22"/>
          <w:lang w:eastAsia="en-GB"/>
        </w:rPr>
        <w:t xml:space="preserve">. </w:t>
      </w:r>
      <w:r w:rsidR="00FA6591">
        <w:rPr>
          <w:rFonts w:cs="Arial"/>
          <w:sz w:val="22"/>
          <w:szCs w:val="22"/>
          <w:lang w:eastAsia="en-GB"/>
        </w:rPr>
        <w:t xml:space="preserve">The </w:t>
      </w:r>
      <w:r w:rsidR="00085C01">
        <w:rPr>
          <w:rFonts w:cs="Arial"/>
          <w:sz w:val="22"/>
          <w:szCs w:val="22"/>
          <w:lang w:eastAsia="en-GB"/>
        </w:rPr>
        <w:t xml:space="preserve">£35m </w:t>
      </w:r>
      <w:r w:rsidR="00FA6591">
        <w:rPr>
          <w:rFonts w:cs="Arial"/>
          <w:sz w:val="22"/>
          <w:szCs w:val="22"/>
          <w:lang w:eastAsia="en-GB"/>
        </w:rPr>
        <w:t xml:space="preserve">provided </w:t>
      </w:r>
      <w:r w:rsidR="00085C01">
        <w:rPr>
          <w:rFonts w:cs="Arial"/>
          <w:sz w:val="22"/>
          <w:szCs w:val="22"/>
          <w:lang w:eastAsia="en-GB"/>
        </w:rPr>
        <w:t xml:space="preserve">to the ADB </w:t>
      </w:r>
      <w:r w:rsidR="00D42556">
        <w:rPr>
          <w:rFonts w:cs="Arial"/>
          <w:sz w:val="22"/>
          <w:szCs w:val="22"/>
          <w:lang w:eastAsia="en-GB"/>
        </w:rPr>
        <w:t xml:space="preserve">was </w:t>
      </w:r>
      <w:r w:rsidR="00085C01">
        <w:rPr>
          <w:rFonts w:cs="Arial"/>
          <w:sz w:val="22"/>
          <w:szCs w:val="22"/>
          <w:lang w:eastAsia="en-GB"/>
        </w:rPr>
        <w:t>originally expected to be fully encashed by December 2014</w:t>
      </w:r>
      <w:r w:rsidR="00306B0F">
        <w:rPr>
          <w:rFonts w:cs="Arial"/>
          <w:sz w:val="22"/>
          <w:szCs w:val="22"/>
          <w:lang w:eastAsia="en-GB"/>
        </w:rPr>
        <w:t>.</w:t>
      </w:r>
      <w:r w:rsidR="00925BED">
        <w:rPr>
          <w:rFonts w:cs="Arial"/>
          <w:sz w:val="22"/>
          <w:szCs w:val="22"/>
          <w:lang w:eastAsia="en-GB"/>
        </w:rPr>
        <w:t xml:space="preserve"> The </w:t>
      </w:r>
      <w:r w:rsidR="00690EAB">
        <w:rPr>
          <w:rFonts w:cs="Arial"/>
          <w:sz w:val="22"/>
          <w:szCs w:val="22"/>
          <w:lang w:eastAsia="en-GB"/>
        </w:rPr>
        <w:t xml:space="preserve">£35m provided to the World Bank was expected to be fully </w:t>
      </w:r>
      <w:r w:rsidR="00C224CD">
        <w:rPr>
          <w:rFonts w:cs="Arial"/>
          <w:sz w:val="22"/>
          <w:szCs w:val="22"/>
          <w:lang w:eastAsia="en-GB"/>
        </w:rPr>
        <w:t xml:space="preserve">encashed and </w:t>
      </w:r>
      <w:r w:rsidR="00690EAB">
        <w:rPr>
          <w:rFonts w:cs="Arial"/>
          <w:sz w:val="22"/>
          <w:szCs w:val="22"/>
          <w:lang w:eastAsia="en-GB"/>
        </w:rPr>
        <w:t>disbursed by December 2023</w:t>
      </w:r>
      <w:r w:rsidR="009D59C5">
        <w:rPr>
          <w:rFonts w:cs="Arial"/>
          <w:sz w:val="22"/>
          <w:szCs w:val="22"/>
          <w:lang w:eastAsia="en-GB"/>
        </w:rPr>
        <w:t>,</w:t>
      </w:r>
      <w:r w:rsidR="00C224CD">
        <w:rPr>
          <w:rFonts w:cs="Arial"/>
          <w:sz w:val="22"/>
          <w:szCs w:val="22"/>
          <w:lang w:eastAsia="en-GB"/>
        </w:rPr>
        <w:t xml:space="preserve"> which BEIS judges as unlikely</w:t>
      </w:r>
      <w:r w:rsidR="00BE11D7">
        <w:rPr>
          <w:rFonts w:cs="Arial"/>
          <w:sz w:val="22"/>
          <w:szCs w:val="22"/>
          <w:lang w:eastAsia="en-GB"/>
        </w:rPr>
        <w:t>.</w:t>
      </w:r>
      <w:r w:rsidR="00306B0F">
        <w:rPr>
          <w:rFonts w:cs="Arial"/>
          <w:sz w:val="22"/>
          <w:szCs w:val="22"/>
          <w:lang w:eastAsia="en-GB"/>
        </w:rPr>
        <w:t xml:space="preserve"> </w:t>
      </w:r>
      <w:r w:rsidR="00306B0F" w:rsidRPr="0064215D">
        <w:rPr>
          <w:rFonts w:cs="Arial"/>
          <w:sz w:val="22"/>
          <w:szCs w:val="22"/>
        </w:rPr>
        <w:t>The</w:t>
      </w:r>
      <w:r w:rsidR="00306B0F">
        <w:rPr>
          <w:rFonts w:cs="Arial"/>
          <w:sz w:val="22"/>
          <w:szCs w:val="22"/>
        </w:rPr>
        <w:t>se issues mean that the</w:t>
      </w:r>
      <w:r w:rsidR="00306B0F" w:rsidRPr="0064215D">
        <w:rPr>
          <w:rFonts w:cs="Arial"/>
          <w:sz w:val="22"/>
          <w:szCs w:val="22"/>
        </w:rPr>
        <w:t xml:space="preserve"> </w:t>
      </w:r>
      <w:r w:rsidR="00306B0F">
        <w:rPr>
          <w:rFonts w:cs="Arial"/>
          <w:sz w:val="22"/>
          <w:szCs w:val="22"/>
        </w:rPr>
        <w:t xml:space="preserve">programme is no longer on track to fully meet the objectives of the business cases. </w:t>
      </w:r>
    </w:p>
    <w:p w14:paraId="2932D678" w14:textId="05E1BE7D" w:rsidR="00306B0F" w:rsidRDefault="00800B48" w:rsidP="00800B48">
      <w:pPr>
        <w:tabs>
          <w:tab w:val="left" w:pos="7020"/>
        </w:tabs>
        <w:rPr>
          <w:rFonts w:cs="Arial"/>
          <w:sz w:val="22"/>
          <w:szCs w:val="22"/>
        </w:rPr>
      </w:pPr>
      <w:r>
        <w:rPr>
          <w:rFonts w:cs="Arial"/>
          <w:sz w:val="22"/>
          <w:szCs w:val="22"/>
        </w:rPr>
        <w:tab/>
      </w:r>
    </w:p>
    <w:p w14:paraId="3711E2A1" w14:textId="5DB47C17" w:rsidR="00982866" w:rsidRDefault="00306B0F" w:rsidP="00306B0F">
      <w:pPr>
        <w:rPr>
          <w:sz w:val="22"/>
          <w:szCs w:val="22"/>
        </w:rPr>
      </w:pPr>
      <w:r>
        <w:rPr>
          <w:rFonts w:cs="Arial"/>
          <w:sz w:val="22"/>
          <w:szCs w:val="22"/>
        </w:rPr>
        <w:t xml:space="preserve">This year the Programme </w:t>
      </w:r>
      <w:r w:rsidR="00BC55DE">
        <w:rPr>
          <w:rFonts w:cs="Arial"/>
          <w:sz w:val="22"/>
          <w:szCs w:val="22"/>
        </w:rPr>
        <w:t xml:space="preserve">is assessed to be substantially failing to meet expectations (a </w:t>
      </w:r>
      <w:r w:rsidR="001312CF">
        <w:rPr>
          <w:rFonts w:cs="Arial"/>
          <w:sz w:val="22"/>
          <w:szCs w:val="22"/>
        </w:rPr>
        <w:t>C score</w:t>
      </w:r>
      <w:r w:rsidR="00BC55DE">
        <w:rPr>
          <w:rFonts w:cs="Arial"/>
          <w:sz w:val="22"/>
          <w:szCs w:val="22"/>
        </w:rPr>
        <w:t>) having been assessed in the two prior Annual Reviews as moderately failing to meet expectations</w:t>
      </w:r>
      <w:r w:rsidR="00377DD6">
        <w:rPr>
          <w:rFonts w:cs="Arial"/>
          <w:sz w:val="22"/>
          <w:szCs w:val="22"/>
        </w:rPr>
        <w:t xml:space="preserve">. </w:t>
      </w:r>
      <w:r w:rsidR="00377DD6">
        <w:rPr>
          <w:sz w:val="22"/>
          <w:szCs w:val="22"/>
        </w:rPr>
        <w:t>F</w:t>
      </w:r>
      <w:r w:rsidR="00B65C0C">
        <w:rPr>
          <w:sz w:val="22"/>
          <w:szCs w:val="22"/>
        </w:rPr>
        <w:t>i</w:t>
      </w:r>
      <w:r w:rsidRPr="00F37F11">
        <w:rPr>
          <w:sz w:val="22"/>
          <w:szCs w:val="22"/>
        </w:rPr>
        <w:t xml:space="preserve">ve out of six </w:t>
      </w:r>
      <w:r>
        <w:rPr>
          <w:sz w:val="22"/>
          <w:szCs w:val="22"/>
        </w:rPr>
        <w:t xml:space="preserve">output statement </w:t>
      </w:r>
      <w:r w:rsidRPr="00F37F11">
        <w:rPr>
          <w:sz w:val="22"/>
          <w:szCs w:val="22"/>
        </w:rPr>
        <w:t xml:space="preserve">milestones </w:t>
      </w:r>
      <w:r>
        <w:rPr>
          <w:sz w:val="22"/>
          <w:szCs w:val="22"/>
        </w:rPr>
        <w:t xml:space="preserve">were not met </w:t>
      </w:r>
      <w:r w:rsidRPr="00F37F11">
        <w:rPr>
          <w:sz w:val="22"/>
          <w:szCs w:val="22"/>
        </w:rPr>
        <w:t xml:space="preserve">in 2020. </w:t>
      </w:r>
      <w:r w:rsidR="004D0677">
        <w:rPr>
          <w:sz w:val="22"/>
          <w:szCs w:val="22"/>
        </w:rPr>
        <w:t xml:space="preserve">BEIS expected four countries to </w:t>
      </w:r>
      <w:r w:rsidR="002F662E">
        <w:rPr>
          <w:sz w:val="22"/>
          <w:szCs w:val="22"/>
        </w:rPr>
        <w:t xml:space="preserve">move </w:t>
      </w:r>
      <w:r w:rsidR="00AC2AD9">
        <w:rPr>
          <w:sz w:val="22"/>
          <w:szCs w:val="22"/>
        </w:rPr>
        <w:t xml:space="preserve">pilot projects </w:t>
      </w:r>
      <w:r w:rsidR="002F662E">
        <w:rPr>
          <w:sz w:val="22"/>
          <w:szCs w:val="22"/>
        </w:rPr>
        <w:t>into the implementation phase</w:t>
      </w:r>
      <w:r w:rsidR="00AC2AD9">
        <w:rPr>
          <w:sz w:val="22"/>
          <w:szCs w:val="22"/>
        </w:rPr>
        <w:t xml:space="preserve"> and two </w:t>
      </w:r>
      <w:r w:rsidR="00AC2AD9">
        <w:rPr>
          <w:sz w:val="22"/>
          <w:szCs w:val="22"/>
        </w:rPr>
        <w:lastRenderedPageBreak/>
        <w:t xml:space="preserve">countries to undertake seismic or </w:t>
      </w:r>
      <w:r w:rsidR="00C961ED">
        <w:rPr>
          <w:sz w:val="22"/>
          <w:szCs w:val="22"/>
        </w:rPr>
        <w:t xml:space="preserve">other related geological tests. None were conducted in 2020. </w:t>
      </w:r>
      <w:r>
        <w:rPr>
          <w:sz w:val="22"/>
          <w:szCs w:val="22"/>
        </w:rPr>
        <w:t xml:space="preserve">Capacity building </w:t>
      </w:r>
      <w:r w:rsidR="004B315A">
        <w:rPr>
          <w:sz w:val="22"/>
          <w:szCs w:val="22"/>
        </w:rPr>
        <w:t>events</w:t>
      </w:r>
      <w:r>
        <w:rPr>
          <w:sz w:val="22"/>
          <w:szCs w:val="22"/>
        </w:rPr>
        <w:t xml:space="preserve"> were hosted virtually, </w:t>
      </w:r>
      <w:r w:rsidR="004B315A">
        <w:rPr>
          <w:sz w:val="22"/>
          <w:szCs w:val="22"/>
        </w:rPr>
        <w:t>and</w:t>
      </w:r>
      <w:r>
        <w:rPr>
          <w:sz w:val="22"/>
          <w:szCs w:val="22"/>
        </w:rPr>
        <w:t xml:space="preserve"> the global decarbonising natural gas </w:t>
      </w:r>
      <w:r w:rsidR="004B315A">
        <w:rPr>
          <w:sz w:val="22"/>
          <w:szCs w:val="22"/>
        </w:rPr>
        <w:t xml:space="preserve">study </w:t>
      </w:r>
      <w:r>
        <w:rPr>
          <w:sz w:val="22"/>
          <w:szCs w:val="22"/>
        </w:rPr>
        <w:t>capacity building activities faced further delays and will not conclude until 2021. Mexico show</w:t>
      </w:r>
      <w:r w:rsidR="00CB07D7">
        <w:rPr>
          <w:sz w:val="22"/>
          <w:szCs w:val="22"/>
        </w:rPr>
        <w:t>ed</w:t>
      </w:r>
      <w:r>
        <w:rPr>
          <w:sz w:val="22"/>
          <w:szCs w:val="22"/>
        </w:rPr>
        <w:t xml:space="preserve"> intent to conduct pre-feasibility studies for new pilot projects in 2020 and two commenced in India in 2020.</w:t>
      </w:r>
    </w:p>
    <w:p w14:paraId="7A0FB091" w14:textId="77777777" w:rsidR="00687563" w:rsidRPr="00BB49FB" w:rsidRDefault="00687563" w:rsidP="00306B0F">
      <w:pPr>
        <w:rPr>
          <w:sz w:val="22"/>
          <w:szCs w:val="22"/>
        </w:rPr>
      </w:pPr>
    </w:p>
    <w:p w14:paraId="70385F2F" w14:textId="77777777" w:rsidR="00306B0F" w:rsidRPr="00A849A1" w:rsidRDefault="00306B0F" w:rsidP="00306B0F">
      <w:pPr>
        <w:rPr>
          <w:bCs/>
          <w:sz w:val="22"/>
          <w:szCs w:val="22"/>
          <w:lang w:val="en"/>
        </w:rPr>
      </w:pPr>
      <w:r w:rsidRPr="00A849A1">
        <w:rPr>
          <w:bCs/>
          <w:sz w:val="22"/>
          <w:szCs w:val="22"/>
          <w:lang w:val="en"/>
        </w:rPr>
        <w:t xml:space="preserve">Key highlights from 2020: </w:t>
      </w:r>
    </w:p>
    <w:p w14:paraId="3DA88AFB" w14:textId="06125E73" w:rsidR="00306B0F" w:rsidRPr="00A849A1" w:rsidRDefault="00306B0F" w:rsidP="00306B0F">
      <w:pPr>
        <w:pStyle w:val="ListParagraph"/>
        <w:numPr>
          <w:ilvl w:val="0"/>
          <w:numId w:val="11"/>
        </w:numPr>
        <w:rPr>
          <w:sz w:val="22"/>
          <w:szCs w:val="22"/>
        </w:rPr>
      </w:pPr>
      <w:r w:rsidRPr="00A849A1">
        <w:rPr>
          <w:sz w:val="22"/>
          <w:szCs w:val="22"/>
        </w:rPr>
        <w:t>Mexico: The Secretariat of Environment and Natural Resources (SEMARNAT) officially requested technical assistance</w:t>
      </w:r>
      <w:r w:rsidR="00882389">
        <w:rPr>
          <w:sz w:val="22"/>
          <w:szCs w:val="22"/>
        </w:rPr>
        <w:t>. A</w:t>
      </w:r>
      <w:r>
        <w:rPr>
          <w:sz w:val="22"/>
          <w:szCs w:val="22"/>
        </w:rPr>
        <w:t>ctivities for the Mexican Official Standard on CCUS progressed</w:t>
      </w:r>
      <w:r w:rsidRPr="00A849A1">
        <w:rPr>
          <w:sz w:val="22"/>
          <w:szCs w:val="22"/>
        </w:rPr>
        <w:t xml:space="preserve"> (World Bank).  </w:t>
      </w:r>
    </w:p>
    <w:p w14:paraId="05E8913C" w14:textId="77777777" w:rsidR="00306B0F" w:rsidRPr="00A849A1" w:rsidRDefault="00306B0F" w:rsidP="00306B0F">
      <w:pPr>
        <w:pStyle w:val="ListParagraph"/>
        <w:numPr>
          <w:ilvl w:val="0"/>
          <w:numId w:val="11"/>
        </w:numPr>
        <w:rPr>
          <w:sz w:val="22"/>
          <w:szCs w:val="22"/>
        </w:rPr>
      </w:pPr>
      <w:r w:rsidRPr="00A849A1">
        <w:rPr>
          <w:sz w:val="22"/>
          <w:szCs w:val="22"/>
        </w:rPr>
        <w:t xml:space="preserve">South Africa: discussions began on the restructure of the Grant Agreement to transfer responsibility for the Technical Assistance Programme from the South African National Energy Development Institute (SANEDI) to the Council for Geosciences and to move the carbon storage pilot project away from the Zululand Basin (World Bank). </w:t>
      </w:r>
    </w:p>
    <w:p w14:paraId="46185A4D" w14:textId="77777777" w:rsidR="00306B0F" w:rsidRPr="00A849A1" w:rsidRDefault="00306B0F" w:rsidP="00306B0F">
      <w:pPr>
        <w:pStyle w:val="ListParagraph"/>
        <w:numPr>
          <w:ilvl w:val="0"/>
          <w:numId w:val="11"/>
        </w:numPr>
        <w:rPr>
          <w:sz w:val="22"/>
          <w:szCs w:val="22"/>
        </w:rPr>
      </w:pPr>
      <w:r w:rsidRPr="00A849A1">
        <w:rPr>
          <w:sz w:val="22"/>
          <w:szCs w:val="22"/>
        </w:rPr>
        <w:t>Bangladesh: Bangladesh’s Ministry of Power was supported with a Carbon Capture and Usage (CCU) readiness study (ADB).</w:t>
      </w:r>
    </w:p>
    <w:p w14:paraId="2F4D1BF5" w14:textId="77777777" w:rsidR="00306B0F" w:rsidRPr="00A849A1" w:rsidRDefault="00306B0F" w:rsidP="00306B0F">
      <w:pPr>
        <w:pStyle w:val="ListParagraph"/>
        <w:numPr>
          <w:ilvl w:val="0"/>
          <w:numId w:val="11"/>
        </w:numPr>
        <w:rPr>
          <w:sz w:val="22"/>
          <w:szCs w:val="22"/>
        </w:rPr>
      </w:pPr>
      <w:r w:rsidRPr="00A849A1">
        <w:rPr>
          <w:sz w:val="22"/>
          <w:szCs w:val="22"/>
        </w:rPr>
        <w:t>India: two pre</w:t>
      </w:r>
      <w:r>
        <w:rPr>
          <w:sz w:val="22"/>
          <w:szCs w:val="22"/>
        </w:rPr>
        <w:t>-</w:t>
      </w:r>
      <w:r w:rsidRPr="00A849A1">
        <w:rPr>
          <w:sz w:val="22"/>
          <w:szCs w:val="22"/>
        </w:rPr>
        <w:t>feasibility studies commenced with Indian Oil Corporation Ltd</w:t>
      </w:r>
      <w:r>
        <w:rPr>
          <w:sz w:val="22"/>
          <w:szCs w:val="22"/>
        </w:rPr>
        <w:t xml:space="preserve"> and Dalmia Cement</w:t>
      </w:r>
      <w:r w:rsidRPr="00A849A1">
        <w:rPr>
          <w:sz w:val="22"/>
          <w:szCs w:val="22"/>
        </w:rPr>
        <w:t xml:space="preserve"> (ADB). Early engagement with a private cement manufacturer (World Bank, in partnership with the International Finance Corporation (IFC)).</w:t>
      </w:r>
    </w:p>
    <w:p w14:paraId="3C3653A1" w14:textId="77777777" w:rsidR="00306B0F" w:rsidRPr="00A849A1" w:rsidRDefault="00306B0F" w:rsidP="00306B0F">
      <w:pPr>
        <w:pStyle w:val="ListParagraph"/>
        <w:numPr>
          <w:ilvl w:val="0"/>
          <w:numId w:val="11"/>
        </w:numPr>
        <w:rPr>
          <w:sz w:val="22"/>
          <w:szCs w:val="22"/>
        </w:rPr>
      </w:pPr>
      <w:r w:rsidRPr="00A849A1">
        <w:rPr>
          <w:sz w:val="22"/>
          <w:szCs w:val="22"/>
        </w:rPr>
        <w:t>China: a consultant was appointed to conduct feasibility studies at the Yanchang demonstration project (ADB).</w:t>
      </w:r>
    </w:p>
    <w:p w14:paraId="0B332839" w14:textId="77777777" w:rsidR="00306B0F" w:rsidRPr="00A849A1" w:rsidRDefault="00306B0F" w:rsidP="00306B0F">
      <w:pPr>
        <w:rPr>
          <w:b/>
          <w:sz w:val="22"/>
          <w:szCs w:val="22"/>
        </w:rPr>
      </w:pPr>
      <w:r w:rsidRPr="00A849A1">
        <w:rPr>
          <w:b/>
          <w:sz w:val="22"/>
          <w:szCs w:val="22"/>
        </w:rPr>
        <w:t>Progress against recommendations from the last review</w:t>
      </w:r>
    </w:p>
    <w:p w14:paraId="449AD94A" w14:textId="77777777" w:rsidR="00306B0F" w:rsidRPr="00A849A1" w:rsidRDefault="00306B0F" w:rsidP="00306B0F">
      <w:pPr>
        <w:rPr>
          <w:b/>
          <w:sz w:val="22"/>
          <w:szCs w:val="22"/>
        </w:rPr>
      </w:pPr>
    </w:p>
    <w:tbl>
      <w:tblPr>
        <w:tblStyle w:val="TableGrid"/>
        <w:tblW w:w="0" w:type="auto"/>
        <w:tblLook w:val="04A0" w:firstRow="1" w:lastRow="0" w:firstColumn="1" w:lastColumn="0" w:noHBand="0" w:noVBand="1"/>
      </w:tblPr>
      <w:tblGrid>
        <w:gridCol w:w="4390"/>
        <w:gridCol w:w="4626"/>
      </w:tblGrid>
      <w:tr w:rsidR="00306B0F" w:rsidRPr="00A849A1" w14:paraId="6DC8B639" w14:textId="77777777" w:rsidTr="00D452D2">
        <w:tc>
          <w:tcPr>
            <w:tcW w:w="4390" w:type="dxa"/>
            <w:shd w:val="clear" w:color="auto" w:fill="D9E2F3" w:themeFill="accent1" w:themeFillTint="33"/>
          </w:tcPr>
          <w:p w14:paraId="038EC9C6" w14:textId="77777777" w:rsidR="00306B0F" w:rsidRPr="00A849A1" w:rsidRDefault="00306B0F" w:rsidP="00D452D2">
            <w:pPr>
              <w:rPr>
                <w:b/>
                <w:sz w:val="22"/>
                <w:szCs w:val="22"/>
              </w:rPr>
            </w:pPr>
            <w:r w:rsidRPr="00A849A1">
              <w:rPr>
                <w:b/>
                <w:sz w:val="22"/>
                <w:szCs w:val="22"/>
              </w:rPr>
              <w:t>Recommendation</w:t>
            </w:r>
          </w:p>
        </w:tc>
        <w:tc>
          <w:tcPr>
            <w:tcW w:w="4626" w:type="dxa"/>
            <w:shd w:val="clear" w:color="auto" w:fill="D9E2F3" w:themeFill="accent1" w:themeFillTint="33"/>
          </w:tcPr>
          <w:p w14:paraId="17DF54E6" w14:textId="77777777" w:rsidR="00306B0F" w:rsidRPr="00A849A1" w:rsidRDefault="00306B0F" w:rsidP="00D452D2">
            <w:pPr>
              <w:rPr>
                <w:b/>
                <w:sz w:val="22"/>
                <w:szCs w:val="22"/>
              </w:rPr>
            </w:pPr>
            <w:r w:rsidRPr="00A849A1">
              <w:rPr>
                <w:b/>
                <w:sz w:val="22"/>
                <w:szCs w:val="22"/>
              </w:rPr>
              <w:t>Progress</w:t>
            </w:r>
          </w:p>
        </w:tc>
      </w:tr>
      <w:tr w:rsidR="00306B0F" w:rsidRPr="00A849A1" w14:paraId="2412B9F7" w14:textId="77777777" w:rsidTr="00D452D2">
        <w:tc>
          <w:tcPr>
            <w:tcW w:w="4390" w:type="dxa"/>
          </w:tcPr>
          <w:p w14:paraId="48038B2A" w14:textId="77777777" w:rsidR="00306B0F" w:rsidRPr="00A849A1" w:rsidRDefault="00306B0F" w:rsidP="00D452D2">
            <w:pPr>
              <w:spacing w:after="23"/>
              <w:rPr>
                <w:rFonts w:cs="Arial"/>
                <w:sz w:val="22"/>
                <w:szCs w:val="22"/>
              </w:rPr>
            </w:pPr>
            <w:r w:rsidRPr="00A849A1">
              <w:rPr>
                <w:rFonts w:cs="Arial"/>
                <w:sz w:val="22"/>
                <w:szCs w:val="22"/>
              </w:rPr>
              <w:t xml:space="preserve">1. To accelerate progress in both Mexico and South Africa, the World Bank to target engagement activities with relevant Ministries at the official level to ensure that supported pilot projects can move from the planning phases to the implementation phases in 2020 (by 31st January 2021). </w:t>
            </w:r>
          </w:p>
        </w:tc>
        <w:tc>
          <w:tcPr>
            <w:tcW w:w="4626" w:type="dxa"/>
          </w:tcPr>
          <w:p w14:paraId="4AFE97CF" w14:textId="669EC559" w:rsidR="00306B0F" w:rsidRPr="00A849A1" w:rsidRDefault="00306B0F" w:rsidP="00D452D2">
            <w:pPr>
              <w:rPr>
                <w:rFonts w:cs="Arial"/>
                <w:sz w:val="22"/>
                <w:szCs w:val="22"/>
              </w:rPr>
            </w:pPr>
            <w:r w:rsidRPr="00A849A1">
              <w:rPr>
                <w:rFonts w:cs="Arial"/>
                <w:sz w:val="22"/>
                <w:szCs w:val="22"/>
                <w:u w:val="single"/>
              </w:rPr>
              <w:t>Partially achieved:</w:t>
            </w:r>
            <w:r w:rsidRPr="00A849A1">
              <w:rPr>
                <w:rFonts w:cs="Arial"/>
                <w:sz w:val="22"/>
                <w:szCs w:val="22"/>
              </w:rPr>
              <w:t xml:space="preserve"> World Bank engaged at official level to </w:t>
            </w:r>
            <w:r w:rsidR="00571A61">
              <w:rPr>
                <w:rFonts w:cs="Arial"/>
                <w:sz w:val="22"/>
                <w:szCs w:val="22"/>
              </w:rPr>
              <w:t>address</w:t>
            </w:r>
            <w:r w:rsidRPr="00A849A1">
              <w:rPr>
                <w:rFonts w:cs="Arial"/>
                <w:sz w:val="22"/>
                <w:szCs w:val="22"/>
              </w:rPr>
              <w:t xml:space="preserve"> delays in Mexico. This resulted in confirmation of a new Mexican government counterpart</w:t>
            </w:r>
            <w:r>
              <w:rPr>
                <w:rFonts w:cs="Arial"/>
                <w:sz w:val="22"/>
                <w:szCs w:val="22"/>
              </w:rPr>
              <w:t xml:space="preserve"> in December 2020</w:t>
            </w:r>
            <w:r w:rsidRPr="00A849A1">
              <w:rPr>
                <w:rFonts w:cs="Arial"/>
                <w:sz w:val="22"/>
                <w:szCs w:val="22"/>
              </w:rPr>
              <w:t>. In South Africa, officials engaged with ESKOM (South Africa’s public electricity utility) during the negotiation of the</w:t>
            </w:r>
            <w:r>
              <w:rPr>
                <w:rFonts w:cs="Arial"/>
                <w:sz w:val="22"/>
                <w:szCs w:val="22"/>
              </w:rPr>
              <w:t xml:space="preserve"> revised</w:t>
            </w:r>
            <w:r w:rsidRPr="00A849A1">
              <w:rPr>
                <w:rFonts w:cs="Arial"/>
                <w:sz w:val="22"/>
                <w:szCs w:val="22"/>
              </w:rPr>
              <w:t xml:space="preserve"> grant agreement. However, pilot projects did not move from planning to implementation phases in 2020</w:t>
            </w:r>
            <w:r w:rsidR="003652D1">
              <w:rPr>
                <w:rFonts w:cs="Arial"/>
                <w:sz w:val="22"/>
                <w:szCs w:val="22"/>
              </w:rPr>
              <w:t xml:space="preserve"> in either country</w:t>
            </w:r>
            <w:r w:rsidRPr="00A849A1">
              <w:rPr>
                <w:rFonts w:cs="Arial"/>
                <w:sz w:val="22"/>
                <w:szCs w:val="22"/>
              </w:rPr>
              <w:t xml:space="preserve">.  </w:t>
            </w:r>
          </w:p>
        </w:tc>
      </w:tr>
      <w:tr w:rsidR="00306B0F" w:rsidRPr="00A849A1" w14:paraId="76D45D97" w14:textId="77777777" w:rsidTr="00D452D2">
        <w:tc>
          <w:tcPr>
            <w:tcW w:w="4390" w:type="dxa"/>
          </w:tcPr>
          <w:p w14:paraId="7D75036E" w14:textId="77777777" w:rsidR="00306B0F" w:rsidRPr="00A849A1" w:rsidRDefault="00306B0F" w:rsidP="00D452D2">
            <w:pPr>
              <w:rPr>
                <w:rFonts w:cs="Arial"/>
                <w:b/>
                <w:sz w:val="22"/>
                <w:szCs w:val="22"/>
              </w:rPr>
            </w:pPr>
            <w:r w:rsidRPr="00A849A1">
              <w:rPr>
                <w:rFonts w:cs="Arial"/>
                <w:sz w:val="22"/>
                <w:szCs w:val="22"/>
              </w:rPr>
              <w:t>2. The ADB to accelerate activities at the Sukowati project in Indonesia, the Yanchang project in China, and to build a pipeline of projects and activities in India (by 31st January 2021).</w:t>
            </w:r>
          </w:p>
        </w:tc>
        <w:tc>
          <w:tcPr>
            <w:tcW w:w="4626" w:type="dxa"/>
          </w:tcPr>
          <w:p w14:paraId="0D1196D7" w14:textId="647F6215" w:rsidR="00306B0F" w:rsidRPr="00A849A1" w:rsidRDefault="00306B0F" w:rsidP="00D452D2">
            <w:pPr>
              <w:rPr>
                <w:rFonts w:cs="Arial"/>
                <w:sz w:val="22"/>
                <w:szCs w:val="22"/>
              </w:rPr>
            </w:pPr>
            <w:r w:rsidRPr="00A849A1">
              <w:rPr>
                <w:rFonts w:cs="Arial"/>
                <w:sz w:val="22"/>
                <w:szCs w:val="22"/>
                <w:u w:val="single"/>
              </w:rPr>
              <w:t>Partially achieved:</w:t>
            </w:r>
            <w:r>
              <w:rPr>
                <w:rFonts w:cs="Arial"/>
                <w:sz w:val="22"/>
                <w:szCs w:val="22"/>
              </w:rPr>
              <w:t xml:space="preserve"> The ADB began building a pipeline of projects and activities in India (two pre-feasibility studies commenced in and a further activity is in the pipeline).  </w:t>
            </w:r>
            <w:r w:rsidRPr="00A849A1">
              <w:rPr>
                <w:rFonts w:cs="Arial"/>
                <w:sz w:val="22"/>
                <w:szCs w:val="22"/>
              </w:rPr>
              <w:t xml:space="preserve">A consultant has been appointed </w:t>
            </w:r>
            <w:r>
              <w:rPr>
                <w:rFonts w:cs="Arial"/>
                <w:sz w:val="22"/>
                <w:szCs w:val="22"/>
              </w:rPr>
              <w:t>to undertake technical assistance activities at the Yanchang project in</w:t>
            </w:r>
            <w:r w:rsidRPr="00A849A1">
              <w:rPr>
                <w:rFonts w:cs="Arial"/>
                <w:sz w:val="22"/>
                <w:szCs w:val="22"/>
              </w:rPr>
              <w:t xml:space="preserve"> China</w:t>
            </w:r>
            <w:r>
              <w:rPr>
                <w:rFonts w:cs="Arial"/>
                <w:sz w:val="22"/>
                <w:szCs w:val="22"/>
              </w:rPr>
              <w:t xml:space="preserve"> although progress is not working to accelerated timescales</w:t>
            </w:r>
            <w:r w:rsidRPr="00A849A1">
              <w:rPr>
                <w:rFonts w:cs="Arial"/>
                <w:sz w:val="22"/>
                <w:szCs w:val="22"/>
              </w:rPr>
              <w:t xml:space="preserve">. There has been no major change in programme activities </w:t>
            </w:r>
            <w:r>
              <w:rPr>
                <w:rFonts w:cs="Arial"/>
                <w:sz w:val="22"/>
                <w:szCs w:val="22"/>
              </w:rPr>
              <w:t xml:space="preserve">at the Sukowati site </w:t>
            </w:r>
            <w:r w:rsidRPr="00A849A1">
              <w:rPr>
                <w:rFonts w:cs="Arial"/>
                <w:sz w:val="22"/>
                <w:szCs w:val="22"/>
              </w:rPr>
              <w:t>in Indonesia due to government delays</w:t>
            </w:r>
            <w:r>
              <w:rPr>
                <w:rFonts w:cs="Arial"/>
                <w:sz w:val="22"/>
                <w:szCs w:val="22"/>
              </w:rPr>
              <w:t xml:space="preserve"> in deciding on next steps for a new pilot project site and the next steps for a regulatory framework</w:t>
            </w:r>
            <w:r w:rsidRPr="00A849A1">
              <w:rPr>
                <w:rFonts w:cs="Arial"/>
                <w:sz w:val="22"/>
                <w:szCs w:val="22"/>
              </w:rPr>
              <w:t>.</w:t>
            </w:r>
          </w:p>
        </w:tc>
      </w:tr>
      <w:tr w:rsidR="00306B0F" w:rsidRPr="00A849A1" w14:paraId="0CF252D0" w14:textId="77777777" w:rsidTr="00D452D2">
        <w:tc>
          <w:tcPr>
            <w:tcW w:w="4390" w:type="dxa"/>
          </w:tcPr>
          <w:p w14:paraId="4C175F7E" w14:textId="77777777" w:rsidR="00306B0F" w:rsidRPr="00A849A1" w:rsidRDefault="00306B0F" w:rsidP="00D452D2">
            <w:pPr>
              <w:spacing w:after="23"/>
              <w:rPr>
                <w:rFonts w:cs="Arial"/>
                <w:sz w:val="22"/>
                <w:szCs w:val="22"/>
              </w:rPr>
            </w:pPr>
            <w:r w:rsidRPr="00A849A1">
              <w:rPr>
                <w:rFonts w:cs="Arial"/>
                <w:sz w:val="22"/>
                <w:szCs w:val="22"/>
              </w:rPr>
              <w:t xml:space="preserve">3. The World Bank and the ADB should work with BEIS to develop clear protocols for bringing HMG staff in British Embassies and High Commissions into policy discussions and the planning of key events in supported countries (by 31st January 2021). </w:t>
            </w:r>
          </w:p>
        </w:tc>
        <w:tc>
          <w:tcPr>
            <w:tcW w:w="4626" w:type="dxa"/>
          </w:tcPr>
          <w:p w14:paraId="37B74582" w14:textId="0FCB320A" w:rsidR="00306B0F" w:rsidRPr="00A849A1" w:rsidRDefault="00306B0F" w:rsidP="00D452D2">
            <w:pPr>
              <w:rPr>
                <w:rFonts w:cs="Arial"/>
                <w:sz w:val="22"/>
                <w:szCs w:val="22"/>
                <w:u w:val="single"/>
              </w:rPr>
            </w:pPr>
            <w:r w:rsidRPr="00A849A1">
              <w:rPr>
                <w:rFonts w:cs="Arial"/>
                <w:sz w:val="22"/>
                <w:szCs w:val="22"/>
                <w:u w:val="single"/>
              </w:rPr>
              <w:t xml:space="preserve">Not achieved: </w:t>
            </w:r>
            <w:r w:rsidRPr="00A849A1">
              <w:rPr>
                <w:rFonts w:cs="Arial"/>
                <w:sz w:val="22"/>
                <w:szCs w:val="22"/>
              </w:rPr>
              <w:t>the COVID</w:t>
            </w:r>
            <w:r>
              <w:rPr>
                <w:rFonts w:cs="Arial"/>
                <w:sz w:val="22"/>
                <w:szCs w:val="22"/>
              </w:rPr>
              <w:t>-</w:t>
            </w:r>
            <w:r w:rsidRPr="00A849A1">
              <w:rPr>
                <w:rFonts w:cs="Arial"/>
                <w:sz w:val="22"/>
                <w:szCs w:val="22"/>
              </w:rPr>
              <w:t xml:space="preserve">19 pandemic limited engagement in target countries and so protocols for engagement were de-prioritised. Instead, BEIS officials briefed Posts as necessary. </w:t>
            </w:r>
            <w:r>
              <w:rPr>
                <w:rFonts w:cs="Arial"/>
                <w:sz w:val="22"/>
                <w:szCs w:val="22"/>
              </w:rPr>
              <w:t xml:space="preserve">The World Bank has been active in engaging Posts in Mexico, including seeking guidance and assistance </w:t>
            </w:r>
            <w:r>
              <w:rPr>
                <w:rFonts w:cs="Arial"/>
                <w:sz w:val="22"/>
                <w:szCs w:val="22"/>
              </w:rPr>
              <w:lastRenderedPageBreak/>
              <w:t>with overcoming post-election delays</w:t>
            </w:r>
            <w:r w:rsidR="003B113D">
              <w:rPr>
                <w:rFonts w:cs="Arial"/>
                <w:sz w:val="22"/>
                <w:szCs w:val="22"/>
              </w:rPr>
              <w:t xml:space="preserve"> (a key reason for pilot project delays)</w:t>
            </w:r>
            <w:r>
              <w:rPr>
                <w:rFonts w:cs="Arial"/>
                <w:sz w:val="22"/>
                <w:szCs w:val="22"/>
              </w:rPr>
              <w:t>.</w:t>
            </w:r>
            <w:r w:rsidR="00751DD7">
              <w:rPr>
                <w:rFonts w:cs="Arial"/>
                <w:sz w:val="22"/>
                <w:szCs w:val="22"/>
              </w:rPr>
              <w:t xml:space="preserve"> </w:t>
            </w:r>
          </w:p>
        </w:tc>
      </w:tr>
      <w:tr w:rsidR="00306B0F" w:rsidRPr="00A849A1" w14:paraId="130CFDD3" w14:textId="77777777" w:rsidTr="00D452D2">
        <w:tc>
          <w:tcPr>
            <w:tcW w:w="4390" w:type="dxa"/>
          </w:tcPr>
          <w:p w14:paraId="475FAD16" w14:textId="77777777" w:rsidR="00306B0F" w:rsidRPr="00A849A1" w:rsidRDefault="00306B0F" w:rsidP="00D452D2">
            <w:pPr>
              <w:spacing w:after="23"/>
              <w:rPr>
                <w:rFonts w:cs="Arial"/>
                <w:sz w:val="22"/>
                <w:szCs w:val="22"/>
              </w:rPr>
            </w:pPr>
            <w:r w:rsidRPr="00A849A1">
              <w:rPr>
                <w:rFonts w:cs="Arial"/>
                <w:sz w:val="22"/>
                <w:szCs w:val="22"/>
              </w:rPr>
              <w:lastRenderedPageBreak/>
              <w:t xml:space="preserve">4. The ADB and the World Bank to focus their involvement in workshops and events on stakeholders important to the acceleration of construction/testing of in-country CCUS pilot projects (by 31st January 2021). </w:t>
            </w:r>
          </w:p>
        </w:tc>
        <w:tc>
          <w:tcPr>
            <w:tcW w:w="4626" w:type="dxa"/>
          </w:tcPr>
          <w:p w14:paraId="3C7FEF52" w14:textId="0B31870F" w:rsidR="00306B0F" w:rsidRPr="00A849A1" w:rsidRDefault="00306B0F" w:rsidP="00D452D2">
            <w:pPr>
              <w:rPr>
                <w:rFonts w:cs="Arial"/>
                <w:sz w:val="22"/>
                <w:szCs w:val="22"/>
              </w:rPr>
            </w:pPr>
            <w:r>
              <w:rPr>
                <w:rFonts w:cs="Arial"/>
                <w:sz w:val="22"/>
                <w:szCs w:val="22"/>
                <w:u w:val="single"/>
              </w:rPr>
              <w:t>Not achieved</w:t>
            </w:r>
            <w:r w:rsidRPr="00A849A1">
              <w:rPr>
                <w:rFonts w:cs="Arial"/>
                <w:sz w:val="22"/>
                <w:szCs w:val="22"/>
                <w:u w:val="single"/>
              </w:rPr>
              <w:t>:</w:t>
            </w:r>
            <w:r w:rsidRPr="00A849A1">
              <w:rPr>
                <w:rFonts w:cs="Arial"/>
                <w:sz w:val="22"/>
                <w:szCs w:val="22"/>
              </w:rPr>
              <w:t xml:space="preserve"> Due to the COVID</w:t>
            </w:r>
            <w:r>
              <w:rPr>
                <w:rFonts w:cs="Arial"/>
                <w:sz w:val="22"/>
                <w:szCs w:val="22"/>
              </w:rPr>
              <w:t>-</w:t>
            </w:r>
            <w:r w:rsidRPr="00A849A1">
              <w:rPr>
                <w:rFonts w:cs="Arial"/>
                <w:sz w:val="22"/>
                <w:szCs w:val="22"/>
              </w:rPr>
              <w:t>19 pandemic, the World Bank limited</w:t>
            </w:r>
            <w:r>
              <w:rPr>
                <w:rFonts w:cs="Arial"/>
                <w:sz w:val="22"/>
                <w:szCs w:val="22"/>
              </w:rPr>
              <w:t xml:space="preserve"> </w:t>
            </w:r>
            <w:r w:rsidRPr="00A849A1">
              <w:rPr>
                <w:rFonts w:cs="Arial"/>
                <w:sz w:val="22"/>
                <w:szCs w:val="22"/>
              </w:rPr>
              <w:t>stakeholder engagement in 2020. The ADB’s virtual events focused on access to finance, enabling implementation of CCUS</w:t>
            </w:r>
            <w:r>
              <w:rPr>
                <w:rFonts w:cs="Arial"/>
                <w:sz w:val="22"/>
                <w:szCs w:val="22"/>
              </w:rPr>
              <w:t>,</w:t>
            </w:r>
            <w:r w:rsidRPr="00A849A1">
              <w:rPr>
                <w:rFonts w:cs="Arial"/>
                <w:sz w:val="22"/>
                <w:szCs w:val="22"/>
              </w:rPr>
              <w:t xml:space="preserve"> and showcasing new </w:t>
            </w:r>
            <w:r w:rsidRPr="00022EF3">
              <w:rPr>
                <w:bCs/>
                <w:iCs/>
                <w:sz w:val="22"/>
                <w:szCs w:val="22"/>
              </w:rPr>
              <w:t>CO</w:t>
            </w:r>
            <w:r w:rsidRPr="00022EF3">
              <w:rPr>
                <w:bCs/>
                <w:iCs/>
                <w:sz w:val="22"/>
                <w:szCs w:val="22"/>
                <w:vertAlign w:val="subscript"/>
              </w:rPr>
              <w:t>2</w:t>
            </w:r>
            <w:r w:rsidRPr="00A849A1">
              <w:rPr>
                <w:rFonts w:cs="Arial"/>
                <w:sz w:val="22"/>
                <w:szCs w:val="22"/>
              </w:rPr>
              <w:t xml:space="preserve"> </w:t>
            </w:r>
            <w:r w:rsidR="00B65441">
              <w:rPr>
                <w:rFonts w:cs="Arial"/>
                <w:sz w:val="22"/>
                <w:szCs w:val="22"/>
              </w:rPr>
              <w:t>a</w:t>
            </w:r>
            <w:r w:rsidR="00B65441">
              <w:rPr>
                <w:sz w:val="22"/>
                <w:szCs w:val="22"/>
              </w:rPr>
              <w:t xml:space="preserve">batement </w:t>
            </w:r>
            <w:r w:rsidRPr="00A849A1">
              <w:rPr>
                <w:rFonts w:cs="Arial"/>
                <w:sz w:val="22"/>
                <w:szCs w:val="22"/>
              </w:rPr>
              <w:t xml:space="preserve">technologies.    </w:t>
            </w:r>
          </w:p>
        </w:tc>
      </w:tr>
      <w:tr w:rsidR="00306B0F" w:rsidRPr="00A849A1" w14:paraId="656CE849" w14:textId="77777777" w:rsidTr="00D452D2">
        <w:tc>
          <w:tcPr>
            <w:tcW w:w="4390" w:type="dxa"/>
          </w:tcPr>
          <w:p w14:paraId="747243BE" w14:textId="77777777" w:rsidR="00306B0F" w:rsidRPr="00A849A1" w:rsidRDefault="00306B0F" w:rsidP="00D452D2">
            <w:pPr>
              <w:rPr>
                <w:rFonts w:cs="Arial"/>
                <w:b/>
                <w:sz w:val="22"/>
                <w:szCs w:val="22"/>
              </w:rPr>
            </w:pPr>
            <w:r w:rsidRPr="00A849A1">
              <w:rPr>
                <w:rFonts w:cs="Arial"/>
                <w:sz w:val="22"/>
                <w:szCs w:val="22"/>
              </w:rPr>
              <w:t>5. The ADB to produce a full project pipeline for how the remaining UK funding will be spent, and the World Bank to finalise the allocation of the remaining funding in the Trust Fund. When scoping new pipeline activities, it is expected that a greater proportion of projects will focus on industrial applications of CCUS (by 31st September 202</w:t>
            </w:r>
            <w:r>
              <w:rPr>
                <w:rFonts w:cs="Arial"/>
                <w:sz w:val="22"/>
                <w:szCs w:val="22"/>
              </w:rPr>
              <w:t>0</w:t>
            </w:r>
            <w:r w:rsidRPr="00A849A1">
              <w:rPr>
                <w:rFonts w:cs="Arial"/>
                <w:sz w:val="22"/>
                <w:szCs w:val="22"/>
              </w:rPr>
              <w:t>).</w:t>
            </w:r>
          </w:p>
        </w:tc>
        <w:tc>
          <w:tcPr>
            <w:tcW w:w="4626" w:type="dxa"/>
          </w:tcPr>
          <w:p w14:paraId="5E9DC3C9" w14:textId="649DC17A" w:rsidR="00306B0F" w:rsidRPr="00A849A1" w:rsidRDefault="00306B0F" w:rsidP="00D452D2">
            <w:pPr>
              <w:rPr>
                <w:rFonts w:cs="Arial"/>
                <w:sz w:val="22"/>
                <w:szCs w:val="22"/>
              </w:rPr>
            </w:pPr>
            <w:r w:rsidRPr="00A849A1">
              <w:rPr>
                <w:rFonts w:cs="Arial"/>
                <w:sz w:val="22"/>
                <w:szCs w:val="22"/>
                <w:u w:val="single"/>
              </w:rPr>
              <w:t>Not achieved:</w:t>
            </w:r>
            <w:r w:rsidRPr="00A849A1">
              <w:rPr>
                <w:rFonts w:cs="Arial"/>
                <w:sz w:val="22"/>
                <w:szCs w:val="22"/>
              </w:rPr>
              <w:t xml:space="preserve"> In 2020, the ADB did not produce a full project pipeline for remaining UK funds and </w:t>
            </w:r>
            <w:r>
              <w:rPr>
                <w:rFonts w:cs="Arial"/>
                <w:sz w:val="22"/>
                <w:szCs w:val="22"/>
              </w:rPr>
              <w:t>significant underspend remains</w:t>
            </w:r>
            <w:r w:rsidRPr="00A849A1">
              <w:rPr>
                <w:rFonts w:cs="Arial"/>
                <w:sz w:val="22"/>
                <w:szCs w:val="22"/>
              </w:rPr>
              <w:t xml:space="preserve">. </w:t>
            </w:r>
            <w:r>
              <w:rPr>
                <w:rFonts w:cs="Arial"/>
                <w:sz w:val="22"/>
                <w:szCs w:val="22"/>
              </w:rPr>
              <w:t>Two n</w:t>
            </w:r>
            <w:r w:rsidRPr="00A849A1">
              <w:rPr>
                <w:rFonts w:cs="Arial"/>
                <w:sz w:val="22"/>
                <w:szCs w:val="22"/>
              </w:rPr>
              <w:t>ew ADB activities focus</w:t>
            </w:r>
            <w:r>
              <w:rPr>
                <w:rFonts w:cs="Arial"/>
                <w:sz w:val="22"/>
                <w:szCs w:val="22"/>
              </w:rPr>
              <w:t>ed</w:t>
            </w:r>
            <w:r w:rsidRPr="00A849A1">
              <w:rPr>
                <w:rFonts w:cs="Arial"/>
                <w:sz w:val="22"/>
                <w:szCs w:val="22"/>
              </w:rPr>
              <w:t xml:space="preserve"> on industrial applications</w:t>
            </w:r>
            <w:r>
              <w:rPr>
                <w:rFonts w:cs="Arial"/>
                <w:sz w:val="22"/>
                <w:szCs w:val="22"/>
              </w:rPr>
              <w:t xml:space="preserve"> of CCUS in India</w:t>
            </w:r>
            <w:r w:rsidRPr="00A849A1">
              <w:rPr>
                <w:rFonts w:cs="Arial"/>
                <w:sz w:val="22"/>
                <w:szCs w:val="22"/>
              </w:rPr>
              <w:t>. As of the 9</w:t>
            </w:r>
            <w:r w:rsidRPr="00A849A1">
              <w:rPr>
                <w:rFonts w:cs="Arial"/>
                <w:sz w:val="22"/>
                <w:szCs w:val="22"/>
                <w:vertAlign w:val="superscript"/>
              </w:rPr>
              <w:t>th</w:t>
            </w:r>
            <w:r w:rsidRPr="00A849A1">
              <w:rPr>
                <w:rFonts w:cs="Arial"/>
                <w:sz w:val="22"/>
                <w:szCs w:val="22"/>
              </w:rPr>
              <w:t xml:space="preserve"> November 2020, the World Bank </w:t>
            </w:r>
            <w:r>
              <w:rPr>
                <w:rFonts w:cs="Arial"/>
                <w:sz w:val="22"/>
                <w:szCs w:val="22"/>
              </w:rPr>
              <w:t xml:space="preserve">Trust Fund </w:t>
            </w:r>
            <w:r w:rsidRPr="00A849A1">
              <w:rPr>
                <w:rFonts w:cs="Arial"/>
                <w:sz w:val="22"/>
                <w:szCs w:val="22"/>
              </w:rPr>
              <w:t>has a total unallocated balance of USD $25</w:t>
            </w:r>
            <w:r w:rsidR="00B65C0C">
              <w:rPr>
                <w:rFonts w:cs="Arial"/>
                <w:sz w:val="22"/>
                <w:szCs w:val="22"/>
              </w:rPr>
              <w:t>.6m</w:t>
            </w:r>
            <w:r w:rsidRPr="00A849A1">
              <w:rPr>
                <w:rFonts w:cs="Arial"/>
                <w:sz w:val="22"/>
                <w:szCs w:val="22"/>
              </w:rPr>
              <w:t xml:space="preserve"> (~£19</w:t>
            </w:r>
            <w:r w:rsidR="000246C8">
              <w:rPr>
                <w:rFonts w:cs="Arial"/>
                <w:sz w:val="22"/>
                <w:szCs w:val="22"/>
              </w:rPr>
              <w:t>.9m</w:t>
            </w:r>
            <w:r w:rsidRPr="00A849A1">
              <w:rPr>
                <w:rFonts w:cs="Arial"/>
                <w:sz w:val="22"/>
                <w:szCs w:val="22"/>
              </w:rPr>
              <w:t>) although if activities in Mexico progress, it is expected that this unallocated balance will be reduced to USD $9</w:t>
            </w:r>
            <w:r w:rsidR="000246C8">
              <w:rPr>
                <w:rFonts w:cs="Arial"/>
                <w:sz w:val="22"/>
                <w:szCs w:val="22"/>
              </w:rPr>
              <w:t>m</w:t>
            </w:r>
            <w:r w:rsidRPr="00A849A1">
              <w:rPr>
                <w:rFonts w:cs="Arial"/>
                <w:sz w:val="22"/>
                <w:szCs w:val="22"/>
              </w:rPr>
              <w:t xml:space="preserve"> (~£7</w:t>
            </w:r>
            <w:r w:rsidR="000246C8">
              <w:rPr>
                <w:rFonts w:cs="Arial"/>
                <w:sz w:val="22"/>
                <w:szCs w:val="22"/>
              </w:rPr>
              <w:t>m</w:t>
            </w:r>
            <w:r w:rsidRPr="00A849A1">
              <w:rPr>
                <w:rFonts w:cs="Arial"/>
                <w:sz w:val="22"/>
                <w:szCs w:val="22"/>
              </w:rPr>
              <w:t xml:space="preserve">). </w:t>
            </w:r>
            <w:r>
              <w:rPr>
                <w:rFonts w:cs="Arial"/>
                <w:sz w:val="22"/>
                <w:szCs w:val="22"/>
              </w:rPr>
              <w:t>Three new</w:t>
            </w:r>
            <w:r w:rsidRPr="00A849A1">
              <w:rPr>
                <w:rFonts w:cs="Arial"/>
                <w:sz w:val="22"/>
                <w:szCs w:val="22"/>
              </w:rPr>
              <w:t xml:space="preserve"> pipeline activities focused on industrial applications of CCUS</w:t>
            </w:r>
            <w:r>
              <w:rPr>
                <w:rFonts w:cs="Arial"/>
                <w:sz w:val="22"/>
                <w:szCs w:val="22"/>
              </w:rPr>
              <w:t xml:space="preserve"> in India</w:t>
            </w:r>
            <w:r w:rsidRPr="00A849A1">
              <w:rPr>
                <w:rFonts w:cs="Arial"/>
                <w:sz w:val="22"/>
                <w:szCs w:val="22"/>
              </w:rPr>
              <w:t xml:space="preserve">. </w:t>
            </w:r>
          </w:p>
        </w:tc>
      </w:tr>
      <w:tr w:rsidR="00306B0F" w:rsidRPr="00A849A1" w14:paraId="29334D00" w14:textId="77777777" w:rsidTr="007614BA">
        <w:trPr>
          <w:trHeight w:val="2214"/>
        </w:trPr>
        <w:tc>
          <w:tcPr>
            <w:tcW w:w="4390" w:type="dxa"/>
          </w:tcPr>
          <w:p w14:paraId="1E181270" w14:textId="77777777" w:rsidR="00306B0F" w:rsidRPr="00A849A1" w:rsidRDefault="00306B0F" w:rsidP="00D452D2">
            <w:pPr>
              <w:spacing w:after="23"/>
              <w:rPr>
                <w:rFonts w:cs="Arial"/>
                <w:sz w:val="22"/>
                <w:szCs w:val="22"/>
              </w:rPr>
            </w:pPr>
            <w:r w:rsidRPr="00A849A1">
              <w:rPr>
                <w:rFonts w:cs="Arial"/>
                <w:sz w:val="22"/>
                <w:szCs w:val="22"/>
              </w:rPr>
              <w:t xml:space="preserve">6. The ADB and the World Bank to increase the amount and share of private finance leveraged for CCUS activities in developing countries, with private finance (including from state-owned enterprises) mobilised in at least four countries by the end of 2020, as per the revised logframe (by 31st January 2021). </w:t>
            </w:r>
          </w:p>
        </w:tc>
        <w:tc>
          <w:tcPr>
            <w:tcW w:w="4626" w:type="dxa"/>
          </w:tcPr>
          <w:p w14:paraId="1C8804F8" w14:textId="2C4FC06E" w:rsidR="00306B0F" w:rsidRPr="00A849A1" w:rsidRDefault="00306B0F" w:rsidP="00D452D2">
            <w:pPr>
              <w:rPr>
                <w:rFonts w:cs="Arial"/>
                <w:sz w:val="22"/>
                <w:szCs w:val="22"/>
                <w:u w:val="single"/>
              </w:rPr>
            </w:pPr>
            <w:r w:rsidRPr="00A849A1">
              <w:rPr>
                <w:rFonts w:cs="Arial"/>
                <w:sz w:val="22"/>
                <w:szCs w:val="22"/>
                <w:u w:val="single"/>
              </w:rPr>
              <w:t>Not achieved:</w:t>
            </w:r>
            <w:r w:rsidRPr="00A849A1">
              <w:rPr>
                <w:rFonts w:cs="Arial"/>
                <w:sz w:val="22"/>
                <w:szCs w:val="22"/>
              </w:rPr>
              <w:t xml:space="preserve"> </w:t>
            </w:r>
            <w:r>
              <w:rPr>
                <w:rFonts w:cs="Arial"/>
                <w:sz w:val="22"/>
                <w:szCs w:val="22"/>
              </w:rPr>
              <w:t>The only n</w:t>
            </w:r>
            <w:r>
              <w:rPr>
                <w:rFonts w:cs="Arial"/>
                <w:bCs/>
                <w:sz w:val="22"/>
                <w:szCs w:val="22"/>
              </w:rPr>
              <w:t xml:space="preserve">ew private finance mobilised was for a South African case study on the gas-based synthetic fuel industry.  </w:t>
            </w:r>
            <w:r w:rsidRPr="00A849A1">
              <w:rPr>
                <w:rFonts w:cs="Arial"/>
                <w:sz w:val="22"/>
                <w:szCs w:val="22"/>
              </w:rPr>
              <w:t xml:space="preserve"> </w:t>
            </w:r>
            <w:r w:rsidRPr="00A849A1">
              <w:rPr>
                <w:rFonts w:cs="Arial"/>
                <w:sz w:val="22"/>
                <w:szCs w:val="22"/>
                <w:u w:val="single"/>
              </w:rPr>
              <w:t xml:space="preserve"> </w:t>
            </w:r>
          </w:p>
        </w:tc>
      </w:tr>
      <w:tr w:rsidR="00306B0F" w:rsidRPr="00A849A1" w14:paraId="060EC716" w14:textId="77777777" w:rsidTr="007614BA">
        <w:trPr>
          <w:trHeight w:val="4258"/>
        </w:trPr>
        <w:tc>
          <w:tcPr>
            <w:tcW w:w="4390" w:type="dxa"/>
          </w:tcPr>
          <w:p w14:paraId="301DC79A" w14:textId="77777777" w:rsidR="00306B0F" w:rsidRPr="00A849A1" w:rsidRDefault="00306B0F" w:rsidP="00D452D2">
            <w:pPr>
              <w:spacing w:after="23"/>
              <w:rPr>
                <w:rFonts w:cs="Arial"/>
                <w:sz w:val="22"/>
                <w:szCs w:val="22"/>
              </w:rPr>
            </w:pPr>
            <w:r w:rsidRPr="00A849A1">
              <w:rPr>
                <w:rFonts w:cs="Arial"/>
                <w:sz w:val="22"/>
                <w:szCs w:val="22"/>
              </w:rPr>
              <w:t xml:space="preserve">7. The World Bank and the ADB to ensure the successful legacy of the international CCUS programme beyond its lifetime by proactively seeking greater opportunities to capture and disseminate lessons learned at events and in projects. To advance this work, the ADB and the World Bank should develop and share effective stakeholder engagement plans with BEIS that include targeted events and how success stories at the fund-level and project-level will be disseminated, particularly for industrial applications. The plans should also include how participant feedback from the events will be captured and acted upon (by 31st January 2021). </w:t>
            </w:r>
          </w:p>
        </w:tc>
        <w:tc>
          <w:tcPr>
            <w:tcW w:w="4626" w:type="dxa"/>
          </w:tcPr>
          <w:p w14:paraId="017F272E" w14:textId="346B556A" w:rsidR="00306B0F" w:rsidRPr="00A849A1" w:rsidRDefault="00306B0F" w:rsidP="00D452D2">
            <w:pPr>
              <w:rPr>
                <w:rFonts w:cs="Arial"/>
                <w:sz w:val="22"/>
                <w:szCs w:val="22"/>
              </w:rPr>
            </w:pPr>
            <w:r>
              <w:rPr>
                <w:rFonts w:cs="Arial"/>
                <w:sz w:val="22"/>
                <w:szCs w:val="22"/>
                <w:u w:val="single"/>
              </w:rPr>
              <w:t>Not achieved</w:t>
            </w:r>
            <w:r w:rsidRPr="00A849A1">
              <w:rPr>
                <w:rFonts w:cs="Arial"/>
                <w:sz w:val="22"/>
                <w:szCs w:val="22"/>
                <w:u w:val="single"/>
              </w:rPr>
              <w:t xml:space="preserve">: </w:t>
            </w:r>
            <w:r>
              <w:rPr>
                <w:rFonts w:cs="Arial"/>
                <w:sz w:val="22"/>
                <w:szCs w:val="22"/>
              </w:rPr>
              <w:t>S</w:t>
            </w:r>
            <w:r w:rsidRPr="00A849A1">
              <w:rPr>
                <w:rFonts w:cs="Arial"/>
                <w:sz w:val="22"/>
                <w:szCs w:val="22"/>
              </w:rPr>
              <w:t xml:space="preserve">takeholder plans were </w:t>
            </w:r>
            <w:r>
              <w:rPr>
                <w:rFonts w:cs="Arial"/>
                <w:sz w:val="22"/>
                <w:szCs w:val="22"/>
              </w:rPr>
              <w:t>deprioritised</w:t>
            </w:r>
            <w:r w:rsidRPr="00A849A1">
              <w:rPr>
                <w:rFonts w:cs="Arial"/>
                <w:sz w:val="22"/>
                <w:szCs w:val="22"/>
              </w:rPr>
              <w:t xml:space="preserve"> due to uncertainty throughout the year. The ADB did produce a note on the lessons learnt from the Gundih pilot project. </w:t>
            </w:r>
            <w:r>
              <w:rPr>
                <w:rFonts w:cs="Arial"/>
                <w:sz w:val="22"/>
                <w:szCs w:val="22"/>
              </w:rPr>
              <w:t>T</w:t>
            </w:r>
            <w:r w:rsidRPr="00A849A1">
              <w:rPr>
                <w:rFonts w:cs="Arial"/>
                <w:sz w:val="22"/>
                <w:szCs w:val="22"/>
              </w:rPr>
              <w:t>he TA completion report published in July 2020 highlight</w:t>
            </w:r>
            <w:r>
              <w:rPr>
                <w:rFonts w:cs="Arial"/>
                <w:sz w:val="22"/>
                <w:szCs w:val="22"/>
              </w:rPr>
              <w:t>ed</w:t>
            </w:r>
            <w:r w:rsidRPr="00A849A1">
              <w:rPr>
                <w:rFonts w:cs="Arial"/>
                <w:sz w:val="22"/>
                <w:szCs w:val="22"/>
              </w:rPr>
              <w:t xml:space="preserve"> several of the main points from this note</w:t>
            </w:r>
            <w:r>
              <w:rPr>
                <w:rFonts w:cs="Arial"/>
                <w:sz w:val="22"/>
                <w:szCs w:val="22"/>
              </w:rPr>
              <w:t>, but no dissemination of the lessons learned was conducted.</w:t>
            </w:r>
          </w:p>
        </w:tc>
      </w:tr>
      <w:tr w:rsidR="00306B0F" w:rsidRPr="00A849A1" w14:paraId="4ABDE456" w14:textId="77777777" w:rsidTr="00D452D2">
        <w:tc>
          <w:tcPr>
            <w:tcW w:w="4390" w:type="dxa"/>
          </w:tcPr>
          <w:p w14:paraId="7FF85362" w14:textId="77777777" w:rsidR="00306B0F" w:rsidRPr="00A849A1" w:rsidRDefault="00306B0F" w:rsidP="00D452D2">
            <w:pPr>
              <w:spacing w:after="23"/>
              <w:rPr>
                <w:rFonts w:cs="Arial"/>
                <w:sz w:val="22"/>
                <w:szCs w:val="22"/>
              </w:rPr>
            </w:pPr>
            <w:r w:rsidRPr="00A849A1">
              <w:rPr>
                <w:rFonts w:cs="Arial"/>
                <w:sz w:val="22"/>
                <w:szCs w:val="22"/>
              </w:rPr>
              <w:t xml:space="preserve">8. BEIS to develop indicators to formally assess against value-for-money as well as considering the development of methodological approaches to report against additional KPIs pending the outcome of the piloting of BEIS’s new technical assistance KPIs (by 31st September 2020). </w:t>
            </w:r>
          </w:p>
        </w:tc>
        <w:tc>
          <w:tcPr>
            <w:tcW w:w="4626" w:type="dxa"/>
          </w:tcPr>
          <w:p w14:paraId="74A3CB5F" w14:textId="77777777" w:rsidR="00306B0F" w:rsidRPr="00A849A1" w:rsidRDefault="00306B0F" w:rsidP="00D452D2">
            <w:pPr>
              <w:rPr>
                <w:rFonts w:cs="Arial"/>
                <w:sz w:val="22"/>
                <w:szCs w:val="22"/>
              </w:rPr>
            </w:pPr>
            <w:r w:rsidRPr="00A849A1">
              <w:rPr>
                <w:rFonts w:cs="Arial"/>
                <w:sz w:val="22"/>
                <w:szCs w:val="22"/>
                <w:u w:val="single"/>
              </w:rPr>
              <w:t>Achieved</w:t>
            </w:r>
            <w:r w:rsidRPr="00A849A1">
              <w:rPr>
                <w:rFonts w:cs="Arial"/>
                <w:sz w:val="22"/>
                <w:szCs w:val="22"/>
              </w:rPr>
              <w:t xml:space="preserve">: </w:t>
            </w:r>
            <w:r>
              <w:rPr>
                <w:rFonts w:cs="Arial"/>
                <w:sz w:val="22"/>
                <w:szCs w:val="22"/>
              </w:rPr>
              <w:t xml:space="preserve">BEIS developed </w:t>
            </w:r>
            <w:r w:rsidRPr="00A849A1">
              <w:rPr>
                <w:rFonts w:cs="Arial"/>
                <w:sz w:val="22"/>
                <w:szCs w:val="22"/>
              </w:rPr>
              <w:t xml:space="preserve">a new value-for-money rationale </w:t>
            </w:r>
            <w:r>
              <w:rPr>
                <w:rFonts w:cs="Arial"/>
                <w:sz w:val="22"/>
                <w:szCs w:val="22"/>
              </w:rPr>
              <w:t xml:space="preserve">that </w:t>
            </w:r>
            <w:r w:rsidRPr="00A849A1">
              <w:rPr>
                <w:rFonts w:cs="Arial"/>
                <w:sz w:val="22"/>
                <w:szCs w:val="22"/>
              </w:rPr>
              <w:t xml:space="preserve">is applied in this annual review. The international CCUS programme will report against TA KPI 1 in 2021. Methodologies for TA KPI 2,3 and 4 have been drafted.   </w:t>
            </w:r>
          </w:p>
        </w:tc>
      </w:tr>
      <w:tr w:rsidR="00306B0F" w:rsidRPr="00A849A1" w14:paraId="2DA3C8F4" w14:textId="77777777" w:rsidTr="00D452D2">
        <w:tc>
          <w:tcPr>
            <w:tcW w:w="4390" w:type="dxa"/>
          </w:tcPr>
          <w:p w14:paraId="71ED9593" w14:textId="77777777" w:rsidR="00306B0F" w:rsidRPr="00A849A1" w:rsidRDefault="00306B0F" w:rsidP="00D452D2">
            <w:pPr>
              <w:spacing w:after="23"/>
              <w:rPr>
                <w:rFonts w:cs="Arial"/>
                <w:sz w:val="22"/>
                <w:szCs w:val="22"/>
              </w:rPr>
            </w:pPr>
            <w:r w:rsidRPr="00A849A1">
              <w:rPr>
                <w:rFonts w:cs="Arial"/>
                <w:sz w:val="22"/>
                <w:szCs w:val="22"/>
              </w:rPr>
              <w:t xml:space="preserve">9. BEIS to make a decision on the value of undertaking an end-of-programme </w:t>
            </w:r>
            <w:r w:rsidRPr="00A849A1">
              <w:rPr>
                <w:rFonts w:cs="Arial"/>
                <w:sz w:val="22"/>
                <w:szCs w:val="22"/>
              </w:rPr>
              <w:lastRenderedPageBreak/>
              <w:t xml:space="preserve">independent evaluation of the programme (by 31st January 2021). </w:t>
            </w:r>
          </w:p>
        </w:tc>
        <w:tc>
          <w:tcPr>
            <w:tcW w:w="4626" w:type="dxa"/>
          </w:tcPr>
          <w:p w14:paraId="42901C8B" w14:textId="77777777" w:rsidR="00306B0F" w:rsidRPr="00A849A1" w:rsidRDefault="00306B0F" w:rsidP="00D452D2">
            <w:pPr>
              <w:rPr>
                <w:rFonts w:cs="Arial"/>
                <w:sz w:val="22"/>
                <w:szCs w:val="22"/>
              </w:rPr>
            </w:pPr>
            <w:r>
              <w:rPr>
                <w:rFonts w:cs="Arial"/>
                <w:sz w:val="22"/>
                <w:szCs w:val="22"/>
                <w:u w:val="single"/>
              </w:rPr>
              <w:lastRenderedPageBreak/>
              <w:t>Not achieved</w:t>
            </w:r>
            <w:r w:rsidRPr="00A849A1">
              <w:rPr>
                <w:rFonts w:cs="Arial"/>
                <w:sz w:val="22"/>
                <w:szCs w:val="22"/>
                <w:u w:val="single"/>
              </w:rPr>
              <w:t>:</w:t>
            </w:r>
            <w:r w:rsidRPr="00A849A1">
              <w:rPr>
                <w:rFonts w:cs="Arial"/>
                <w:sz w:val="22"/>
                <w:szCs w:val="22"/>
              </w:rPr>
              <w:t xml:space="preserve"> </w:t>
            </w:r>
            <w:r>
              <w:rPr>
                <w:rFonts w:cs="Arial"/>
                <w:sz w:val="22"/>
                <w:szCs w:val="22"/>
              </w:rPr>
              <w:t>A decision on this</w:t>
            </w:r>
            <w:r w:rsidRPr="00A849A1">
              <w:rPr>
                <w:rFonts w:cs="Arial"/>
                <w:sz w:val="22"/>
                <w:szCs w:val="22"/>
              </w:rPr>
              <w:t xml:space="preserve"> </w:t>
            </w:r>
            <w:r>
              <w:rPr>
                <w:rFonts w:cs="Arial"/>
                <w:sz w:val="22"/>
                <w:szCs w:val="22"/>
              </w:rPr>
              <w:t>was deferred from 2020 to 2021</w:t>
            </w:r>
            <w:r w:rsidRPr="00A849A1">
              <w:rPr>
                <w:rFonts w:cs="Arial"/>
                <w:sz w:val="22"/>
                <w:szCs w:val="22"/>
              </w:rPr>
              <w:t xml:space="preserve">. </w:t>
            </w:r>
          </w:p>
        </w:tc>
      </w:tr>
      <w:tr w:rsidR="00306B0F" w:rsidRPr="00A849A1" w14:paraId="3CAD0050" w14:textId="77777777" w:rsidTr="00D452D2">
        <w:tc>
          <w:tcPr>
            <w:tcW w:w="4390" w:type="dxa"/>
          </w:tcPr>
          <w:p w14:paraId="7F6104EA" w14:textId="77777777" w:rsidR="00306B0F" w:rsidRPr="00A849A1" w:rsidRDefault="00306B0F" w:rsidP="00D452D2">
            <w:pPr>
              <w:spacing w:after="23"/>
              <w:rPr>
                <w:rFonts w:cs="Arial"/>
                <w:sz w:val="22"/>
                <w:szCs w:val="22"/>
              </w:rPr>
            </w:pPr>
            <w:r w:rsidRPr="00A849A1">
              <w:rPr>
                <w:rFonts w:cs="Arial"/>
                <w:sz w:val="22"/>
                <w:szCs w:val="22"/>
              </w:rPr>
              <w:t>10. BEIS to revise the outcome indictor for this programme to focus on private finance mobilised for CCUS development and publish the revised logframe (by 31st July 2020).</w:t>
            </w:r>
          </w:p>
        </w:tc>
        <w:tc>
          <w:tcPr>
            <w:tcW w:w="4626" w:type="dxa"/>
          </w:tcPr>
          <w:p w14:paraId="480681C3" w14:textId="5E3533B9" w:rsidR="00306B0F" w:rsidRPr="00A849A1" w:rsidRDefault="00306B0F" w:rsidP="00D452D2">
            <w:pPr>
              <w:rPr>
                <w:rFonts w:cs="Arial"/>
                <w:sz w:val="22"/>
                <w:szCs w:val="22"/>
              </w:rPr>
            </w:pPr>
            <w:r w:rsidRPr="000619BE">
              <w:rPr>
                <w:rFonts w:cs="Arial"/>
                <w:sz w:val="22"/>
                <w:szCs w:val="22"/>
                <w:u w:val="single"/>
              </w:rPr>
              <w:t>Achieved</w:t>
            </w:r>
            <w:r w:rsidRPr="000619BE">
              <w:rPr>
                <w:rFonts w:cs="Arial"/>
                <w:sz w:val="22"/>
                <w:szCs w:val="22"/>
              </w:rPr>
              <w:t>: logframe published on the 15</w:t>
            </w:r>
            <w:r w:rsidRPr="000619BE">
              <w:rPr>
                <w:rFonts w:cs="Arial"/>
                <w:sz w:val="22"/>
                <w:szCs w:val="22"/>
                <w:vertAlign w:val="superscript"/>
              </w:rPr>
              <w:t>th</w:t>
            </w:r>
            <w:r w:rsidRPr="000619BE">
              <w:rPr>
                <w:rFonts w:cs="Arial"/>
                <w:sz w:val="22"/>
                <w:szCs w:val="22"/>
              </w:rPr>
              <w:t xml:space="preserve"> July. A composite indicator tab was added and the outcome indicator and output 2 were amended.</w:t>
            </w:r>
          </w:p>
        </w:tc>
      </w:tr>
    </w:tbl>
    <w:p w14:paraId="14570F55" w14:textId="77777777" w:rsidR="00EF4E1D" w:rsidRDefault="00EF4E1D" w:rsidP="00306B0F">
      <w:pPr>
        <w:tabs>
          <w:tab w:val="left" w:pos="6915"/>
          <w:tab w:val="left" w:pos="9495"/>
        </w:tabs>
        <w:rPr>
          <w:b/>
          <w:sz w:val="22"/>
          <w:szCs w:val="22"/>
        </w:rPr>
      </w:pPr>
    </w:p>
    <w:p w14:paraId="00720639" w14:textId="7195A13A" w:rsidR="00306B0F" w:rsidRPr="00A849A1" w:rsidRDefault="00306B0F" w:rsidP="00306B0F">
      <w:pPr>
        <w:tabs>
          <w:tab w:val="left" w:pos="6915"/>
          <w:tab w:val="left" w:pos="9495"/>
        </w:tabs>
        <w:rPr>
          <w:rFonts w:cs="Arial"/>
          <w:sz w:val="22"/>
          <w:szCs w:val="22"/>
        </w:rPr>
      </w:pPr>
      <w:r w:rsidRPr="00A849A1">
        <w:rPr>
          <w:b/>
          <w:sz w:val="22"/>
          <w:szCs w:val="22"/>
        </w:rPr>
        <w:t xml:space="preserve">Major lessons and recommendations for the year ahead </w:t>
      </w:r>
    </w:p>
    <w:p w14:paraId="31656704" w14:textId="77777777" w:rsidR="00306B0F" w:rsidRPr="00A849A1" w:rsidRDefault="00306B0F" w:rsidP="00306B0F">
      <w:pPr>
        <w:tabs>
          <w:tab w:val="left" w:pos="6915"/>
          <w:tab w:val="left" w:pos="9495"/>
        </w:tabs>
        <w:rPr>
          <w:rFonts w:cs="Arial"/>
          <w:sz w:val="22"/>
          <w:szCs w:val="22"/>
        </w:rPr>
      </w:pPr>
    </w:p>
    <w:p w14:paraId="1A2DC1AC" w14:textId="77777777" w:rsidR="00306B0F" w:rsidRPr="00A849A1" w:rsidRDefault="00306B0F" w:rsidP="00306B0F">
      <w:pPr>
        <w:tabs>
          <w:tab w:val="left" w:pos="6915"/>
          <w:tab w:val="left" w:pos="9495"/>
        </w:tabs>
        <w:rPr>
          <w:rFonts w:cs="Arial"/>
          <w:sz w:val="22"/>
          <w:szCs w:val="22"/>
        </w:rPr>
      </w:pPr>
      <w:r w:rsidRPr="00A849A1">
        <w:rPr>
          <w:rFonts w:cs="Arial"/>
          <w:sz w:val="22"/>
          <w:szCs w:val="22"/>
        </w:rPr>
        <w:t>Major lessons from 2020:</w:t>
      </w:r>
    </w:p>
    <w:p w14:paraId="0691AEAE" w14:textId="0C53DA0E" w:rsidR="00306B0F" w:rsidRPr="00BA65C6" w:rsidRDefault="00306B0F" w:rsidP="00BA65C6">
      <w:pPr>
        <w:pStyle w:val="ListParagraph"/>
        <w:numPr>
          <w:ilvl w:val="0"/>
          <w:numId w:val="10"/>
        </w:numPr>
        <w:tabs>
          <w:tab w:val="left" w:pos="6915"/>
          <w:tab w:val="left" w:pos="9495"/>
        </w:tabs>
        <w:rPr>
          <w:rFonts w:cs="Arial"/>
          <w:sz w:val="22"/>
          <w:szCs w:val="22"/>
        </w:rPr>
      </w:pPr>
      <w:r w:rsidRPr="007C442F">
        <w:rPr>
          <w:rFonts w:cs="Arial"/>
          <w:sz w:val="22"/>
          <w:szCs w:val="22"/>
        </w:rPr>
        <w:t>Although there have been small positive steps to unblock delays in Mexico and China in 2020, project activities continue to be severely delayed (</w:t>
      </w:r>
      <w:r>
        <w:rPr>
          <w:rFonts w:cs="Arial"/>
          <w:sz w:val="22"/>
          <w:szCs w:val="22"/>
        </w:rPr>
        <w:t>i</w:t>
      </w:r>
      <w:r w:rsidRPr="007C442F">
        <w:rPr>
          <w:rFonts w:cs="Arial"/>
          <w:sz w:val="22"/>
          <w:szCs w:val="22"/>
        </w:rPr>
        <w:t>n South Africa since November 2018, in Mexico since July 2018 and in Indonesia since December 2019). Although delays are less severe in China, activities are still delayed by one year.</w:t>
      </w:r>
    </w:p>
    <w:p w14:paraId="13085644" w14:textId="4B213EB3" w:rsidR="00306B0F" w:rsidRPr="007C442F" w:rsidRDefault="00306B0F" w:rsidP="00306B0F">
      <w:pPr>
        <w:pStyle w:val="ListParagraph"/>
        <w:numPr>
          <w:ilvl w:val="0"/>
          <w:numId w:val="10"/>
        </w:numPr>
        <w:tabs>
          <w:tab w:val="left" w:pos="6915"/>
          <w:tab w:val="left" w:pos="9495"/>
        </w:tabs>
        <w:rPr>
          <w:rFonts w:cs="Arial"/>
          <w:sz w:val="22"/>
          <w:szCs w:val="22"/>
        </w:rPr>
      </w:pPr>
      <w:r>
        <w:rPr>
          <w:rFonts w:cs="Arial"/>
          <w:sz w:val="22"/>
          <w:szCs w:val="18"/>
        </w:rPr>
        <w:t>Delays were mostly continuations of existing issues,</w:t>
      </w:r>
      <w:r w:rsidRPr="00ED3DEF">
        <w:rPr>
          <w:rFonts w:cs="Arial"/>
          <w:sz w:val="22"/>
          <w:szCs w:val="18"/>
        </w:rPr>
        <w:t xml:space="preserve"> primarily due to </w:t>
      </w:r>
      <w:r w:rsidR="008559DA">
        <w:rPr>
          <w:rFonts w:cs="Arial"/>
          <w:sz w:val="22"/>
          <w:szCs w:val="18"/>
        </w:rPr>
        <w:t xml:space="preserve">challenges </w:t>
      </w:r>
      <w:r w:rsidR="00B70C4E">
        <w:rPr>
          <w:rFonts w:cs="Arial"/>
          <w:sz w:val="22"/>
          <w:szCs w:val="18"/>
        </w:rPr>
        <w:t xml:space="preserve">in </w:t>
      </w:r>
      <w:r w:rsidR="00D5058A">
        <w:rPr>
          <w:rFonts w:cs="Arial"/>
          <w:sz w:val="22"/>
          <w:szCs w:val="18"/>
        </w:rPr>
        <w:t xml:space="preserve">receiving </w:t>
      </w:r>
      <w:r w:rsidR="00B70C4E">
        <w:rPr>
          <w:rFonts w:cs="Arial"/>
          <w:sz w:val="22"/>
          <w:szCs w:val="18"/>
        </w:rPr>
        <w:t xml:space="preserve">final </w:t>
      </w:r>
      <w:r w:rsidR="009A57D6">
        <w:rPr>
          <w:rFonts w:cs="Arial"/>
          <w:sz w:val="22"/>
          <w:szCs w:val="18"/>
        </w:rPr>
        <w:t xml:space="preserve">government </w:t>
      </w:r>
      <w:r w:rsidR="00B70C4E">
        <w:rPr>
          <w:rFonts w:cs="Arial"/>
          <w:sz w:val="22"/>
          <w:szCs w:val="18"/>
        </w:rPr>
        <w:t xml:space="preserve">approvals </w:t>
      </w:r>
      <w:r w:rsidR="00620781">
        <w:rPr>
          <w:rFonts w:cs="Arial"/>
          <w:sz w:val="22"/>
          <w:szCs w:val="18"/>
        </w:rPr>
        <w:t xml:space="preserve">for CCUS pilot projects </w:t>
      </w:r>
      <w:r w:rsidR="009A57D6">
        <w:rPr>
          <w:rFonts w:cs="Arial"/>
          <w:sz w:val="22"/>
          <w:szCs w:val="18"/>
        </w:rPr>
        <w:t xml:space="preserve">in </w:t>
      </w:r>
      <w:r>
        <w:rPr>
          <w:rFonts w:cs="Arial"/>
          <w:sz w:val="22"/>
          <w:szCs w:val="18"/>
        </w:rPr>
        <w:t xml:space="preserve">recipient </w:t>
      </w:r>
      <w:r w:rsidR="009A57D6">
        <w:rPr>
          <w:rFonts w:cs="Arial"/>
          <w:sz w:val="22"/>
          <w:szCs w:val="18"/>
        </w:rPr>
        <w:t>countries</w:t>
      </w:r>
      <w:r w:rsidRPr="00ED3DEF">
        <w:rPr>
          <w:rFonts w:cs="Arial"/>
          <w:sz w:val="22"/>
          <w:szCs w:val="18"/>
        </w:rPr>
        <w:t xml:space="preserve"> (Mexico, Indonesia, South Africa) and technical issues at pilot project sites (South Africa). </w:t>
      </w:r>
      <w:r w:rsidR="00A50DBF">
        <w:rPr>
          <w:rFonts w:cs="Arial"/>
          <w:sz w:val="22"/>
          <w:szCs w:val="18"/>
        </w:rPr>
        <w:t>Noting the</w:t>
      </w:r>
      <w:r w:rsidR="00CC1AF3">
        <w:rPr>
          <w:rFonts w:cs="Arial"/>
          <w:sz w:val="22"/>
          <w:szCs w:val="18"/>
        </w:rPr>
        <w:t xml:space="preserve"> unprecedented</w:t>
      </w:r>
      <w:r w:rsidR="00A50DBF">
        <w:rPr>
          <w:rFonts w:cs="Arial"/>
          <w:sz w:val="22"/>
          <w:szCs w:val="18"/>
        </w:rPr>
        <w:t xml:space="preserve"> </w:t>
      </w:r>
      <w:r w:rsidR="00B610D6">
        <w:rPr>
          <w:rFonts w:cs="Arial"/>
          <w:sz w:val="22"/>
          <w:szCs w:val="18"/>
        </w:rPr>
        <w:t>challenges</w:t>
      </w:r>
      <w:r w:rsidR="00A50DBF">
        <w:rPr>
          <w:rFonts w:cs="Arial"/>
          <w:sz w:val="22"/>
          <w:szCs w:val="18"/>
        </w:rPr>
        <w:t xml:space="preserve"> that </w:t>
      </w:r>
      <w:r w:rsidR="00C07ECC">
        <w:rPr>
          <w:rFonts w:cs="Arial"/>
          <w:sz w:val="22"/>
          <w:szCs w:val="18"/>
        </w:rPr>
        <w:t>target countr</w:t>
      </w:r>
      <w:r w:rsidR="00F037C0">
        <w:rPr>
          <w:rFonts w:cs="Arial"/>
          <w:sz w:val="22"/>
          <w:szCs w:val="18"/>
        </w:rPr>
        <w:t>ies</w:t>
      </w:r>
      <w:r w:rsidR="00C07ECC">
        <w:rPr>
          <w:rFonts w:cs="Arial"/>
          <w:sz w:val="22"/>
          <w:szCs w:val="18"/>
        </w:rPr>
        <w:t xml:space="preserve"> faced in 2020</w:t>
      </w:r>
      <w:r w:rsidR="00067E73">
        <w:rPr>
          <w:rFonts w:cs="Arial"/>
          <w:sz w:val="22"/>
          <w:szCs w:val="18"/>
        </w:rPr>
        <w:t xml:space="preserve"> due to COVID-19</w:t>
      </w:r>
      <w:r w:rsidR="00C07ECC">
        <w:rPr>
          <w:rFonts w:cs="Arial"/>
          <w:sz w:val="22"/>
          <w:szCs w:val="18"/>
        </w:rPr>
        <w:t>,</w:t>
      </w:r>
      <w:r w:rsidR="00E16703">
        <w:rPr>
          <w:rFonts w:cs="Arial"/>
          <w:sz w:val="22"/>
          <w:szCs w:val="18"/>
        </w:rPr>
        <w:t xml:space="preserve"> </w:t>
      </w:r>
      <w:r w:rsidR="00E26E4E">
        <w:rPr>
          <w:rFonts w:cs="Arial"/>
          <w:sz w:val="22"/>
          <w:szCs w:val="18"/>
        </w:rPr>
        <w:t xml:space="preserve">competing pressures </w:t>
      </w:r>
      <w:r w:rsidR="00C5399C">
        <w:rPr>
          <w:rFonts w:cs="Arial"/>
          <w:sz w:val="22"/>
          <w:szCs w:val="18"/>
        </w:rPr>
        <w:t>ha</w:t>
      </w:r>
      <w:r w:rsidR="00B610D6">
        <w:rPr>
          <w:rFonts w:cs="Arial"/>
          <w:sz w:val="22"/>
          <w:szCs w:val="18"/>
        </w:rPr>
        <w:t>ve</w:t>
      </w:r>
      <w:r w:rsidR="00C5399C">
        <w:rPr>
          <w:rFonts w:cs="Arial"/>
          <w:sz w:val="22"/>
          <w:szCs w:val="18"/>
        </w:rPr>
        <w:t xml:space="preserve"> squeezed</w:t>
      </w:r>
      <w:r w:rsidR="007C4571">
        <w:rPr>
          <w:rFonts w:cs="Arial"/>
          <w:sz w:val="22"/>
          <w:szCs w:val="18"/>
        </w:rPr>
        <w:t xml:space="preserve"> the </w:t>
      </w:r>
      <w:r w:rsidR="00B12E78">
        <w:rPr>
          <w:rFonts w:cs="Arial"/>
          <w:sz w:val="22"/>
          <w:szCs w:val="18"/>
        </w:rPr>
        <w:t xml:space="preserve">bandwidth </w:t>
      </w:r>
      <w:r w:rsidR="007C4571">
        <w:rPr>
          <w:rFonts w:cs="Arial"/>
          <w:sz w:val="22"/>
          <w:szCs w:val="18"/>
        </w:rPr>
        <w:t xml:space="preserve">for </w:t>
      </w:r>
      <w:r w:rsidR="00B610D6">
        <w:rPr>
          <w:rFonts w:cs="Arial"/>
          <w:sz w:val="22"/>
          <w:szCs w:val="18"/>
        </w:rPr>
        <w:t>governments</w:t>
      </w:r>
      <w:r w:rsidR="00C57948">
        <w:rPr>
          <w:rFonts w:cs="Arial"/>
          <w:sz w:val="22"/>
          <w:szCs w:val="18"/>
        </w:rPr>
        <w:t xml:space="preserve"> to </w:t>
      </w:r>
      <w:r w:rsidR="00B12E78">
        <w:rPr>
          <w:rFonts w:cs="Arial"/>
          <w:sz w:val="22"/>
          <w:szCs w:val="18"/>
        </w:rPr>
        <w:t xml:space="preserve">engage </w:t>
      </w:r>
      <w:r w:rsidR="00011701">
        <w:rPr>
          <w:rFonts w:cs="Arial"/>
          <w:sz w:val="22"/>
          <w:szCs w:val="18"/>
        </w:rPr>
        <w:t>in, and approv</w:t>
      </w:r>
      <w:r w:rsidR="00C57948">
        <w:rPr>
          <w:rFonts w:cs="Arial"/>
          <w:sz w:val="22"/>
          <w:szCs w:val="18"/>
        </w:rPr>
        <w:t>e</w:t>
      </w:r>
      <w:r w:rsidR="00011701">
        <w:rPr>
          <w:rFonts w:cs="Arial"/>
          <w:sz w:val="22"/>
          <w:szCs w:val="18"/>
        </w:rPr>
        <w:t xml:space="preserve">, </w:t>
      </w:r>
      <w:r w:rsidR="002467B4">
        <w:rPr>
          <w:rFonts w:cs="Arial"/>
          <w:sz w:val="22"/>
          <w:szCs w:val="18"/>
        </w:rPr>
        <w:t>planned</w:t>
      </w:r>
      <w:r w:rsidR="00B12E78">
        <w:rPr>
          <w:rFonts w:cs="Arial"/>
          <w:sz w:val="22"/>
          <w:szCs w:val="18"/>
        </w:rPr>
        <w:t xml:space="preserve"> </w:t>
      </w:r>
      <w:r w:rsidR="0084697F">
        <w:rPr>
          <w:rFonts w:cs="Arial"/>
          <w:sz w:val="22"/>
          <w:szCs w:val="18"/>
        </w:rPr>
        <w:t>pilot projects</w:t>
      </w:r>
      <w:r w:rsidR="000028A0">
        <w:rPr>
          <w:rFonts w:cs="Arial"/>
          <w:sz w:val="22"/>
          <w:szCs w:val="18"/>
        </w:rPr>
        <w:t>.</w:t>
      </w:r>
      <w:r w:rsidR="00C07ECC">
        <w:rPr>
          <w:rFonts w:cs="Arial"/>
          <w:sz w:val="22"/>
          <w:szCs w:val="18"/>
        </w:rPr>
        <w:t xml:space="preserve"> </w:t>
      </w:r>
    </w:p>
    <w:p w14:paraId="41E238CF" w14:textId="0682FA3B" w:rsidR="00306B0F" w:rsidRDefault="00306B0F" w:rsidP="00306B0F">
      <w:pPr>
        <w:pStyle w:val="ListParagraph"/>
        <w:numPr>
          <w:ilvl w:val="0"/>
          <w:numId w:val="10"/>
        </w:numPr>
        <w:tabs>
          <w:tab w:val="left" w:pos="6915"/>
          <w:tab w:val="left" w:pos="9495"/>
        </w:tabs>
        <w:rPr>
          <w:rFonts w:cs="Arial"/>
          <w:sz w:val="22"/>
          <w:szCs w:val="22"/>
        </w:rPr>
      </w:pPr>
      <w:r w:rsidRPr="00144DD8">
        <w:rPr>
          <w:rFonts w:cs="Arial"/>
          <w:sz w:val="22"/>
          <w:szCs w:val="22"/>
        </w:rPr>
        <w:t xml:space="preserve">The COVID19 pandemic exacerbated </w:t>
      </w:r>
      <w:r>
        <w:rPr>
          <w:rFonts w:cs="Arial"/>
          <w:sz w:val="22"/>
          <w:szCs w:val="22"/>
        </w:rPr>
        <w:t xml:space="preserve">existing </w:t>
      </w:r>
      <w:r w:rsidRPr="00144DD8">
        <w:rPr>
          <w:rFonts w:cs="Arial"/>
          <w:sz w:val="22"/>
          <w:szCs w:val="22"/>
        </w:rPr>
        <w:t xml:space="preserve">delays due to travel restrictions and limited government resources. </w:t>
      </w:r>
    </w:p>
    <w:p w14:paraId="010043FA" w14:textId="61D4B405" w:rsidR="00306B0F" w:rsidRPr="00BA65C6" w:rsidRDefault="00306B0F" w:rsidP="00BA65C6">
      <w:pPr>
        <w:pStyle w:val="ListParagraph"/>
        <w:numPr>
          <w:ilvl w:val="0"/>
          <w:numId w:val="10"/>
        </w:numPr>
        <w:tabs>
          <w:tab w:val="left" w:pos="6915"/>
          <w:tab w:val="left" w:pos="9495"/>
        </w:tabs>
        <w:rPr>
          <w:rFonts w:cs="Arial"/>
          <w:sz w:val="22"/>
          <w:szCs w:val="22"/>
        </w:rPr>
      </w:pPr>
      <w:r>
        <w:rPr>
          <w:rFonts w:cs="Arial"/>
          <w:sz w:val="22"/>
          <w:szCs w:val="22"/>
        </w:rPr>
        <w:t xml:space="preserve">Project-level delays and a lack of demand have disrupted the disbursement rate, and the programme now significantly deviates from the original encashment schedule. Pilot project delays means that no Capital Departmental Expenditure Limits (CDEL) has been encashed to date, only Resource Departmental Expenditure Limits (RDEL).  </w:t>
      </w:r>
    </w:p>
    <w:p w14:paraId="023C73BD" w14:textId="77777777" w:rsidR="00306B0F" w:rsidRPr="00A849A1" w:rsidRDefault="00306B0F" w:rsidP="00306B0F">
      <w:pPr>
        <w:tabs>
          <w:tab w:val="left" w:pos="6915"/>
          <w:tab w:val="left" w:pos="9495"/>
        </w:tabs>
        <w:rPr>
          <w:rFonts w:cs="Arial"/>
          <w:sz w:val="22"/>
          <w:szCs w:val="22"/>
        </w:rPr>
      </w:pPr>
      <w:r w:rsidRPr="00A849A1">
        <w:rPr>
          <w:rFonts w:cs="Arial"/>
          <w:sz w:val="22"/>
          <w:szCs w:val="22"/>
        </w:rPr>
        <w:t xml:space="preserve">Recommendations for 2021: </w:t>
      </w:r>
    </w:p>
    <w:p w14:paraId="6430C9B0" w14:textId="26AB812C" w:rsidR="00306B0F" w:rsidRDefault="00306B0F" w:rsidP="00306B0F">
      <w:pPr>
        <w:pStyle w:val="ListParagraph"/>
        <w:numPr>
          <w:ilvl w:val="0"/>
          <w:numId w:val="9"/>
        </w:numPr>
        <w:tabs>
          <w:tab w:val="left" w:pos="6915"/>
          <w:tab w:val="left" w:pos="9495"/>
        </w:tabs>
        <w:rPr>
          <w:bCs/>
          <w:sz w:val="22"/>
          <w:szCs w:val="22"/>
        </w:rPr>
      </w:pPr>
      <w:r w:rsidRPr="00A849A1">
        <w:rPr>
          <w:bCs/>
          <w:sz w:val="22"/>
          <w:szCs w:val="22"/>
        </w:rPr>
        <w:t>BEIS to</w:t>
      </w:r>
      <w:r>
        <w:rPr>
          <w:bCs/>
          <w:sz w:val="22"/>
          <w:szCs w:val="22"/>
        </w:rPr>
        <w:t xml:space="preserve"> conduct an internal review of the programme’s performance to date and decide on appropriate actions for the future of the programme</w:t>
      </w:r>
      <w:r w:rsidRPr="00A849A1">
        <w:rPr>
          <w:bCs/>
          <w:sz w:val="22"/>
          <w:szCs w:val="22"/>
        </w:rPr>
        <w:t xml:space="preserve"> (by 1</w:t>
      </w:r>
      <w:r w:rsidRPr="00A849A1">
        <w:rPr>
          <w:bCs/>
          <w:sz w:val="22"/>
          <w:szCs w:val="22"/>
          <w:vertAlign w:val="superscript"/>
        </w:rPr>
        <w:t>st</w:t>
      </w:r>
      <w:r w:rsidRPr="00A849A1">
        <w:rPr>
          <w:bCs/>
          <w:sz w:val="22"/>
          <w:szCs w:val="22"/>
        </w:rPr>
        <w:t xml:space="preserve"> </w:t>
      </w:r>
      <w:r w:rsidR="000C3F14">
        <w:rPr>
          <w:bCs/>
          <w:sz w:val="22"/>
          <w:szCs w:val="22"/>
        </w:rPr>
        <w:t>August</w:t>
      </w:r>
      <w:r w:rsidR="000C3F14" w:rsidRPr="00A849A1">
        <w:rPr>
          <w:bCs/>
          <w:sz w:val="22"/>
          <w:szCs w:val="22"/>
        </w:rPr>
        <w:t xml:space="preserve"> </w:t>
      </w:r>
      <w:r w:rsidRPr="00A849A1">
        <w:rPr>
          <w:bCs/>
          <w:sz w:val="22"/>
          <w:szCs w:val="22"/>
        </w:rPr>
        <w:t>2021).</w:t>
      </w:r>
    </w:p>
    <w:p w14:paraId="3EB65AD6" w14:textId="65EBB75D" w:rsidR="00306B0F" w:rsidRDefault="00546C14" w:rsidP="00306B0F">
      <w:pPr>
        <w:pStyle w:val="ListParagraph"/>
        <w:numPr>
          <w:ilvl w:val="0"/>
          <w:numId w:val="9"/>
        </w:numPr>
        <w:tabs>
          <w:tab w:val="left" w:pos="6915"/>
          <w:tab w:val="left" w:pos="9495"/>
        </w:tabs>
        <w:rPr>
          <w:bCs/>
          <w:sz w:val="22"/>
          <w:szCs w:val="22"/>
        </w:rPr>
      </w:pPr>
      <w:r>
        <w:rPr>
          <w:bCs/>
          <w:sz w:val="22"/>
          <w:szCs w:val="22"/>
        </w:rPr>
        <w:t xml:space="preserve">In light of the internal review, </w:t>
      </w:r>
      <w:r w:rsidR="000C3F14">
        <w:rPr>
          <w:bCs/>
          <w:sz w:val="22"/>
          <w:szCs w:val="22"/>
        </w:rPr>
        <w:t>t</w:t>
      </w:r>
      <w:r w:rsidR="00306B0F">
        <w:rPr>
          <w:bCs/>
          <w:sz w:val="22"/>
          <w:szCs w:val="22"/>
        </w:rPr>
        <w:t>he ADB and the World Bank to provide BEIS with a full pipeline for all unencashed funds, including detailed forecast encashment schedules (by 1</w:t>
      </w:r>
      <w:r w:rsidR="00306B0F" w:rsidRPr="00201872">
        <w:rPr>
          <w:bCs/>
          <w:sz w:val="22"/>
          <w:szCs w:val="22"/>
          <w:vertAlign w:val="superscript"/>
        </w:rPr>
        <w:t>st</w:t>
      </w:r>
      <w:r w:rsidR="00306B0F">
        <w:rPr>
          <w:bCs/>
          <w:sz w:val="22"/>
          <w:szCs w:val="22"/>
        </w:rPr>
        <w:t xml:space="preserve"> </w:t>
      </w:r>
      <w:r w:rsidR="001822C2">
        <w:rPr>
          <w:bCs/>
          <w:sz w:val="22"/>
          <w:szCs w:val="22"/>
        </w:rPr>
        <w:t>October</w:t>
      </w:r>
      <w:r w:rsidR="00306B0F">
        <w:rPr>
          <w:bCs/>
          <w:sz w:val="22"/>
          <w:szCs w:val="22"/>
        </w:rPr>
        <w:t xml:space="preserve"> 2021).</w:t>
      </w:r>
    </w:p>
    <w:p w14:paraId="2025455E" w14:textId="309DD670" w:rsidR="002038EE" w:rsidRDefault="00306B0F" w:rsidP="002038EE">
      <w:pPr>
        <w:pStyle w:val="ListParagraph"/>
        <w:numPr>
          <w:ilvl w:val="0"/>
          <w:numId w:val="9"/>
        </w:numPr>
        <w:tabs>
          <w:tab w:val="left" w:pos="6915"/>
          <w:tab w:val="left" w:pos="9495"/>
        </w:tabs>
        <w:rPr>
          <w:bCs/>
          <w:sz w:val="22"/>
          <w:szCs w:val="22"/>
        </w:rPr>
      </w:pPr>
      <w:r>
        <w:rPr>
          <w:bCs/>
          <w:sz w:val="22"/>
          <w:szCs w:val="22"/>
        </w:rPr>
        <w:t>The World Bank and the ADB to engage at official and senior levels</w:t>
      </w:r>
      <w:r w:rsidR="008655DD">
        <w:rPr>
          <w:bCs/>
          <w:sz w:val="22"/>
          <w:szCs w:val="22"/>
        </w:rPr>
        <w:t xml:space="preserve"> with target country governments</w:t>
      </w:r>
      <w:r>
        <w:rPr>
          <w:bCs/>
          <w:sz w:val="22"/>
          <w:szCs w:val="22"/>
        </w:rPr>
        <w:t xml:space="preserve"> to ensure that </w:t>
      </w:r>
      <w:r w:rsidR="00F15B19">
        <w:rPr>
          <w:bCs/>
          <w:sz w:val="22"/>
          <w:szCs w:val="22"/>
        </w:rPr>
        <w:t xml:space="preserve">already </w:t>
      </w:r>
      <w:r w:rsidR="001822C2">
        <w:rPr>
          <w:bCs/>
          <w:sz w:val="22"/>
          <w:szCs w:val="22"/>
        </w:rPr>
        <w:t>approved</w:t>
      </w:r>
      <w:r>
        <w:rPr>
          <w:bCs/>
          <w:sz w:val="22"/>
          <w:szCs w:val="22"/>
        </w:rPr>
        <w:t xml:space="preserve"> activities that support policies, regulations</w:t>
      </w:r>
      <w:r w:rsidR="00F15B19">
        <w:rPr>
          <w:bCs/>
          <w:sz w:val="22"/>
          <w:szCs w:val="22"/>
        </w:rPr>
        <w:t xml:space="preserve">, </w:t>
      </w:r>
      <w:r>
        <w:rPr>
          <w:bCs/>
          <w:sz w:val="22"/>
          <w:szCs w:val="22"/>
        </w:rPr>
        <w:t>legislative frameworks</w:t>
      </w:r>
      <w:r w:rsidR="00AB3689">
        <w:rPr>
          <w:bCs/>
          <w:sz w:val="22"/>
          <w:szCs w:val="22"/>
        </w:rPr>
        <w:t xml:space="preserve"> and </w:t>
      </w:r>
      <w:r w:rsidR="00D61DE8">
        <w:rPr>
          <w:bCs/>
          <w:sz w:val="22"/>
          <w:szCs w:val="22"/>
        </w:rPr>
        <w:t>pilot projects</w:t>
      </w:r>
      <w:r>
        <w:rPr>
          <w:bCs/>
          <w:sz w:val="22"/>
          <w:szCs w:val="22"/>
        </w:rPr>
        <w:t xml:space="preserve"> in target countries commence (by 31</w:t>
      </w:r>
      <w:r w:rsidRPr="00D03085">
        <w:rPr>
          <w:bCs/>
          <w:sz w:val="22"/>
          <w:szCs w:val="22"/>
          <w:vertAlign w:val="superscript"/>
        </w:rPr>
        <w:t>st</w:t>
      </w:r>
      <w:r>
        <w:rPr>
          <w:bCs/>
          <w:sz w:val="22"/>
          <w:szCs w:val="22"/>
        </w:rPr>
        <w:t xml:space="preserve"> </w:t>
      </w:r>
      <w:r w:rsidR="00BA65C6">
        <w:rPr>
          <w:bCs/>
          <w:sz w:val="22"/>
          <w:szCs w:val="22"/>
        </w:rPr>
        <w:t>January 202</w:t>
      </w:r>
      <w:r w:rsidR="003801E8">
        <w:rPr>
          <w:bCs/>
          <w:sz w:val="22"/>
          <w:szCs w:val="22"/>
        </w:rPr>
        <w:t>2</w:t>
      </w:r>
      <w:r>
        <w:rPr>
          <w:bCs/>
          <w:sz w:val="22"/>
          <w:szCs w:val="22"/>
        </w:rPr>
        <w:t>).</w:t>
      </w:r>
    </w:p>
    <w:p w14:paraId="2F7D9CF3" w14:textId="2146472D" w:rsidR="002038EE" w:rsidRPr="002038EE" w:rsidRDefault="002038EE" w:rsidP="002038EE">
      <w:pPr>
        <w:pStyle w:val="ListParagraph"/>
        <w:numPr>
          <w:ilvl w:val="0"/>
          <w:numId w:val="9"/>
        </w:numPr>
        <w:tabs>
          <w:tab w:val="left" w:pos="6915"/>
          <w:tab w:val="left" w:pos="9495"/>
        </w:tabs>
        <w:rPr>
          <w:bCs/>
          <w:sz w:val="20"/>
        </w:rPr>
      </w:pPr>
      <w:r w:rsidRPr="002038EE">
        <w:rPr>
          <w:rFonts w:cs="Arial"/>
          <w:sz w:val="22"/>
          <w:szCs w:val="18"/>
        </w:rPr>
        <w:t>The ADB and the World Bank to provide weekly updates by email and hold fortnightly calls with BEIS to communicate the effectiveness of project-level risk mitigations and other relevant data requested by BEIS to inform the internal review of the programme (by 1</w:t>
      </w:r>
      <w:r w:rsidRPr="002038EE">
        <w:rPr>
          <w:rFonts w:cs="Arial"/>
          <w:sz w:val="22"/>
          <w:szCs w:val="18"/>
          <w:vertAlign w:val="superscript"/>
        </w:rPr>
        <w:t>st</w:t>
      </w:r>
      <w:r w:rsidRPr="002038EE">
        <w:rPr>
          <w:rFonts w:cs="Arial"/>
          <w:sz w:val="22"/>
          <w:szCs w:val="18"/>
        </w:rPr>
        <w:t xml:space="preserve"> October 2021).</w:t>
      </w:r>
    </w:p>
    <w:p w14:paraId="7ACD4A8B" w14:textId="32385A29" w:rsidR="00412BAE" w:rsidRDefault="00723AF5" w:rsidP="00412BAE">
      <w:pPr>
        <w:pStyle w:val="ListParagraph"/>
        <w:numPr>
          <w:ilvl w:val="0"/>
          <w:numId w:val="9"/>
        </w:numPr>
        <w:tabs>
          <w:tab w:val="left" w:pos="6915"/>
          <w:tab w:val="left" w:pos="9495"/>
        </w:tabs>
        <w:rPr>
          <w:bCs/>
          <w:sz w:val="22"/>
          <w:szCs w:val="22"/>
        </w:rPr>
      </w:pPr>
      <w:r>
        <w:rPr>
          <w:bCs/>
          <w:sz w:val="22"/>
          <w:szCs w:val="22"/>
        </w:rPr>
        <w:t>In the context of the internal review, t</w:t>
      </w:r>
      <w:r w:rsidR="00412BAE">
        <w:rPr>
          <w:bCs/>
          <w:sz w:val="22"/>
          <w:szCs w:val="22"/>
        </w:rPr>
        <w:t xml:space="preserve">he World Bank and the ADB to work in partnership with BEIS to </w:t>
      </w:r>
      <w:r w:rsidR="00687563">
        <w:rPr>
          <w:bCs/>
          <w:sz w:val="22"/>
          <w:szCs w:val="22"/>
        </w:rPr>
        <w:t xml:space="preserve">capture lessons learnt from the </w:t>
      </w:r>
      <w:r w:rsidR="00BE17AA">
        <w:rPr>
          <w:bCs/>
          <w:sz w:val="22"/>
          <w:szCs w:val="22"/>
        </w:rPr>
        <w:t>p</w:t>
      </w:r>
      <w:r w:rsidR="00687563">
        <w:rPr>
          <w:bCs/>
          <w:sz w:val="22"/>
          <w:szCs w:val="22"/>
        </w:rPr>
        <w:t xml:space="preserve">rogramme </w:t>
      </w:r>
      <w:r w:rsidR="00412BAE">
        <w:rPr>
          <w:bCs/>
          <w:sz w:val="22"/>
          <w:szCs w:val="22"/>
        </w:rPr>
        <w:t>(by 31</w:t>
      </w:r>
      <w:r w:rsidR="00412BAE" w:rsidRPr="00D650D4">
        <w:rPr>
          <w:bCs/>
          <w:sz w:val="22"/>
          <w:szCs w:val="22"/>
          <w:vertAlign w:val="superscript"/>
        </w:rPr>
        <w:t>st</w:t>
      </w:r>
      <w:r w:rsidR="00412BAE">
        <w:rPr>
          <w:bCs/>
          <w:sz w:val="22"/>
          <w:szCs w:val="22"/>
        </w:rPr>
        <w:t xml:space="preserve"> January 2022).  </w:t>
      </w:r>
    </w:p>
    <w:p w14:paraId="7B953BFA" w14:textId="09128FDC" w:rsidR="00412BAE" w:rsidRPr="00412BAE" w:rsidRDefault="00687563" w:rsidP="00412BAE">
      <w:pPr>
        <w:pStyle w:val="ListParagraph"/>
        <w:numPr>
          <w:ilvl w:val="0"/>
          <w:numId w:val="9"/>
        </w:numPr>
        <w:tabs>
          <w:tab w:val="left" w:pos="6915"/>
          <w:tab w:val="left" w:pos="9495"/>
        </w:tabs>
        <w:rPr>
          <w:bCs/>
          <w:sz w:val="22"/>
          <w:szCs w:val="22"/>
        </w:rPr>
      </w:pPr>
      <w:r>
        <w:rPr>
          <w:bCs/>
          <w:sz w:val="22"/>
          <w:szCs w:val="22"/>
        </w:rPr>
        <w:t>Building on recommendations from the previous annual review</w:t>
      </w:r>
      <w:r w:rsidR="007F284A">
        <w:rPr>
          <w:bCs/>
          <w:sz w:val="22"/>
          <w:szCs w:val="22"/>
        </w:rPr>
        <w:t xml:space="preserve"> for 2021</w:t>
      </w:r>
      <w:r>
        <w:rPr>
          <w:bCs/>
          <w:sz w:val="22"/>
          <w:szCs w:val="22"/>
        </w:rPr>
        <w:t xml:space="preserve">, </w:t>
      </w:r>
      <w:r w:rsidR="00412BAE">
        <w:rPr>
          <w:bCs/>
          <w:sz w:val="22"/>
          <w:szCs w:val="22"/>
        </w:rPr>
        <w:t xml:space="preserve">BEIS </w:t>
      </w:r>
      <w:r w:rsidR="00412BAE" w:rsidRPr="000A384E">
        <w:rPr>
          <w:bCs/>
          <w:sz w:val="22"/>
          <w:szCs w:val="22"/>
        </w:rPr>
        <w:t xml:space="preserve">to review the KPI 15 methodology (including the addition of weightings to the rubric statements), the Theory of Change and the Logframe </w:t>
      </w:r>
      <w:r w:rsidR="007F284A">
        <w:rPr>
          <w:bCs/>
          <w:sz w:val="22"/>
          <w:szCs w:val="22"/>
        </w:rPr>
        <w:t>(including a</w:t>
      </w:r>
      <w:r w:rsidR="007F284A" w:rsidRPr="000A384E">
        <w:rPr>
          <w:bCs/>
          <w:sz w:val="22"/>
          <w:szCs w:val="22"/>
        </w:rPr>
        <w:t>dditional Logframe indicators to capture information for BEIS ICF’s pilot TA KPIs 2 and 4</w:t>
      </w:r>
      <w:r w:rsidR="007F284A">
        <w:rPr>
          <w:bCs/>
          <w:sz w:val="22"/>
          <w:szCs w:val="22"/>
        </w:rPr>
        <w:t xml:space="preserve">) </w:t>
      </w:r>
      <w:r w:rsidR="00412BAE" w:rsidRPr="000A384E">
        <w:rPr>
          <w:bCs/>
          <w:sz w:val="22"/>
          <w:szCs w:val="22"/>
        </w:rPr>
        <w:t>to ensure that they are fit-for-purpose</w:t>
      </w:r>
      <w:r w:rsidR="004D04B6">
        <w:rPr>
          <w:bCs/>
          <w:sz w:val="22"/>
          <w:szCs w:val="22"/>
        </w:rPr>
        <w:t xml:space="preserve"> for assessment against the 2021 milestones</w:t>
      </w:r>
      <w:r w:rsidR="00412BAE" w:rsidRPr="000A384E">
        <w:rPr>
          <w:bCs/>
          <w:sz w:val="22"/>
          <w:szCs w:val="22"/>
        </w:rPr>
        <w:t xml:space="preserve"> (by </w:t>
      </w:r>
      <w:r w:rsidR="00412BAE">
        <w:rPr>
          <w:bCs/>
          <w:sz w:val="22"/>
          <w:szCs w:val="22"/>
        </w:rPr>
        <w:t>20</w:t>
      </w:r>
      <w:r w:rsidR="00412BAE" w:rsidRPr="007470D0">
        <w:rPr>
          <w:bCs/>
          <w:sz w:val="22"/>
          <w:szCs w:val="22"/>
          <w:vertAlign w:val="superscript"/>
        </w:rPr>
        <w:t>th</w:t>
      </w:r>
      <w:r w:rsidR="00412BAE">
        <w:rPr>
          <w:bCs/>
          <w:sz w:val="22"/>
          <w:szCs w:val="22"/>
        </w:rPr>
        <w:t xml:space="preserve"> August</w:t>
      </w:r>
      <w:r w:rsidR="00412BAE" w:rsidRPr="000A384E">
        <w:rPr>
          <w:bCs/>
          <w:sz w:val="22"/>
          <w:szCs w:val="22"/>
        </w:rPr>
        <w:t xml:space="preserve"> 2021).</w:t>
      </w:r>
    </w:p>
    <w:p w14:paraId="3A6C0CD6" w14:textId="77777777" w:rsidR="007470D0" w:rsidRPr="00412BAE" w:rsidRDefault="007470D0" w:rsidP="00412BAE">
      <w:pPr>
        <w:pStyle w:val="ListParagraph"/>
        <w:tabs>
          <w:tab w:val="left" w:pos="6915"/>
          <w:tab w:val="left" w:pos="9495"/>
        </w:tabs>
        <w:ind w:left="360"/>
        <w:rPr>
          <w:bCs/>
          <w:sz w:val="22"/>
          <w:szCs w:val="22"/>
        </w:rPr>
      </w:pPr>
    </w:p>
    <w:p w14:paraId="45203AFE" w14:textId="77777777" w:rsidR="00306B0F" w:rsidRPr="00F70DBE" w:rsidRDefault="00306B0F" w:rsidP="00306B0F">
      <w:pPr>
        <w:pStyle w:val="Heading2"/>
        <w:pBdr>
          <w:top w:val="single" w:sz="4" w:space="1" w:color="auto"/>
          <w:left w:val="single" w:sz="4" w:space="4" w:color="auto"/>
          <w:bottom w:val="single" w:sz="4" w:space="1" w:color="auto"/>
          <w:right w:val="single" w:sz="4" w:space="4" w:color="auto"/>
        </w:pBdr>
        <w:shd w:val="clear" w:color="auto" w:fill="D9E2F3" w:themeFill="accent1" w:themeFillTint="33"/>
        <w:spacing w:before="0"/>
        <w:rPr>
          <w:b w:val="0"/>
          <w:i w:val="0"/>
          <w:sz w:val="20"/>
          <w:szCs w:val="20"/>
        </w:rPr>
      </w:pPr>
      <w:r>
        <w:rPr>
          <w:i w:val="0"/>
        </w:rPr>
        <w:t>B: THEORY OF CHANGE AND PROGRESS TOWARDS OUTCOMES</w:t>
      </w:r>
      <w:r w:rsidRPr="00F70DBE">
        <w:rPr>
          <w:i w:val="0"/>
        </w:rPr>
        <w:t xml:space="preserve"> </w:t>
      </w:r>
    </w:p>
    <w:p w14:paraId="0083FB11" w14:textId="77777777" w:rsidR="00306B0F" w:rsidRDefault="00306B0F" w:rsidP="00306B0F">
      <w:pPr>
        <w:rPr>
          <w:rFonts w:cs="Arial"/>
          <w:b/>
          <w:sz w:val="22"/>
          <w:szCs w:val="22"/>
        </w:rPr>
      </w:pPr>
    </w:p>
    <w:p w14:paraId="62437804" w14:textId="77777777" w:rsidR="00306B0F" w:rsidRPr="00A849A1" w:rsidRDefault="00306B0F" w:rsidP="00306B0F">
      <w:pPr>
        <w:rPr>
          <w:rFonts w:cs="Arial"/>
          <w:b/>
          <w:sz w:val="22"/>
          <w:szCs w:val="22"/>
        </w:rPr>
      </w:pPr>
      <w:r w:rsidRPr="00A849A1">
        <w:rPr>
          <w:rFonts w:cs="Arial"/>
          <w:b/>
          <w:sz w:val="22"/>
          <w:szCs w:val="22"/>
        </w:rPr>
        <w:t xml:space="preserve">Summarise the programme’s theory of change, including any changes to outcome and impact indicators from the original business case. </w:t>
      </w:r>
    </w:p>
    <w:p w14:paraId="51601E2D" w14:textId="77777777" w:rsidR="00306B0F" w:rsidRPr="00A849A1" w:rsidRDefault="00306B0F" w:rsidP="00306B0F">
      <w:pPr>
        <w:rPr>
          <w:rFonts w:cs="Arial"/>
          <w:b/>
          <w:sz w:val="22"/>
          <w:szCs w:val="22"/>
        </w:rPr>
      </w:pPr>
    </w:p>
    <w:p w14:paraId="6F7278CA" w14:textId="10F47E54" w:rsidR="00306B0F" w:rsidRPr="002D28CD" w:rsidRDefault="00306B0F" w:rsidP="00306B0F">
      <w:pPr>
        <w:tabs>
          <w:tab w:val="left" w:pos="1785"/>
        </w:tabs>
        <w:spacing w:after="120"/>
        <w:jc w:val="both"/>
        <w:rPr>
          <w:rFonts w:eastAsia="Calibri" w:cs="Arial"/>
          <w:sz w:val="22"/>
          <w:szCs w:val="22"/>
        </w:rPr>
      </w:pPr>
      <w:r w:rsidRPr="00A849A1">
        <w:rPr>
          <w:rFonts w:cs="Arial"/>
          <w:bCs/>
          <w:sz w:val="22"/>
          <w:szCs w:val="22"/>
        </w:rPr>
        <w:t>The Programme provides</w:t>
      </w:r>
      <w:r w:rsidR="000A1262">
        <w:rPr>
          <w:rFonts w:cs="Arial"/>
          <w:bCs/>
          <w:sz w:val="22"/>
          <w:szCs w:val="22"/>
        </w:rPr>
        <w:t xml:space="preserve"> technical assistance for strengthening</w:t>
      </w:r>
      <w:r w:rsidRPr="00A849A1">
        <w:rPr>
          <w:rFonts w:cs="Arial"/>
          <w:bCs/>
          <w:sz w:val="22"/>
          <w:szCs w:val="22"/>
        </w:rPr>
        <w:t xml:space="preserve"> c</w:t>
      </w:r>
      <w:r w:rsidRPr="00A849A1">
        <w:rPr>
          <w:rFonts w:cs="Arial"/>
          <w:sz w:val="22"/>
          <w:szCs w:val="22"/>
        </w:rPr>
        <w:t>apacity</w:t>
      </w:r>
      <w:r w:rsidR="000A1262">
        <w:rPr>
          <w:rFonts w:cs="Arial"/>
          <w:sz w:val="22"/>
          <w:szCs w:val="22"/>
        </w:rPr>
        <w:t>, conducting technical analysis</w:t>
      </w:r>
      <w:r w:rsidR="0036159A">
        <w:rPr>
          <w:rFonts w:cs="Arial"/>
          <w:sz w:val="22"/>
          <w:szCs w:val="22"/>
        </w:rPr>
        <w:t>, planning and engagement</w:t>
      </w:r>
      <w:r w:rsidR="009F6B91">
        <w:rPr>
          <w:rFonts w:cs="Arial"/>
          <w:sz w:val="22"/>
          <w:szCs w:val="22"/>
        </w:rPr>
        <w:t xml:space="preserve"> </w:t>
      </w:r>
      <w:r w:rsidR="0036159A">
        <w:rPr>
          <w:rFonts w:cs="Arial"/>
          <w:sz w:val="22"/>
          <w:szCs w:val="22"/>
        </w:rPr>
        <w:t>to</w:t>
      </w:r>
      <w:r w:rsidRPr="00A849A1">
        <w:rPr>
          <w:rFonts w:cs="Arial"/>
          <w:sz w:val="22"/>
          <w:szCs w:val="22"/>
        </w:rPr>
        <w:t xml:space="preserve"> </w:t>
      </w:r>
      <w:r w:rsidR="0036159A">
        <w:rPr>
          <w:rFonts w:cs="Arial"/>
          <w:sz w:val="22"/>
          <w:szCs w:val="22"/>
        </w:rPr>
        <w:t>robustly prepare and implement</w:t>
      </w:r>
      <w:r w:rsidRPr="00A849A1">
        <w:rPr>
          <w:rFonts w:cs="Arial"/>
          <w:sz w:val="22"/>
          <w:szCs w:val="22"/>
        </w:rPr>
        <w:t xml:space="preserve"> pilot projects</w:t>
      </w:r>
      <w:r w:rsidR="000E134F">
        <w:rPr>
          <w:rFonts w:cs="Arial"/>
          <w:sz w:val="22"/>
          <w:szCs w:val="22"/>
        </w:rPr>
        <w:t xml:space="preserve">. </w:t>
      </w:r>
      <w:r w:rsidR="000E134F">
        <w:rPr>
          <w:rFonts w:cs="Arial"/>
          <w:sz w:val="22"/>
          <w:szCs w:val="22"/>
        </w:rPr>
        <w:lastRenderedPageBreak/>
        <w:t>This is intended to</w:t>
      </w:r>
      <w:r w:rsidRPr="00A849A1">
        <w:rPr>
          <w:rFonts w:cs="Arial"/>
          <w:sz w:val="22"/>
          <w:szCs w:val="22"/>
        </w:rPr>
        <w:t xml:space="preserve"> increase the capacity of industry and key institutions, increase knowledge and support for CCUS within government, and increase understanding of regional geology and storage potential. This is expected to increase industrial and organisational preparedness to deploy CCUS when the technology is sufficiently mature and to promote the introduction of policy frameworks to support CCUS </w:t>
      </w:r>
      <w:r>
        <w:rPr>
          <w:rFonts w:cs="Arial"/>
          <w:sz w:val="22"/>
          <w:szCs w:val="22"/>
        </w:rPr>
        <w:t>development</w:t>
      </w:r>
      <w:r w:rsidRPr="00A849A1">
        <w:rPr>
          <w:rFonts w:cs="Arial"/>
          <w:sz w:val="22"/>
          <w:szCs w:val="22"/>
        </w:rPr>
        <w:t xml:space="preserve">. The goal is for </w:t>
      </w:r>
      <w:r w:rsidR="000E134F">
        <w:rPr>
          <w:rFonts w:cs="Arial"/>
          <w:sz w:val="22"/>
          <w:szCs w:val="22"/>
        </w:rPr>
        <w:t>participating</w:t>
      </w:r>
      <w:r w:rsidRPr="00A849A1">
        <w:rPr>
          <w:rFonts w:cs="Arial"/>
          <w:sz w:val="22"/>
          <w:szCs w:val="22"/>
        </w:rPr>
        <w:t xml:space="preserve"> countries to recognise the role of CCUS and take action to promote</w:t>
      </w:r>
      <w:r w:rsidR="004656D4">
        <w:rPr>
          <w:rFonts w:cs="Arial"/>
          <w:sz w:val="22"/>
          <w:szCs w:val="22"/>
        </w:rPr>
        <w:t xml:space="preserve"> its</w:t>
      </w:r>
      <w:r w:rsidRPr="00A849A1">
        <w:rPr>
          <w:rFonts w:cs="Arial"/>
          <w:sz w:val="22"/>
          <w:szCs w:val="22"/>
        </w:rPr>
        <w:t xml:space="preserve"> </w:t>
      </w:r>
      <w:r>
        <w:rPr>
          <w:rFonts w:cs="Arial"/>
          <w:sz w:val="22"/>
          <w:szCs w:val="22"/>
        </w:rPr>
        <w:t>development</w:t>
      </w:r>
      <w:r w:rsidR="004656D4">
        <w:rPr>
          <w:rFonts w:cs="Arial"/>
          <w:sz w:val="22"/>
          <w:szCs w:val="22"/>
        </w:rPr>
        <w:t xml:space="preserve"> where appropriate</w:t>
      </w:r>
      <w:r w:rsidRPr="00A849A1">
        <w:rPr>
          <w:rFonts w:cs="Arial"/>
          <w:sz w:val="22"/>
          <w:szCs w:val="22"/>
        </w:rPr>
        <w:t xml:space="preserve">. </w:t>
      </w:r>
    </w:p>
    <w:p w14:paraId="1590D26C" w14:textId="77777777" w:rsidR="00306B0F" w:rsidRPr="00A849A1" w:rsidRDefault="00306B0F" w:rsidP="00306B0F">
      <w:pPr>
        <w:rPr>
          <w:rFonts w:cs="Arial"/>
          <w:bCs/>
          <w:sz w:val="22"/>
          <w:szCs w:val="22"/>
        </w:rPr>
      </w:pPr>
      <w:r w:rsidRPr="00A849A1">
        <w:rPr>
          <w:rFonts w:cs="Arial"/>
          <w:b/>
          <w:bCs/>
          <w:sz w:val="22"/>
          <w:szCs w:val="22"/>
        </w:rPr>
        <w:t xml:space="preserve">Describe where the programme is on/off track to contribute to the expected outcomes and impact. What action is planned in </w:t>
      </w:r>
      <w:r w:rsidRPr="00A849A1">
        <w:rPr>
          <w:rFonts w:cs="Arial"/>
          <w:b/>
          <w:sz w:val="22"/>
          <w:szCs w:val="22"/>
        </w:rPr>
        <w:t>the year ahead?</w:t>
      </w:r>
      <w:r w:rsidRPr="00A849A1">
        <w:rPr>
          <w:rFonts w:cs="Arial"/>
          <w:bCs/>
          <w:sz w:val="22"/>
          <w:szCs w:val="22"/>
        </w:rPr>
        <w:t xml:space="preserve"> </w:t>
      </w:r>
    </w:p>
    <w:p w14:paraId="6FE54895" w14:textId="77777777" w:rsidR="00306B0F" w:rsidRDefault="00306B0F" w:rsidP="00306B0F">
      <w:pPr>
        <w:rPr>
          <w:rFonts w:cs="Arial"/>
          <w:bCs/>
          <w:sz w:val="22"/>
          <w:szCs w:val="22"/>
        </w:rPr>
      </w:pPr>
    </w:p>
    <w:p w14:paraId="4A1E63AE" w14:textId="77777777" w:rsidR="00306B0F" w:rsidRDefault="00306B0F" w:rsidP="00306B0F">
      <w:pPr>
        <w:rPr>
          <w:sz w:val="22"/>
          <w:szCs w:val="22"/>
        </w:rPr>
      </w:pPr>
      <w:r>
        <w:rPr>
          <w:sz w:val="22"/>
          <w:szCs w:val="22"/>
        </w:rPr>
        <w:t xml:space="preserve">As the programme has been running since 2012, it can be assessed against the Logframe impact and outcome indicators discussed below. </w:t>
      </w:r>
    </w:p>
    <w:p w14:paraId="0AE2E541" w14:textId="77777777" w:rsidR="00306B0F" w:rsidRPr="00A849A1" w:rsidRDefault="00306B0F" w:rsidP="00306B0F">
      <w:pPr>
        <w:rPr>
          <w:rFonts w:cs="Arial"/>
          <w:bCs/>
          <w:sz w:val="22"/>
          <w:szCs w:val="22"/>
        </w:rPr>
      </w:pPr>
    </w:p>
    <w:p w14:paraId="3D819653" w14:textId="74895868" w:rsidR="00306B0F" w:rsidRDefault="00306B0F" w:rsidP="00306B0F">
      <w:pPr>
        <w:tabs>
          <w:tab w:val="left" w:pos="7020"/>
        </w:tabs>
        <w:rPr>
          <w:sz w:val="22"/>
          <w:szCs w:val="22"/>
        </w:rPr>
      </w:pPr>
      <w:r w:rsidRPr="005300F1">
        <w:rPr>
          <w:sz w:val="22"/>
          <w:szCs w:val="22"/>
          <w:u w:val="single"/>
        </w:rPr>
        <w:t>Impact indicator 1: At least one developing country establishes a legal, policy or regulatory framework for CCUS in order to enable projects to move forward:</w:t>
      </w:r>
      <w:r>
        <w:rPr>
          <w:sz w:val="22"/>
          <w:szCs w:val="22"/>
        </w:rPr>
        <w:t xml:space="preserve"> </w:t>
      </w:r>
      <w:r w:rsidRPr="00BB12F0">
        <w:rPr>
          <w:sz w:val="22"/>
          <w:szCs w:val="22"/>
        </w:rPr>
        <w:t>In 2020, no new legal, policy or regulatory frameworks were established by target country governments.</w:t>
      </w:r>
      <w:r>
        <w:rPr>
          <w:sz w:val="22"/>
          <w:szCs w:val="22"/>
        </w:rPr>
        <w:t xml:space="preserve"> A study supporting the Government of Mexico with t</w:t>
      </w:r>
      <w:r w:rsidRPr="00BB12F0">
        <w:rPr>
          <w:sz w:val="22"/>
          <w:szCs w:val="22"/>
        </w:rPr>
        <w:t>he development of the Mexican Official Standard</w:t>
      </w:r>
      <w:r>
        <w:rPr>
          <w:sz w:val="22"/>
          <w:szCs w:val="22"/>
        </w:rPr>
        <w:t xml:space="preserve"> commenced in 2020 and is ongoing in partnership with SEMARNAT. The study will be completed in 2021.</w:t>
      </w:r>
      <w:r w:rsidRPr="00BB12F0">
        <w:rPr>
          <w:sz w:val="22"/>
          <w:szCs w:val="22"/>
        </w:rPr>
        <w:t xml:space="preserve"> </w:t>
      </w:r>
      <w:r>
        <w:rPr>
          <w:sz w:val="22"/>
          <w:szCs w:val="22"/>
        </w:rPr>
        <w:t xml:space="preserve">A </w:t>
      </w:r>
      <w:r w:rsidRPr="00BB12F0">
        <w:rPr>
          <w:sz w:val="22"/>
          <w:szCs w:val="22"/>
        </w:rPr>
        <w:t xml:space="preserve">CCUS legal and regulatory study in South Africa and a regulatory framework in Indonesia </w:t>
      </w:r>
      <w:r>
        <w:rPr>
          <w:sz w:val="22"/>
          <w:szCs w:val="22"/>
        </w:rPr>
        <w:t>have been delayed since November 2018 and December 2019, respectively and</w:t>
      </w:r>
      <w:r w:rsidRPr="00BB12F0">
        <w:rPr>
          <w:sz w:val="22"/>
          <w:szCs w:val="22"/>
        </w:rPr>
        <w:t xml:space="preserve"> are yet to be approved by the respective governments. In China,</w:t>
      </w:r>
      <w:r>
        <w:rPr>
          <w:sz w:val="22"/>
          <w:szCs w:val="22"/>
        </w:rPr>
        <w:t xml:space="preserve"> the ADB supported the update of the CCUS Roadmap for Deployment, building on technical assistance activities in 2015 but the document is not expected to be published until June 2021. </w:t>
      </w:r>
      <w:r w:rsidRPr="00BB12F0">
        <w:rPr>
          <w:sz w:val="22"/>
          <w:szCs w:val="22"/>
        </w:rPr>
        <w:t xml:space="preserve"> </w:t>
      </w:r>
    </w:p>
    <w:p w14:paraId="2F70D255" w14:textId="77777777" w:rsidR="00306B0F" w:rsidRPr="003A3938" w:rsidRDefault="00306B0F" w:rsidP="00306B0F">
      <w:pPr>
        <w:tabs>
          <w:tab w:val="left" w:pos="7020"/>
        </w:tabs>
        <w:rPr>
          <w:sz w:val="22"/>
          <w:szCs w:val="22"/>
        </w:rPr>
      </w:pPr>
    </w:p>
    <w:p w14:paraId="1641DB1A" w14:textId="4F7E1984" w:rsidR="00306B0F" w:rsidRPr="003A3938" w:rsidRDefault="00306B0F" w:rsidP="00306B0F">
      <w:pPr>
        <w:tabs>
          <w:tab w:val="left" w:pos="7020"/>
        </w:tabs>
        <w:rPr>
          <w:i/>
          <w:iCs/>
          <w:sz w:val="22"/>
          <w:szCs w:val="22"/>
        </w:rPr>
      </w:pPr>
      <w:r w:rsidRPr="003A3938">
        <w:rPr>
          <w:sz w:val="22"/>
          <w:szCs w:val="22"/>
          <w:u w:val="single"/>
        </w:rPr>
        <w:t>Impact indicator 2: At least one developing country takes forward a full-chain CCUS demonstration project:</w:t>
      </w:r>
      <w:r w:rsidRPr="003A3938">
        <w:rPr>
          <w:sz w:val="22"/>
          <w:szCs w:val="22"/>
        </w:rPr>
        <w:t xml:space="preserve"> </w:t>
      </w:r>
      <w:r>
        <w:rPr>
          <w:sz w:val="22"/>
          <w:szCs w:val="22"/>
        </w:rPr>
        <w:t xml:space="preserve">The 2020 annual review discusses ADB’s support to the full-chain CCUS project at the Yanchang coal-to-chemical plant in China. Completion of current technical studies to scale-up the initial pilot-scale project are delayed by one year. The Logframe expected an additional country to be identified for a full-chain or mid-scale CCUS project which was not achieved. </w:t>
      </w:r>
    </w:p>
    <w:p w14:paraId="777F2E36" w14:textId="77777777" w:rsidR="00306B0F" w:rsidRPr="00D8780E" w:rsidRDefault="00306B0F" w:rsidP="00306B0F">
      <w:pPr>
        <w:tabs>
          <w:tab w:val="left" w:pos="7020"/>
        </w:tabs>
        <w:rPr>
          <w:sz w:val="22"/>
          <w:szCs w:val="22"/>
        </w:rPr>
      </w:pPr>
    </w:p>
    <w:p w14:paraId="651CCF8A" w14:textId="1AE779D8" w:rsidR="00306B0F" w:rsidRPr="003A3938" w:rsidRDefault="00306B0F" w:rsidP="00306B0F">
      <w:pPr>
        <w:tabs>
          <w:tab w:val="left" w:pos="7020"/>
        </w:tabs>
        <w:rPr>
          <w:rFonts w:cs="Arial"/>
          <w:sz w:val="22"/>
          <w:szCs w:val="22"/>
          <w:u w:val="single"/>
        </w:rPr>
      </w:pPr>
      <w:r w:rsidRPr="003A3938">
        <w:rPr>
          <w:sz w:val="22"/>
          <w:szCs w:val="22"/>
          <w:u w:val="single"/>
        </w:rPr>
        <w:t>Outcome indicator: Private finance (£) mobilised for CCUS development activities</w:t>
      </w:r>
      <w:r>
        <w:rPr>
          <w:sz w:val="22"/>
          <w:szCs w:val="22"/>
          <w:u w:val="single"/>
        </w:rPr>
        <w:t>:</w:t>
      </w:r>
      <w:r>
        <w:rPr>
          <w:sz w:val="22"/>
          <w:szCs w:val="22"/>
        </w:rPr>
        <w:t xml:space="preserve"> </w:t>
      </w:r>
      <w:r>
        <w:rPr>
          <w:rFonts w:cs="Arial"/>
          <w:bCs/>
          <w:sz w:val="22"/>
          <w:szCs w:val="22"/>
        </w:rPr>
        <w:t>B</w:t>
      </w:r>
      <w:r w:rsidRPr="00A849A1">
        <w:rPr>
          <w:rFonts w:cs="Arial"/>
          <w:bCs/>
          <w:sz w:val="22"/>
          <w:szCs w:val="22"/>
        </w:rPr>
        <w:t>EIS</w:t>
      </w:r>
      <w:r>
        <w:rPr>
          <w:rFonts w:cs="Arial"/>
          <w:bCs/>
          <w:sz w:val="22"/>
          <w:szCs w:val="22"/>
        </w:rPr>
        <w:t>’s Logframe</w:t>
      </w:r>
      <w:r w:rsidRPr="00A849A1">
        <w:rPr>
          <w:rFonts w:cs="Arial"/>
          <w:bCs/>
          <w:sz w:val="22"/>
          <w:szCs w:val="22"/>
        </w:rPr>
        <w:t xml:space="preserve"> expects private finance (excluding from state-owned enterprises) to be mobilised for CCUS activities in at least five countries by the end of </w:t>
      </w:r>
      <w:r>
        <w:rPr>
          <w:rFonts w:cs="Arial"/>
          <w:bCs/>
          <w:sz w:val="22"/>
          <w:szCs w:val="22"/>
        </w:rPr>
        <w:t>the programme</w:t>
      </w:r>
      <w:r w:rsidRPr="00A849A1">
        <w:rPr>
          <w:rFonts w:cs="Arial"/>
          <w:bCs/>
          <w:sz w:val="22"/>
          <w:szCs w:val="22"/>
        </w:rPr>
        <w:t>. In 2020,</w:t>
      </w:r>
      <w:r>
        <w:rPr>
          <w:rFonts w:cs="Arial"/>
          <w:bCs/>
          <w:sz w:val="22"/>
          <w:szCs w:val="22"/>
        </w:rPr>
        <w:t xml:space="preserve"> private finance (including from state-owned enterprises) was expected to be mobilised in at least four countries. No new private finance was mobilised by the ADB in 2020 although other in-kind support was provided by Dalmia Cement, Indian Oil Limited Corporation, and Bangladesh’s Ministry of Power. New private finance was mobilised for a South African case study on the gas-based synthetic fuel industry in 2020. </w:t>
      </w:r>
    </w:p>
    <w:p w14:paraId="1D52E024" w14:textId="77777777" w:rsidR="00306B0F" w:rsidRPr="00A849A1" w:rsidRDefault="00306B0F" w:rsidP="00306B0F">
      <w:pPr>
        <w:rPr>
          <w:sz w:val="22"/>
          <w:szCs w:val="22"/>
        </w:rPr>
      </w:pPr>
    </w:p>
    <w:p w14:paraId="0F6D73FD" w14:textId="77777777" w:rsidR="00306B0F" w:rsidRPr="00A849A1" w:rsidRDefault="00306B0F" w:rsidP="00306B0F">
      <w:pPr>
        <w:contextualSpacing/>
        <w:rPr>
          <w:rFonts w:cs="Arial"/>
          <w:bCs/>
          <w:sz w:val="22"/>
          <w:szCs w:val="22"/>
        </w:rPr>
      </w:pPr>
      <w:r w:rsidRPr="00A849A1">
        <w:rPr>
          <w:rFonts w:cs="Arial"/>
          <w:b/>
          <w:sz w:val="22"/>
          <w:szCs w:val="22"/>
        </w:rPr>
        <w:t xml:space="preserve">Has the logframe been updated since the last review? </w:t>
      </w:r>
    </w:p>
    <w:p w14:paraId="75075925" w14:textId="77777777" w:rsidR="00306B0F" w:rsidRPr="00A849A1" w:rsidRDefault="00306B0F" w:rsidP="00306B0F">
      <w:pPr>
        <w:rPr>
          <w:rFonts w:cs="Arial"/>
          <w:i/>
          <w:iCs/>
          <w:sz w:val="22"/>
          <w:szCs w:val="22"/>
        </w:rPr>
      </w:pPr>
    </w:p>
    <w:p w14:paraId="35F3CF09" w14:textId="77777777" w:rsidR="00306B0F" w:rsidRPr="00A849A1" w:rsidRDefault="00306B0F" w:rsidP="00306B0F">
      <w:pPr>
        <w:rPr>
          <w:rFonts w:cs="Arial"/>
          <w:sz w:val="22"/>
          <w:szCs w:val="22"/>
        </w:rPr>
      </w:pPr>
      <w:r w:rsidRPr="00FA7A38">
        <w:rPr>
          <w:rFonts w:cs="Arial"/>
          <w:sz w:val="22"/>
          <w:szCs w:val="22"/>
        </w:rPr>
        <w:t>Yes</w:t>
      </w:r>
      <w:r>
        <w:rPr>
          <w:rFonts w:cs="Arial"/>
          <w:sz w:val="22"/>
          <w:szCs w:val="22"/>
        </w:rPr>
        <w:t>, see</w:t>
      </w:r>
      <w:r w:rsidRPr="00FA7A38">
        <w:rPr>
          <w:rFonts w:cs="Arial"/>
          <w:sz w:val="22"/>
          <w:szCs w:val="22"/>
        </w:rPr>
        <w:t xml:space="preserve"> page 2 under progress against recommendation 10 from the 20</w:t>
      </w:r>
      <w:r>
        <w:rPr>
          <w:rFonts w:cs="Arial"/>
          <w:sz w:val="22"/>
          <w:szCs w:val="22"/>
        </w:rPr>
        <w:t>20</w:t>
      </w:r>
      <w:r w:rsidRPr="00FA7A38">
        <w:rPr>
          <w:rFonts w:cs="Arial"/>
          <w:sz w:val="22"/>
          <w:szCs w:val="22"/>
        </w:rPr>
        <w:t xml:space="preserve"> annual review.</w:t>
      </w:r>
      <w:r w:rsidRPr="00A849A1">
        <w:rPr>
          <w:rFonts w:cs="Arial"/>
          <w:sz w:val="22"/>
          <w:szCs w:val="22"/>
        </w:rPr>
        <w:t xml:space="preserve">   </w:t>
      </w:r>
    </w:p>
    <w:p w14:paraId="655A6A01" w14:textId="77777777" w:rsidR="00306B0F" w:rsidRPr="00A849A1" w:rsidRDefault="00306B0F" w:rsidP="00306B0F">
      <w:pPr>
        <w:rPr>
          <w:rFonts w:cs="Arial"/>
          <w:b/>
          <w:sz w:val="22"/>
          <w:szCs w:val="22"/>
        </w:rPr>
      </w:pPr>
    </w:p>
    <w:p w14:paraId="58A18B1E" w14:textId="77777777" w:rsidR="00306B0F" w:rsidRDefault="00306B0F" w:rsidP="00306B0F">
      <w:pPr>
        <w:rPr>
          <w:rFonts w:cs="Arial"/>
          <w:b/>
          <w:sz w:val="22"/>
          <w:szCs w:val="22"/>
          <w:lang w:val="en" w:eastAsia="en-GB"/>
        </w:rPr>
      </w:pPr>
      <w:r w:rsidRPr="00A849A1">
        <w:rPr>
          <w:rFonts w:cs="Arial"/>
          <w:b/>
          <w:sz w:val="22"/>
          <w:szCs w:val="22"/>
          <w:lang w:val="en" w:eastAsia="en-GB"/>
        </w:rPr>
        <w:t xml:space="preserve">Justify whether the programme should continue, based on its own merits and in the context of the wider portfolio </w:t>
      </w:r>
    </w:p>
    <w:p w14:paraId="4862E72C" w14:textId="77777777" w:rsidR="00306B0F" w:rsidRDefault="00306B0F" w:rsidP="00306B0F">
      <w:pPr>
        <w:tabs>
          <w:tab w:val="left" w:pos="7020"/>
        </w:tabs>
        <w:rPr>
          <w:rFonts w:cs="Arial"/>
          <w:sz w:val="22"/>
          <w:szCs w:val="22"/>
        </w:rPr>
      </w:pPr>
    </w:p>
    <w:p w14:paraId="154B64B2" w14:textId="77777777" w:rsidR="00306B0F" w:rsidRPr="00813476" w:rsidRDefault="00306B0F" w:rsidP="00306B0F">
      <w:pPr>
        <w:tabs>
          <w:tab w:val="left" w:pos="7020"/>
        </w:tabs>
        <w:rPr>
          <w:rFonts w:cs="Arial"/>
          <w:bCs/>
          <w:sz w:val="22"/>
          <w:szCs w:val="22"/>
        </w:rPr>
      </w:pPr>
      <w:r>
        <w:rPr>
          <w:rFonts w:cs="Arial"/>
          <w:sz w:val="22"/>
          <w:szCs w:val="22"/>
        </w:rPr>
        <w:t xml:space="preserve">Global </w:t>
      </w:r>
      <w:r w:rsidRPr="00813476">
        <w:rPr>
          <w:rFonts w:cs="Arial"/>
          <w:sz w:val="22"/>
          <w:szCs w:val="22"/>
        </w:rPr>
        <w:t xml:space="preserve">progress </w:t>
      </w:r>
      <w:r>
        <w:rPr>
          <w:rFonts w:cs="Arial"/>
          <w:sz w:val="22"/>
          <w:szCs w:val="22"/>
        </w:rPr>
        <w:t xml:space="preserve">on CCUS </w:t>
      </w:r>
      <w:r w:rsidRPr="00813476">
        <w:rPr>
          <w:rFonts w:cs="Arial"/>
          <w:sz w:val="22"/>
          <w:szCs w:val="22"/>
        </w:rPr>
        <w:t xml:space="preserve">is well off-track to reach </w:t>
      </w:r>
      <w:r>
        <w:rPr>
          <w:rFonts w:cs="Arial"/>
          <w:sz w:val="22"/>
          <w:szCs w:val="22"/>
        </w:rPr>
        <w:t xml:space="preserve">the </w:t>
      </w:r>
      <w:r w:rsidRPr="00813476">
        <w:rPr>
          <w:rFonts w:cs="Arial"/>
          <w:sz w:val="22"/>
          <w:szCs w:val="22"/>
        </w:rPr>
        <w:t>expectations set out in the IEA’s Sustainable Development Scenario, with the IEA describing the story of CCUS as ‘one of unmet expectations’. O</w:t>
      </w:r>
      <w:r w:rsidRPr="00813476">
        <w:rPr>
          <w:rFonts w:cs="Arial"/>
          <w:sz w:val="22"/>
          <w:szCs w:val="22"/>
          <w:lang w:eastAsia="en-GB"/>
        </w:rPr>
        <w:t>f the</w:t>
      </w:r>
      <w:r w:rsidRPr="00813476">
        <w:rPr>
          <w:rFonts w:eastAsia="Calibri" w:cs="Arial"/>
          <w:sz w:val="22"/>
          <w:szCs w:val="22"/>
        </w:rPr>
        <w:t xml:space="preserve"> $60bn venture capital invested in clean technology between 2013-2019, CCUS received less than 1% (PwC, 2020).</w:t>
      </w:r>
      <w:r w:rsidRPr="00813476">
        <w:rPr>
          <w:rFonts w:cs="Arial"/>
          <w:sz w:val="22"/>
          <w:szCs w:val="22"/>
        </w:rPr>
        <w:t xml:space="preserve"> However, there are early indications of renewed momentum. </w:t>
      </w:r>
    </w:p>
    <w:p w14:paraId="0862AEC0" w14:textId="77777777" w:rsidR="00306B0F" w:rsidRPr="00A849A1" w:rsidRDefault="00306B0F" w:rsidP="00306B0F">
      <w:pPr>
        <w:tabs>
          <w:tab w:val="left" w:pos="7020"/>
        </w:tabs>
        <w:rPr>
          <w:rFonts w:cs="Arial"/>
          <w:bCs/>
          <w:sz w:val="22"/>
          <w:szCs w:val="22"/>
        </w:rPr>
      </w:pPr>
    </w:p>
    <w:p w14:paraId="6160C903" w14:textId="4C4EAD4D" w:rsidR="00306B0F" w:rsidRDefault="00ED5C69" w:rsidP="00306B0F">
      <w:pPr>
        <w:rPr>
          <w:rFonts w:cs="Arial"/>
          <w:bCs/>
          <w:sz w:val="22"/>
          <w:szCs w:val="22"/>
        </w:rPr>
      </w:pPr>
      <w:r>
        <w:rPr>
          <w:rFonts w:cs="Arial"/>
          <w:bCs/>
          <w:sz w:val="22"/>
          <w:szCs w:val="22"/>
        </w:rPr>
        <w:t>Programme performance suggests very slim prospects for successful delivery</w:t>
      </w:r>
      <w:r w:rsidR="00CF2937">
        <w:rPr>
          <w:rFonts w:cs="Arial"/>
          <w:bCs/>
          <w:sz w:val="22"/>
          <w:szCs w:val="22"/>
        </w:rPr>
        <w:t xml:space="preserve">. The BEIS programme team is consulting widely about credible options </w:t>
      </w:r>
      <w:r w:rsidR="00FB30D7">
        <w:rPr>
          <w:rFonts w:cs="Arial"/>
          <w:bCs/>
          <w:sz w:val="22"/>
          <w:szCs w:val="22"/>
        </w:rPr>
        <w:t>for balancing VFM interests with partnership momentum to date</w:t>
      </w:r>
      <w:r w:rsidR="0030498F">
        <w:rPr>
          <w:rFonts w:cs="Arial"/>
          <w:bCs/>
          <w:sz w:val="22"/>
          <w:szCs w:val="22"/>
        </w:rPr>
        <w:t xml:space="preserve"> and is preparing advice for BEIS senior decision-makers.</w:t>
      </w:r>
    </w:p>
    <w:p w14:paraId="015B4DE6" w14:textId="77777777" w:rsidR="00A05E77" w:rsidRDefault="00A05E77" w:rsidP="00306B0F">
      <w:pPr>
        <w:rPr>
          <w:rFonts w:cs="Arial"/>
          <w:bCs/>
          <w:sz w:val="22"/>
          <w:szCs w:val="22"/>
        </w:rPr>
      </w:pPr>
    </w:p>
    <w:p w14:paraId="64A6777B" w14:textId="77777777" w:rsidR="009F6B91" w:rsidRDefault="009F6B91" w:rsidP="00306B0F">
      <w:pPr>
        <w:rPr>
          <w:rFonts w:cs="Arial"/>
          <w:sz w:val="20"/>
          <w:szCs w:val="22"/>
          <w:lang w:val="en" w:eastAsia="en-GB"/>
        </w:rPr>
      </w:pPr>
    </w:p>
    <w:p w14:paraId="590C51B4" w14:textId="77777777" w:rsidR="00306B0F" w:rsidRPr="00F70DBE" w:rsidRDefault="00306B0F" w:rsidP="00306B0F">
      <w:pPr>
        <w:pStyle w:val="Heading2"/>
        <w:pBdr>
          <w:top w:val="single" w:sz="4" w:space="1" w:color="auto"/>
          <w:left w:val="single" w:sz="4" w:space="6" w:color="auto"/>
          <w:bottom w:val="single" w:sz="4" w:space="1" w:color="auto"/>
          <w:right w:val="single" w:sz="4" w:space="4" w:color="auto"/>
        </w:pBdr>
        <w:shd w:val="clear" w:color="auto" w:fill="D9E2F3" w:themeFill="accent1" w:themeFillTint="33"/>
        <w:spacing w:before="0"/>
        <w:rPr>
          <w:b w:val="0"/>
          <w:i w:val="0"/>
          <w:sz w:val="20"/>
          <w:szCs w:val="20"/>
        </w:rPr>
      </w:pPr>
      <w:r>
        <w:rPr>
          <w:i w:val="0"/>
        </w:rPr>
        <w:lastRenderedPageBreak/>
        <w:t>C.</w:t>
      </w:r>
      <w:r w:rsidRPr="00F70DBE">
        <w:rPr>
          <w:i w:val="0"/>
        </w:rPr>
        <w:t xml:space="preserve"> DETAILED OUTPUT SCORING</w:t>
      </w:r>
      <w:r w:rsidRPr="00F70DBE">
        <w:rPr>
          <w:b w:val="0"/>
          <w:i w:val="0"/>
          <w:sz w:val="20"/>
          <w:szCs w:val="20"/>
        </w:rPr>
        <w:t xml:space="preserve"> </w:t>
      </w:r>
    </w:p>
    <w:p w14:paraId="48A74985" w14:textId="77777777" w:rsidR="00306B0F" w:rsidRDefault="00306B0F" w:rsidP="00306B0F">
      <w:pPr>
        <w:rPr>
          <w:sz w:val="22"/>
          <w:szCs w:val="22"/>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D819F4" w:rsidRPr="008A4154" w14:paraId="39376DE5" w14:textId="77777777" w:rsidTr="00D452D2">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BC5911" w14:textId="77777777" w:rsidR="00306B0F" w:rsidRPr="008A4154" w:rsidRDefault="00306B0F" w:rsidP="00D452D2">
            <w:pPr>
              <w:rPr>
                <w:b/>
                <w:bCs/>
                <w:sz w:val="20"/>
                <w:szCs w:val="22"/>
              </w:rPr>
            </w:pPr>
            <w:r w:rsidRPr="008A4154">
              <w:rPr>
                <w:b/>
                <w:bCs/>
                <w:sz w:val="20"/>
                <w:szCs w:val="22"/>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B1D4A4" w14:textId="77777777" w:rsidR="00306B0F" w:rsidRPr="0076728B" w:rsidRDefault="00306B0F" w:rsidP="00D452D2">
            <w:pPr>
              <w:rPr>
                <w:bCs/>
                <w:i/>
                <w:color w:val="FF0000"/>
                <w:sz w:val="20"/>
                <w:szCs w:val="22"/>
              </w:rPr>
            </w:pPr>
            <w:r w:rsidRPr="0076728B">
              <w:rPr>
                <w:bCs/>
                <w:i/>
                <w:sz w:val="20"/>
                <w:szCs w:val="22"/>
              </w:rPr>
              <w:t>Increased capacity in industry and key institutions to aid the development of CCUS.</w:t>
            </w:r>
          </w:p>
        </w:tc>
      </w:tr>
      <w:tr w:rsidR="00D61DE8" w:rsidRPr="008A4154" w14:paraId="03EE4077" w14:textId="77777777" w:rsidTr="00D452D2">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7FCDA0" w14:textId="77777777" w:rsidR="00306B0F" w:rsidRPr="008A4154" w:rsidRDefault="00306B0F" w:rsidP="00D452D2">
            <w:pPr>
              <w:rPr>
                <w:bCs/>
                <w:sz w:val="20"/>
                <w:szCs w:val="22"/>
              </w:rPr>
            </w:pPr>
            <w:r w:rsidRPr="008A4154">
              <w:rPr>
                <w:bCs/>
                <w:sz w:val="20"/>
                <w:szCs w:val="22"/>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28002807" w14:textId="77777777" w:rsidR="00306B0F" w:rsidRPr="008A4154" w:rsidRDefault="00306B0F" w:rsidP="00D452D2">
            <w:pPr>
              <w:rPr>
                <w:sz w:val="20"/>
                <w:szCs w:val="22"/>
              </w:rPr>
            </w:pPr>
            <w:r>
              <w:rPr>
                <w:sz w:val="20"/>
                <w:szCs w:val="22"/>
              </w:rPr>
              <w:t>1</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0C5129" w14:textId="77777777" w:rsidR="00306B0F" w:rsidRPr="008A4154" w:rsidRDefault="00306B0F" w:rsidP="00D452D2">
            <w:pPr>
              <w:rPr>
                <w:sz w:val="20"/>
                <w:szCs w:val="22"/>
              </w:rPr>
            </w:pPr>
            <w:r w:rsidRPr="008A4154">
              <w:rPr>
                <w:bCs/>
                <w:sz w:val="20"/>
                <w:szCs w:val="22"/>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589269B6" w14:textId="77777777" w:rsidR="00306B0F" w:rsidRPr="00EA07BE" w:rsidRDefault="00306B0F" w:rsidP="00D452D2">
            <w:pPr>
              <w:rPr>
                <w:b/>
                <w:bCs/>
                <w:iCs/>
                <w:color w:val="FF0000"/>
                <w:sz w:val="20"/>
                <w:szCs w:val="22"/>
              </w:rPr>
            </w:pPr>
            <w:r>
              <w:rPr>
                <w:b/>
                <w:bCs/>
                <w:iCs/>
                <w:color w:val="FF0000"/>
                <w:sz w:val="20"/>
                <w:szCs w:val="22"/>
              </w:rPr>
              <w:t>C</w:t>
            </w:r>
          </w:p>
        </w:tc>
      </w:tr>
      <w:tr w:rsidR="00D61DE8" w:rsidRPr="008A4154" w14:paraId="17240970" w14:textId="77777777" w:rsidTr="00D452D2">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2BC46F" w14:textId="77777777" w:rsidR="00306B0F" w:rsidRPr="008A4154" w:rsidRDefault="00306B0F" w:rsidP="00D452D2">
            <w:pPr>
              <w:rPr>
                <w:sz w:val="20"/>
                <w:szCs w:val="22"/>
              </w:rPr>
            </w:pPr>
            <w:r w:rsidRPr="008A4154">
              <w:rPr>
                <w:bCs/>
                <w:sz w:val="20"/>
                <w:szCs w:val="22"/>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381BC0CC" w14:textId="77777777" w:rsidR="00306B0F" w:rsidRPr="008A4154" w:rsidRDefault="00306B0F" w:rsidP="00D452D2">
            <w:pPr>
              <w:rPr>
                <w:bCs/>
                <w:sz w:val="20"/>
                <w:szCs w:val="22"/>
              </w:rPr>
            </w:pPr>
            <w:r>
              <w:rPr>
                <w:bCs/>
                <w:sz w:val="20"/>
                <w:szCs w:val="22"/>
              </w:rPr>
              <w:t>50%</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C03039" w14:textId="77777777" w:rsidR="00306B0F" w:rsidRPr="008A4154" w:rsidRDefault="00306B0F" w:rsidP="00D452D2">
            <w:pPr>
              <w:rPr>
                <w:bCs/>
                <w:sz w:val="20"/>
                <w:szCs w:val="22"/>
              </w:rPr>
            </w:pPr>
            <w:r>
              <w:rPr>
                <w:bCs/>
                <w:sz w:val="20"/>
                <w:szCs w:val="22"/>
              </w:rPr>
              <w:t>W</w:t>
            </w:r>
            <w:r w:rsidRPr="008A4154">
              <w:rPr>
                <w:bCs/>
                <w:sz w:val="20"/>
                <w:szCs w:val="22"/>
              </w:rPr>
              <w:t xml:space="preserve">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3706B394" w14:textId="77777777" w:rsidR="00306B0F" w:rsidRPr="008A4154" w:rsidRDefault="00306B0F" w:rsidP="00D452D2">
            <w:pPr>
              <w:rPr>
                <w:bCs/>
                <w:sz w:val="20"/>
                <w:szCs w:val="22"/>
              </w:rPr>
            </w:pPr>
            <w:r>
              <w:rPr>
                <w:bCs/>
                <w:sz w:val="20"/>
                <w:szCs w:val="22"/>
              </w:rPr>
              <w:t>No</w:t>
            </w:r>
          </w:p>
        </w:tc>
      </w:tr>
      <w:tr w:rsidR="00D61DE8" w:rsidRPr="008A4154" w14:paraId="094145F6" w14:textId="77777777" w:rsidTr="00D452D2">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ACAE7" w14:textId="77777777" w:rsidR="00306B0F" w:rsidRPr="008A4154" w:rsidRDefault="00306B0F" w:rsidP="00D452D2">
            <w:pPr>
              <w:rPr>
                <w:bCs/>
                <w:sz w:val="20"/>
                <w:szCs w:val="22"/>
              </w:rPr>
            </w:pPr>
            <w:r>
              <w:rPr>
                <w:bCs/>
                <w:sz w:val="20"/>
                <w:szCs w:val="22"/>
              </w:rPr>
              <w:t>Risk rating</w:t>
            </w:r>
          </w:p>
        </w:tc>
        <w:tc>
          <w:tcPr>
            <w:tcW w:w="937" w:type="dxa"/>
            <w:tcBorders>
              <w:top w:val="single" w:sz="4" w:space="0" w:color="auto"/>
              <w:left w:val="single" w:sz="4" w:space="0" w:color="auto"/>
              <w:bottom w:val="single" w:sz="4" w:space="0" w:color="auto"/>
              <w:right w:val="single" w:sz="4" w:space="0" w:color="auto"/>
            </w:tcBorders>
          </w:tcPr>
          <w:p w14:paraId="5396E91E" w14:textId="77777777" w:rsidR="00306B0F" w:rsidRPr="008A4154" w:rsidRDefault="00306B0F" w:rsidP="00D452D2">
            <w:pPr>
              <w:rPr>
                <w:bCs/>
                <w:sz w:val="20"/>
                <w:szCs w:val="22"/>
              </w:rPr>
            </w:pPr>
            <w:r>
              <w:rPr>
                <w:bCs/>
                <w:sz w:val="20"/>
                <w:szCs w:val="22"/>
              </w:rPr>
              <w:t>Severe</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79FEA3" w14:textId="77777777" w:rsidR="00306B0F" w:rsidRDefault="00306B0F" w:rsidP="00D452D2">
            <w:pPr>
              <w:rPr>
                <w:bCs/>
                <w:sz w:val="20"/>
                <w:szCs w:val="22"/>
              </w:rPr>
            </w:pPr>
            <w:r>
              <w:rPr>
                <w:bCs/>
                <w:sz w:val="20"/>
                <w:szCs w:val="22"/>
              </w:rPr>
              <w:t>Risk revised since last AR?</w:t>
            </w:r>
          </w:p>
        </w:tc>
        <w:tc>
          <w:tcPr>
            <w:tcW w:w="2812" w:type="dxa"/>
            <w:tcBorders>
              <w:top w:val="single" w:sz="4" w:space="0" w:color="auto"/>
              <w:left w:val="single" w:sz="4" w:space="0" w:color="auto"/>
              <w:bottom w:val="single" w:sz="4" w:space="0" w:color="auto"/>
              <w:right w:val="single" w:sz="4" w:space="0" w:color="auto"/>
            </w:tcBorders>
          </w:tcPr>
          <w:p w14:paraId="662A8BC7" w14:textId="77777777" w:rsidR="00306B0F" w:rsidRPr="008A4154" w:rsidRDefault="00306B0F" w:rsidP="00D452D2">
            <w:pPr>
              <w:rPr>
                <w:bCs/>
                <w:sz w:val="20"/>
                <w:szCs w:val="22"/>
              </w:rPr>
            </w:pPr>
            <w:r>
              <w:rPr>
                <w:bCs/>
                <w:sz w:val="20"/>
                <w:szCs w:val="22"/>
              </w:rPr>
              <w:t>Yes</w:t>
            </w:r>
          </w:p>
        </w:tc>
      </w:tr>
    </w:tbl>
    <w:p w14:paraId="28259ABA" w14:textId="77777777" w:rsidR="00306B0F" w:rsidRPr="00F70DBE" w:rsidRDefault="00306B0F" w:rsidP="00306B0F">
      <w:pPr>
        <w:rPr>
          <w:b/>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1564"/>
        <w:gridCol w:w="2977"/>
        <w:gridCol w:w="4810"/>
      </w:tblGrid>
      <w:tr w:rsidR="00306B0F" w:rsidRPr="00E548EA" w14:paraId="7C7B6BFC" w14:textId="77777777" w:rsidTr="00D452D2">
        <w:trPr>
          <w:trHeight w:val="273"/>
        </w:trPr>
        <w:tc>
          <w:tcPr>
            <w:tcW w:w="15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AD996D" w14:textId="77777777" w:rsidR="00306B0F" w:rsidRPr="00E548EA" w:rsidRDefault="00306B0F" w:rsidP="00D452D2">
            <w:pPr>
              <w:rPr>
                <w:b/>
                <w:bCs/>
                <w:sz w:val="20"/>
                <w:szCs w:val="22"/>
              </w:rPr>
            </w:pPr>
            <w:r w:rsidRPr="00E548EA">
              <w:rPr>
                <w:b/>
                <w:bCs/>
                <w:sz w:val="20"/>
                <w:szCs w:val="22"/>
              </w:rPr>
              <w:t>Indicator(s)</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E3CBDB" w14:textId="77777777" w:rsidR="00306B0F" w:rsidRPr="00E548EA" w:rsidRDefault="00306B0F" w:rsidP="00D452D2">
            <w:pPr>
              <w:rPr>
                <w:b/>
                <w:bCs/>
                <w:sz w:val="20"/>
                <w:szCs w:val="22"/>
              </w:rPr>
            </w:pPr>
            <w:r w:rsidRPr="00E548EA">
              <w:rPr>
                <w:b/>
                <w:bCs/>
                <w:sz w:val="20"/>
                <w:szCs w:val="22"/>
              </w:rPr>
              <w:t>Milestone(s) for this review</w:t>
            </w:r>
          </w:p>
        </w:tc>
        <w:tc>
          <w:tcPr>
            <w:tcW w:w="48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10618E" w14:textId="77777777" w:rsidR="00306B0F" w:rsidRPr="00E548EA" w:rsidRDefault="00306B0F" w:rsidP="00D452D2">
            <w:pPr>
              <w:rPr>
                <w:b/>
                <w:bCs/>
                <w:sz w:val="20"/>
                <w:szCs w:val="22"/>
              </w:rPr>
            </w:pPr>
            <w:r w:rsidRPr="00E548EA">
              <w:rPr>
                <w:b/>
                <w:bCs/>
                <w:sz w:val="20"/>
                <w:szCs w:val="22"/>
              </w:rPr>
              <w:t xml:space="preserve">Progress </w:t>
            </w:r>
          </w:p>
        </w:tc>
      </w:tr>
      <w:tr w:rsidR="00306B0F" w:rsidRPr="00E548EA" w14:paraId="07886417" w14:textId="77777777" w:rsidTr="00D452D2">
        <w:tc>
          <w:tcPr>
            <w:tcW w:w="1564" w:type="dxa"/>
            <w:tcBorders>
              <w:top w:val="single" w:sz="4" w:space="0" w:color="auto"/>
              <w:left w:val="single" w:sz="4" w:space="0" w:color="auto"/>
              <w:bottom w:val="single" w:sz="4" w:space="0" w:color="auto"/>
              <w:right w:val="single" w:sz="4" w:space="0" w:color="auto"/>
            </w:tcBorders>
          </w:tcPr>
          <w:p w14:paraId="25EA95DD" w14:textId="77777777" w:rsidR="00306B0F" w:rsidRPr="001D0FDD" w:rsidRDefault="00306B0F" w:rsidP="00D452D2">
            <w:pPr>
              <w:rPr>
                <w:bCs/>
                <w:iCs/>
                <w:sz w:val="20"/>
                <w:szCs w:val="20"/>
              </w:rPr>
            </w:pPr>
            <w:r>
              <w:rPr>
                <w:rFonts w:cs="Arial"/>
                <w:bCs/>
                <w:iCs/>
                <w:sz w:val="20"/>
                <w:szCs w:val="20"/>
              </w:rPr>
              <w:t xml:space="preserve">1.1 - </w:t>
            </w:r>
            <w:r w:rsidRPr="00DF74AD">
              <w:rPr>
                <w:rFonts w:cs="Arial"/>
                <w:bCs/>
                <w:iCs/>
                <w:sz w:val="20"/>
                <w:szCs w:val="20"/>
              </w:rPr>
              <w:t>Pilot projects established in developing countries.</w:t>
            </w:r>
          </w:p>
        </w:tc>
        <w:tc>
          <w:tcPr>
            <w:tcW w:w="2977" w:type="dxa"/>
            <w:tcBorders>
              <w:top w:val="single" w:sz="4" w:space="0" w:color="auto"/>
              <w:left w:val="single" w:sz="4" w:space="0" w:color="auto"/>
              <w:bottom w:val="single" w:sz="4" w:space="0" w:color="auto"/>
              <w:right w:val="single" w:sz="4" w:space="0" w:color="auto"/>
            </w:tcBorders>
          </w:tcPr>
          <w:p w14:paraId="338407BE" w14:textId="77777777" w:rsidR="00306B0F" w:rsidRPr="001D0FDD" w:rsidRDefault="00306B0F" w:rsidP="00D452D2">
            <w:pPr>
              <w:rPr>
                <w:bCs/>
                <w:iCs/>
                <w:sz w:val="20"/>
                <w:szCs w:val="20"/>
              </w:rPr>
            </w:pPr>
            <w:r>
              <w:rPr>
                <w:rFonts w:cs="Arial"/>
                <w:bCs/>
                <w:iCs/>
                <w:sz w:val="20"/>
                <w:szCs w:val="20"/>
              </w:rPr>
              <w:t>End of 2020:</w:t>
            </w:r>
            <w:r>
              <w:t xml:space="preserve"> </w:t>
            </w:r>
            <w:r w:rsidRPr="008C6899">
              <w:rPr>
                <w:rFonts w:cs="Arial"/>
                <w:bCs/>
                <w:iCs/>
                <w:sz w:val="20"/>
                <w:szCs w:val="20"/>
              </w:rPr>
              <w:t>4 countries move at least one pilot project from the planning phase to the implementation phase (construction or test injections) and 1 additional country declares an intention to move to the planning phase for at least one pilot project.</w:t>
            </w:r>
          </w:p>
        </w:tc>
        <w:tc>
          <w:tcPr>
            <w:tcW w:w="4810" w:type="dxa"/>
            <w:tcBorders>
              <w:top w:val="single" w:sz="4" w:space="0" w:color="auto"/>
              <w:left w:val="single" w:sz="4" w:space="0" w:color="auto"/>
              <w:bottom w:val="single" w:sz="4" w:space="0" w:color="auto"/>
              <w:right w:val="single" w:sz="4" w:space="0" w:color="auto"/>
            </w:tcBorders>
          </w:tcPr>
          <w:p w14:paraId="6B29D04C" w14:textId="58757197" w:rsidR="00306B0F" w:rsidRPr="00756EA9" w:rsidRDefault="00306B0F" w:rsidP="00D452D2">
            <w:pPr>
              <w:contextualSpacing/>
              <w:rPr>
                <w:bCs/>
                <w:iCs/>
                <w:sz w:val="20"/>
                <w:szCs w:val="20"/>
              </w:rPr>
            </w:pPr>
            <w:r>
              <w:rPr>
                <w:b/>
                <w:iCs/>
                <w:sz w:val="20"/>
                <w:szCs w:val="20"/>
              </w:rPr>
              <w:t xml:space="preserve">Output substantially did not meet expectation </w:t>
            </w:r>
            <w:r w:rsidRPr="00756EA9">
              <w:rPr>
                <w:bCs/>
                <w:iCs/>
                <w:sz w:val="20"/>
                <w:szCs w:val="20"/>
              </w:rPr>
              <w:t>– no pilot project moved from the planning phase to the implementation phase. No country declared an intention to move to the planning phase for at least one pilot project</w:t>
            </w:r>
            <w:r>
              <w:rPr>
                <w:bCs/>
                <w:iCs/>
                <w:sz w:val="20"/>
                <w:szCs w:val="20"/>
              </w:rPr>
              <w:t>.</w:t>
            </w:r>
            <w:r w:rsidRPr="00756EA9">
              <w:rPr>
                <w:bCs/>
                <w:iCs/>
                <w:sz w:val="20"/>
                <w:szCs w:val="20"/>
              </w:rPr>
              <w:t xml:space="preserve"> </w:t>
            </w:r>
          </w:p>
          <w:p w14:paraId="3E28F05E" w14:textId="77777777" w:rsidR="00306B0F" w:rsidRDefault="00306B0F" w:rsidP="00D452D2">
            <w:pPr>
              <w:contextualSpacing/>
              <w:rPr>
                <w:bCs/>
                <w:iCs/>
                <w:sz w:val="20"/>
                <w:szCs w:val="20"/>
                <w:u w:val="single"/>
              </w:rPr>
            </w:pPr>
          </w:p>
          <w:p w14:paraId="439A0A42" w14:textId="77777777" w:rsidR="00306B0F" w:rsidRPr="001D0FDD" w:rsidRDefault="00306B0F" w:rsidP="00D452D2">
            <w:pPr>
              <w:contextualSpacing/>
              <w:rPr>
                <w:bCs/>
                <w:iCs/>
                <w:sz w:val="20"/>
                <w:szCs w:val="20"/>
              </w:rPr>
            </w:pPr>
          </w:p>
        </w:tc>
      </w:tr>
    </w:tbl>
    <w:p w14:paraId="0E41A8BE" w14:textId="77777777" w:rsidR="00306B0F" w:rsidRPr="00A849A1" w:rsidRDefault="00306B0F" w:rsidP="00306B0F">
      <w:pPr>
        <w:jc w:val="both"/>
        <w:rPr>
          <w:rFonts w:cs="Arial"/>
          <w:b/>
          <w:bCs/>
          <w:sz w:val="22"/>
          <w:szCs w:val="22"/>
        </w:rPr>
      </w:pPr>
      <w:r w:rsidRPr="00A849A1">
        <w:rPr>
          <w:rFonts w:cs="Arial"/>
          <w:b/>
          <w:bCs/>
          <w:sz w:val="22"/>
          <w:szCs w:val="22"/>
        </w:rPr>
        <w:t xml:space="preserve">Briefly describe the output and provide supporting narrative for the score. </w:t>
      </w:r>
    </w:p>
    <w:p w14:paraId="07F33E3E" w14:textId="77777777" w:rsidR="00306B0F" w:rsidRPr="00A849A1" w:rsidRDefault="00306B0F" w:rsidP="00306B0F">
      <w:pPr>
        <w:jc w:val="both"/>
        <w:rPr>
          <w:rFonts w:cs="Arial"/>
          <w:b/>
          <w:bCs/>
          <w:sz w:val="22"/>
          <w:szCs w:val="22"/>
        </w:rPr>
      </w:pPr>
    </w:p>
    <w:p w14:paraId="19A7935D" w14:textId="127DBE37" w:rsidR="00306B0F" w:rsidRPr="00A849A1" w:rsidRDefault="00306B0F" w:rsidP="00306B0F">
      <w:pPr>
        <w:jc w:val="both"/>
        <w:rPr>
          <w:rFonts w:cs="Arial"/>
          <w:sz w:val="22"/>
          <w:szCs w:val="22"/>
        </w:rPr>
      </w:pPr>
      <w:r w:rsidRPr="00A849A1">
        <w:rPr>
          <w:rFonts w:cs="Arial"/>
          <w:sz w:val="22"/>
          <w:szCs w:val="22"/>
        </w:rPr>
        <w:t xml:space="preserve">The 2019 annual review noted delays in all target countries. </w:t>
      </w:r>
      <w:r>
        <w:rPr>
          <w:rFonts w:cs="Arial"/>
          <w:sz w:val="22"/>
          <w:szCs w:val="22"/>
        </w:rPr>
        <w:t>In 2020</w:t>
      </w:r>
      <w:r w:rsidRPr="00A849A1">
        <w:rPr>
          <w:rFonts w:cs="Arial"/>
          <w:sz w:val="22"/>
          <w:szCs w:val="22"/>
        </w:rPr>
        <w:t>,</w:t>
      </w:r>
      <w:r w:rsidR="00F5237B">
        <w:rPr>
          <w:rFonts w:cs="Arial"/>
          <w:sz w:val="22"/>
          <w:szCs w:val="22"/>
        </w:rPr>
        <w:t xml:space="preserve"> delivery partners</w:t>
      </w:r>
      <w:r w:rsidR="00EB2B3F">
        <w:rPr>
          <w:rFonts w:cs="Arial"/>
          <w:sz w:val="22"/>
          <w:szCs w:val="22"/>
        </w:rPr>
        <w:t>, those contracted by delivery partners, and governments in target countries</w:t>
      </w:r>
      <w:r w:rsidR="00C72EFE">
        <w:rPr>
          <w:rFonts w:cs="Arial"/>
          <w:sz w:val="22"/>
          <w:szCs w:val="22"/>
        </w:rPr>
        <w:t>,</w:t>
      </w:r>
      <w:r w:rsidR="00EB2B3F">
        <w:rPr>
          <w:rFonts w:cs="Arial"/>
          <w:sz w:val="22"/>
          <w:szCs w:val="22"/>
        </w:rPr>
        <w:t xml:space="preserve"> faced </w:t>
      </w:r>
      <w:r w:rsidR="00C72EFE">
        <w:rPr>
          <w:rFonts w:cs="Arial"/>
          <w:sz w:val="22"/>
          <w:szCs w:val="22"/>
        </w:rPr>
        <w:t xml:space="preserve">unprecedented </w:t>
      </w:r>
      <w:r w:rsidR="009669DB">
        <w:rPr>
          <w:rFonts w:cs="Arial"/>
          <w:sz w:val="22"/>
          <w:szCs w:val="22"/>
        </w:rPr>
        <w:t>challenges to delivery in light of the COVID</w:t>
      </w:r>
      <w:r w:rsidR="00C72EFE">
        <w:rPr>
          <w:rFonts w:cs="Arial"/>
          <w:sz w:val="22"/>
          <w:szCs w:val="22"/>
        </w:rPr>
        <w:t>-</w:t>
      </w:r>
      <w:r w:rsidR="009669DB">
        <w:rPr>
          <w:rFonts w:cs="Arial"/>
          <w:sz w:val="22"/>
          <w:szCs w:val="22"/>
        </w:rPr>
        <w:t>19 pandemic</w:t>
      </w:r>
      <w:r w:rsidR="0027389D">
        <w:rPr>
          <w:rFonts w:cs="Arial"/>
          <w:sz w:val="22"/>
          <w:szCs w:val="22"/>
        </w:rPr>
        <w:t xml:space="preserve"> (</w:t>
      </w:r>
      <w:r w:rsidR="00C72EFE">
        <w:rPr>
          <w:rFonts w:cs="Arial"/>
          <w:sz w:val="22"/>
          <w:szCs w:val="22"/>
        </w:rPr>
        <w:t xml:space="preserve">such as </w:t>
      </w:r>
      <w:r w:rsidR="0027389D">
        <w:rPr>
          <w:rFonts w:cs="Arial"/>
          <w:sz w:val="22"/>
          <w:szCs w:val="22"/>
        </w:rPr>
        <w:t xml:space="preserve">travel restrictions </w:t>
      </w:r>
      <w:r w:rsidR="009F2981">
        <w:rPr>
          <w:rFonts w:cs="Arial"/>
          <w:sz w:val="22"/>
          <w:szCs w:val="22"/>
        </w:rPr>
        <w:t xml:space="preserve">delaying in-country </w:t>
      </w:r>
      <w:r w:rsidR="002C52D6">
        <w:rPr>
          <w:rFonts w:cs="Arial"/>
          <w:sz w:val="22"/>
          <w:szCs w:val="22"/>
        </w:rPr>
        <w:t>missions</w:t>
      </w:r>
      <w:r w:rsidR="009F2981">
        <w:rPr>
          <w:rFonts w:cs="Arial"/>
          <w:sz w:val="22"/>
          <w:szCs w:val="22"/>
        </w:rPr>
        <w:t xml:space="preserve">, </w:t>
      </w:r>
      <w:r w:rsidR="002C52D6">
        <w:rPr>
          <w:rFonts w:cs="Arial"/>
          <w:sz w:val="22"/>
          <w:szCs w:val="22"/>
        </w:rPr>
        <w:t>and</w:t>
      </w:r>
      <w:r w:rsidR="009F2981">
        <w:rPr>
          <w:rFonts w:cs="Arial"/>
          <w:sz w:val="22"/>
          <w:szCs w:val="22"/>
        </w:rPr>
        <w:t xml:space="preserve"> competing </w:t>
      </w:r>
      <w:r w:rsidR="002C52D6">
        <w:rPr>
          <w:rFonts w:cs="Arial"/>
          <w:sz w:val="22"/>
          <w:szCs w:val="22"/>
        </w:rPr>
        <w:t xml:space="preserve">pressures </w:t>
      </w:r>
      <w:r w:rsidR="009F2981">
        <w:rPr>
          <w:rFonts w:cs="Arial"/>
          <w:sz w:val="22"/>
          <w:szCs w:val="22"/>
        </w:rPr>
        <w:t xml:space="preserve">affecting </w:t>
      </w:r>
      <w:r w:rsidR="002C52D6">
        <w:rPr>
          <w:rFonts w:cs="Arial"/>
          <w:sz w:val="22"/>
          <w:szCs w:val="22"/>
        </w:rPr>
        <w:t xml:space="preserve">the </w:t>
      </w:r>
      <w:r w:rsidR="00FE5D0E">
        <w:rPr>
          <w:rFonts w:cs="Arial"/>
          <w:sz w:val="22"/>
          <w:szCs w:val="22"/>
        </w:rPr>
        <w:t xml:space="preserve">public budgets and resources available in </w:t>
      </w:r>
      <w:r w:rsidR="009F2981">
        <w:rPr>
          <w:rFonts w:cs="Arial"/>
          <w:sz w:val="22"/>
          <w:szCs w:val="22"/>
        </w:rPr>
        <w:t>target country governments)</w:t>
      </w:r>
      <w:r w:rsidR="009669DB">
        <w:rPr>
          <w:rFonts w:cs="Arial"/>
          <w:sz w:val="22"/>
          <w:szCs w:val="22"/>
        </w:rPr>
        <w:t xml:space="preserve">. </w:t>
      </w:r>
      <w:r w:rsidR="009F2981">
        <w:rPr>
          <w:rFonts w:cs="Arial"/>
          <w:sz w:val="22"/>
          <w:szCs w:val="22"/>
        </w:rPr>
        <w:t xml:space="preserve">This is one reason that caused </w:t>
      </w:r>
      <w:r>
        <w:rPr>
          <w:rFonts w:cs="Arial"/>
          <w:sz w:val="22"/>
          <w:szCs w:val="22"/>
        </w:rPr>
        <w:t>continu</w:t>
      </w:r>
      <w:r w:rsidR="009F2981">
        <w:rPr>
          <w:rFonts w:cs="Arial"/>
          <w:sz w:val="22"/>
          <w:szCs w:val="22"/>
        </w:rPr>
        <w:t>ed</w:t>
      </w:r>
      <w:r>
        <w:rPr>
          <w:rFonts w:cs="Arial"/>
          <w:sz w:val="22"/>
          <w:szCs w:val="22"/>
        </w:rPr>
        <w:t xml:space="preserve"> delays</w:t>
      </w:r>
      <w:r w:rsidR="009F2981">
        <w:rPr>
          <w:rFonts w:cs="Arial"/>
          <w:sz w:val="22"/>
          <w:szCs w:val="22"/>
        </w:rPr>
        <w:t xml:space="preserve"> to the </w:t>
      </w:r>
      <w:r w:rsidR="007C3778">
        <w:rPr>
          <w:rFonts w:cs="Arial"/>
          <w:sz w:val="22"/>
          <w:szCs w:val="22"/>
        </w:rPr>
        <w:t>p</w:t>
      </w:r>
      <w:r w:rsidR="009F2981">
        <w:rPr>
          <w:rFonts w:cs="Arial"/>
          <w:sz w:val="22"/>
          <w:szCs w:val="22"/>
        </w:rPr>
        <w:t>rogramme and</w:t>
      </w:r>
      <w:r>
        <w:rPr>
          <w:rFonts w:cs="Arial"/>
          <w:sz w:val="22"/>
          <w:szCs w:val="22"/>
        </w:rPr>
        <w:t xml:space="preserve"> </w:t>
      </w:r>
      <w:r w:rsidR="007C3778">
        <w:rPr>
          <w:rFonts w:cs="Arial"/>
          <w:sz w:val="22"/>
          <w:szCs w:val="22"/>
        </w:rPr>
        <w:t>resulted in a further year of pilot projects remaining in the planning phase rather than moving into the implementation phase</w:t>
      </w:r>
      <w:r>
        <w:rPr>
          <w:rFonts w:cs="Arial"/>
          <w:sz w:val="22"/>
          <w:szCs w:val="22"/>
        </w:rPr>
        <w:t xml:space="preserve">. </w:t>
      </w:r>
      <w:r w:rsidR="00416E5D">
        <w:rPr>
          <w:rFonts w:cs="Arial"/>
          <w:sz w:val="22"/>
          <w:szCs w:val="22"/>
        </w:rPr>
        <w:t xml:space="preserve">In China, </w:t>
      </w:r>
      <w:r w:rsidRPr="00A849A1">
        <w:rPr>
          <w:rFonts w:cs="Arial"/>
          <w:sz w:val="22"/>
          <w:szCs w:val="22"/>
        </w:rPr>
        <w:t xml:space="preserve">activities </w:t>
      </w:r>
      <w:r w:rsidR="00416E5D">
        <w:rPr>
          <w:rFonts w:cs="Arial"/>
          <w:sz w:val="22"/>
          <w:szCs w:val="22"/>
        </w:rPr>
        <w:t xml:space="preserve">progressed </w:t>
      </w:r>
      <w:r>
        <w:rPr>
          <w:rFonts w:cs="Arial"/>
          <w:sz w:val="22"/>
          <w:szCs w:val="22"/>
        </w:rPr>
        <w:t>at</w:t>
      </w:r>
      <w:r w:rsidRPr="00A849A1">
        <w:rPr>
          <w:rFonts w:cs="Arial"/>
          <w:sz w:val="22"/>
          <w:szCs w:val="22"/>
        </w:rPr>
        <w:t xml:space="preserve"> an established pilot project </w:t>
      </w:r>
      <w:r>
        <w:rPr>
          <w:rFonts w:cs="Arial"/>
          <w:sz w:val="22"/>
          <w:szCs w:val="22"/>
        </w:rPr>
        <w:t>site but activities remain in the planning phase</w:t>
      </w:r>
      <w:r w:rsidRPr="00A849A1">
        <w:rPr>
          <w:rFonts w:cs="Arial"/>
          <w:sz w:val="22"/>
          <w:szCs w:val="22"/>
        </w:rPr>
        <w:t>.</w:t>
      </w:r>
    </w:p>
    <w:p w14:paraId="4CCD0B29" w14:textId="77777777" w:rsidR="00306B0F" w:rsidRPr="00A849A1" w:rsidRDefault="00306B0F" w:rsidP="00306B0F">
      <w:pPr>
        <w:jc w:val="both"/>
        <w:rPr>
          <w:rFonts w:cs="Arial"/>
          <w:sz w:val="22"/>
          <w:szCs w:val="22"/>
        </w:rPr>
      </w:pPr>
    </w:p>
    <w:p w14:paraId="7131FC75" w14:textId="2B1842D0" w:rsidR="00306B0F" w:rsidRPr="00A849A1" w:rsidRDefault="00306B0F" w:rsidP="00306B0F">
      <w:pPr>
        <w:jc w:val="both"/>
        <w:rPr>
          <w:rFonts w:cs="Arial"/>
          <w:sz w:val="22"/>
          <w:szCs w:val="22"/>
        </w:rPr>
      </w:pPr>
      <w:r w:rsidRPr="00A849A1">
        <w:rPr>
          <w:rFonts w:cs="Arial"/>
          <w:sz w:val="22"/>
          <w:szCs w:val="22"/>
        </w:rPr>
        <w:t xml:space="preserve">In Indonesia, the </w:t>
      </w:r>
      <w:r w:rsidR="00EC21D5">
        <w:rPr>
          <w:rFonts w:cs="Arial"/>
          <w:sz w:val="22"/>
          <w:szCs w:val="22"/>
        </w:rPr>
        <w:t xml:space="preserve">ADB awaits discussions with the </w:t>
      </w:r>
      <w:r w:rsidRPr="00A849A1">
        <w:rPr>
          <w:rFonts w:cs="Arial"/>
          <w:sz w:val="22"/>
          <w:szCs w:val="22"/>
        </w:rPr>
        <w:t xml:space="preserve">government on </w:t>
      </w:r>
      <w:r>
        <w:rPr>
          <w:rFonts w:cs="Arial"/>
          <w:sz w:val="22"/>
          <w:szCs w:val="22"/>
        </w:rPr>
        <w:t xml:space="preserve">the </w:t>
      </w:r>
      <w:r w:rsidRPr="00A849A1">
        <w:rPr>
          <w:rFonts w:cs="Arial"/>
          <w:sz w:val="22"/>
          <w:szCs w:val="22"/>
        </w:rPr>
        <w:t xml:space="preserve">next steps since the pilot project in Gundih was cancelled in </w:t>
      </w:r>
      <w:r>
        <w:rPr>
          <w:rFonts w:cs="Arial"/>
          <w:sz w:val="22"/>
          <w:szCs w:val="22"/>
        </w:rPr>
        <w:t>January 2020</w:t>
      </w:r>
      <w:r w:rsidRPr="00A849A1">
        <w:rPr>
          <w:rFonts w:cs="Arial"/>
          <w:sz w:val="22"/>
          <w:szCs w:val="22"/>
        </w:rPr>
        <w:t>. In September 2020 it was announced that the Japanese Government was now supporting a demonstration</w:t>
      </w:r>
      <w:r>
        <w:rPr>
          <w:rFonts w:cs="Arial"/>
          <w:sz w:val="22"/>
          <w:szCs w:val="22"/>
        </w:rPr>
        <w:t xml:space="preserve"> CCUS carbon storage</w:t>
      </w:r>
      <w:r w:rsidRPr="00A849A1">
        <w:rPr>
          <w:rFonts w:cs="Arial"/>
          <w:sz w:val="22"/>
          <w:szCs w:val="22"/>
        </w:rPr>
        <w:t xml:space="preserve"> project at the Gundih gas fields</w:t>
      </w:r>
      <w:r>
        <w:rPr>
          <w:rFonts w:cs="Arial"/>
          <w:sz w:val="22"/>
          <w:szCs w:val="22"/>
        </w:rPr>
        <w:t>, building on technical assistance activities previously funded by BEIS but not directly linked to current BEIS support</w:t>
      </w:r>
      <w:r w:rsidRPr="00A849A1">
        <w:rPr>
          <w:rFonts w:cs="Arial"/>
          <w:sz w:val="22"/>
          <w:szCs w:val="22"/>
        </w:rPr>
        <w:t xml:space="preserve">. </w:t>
      </w:r>
      <w:r>
        <w:rPr>
          <w:rFonts w:cs="Arial"/>
          <w:sz w:val="22"/>
          <w:szCs w:val="22"/>
        </w:rPr>
        <w:t>The new project funded by the Japanese Government could not be supported through the ADB CCUS Fund as upstream production of natural gas is outside of the scope of UK and ADB support.</w:t>
      </w:r>
      <w:r w:rsidR="000960A9">
        <w:rPr>
          <w:rFonts w:cs="Arial"/>
          <w:sz w:val="22"/>
          <w:szCs w:val="22"/>
        </w:rPr>
        <w:t xml:space="preserve"> </w:t>
      </w:r>
      <w:r w:rsidR="007D1CE4">
        <w:rPr>
          <w:rFonts w:cs="Arial"/>
          <w:sz w:val="22"/>
          <w:szCs w:val="22"/>
        </w:rPr>
        <w:t>Furthermore, a</w:t>
      </w:r>
      <w:r w:rsidR="001C311D">
        <w:rPr>
          <w:rFonts w:cs="Arial"/>
          <w:sz w:val="22"/>
          <w:szCs w:val="22"/>
        </w:rPr>
        <w:t>ll new activities in Indonesia must align with the UK’s international fossil fuel phase out policy – BEIS will work with</w:t>
      </w:r>
      <w:r w:rsidR="00F86F33">
        <w:rPr>
          <w:rFonts w:cs="Arial"/>
          <w:sz w:val="22"/>
          <w:szCs w:val="22"/>
        </w:rPr>
        <w:t xml:space="preserve"> UK </w:t>
      </w:r>
      <w:r w:rsidR="00BD1E5C">
        <w:rPr>
          <w:rFonts w:cs="Arial"/>
          <w:sz w:val="22"/>
          <w:szCs w:val="22"/>
        </w:rPr>
        <w:t>posts</w:t>
      </w:r>
      <w:r w:rsidR="00F86F33">
        <w:rPr>
          <w:rFonts w:cs="Arial"/>
          <w:sz w:val="22"/>
          <w:szCs w:val="22"/>
        </w:rPr>
        <w:t xml:space="preserve"> based in the country</w:t>
      </w:r>
      <w:r w:rsidR="001C311D">
        <w:rPr>
          <w:rFonts w:cs="Arial"/>
          <w:sz w:val="22"/>
          <w:szCs w:val="22"/>
        </w:rPr>
        <w:t xml:space="preserve"> and the ADB to identify demand for </w:t>
      </w:r>
      <w:r w:rsidR="005E392B">
        <w:rPr>
          <w:rFonts w:cs="Arial"/>
          <w:sz w:val="22"/>
          <w:szCs w:val="22"/>
        </w:rPr>
        <w:t xml:space="preserve">eligible activities. </w:t>
      </w:r>
    </w:p>
    <w:p w14:paraId="25AF092B" w14:textId="77777777" w:rsidR="00306B0F" w:rsidRPr="00A849A1" w:rsidRDefault="00306B0F" w:rsidP="00306B0F">
      <w:pPr>
        <w:jc w:val="both"/>
        <w:rPr>
          <w:rFonts w:cs="Arial"/>
          <w:sz w:val="22"/>
          <w:szCs w:val="22"/>
        </w:rPr>
      </w:pPr>
    </w:p>
    <w:p w14:paraId="46FF896B" w14:textId="31FEC2CA" w:rsidR="00306B0F" w:rsidRPr="00A849A1" w:rsidRDefault="00306B0F" w:rsidP="00306B0F">
      <w:pPr>
        <w:jc w:val="both"/>
        <w:rPr>
          <w:rFonts w:cs="Arial"/>
          <w:sz w:val="22"/>
          <w:szCs w:val="22"/>
        </w:rPr>
      </w:pPr>
      <w:r>
        <w:rPr>
          <w:rFonts w:cs="Arial"/>
          <w:sz w:val="22"/>
          <w:szCs w:val="22"/>
        </w:rPr>
        <w:t>CCUS a</w:t>
      </w:r>
      <w:r w:rsidRPr="00A849A1">
        <w:rPr>
          <w:rFonts w:cs="Arial"/>
          <w:sz w:val="22"/>
          <w:szCs w:val="22"/>
        </w:rPr>
        <w:t xml:space="preserve">ctivities at the Brilliante </w:t>
      </w:r>
      <w:r>
        <w:rPr>
          <w:rFonts w:cs="Arial"/>
          <w:sz w:val="22"/>
          <w:szCs w:val="22"/>
        </w:rPr>
        <w:t>pilot site</w:t>
      </w:r>
      <w:r w:rsidRPr="00A849A1">
        <w:rPr>
          <w:rFonts w:cs="Arial"/>
          <w:sz w:val="22"/>
          <w:szCs w:val="22"/>
        </w:rPr>
        <w:t xml:space="preserve"> and Poza Rica</w:t>
      </w:r>
      <w:r>
        <w:rPr>
          <w:rFonts w:cs="Arial"/>
          <w:sz w:val="22"/>
          <w:szCs w:val="22"/>
        </w:rPr>
        <w:t xml:space="preserve"> </w:t>
      </w:r>
      <w:r w:rsidRPr="00A849A1">
        <w:rPr>
          <w:rFonts w:cs="Arial"/>
          <w:sz w:val="22"/>
          <w:szCs w:val="22"/>
        </w:rPr>
        <w:t xml:space="preserve">power plant in Mexico were delayed throughout 2020 due to limited engagement from the Secretariat of Energy. Mexico’s Ministry of Environment and Natural Resources became a new counterpart to the CCUS </w:t>
      </w:r>
      <w:r>
        <w:rPr>
          <w:rFonts w:cs="Arial"/>
          <w:sz w:val="22"/>
          <w:szCs w:val="22"/>
        </w:rPr>
        <w:t>p</w:t>
      </w:r>
      <w:r w:rsidRPr="00A849A1">
        <w:rPr>
          <w:rFonts w:cs="Arial"/>
          <w:sz w:val="22"/>
          <w:szCs w:val="22"/>
        </w:rPr>
        <w:t>rogramme in December 2020</w:t>
      </w:r>
      <w:r>
        <w:rPr>
          <w:rFonts w:cs="Arial"/>
          <w:sz w:val="22"/>
          <w:szCs w:val="22"/>
        </w:rPr>
        <w:t>.</w:t>
      </w:r>
    </w:p>
    <w:p w14:paraId="54479CB2" w14:textId="77777777" w:rsidR="00306B0F" w:rsidRPr="00A849A1" w:rsidRDefault="00306B0F" w:rsidP="00306B0F">
      <w:pPr>
        <w:jc w:val="both"/>
        <w:rPr>
          <w:rFonts w:cs="Arial"/>
          <w:sz w:val="22"/>
          <w:szCs w:val="22"/>
        </w:rPr>
      </w:pPr>
    </w:p>
    <w:p w14:paraId="54C9A459" w14:textId="457F2412" w:rsidR="00306B0F" w:rsidRPr="00A849A1" w:rsidRDefault="00306B0F" w:rsidP="00306B0F">
      <w:pPr>
        <w:rPr>
          <w:rFonts w:cs="Arial"/>
          <w:b/>
          <w:sz w:val="22"/>
          <w:szCs w:val="22"/>
        </w:rPr>
      </w:pPr>
      <w:r w:rsidRPr="00A849A1">
        <w:rPr>
          <w:bCs/>
          <w:iCs/>
          <w:sz w:val="22"/>
          <w:szCs w:val="22"/>
        </w:rPr>
        <w:t>The South African government paused activities at the pilot capture project</w:t>
      </w:r>
      <w:r>
        <w:rPr>
          <w:bCs/>
          <w:iCs/>
          <w:sz w:val="22"/>
          <w:szCs w:val="22"/>
        </w:rPr>
        <w:t xml:space="preserve"> in 2020 and </w:t>
      </w:r>
      <w:r w:rsidRPr="00A849A1">
        <w:rPr>
          <w:bCs/>
          <w:iCs/>
          <w:sz w:val="22"/>
          <w:szCs w:val="22"/>
        </w:rPr>
        <w:t xml:space="preserve">requested that activities at the pilot storage project </w:t>
      </w:r>
      <w:r>
        <w:rPr>
          <w:bCs/>
          <w:iCs/>
          <w:sz w:val="22"/>
          <w:szCs w:val="22"/>
        </w:rPr>
        <w:t xml:space="preserve">be re-focussed on potential storage locations closer to </w:t>
      </w:r>
      <w:r w:rsidRPr="00022EF3">
        <w:rPr>
          <w:bCs/>
          <w:iCs/>
          <w:sz w:val="22"/>
          <w:szCs w:val="22"/>
        </w:rPr>
        <w:t>CO</w:t>
      </w:r>
      <w:r w:rsidRPr="00022EF3">
        <w:rPr>
          <w:bCs/>
          <w:iCs/>
          <w:sz w:val="22"/>
          <w:szCs w:val="22"/>
          <w:vertAlign w:val="subscript"/>
        </w:rPr>
        <w:t>2</w:t>
      </w:r>
      <w:r>
        <w:rPr>
          <w:bCs/>
          <w:iCs/>
          <w:sz w:val="22"/>
          <w:szCs w:val="22"/>
        </w:rPr>
        <w:t xml:space="preserve"> emissions sources, following ongoing stakeholder challenges at the original Zululand Basin area of interest. </w:t>
      </w:r>
    </w:p>
    <w:p w14:paraId="56B2C90A" w14:textId="77777777" w:rsidR="00306B0F" w:rsidRPr="00A849A1" w:rsidRDefault="00306B0F" w:rsidP="00306B0F">
      <w:pPr>
        <w:jc w:val="both"/>
        <w:rPr>
          <w:rFonts w:cs="Arial"/>
          <w:bCs/>
          <w:sz w:val="22"/>
          <w:szCs w:val="22"/>
        </w:rPr>
      </w:pPr>
    </w:p>
    <w:p w14:paraId="23D77541" w14:textId="77777777" w:rsidR="00306B0F" w:rsidRPr="00A849A1" w:rsidRDefault="00306B0F" w:rsidP="00306B0F">
      <w:pPr>
        <w:rPr>
          <w:rFonts w:cs="Arial"/>
          <w:b/>
          <w:bCs/>
          <w:sz w:val="22"/>
          <w:szCs w:val="22"/>
        </w:rPr>
      </w:pPr>
      <w:r w:rsidRPr="00A849A1">
        <w:rPr>
          <w:rFonts w:cs="Arial"/>
          <w:b/>
          <w:bCs/>
          <w:sz w:val="22"/>
          <w:szCs w:val="22"/>
        </w:rPr>
        <w:t>Assess the VfM of this output compared to the proposition in the Business Case, based on performance over the past year.</w:t>
      </w:r>
      <w:r w:rsidRPr="00A849A1">
        <w:rPr>
          <w:rFonts w:cs="Arial"/>
          <w:b/>
          <w:sz w:val="22"/>
          <w:szCs w:val="22"/>
        </w:rPr>
        <w:t xml:space="preserve"> </w:t>
      </w:r>
    </w:p>
    <w:p w14:paraId="1BB9F251" w14:textId="77777777" w:rsidR="00306B0F" w:rsidRPr="00A849A1" w:rsidRDefault="00306B0F" w:rsidP="00306B0F">
      <w:pPr>
        <w:rPr>
          <w:rFonts w:cs="Arial"/>
          <w:sz w:val="22"/>
          <w:szCs w:val="22"/>
          <w:lang w:val="en" w:eastAsia="en-GB"/>
        </w:rPr>
      </w:pPr>
    </w:p>
    <w:p w14:paraId="4791CDA4" w14:textId="3997B030" w:rsidR="00306B0F" w:rsidRDefault="00306B0F" w:rsidP="00306B0F">
      <w:pPr>
        <w:rPr>
          <w:rFonts w:cs="Arial"/>
          <w:sz w:val="22"/>
          <w:szCs w:val="22"/>
          <w:lang w:val="en" w:eastAsia="en-GB"/>
        </w:rPr>
      </w:pPr>
      <w:r>
        <w:rPr>
          <w:rFonts w:cs="Arial"/>
          <w:sz w:val="22"/>
          <w:szCs w:val="22"/>
          <w:lang w:val="en" w:eastAsia="en-GB"/>
        </w:rPr>
        <w:t>Continued delays to implementation of pilot projects hinders the original business case objective of: ‘increasing the capacity of industrial actors in the various target countries to take forward CCS demonstrations’.</w:t>
      </w:r>
    </w:p>
    <w:p w14:paraId="3F8AD99B" w14:textId="77777777" w:rsidR="00306B0F" w:rsidRDefault="00306B0F" w:rsidP="00306B0F">
      <w:pPr>
        <w:rPr>
          <w:rFonts w:cs="Arial"/>
          <w:sz w:val="22"/>
          <w:szCs w:val="22"/>
          <w:lang w:val="en" w:eastAsia="en-GB"/>
        </w:rPr>
      </w:pPr>
    </w:p>
    <w:p w14:paraId="521EC104" w14:textId="260DEBE6" w:rsidR="00306B0F" w:rsidRPr="00A849A1" w:rsidRDefault="00306B0F" w:rsidP="00306B0F">
      <w:pPr>
        <w:rPr>
          <w:rFonts w:cs="Arial"/>
          <w:sz w:val="22"/>
          <w:szCs w:val="22"/>
          <w:lang w:val="en" w:eastAsia="en-GB"/>
        </w:rPr>
      </w:pPr>
      <w:r>
        <w:rPr>
          <w:rFonts w:cs="Arial"/>
          <w:sz w:val="22"/>
          <w:szCs w:val="22"/>
          <w:lang w:val="en" w:eastAsia="en-GB"/>
        </w:rPr>
        <w:t xml:space="preserve">Furthermore, continued delays to implementation mean that the further £10m contribution through the extension business case cannot be encashed due to a lack of demand. As Capital Departmental Expenditure Limit (CDEL), it can only be used to finance pilot project implementation and associated activities.  </w:t>
      </w:r>
    </w:p>
    <w:p w14:paraId="2277A2D6" w14:textId="77777777" w:rsidR="00306B0F" w:rsidRPr="00A849A1" w:rsidRDefault="00306B0F" w:rsidP="00306B0F">
      <w:pPr>
        <w:jc w:val="both"/>
        <w:rPr>
          <w:rFonts w:cs="Arial"/>
          <w:bCs/>
          <w:sz w:val="22"/>
          <w:szCs w:val="22"/>
        </w:rPr>
      </w:pPr>
      <w:r w:rsidRPr="00A849A1">
        <w:rPr>
          <w:rFonts w:cs="Arial"/>
          <w:bCs/>
          <w:sz w:val="22"/>
          <w:szCs w:val="22"/>
        </w:rPr>
        <w:t xml:space="preserve">  </w:t>
      </w:r>
    </w:p>
    <w:p w14:paraId="62AEB28C" w14:textId="77777777" w:rsidR="00306B0F" w:rsidRPr="00A849A1" w:rsidRDefault="00306B0F" w:rsidP="00306B0F">
      <w:pPr>
        <w:rPr>
          <w:rFonts w:cs="Arial"/>
          <w:sz w:val="22"/>
          <w:szCs w:val="22"/>
        </w:rPr>
      </w:pPr>
      <w:r w:rsidRPr="00A849A1">
        <w:rPr>
          <w:b/>
          <w:bCs/>
          <w:sz w:val="22"/>
          <w:szCs w:val="22"/>
        </w:rPr>
        <w:t xml:space="preserve">Describe any changes to this output, and any planned changes as a result of this review. </w:t>
      </w:r>
    </w:p>
    <w:p w14:paraId="630497A6" w14:textId="77777777" w:rsidR="00306B0F" w:rsidRPr="00A849A1" w:rsidRDefault="00306B0F" w:rsidP="00306B0F">
      <w:pPr>
        <w:rPr>
          <w:rFonts w:cs="Arial"/>
          <w:sz w:val="22"/>
          <w:szCs w:val="22"/>
        </w:rPr>
      </w:pPr>
    </w:p>
    <w:p w14:paraId="423A9FA2" w14:textId="3B304572" w:rsidR="00306B0F" w:rsidRDefault="00306B0F" w:rsidP="00306B0F">
      <w:pPr>
        <w:rPr>
          <w:sz w:val="22"/>
          <w:szCs w:val="22"/>
        </w:rPr>
      </w:pPr>
      <w:r>
        <w:rPr>
          <w:sz w:val="22"/>
          <w:szCs w:val="22"/>
        </w:rPr>
        <w:t>In 2020, t</w:t>
      </w:r>
      <w:r w:rsidRPr="00A849A1">
        <w:rPr>
          <w:sz w:val="22"/>
          <w:szCs w:val="22"/>
        </w:rPr>
        <w:t xml:space="preserve">here were no changes to the indicator but the 2020 milestone was amended to include the line ‘and 1 additional country declares an intention to move to the planning phase for at least one pilot project’. </w:t>
      </w:r>
    </w:p>
    <w:p w14:paraId="5E0AEC02" w14:textId="77777777" w:rsidR="00306B0F" w:rsidRDefault="00306B0F" w:rsidP="00306B0F">
      <w:pPr>
        <w:rPr>
          <w:sz w:val="22"/>
          <w:szCs w:val="22"/>
        </w:rPr>
      </w:pPr>
    </w:p>
    <w:p w14:paraId="640CE09E" w14:textId="77777777" w:rsidR="00306B0F" w:rsidRPr="00A849A1" w:rsidRDefault="00306B0F" w:rsidP="00306B0F">
      <w:pPr>
        <w:rPr>
          <w:sz w:val="22"/>
          <w:szCs w:val="22"/>
        </w:rPr>
      </w:pPr>
      <w:r w:rsidRPr="00A849A1">
        <w:rPr>
          <w:sz w:val="22"/>
          <w:szCs w:val="22"/>
        </w:rPr>
        <w:t xml:space="preserve">In light of this year’s results, BEIS will consider whether the 2021 milestone is still a feasible goal for the Programme (currently 4 countries implementing pilot projects and 1 additional country is in the planning phase for at least one pilot project). </w:t>
      </w:r>
    </w:p>
    <w:p w14:paraId="5D11E9B5" w14:textId="77777777" w:rsidR="00306B0F" w:rsidRDefault="00306B0F" w:rsidP="00306B0F">
      <w:pPr>
        <w:jc w:val="both"/>
        <w:rPr>
          <w:rFonts w:cs="Arial"/>
          <w:b/>
          <w:bCs/>
          <w:sz w:val="22"/>
          <w:szCs w:val="22"/>
        </w:rPr>
      </w:pPr>
    </w:p>
    <w:p w14:paraId="133FBC91" w14:textId="77777777" w:rsidR="00306B0F" w:rsidRPr="00A849A1" w:rsidRDefault="00306B0F" w:rsidP="00306B0F">
      <w:pPr>
        <w:jc w:val="both"/>
        <w:rPr>
          <w:rFonts w:cs="Arial"/>
          <w:bCs/>
          <w:sz w:val="22"/>
          <w:szCs w:val="22"/>
        </w:rPr>
      </w:pPr>
      <w:r w:rsidRPr="00A849A1">
        <w:rPr>
          <w:rFonts w:cs="Arial"/>
          <w:b/>
          <w:bCs/>
          <w:sz w:val="22"/>
          <w:szCs w:val="22"/>
        </w:rPr>
        <w:t xml:space="preserve">Progress on recommendations from the previous AR, lessons learned this year and recommendations for the year ahead. </w:t>
      </w:r>
    </w:p>
    <w:p w14:paraId="0F31CB2A" w14:textId="77777777" w:rsidR="00306B0F" w:rsidRDefault="00306B0F" w:rsidP="00306B0F">
      <w:pPr>
        <w:tabs>
          <w:tab w:val="left" w:pos="8352"/>
        </w:tabs>
        <w:jc w:val="both"/>
        <w:rPr>
          <w:rFonts w:cs="Arial"/>
          <w:bCs/>
          <w:sz w:val="22"/>
          <w:szCs w:val="22"/>
        </w:rPr>
      </w:pPr>
    </w:p>
    <w:p w14:paraId="60161E00" w14:textId="289CFB3A" w:rsidR="00D61DE8" w:rsidRPr="00D61DE8" w:rsidRDefault="00D61DE8" w:rsidP="00D61DE8">
      <w:pPr>
        <w:tabs>
          <w:tab w:val="left" w:pos="6915"/>
          <w:tab w:val="left" w:pos="9495"/>
        </w:tabs>
        <w:rPr>
          <w:bCs/>
          <w:sz w:val="22"/>
          <w:szCs w:val="22"/>
        </w:rPr>
      </w:pPr>
      <w:r w:rsidRPr="00D61DE8">
        <w:rPr>
          <w:bCs/>
          <w:sz w:val="22"/>
          <w:szCs w:val="22"/>
        </w:rPr>
        <w:t>The World Bank and the ADB to engage at official and senior levels with target country governments to ensure that approved activities that support policies, regulations and/or legislative frameworks and pilot projects in target countries commence (by 31</w:t>
      </w:r>
      <w:r w:rsidRPr="00D61DE8">
        <w:rPr>
          <w:bCs/>
          <w:sz w:val="22"/>
          <w:szCs w:val="22"/>
          <w:vertAlign w:val="superscript"/>
        </w:rPr>
        <w:t>st</w:t>
      </w:r>
      <w:r w:rsidRPr="00D61DE8">
        <w:rPr>
          <w:bCs/>
          <w:sz w:val="22"/>
          <w:szCs w:val="22"/>
        </w:rPr>
        <w:t xml:space="preserve"> January 2022).</w:t>
      </w:r>
    </w:p>
    <w:p w14:paraId="2A647464" w14:textId="77777777" w:rsidR="00306B0F" w:rsidRPr="00FF13AE" w:rsidRDefault="00306B0F" w:rsidP="00306B0F">
      <w:pPr>
        <w:autoSpaceDE w:val="0"/>
        <w:autoSpaceDN w:val="0"/>
        <w:adjustRightInd w:val="0"/>
        <w:rPr>
          <w:rFonts w:eastAsiaTheme="minorHAnsi" w:cs="Arial"/>
          <w:color w:val="000000"/>
          <w:sz w:val="22"/>
          <w:szCs w:val="22"/>
        </w:rPr>
      </w:pPr>
    </w:p>
    <w:tbl>
      <w:tblPr>
        <w:tblStyle w:val="TableGrid"/>
        <w:tblW w:w="9356" w:type="dxa"/>
        <w:tblInd w:w="-147" w:type="dxa"/>
        <w:tblLook w:val="04A0" w:firstRow="1" w:lastRow="0" w:firstColumn="1" w:lastColumn="0" w:noHBand="0" w:noVBand="1"/>
      </w:tblPr>
      <w:tblGrid>
        <w:gridCol w:w="1693"/>
        <w:gridCol w:w="602"/>
        <w:gridCol w:w="1061"/>
        <w:gridCol w:w="3233"/>
        <w:gridCol w:w="2767"/>
      </w:tblGrid>
      <w:tr w:rsidR="00D819F4" w:rsidRPr="008A4154" w14:paraId="7C974930" w14:textId="77777777" w:rsidTr="00D452D2">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D1F24C" w14:textId="77777777" w:rsidR="00306B0F" w:rsidRPr="008A4154" w:rsidRDefault="00306B0F" w:rsidP="00D452D2">
            <w:pPr>
              <w:rPr>
                <w:b/>
                <w:bCs/>
                <w:sz w:val="20"/>
                <w:szCs w:val="22"/>
              </w:rPr>
            </w:pPr>
            <w:r w:rsidRPr="008A4154">
              <w:rPr>
                <w:b/>
                <w:bCs/>
                <w:sz w:val="20"/>
                <w:szCs w:val="22"/>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4942E0" w14:textId="77777777" w:rsidR="00306B0F" w:rsidRPr="008A4154" w:rsidRDefault="00306B0F" w:rsidP="00D452D2">
            <w:pPr>
              <w:rPr>
                <w:bCs/>
                <w:i/>
                <w:color w:val="FF0000"/>
                <w:sz w:val="20"/>
                <w:szCs w:val="22"/>
              </w:rPr>
            </w:pPr>
            <w:r w:rsidRPr="0076728B">
              <w:rPr>
                <w:bCs/>
                <w:i/>
                <w:sz w:val="20"/>
                <w:szCs w:val="22"/>
              </w:rPr>
              <w:t>Increased knowledge of and support for the implementation of CCUS pilot projects within the targeted governments.</w:t>
            </w:r>
          </w:p>
        </w:tc>
      </w:tr>
      <w:tr w:rsidR="00D61DE8" w:rsidRPr="008A4154" w14:paraId="60D54DE9" w14:textId="77777777" w:rsidTr="00D452D2">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DFB105" w14:textId="77777777" w:rsidR="00306B0F" w:rsidRPr="008A4154" w:rsidRDefault="00306B0F" w:rsidP="00D452D2">
            <w:pPr>
              <w:rPr>
                <w:bCs/>
                <w:sz w:val="20"/>
                <w:szCs w:val="22"/>
              </w:rPr>
            </w:pPr>
            <w:r w:rsidRPr="008A4154">
              <w:rPr>
                <w:bCs/>
                <w:sz w:val="20"/>
                <w:szCs w:val="22"/>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6A96ECF2" w14:textId="77777777" w:rsidR="00306B0F" w:rsidRPr="008A4154" w:rsidRDefault="00306B0F" w:rsidP="00D452D2">
            <w:pPr>
              <w:rPr>
                <w:sz w:val="20"/>
                <w:szCs w:val="22"/>
              </w:rPr>
            </w:pPr>
            <w:r>
              <w:rPr>
                <w:sz w:val="20"/>
                <w:szCs w:val="22"/>
              </w:rPr>
              <w:t>2</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0D01D7" w14:textId="77777777" w:rsidR="00306B0F" w:rsidRPr="008A4154" w:rsidRDefault="00306B0F" w:rsidP="00D452D2">
            <w:pPr>
              <w:rPr>
                <w:sz w:val="20"/>
                <w:szCs w:val="22"/>
              </w:rPr>
            </w:pPr>
            <w:r w:rsidRPr="008A4154">
              <w:rPr>
                <w:bCs/>
                <w:sz w:val="20"/>
                <w:szCs w:val="22"/>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7D0C6D98" w14:textId="77777777" w:rsidR="00306B0F" w:rsidRPr="008A4154" w:rsidRDefault="00306B0F" w:rsidP="00D452D2">
            <w:pPr>
              <w:rPr>
                <w:b/>
                <w:bCs/>
                <w:i/>
                <w:color w:val="FF0000"/>
                <w:sz w:val="20"/>
                <w:szCs w:val="22"/>
              </w:rPr>
            </w:pPr>
            <w:r>
              <w:rPr>
                <w:b/>
                <w:bCs/>
                <w:i/>
                <w:color w:val="FF0000"/>
                <w:sz w:val="20"/>
                <w:szCs w:val="22"/>
              </w:rPr>
              <w:t>C</w:t>
            </w:r>
          </w:p>
        </w:tc>
      </w:tr>
      <w:tr w:rsidR="00D61DE8" w:rsidRPr="008A4154" w14:paraId="2CFFCEE2" w14:textId="77777777" w:rsidTr="00D452D2">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1AE0D9" w14:textId="77777777" w:rsidR="00306B0F" w:rsidRPr="008A4154" w:rsidRDefault="00306B0F" w:rsidP="00D452D2">
            <w:pPr>
              <w:rPr>
                <w:sz w:val="20"/>
                <w:szCs w:val="22"/>
              </w:rPr>
            </w:pPr>
            <w:r w:rsidRPr="008A4154">
              <w:rPr>
                <w:bCs/>
                <w:sz w:val="20"/>
                <w:szCs w:val="22"/>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0C30D2AE" w14:textId="77777777" w:rsidR="00306B0F" w:rsidRPr="008A4154" w:rsidRDefault="00306B0F" w:rsidP="00D452D2">
            <w:pPr>
              <w:rPr>
                <w:bCs/>
                <w:sz w:val="20"/>
                <w:szCs w:val="22"/>
              </w:rPr>
            </w:pPr>
            <w:r>
              <w:rPr>
                <w:bCs/>
                <w:sz w:val="20"/>
                <w:szCs w:val="22"/>
              </w:rPr>
              <w:t>20%</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0F1BC7" w14:textId="77777777" w:rsidR="00306B0F" w:rsidRPr="008A4154" w:rsidRDefault="00306B0F" w:rsidP="00D452D2">
            <w:pPr>
              <w:rPr>
                <w:bCs/>
                <w:sz w:val="20"/>
                <w:szCs w:val="22"/>
              </w:rPr>
            </w:pPr>
            <w:r>
              <w:rPr>
                <w:bCs/>
                <w:sz w:val="20"/>
                <w:szCs w:val="22"/>
              </w:rPr>
              <w:t>W</w:t>
            </w:r>
            <w:r w:rsidRPr="008A4154">
              <w:rPr>
                <w:bCs/>
                <w:sz w:val="20"/>
                <w:szCs w:val="22"/>
              </w:rPr>
              <w:t xml:space="preserve">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06A96E79" w14:textId="77777777" w:rsidR="00306B0F" w:rsidRPr="008A4154" w:rsidRDefault="00306B0F" w:rsidP="00D452D2">
            <w:pPr>
              <w:rPr>
                <w:bCs/>
                <w:sz w:val="20"/>
                <w:szCs w:val="22"/>
              </w:rPr>
            </w:pPr>
            <w:r>
              <w:rPr>
                <w:bCs/>
                <w:sz w:val="20"/>
                <w:szCs w:val="22"/>
              </w:rPr>
              <w:t>Not tracked in 2019</w:t>
            </w:r>
          </w:p>
        </w:tc>
      </w:tr>
      <w:tr w:rsidR="00D61DE8" w:rsidRPr="008A4154" w14:paraId="44A93E5A" w14:textId="77777777" w:rsidTr="00D452D2">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B06D0B" w14:textId="77777777" w:rsidR="00306B0F" w:rsidRPr="008A4154" w:rsidRDefault="00306B0F" w:rsidP="00D452D2">
            <w:pPr>
              <w:rPr>
                <w:bCs/>
                <w:sz w:val="20"/>
                <w:szCs w:val="22"/>
              </w:rPr>
            </w:pPr>
            <w:r>
              <w:rPr>
                <w:bCs/>
                <w:sz w:val="20"/>
                <w:szCs w:val="22"/>
              </w:rPr>
              <w:t>Risk rating</w:t>
            </w:r>
          </w:p>
        </w:tc>
        <w:tc>
          <w:tcPr>
            <w:tcW w:w="937" w:type="dxa"/>
            <w:tcBorders>
              <w:top w:val="single" w:sz="4" w:space="0" w:color="auto"/>
              <w:left w:val="single" w:sz="4" w:space="0" w:color="auto"/>
              <w:bottom w:val="single" w:sz="4" w:space="0" w:color="auto"/>
              <w:right w:val="single" w:sz="4" w:space="0" w:color="auto"/>
            </w:tcBorders>
          </w:tcPr>
          <w:p w14:paraId="475440FF" w14:textId="77777777" w:rsidR="00306B0F" w:rsidRPr="008A4154" w:rsidRDefault="00306B0F" w:rsidP="00D452D2">
            <w:pPr>
              <w:rPr>
                <w:bCs/>
                <w:sz w:val="20"/>
                <w:szCs w:val="22"/>
              </w:rPr>
            </w:pPr>
            <w:r>
              <w:rPr>
                <w:bCs/>
                <w:sz w:val="20"/>
                <w:szCs w:val="22"/>
              </w:rPr>
              <w:t>Moderate</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4E562D" w14:textId="77777777" w:rsidR="00306B0F" w:rsidRDefault="00306B0F" w:rsidP="00D452D2">
            <w:pPr>
              <w:rPr>
                <w:bCs/>
                <w:sz w:val="20"/>
                <w:szCs w:val="22"/>
              </w:rPr>
            </w:pPr>
            <w:r>
              <w:rPr>
                <w:bCs/>
                <w:sz w:val="20"/>
                <w:szCs w:val="22"/>
              </w:rPr>
              <w:t>Risk revised since last AR?</w:t>
            </w:r>
          </w:p>
        </w:tc>
        <w:tc>
          <w:tcPr>
            <w:tcW w:w="2812" w:type="dxa"/>
            <w:tcBorders>
              <w:top w:val="single" w:sz="4" w:space="0" w:color="auto"/>
              <w:left w:val="single" w:sz="4" w:space="0" w:color="auto"/>
              <w:bottom w:val="single" w:sz="4" w:space="0" w:color="auto"/>
              <w:right w:val="single" w:sz="4" w:space="0" w:color="auto"/>
            </w:tcBorders>
          </w:tcPr>
          <w:p w14:paraId="064CA02B" w14:textId="77777777" w:rsidR="00306B0F" w:rsidRPr="008A4154" w:rsidRDefault="00306B0F" w:rsidP="00D452D2">
            <w:pPr>
              <w:rPr>
                <w:bCs/>
                <w:sz w:val="20"/>
                <w:szCs w:val="22"/>
              </w:rPr>
            </w:pPr>
            <w:r>
              <w:rPr>
                <w:bCs/>
                <w:sz w:val="20"/>
                <w:szCs w:val="22"/>
              </w:rPr>
              <w:t>Not tracked in 2019</w:t>
            </w:r>
          </w:p>
        </w:tc>
      </w:tr>
    </w:tbl>
    <w:p w14:paraId="2BC9ED65" w14:textId="77777777" w:rsidR="00306B0F" w:rsidRDefault="00306B0F" w:rsidP="00306B0F">
      <w:pPr>
        <w:rPr>
          <w:sz w:val="20"/>
          <w:szCs w:val="22"/>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1564"/>
        <w:gridCol w:w="2977"/>
        <w:gridCol w:w="4810"/>
      </w:tblGrid>
      <w:tr w:rsidR="00306B0F" w:rsidRPr="00E548EA" w14:paraId="18DF8350" w14:textId="77777777" w:rsidTr="00D452D2">
        <w:trPr>
          <w:trHeight w:val="273"/>
        </w:trPr>
        <w:tc>
          <w:tcPr>
            <w:tcW w:w="15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A50857" w14:textId="77777777" w:rsidR="00306B0F" w:rsidRPr="00E548EA" w:rsidRDefault="00306B0F" w:rsidP="00D452D2">
            <w:pPr>
              <w:rPr>
                <w:b/>
                <w:bCs/>
                <w:sz w:val="20"/>
                <w:szCs w:val="22"/>
              </w:rPr>
            </w:pPr>
            <w:r w:rsidRPr="00E548EA">
              <w:rPr>
                <w:b/>
                <w:bCs/>
                <w:sz w:val="20"/>
                <w:szCs w:val="22"/>
              </w:rPr>
              <w:t>Indicator(s)</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3DEAD6" w14:textId="77777777" w:rsidR="00306B0F" w:rsidRPr="00E548EA" w:rsidRDefault="00306B0F" w:rsidP="00D452D2">
            <w:pPr>
              <w:rPr>
                <w:b/>
                <w:bCs/>
                <w:sz w:val="20"/>
                <w:szCs w:val="22"/>
              </w:rPr>
            </w:pPr>
            <w:r w:rsidRPr="00E548EA">
              <w:rPr>
                <w:b/>
                <w:bCs/>
                <w:sz w:val="20"/>
                <w:szCs w:val="22"/>
              </w:rPr>
              <w:t>Milestone(s) for this review</w:t>
            </w:r>
          </w:p>
        </w:tc>
        <w:tc>
          <w:tcPr>
            <w:tcW w:w="48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67100B" w14:textId="77777777" w:rsidR="00306B0F" w:rsidRPr="00E548EA" w:rsidRDefault="00306B0F" w:rsidP="00D452D2">
            <w:pPr>
              <w:rPr>
                <w:b/>
                <w:bCs/>
                <w:sz w:val="20"/>
                <w:szCs w:val="22"/>
              </w:rPr>
            </w:pPr>
            <w:r w:rsidRPr="00E548EA">
              <w:rPr>
                <w:b/>
                <w:bCs/>
                <w:sz w:val="20"/>
                <w:szCs w:val="22"/>
              </w:rPr>
              <w:t xml:space="preserve">Progress </w:t>
            </w:r>
          </w:p>
        </w:tc>
      </w:tr>
      <w:tr w:rsidR="00306B0F" w:rsidRPr="00E548EA" w14:paraId="6A29E411" w14:textId="77777777" w:rsidTr="00D452D2">
        <w:tc>
          <w:tcPr>
            <w:tcW w:w="1564" w:type="dxa"/>
            <w:tcBorders>
              <w:top w:val="single" w:sz="4" w:space="0" w:color="auto"/>
              <w:left w:val="single" w:sz="4" w:space="0" w:color="auto"/>
              <w:bottom w:val="single" w:sz="4" w:space="0" w:color="auto"/>
              <w:right w:val="single" w:sz="4" w:space="0" w:color="auto"/>
            </w:tcBorders>
          </w:tcPr>
          <w:p w14:paraId="51BD5DB7" w14:textId="77777777" w:rsidR="00306B0F" w:rsidRPr="001D0FDD" w:rsidRDefault="00306B0F" w:rsidP="00D452D2">
            <w:pPr>
              <w:rPr>
                <w:bCs/>
                <w:iCs/>
                <w:sz w:val="20"/>
                <w:szCs w:val="20"/>
              </w:rPr>
            </w:pPr>
            <w:r>
              <w:rPr>
                <w:rFonts w:cs="Arial"/>
                <w:bCs/>
                <w:iCs/>
                <w:sz w:val="20"/>
                <w:szCs w:val="20"/>
              </w:rPr>
              <w:t xml:space="preserve">2.1 - </w:t>
            </w:r>
            <w:r w:rsidRPr="00403348">
              <w:rPr>
                <w:rFonts w:cs="Arial"/>
                <w:bCs/>
                <w:iCs/>
                <w:sz w:val="20"/>
                <w:szCs w:val="20"/>
              </w:rPr>
              <w:t>Lessons learned from pilot projects are used to improve future CCUS activities</w:t>
            </w:r>
            <w:r>
              <w:rPr>
                <w:rFonts w:cs="Arial"/>
                <w:bCs/>
                <w:iCs/>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68C12486" w14:textId="77777777" w:rsidR="00306B0F" w:rsidRPr="001D0FDD" w:rsidRDefault="00306B0F" w:rsidP="00D452D2">
            <w:pPr>
              <w:rPr>
                <w:bCs/>
                <w:iCs/>
                <w:sz w:val="20"/>
                <w:szCs w:val="20"/>
              </w:rPr>
            </w:pPr>
            <w:r w:rsidRPr="006164D0">
              <w:rPr>
                <w:bCs/>
                <w:iCs/>
                <w:sz w:val="20"/>
                <w:szCs w:val="20"/>
              </w:rPr>
              <w:t>Number of stakeholders stating an intention to use lessons learned to improve CCUS activities.</w:t>
            </w:r>
          </w:p>
        </w:tc>
        <w:tc>
          <w:tcPr>
            <w:tcW w:w="4810" w:type="dxa"/>
            <w:tcBorders>
              <w:top w:val="single" w:sz="4" w:space="0" w:color="auto"/>
              <w:left w:val="single" w:sz="4" w:space="0" w:color="auto"/>
              <w:bottom w:val="single" w:sz="4" w:space="0" w:color="auto"/>
              <w:right w:val="single" w:sz="4" w:space="0" w:color="auto"/>
            </w:tcBorders>
          </w:tcPr>
          <w:p w14:paraId="54A309DC" w14:textId="77777777" w:rsidR="00306B0F" w:rsidRDefault="00306B0F" w:rsidP="00D452D2">
            <w:pPr>
              <w:contextualSpacing/>
              <w:rPr>
                <w:bCs/>
                <w:iCs/>
                <w:sz w:val="20"/>
                <w:szCs w:val="20"/>
                <w:u w:val="single"/>
              </w:rPr>
            </w:pPr>
            <w:r>
              <w:rPr>
                <w:b/>
                <w:iCs/>
                <w:sz w:val="20"/>
                <w:szCs w:val="20"/>
              </w:rPr>
              <w:t>Output substantially did not meet expectation</w:t>
            </w:r>
            <w:r w:rsidRPr="00640288" w:rsidDel="004B6238">
              <w:rPr>
                <w:b/>
                <w:iCs/>
                <w:sz w:val="20"/>
                <w:szCs w:val="20"/>
              </w:rPr>
              <w:t xml:space="preserve"> </w:t>
            </w:r>
          </w:p>
          <w:p w14:paraId="0DBE2D51" w14:textId="4F2A8CA6" w:rsidR="00306B0F" w:rsidRDefault="00306B0F" w:rsidP="00D452D2">
            <w:pPr>
              <w:contextualSpacing/>
              <w:rPr>
                <w:bCs/>
                <w:iCs/>
                <w:sz w:val="20"/>
                <w:szCs w:val="20"/>
                <w:u w:val="single"/>
              </w:rPr>
            </w:pPr>
            <w:r>
              <w:rPr>
                <w:bCs/>
                <w:iCs/>
                <w:sz w:val="20"/>
                <w:szCs w:val="20"/>
              </w:rPr>
              <w:t>No data w</w:t>
            </w:r>
            <w:r w:rsidR="005E5A7E">
              <w:rPr>
                <w:bCs/>
                <w:iCs/>
                <w:sz w:val="20"/>
                <w:szCs w:val="20"/>
              </w:rPr>
              <w:t>as</w:t>
            </w:r>
            <w:r>
              <w:rPr>
                <w:bCs/>
                <w:iCs/>
                <w:sz w:val="20"/>
                <w:szCs w:val="20"/>
              </w:rPr>
              <w:t xml:space="preserve"> produced by the World Bank due to limited stakeholder engagement in 2020. The ADB received supportive feedback from their workshops but </w:t>
            </w:r>
            <w:r w:rsidR="007470D0">
              <w:rPr>
                <w:bCs/>
                <w:iCs/>
                <w:sz w:val="20"/>
                <w:szCs w:val="20"/>
              </w:rPr>
              <w:t xml:space="preserve">partners did not explicitly state their intention to use lessons learned to improve CCUS activities. </w:t>
            </w:r>
          </w:p>
          <w:p w14:paraId="53DD4195" w14:textId="77777777" w:rsidR="00306B0F" w:rsidRPr="00FA26DB" w:rsidRDefault="00306B0F" w:rsidP="00D452D2">
            <w:pPr>
              <w:contextualSpacing/>
              <w:rPr>
                <w:bCs/>
                <w:iCs/>
                <w:sz w:val="20"/>
                <w:szCs w:val="20"/>
              </w:rPr>
            </w:pPr>
          </w:p>
        </w:tc>
      </w:tr>
      <w:tr w:rsidR="00306B0F" w:rsidRPr="00E548EA" w14:paraId="6283A4FD" w14:textId="77777777" w:rsidTr="00D452D2">
        <w:tc>
          <w:tcPr>
            <w:tcW w:w="1564" w:type="dxa"/>
            <w:tcBorders>
              <w:top w:val="single" w:sz="4" w:space="0" w:color="auto"/>
              <w:left w:val="single" w:sz="4" w:space="0" w:color="auto"/>
              <w:bottom w:val="single" w:sz="4" w:space="0" w:color="auto"/>
              <w:right w:val="single" w:sz="4" w:space="0" w:color="auto"/>
            </w:tcBorders>
          </w:tcPr>
          <w:p w14:paraId="641F5271" w14:textId="77777777" w:rsidR="00306B0F" w:rsidRPr="00E548EA" w:rsidRDefault="00306B0F" w:rsidP="00D452D2">
            <w:pPr>
              <w:rPr>
                <w:bCs/>
                <w:sz w:val="20"/>
                <w:szCs w:val="22"/>
              </w:rPr>
            </w:pPr>
            <w:r>
              <w:rPr>
                <w:bCs/>
                <w:sz w:val="20"/>
                <w:szCs w:val="22"/>
              </w:rPr>
              <w:t xml:space="preserve">2.2 - </w:t>
            </w:r>
            <w:r w:rsidRPr="00403348">
              <w:rPr>
                <w:bCs/>
                <w:sz w:val="20"/>
                <w:szCs w:val="22"/>
              </w:rPr>
              <w:t>Raised awareness of government stakeholders on approaches to decarbonise natural gas.</w:t>
            </w:r>
          </w:p>
        </w:tc>
        <w:tc>
          <w:tcPr>
            <w:tcW w:w="2977" w:type="dxa"/>
            <w:tcBorders>
              <w:top w:val="single" w:sz="4" w:space="0" w:color="auto"/>
              <w:left w:val="single" w:sz="4" w:space="0" w:color="auto"/>
              <w:bottom w:val="single" w:sz="4" w:space="0" w:color="auto"/>
              <w:right w:val="single" w:sz="4" w:space="0" w:color="auto"/>
            </w:tcBorders>
          </w:tcPr>
          <w:p w14:paraId="20AA92F8" w14:textId="77777777" w:rsidR="00306B0F" w:rsidRPr="00CA5AAE" w:rsidRDefault="00306B0F" w:rsidP="00D452D2">
            <w:pPr>
              <w:rPr>
                <w:sz w:val="20"/>
                <w:szCs w:val="22"/>
              </w:rPr>
            </w:pPr>
            <w:r w:rsidRPr="006164D0">
              <w:rPr>
                <w:sz w:val="20"/>
                <w:szCs w:val="22"/>
              </w:rPr>
              <w:t>Number of stakeholders stating raised awareness of on approaches to decarbonise natural gas from programme activities.</w:t>
            </w:r>
          </w:p>
        </w:tc>
        <w:tc>
          <w:tcPr>
            <w:tcW w:w="4810" w:type="dxa"/>
            <w:tcBorders>
              <w:top w:val="single" w:sz="4" w:space="0" w:color="auto"/>
              <w:left w:val="single" w:sz="4" w:space="0" w:color="auto"/>
              <w:bottom w:val="single" w:sz="4" w:space="0" w:color="auto"/>
              <w:right w:val="single" w:sz="4" w:space="0" w:color="auto"/>
            </w:tcBorders>
          </w:tcPr>
          <w:p w14:paraId="4AD4E65F" w14:textId="77777777" w:rsidR="00306B0F" w:rsidRDefault="00306B0F" w:rsidP="00D452D2">
            <w:pPr>
              <w:rPr>
                <w:b/>
                <w:iCs/>
                <w:sz w:val="20"/>
                <w:szCs w:val="20"/>
              </w:rPr>
            </w:pPr>
            <w:r>
              <w:rPr>
                <w:b/>
                <w:iCs/>
                <w:sz w:val="20"/>
                <w:szCs w:val="20"/>
              </w:rPr>
              <w:t>Output substantially did not meet expectation</w:t>
            </w:r>
            <w:r w:rsidRPr="009F1BF3" w:rsidDel="006135F8">
              <w:rPr>
                <w:b/>
                <w:iCs/>
                <w:sz w:val="20"/>
                <w:szCs w:val="20"/>
              </w:rPr>
              <w:t xml:space="preserve"> </w:t>
            </w:r>
          </w:p>
          <w:p w14:paraId="64969FC7" w14:textId="77777777" w:rsidR="00306B0F" w:rsidRDefault="00306B0F" w:rsidP="00D452D2">
            <w:pPr>
              <w:rPr>
                <w:bCs/>
                <w:iCs/>
                <w:sz w:val="20"/>
                <w:szCs w:val="20"/>
              </w:rPr>
            </w:pPr>
          </w:p>
          <w:p w14:paraId="017C8A43" w14:textId="0629B7B4" w:rsidR="00306B0F" w:rsidRPr="00A841F5" w:rsidRDefault="00306B0F" w:rsidP="00D452D2">
            <w:pPr>
              <w:rPr>
                <w:b/>
                <w:iCs/>
                <w:sz w:val="20"/>
                <w:szCs w:val="20"/>
              </w:rPr>
            </w:pPr>
            <w:r>
              <w:rPr>
                <w:bCs/>
                <w:iCs/>
                <w:sz w:val="20"/>
                <w:szCs w:val="20"/>
              </w:rPr>
              <w:t xml:space="preserve">Preliminary findings from the global decarbonising natural gas study were originally scheduled for May 2020 but were delayed by nearly one year. </w:t>
            </w:r>
          </w:p>
          <w:p w14:paraId="21D0CE36" w14:textId="77777777" w:rsidR="00306B0F" w:rsidRPr="00E548EA" w:rsidRDefault="00306B0F" w:rsidP="00D452D2">
            <w:pPr>
              <w:rPr>
                <w:bCs/>
                <w:sz w:val="20"/>
                <w:szCs w:val="22"/>
              </w:rPr>
            </w:pPr>
          </w:p>
        </w:tc>
      </w:tr>
    </w:tbl>
    <w:p w14:paraId="6E0B7F24" w14:textId="77777777" w:rsidR="00306B0F" w:rsidRPr="00A849A1" w:rsidRDefault="00306B0F" w:rsidP="00306B0F">
      <w:pPr>
        <w:jc w:val="both"/>
        <w:rPr>
          <w:rFonts w:cs="Arial"/>
          <w:b/>
          <w:bCs/>
          <w:sz w:val="22"/>
          <w:szCs w:val="22"/>
        </w:rPr>
      </w:pPr>
      <w:r w:rsidRPr="00A849A1">
        <w:rPr>
          <w:rFonts w:cs="Arial"/>
          <w:b/>
          <w:bCs/>
          <w:sz w:val="22"/>
          <w:szCs w:val="22"/>
        </w:rPr>
        <w:t xml:space="preserve">Briefly describe the output and provide supporting narrative for the score. </w:t>
      </w:r>
    </w:p>
    <w:p w14:paraId="4A1979E5" w14:textId="77777777" w:rsidR="00306B0F" w:rsidRPr="00A849A1" w:rsidRDefault="00306B0F" w:rsidP="00306B0F">
      <w:pPr>
        <w:jc w:val="both"/>
        <w:rPr>
          <w:rFonts w:cs="Arial"/>
          <w:b/>
          <w:bCs/>
          <w:sz w:val="22"/>
          <w:szCs w:val="22"/>
        </w:rPr>
      </w:pPr>
    </w:p>
    <w:p w14:paraId="4E661CBC" w14:textId="09791776" w:rsidR="00306B0F" w:rsidRDefault="00306B0F" w:rsidP="00306B0F">
      <w:pPr>
        <w:jc w:val="both"/>
        <w:rPr>
          <w:rFonts w:cs="Arial"/>
          <w:bCs/>
          <w:sz w:val="22"/>
          <w:szCs w:val="22"/>
        </w:rPr>
      </w:pPr>
      <w:r w:rsidRPr="00A849A1">
        <w:rPr>
          <w:rFonts w:cs="Arial"/>
          <w:bCs/>
          <w:sz w:val="22"/>
          <w:szCs w:val="22"/>
        </w:rPr>
        <w:t>In previous years, both delivery partners consistently scored well on capacity building activities and regularly achieved ‘exceeding’. Due to the COVID19 pandemic, in-person capacity building events were not feasible</w:t>
      </w:r>
      <w:r>
        <w:rPr>
          <w:rFonts w:cs="Arial"/>
          <w:bCs/>
          <w:sz w:val="22"/>
          <w:szCs w:val="22"/>
        </w:rPr>
        <w:t xml:space="preserve"> through most of</w:t>
      </w:r>
      <w:r w:rsidRPr="00A849A1">
        <w:rPr>
          <w:rFonts w:cs="Arial"/>
          <w:bCs/>
          <w:sz w:val="22"/>
          <w:szCs w:val="22"/>
        </w:rPr>
        <w:t xml:space="preserve"> 2020</w:t>
      </w:r>
      <w:r>
        <w:rPr>
          <w:rFonts w:cs="Arial"/>
          <w:bCs/>
          <w:sz w:val="22"/>
          <w:szCs w:val="22"/>
        </w:rPr>
        <w:t xml:space="preserve"> but the following events and webinars were held virtually. Participant feedback data from the ADB shows that the right stakeholders were targeted, with strong attendance from industry actors in developing countries.</w:t>
      </w:r>
    </w:p>
    <w:p w14:paraId="31818D72" w14:textId="77777777" w:rsidR="00306B0F" w:rsidRPr="00A849A1" w:rsidRDefault="00306B0F" w:rsidP="00306B0F">
      <w:pPr>
        <w:jc w:val="both"/>
        <w:rPr>
          <w:rFonts w:cs="Arial"/>
          <w:bCs/>
          <w:sz w:val="22"/>
          <w:szCs w:val="22"/>
        </w:rPr>
      </w:pPr>
    </w:p>
    <w:p w14:paraId="521C2A5A" w14:textId="45D83AD8" w:rsidR="00306B0F" w:rsidRDefault="00306B0F" w:rsidP="00306B0F">
      <w:pPr>
        <w:pStyle w:val="ListParagraph"/>
        <w:numPr>
          <w:ilvl w:val="0"/>
          <w:numId w:val="5"/>
        </w:numPr>
        <w:jc w:val="both"/>
        <w:rPr>
          <w:rFonts w:cs="Arial"/>
          <w:bCs/>
          <w:sz w:val="22"/>
          <w:szCs w:val="22"/>
        </w:rPr>
      </w:pPr>
      <w:r>
        <w:rPr>
          <w:rFonts w:cs="Arial"/>
          <w:bCs/>
          <w:sz w:val="22"/>
          <w:szCs w:val="22"/>
        </w:rPr>
        <w:t xml:space="preserve">The World Bank presented an overview of the CCUS Programme at the Saudi Arabia CCUS conference held in Riyadh in February 2020. </w:t>
      </w:r>
    </w:p>
    <w:p w14:paraId="1D9193AB" w14:textId="77777777" w:rsidR="00306B0F" w:rsidRPr="00A849A1" w:rsidRDefault="00306B0F" w:rsidP="00306B0F">
      <w:pPr>
        <w:pStyle w:val="ListParagraph"/>
        <w:numPr>
          <w:ilvl w:val="0"/>
          <w:numId w:val="5"/>
        </w:numPr>
        <w:jc w:val="both"/>
        <w:rPr>
          <w:rFonts w:cs="Arial"/>
          <w:bCs/>
          <w:sz w:val="22"/>
          <w:szCs w:val="22"/>
        </w:rPr>
      </w:pPr>
      <w:r>
        <w:rPr>
          <w:rFonts w:cs="Arial"/>
          <w:bCs/>
          <w:sz w:val="22"/>
          <w:szCs w:val="22"/>
        </w:rPr>
        <w:lastRenderedPageBreak/>
        <w:t xml:space="preserve">Led by the ADB with the World Bank presenting: </w:t>
      </w:r>
      <w:r w:rsidRPr="00A849A1">
        <w:rPr>
          <w:rFonts w:cs="Arial"/>
          <w:bCs/>
          <w:sz w:val="22"/>
          <w:szCs w:val="22"/>
        </w:rPr>
        <w:t>CCUS deep dive workshop at the Asia Clean Energy Forum</w:t>
      </w:r>
      <w:r>
        <w:rPr>
          <w:rFonts w:cs="Arial"/>
          <w:bCs/>
          <w:sz w:val="22"/>
          <w:szCs w:val="22"/>
        </w:rPr>
        <w:t xml:space="preserve"> in June 2020</w:t>
      </w:r>
      <w:r w:rsidRPr="00A849A1">
        <w:rPr>
          <w:rFonts w:cs="Arial"/>
          <w:bCs/>
          <w:sz w:val="22"/>
          <w:szCs w:val="22"/>
        </w:rPr>
        <w:t xml:space="preserve"> </w:t>
      </w:r>
      <w:r>
        <w:rPr>
          <w:rFonts w:cs="Arial"/>
          <w:bCs/>
          <w:sz w:val="22"/>
          <w:szCs w:val="22"/>
        </w:rPr>
        <w:t xml:space="preserve">to </w:t>
      </w:r>
      <w:r w:rsidRPr="00A849A1">
        <w:rPr>
          <w:rFonts w:cs="Arial"/>
          <w:bCs/>
          <w:sz w:val="22"/>
          <w:szCs w:val="22"/>
        </w:rPr>
        <w:t>generate awareness</w:t>
      </w:r>
      <w:r>
        <w:rPr>
          <w:rFonts w:cs="Arial"/>
          <w:bCs/>
          <w:sz w:val="22"/>
          <w:szCs w:val="22"/>
        </w:rPr>
        <w:t xml:space="preserve"> of</w:t>
      </w:r>
      <w:r w:rsidRPr="00A849A1">
        <w:rPr>
          <w:rFonts w:cs="Arial"/>
          <w:bCs/>
          <w:sz w:val="22"/>
          <w:szCs w:val="22"/>
        </w:rPr>
        <w:t xml:space="preserve"> CCUS technology amongst the stakeholders of Asia</w:t>
      </w:r>
      <w:r>
        <w:rPr>
          <w:rFonts w:cs="Arial"/>
          <w:bCs/>
          <w:sz w:val="22"/>
          <w:szCs w:val="22"/>
        </w:rPr>
        <w:t xml:space="preserve"> (the World Bank presented) - 139 attendees. Participant feedback forms found that 93% of responders found were ‘satisfied’ or ‘very satisfied’ by the session.</w:t>
      </w:r>
    </w:p>
    <w:p w14:paraId="74DAB9D8" w14:textId="77777777" w:rsidR="00306B0F" w:rsidRDefault="00306B0F" w:rsidP="00306B0F">
      <w:pPr>
        <w:pStyle w:val="ListParagraph"/>
        <w:numPr>
          <w:ilvl w:val="0"/>
          <w:numId w:val="5"/>
        </w:numPr>
        <w:jc w:val="both"/>
        <w:rPr>
          <w:rFonts w:cs="Arial"/>
          <w:bCs/>
          <w:sz w:val="22"/>
          <w:szCs w:val="22"/>
        </w:rPr>
      </w:pPr>
      <w:r>
        <w:rPr>
          <w:rFonts w:cs="Arial"/>
          <w:bCs/>
          <w:sz w:val="22"/>
          <w:szCs w:val="22"/>
        </w:rPr>
        <w:t xml:space="preserve">Led by the ADB with the World Bank presenting: </w:t>
      </w:r>
      <w:r w:rsidRPr="00A849A1">
        <w:rPr>
          <w:rFonts w:cs="Arial"/>
          <w:bCs/>
          <w:sz w:val="22"/>
          <w:szCs w:val="22"/>
        </w:rPr>
        <w:t xml:space="preserve">CCUS side event facilitated by the Clean Energy Ministerial at the Asia Clean Energy Forum </w:t>
      </w:r>
      <w:r>
        <w:rPr>
          <w:rFonts w:cs="Arial"/>
          <w:bCs/>
          <w:sz w:val="22"/>
          <w:szCs w:val="22"/>
        </w:rPr>
        <w:t>in June 2020 d</w:t>
      </w:r>
      <w:r w:rsidRPr="00A849A1">
        <w:rPr>
          <w:rFonts w:cs="Arial"/>
          <w:bCs/>
          <w:sz w:val="22"/>
          <w:szCs w:val="22"/>
        </w:rPr>
        <w:t>iscusse</w:t>
      </w:r>
      <w:r>
        <w:rPr>
          <w:rFonts w:cs="Arial"/>
          <w:bCs/>
          <w:sz w:val="22"/>
          <w:szCs w:val="22"/>
        </w:rPr>
        <w:t>d</w:t>
      </w:r>
      <w:r w:rsidRPr="00A849A1">
        <w:rPr>
          <w:rFonts w:cs="Arial"/>
          <w:bCs/>
          <w:sz w:val="22"/>
          <w:szCs w:val="22"/>
        </w:rPr>
        <w:t xml:space="preserve"> how to finance and catalyse low carbon development through CCUS</w:t>
      </w:r>
      <w:r>
        <w:rPr>
          <w:rFonts w:cs="Arial"/>
          <w:bCs/>
          <w:sz w:val="22"/>
          <w:szCs w:val="22"/>
        </w:rPr>
        <w:t xml:space="preserve"> - 350 attendees</w:t>
      </w:r>
      <w:r w:rsidRPr="00A849A1">
        <w:rPr>
          <w:rFonts w:cs="Arial"/>
          <w:bCs/>
          <w:sz w:val="22"/>
          <w:szCs w:val="22"/>
        </w:rPr>
        <w:t>.</w:t>
      </w:r>
    </w:p>
    <w:p w14:paraId="0618928D" w14:textId="6E9AFC91" w:rsidR="00306B0F" w:rsidRPr="00CA0780" w:rsidRDefault="00306B0F" w:rsidP="00306B0F">
      <w:pPr>
        <w:pStyle w:val="ListParagraph"/>
        <w:numPr>
          <w:ilvl w:val="0"/>
          <w:numId w:val="5"/>
        </w:numPr>
        <w:jc w:val="both"/>
        <w:rPr>
          <w:rFonts w:cs="Arial"/>
          <w:bCs/>
          <w:sz w:val="22"/>
          <w:szCs w:val="22"/>
        </w:rPr>
      </w:pPr>
      <w:r w:rsidRPr="00CA0780">
        <w:rPr>
          <w:rFonts w:cs="Arial"/>
          <w:bCs/>
          <w:sz w:val="22"/>
          <w:szCs w:val="22"/>
        </w:rPr>
        <w:t>The World Bank and A</w:t>
      </w:r>
      <w:r>
        <w:rPr>
          <w:rFonts w:cs="Arial"/>
          <w:bCs/>
          <w:sz w:val="22"/>
          <w:szCs w:val="22"/>
        </w:rPr>
        <w:t>DB</w:t>
      </w:r>
      <w:r w:rsidRPr="00CA0780">
        <w:rPr>
          <w:rFonts w:cs="Arial"/>
          <w:bCs/>
          <w:sz w:val="22"/>
          <w:szCs w:val="22"/>
        </w:rPr>
        <w:t xml:space="preserve"> both later participated in the launch event for the Key Financing Principles which was held as part of the Clean Energy Ministerial event hosted by Saudi Arabia in September 2020.</w:t>
      </w:r>
    </w:p>
    <w:p w14:paraId="77BAE118" w14:textId="55001A6E" w:rsidR="00306B0F" w:rsidRPr="00A849A1" w:rsidRDefault="00306B0F" w:rsidP="00306B0F">
      <w:pPr>
        <w:pStyle w:val="ListParagraph"/>
        <w:numPr>
          <w:ilvl w:val="0"/>
          <w:numId w:val="5"/>
        </w:numPr>
        <w:jc w:val="both"/>
        <w:rPr>
          <w:rFonts w:cs="Arial"/>
          <w:bCs/>
          <w:sz w:val="22"/>
          <w:szCs w:val="22"/>
        </w:rPr>
      </w:pPr>
      <w:r>
        <w:rPr>
          <w:rFonts w:cs="Arial"/>
          <w:bCs/>
          <w:sz w:val="22"/>
          <w:szCs w:val="22"/>
        </w:rPr>
        <w:t xml:space="preserve">Led by the ADB: </w:t>
      </w:r>
      <w:r w:rsidRPr="00022EF3">
        <w:rPr>
          <w:bCs/>
          <w:iCs/>
          <w:sz w:val="22"/>
          <w:szCs w:val="22"/>
        </w:rPr>
        <w:t>CO</w:t>
      </w:r>
      <w:r w:rsidRPr="00022EF3">
        <w:rPr>
          <w:bCs/>
          <w:iCs/>
          <w:sz w:val="22"/>
          <w:szCs w:val="22"/>
          <w:vertAlign w:val="subscript"/>
        </w:rPr>
        <w:t>2</w:t>
      </w:r>
      <w:r w:rsidRPr="00A849A1">
        <w:rPr>
          <w:rFonts w:cs="Arial"/>
          <w:bCs/>
          <w:sz w:val="22"/>
          <w:szCs w:val="22"/>
        </w:rPr>
        <w:t xml:space="preserve"> mineralisation webinar </w:t>
      </w:r>
      <w:r>
        <w:rPr>
          <w:rFonts w:cs="Arial"/>
          <w:bCs/>
          <w:sz w:val="22"/>
          <w:szCs w:val="22"/>
        </w:rPr>
        <w:t xml:space="preserve">in October 2020 </w:t>
      </w:r>
      <w:r w:rsidRPr="00A849A1">
        <w:rPr>
          <w:rFonts w:cs="Arial"/>
          <w:bCs/>
          <w:sz w:val="22"/>
          <w:szCs w:val="22"/>
        </w:rPr>
        <w:t xml:space="preserve">to provide better insights into the technical and regulatory aspects of the </w:t>
      </w:r>
      <w:r w:rsidRPr="00022EF3">
        <w:rPr>
          <w:bCs/>
          <w:iCs/>
          <w:sz w:val="22"/>
          <w:szCs w:val="22"/>
        </w:rPr>
        <w:t>CO</w:t>
      </w:r>
      <w:r w:rsidRPr="00022EF3">
        <w:rPr>
          <w:bCs/>
          <w:iCs/>
          <w:sz w:val="22"/>
          <w:szCs w:val="22"/>
          <w:vertAlign w:val="subscript"/>
        </w:rPr>
        <w:t>2</w:t>
      </w:r>
      <w:r w:rsidRPr="00A849A1">
        <w:rPr>
          <w:rFonts w:cs="Arial"/>
          <w:bCs/>
          <w:sz w:val="22"/>
          <w:szCs w:val="22"/>
        </w:rPr>
        <w:t xml:space="preserve"> mineralisation in Asia</w:t>
      </w:r>
      <w:r>
        <w:rPr>
          <w:rFonts w:cs="Arial"/>
          <w:bCs/>
          <w:sz w:val="22"/>
          <w:szCs w:val="22"/>
        </w:rPr>
        <w:t xml:space="preserve"> – 134 attendees</w:t>
      </w:r>
      <w:r w:rsidRPr="00A849A1">
        <w:rPr>
          <w:rFonts w:cs="Arial"/>
          <w:bCs/>
          <w:sz w:val="22"/>
          <w:szCs w:val="22"/>
        </w:rPr>
        <w:t>.</w:t>
      </w:r>
      <w:r>
        <w:rPr>
          <w:rFonts w:cs="Arial"/>
          <w:bCs/>
          <w:sz w:val="22"/>
          <w:szCs w:val="22"/>
        </w:rPr>
        <w:t xml:space="preserve"> 39 people filled in participant feedback forms. In answering the statement ‘as a result of the session, I gained new knowledge applicable to my work’ out of 1-5 (with 5 being the highest), the average score was 4.03.</w:t>
      </w:r>
    </w:p>
    <w:p w14:paraId="575A468F" w14:textId="77777777" w:rsidR="00306B0F" w:rsidRPr="00A849A1" w:rsidRDefault="00306B0F" w:rsidP="00306B0F">
      <w:pPr>
        <w:pStyle w:val="ListParagraph"/>
        <w:numPr>
          <w:ilvl w:val="0"/>
          <w:numId w:val="5"/>
        </w:numPr>
        <w:jc w:val="both"/>
        <w:rPr>
          <w:rFonts w:cs="Arial"/>
          <w:bCs/>
          <w:sz w:val="22"/>
          <w:szCs w:val="22"/>
        </w:rPr>
      </w:pPr>
      <w:r>
        <w:rPr>
          <w:rFonts w:cs="Arial"/>
          <w:bCs/>
          <w:sz w:val="22"/>
          <w:szCs w:val="22"/>
        </w:rPr>
        <w:t xml:space="preserve">Led by the ADB: </w:t>
      </w:r>
      <w:r w:rsidRPr="00A849A1">
        <w:rPr>
          <w:rFonts w:cs="Arial"/>
          <w:bCs/>
          <w:sz w:val="22"/>
          <w:szCs w:val="22"/>
        </w:rPr>
        <w:t xml:space="preserve">CCUS game changers webinar </w:t>
      </w:r>
      <w:r>
        <w:rPr>
          <w:rFonts w:cs="Arial"/>
          <w:bCs/>
          <w:sz w:val="22"/>
          <w:szCs w:val="22"/>
        </w:rPr>
        <w:t xml:space="preserve">in December 2020 </w:t>
      </w:r>
      <w:r w:rsidRPr="00A849A1">
        <w:rPr>
          <w:rFonts w:cs="Arial"/>
          <w:bCs/>
          <w:sz w:val="22"/>
          <w:szCs w:val="22"/>
        </w:rPr>
        <w:t>to introduce novel CCUS technologies and concepts and build connection between technology providers and stakeholders in Asia</w:t>
      </w:r>
      <w:r>
        <w:rPr>
          <w:rFonts w:cs="Arial"/>
          <w:bCs/>
          <w:sz w:val="22"/>
          <w:szCs w:val="22"/>
        </w:rPr>
        <w:t xml:space="preserve"> – 132 attendees</w:t>
      </w:r>
      <w:r w:rsidRPr="00A849A1">
        <w:rPr>
          <w:rFonts w:cs="Arial"/>
          <w:bCs/>
          <w:sz w:val="22"/>
          <w:szCs w:val="22"/>
        </w:rPr>
        <w:t>.</w:t>
      </w:r>
      <w:r>
        <w:rPr>
          <w:rFonts w:cs="Arial"/>
          <w:bCs/>
          <w:sz w:val="22"/>
          <w:szCs w:val="22"/>
        </w:rPr>
        <w:t xml:space="preserve"> 89 people filled out a participant feedback form. 93% of people were ‘satisfied’ or ‘very satisfied’ and 99% of people responded that their awareness of innovative technologies was increased.</w:t>
      </w:r>
    </w:p>
    <w:p w14:paraId="05E83354" w14:textId="04FA1DAF" w:rsidR="00306B0F" w:rsidRDefault="00306B0F" w:rsidP="00306B0F">
      <w:pPr>
        <w:jc w:val="both"/>
        <w:rPr>
          <w:bCs/>
          <w:iCs/>
          <w:sz w:val="22"/>
          <w:szCs w:val="22"/>
        </w:rPr>
      </w:pPr>
      <w:r>
        <w:rPr>
          <w:bCs/>
          <w:iCs/>
          <w:sz w:val="22"/>
          <w:szCs w:val="22"/>
        </w:rPr>
        <w:t>Vivid Economics were appointed as lead consultants for the Global Decarbonising Natural Gas Study in 2020</w:t>
      </w:r>
      <w:r w:rsidRPr="003A238A">
        <w:rPr>
          <w:bCs/>
          <w:iCs/>
          <w:sz w:val="22"/>
          <w:szCs w:val="22"/>
        </w:rPr>
        <w:t xml:space="preserve"> </w:t>
      </w:r>
      <w:r>
        <w:rPr>
          <w:bCs/>
          <w:iCs/>
          <w:sz w:val="22"/>
          <w:szCs w:val="22"/>
        </w:rPr>
        <w:t xml:space="preserve">and work commenced on a case-study in South Africa. However, the study was delayed in 2020 with delivery partners citing COVID-19 impacts as the reason. </w:t>
      </w:r>
    </w:p>
    <w:p w14:paraId="54F29221" w14:textId="77777777" w:rsidR="00306B0F" w:rsidRDefault="00306B0F" w:rsidP="00306B0F">
      <w:pPr>
        <w:jc w:val="both"/>
        <w:rPr>
          <w:rFonts w:cs="Arial"/>
          <w:bCs/>
          <w:sz w:val="22"/>
          <w:szCs w:val="22"/>
        </w:rPr>
      </w:pPr>
    </w:p>
    <w:p w14:paraId="78DCEB67" w14:textId="77777777" w:rsidR="00306B0F" w:rsidRPr="00A849A1" w:rsidRDefault="00306B0F" w:rsidP="00306B0F">
      <w:pPr>
        <w:jc w:val="both"/>
        <w:rPr>
          <w:rFonts w:cs="Arial"/>
          <w:bCs/>
          <w:sz w:val="22"/>
          <w:szCs w:val="22"/>
        </w:rPr>
      </w:pPr>
      <w:r>
        <w:rPr>
          <w:rFonts w:cs="Arial"/>
          <w:bCs/>
          <w:sz w:val="22"/>
          <w:szCs w:val="22"/>
        </w:rPr>
        <w:t xml:space="preserve">Quantitative milestones were not used in 2020 as this was intended to be a testing year which would inform future milestones. </w:t>
      </w:r>
    </w:p>
    <w:p w14:paraId="4E3FD271" w14:textId="77777777" w:rsidR="00306B0F" w:rsidRPr="00A849A1" w:rsidRDefault="00306B0F" w:rsidP="00306B0F">
      <w:pPr>
        <w:jc w:val="both"/>
        <w:rPr>
          <w:rFonts w:cs="Arial"/>
          <w:bCs/>
          <w:sz w:val="22"/>
          <w:szCs w:val="22"/>
          <w:highlight w:val="yellow"/>
        </w:rPr>
      </w:pPr>
    </w:p>
    <w:p w14:paraId="017914FE" w14:textId="77777777" w:rsidR="00306B0F" w:rsidRPr="003E7DBB" w:rsidRDefault="00306B0F" w:rsidP="00306B0F">
      <w:pPr>
        <w:rPr>
          <w:rFonts w:cs="Arial"/>
          <w:b/>
          <w:sz w:val="22"/>
          <w:szCs w:val="22"/>
        </w:rPr>
      </w:pPr>
      <w:r w:rsidRPr="003E7DBB">
        <w:rPr>
          <w:rFonts w:cs="Arial"/>
          <w:b/>
          <w:bCs/>
          <w:sz w:val="22"/>
          <w:szCs w:val="22"/>
        </w:rPr>
        <w:t>Assess the VfM of this output compared to the proposition in the Business Case, based on performance over the past year</w:t>
      </w:r>
      <w:r w:rsidRPr="003E7DBB">
        <w:rPr>
          <w:rFonts w:cs="Arial"/>
          <w:b/>
          <w:sz w:val="22"/>
          <w:szCs w:val="22"/>
        </w:rPr>
        <w:t xml:space="preserve"> </w:t>
      </w:r>
    </w:p>
    <w:p w14:paraId="12918B3C" w14:textId="77777777" w:rsidR="00306B0F" w:rsidRDefault="00306B0F" w:rsidP="00306B0F">
      <w:pPr>
        <w:rPr>
          <w:rFonts w:cs="Arial"/>
          <w:sz w:val="22"/>
          <w:szCs w:val="22"/>
        </w:rPr>
      </w:pPr>
    </w:p>
    <w:p w14:paraId="7497415A" w14:textId="222C7A9B" w:rsidR="00306B0F" w:rsidRPr="00C039B4" w:rsidRDefault="00117272" w:rsidP="00306B0F">
      <w:pPr>
        <w:spacing w:after="23"/>
        <w:rPr>
          <w:rFonts w:cs="Arial"/>
          <w:bCs/>
          <w:sz w:val="22"/>
          <w:szCs w:val="22"/>
        </w:rPr>
      </w:pPr>
      <w:r>
        <w:rPr>
          <w:rFonts w:cs="Arial"/>
          <w:sz w:val="22"/>
          <w:szCs w:val="22"/>
        </w:rPr>
        <w:t>T</w:t>
      </w:r>
      <w:r w:rsidR="00306B0F" w:rsidRPr="00C039B4">
        <w:rPr>
          <w:rFonts w:cs="Arial"/>
          <w:sz w:val="22"/>
          <w:szCs w:val="22"/>
        </w:rPr>
        <w:t>he ADB’s efforts to convene stakeholders virtually (e.g</w:t>
      </w:r>
      <w:r w:rsidR="00306B0F">
        <w:rPr>
          <w:rFonts w:cs="Arial"/>
          <w:sz w:val="22"/>
          <w:szCs w:val="22"/>
        </w:rPr>
        <w:t>.</w:t>
      </w:r>
      <w:r w:rsidR="00306B0F" w:rsidRPr="00C039B4">
        <w:rPr>
          <w:rFonts w:cs="Arial"/>
          <w:sz w:val="22"/>
          <w:szCs w:val="22"/>
        </w:rPr>
        <w:t xml:space="preserve"> the </w:t>
      </w:r>
      <w:r w:rsidR="00306B0F">
        <w:rPr>
          <w:rFonts w:cs="Arial"/>
          <w:sz w:val="22"/>
          <w:szCs w:val="22"/>
        </w:rPr>
        <w:t xml:space="preserve">CCUS workshop at the </w:t>
      </w:r>
      <w:r w:rsidR="00306B0F" w:rsidRPr="00C039B4">
        <w:rPr>
          <w:rFonts w:cs="Arial"/>
          <w:sz w:val="22"/>
          <w:szCs w:val="22"/>
        </w:rPr>
        <w:t>Asia Clean Energy Forum</w:t>
      </w:r>
      <w:r w:rsidR="003F78C4">
        <w:rPr>
          <w:rFonts w:cs="Arial"/>
          <w:sz w:val="22"/>
          <w:szCs w:val="22"/>
        </w:rPr>
        <w:t xml:space="preserve"> in June 2020</w:t>
      </w:r>
      <w:r w:rsidR="00306B0F" w:rsidRPr="00C039B4">
        <w:rPr>
          <w:rFonts w:cs="Arial"/>
          <w:sz w:val="22"/>
          <w:szCs w:val="22"/>
        </w:rPr>
        <w:t>)</w:t>
      </w:r>
      <w:r>
        <w:rPr>
          <w:rFonts w:cs="Arial"/>
          <w:sz w:val="22"/>
          <w:szCs w:val="22"/>
        </w:rPr>
        <w:t xml:space="preserve"> was successful</w:t>
      </w:r>
      <w:r w:rsidR="00306B0F">
        <w:rPr>
          <w:rFonts w:cs="Arial"/>
          <w:sz w:val="22"/>
          <w:szCs w:val="22"/>
        </w:rPr>
        <w:t>, demonstrating that virtual-based capacity building and knowledge-sharing activities are possible.</w:t>
      </w:r>
      <w:r w:rsidR="00306B0F" w:rsidRPr="00C039B4">
        <w:rPr>
          <w:rFonts w:cs="Arial"/>
          <w:sz w:val="22"/>
          <w:szCs w:val="22"/>
        </w:rPr>
        <w:t xml:space="preserve"> </w:t>
      </w:r>
      <w:r w:rsidR="002E7876">
        <w:rPr>
          <w:rFonts w:cs="Arial"/>
          <w:sz w:val="22"/>
          <w:szCs w:val="22"/>
        </w:rPr>
        <w:t>However, o</w:t>
      </w:r>
      <w:r w:rsidR="003176FB">
        <w:rPr>
          <w:rFonts w:cs="Arial"/>
          <w:sz w:val="22"/>
          <w:szCs w:val="22"/>
        </w:rPr>
        <w:t>nly one event</w:t>
      </w:r>
      <w:r w:rsidR="00306B0F" w:rsidRPr="00C039B4">
        <w:rPr>
          <w:rFonts w:cs="Arial"/>
          <w:sz w:val="22"/>
          <w:szCs w:val="22"/>
        </w:rPr>
        <w:t xml:space="preserve"> </w:t>
      </w:r>
      <w:r w:rsidR="003176FB">
        <w:rPr>
          <w:rFonts w:cs="Arial"/>
          <w:sz w:val="22"/>
          <w:szCs w:val="22"/>
        </w:rPr>
        <w:t xml:space="preserve">shared lessons learnt in order to </w:t>
      </w:r>
      <w:r w:rsidR="00306B0F" w:rsidRPr="00C039B4">
        <w:rPr>
          <w:rFonts w:cs="Arial"/>
          <w:sz w:val="22"/>
          <w:szCs w:val="22"/>
        </w:rPr>
        <w:t>promote pilot projects moving into the implementation phase</w:t>
      </w:r>
      <w:r w:rsidR="003176FB">
        <w:rPr>
          <w:rFonts w:cs="Arial"/>
          <w:sz w:val="22"/>
          <w:szCs w:val="22"/>
        </w:rPr>
        <w:t xml:space="preserve">. </w:t>
      </w:r>
    </w:p>
    <w:p w14:paraId="69B3219D" w14:textId="77777777" w:rsidR="00306B0F" w:rsidRDefault="00306B0F" w:rsidP="00306B0F">
      <w:pPr>
        <w:rPr>
          <w:b/>
          <w:bCs/>
          <w:sz w:val="22"/>
          <w:szCs w:val="22"/>
        </w:rPr>
      </w:pPr>
    </w:p>
    <w:p w14:paraId="181D710F" w14:textId="77777777" w:rsidR="00306B0F" w:rsidRPr="00A849A1" w:rsidRDefault="00306B0F" w:rsidP="00306B0F">
      <w:pPr>
        <w:rPr>
          <w:rFonts w:cs="Arial"/>
          <w:sz w:val="22"/>
          <w:szCs w:val="22"/>
        </w:rPr>
      </w:pPr>
      <w:r w:rsidRPr="00A849A1">
        <w:rPr>
          <w:b/>
          <w:bCs/>
          <w:sz w:val="22"/>
          <w:szCs w:val="22"/>
        </w:rPr>
        <w:t xml:space="preserve">Describe any changes to this output, and any planned changes as a result of this review. </w:t>
      </w:r>
    </w:p>
    <w:p w14:paraId="3C870AF1" w14:textId="77777777" w:rsidR="00306B0F" w:rsidRPr="00A849A1" w:rsidRDefault="00306B0F" w:rsidP="00306B0F">
      <w:pPr>
        <w:rPr>
          <w:rFonts w:cs="Arial"/>
          <w:sz w:val="22"/>
          <w:szCs w:val="22"/>
        </w:rPr>
      </w:pPr>
    </w:p>
    <w:p w14:paraId="23BB85C3" w14:textId="2FCC8A55" w:rsidR="00306B0F" w:rsidRDefault="00306B0F" w:rsidP="00306B0F">
      <w:pPr>
        <w:rPr>
          <w:rFonts w:cs="Arial"/>
          <w:sz w:val="22"/>
          <w:szCs w:val="22"/>
        </w:rPr>
      </w:pPr>
      <w:r>
        <w:rPr>
          <w:rFonts w:cs="Arial"/>
          <w:sz w:val="22"/>
          <w:szCs w:val="22"/>
        </w:rPr>
        <w:t>In 2020, the</w:t>
      </w:r>
      <w:r w:rsidR="005C49DF">
        <w:rPr>
          <w:rFonts w:cs="Arial"/>
          <w:sz w:val="22"/>
          <w:szCs w:val="22"/>
        </w:rPr>
        <w:t xml:space="preserve"> above</w:t>
      </w:r>
      <w:r>
        <w:rPr>
          <w:rFonts w:cs="Arial"/>
          <w:sz w:val="22"/>
          <w:szCs w:val="22"/>
        </w:rPr>
        <w:t xml:space="preserve"> output indicators replaced previous indicators: </w:t>
      </w:r>
      <w:r w:rsidRPr="00A849A1">
        <w:rPr>
          <w:rFonts w:cs="Arial"/>
          <w:sz w:val="22"/>
          <w:szCs w:val="22"/>
        </w:rPr>
        <w:t xml:space="preserve">‘Number of well-attended workshops and events on CCUS focusing on demonstration and lesson learning (cumulative) (including government officials from the targeted countries)’ and ‘New joint-report published by the World Bank and the ADB on revising the case for CCUS in certain sectors’. </w:t>
      </w:r>
    </w:p>
    <w:p w14:paraId="6C0744E2" w14:textId="77777777" w:rsidR="00306B0F" w:rsidRDefault="00306B0F" w:rsidP="00306B0F">
      <w:pPr>
        <w:rPr>
          <w:rFonts w:cs="Arial"/>
          <w:sz w:val="22"/>
          <w:szCs w:val="22"/>
        </w:rPr>
      </w:pPr>
    </w:p>
    <w:p w14:paraId="6DEA7109" w14:textId="11D78394" w:rsidR="00306B0F" w:rsidRPr="00A849A1" w:rsidRDefault="00306B0F" w:rsidP="00306B0F">
      <w:pPr>
        <w:rPr>
          <w:rFonts w:cs="Arial"/>
          <w:sz w:val="22"/>
          <w:szCs w:val="22"/>
        </w:rPr>
      </w:pPr>
      <w:r>
        <w:rPr>
          <w:rFonts w:cs="Arial"/>
          <w:sz w:val="22"/>
          <w:szCs w:val="22"/>
        </w:rPr>
        <w:t xml:space="preserve">BEIS will set quantitative milestones for 2021 that also capture data from the Global Decarbonising Natural Gas workshop (which will now share findings in 2021 as noted above).   </w:t>
      </w:r>
    </w:p>
    <w:p w14:paraId="55FF4581" w14:textId="77777777" w:rsidR="00306B0F" w:rsidRPr="00A849A1" w:rsidRDefault="00306B0F" w:rsidP="00306B0F">
      <w:pPr>
        <w:rPr>
          <w:rFonts w:cs="Arial"/>
          <w:sz w:val="22"/>
          <w:szCs w:val="22"/>
        </w:rPr>
      </w:pPr>
    </w:p>
    <w:p w14:paraId="3D1A3A9C" w14:textId="77777777" w:rsidR="00306B0F" w:rsidRPr="00A849A1" w:rsidRDefault="00306B0F" w:rsidP="00306B0F">
      <w:pPr>
        <w:jc w:val="both"/>
        <w:rPr>
          <w:rFonts w:cs="Arial"/>
          <w:bCs/>
          <w:sz w:val="22"/>
          <w:szCs w:val="22"/>
        </w:rPr>
      </w:pPr>
      <w:r w:rsidRPr="00A849A1">
        <w:rPr>
          <w:rFonts w:cs="Arial"/>
          <w:b/>
          <w:bCs/>
          <w:sz w:val="22"/>
          <w:szCs w:val="22"/>
        </w:rPr>
        <w:t xml:space="preserve">Progress on recommendations from the previous AR, lessons learned this year and recommendations for the year ahead </w:t>
      </w:r>
    </w:p>
    <w:p w14:paraId="324736DC" w14:textId="77777777" w:rsidR="00306B0F" w:rsidRPr="00A849A1" w:rsidRDefault="00306B0F" w:rsidP="00306B0F">
      <w:pPr>
        <w:rPr>
          <w:sz w:val="22"/>
          <w:szCs w:val="22"/>
        </w:rPr>
      </w:pPr>
    </w:p>
    <w:p w14:paraId="3CF4EC69" w14:textId="00AFFC3B" w:rsidR="00D61DE8" w:rsidRPr="00D61DE8" w:rsidRDefault="00D61DE8" w:rsidP="00D61DE8">
      <w:pPr>
        <w:tabs>
          <w:tab w:val="left" w:pos="6915"/>
          <w:tab w:val="left" w:pos="9495"/>
        </w:tabs>
        <w:rPr>
          <w:bCs/>
          <w:sz w:val="22"/>
          <w:szCs w:val="22"/>
        </w:rPr>
      </w:pPr>
      <w:r w:rsidRPr="00D61DE8">
        <w:rPr>
          <w:bCs/>
          <w:sz w:val="22"/>
          <w:szCs w:val="22"/>
        </w:rPr>
        <w:t>The World Bank and the ADB to engage at official and senior levels with target country governments to ensure that approved activities that support policies, regulations and/or legislative frameworks and pilot projects in target countries commence (by 31</w:t>
      </w:r>
      <w:r w:rsidRPr="00D61DE8">
        <w:rPr>
          <w:bCs/>
          <w:sz w:val="22"/>
          <w:szCs w:val="22"/>
          <w:vertAlign w:val="superscript"/>
        </w:rPr>
        <w:t>st</w:t>
      </w:r>
      <w:r w:rsidRPr="00D61DE8">
        <w:rPr>
          <w:bCs/>
          <w:sz w:val="22"/>
          <w:szCs w:val="22"/>
        </w:rPr>
        <w:t xml:space="preserve"> January 2022).</w:t>
      </w:r>
    </w:p>
    <w:p w14:paraId="12D44E0E" w14:textId="77777777" w:rsidR="00BA65C6" w:rsidRDefault="00BA65C6" w:rsidP="00306B0F">
      <w:pPr>
        <w:rPr>
          <w:sz w:val="20"/>
          <w:szCs w:val="22"/>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D819F4" w:rsidRPr="008A4154" w14:paraId="349612DD" w14:textId="77777777" w:rsidTr="00D452D2">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9F5901" w14:textId="77777777" w:rsidR="00306B0F" w:rsidRPr="008A4154" w:rsidRDefault="00306B0F" w:rsidP="00D452D2">
            <w:pPr>
              <w:rPr>
                <w:b/>
                <w:bCs/>
                <w:sz w:val="20"/>
                <w:szCs w:val="22"/>
              </w:rPr>
            </w:pPr>
            <w:r w:rsidRPr="008A4154">
              <w:rPr>
                <w:b/>
                <w:bCs/>
                <w:sz w:val="20"/>
                <w:szCs w:val="22"/>
              </w:rPr>
              <w:lastRenderedPageBreak/>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267652" w14:textId="77777777" w:rsidR="00306B0F" w:rsidRPr="008A4154" w:rsidRDefault="00306B0F" w:rsidP="00D452D2">
            <w:pPr>
              <w:rPr>
                <w:bCs/>
                <w:i/>
                <w:color w:val="FF0000"/>
                <w:sz w:val="20"/>
                <w:szCs w:val="22"/>
              </w:rPr>
            </w:pPr>
            <w:r w:rsidRPr="00BD3578">
              <w:rPr>
                <w:bCs/>
                <w:i/>
                <w:sz w:val="20"/>
                <w:szCs w:val="22"/>
              </w:rPr>
              <w:t>Increased understanding of regional geology and storage potential in developing countries.</w:t>
            </w:r>
          </w:p>
        </w:tc>
      </w:tr>
      <w:tr w:rsidR="004E79E8" w:rsidRPr="008A4154" w14:paraId="2C02396E" w14:textId="77777777" w:rsidTr="00D452D2">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5E7169" w14:textId="77777777" w:rsidR="00306B0F" w:rsidRPr="008A4154" w:rsidRDefault="00306B0F" w:rsidP="00D452D2">
            <w:pPr>
              <w:rPr>
                <w:bCs/>
                <w:sz w:val="20"/>
                <w:szCs w:val="22"/>
              </w:rPr>
            </w:pPr>
            <w:r w:rsidRPr="008A4154">
              <w:rPr>
                <w:bCs/>
                <w:sz w:val="20"/>
                <w:szCs w:val="22"/>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4E31D423" w14:textId="77777777" w:rsidR="00306B0F" w:rsidRPr="008A4154" w:rsidRDefault="00306B0F" w:rsidP="00D452D2">
            <w:pPr>
              <w:rPr>
                <w:sz w:val="20"/>
                <w:szCs w:val="22"/>
              </w:rPr>
            </w:pPr>
            <w:r>
              <w:rPr>
                <w:sz w:val="20"/>
                <w:szCs w:val="22"/>
              </w:rPr>
              <w:t>3</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A41A74" w14:textId="77777777" w:rsidR="00306B0F" w:rsidRPr="008A4154" w:rsidRDefault="00306B0F" w:rsidP="00D452D2">
            <w:pPr>
              <w:rPr>
                <w:sz w:val="20"/>
                <w:szCs w:val="22"/>
              </w:rPr>
            </w:pPr>
            <w:r w:rsidRPr="008A4154">
              <w:rPr>
                <w:bCs/>
                <w:sz w:val="20"/>
                <w:szCs w:val="22"/>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7A97C8E0" w14:textId="77777777" w:rsidR="00306B0F" w:rsidRPr="008A4154" w:rsidRDefault="00306B0F" w:rsidP="00D452D2">
            <w:pPr>
              <w:rPr>
                <w:b/>
                <w:bCs/>
                <w:i/>
                <w:color w:val="FF0000"/>
                <w:sz w:val="20"/>
                <w:szCs w:val="22"/>
              </w:rPr>
            </w:pPr>
            <w:r>
              <w:rPr>
                <w:b/>
                <w:bCs/>
                <w:i/>
                <w:color w:val="FF0000"/>
                <w:sz w:val="20"/>
                <w:szCs w:val="22"/>
              </w:rPr>
              <w:t>C</w:t>
            </w:r>
          </w:p>
        </w:tc>
      </w:tr>
      <w:tr w:rsidR="004E79E8" w:rsidRPr="008A4154" w14:paraId="6A204493" w14:textId="77777777" w:rsidTr="00D452D2">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61F4C5" w14:textId="77777777" w:rsidR="00306B0F" w:rsidRPr="008A4154" w:rsidRDefault="00306B0F" w:rsidP="00D452D2">
            <w:pPr>
              <w:rPr>
                <w:sz w:val="20"/>
                <w:szCs w:val="22"/>
              </w:rPr>
            </w:pPr>
            <w:r w:rsidRPr="008A4154">
              <w:rPr>
                <w:bCs/>
                <w:sz w:val="20"/>
                <w:szCs w:val="22"/>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04F8122C" w14:textId="77777777" w:rsidR="00306B0F" w:rsidRPr="008A4154" w:rsidRDefault="00306B0F" w:rsidP="00D452D2">
            <w:pPr>
              <w:rPr>
                <w:bCs/>
                <w:sz w:val="20"/>
                <w:szCs w:val="22"/>
              </w:rPr>
            </w:pPr>
            <w:r>
              <w:rPr>
                <w:bCs/>
                <w:sz w:val="20"/>
                <w:szCs w:val="22"/>
              </w:rPr>
              <w:t>10%</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DDC4FA" w14:textId="77777777" w:rsidR="00306B0F" w:rsidRPr="008A4154" w:rsidRDefault="00306B0F" w:rsidP="00D452D2">
            <w:pPr>
              <w:rPr>
                <w:bCs/>
                <w:sz w:val="20"/>
                <w:szCs w:val="22"/>
              </w:rPr>
            </w:pPr>
            <w:r>
              <w:rPr>
                <w:bCs/>
                <w:sz w:val="20"/>
                <w:szCs w:val="22"/>
              </w:rPr>
              <w:t>W</w:t>
            </w:r>
            <w:r w:rsidRPr="008A4154">
              <w:rPr>
                <w:bCs/>
                <w:sz w:val="20"/>
                <w:szCs w:val="22"/>
              </w:rPr>
              <w:t xml:space="preserve">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45DA7DFE" w14:textId="77777777" w:rsidR="00306B0F" w:rsidRPr="008A4154" w:rsidRDefault="00306B0F" w:rsidP="00D452D2">
            <w:pPr>
              <w:rPr>
                <w:bCs/>
                <w:sz w:val="20"/>
                <w:szCs w:val="22"/>
              </w:rPr>
            </w:pPr>
            <w:r>
              <w:rPr>
                <w:bCs/>
                <w:sz w:val="20"/>
                <w:szCs w:val="22"/>
              </w:rPr>
              <w:t>No</w:t>
            </w:r>
          </w:p>
        </w:tc>
      </w:tr>
      <w:tr w:rsidR="004E79E8" w:rsidRPr="008A4154" w14:paraId="45CFE8E5" w14:textId="77777777" w:rsidTr="00D452D2">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F3AA4B" w14:textId="77777777" w:rsidR="00306B0F" w:rsidRPr="008A4154" w:rsidRDefault="00306B0F" w:rsidP="00D452D2">
            <w:pPr>
              <w:rPr>
                <w:bCs/>
                <w:sz w:val="20"/>
                <w:szCs w:val="22"/>
              </w:rPr>
            </w:pPr>
            <w:r>
              <w:rPr>
                <w:bCs/>
                <w:sz w:val="20"/>
                <w:szCs w:val="22"/>
              </w:rPr>
              <w:t>Risk rating</w:t>
            </w:r>
          </w:p>
        </w:tc>
        <w:tc>
          <w:tcPr>
            <w:tcW w:w="937" w:type="dxa"/>
            <w:tcBorders>
              <w:top w:val="single" w:sz="4" w:space="0" w:color="auto"/>
              <w:left w:val="single" w:sz="4" w:space="0" w:color="auto"/>
              <w:bottom w:val="single" w:sz="4" w:space="0" w:color="auto"/>
              <w:right w:val="single" w:sz="4" w:space="0" w:color="auto"/>
            </w:tcBorders>
          </w:tcPr>
          <w:p w14:paraId="08D8F8DC" w14:textId="77777777" w:rsidR="00306B0F" w:rsidRPr="008A4154" w:rsidRDefault="00306B0F" w:rsidP="00D452D2">
            <w:pPr>
              <w:rPr>
                <w:bCs/>
                <w:sz w:val="20"/>
                <w:szCs w:val="22"/>
              </w:rPr>
            </w:pPr>
            <w:r>
              <w:rPr>
                <w:bCs/>
                <w:sz w:val="20"/>
                <w:szCs w:val="22"/>
              </w:rPr>
              <w:t>Major</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CFBBE9" w14:textId="77777777" w:rsidR="00306B0F" w:rsidRDefault="00306B0F" w:rsidP="00D452D2">
            <w:pPr>
              <w:rPr>
                <w:bCs/>
                <w:sz w:val="20"/>
                <w:szCs w:val="22"/>
              </w:rPr>
            </w:pPr>
            <w:r>
              <w:rPr>
                <w:bCs/>
                <w:sz w:val="20"/>
                <w:szCs w:val="22"/>
              </w:rPr>
              <w:t>Risk revised since last AR?</w:t>
            </w:r>
          </w:p>
        </w:tc>
        <w:tc>
          <w:tcPr>
            <w:tcW w:w="2812" w:type="dxa"/>
            <w:tcBorders>
              <w:top w:val="single" w:sz="4" w:space="0" w:color="auto"/>
              <w:left w:val="single" w:sz="4" w:space="0" w:color="auto"/>
              <w:bottom w:val="single" w:sz="4" w:space="0" w:color="auto"/>
              <w:right w:val="single" w:sz="4" w:space="0" w:color="auto"/>
            </w:tcBorders>
          </w:tcPr>
          <w:p w14:paraId="6A687EA8" w14:textId="77777777" w:rsidR="00306B0F" w:rsidRPr="008A4154" w:rsidRDefault="00306B0F" w:rsidP="00D452D2">
            <w:pPr>
              <w:rPr>
                <w:bCs/>
                <w:sz w:val="20"/>
                <w:szCs w:val="22"/>
              </w:rPr>
            </w:pPr>
            <w:r>
              <w:rPr>
                <w:bCs/>
                <w:sz w:val="20"/>
                <w:szCs w:val="22"/>
              </w:rPr>
              <w:t>No</w:t>
            </w:r>
          </w:p>
        </w:tc>
      </w:tr>
    </w:tbl>
    <w:p w14:paraId="54266851" w14:textId="77777777" w:rsidR="00306B0F" w:rsidRDefault="00306B0F" w:rsidP="00306B0F">
      <w:pPr>
        <w:rPr>
          <w:sz w:val="20"/>
          <w:szCs w:val="22"/>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1564"/>
        <w:gridCol w:w="2977"/>
        <w:gridCol w:w="4810"/>
      </w:tblGrid>
      <w:tr w:rsidR="00306B0F" w:rsidRPr="00E548EA" w14:paraId="3D282277" w14:textId="77777777" w:rsidTr="00D452D2">
        <w:trPr>
          <w:trHeight w:val="273"/>
        </w:trPr>
        <w:tc>
          <w:tcPr>
            <w:tcW w:w="15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7CBE12" w14:textId="77777777" w:rsidR="00306B0F" w:rsidRPr="00E548EA" w:rsidRDefault="00306B0F" w:rsidP="00D452D2">
            <w:pPr>
              <w:rPr>
                <w:b/>
                <w:bCs/>
                <w:sz w:val="20"/>
                <w:szCs w:val="22"/>
              </w:rPr>
            </w:pPr>
            <w:r w:rsidRPr="00E548EA">
              <w:rPr>
                <w:b/>
                <w:bCs/>
                <w:sz w:val="20"/>
                <w:szCs w:val="22"/>
              </w:rPr>
              <w:t>Indicator(s)</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949FCB" w14:textId="77777777" w:rsidR="00306B0F" w:rsidRPr="00E548EA" w:rsidRDefault="00306B0F" w:rsidP="00D452D2">
            <w:pPr>
              <w:rPr>
                <w:b/>
                <w:bCs/>
                <w:sz w:val="20"/>
                <w:szCs w:val="22"/>
              </w:rPr>
            </w:pPr>
            <w:r w:rsidRPr="00E548EA">
              <w:rPr>
                <w:b/>
                <w:bCs/>
                <w:sz w:val="20"/>
                <w:szCs w:val="22"/>
              </w:rPr>
              <w:t>Milestone(s) for this review</w:t>
            </w:r>
          </w:p>
        </w:tc>
        <w:tc>
          <w:tcPr>
            <w:tcW w:w="48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C2EDC2" w14:textId="77777777" w:rsidR="00306B0F" w:rsidRPr="00E548EA" w:rsidRDefault="00306B0F" w:rsidP="00D452D2">
            <w:pPr>
              <w:rPr>
                <w:b/>
                <w:bCs/>
                <w:sz w:val="20"/>
                <w:szCs w:val="22"/>
              </w:rPr>
            </w:pPr>
            <w:r w:rsidRPr="00E548EA">
              <w:rPr>
                <w:b/>
                <w:bCs/>
                <w:sz w:val="20"/>
                <w:szCs w:val="22"/>
              </w:rPr>
              <w:t xml:space="preserve">Progress </w:t>
            </w:r>
          </w:p>
        </w:tc>
      </w:tr>
      <w:tr w:rsidR="00306B0F" w:rsidRPr="00E548EA" w14:paraId="5604A3CC" w14:textId="77777777" w:rsidTr="00D452D2">
        <w:tc>
          <w:tcPr>
            <w:tcW w:w="1564" w:type="dxa"/>
            <w:tcBorders>
              <w:top w:val="single" w:sz="4" w:space="0" w:color="auto"/>
              <w:left w:val="single" w:sz="4" w:space="0" w:color="auto"/>
              <w:bottom w:val="single" w:sz="4" w:space="0" w:color="auto"/>
              <w:right w:val="single" w:sz="4" w:space="0" w:color="auto"/>
            </w:tcBorders>
          </w:tcPr>
          <w:p w14:paraId="47BEF3CA" w14:textId="7A6C0F1D" w:rsidR="00306B0F" w:rsidRPr="001D0FDD" w:rsidRDefault="00306B0F" w:rsidP="00D452D2">
            <w:pPr>
              <w:rPr>
                <w:bCs/>
                <w:iCs/>
                <w:sz w:val="20"/>
                <w:szCs w:val="20"/>
              </w:rPr>
            </w:pPr>
            <w:r>
              <w:rPr>
                <w:rFonts w:cs="Arial"/>
                <w:bCs/>
                <w:iCs/>
                <w:sz w:val="20"/>
                <w:szCs w:val="20"/>
              </w:rPr>
              <w:t xml:space="preserve">3.1 - </w:t>
            </w:r>
            <w:r w:rsidRPr="00453E19">
              <w:rPr>
                <w:rFonts w:cs="Arial"/>
                <w:bCs/>
                <w:iCs/>
                <w:sz w:val="20"/>
                <w:szCs w:val="20"/>
              </w:rPr>
              <w:t>Suitable sites for the geological storage of</w:t>
            </w:r>
            <w:r w:rsidRPr="00022EF3">
              <w:rPr>
                <w:bCs/>
                <w:iCs/>
                <w:sz w:val="22"/>
                <w:szCs w:val="22"/>
              </w:rPr>
              <w:t xml:space="preserve"> </w:t>
            </w:r>
            <w:r w:rsidRPr="00EA363E">
              <w:rPr>
                <w:bCs/>
                <w:iCs/>
                <w:sz w:val="20"/>
                <w:szCs w:val="20"/>
              </w:rPr>
              <w:t>CO</w:t>
            </w:r>
            <w:r w:rsidRPr="00EA363E">
              <w:rPr>
                <w:bCs/>
                <w:iCs/>
                <w:sz w:val="20"/>
                <w:szCs w:val="20"/>
                <w:vertAlign w:val="subscript"/>
              </w:rPr>
              <w:t>2</w:t>
            </w:r>
            <w:r w:rsidRPr="00453E19">
              <w:rPr>
                <w:rFonts w:cs="Arial"/>
                <w:bCs/>
                <w:iCs/>
                <w:sz w:val="20"/>
                <w:szCs w:val="20"/>
              </w:rPr>
              <w:t xml:space="preserve"> identified.</w:t>
            </w:r>
          </w:p>
        </w:tc>
        <w:tc>
          <w:tcPr>
            <w:tcW w:w="2977" w:type="dxa"/>
            <w:tcBorders>
              <w:top w:val="single" w:sz="4" w:space="0" w:color="auto"/>
              <w:left w:val="single" w:sz="4" w:space="0" w:color="auto"/>
              <w:bottom w:val="single" w:sz="4" w:space="0" w:color="auto"/>
              <w:right w:val="single" w:sz="4" w:space="0" w:color="auto"/>
            </w:tcBorders>
          </w:tcPr>
          <w:p w14:paraId="039B6DF2" w14:textId="25B815D5" w:rsidR="00306B0F" w:rsidRPr="001D0FDD" w:rsidRDefault="00306B0F" w:rsidP="00D452D2">
            <w:pPr>
              <w:rPr>
                <w:bCs/>
                <w:iCs/>
                <w:sz w:val="20"/>
                <w:szCs w:val="20"/>
              </w:rPr>
            </w:pPr>
            <w:r w:rsidRPr="00C96C3A">
              <w:rPr>
                <w:b/>
                <w:iCs/>
                <w:sz w:val="20"/>
                <w:szCs w:val="20"/>
              </w:rPr>
              <w:t>End of 2020:</w:t>
            </w:r>
            <w:r>
              <w:rPr>
                <w:bCs/>
                <w:iCs/>
                <w:sz w:val="20"/>
                <w:szCs w:val="20"/>
              </w:rPr>
              <w:t xml:space="preserve"> </w:t>
            </w:r>
            <w:r w:rsidRPr="0050046D">
              <w:rPr>
                <w:bCs/>
                <w:iCs/>
                <w:sz w:val="20"/>
                <w:szCs w:val="20"/>
              </w:rPr>
              <w:t xml:space="preserve">2 countries undertake seismic or related geological tests for at least one </w:t>
            </w:r>
            <w:r w:rsidRPr="009126B4">
              <w:rPr>
                <w:bCs/>
                <w:iCs/>
                <w:sz w:val="20"/>
                <w:szCs w:val="20"/>
              </w:rPr>
              <w:t>CO</w:t>
            </w:r>
            <w:r w:rsidRPr="009126B4">
              <w:rPr>
                <w:bCs/>
                <w:iCs/>
                <w:sz w:val="20"/>
                <w:szCs w:val="20"/>
                <w:vertAlign w:val="subscript"/>
              </w:rPr>
              <w:t>2</w:t>
            </w:r>
            <w:r w:rsidRPr="0050046D">
              <w:rPr>
                <w:bCs/>
                <w:iCs/>
                <w:sz w:val="20"/>
                <w:szCs w:val="20"/>
              </w:rPr>
              <w:t xml:space="preserve"> storage pilot.</w:t>
            </w:r>
          </w:p>
        </w:tc>
        <w:tc>
          <w:tcPr>
            <w:tcW w:w="4810" w:type="dxa"/>
            <w:tcBorders>
              <w:top w:val="single" w:sz="4" w:space="0" w:color="auto"/>
              <w:left w:val="single" w:sz="4" w:space="0" w:color="auto"/>
              <w:bottom w:val="single" w:sz="4" w:space="0" w:color="auto"/>
              <w:right w:val="single" w:sz="4" w:space="0" w:color="auto"/>
            </w:tcBorders>
          </w:tcPr>
          <w:p w14:paraId="7CD57D0E" w14:textId="77777777" w:rsidR="00306B0F" w:rsidRDefault="00306B0F" w:rsidP="00D452D2">
            <w:pPr>
              <w:contextualSpacing/>
              <w:rPr>
                <w:b/>
                <w:iCs/>
                <w:sz w:val="20"/>
                <w:szCs w:val="20"/>
              </w:rPr>
            </w:pPr>
            <w:r>
              <w:rPr>
                <w:b/>
                <w:iCs/>
                <w:sz w:val="20"/>
                <w:szCs w:val="20"/>
              </w:rPr>
              <w:t>Output substantially did not meet expectation</w:t>
            </w:r>
            <w:r w:rsidRPr="006B117D" w:rsidDel="00B34DE3">
              <w:rPr>
                <w:b/>
                <w:iCs/>
                <w:sz w:val="20"/>
                <w:szCs w:val="20"/>
              </w:rPr>
              <w:t xml:space="preserve"> </w:t>
            </w:r>
          </w:p>
          <w:p w14:paraId="252B7F5E" w14:textId="77777777" w:rsidR="00306B0F" w:rsidRDefault="00306B0F" w:rsidP="00D452D2">
            <w:pPr>
              <w:contextualSpacing/>
              <w:rPr>
                <w:bCs/>
                <w:iCs/>
                <w:sz w:val="20"/>
                <w:szCs w:val="20"/>
              </w:rPr>
            </w:pPr>
          </w:p>
          <w:p w14:paraId="7EAA593C" w14:textId="5D9AF051" w:rsidR="00306B0F" w:rsidRDefault="00306B0F" w:rsidP="00D452D2">
            <w:pPr>
              <w:contextualSpacing/>
              <w:rPr>
                <w:bCs/>
                <w:iCs/>
                <w:sz w:val="20"/>
                <w:szCs w:val="20"/>
              </w:rPr>
            </w:pPr>
            <w:r>
              <w:rPr>
                <w:bCs/>
                <w:iCs/>
                <w:sz w:val="20"/>
                <w:szCs w:val="20"/>
              </w:rPr>
              <w:t xml:space="preserve">No country undertook seismic or related geological tests at a </w:t>
            </w:r>
            <w:r w:rsidRPr="009126B4">
              <w:rPr>
                <w:bCs/>
                <w:iCs/>
                <w:sz w:val="20"/>
                <w:szCs w:val="20"/>
              </w:rPr>
              <w:t>CO</w:t>
            </w:r>
            <w:r w:rsidRPr="009126B4">
              <w:rPr>
                <w:bCs/>
                <w:iCs/>
                <w:sz w:val="20"/>
                <w:szCs w:val="20"/>
                <w:vertAlign w:val="subscript"/>
              </w:rPr>
              <w:t>2</w:t>
            </w:r>
            <w:r w:rsidRPr="0050046D">
              <w:rPr>
                <w:bCs/>
                <w:iCs/>
                <w:sz w:val="20"/>
                <w:szCs w:val="20"/>
              </w:rPr>
              <w:t xml:space="preserve"> storage pilot</w:t>
            </w:r>
            <w:r>
              <w:rPr>
                <w:bCs/>
                <w:iCs/>
                <w:sz w:val="20"/>
                <w:szCs w:val="20"/>
              </w:rPr>
              <w:t xml:space="preserve"> due to slow decision-making by the Indonesian government and activities stopping in South Africa while the Grant Agreement was restructured. </w:t>
            </w:r>
          </w:p>
          <w:p w14:paraId="682E5F23" w14:textId="77777777" w:rsidR="00306B0F" w:rsidRPr="006B117D" w:rsidRDefault="00306B0F" w:rsidP="00D452D2">
            <w:pPr>
              <w:contextualSpacing/>
              <w:rPr>
                <w:bCs/>
                <w:iCs/>
                <w:sz w:val="20"/>
                <w:szCs w:val="20"/>
              </w:rPr>
            </w:pPr>
          </w:p>
        </w:tc>
      </w:tr>
    </w:tbl>
    <w:p w14:paraId="0B0C9A09" w14:textId="77777777" w:rsidR="00306B0F" w:rsidRPr="00A849A1" w:rsidRDefault="00306B0F" w:rsidP="00306B0F">
      <w:pPr>
        <w:jc w:val="both"/>
        <w:rPr>
          <w:rFonts w:cs="Arial"/>
          <w:sz w:val="22"/>
          <w:szCs w:val="22"/>
        </w:rPr>
      </w:pPr>
      <w:r w:rsidRPr="00A849A1">
        <w:rPr>
          <w:rFonts w:cs="Arial"/>
          <w:b/>
          <w:bCs/>
          <w:sz w:val="22"/>
          <w:szCs w:val="22"/>
        </w:rPr>
        <w:t xml:space="preserve">Briefly describe the output and provide supporting narrative for the score. </w:t>
      </w:r>
    </w:p>
    <w:p w14:paraId="7D7E0556" w14:textId="77777777" w:rsidR="00306B0F" w:rsidRPr="002D24B1" w:rsidRDefault="00306B0F" w:rsidP="00306B0F">
      <w:pPr>
        <w:jc w:val="both"/>
        <w:rPr>
          <w:rFonts w:cs="Arial"/>
          <w:sz w:val="22"/>
          <w:szCs w:val="22"/>
        </w:rPr>
      </w:pPr>
    </w:p>
    <w:p w14:paraId="669FABAD" w14:textId="77777777" w:rsidR="00306B0F" w:rsidRDefault="00306B0F" w:rsidP="00306B0F">
      <w:pPr>
        <w:jc w:val="both"/>
        <w:rPr>
          <w:rFonts w:cs="Arial"/>
          <w:sz w:val="22"/>
          <w:szCs w:val="22"/>
        </w:rPr>
      </w:pPr>
      <w:r w:rsidRPr="002D24B1">
        <w:rPr>
          <w:rFonts w:cs="Arial"/>
          <w:sz w:val="22"/>
          <w:szCs w:val="22"/>
        </w:rPr>
        <w:t xml:space="preserve">Two proposed pilot carbon storage sites were expected to move into the implementation phases in 2020. However, </w:t>
      </w:r>
      <w:r>
        <w:rPr>
          <w:rFonts w:cs="Arial"/>
          <w:sz w:val="22"/>
          <w:szCs w:val="22"/>
        </w:rPr>
        <w:t xml:space="preserve">activities in South Africa and Indonesia were not in a position to move into the implementation phases due to delays. </w:t>
      </w:r>
    </w:p>
    <w:p w14:paraId="1689FA5F" w14:textId="77777777" w:rsidR="00306B0F" w:rsidRDefault="00306B0F" w:rsidP="00306B0F">
      <w:pPr>
        <w:jc w:val="both"/>
        <w:rPr>
          <w:rFonts w:cs="Arial"/>
          <w:sz w:val="22"/>
          <w:szCs w:val="22"/>
        </w:rPr>
      </w:pPr>
    </w:p>
    <w:p w14:paraId="4656BEEA" w14:textId="77777777" w:rsidR="00306B0F" w:rsidRDefault="00306B0F" w:rsidP="00306B0F">
      <w:pPr>
        <w:jc w:val="both"/>
        <w:rPr>
          <w:bCs/>
          <w:iCs/>
          <w:sz w:val="22"/>
          <w:szCs w:val="22"/>
        </w:rPr>
      </w:pPr>
      <w:r>
        <w:rPr>
          <w:rFonts w:cs="Arial"/>
          <w:sz w:val="22"/>
          <w:szCs w:val="22"/>
        </w:rPr>
        <w:t xml:space="preserve">Activities in South Africa’s </w:t>
      </w:r>
      <w:r w:rsidRPr="002D24B1">
        <w:rPr>
          <w:rFonts w:cs="Arial"/>
          <w:sz w:val="22"/>
          <w:szCs w:val="22"/>
        </w:rPr>
        <w:t xml:space="preserve">Kwazulu-Natal </w:t>
      </w:r>
      <w:r>
        <w:rPr>
          <w:rFonts w:cs="Arial"/>
          <w:sz w:val="22"/>
          <w:szCs w:val="22"/>
        </w:rPr>
        <w:t xml:space="preserve">region </w:t>
      </w:r>
      <w:r w:rsidRPr="002D24B1">
        <w:rPr>
          <w:rFonts w:cs="Arial"/>
          <w:sz w:val="22"/>
          <w:szCs w:val="22"/>
        </w:rPr>
        <w:t>were paused while in the planning phase. This was due to difficulty in obtaining stakeholder permissions at the site and a formal request from the National Treasury to relocate the project. A</w:t>
      </w:r>
      <w:r w:rsidRPr="002D24B1">
        <w:rPr>
          <w:bCs/>
          <w:iCs/>
          <w:sz w:val="22"/>
          <w:szCs w:val="22"/>
        </w:rPr>
        <w:t>t</w:t>
      </w:r>
      <w:r>
        <w:rPr>
          <w:bCs/>
          <w:iCs/>
          <w:sz w:val="22"/>
          <w:szCs w:val="22"/>
        </w:rPr>
        <w:t xml:space="preserve"> the end of 2020 the World Bank initiated a technical Expert Review of the proposed new storage site. </w:t>
      </w:r>
    </w:p>
    <w:p w14:paraId="08E6FDE3" w14:textId="77777777" w:rsidR="00306B0F" w:rsidRDefault="00306B0F" w:rsidP="00306B0F">
      <w:pPr>
        <w:jc w:val="both"/>
        <w:rPr>
          <w:bCs/>
          <w:iCs/>
          <w:sz w:val="22"/>
          <w:szCs w:val="22"/>
        </w:rPr>
      </w:pPr>
    </w:p>
    <w:p w14:paraId="7889205E" w14:textId="77777777" w:rsidR="00BB49FB" w:rsidRDefault="00306B0F" w:rsidP="00306B0F">
      <w:pPr>
        <w:rPr>
          <w:bCs/>
          <w:iCs/>
          <w:sz w:val="22"/>
          <w:szCs w:val="22"/>
        </w:rPr>
      </w:pPr>
      <w:r>
        <w:rPr>
          <w:bCs/>
          <w:iCs/>
          <w:sz w:val="22"/>
          <w:szCs w:val="22"/>
        </w:rPr>
        <w:t xml:space="preserve">In Indonesia, no seismic or related geological tests were undertaken in the country as no new pilot carbon storage project has been approved by the government since the previous pilot site was cancelled in January 2020. </w:t>
      </w:r>
    </w:p>
    <w:p w14:paraId="388DF74E" w14:textId="77777777" w:rsidR="00BB49FB" w:rsidRDefault="00BB49FB" w:rsidP="00306B0F">
      <w:pPr>
        <w:rPr>
          <w:bCs/>
          <w:iCs/>
          <w:sz w:val="22"/>
          <w:szCs w:val="22"/>
        </w:rPr>
      </w:pPr>
    </w:p>
    <w:p w14:paraId="62E87850" w14:textId="3FABB00F" w:rsidR="00306B0F" w:rsidRPr="001E14CF" w:rsidRDefault="00306B0F" w:rsidP="00306B0F">
      <w:pPr>
        <w:rPr>
          <w:rFonts w:cs="Arial"/>
          <w:b/>
          <w:bCs/>
          <w:sz w:val="22"/>
          <w:szCs w:val="22"/>
          <w:highlight w:val="yellow"/>
        </w:rPr>
      </w:pPr>
      <w:r w:rsidRPr="00914630">
        <w:rPr>
          <w:rFonts w:cs="Arial"/>
          <w:b/>
          <w:bCs/>
          <w:sz w:val="22"/>
          <w:szCs w:val="22"/>
        </w:rPr>
        <w:t xml:space="preserve">Assess the VfM of this output compared to the proposition in the Business Case, </w:t>
      </w:r>
      <w:r w:rsidRPr="00975D27">
        <w:rPr>
          <w:rFonts w:cs="Arial"/>
          <w:b/>
          <w:bCs/>
          <w:sz w:val="22"/>
          <w:szCs w:val="22"/>
        </w:rPr>
        <w:t>based on performance over the past year</w:t>
      </w:r>
      <w:r w:rsidRPr="00975D27">
        <w:rPr>
          <w:rFonts w:cs="Arial"/>
          <w:b/>
          <w:sz w:val="22"/>
          <w:szCs w:val="22"/>
        </w:rPr>
        <w:t xml:space="preserve"> </w:t>
      </w:r>
    </w:p>
    <w:p w14:paraId="0B5C6ED5" w14:textId="77777777" w:rsidR="00306B0F" w:rsidRPr="001E14CF" w:rsidRDefault="00306B0F" w:rsidP="00306B0F">
      <w:pPr>
        <w:rPr>
          <w:rFonts w:cs="Arial"/>
          <w:sz w:val="22"/>
          <w:szCs w:val="22"/>
          <w:highlight w:val="yellow"/>
          <w:lang w:val="en" w:eastAsia="en-GB"/>
        </w:rPr>
      </w:pPr>
    </w:p>
    <w:p w14:paraId="525AC15A" w14:textId="738B555B" w:rsidR="00306B0F" w:rsidRPr="00A849A1" w:rsidRDefault="00306B0F" w:rsidP="00306B0F">
      <w:pPr>
        <w:jc w:val="both"/>
        <w:rPr>
          <w:rFonts w:cs="Arial"/>
          <w:bCs/>
          <w:sz w:val="22"/>
          <w:szCs w:val="22"/>
          <w:highlight w:val="yellow"/>
        </w:rPr>
      </w:pPr>
      <w:r>
        <w:rPr>
          <w:rFonts w:cs="Arial"/>
          <w:sz w:val="22"/>
          <w:szCs w:val="22"/>
          <w:lang w:val="en" w:eastAsia="en-GB"/>
        </w:rPr>
        <w:t xml:space="preserve">UK support for carbon storage pilot projects in Indonesia and South Africa were specifically identified as key interventions to increase in-country capacity and technical understanding to develop CCUS. </w:t>
      </w:r>
      <w:r w:rsidRPr="00AC0836">
        <w:rPr>
          <w:rFonts w:cs="Arial"/>
          <w:sz w:val="22"/>
          <w:szCs w:val="22"/>
          <w:lang w:val="en" w:eastAsia="en-GB"/>
        </w:rPr>
        <w:t>These activities have been subject to sustained delays as noted in previous annual reviews</w:t>
      </w:r>
      <w:r>
        <w:rPr>
          <w:rFonts w:cs="Arial"/>
          <w:sz w:val="22"/>
          <w:szCs w:val="22"/>
          <w:lang w:val="en" w:eastAsia="en-GB"/>
        </w:rPr>
        <w:t xml:space="preserve"> and have not sufficiently contributed to meeting this objective.   </w:t>
      </w:r>
      <w:r w:rsidRPr="00A849A1">
        <w:rPr>
          <w:rFonts w:cs="Arial"/>
          <w:bCs/>
          <w:sz w:val="22"/>
          <w:szCs w:val="22"/>
          <w:highlight w:val="yellow"/>
        </w:rPr>
        <w:t xml:space="preserve">  </w:t>
      </w:r>
    </w:p>
    <w:p w14:paraId="18683438" w14:textId="77777777" w:rsidR="00BB49FB" w:rsidRDefault="00BB49FB" w:rsidP="00306B0F">
      <w:pPr>
        <w:rPr>
          <w:b/>
          <w:bCs/>
          <w:sz w:val="22"/>
          <w:szCs w:val="22"/>
        </w:rPr>
      </w:pPr>
    </w:p>
    <w:p w14:paraId="7EB88DE8" w14:textId="39554C98" w:rsidR="00306B0F" w:rsidRPr="00A849A1" w:rsidRDefault="00306B0F" w:rsidP="00306B0F">
      <w:pPr>
        <w:rPr>
          <w:rFonts w:cs="Arial"/>
          <w:sz w:val="22"/>
          <w:szCs w:val="22"/>
        </w:rPr>
      </w:pPr>
      <w:r w:rsidRPr="00A849A1">
        <w:rPr>
          <w:b/>
          <w:bCs/>
          <w:sz w:val="22"/>
          <w:szCs w:val="22"/>
        </w:rPr>
        <w:t xml:space="preserve">Describe any changes to this output, and any planned changes as a result of this review. </w:t>
      </w:r>
    </w:p>
    <w:p w14:paraId="0928F2EC" w14:textId="77777777" w:rsidR="00306B0F" w:rsidRPr="00A849A1" w:rsidRDefault="00306B0F" w:rsidP="00306B0F">
      <w:pPr>
        <w:rPr>
          <w:rFonts w:cs="Arial"/>
          <w:sz w:val="22"/>
          <w:szCs w:val="22"/>
        </w:rPr>
      </w:pPr>
    </w:p>
    <w:p w14:paraId="02FC021C" w14:textId="6A254430" w:rsidR="00306B0F" w:rsidRDefault="00306B0F" w:rsidP="00306B0F">
      <w:pPr>
        <w:rPr>
          <w:rFonts w:cs="Arial"/>
          <w:sz w:val="22"/>
          <w:szCs w:val="22"/>
        </w:rPr>
      </w:pPr>
      <w:r>
        <w:rPr>
          <w:rFonts w:cs="Arial"/>
          <w:sz w:val="22"/>
          <w:szCs w:val="22"/>
        </w:rPr>
        <w:t>In 2020, m</w:t>
      </w:r>
      <w:r w:rsidRPr="00A849A1">
        <w:rPr>
          <w:rFonts w:cs="Arial"/>
          <w:sz w:val="22"/>
          <w:szCs w:val="22"/>
        </w:rPr>
        <w:t xml:space="preserve">inor changes were made to the wording of indicator 3.1 (previously ‘number of seismic and related geological tests leading to the selection of suitable storage sites undertaken’). The milestone for 2020 previously focused on test injections occurring in both the Gundih and South Sumatra proposed storage sites in Indonesia. As the Gundih pilot project closed in </w:t>
      </w:r>
      <w:r>
        <w:rPr>
          <w:rFonts w:cs="Arial"/>
          <w:sz w:val="22"/>
          <w:szCs w:val="22"/>
        </w:rPr>
        <w:t>January 2020</w:t>
      </w:r>
      <w:r w:rsidRPr="00A849A1">
        <w:rPr>
          <w:rFonts w:cs="Arial"/>
          <w:sz w:val="22"/>
          <w:szCs w:val="22"/>
        </w:rPr>
        <w:t>, the milestone for 2020 was amended to aim for any two</w:t>
      </w:r>
      <w:r w:rsidRPr="00A849A1">
        <w:rPr>
          <w:bCs/>
          <w:iCs/>
          <w:sz w:val="22"/>
          <w:szCs w:val="22"/>
        </w:rPr>
        <w:t xml:space="preserve"> countries to undertake seismic or related geological tests.</w:t>
      </w:r>
      <w:r w:rsidRPr="00097976">
        <w:rPr>
          <w:rFonts w:cs="Arial"/>
          <w:sz w:val="22"/>
          <w:szCs w:val="22"/>
        </w:rPr>
        <w:t xml:space="preserve"> </w:t>
      </w:r>
    </w:p>
    <w:p w14:paraId="18E98C65" w14:textId="77777777" w:rsidR="00306B0F" w:rsidRDefault="00306B0F" w:rsidP="00306B0F">
      <w:pPr>
        <w:rPr>
          <w:rFonts w:cs="Arial"/>
          <w:sz w:val="22"/>
          <w:szCs w:val="22"/>
        </w:rPr>
      </w:pPr>
    </w:p>
    <w:p w14:paraId="52BBB637" w14:textId="77777777" w:rsidR="00306B0F" w:rsidRPr="00A849A1" w:rsidRDefault="00306B0F" w:rsidP="00306B0F">
      <w:pPr>
        <w:rPr>
          <w:rFonts w:cs="Arial"/>
          <w:sz w:val="22"/>
          <w:szCs w:val="22"/>
        </w:rPr>
      </w:pPr>
      <w:r w:rsidRPr="00A849A1">
        <w:rPr>
          <w:rFonts w:cs="Arial"/>
          <w:sz w:val="22"/>
          <w:szCs w:val="22"/>
        </w:rPr>
        <w:t xml:space="preserve">In light of this year’s results, BEIS will consider amending the 2021 milestone to aim for a pilot storage project in South Africa to </w:t>
      </w:r>
      <w:r>
        <w:rPr>
          <w:rFonts w:cs="Arial"/>
          <w:sz w:val="22"/>
          <w:szCs w:val="22"/>
        </w:rPr>
        <w:t>confirm a storage location and continue the</w:t>
      </w:r>
      <w:r w:rsidRPr="00A849A1">
        <w:rPr>
          <w:rFonts w:cs="Arial"/>
          <w:sz w:val="22"/>
          <w:szCs w:val="22"/>
        </w:rPr>
        <w:t xml:space="preserve"> planning phase, and a pilot storage project to be identified in Indonesia and Mexico. </w:t>
      </w:r>
    </w:p>
    <w:p w14:paraId="064A3D51" w14:textId="77777777" w:rsidR="00306B0F" w:rsidRPr="00A849A1" w:rsidRDefault="00306B0F" w:rsidP="00306B0F">
      <w:pPr>
        <w:rPr>
          <w:rFonts w:cs="Arial"/>
          <w:sz w:val="22"/>
          <w:szCs w:val="22"/>
        </w:rPr>
      </w:pPr>
    </w:p>
    <w:p w14:paraId="691EFE07" w14:textId="77777777" w:rsidR="00306B0F" w:rsidRPr="00A849A1" w:rsidRDefault="00306B0F" w:rsidP="00306B0F">
      <w:pPr>
        <w:jc w:val="both"/>
        <w:rPr>
          <w:rFonts w:cs="Arial"/>
          <w:sz w:val="22"/>
          <w:szCs w:val="22"/>
        </w:rPr>
      </w:pPr>
      <w:r w:rsidRPr="00A849A1">
        <w:rPr>
          <w:rFonts w:cs="Arial"/>
          <w:b/>
          <w:bCs/>
          <w:sz w:val="22"/>
          <w:szCs w:val="22"/>
        </w:rPr>
        <w:t>Progress on recommendations from the previous AR, lessons learned this year and recommendations for the year ahead.</w:t>
      </w:r>
    </w:p>
    <w:p w14:paraId="650435D2" w14:textId="77777777" w:rsidR="00306B0F" w:rsidRDefault="00306B0F" w:rsidP="00306B0F">
      <w:pPr>
        <w:jc w:val="both"/>
        <w:rPr>
          <w:rFonts w:cs="Arial"/>
          <w:sz w:val="22"/>
          <w:szCs w:val="22"/>
          <w:highlight w:val="yellow"/>
        </w:rPr>
      </w:pPr>
    </w:p>
    <w:p w14:paraId="5E442323" w14:textId="603F3468" w:rsidR="00306B0F" w:rsidRPr="00F2045B" w:rsidRDefault="00D61DE8" w:rsidP="00F2045B">
      <w:pPr>
        <w:tabs>
          <w:tab w:val="left" w:pos="6915"/>
          <w:tab w:val="left" w:pos="9495"/>
        </w:tabs>
        <w:rPr>
          <w:bCs/>
          <w:sz w:val="22"/>
          <w:szCs w:val="22"/>
        </w:rPr>
      </w:pPr>
      <w:r w:rsidRPr="00D61DE8">
        <w:rPr>
          <w:bCs/>
          <w:sz w:val="22"/>
          <w:szCs w:val="22"/>
        </w:rPr>
        <w:t xml:space="preserve">The World Bank and the ADB to engage at official and senior levels with target country governments to ensure that approved activities that support policies, regulations and/or </w:t>
      </w:r>
      <w:r w:rsidRPr="00D61DE8">
        <w:rPr>
          <w:bCs/>
          <w:sz w:val="22"/>
          <w:szCs w:val="22"/>
        </w:rPr>
        <w:lastRenderedPageBreak/>
        <w:t>legislative frameworks and pilot projects in target countries commence. (by 31</w:t>
      </w:r>
      <w:r w:rsidRPr="00D61DE8">
        <w:rPr>
          <w:bCs/>
          <w:sz w:val="22"/>
          <w:szCs w:val="22"/>
          <w:vertAlign w:val="superscript"/>
        </w:rPr>
        <w:t>st</w:t>
      </w:r>
      <w:r w:rsidRPr="00D61DE8">
        <w:rPr>
          <w:bCs/>
          <w:sz w:val="22"/>
          <w:szCs w:val="22"/>
        </w:rPr>
        <w:t xml:space="preserve"> January 2022).</w:t>
      </w:r>
    </w:p>
    <w:p w14:paraId="013ECB5A" w14:textId="77777777" w:rsidR="00BB49FB" w:rsidRPr="00FF13AE" w:rsidRDefault="00BB49FB" w:rsidP="00306B0F">
      <w:pPr>
        <w:jc w:val="both"/>
        <w:rPr>
          <w:rFonts w:cs="Arial"/>
          <w:bCs/>
          <w:sz w:val="22"/>
          <w:szCs w:val="22"/>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D819F4" w:rsidRPr="008A4154" w14:paraId="2BB7E18F" w14:textId="77777777" w:rsidTr="00D452D2">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04D911" w14:textId="77777777" w:rsidR="00306B0F" w:rsidRPr="008A4154" w:rsidRDefault="00306B0F" w:rsidP="00D452D2">
            <w:pPr>
              <w:rPr>
                <w:b/>
                <w:bCs/>
                <w:sz w:val="20"/>
                <w:szCs w:val="22"/>
              </w:rPr>
            </w:pPr>
            <w:r w:rsidRPr="008A4154">
              <w:rPr>
                <w:b/>
                <w:bCs/>
                <w:sz w:val="20"/>
                <w:szCs w:val="22"/>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085BD6" w14:textId="17D03DBF" w:rsidR="00306B0F" w:rsidRPr="008A4154" w:rsidRDefault="00306B0F" w:rsidP="00D452D2">
            <w:pPr>
              <w:rPr>
                <w:bCs/>
                <w:i/>
                <w:color w:val="FF0000"/>
                <w:sz w:val="20"/>
                <w:szCs w:val="22"/>
              </w:rPr>
            </w:pPr>
            <w:r w:rsidRPr="00D26C8D">
              <w:rPr>
                <w:bCs/>
                <w:i/>
                <w:sz w:val="20"/>
                <w:szCs w:val="22"/>
              </w:rPr>
              <w:t xml:space="preserve">Developing countries store and capture </w:t>
            </w:r>
            <w:r w:rsidRPr="00EA363E">
              <w:rPr>
                <w:bCs/>
                <w:i/>
                <w:sz w:val="20"/>
                <w:szCs w:val="20"/>
              </w:rPr>
              <w:t>CO</w:t>
            </w:r>
            <w:r w:rsidRPr="00EA363E">
              <w:rPr>
                <w:bCs/>
                <w:i/>
                <w:sz w:val="20"/>
                <w:szCs w:val="20"/>
                <w:vertAlign w:val="subscript"/>
              </w:rPr>
              <w:t>2</w:t>
            </w:r>
            <w:r w:rsidR="008C5765">
              <w:rPr>
                <w:bCs/>
                <w:i/>
                <w:sz w:val="20"/>
                <w:szCs w:val="20"/>
                <w:vertAlign w:val="subscript"/>
              </w:rPr>
              <w:t xml:space="preserve"> </w:t>
            </w:r>
            <w:r w:rsidRPr="00D26C8D">
              <w:rPr>
                <w:bCs/>
                <w:i/>
                <w:sz w:val="20"/>
                <w:szCs w:val="22"/>
              </w:rPr>
              <w:t>safely and sustainably.</w:t>
            </w:r>
          </w:p>
        </w:tc>
      </w:tr>
      <w:tr w:rsidR="004E79E8" w:rsidRPr="008A4154" w14:paraId="2394D1F0" w14:textId="77777777" w:rsidTr="00D452D2">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54E2FF" w14:textId="77777777" w:rsidR="00306B0F" w:rsidRPr="008A4154" w:rsidRDefault="00306B0F" w:rsidP="00D452D2">
            <w:pPr>
              <w:rPr>
                <w:bCs/>
                <w:sz w:val="20"/>
                <w:szCs w:val="22"/>
              </w:rPr>
            </w:pPr>
            <w:r w:rsidRPr="008A4154">
              <w:rPr>
                <w:bCs/>
                <w:sz w:val="20"/>
                <w:szCs w:val="22"/>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7B952561" w14:textId="77777777" w:rsidR="00306B0F" w:rsidRPr="008A4154" w:rsidRDefault="00306B0F" w:rsidP="00D452D2">
            <w:pPr>
              <w:rPr>
                <w:sz w:val="20"/>
                <w:szCs w:val="22"/>
              </w:rPr>
            </w:pPr>
            <w:r>
              <w:rPr>
                <w:sz w:val="20"/>
                <w:szCs w:val="22"/>
              </w:rPr>
              <w:t>4</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C7E4CA" w14:textId="77777777" w:rsidR="00306B0F" w:rsidRPr="008A4154" w:rsidRDefault="00306B0F" w:rsidP="00D452D2">
            <w:pPr>
              <w:rPr>
                <w:sz w:val="20"/>
                <w:szCs w:val="22"/>
              </w:rPr>
            </w:pPr>
            <w:r w:rsidRPr="008A4154">
              <w:rPr>
                <w:bCs/>
                <w:sz w:val="20"/>
                <w:szCs w:val="22"/>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46A0D83F" w14:textId="7403DADC" w:rsidR="00306B0F" w:rsidRPr="008A4154" w:rsidRDefault="00300879" w:rsidP="00D452D2">
            <w:pPr>
              <w:rPr>
                <w:b/>
                <w:bCs/>
                <w:i/>
                <w:color w:val="FF0000"/>
                <w:sz w:val="20"/>
                <w:szCs w:val="22"/>
              </w:rPr>
            </w:pPr>
            <w:r>
              <w:rPr>
                <w:b/>
                <w:bCs/>
                <w:i/>
                <w:color w:val="FF0000"/>
                <w:sz w:val="20"/>
                <w:szCs w:val="22"/>
              </w:rPr>
              <w:t>B</w:t>
            </w:r>
          </w:p>
        </w:tc>
      </w:tr>
      <w:tr w:rsidR="004E79E8" w:rsidRPr="008A4154" w14:paraId="0A9AC115" w14:textId="77777777" w:rsidTr="00D452D2">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46B0FE" w14:textId="77777777" w:rsidR="00306B0F" w:rsidRPr="008A4154" w:rsidRDefault="00306B0F" w:rsidP="00D452D2">
            <w:pPr>
              <w:rPr>
                <w:sz w:val="20"/>
                <w:szCs w:val="22"/>
              </w:rPr>
            </w:pPr>
            <w:r w:rsidRPr="008A4154">
              <w:rPr>
                <w:bCs/>
                <w:sz w:val="20"/>
                <w:szCs w:val="22"/>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7600BAB7" w14:textId="77777777" w:rsidR="00306B0F" w:rsidRPr="008A4154" w:rsidRDefault="00306B0F" w:rsidP="00D452D2">
            <w:pPr>
              <w:rPr>
                <w:bCs/>
                <w:sz w:val="20"/>
                <w:szCs w:val="22"/>
              </w:rPr>
            </w:pPr>
            <w:r>
              <w:rPr>
                <w:bCs/>
                <w:sz w:val="20"/>
                <w:szCs w:val="22"/>
              </w:rPr>
              <w:t>20%</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07F266" w14:textId="77777777" w:rsidR="00306B0F" w:rsidRPr="008A4154" w:rsidRDefault="00306B0F" w:rsidP="00D452D2">
            <w:pPr>
              <w:rPr>
                <w:bCs/>
                <w:sz w:val="20"/>
                <w:szCs w:val="22"/>
              </w:rPr>
            </w:pPr>
            <w:r>
              <w:rPr>
                <w:bCs/>
                <w:sz w:val="20"/>
                <w:szCs w:val="22"/>
              </w:rPr>
              <w:t>W</w:t>
            </w:r>
            <w:r w:rsidRPr="008A4154">
              <w:rPr>
                <w:bCs/>
                <w:sz w:val="20"/>
                <w:szCs w:val="22"/>
              </w:rPr>
              <w:t xml:space="preserve">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6CEAE687" w14:textId="77777777" w:rsidR="00306B0F" w:rsidRPr="008A4154" w:rsidRDefault="00306B0F" w:rsidP="00D452D2">
            <w:pPr>
              <w:rPr>
                <w:bCs/>
                <w:sz w:val="20"/>
                <w:szCs w:val="22"/>
              </w:rPr>
            </w:pPr>
            <w:r>
              <w:rPr>
                <w:bCs/>
                <w:sz w:val="20"/>
                <w:szCs w:val="22"/>
              </w:rPr>
              <w:t>No</w:t>
            </w:r>
          </w:p>
        </w:tc>
      </w:tr>
      <w:tr w:rsidR="004E79E8" w:rsidRPr="008A4154" w14:paraId="38888E0C" w14:textId="77777777" w:rsidTr="00D452D2">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EDF5CD" w14:textId="77777777" w:rsidR="00306B0F" w:rsidRPr="008A4154" w:rsidRDefault="00306B0F" w:rsidP="00D452D2">
            <w:pPr>
              <w:rPr>
                <w:bCs/>
                <w:sz w:val="20"/>
                <w:szCs w:val="22"/>
              </w:rPr>
            </w:pPr>
            <w:r>
              <w:rPr>
                <w:bCs/>
                <w:sz w:val="20"/>
                <w:szCs w:val="22"/>
              </w:rPr>
              <w:t>Risk rating</w:t>
            </w:r>
          </w:p>
        </w:tc>
        <w:tc>
          <w:tcPr>
            <w:tcW w:w="937" w:type="dxa"/>
            <w:tcBorders>
              <w:top w:val="single" w:sz="4" w:space="0" w:color="auto"/>
              <w:left w:val="single" w:sz="4" w:space="0" w:color="auto"/>
              <w:bottom w:val="single" w:sz="4" w:space="0" w:color="auto"/>
              <w:right w:val="single" w:sz="4" w:space="0" w:color="auto"/>
            </w:tcBorders>
          </w:tcPr>
          <w:p w14:paraId="5CFBBBFF" w14:textId="77777777" w:rsidR="00306B0F" w:rsidRPr="008A4154" w:rsidRDefault="00306B0F" w:rsidP="00D452D2">
            <w:pPr>
              <w:rPr>
                <w:bCs/>
                <w:sz w:val="20"/>
                <w:szCs w:val="22"/>
              </w:rPr>
            </w:pPr>
            <w:r>
              <w:rPr>
                <w:bCs/>
                <w:sz w:val="20"/>
                <w:szCs w:val="22"/>
              </w:rPr>
              <w:t>Major</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680FA9" w14:textId="77777777" w:rsidR="00306B0F" w:rsidRDefault="00306B0F" w:rsidP="00D452D2">
            <w:pPr>
              <w:rPr>
                <w:bCs/>
                <w:sz w:val="20"/>
                <w:szCs w:val="22"/>
              </w:rPr>
            </w:pPr>
            <w:r>
              <w:rPr>
                <w:bCs/>
                <w:sz w:val="20"/>
                <w:szCs w:val="22"/>
              </w:rPr>
              <w:t>Risk revised since last AR?</w:t>
            </w:r>
          </w:p>
        </w:tc>
        <w:tc>
          <w:tcPr>
            <w:tcW w:w="2812" w:type="dxa"/>
            <w:tcBorders>
              <w:top w:val="single" w:sz="4" w:space="0" w:color="auto"/>
              <w:left w:val="single" w:sz="4" w:space="0" w:color="auto"/>
              <w:bottom w:val="single" w:sz="4" w:space="0" w:color="auto"/>
              <w:right w:val="single" w:sz="4" w:space="0" w:color="auto"/>
            </w:tcBorders>
          </w:tcPr>
          <w:p w14:paraId="732DA10E" w14:textId="77777777" w:rsidR="00306B0F" w:rsidRPr="008A4154" w:rsidRDefault="00306B0F" w:rsidP="00D452D2">
            <w:pPr>
              <w:rPr>
                <w:bCs/>
                <w:sz w:val="20"/>
                <w:szCs w:val="22"/>
              </w:rPr>
            </w:pPr>
            <w:r>
              <w:rPr>
                <w:bCs/>
                <w:sz w:val="20"/>
                <w:szCs w:val="22"/>
              </w:rPr>
              <w:t>No</w:t>
            </w:r>
          </w:p>
        </w:tc>
      </w:tr>
    </w:tbl>
    <w:p w14:paraId="69BE34DA" w14:textId="77777777" w:rsidR="00306B0F" w:rsidRDefault="00306B0F" w:rsidP="00306B0F">
      <w:pPr>
        <w:rPr>
          <w:sz w:val="20"/>
          <w:szCs w:val="22"/>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1564"/>
        <w:gridCol w:w="2977"/>
        <w:gridCol w:w="4810"/>
      </w:tblGrid>
      <w:tr w:rsidR="00306B0F" w:rsidRPr="00E548EA" w14:paraId="5D29872C" w14:textId="77777777" w:rsidTr="00D452D2">
        <w:trPr>
          <w:trHeight w:val="273"/>
        </w:trPr>
        <w:tc>
          <w:tcPr>
            <w:tcW w:w="15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FE8EE0" w14:textId="77777777" w:rsidR="00306B0F" w:rsidRPr="00E548EA" w:rsidRDefault="00306B0F" w:rsidP="00D452D2">
            <w:pPr>
              <w:rPr>
                <w:b/>
                <w:bCs/>
                <w:sz w:val="20"/>
                <w:szCs w:val="22"/>
              </w:rPr>
            </w:pPr>
            <w:r w:rsidRPr="00E548EA">
              <w:rPr>
                <w:b/>
                <w:bCs/>
                <w:sz w:val="20"/>
                <w:szCs w:val="22"/>
              </w:rPr>
              <w:t>Indicator(s)</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BEEA3" w14:textId="77777777" w:rsidR="00306B0F" w:rsidRPr="00E548EA" w:rsidRDefault="00306B0F" w:rsidP="00D452D2">
            <w:pPr>
              <w:rPr>
                <w:b/>
                <w:bCs/>
                <w:sz w:val="20"/>
                <w:szCs w:val="22"/>
              </w:rPr>
            </w:pPr>
            <w:r w:rsidRPr="00E548EA">
              <w:rPr>
                <w:b/>
                <w:bCs/>
                <w:sz w:val="20"/>
                <w:szCs w:val="22"/>
              </w:rPr>
              <w:t>Milestone(s) for this review</w:t>
            </w:r>
          </w:p>
        </w:tc>
        <w:tc>
          <w:tcPr>
            <w:tcW w:w="48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BE8CBA" w14:textId="77777777" w:rsidR="00306B0F" w:rsidRPr="00E548EA" w:rsidRDefault="00306B0F" w:rsidP="00D452D2">
            <w:pPr>
              <w:rPr>
                <w:b/>
                <w:bCs/>
                <w:sz w:val="20"/>
                <w:szCs w:val="22"/>
              </w:rPr>
            </w:pPr>
            <w:r w:rsidRPr="00E548EA">
              <w:rPr>
                <w:b/>
                <w:bCs/>
                <w:sz w:val="20"/>
                <w:szCs w:val="22"/>
              </w:rPr>
              <w:t xml:space="preserve">Progress </w:t>
            </w:r>
          </w:p>
        </w:tc>
      </w:tr>
      <w:tr w:rsidR="00306B0F" w:rsidRPr="00E548EA" w14:paraId="29C935B0" w14:textId="77777777" w:rsidTr="00D452D2">
        <w:tc>
          <w:tcPr>
            <w:tcW w:w="1564" w:type="dxa"/>
            <w:tcBorders>
              <w:top w:val="single" w:sz="4" w:space="0" w:color="auto"/>
              <w:left w:val="single" w:sz="4" w:space="0" w:color="auto"/>
              <w:bottom w:val="single" w:sz="4" w:space="0" w:color="auto"/>
              <w:right w:val="single" w:sz="4" w:space="0" w:color="auto"/>
            </w:tcBorders>
          </w:tcPr>
          <w:p w14:paraId="1D3392DB" w14:textId="2A3AB952" w:rsidR="00306B0F" w:rsidRPr="001D0FDD" w:rsidRDefault="00306B0F" w:rsidP="00D452D2">
            <w:pPr>
              <w:rPr>
                <w:bCs/>
                <w:iCs/>
                <w:sz w:val="20"/>
                <w:szCs w:val="20"/>
              </w:rPr>
            </w:pPr>
            <w:r>
              <w:rPr>
                <w:rFonts w:cs="Arial"/>
                <w:bCs/>
                <w:iCs/>
                <w:sz w:val="20"/>
                <w:szCs w:val="20"/>
              </w:rPr>
              <w:t xml:space="preserve">4.1 - </w:t>
            </w:r>
            <w:r w:rsidRPr="009126B4">
              <w:rPr>
                <w:bCs/>
                <w:iCs/>
                <w:sz w:val="20"/>
                <w:szCs w:val="20"/>
              </w:rPr>
              <w:t xml:space="preserve"> CO</w:t>
            </w:r>
            <w:r w:rsidRPr="009126B4">
              <w:rPr>
                <w:bCs/>
                <w:iCs/>
                <w:sz w:val="20"/>
                <w:szCs w:val="20"/>
                <w:vertAlign w:val="subscript"/>
              </w:rPr>
              <w:t>2</w:t>
            </w:r>
            <w:r w:rsidRPr="00A8484E">
              <w:rPr>
                <w:rFonts w:cs="Arial"/>
                <w:bCs/>
                <w:iCs/>
                <w:sz w:val="20"/>
                <w:szCs w:val="20"/>
              </w:rPr>
              <w:t xml:space="preserve"> stored safely and sustainably in pilot </w:t>
            </w:r>
            <w:r w:rsidRPr="009126B4">
              <w:rPr>
                <w:bCs/>
                <w:iCs/>
                <w:sz w:val="20"/>
                <w:szCs w:val="20"/>
              </w:rPr>
              <w:t xml:space="preserve"> CO</w:t>
            </w:r>
            <w:r w:rsidRPr="009126B4">
              <w:rPr>
                <w:bCs/>
                <w:iCs/>
                <w:sz w:val="20"/>
                <w:szCs w:val="20"/>
                <w:vertAlign w:val="subscript"/>
              </w:rPr>
              <w:t>2</w:t>
            </w:r>
            <w:r w:rsidRPr="00A8484E">
              <w:rPr>
                <w:rFonts w:cs="Arial"/>
                <w:bCs/>
                <w:iCs/>
                <w:sz w:val="20"/>
                <w:szCs w:val="20"/>
              </w:rPr>
              <w:t>storage projects.</w:t>
            </w:r>
          </w:p>
        </w:tc>
        <w:tc>
          <w:tcPr>
            <w:tcW w:w="2977" w:type="dxa"/>
            <w:tcBorders>
              <w:top w:val="single" w:sz="4" w:space="0" w:color="auto"/>
              <w:left w:val="single" w:sz="4" w:space="0" w:color="auto"/>
              <w:bottom w:val="single" w:sz="4" w:space="0" w:color="auto"/>
              <w:right w:val="single" w:sz="4" w:space="0" w:color="auto"/>
            </w:tcBorders>
          </w:tcPr>
          <w:p w14:paraId="5E95964D" w14:textId="77777777" w:rsidR="00306B0F" w:rsidRPr="001D0FDD" w:rsidRDefault="00306B0F" w:rsidP="00D452D2">
            <w:pPr>
              <w:rPr>
                <w:bCs/>
                <w:iCs/>
                <w:sz w:val="20"/>
                <w:szCs w:val="20"/>
              </w:rPr>
            </w:pPr>
            <w:r w:rsidRPr="00A8484E">
              <w:rPr>
                <w:rFonts w:cs="Arial"/>
                <w:bCs/>
                <w:iCs/>
                <w:sz w:val="20"/>
                <w:szCs w:val="20"/>
              </w:rPr>
              <w:t>1 country undertakes test injections and 1 additional country declares an intent to begin planning test injections.</w:t>
            </w:r>
          </w:p>
        </w:tc>
        <w:tc>
          <w:tcPr>
            <w:tcW w:w="4810" w:type="dxa"/>
            <w:tcBorders>
              <w:top w:val="single" w:sz="4" w:space="0" w:color="auto"/>
              <w:left w:val="single" w:sz="4" w:space="0" w:color="auto"/>
              <w:bottom w:val="single" w:sz="4" w:space="0" w:color="auto"/>
              <w:right w:val="single" w:sz="4" w:space="0" w:color="auto"/>
            </w:tcBorders>
          </w:tcPr>
          <w:p w14:paraId="2BB3F166" w14:textId="77777777" w:rsidR="00306B0F" w:rsidRDefault="00306B0F" w:rsidP="00D452D2">
            <w:pPr>
              <w:contextualSpacing/>
              <w:rPr>
                <w:b/>
                <w:iCs/>
                <w:sz w:val="20"/>
                <w:szCs w:val="20"/>
              </w:rPr>
            </w:pPr>
            <w:r>
              <w:rPr>
                <w:b/>
                <w:iCs/>
                <w:sz w:val="20"/>
                <w:szCs w:val="20"/>
              </w:rPr>
              <w:t>Output substantially did not meet expectation</w:t>
            </w:r>
            <w:r w:rsidRPr="00CB4EB3" w:rsidDel="00B34DE3">
              <w:rPr>
                <w:b/>
                <w:iCs/>
                <w:sz w:val="20"/>
                <w:szCs w:val="20"/>
              </w:rPr>
              <w:t xml:space="preserve"> </w:t>
            </w:r>
          </w:p>
          <w:p w14:paraId="31409F56" w14:textId="77777777" w:rsidR="00306B0F" w:rsidRDefault="00306B0F" w:rsidP="00D452D2">
            <w:pPr>
              <w:contextualSpacing/>
              <w:rPr>
                <w:bCs/>
                <w:iCs/>
                <w:sz w:val="20"/>
                <w:szCs w:val="20"/>
                <w:u w:val="single"/>
              </w:rPr>
            </w:pPr>
          </w:p>
          <w:p w14:paraId="172D7272" w14:textId="77777777" w:rsidR="00306B0F" w:rsidRPr="006F59B2" w:rsidRDefault="00306B0F" w:rsidP="00D452D2">
            <w:pPr>
              <w:contextualSpacing/>
              <w:rPr>
                <w:bCs/>
                <w:iCs/>
                <w:sz w:val="20"/>
                <w:szCs w:val="20"/>
              </w:rPr>
            </w:pPr>
            <w:r w:rsidRPr="006F59B2">
              <w:rPr>
                <w:bCs/>
                <w:iCs/>
                <w:sz w:val="20"/>
                <w:szCs w:val="20"/>
              </w:rPr>
              <w:t xml:space="preserve">No country undertook test injections and no new country declared an intent to begin planning test injections.  </w:t>
            </w:r>
          </w:p>
          <w:p w14:paraId="458C4ED7" w14:textId="77777777" w:rsidR="00306B0F" w:rsidRDefault="00306B0F" w:rsidP="00D452D2">
            <w:pPr>
              <w:contextualSpacing/>
              <w:rPr>
                <w:bCs/>
                <w:iCs/>
                <w:sz w:val="20"/>
                <w:szCs w:val="20"/>
                <w:u w:val="single"/>
              </w:rPr>
            </w:pPr>
          </w:p>
          <w:p w14:paraId="32B95643" w14:textId="143CA507" w:rsidR="00306B0F" w:rsidRDefault="00306B0F" w:rsidP="00D452D2">
            <w:pPr>
              <w:contextualSpacing/>
              <w:rPr>
                <w:rFonts w:cs="Arial"/>
                <w:bCs/>
                <w:iCs/>
                <w:sz w:val="20"/>
                <w:szCs w:val="20"/>
              </w:rPr>
            </w:pPr>
            <w:r w:rsidRPr="00B85957">
              <w:rPr>
                <w:bCs/>
                <w:iCs/>
                <w:sz w:val="20"/>
                <w:szCs w:val="20"/>
              </w:rPr>
              <w:t>Test injection</w:t>
            </w:r>
            <w:r>
              <w:rPr>
                <w:bCs/>
                <w:iCs/>
                <w:sz w:val="20"/>
                <w:szCs w:val="20"/>
              </w:rPr>
              <w:t xml:space="preserve"> activities were paused</w:t>
            </w:r>
            <w:r w:rsidRPr="00B85957">
              <w:rPr>
                <w:bCs/>
                <w:iCs/>
                <w:sz w:val="20"/>
                <w:szCs w:val="20"/>
              </w:rPr>
              <w:t xml:space="preserve"> in South Africa </w:t>
            </w:r>
            <w:r>
              <w:rPr>
                <w:bCs/>
                <w:iCs/>
                <w:sz w:val="20"/>
                <w:szCs w:val="20"/>
              </w:rPr>
              <w:t>while a new pilot storage project site was identified</w:t>
            </w:r>
            <w:r w:rsidRPr="00B85957">
              <w:rPr>
                <w:bCs/>
                <w:iCs/>
                <w:sz w:val="20"/>
                <w:szCs w:val="20"/>
              </w:rPr>
              <w:t xml:space="preserve">. </w:t>
            </w:r>
            <w:r w:rsidRPr="00B85957">
              <w:rPr>
                <w:sz w:val="20"/>
                <w:szCs w:val="20"/>
              </w:rPr>
              <w:t>Petróleos Mexicanos</w:t>
            </w:r>
            <w:r w:rsidRPr="00B85957">
              <w:rPr>
                <w:rFonts w:cs="Arial"/>
                <w:bCs/>
                <w:iCs/>
                <w:sz w:val="20"/>
                <w:szCs w:val="20"/>
              </w:rPr>
              <w:t xml:space="preserve"> </w:t>
            </w:r>
            <w:r>
              <w:rPr>
                <w:rFonts w:cs="Arial"/>
                <w:bCs/>
                <w:iCs/>
                <w:sz w:val="20"/>
                <w:szCs w:val="20"/>
              </w:rPr>
              <w:t>remain interested</w:t>
            </w:r>
            <w:r w:rsidRPr="00B85957">
              <w:rPr>
                <w:rFonts w:cs="Arial"/>
                <w:bCs/>
                <w:iCs/>
                <w:sz w:val="20"/>
                <w:szCs w:val="20"/>
              </w:rPr>
              <w:t xml:space="preserve"> in the development of the pilot injections</w:t>
            </w:r>
            <w:r>
              <w:rPr>
                <w:rFonts w:cs="Arial"/>
                <w:bCs/>
                <w:iCs/>
                <w:sz w:val="20"/>
                <w:szCs w:val="20"/>
              </w:rPr>
              <w:t xml:space="preserve"> in Mexico but no new progress was made in 2020.</w:t>
            </w:r>
          </w:p>
          <w:p w14:paraId="0B2F1F1C" w14:textId="77777777" w:rsidR="00306B0F" w:rsidRPr="00B85957" w:rsidRDefault="00306B0F" w:rsidP="00D452D2">
            <w:pPr>
              <w:contextualSpacing/>
              <w:rPr>
                <w:rFonts w:cs="Arial"/>
                <w:bCs/>
                <w:iCs/>
                <w:sz w:val="20"/>
                <w:szCs w:val="20"/>
              </w:rPr>
            </w:pPr>
          </w:p>
        </w:tc>
      </w:tr>
      <w:tr w:rsidR="00306B0F" w:rsidRPr="00E548EA" w14:paraId="1680B874" w14:textId="77777777" w:rsidTr="00D452D2">
        <w:tc>
          <w:tcPr>
            <w:tcW w:w="1564" w:type="dxa"/>
            <w:tcBorders>
              <w:top w:val="single" w:sz="4" w:space="0" w:color="auto"/>
              <w:left w:val="single" w:sz="4" w:space="0" w:color="auto"/>
              <w:bottom w:val="single" w:sz="4" w:space="0" w:color="auto"/>
              <w:right w:val="single" w:sz="4" w:space="0" w:color="auto"/>
            </w:tcBorders>
          </w:tcPr>
          <w:p w14:paraId="271D637A" w14:textId="3F343EC2" w:rsidR="00306B0F" w:rsidRPr="00E548EA" w:rsidRDefault="00306B0F" w:rsidP="00D452D2">
            <w:pPr>
              <w:rPr>
                <w:bCs/>
                <w:sz w:val="20"/>
                <w:szCs w:val="22"/>
              </w:rPr>
            </w:pPr>
            <w:r>
              <w:rPr>
                <w:bCs/>
                <w:sz w:val="20"/>
                <w:szCs w:val="22"/>
              </w:rPr>
              <w:t xml:space="preserve">4.2 - </w:t>
            </w:r>
            <w:r w:rsidRPr="009126B4">
              <w:rPr>
                <w:bCs/>
                <w:iCs/>
                <w:sz w:val="22"/>
                <w:szCs w:val="22"/>
              </w:rPr>
              <w:t xml:space="preserve"> </w:t>
            </w:r>
            <w:r w:rsidRPr="002D4542">
              <w:rPr>
                <w:bCs/>
                <w:iCs/>
                <w:sz w:val="20"/>
                <w:szCs w:val="20"/>
              </w:rPr>
              <w:t>CO</w:t>
            </w:r>
            <w:r w:rsidRPr="002D4542">
              <w:rPr>
                <w:bCs/>
                <w:iCs/>
                <w:sz w:val="20"/>
                <w:szCs w:val="20"/>
                <w:vertAlign w:val="subscript"/>
              </w:rPr>
              <w:t>2</w:t>
            </w:r>
            <w:r w:rsidRPr="009F6EE0">
              <w:rPr>
                <w:bCs/>
                <w:sz w:val="20"/>
                <w:szCs w:val="22"/>
              </w:rPr>
              <w:t xml:space="preserve"> captured safely and sustainably in pilot </w:t>
            </w:r>
            <w:r w:rsidRPr="009126B4">
              <w:rPr>
                <w:bCs/>
                <w:iCs/>
                <w:sz w:val="20"/>
                <w:szCs w:val="20"/>
              </w:rPr>
              <w:t xml:space="preserve"> CO</w:t>
            </w:r>
            <w:r w:rsidRPr="009126B4">
              <w:rPr>
                <w:bCs/>
                <w:iCs/>
                <w:sz w:val="20"/>
                <w:szCs w:val="20"/>
                <w:vertAlign w:val="subscript"/>
              </w:rPr>
              <w:t>2</w:t>
            </w:r>
            <w:r w:rsidRPr="009F6EE0">
              <w:rPr>
                <w:bCs/>
                <w:sz w:val="20"/>
                <w:szCs w:val="22"/>
              </w:rPr>
              <w:t>capture projects.</w:t>
            </w:r>
          </w:p>
        </w:tc>
        <w:tc>
          <w:tcPr>
            <w:tcW w:w="2977" w:type="dxa"/>
            <w:tcBorders>
              <w:top w:val="single" w:sz="4" w:space="0" w:color="auto"/>
              <w:left w:val="single" w:sz="4" w:space="0" w:color="auto"/>
              <w:bottom w:val="single" w:sz="4" w:space="0" w:color="auto"/>
              <w:right w:val="single" w:sz="4" w:space="0" w:color="auto"/>
            </w:tcBorders>
          </w:tcPr>
          <w:p w14:paraId="2D7DFE30" w14:textId="5258801A" w:rsidR="00306B0F" w:rsidRPr="00E548EA" w:rsidRDefault="00306B0F" w:rsidP="00D452D2">
            <w:pPr>
              <w:rPr>
                <w:bCs/>
                <w:sz w:val="20"/>
                <w:szCs w:val="22"/>
              </w:rPr>
            </w:pPr>
            <w:r w:rsidRPr="009F6EE0">
              <w:rPr>
                <w:bCs/>
                <w:sz w:val="20"/>
                <w:szCs w:val="22"/>
              </w:rPr>
              <w:t>1 country declares an intent to undertake pre-feasibility studies for a pilot</w:t>
            </w:r>
            <w:r w:rsidRPr="009126B4">
              <w:rPr>
                <w:bCs/>
                <w:iCs/>
                <w:sz w:val="20"/>
                <w:szCs w:val="20"/>
              </w:rPr>
              <w:t xml:space="preserve"> CO</w:t>
            </w:r>
            <w:r w:rsidRPr="009126B4">
              <w:rPr>
                <w:bCs/>
                <w:iCs/>
                <w:sz w:val="20"/>
                <w:szCs w:val="20"/>
                <w:vertAlign w:val="subscript"/>
              </w:rPr>
              <w:t>2</w:t>
            </w:r>
            <w:r w:rsidRPr="009F6EE0">
              <w:rPr>
                <w:bCs/>
                <w:sz w:val="20"/>
                <w:szCs w:val="22"/>
              </w:rPr>
              <w:t>capture project.</w:t>
            </w:r>
          </w:p>
        </w:tc>
        <w:tc>
          <w:tcPr>
            <w:tcW w:w="4810" w:type="dxa"/>
            <w:tcBorders>
              <w:top w:val="single" w:sz="4" w:space="0" w:color="auto"/>
              <w:left w:val="single" w:sz="4" w:space="0" w:color="auto"/>
              <w:bottom w:val="single" w:sz="4" w:space="0" w:color="auto"/>
              <w:right w:val="single" w:sz="4" w:space="0" w:color="auto"/>
            </w:tcBorders>
          </w:tcPr>
          <w:p w14:paraId="558D3A1F" w14:textId="77777777" w:rsidR="00306B0F" w:rsidRPr="00CB4EB3" w:rsidRDefault="00306B0F" w:rsidP="00D452D2">
            <w:pPr>
              <w:rPr>
                <w:b/>
                <w:sz w:val="20"/>
                <w:szCs w:val="22"/>
              </w:rPr>
            </w:pPr>
            <w:r>
              <w:rPr>
                <w:b/>
                <w:sz w:val="20"/>
                <w:szCs w:val="22"/>
              </w:rPr>
              <w:t>Output moderately exceeded expectation</w:t>
            </w:r>
          </w:p>
          <w:p w14:paraId="25FBAA6E" w14:textId="77777777" w:rsidR="00306B0F" w:rsidRDefault="00306B0F" w:rsidP="00D452D2">
            <w:pPr>
              <w:rPr>
                <w:bCs/>
                <w:sz w:val="20"/>
                <w:szCs w:val="22"/>
                <w:u w:val="single"/>
              </w:rPr>
            </w:pPr>
          </w:p>
          <w:p w14:paraId="42C5F868" w14:textId="7B2EF841" w:rsidR="00306B0F" w:rsidRDefault="00306B0F" w:rsidP="00D452D2">
            <w:pPr>
              <w:rPr>
                <w:bCs/>
                <w:sz w:val="20"/>
                <w:szCs w:val="22"/>
              </w:rPr>
            </w:pPr>
            <w:r>
              <w:rPr>
                <w:bCs/>
                <w:sz w:val="20"/>
                <w:szCs w:val="22"/>
              </w:rPr>
              <w:t>In December 2020, through the exchange of formal letters, the Secretariat of Environment and Natural Resources</w:t>
            </w:r>
            <w:r w:rsidRPr="009E2839">
              <w:rPr>
                <w:bCs/>
                <w:sz w:val="20"/>
                <w:szCs w:val="22"/>
              </w:rPr>
              <w:t xml:space="preserve"> </w:t>
            </w:r>
            <w:r>
              <w:rPr>
                <w:bCs/>
                <w:sz w:val="20"/>
                <w:szCs w:val="22"/>
              </w:rPr>
              <w:t xml:space="preserve">in Mexico </w:t>
            </w:r>
            <w:r w:rsidRPr="009E2839">
              <w:rPr>
                <w:bCs/>
                <w:sz w:val="20"/>
                <w:szCs w:val="22"/>
              </w:rPr>
              <w:t xml:space="preserve">declared </w:t>
            </w:r>
            <w:r>
              <w:rPr>
                <w:bCs/>
                <w:sz w:val="20"/>
                <w:szCs w:val="22"/>
              </w:rPr>
              <w:t xml:space="preserve">a </w:t>
            </w:r>
            <w:r w:rsidRPr="009E2839">
              <w:rPr>
                <w:bCs/>
                <w:sz w:val="20"/>
                <w:szCs w:val="22"/>
              </w:rPr>
              <w:t>strong interest in being the counterpart for a Recipient-executed pilot</w:t>
            </w:r>
            <w:r w:rsidRPr="009126B4">
              <w:rPr>
                <w:bCs/>
                <w:iCs/>
                <w:sz w:val="20"/>
                <w:szCs w:val="20"/>
              </w:rPr>
              <w:t xml:space="preserve"> CO</w:t>
            </w:r>
            <w:r w:rsidRPr="009126B4">
              <w:rPr>
                <w:bCs/>
                <w:iCs/>
                <w:sz w:val="20"/>
                <w:szCs w:val="20"/>
                <w:vertAlign w:val="subscript"/>
              </w:rPr>
              <w:t>2</w:t>
            </w:r>
            <w:r w:rsidRPr="009E2839">
              <w:rPr>
                <w:bCs/>
                <w:sz w:val="20"/>
                <w:szCs w:val="22"/>
              </w:rPr>
              <w:t xml:space="preserve"> capture</w:t>
            </w:r>
            <w:r>
              <w:rPr>
                <w:bCs/>
                <w:sz w:val="20"/>
                <w:szCs w:val="22"/>
              </w:rPr>
              <w:t xml:space="preserve"> project with the World Bank. </w:t>
            </w:r>
          </w:p>
          <w:p w14:paraId="3FD77B55" w14:textId="77777777" w:rsidR="00306B0F" w:rsidRDefault="00306B0F" w:rsidP="00D452D2">
            <w:pPr>
              <w:rPr>
                <w:bCs/>
                <w:sz w:val="20"/>
                <w:szCs w:val="22"/>
              </w:rPr>
            </w:pPr>
          </w:p>
          <w:p w14:paraId="4046F244" w14:textId="77777777" w:rsidR="00306B0F" w:rsidRDefault="00306B0F" w:rsidP="00D452D2">
            <w:pPr>
              <w:rPr>
                <w:bCs/>
                <w:sz w:val="20"/>
                <w:szCs w:val="22"/>
              </w:rPr>
            </w:pPr>
            <w:r>
              <w:rPr>
                <w:bCs/>
                <w:sz w:val="20"/>
                <w:szCs w:val="22"/>
              </w:rPr>
              <w:t xml:space="preserve">The ADB is now working on pre-feasibility studies in two projects in India. </w:t>
            </w:r>
          </w:p>
          <w:p w14:paraId="3AB395A5" w14:textId="703F1CF6" w:rsidR="00757CA1" w:rsidRPr="00933D47" w:rsidRDefault="00757CA1" w:rsidP="00D452D2">
            <w:pPr>
              <w:rPr>
                <w:bCs/>
                <w:sz w:val="20"/>
                <w:szCs w:val="22"/>
              </w:rPr>
            </w:pPr>
          </w:p>
        </w:tc>
      </w:tr>
    </w:tbl>
    <w:p w14:paraId="6B0C6A8C" w14:textId="610BF2B1" w:rsidR="00306B0F" w:rsidRPr="00A849A1" w:rsidRDefault="00306B0F" w:rsidP="00306B0F">
      <w:pPr>
        <w:jc w:val="both"/>
        <w:rPr>
          <w:rFonts w:cs="Arial"/>
          <w:b/>
          <w:bCs/>
          <w:sz w:val="22"/>
          <w:szCs w:val="22"/>
        </w:rPr>
      </w:pPr>
      <w:r w:rsidRPr="00A849A1">
        <w:rPr>
          <w:rFonts w:cs="Arial"/>
          <w:b/>
          <w:bCs/>
          <w:sz w:val="22"/>
          <w:szCs w:val="22"/>
        </w:rPr>
        <w:t xml:space="preserve">Briefly describe the output and provide supporting narrative for the score. </w:t>
      </w:r>
    </w:p>
    <w:p w14:paraId="56605D71" w14:textId="77777777" w:rsidR="00306B0F" w:rsidRPr="00A849A1" w:rsidRDefault="00306B0F" w:rsidP="00306B0F">
      <w:pPr>
        <w:jc w:val="both"/>
        <w:rPr>
          <w:rFonts w:cs="Arial"/>
          <w:b/>
          <w:bCs/>
          <w:sz w:val="22"/>
          <w:szCs w:val="22"/>
          <w:highlight w:val="yellow"/>
        </w:rPr>
      </w:pPr>
    </w:p>
    <w:p w14:paraId="49ED9722" w14:textId="1A52FE18" w:rsidR="00306B0F" w:rsidRDefault="00306B0F" w:rsidP="00306B0F">
      <w:pPr>
        <w:textAlignment w:val="center"/>
        <w:rPr>
          <w:sz w:val="22"/>
          <w:szCs w:val="22"/>
          <w:lang w:eastAsia="en-GB"/>
        </w:rPr>
      </w:pPr>
      <w:r>
        <w:rPr>
          <w:sz w:val="22"/>
          <w:szCs w:val="22"/>
          <w:lang w:eastAsia="en-GB"/>
        </w:rPr>
        <w:t xml:space="preserve">No test injections occurred in 2020 (see output 3). Although the Mexican Secretariat of Energy remains interested in pilot injections in Mexico, no new progress was made in 2020 due to delays in decision-making on CCUS activities by the Mexican government. Mexico’s Secretariat of Environment and Natural Resources have declared an intent to undertake pre-feasibility studies. Two studies are already underway in India and final reports are expected in May 2021. In Mexico, a pilot site has not yet been identified. </w:t>
      </w:r>
    </w:p>
    <w:p w14:paraId="6F7609AA" w14:textId="77777777" w:rsidR="00306B0F" w:rsidRPr="00A849A1" w:rsidRDefault="00306B0F" w:rsidP="00306B0F">
      <w:pPr>
        <w:jc w:val="both"/>
        <w:rPr>
          <w:rFonts w:cs="Arial"/>
          <w:bCs/>
          <w:sz w:val="22"/>
          <w:szCs w:val="22"/>
          <w:highlight w:val="yellow"/>
        </w:rPr>
      </w:pPr>
    </w:p>
    <w:p w14:paraId="1E5DC089" w14:textId="77777777" w:rsidR="00306B0F" w:rsidRDefault="00306B0F" w:rsidP="00306B0F">
      <w:pPr>
        <w:rPr>
          <w:rFonts w:cs="Arial"/>
          <w:b/>
          <w:sz w:val="22"/>
          <w:szCs w:val="22"/>
        </w:rPr>
      </w:pPr>
      <w:r w:rsidRPr="003E3944">
        <w:rPr>
          <w:rFonts w:cs="Arial"/>
          <w:b/>
          <w:bCs/>
          <w:sz w:val="22"/>
          <w:szCs w:val="22"/>
        </w:rPr>
        <w:t>Assess the VfM of this output compared to the proposition in the Business Case, based on performance over the past year</w:t>
      </w:r>
      <w:r w:rsidRPr="003E3944">
        <w:rPr>
          <w:rFonts w:cs="Arial"/>
          <w:b/>
          <w:sz w:val="22"/>
          <w:szCs w:val="22"/>
        </w:rPr>
        <w:t xml:space="preserve"> </w:t>
      </w:r>
    </w:p>
    <w:p w14:paraId="0DB01254" w14:textId="77777777" w:rsidR="00306B0F" w:rsidRDefault="00306B0F" w:rsidP="00306B0F">
      <w:pPr>
        <w:rPr>
          <w:rFonts w:cs="Arial"/>
          <w:b/>
          <w:sz w:val="22"/>
          <w:szCs w:val="22"/>
        </w:rPr>
      </w:pPr>
    </w:p>
    <w:p w14:paraId="17A3DA49" w14:textId="46A62192" w:rsidR="00306B0F" w:rsidRDefault="00306B0F">
      <w:pPr>
        <w:rPr>
          <w:rFonts w:cs="Arial"/>
          <w:bCs/>
          <w:sz w:val="22"/>
          <w:szCs w:val="22"/>
        </w:rPr>
      </w:pPr>
      <w:r w:rsidRPr="00EF5E30">
        <w:rPr>
          <w:rFonts w:cs="Arial"/>
          <w:bCs/>
          <w:sz w:val="22"/>
          <w:szCs w:val="22"/>
        </w:rPr>
        <w:t xml:space="preserve">For indicator 4.1 please see the </w:t>
      </w:r>
      <w:r>
        <w:rPr>
          <w:rFonts w:cs="Arial"/>
          <w:bCs/>
          <w:sz w:val="22"/>
          <w:szCs w:val="22"/>
        </w:rPr>
        <w:t>value-for-money</w:t>
      </w:r>
      <w:r w:rsidRPr="00EF5E30">
        <w:rPr>
          <w:rFonts w:cs="Arial"/>
          <w:bCs/>
          <w:sz w:val="22"/>
          <w:szCs w:val="22"/>
        </w:rPr>
        <w:t xml:space="preserve"> section for output 3. For indicator 4.2, interest in new pilot carbon capture projects </w:t>
      </w:r>
      <w:r>
        <w:rPr>
          <w:rFonts w:cs="Arial"/>
          <w:bCs/>
          <w:sz w:val="22"/>
          <w:szCs w:val="22"/>
        </w:rPr>
        <w:t>is</w:t>
      </w:r>
      <w:r w:rsidRPr="00EF5E30">
        <w:rPr>
          <w:rFonts w:cs="Arial"/>
          <w:bCs/>
          <w:sz w:val="22"/>
          <w:szCs w:val="22"/>
        </w:rPr>
        <w:t xml:space="preserve"> a positive sign, but</w:t>
      </w:r>
      <w:r w:rsidR="00F67DF4">
        <w:rPr>
          <w:rFonts w:cs="Arial"/>
          <w:bCs/>
          <w:sz w:val="22"/>
          <w:szCs w:val="22"/>
        </w:rPr>
        <w:t xml:space="preserve"> existing pilot project activities have demonstrated less value-for-money in 2020 than anticipated</w:t>
      </w:r>
      <w:r w:rsidR="00F67DF4" w:rsidRPr="00EF5E30">
        <w:rPr>
          <w:rFonts w:cs="Arial"/>
          <w:bCs/>
          <w:sz w:val="22"/>
          <w:szCs w:val="22"/>
        </w:rPr>
        <w:t>.</w:t>
      </w:r>
      <w:r w:rsidR="00F958EE">
        <w:rPr>
          <w:rFonts w:cs="Arial"/>
          <w:bCs/>
          <w:sz w:val="22"/>
          <w:szCs w:val="22"/>
        </w:rPr>
        <w:t xml:space="preserve"> </w:t>
      </w:r>
      <w:r w:rsidR="00BA2065">
        <w:rPr>
          <w:rFonts w:cs="Arial"/>
          <w:bCs/>
          <w:sz w:val="22"/>
          <w:szCs w:val="22"/>
        </w:rPr>
        <w:t>D</w:t>
      </w:r>
      <w:r w:rsidRPr="00EF5E30">
        <w:rPr>
          <w:rFonts w:cs="Arial"/>
          <w:bCs/>
          <w:sz w:val="22"/>
          <w:szCs w:val="22"/>
        </w:rPr>
        <w:t xml:space="preserve">elivery partners must </w:t>
      </w:r>
      <w:r w:rsidR="00BA2065">
        <w:rPr>
          <w:rFonts w:cs="Arial"/>
          <w:bCs/>
          <w:sz w:val="22"/>
          <w:szCs w:val="22"/>
        </w:rPr>
        <w:t xml:space="preserve">therefore </w:t>
      </w:r>
      <w:r w:rsidRPr="00EF5E30">
        <w:rPr>
          <w:rFonts w:cs="Arial"/>
          <w:bCs/>
          <w:sz w:val="22"/>
          <w:szCs w:val="22"/>
        </w:rPr>
        <w:t>work to accelerated timescales if these activities are to achieve transformational change by the end of the programme</w:t>
      </w:r>
      <w:r w:rsidR="00183919">
        <w:rPr>
          <w:rFonts w:cs="Arial"/>
          <w:bCs/>
          <w:sz w:val="22"/>
          <w:szCs w:val="22"/>
        </w:rPr>
        <w:t xml:space="preserve">. </w:t>
      </w:r>
    </w:p>
    <w:p w14:paraId="6DC6CF0C" w14:textId="77777777" w:rsidR="00F958EE" w:rsidRPr="00A849A1" w:rsidRDefault="00F958EE" w:rsidP="00F958EE">
      <w:pPr>
        <w:rPr>
          <w:rFonts w:cs="Arial"/>
          <w:bCs/>
          <w:sz w:val="22"/>
          <w:szCs w:val="22"/>
        </w:rPr>
      </w:pPr>
    </w:p>
    <w:p w14:paraId="03F9E3C9" w14:textId="77777777" w:rsidR="00306B0F" w:rsidRPr="00A849A1" w:rsidRDefault="00306B0F" w:rsidP="00306B0F">
      <w:pPr>
        <w:rPr>
          <w:rFonts w:cs="Arial"/>
          <w:sz w:val="22"/>
          <w:szCs w:val="22"/>
        </w:rPr>
      </w:pPr>
      <w:r w:rsidRPr="00A849A1">
        <w:rPr>
          <w:b/>
          <w:bCs/>
          <w:sz w:val="22"/>
          <w:szCs w:val="22"/>
        </w:rPr>
        <w:t xml:space="preserve">Describe any changes to this output, and any planned changes as a result of this review. </w:t>
      </w:r>
    </w:p>
    <w:p w14:paraId="4D4446E4" w14:textId="77777777" w:rsidR="00306B0F" w:rsidRDefault="00306B0F" w:rsidP="00306B0F">
      <w:pPr>
        <w:rPr>
          <w:rFonts w:cs="Arial"/>
          <w:sz w:val="22"/>
          <w:szCs w:val="22"/>
        </w:rPr>
      </w:pPr>
    </w:p>
    <w:p w14:paraId="40A06CDD" w14:textId="46810487" w:rsidR="00306B0F" w:rsidRPr="00A849A1" w:rsidRDefault="00306B0F" w:rsidP="00306B0F">
      <w:pPr>
        <w:rPr>
          <w:rFonts w:cs="Arial"/>
          <w:sz w:val="22"/>
          <w:szCs w:val="22"/>
        </w:rPr>
      </w:pPr>
      <w:r>
        <w:rPr>
          <w:rFonts w:cs="Arial"/>
          <w:sz w:val="22"/>
          <w:szCs w:val="22"/>
        </w:rPr>
        <w:t xml:space="preserve">No changes were made to this output in 2020. </w:t>
      </w:r>
      <w:r w:rsidRPr="00A849A1">
        <w:rPr>
          <w:rFonts w:cs="Arial"/>
          <w:sz w:val="22"/>
          <w:szCs w:val="22"/>
        </w:rPr>
        <w:t xml:space="preserve">In light of this year’s results, BEIS will consider amending the 2021 milestone to aim for a pilot storage project in South Africa to </w:t>
      </w:r>
      <w:r>
        <w:rPr>
          <w:rFonts w:cs="Arial"/>
          <w:sz w:val="22"/>
          <w:szCs w:val="22"/>
        </w:rPr>
        <w:t>confirm a storage location and continue the</w:t>
      </w:r>
      <w:r w:rsidRPr="00A849A1">
        <w:rPr>
          <w:rFonts w:cs="Arial"/>
          <w:sz w:val="22"/>
          <w:szCs w:val="22"/>
        </w:rPr>
        <w:t xml:space="preserve"> planning phase, and a pilot storage project to be identified in Indonesia and Mexico. </w:t>
      </w:r>
    </w:p>
    <w:p w14:paraId="657D3A91" w14:textId="77777777" w:rsidR="00306B0F" w:rsidRPr="00A849A1" w:rsidRDefault="00306B0F" w:rsidP="00306B0F">
      <w:pPr>
        <w:jc w:val="both"/>
        <w:rPr>
          <w:rFonts w:cs="Arial"/>
          <w:sz w:val="22"/>
          <w:szCs w:val="22"/>
        </w:rPr>
      </w:pPr>
      <w:r w:rsidRPr="00A849A1">
        <w:rPr>
          <w:rFonts w:cs="Arial"/>
          <w:b/>
          <w:bCs/>
          <w:sz w:val="22"/>
          <w:szCs w:val="22"/>
        </w:rPr>
        <w:lastRenderedPageBreak/>
        <w:t xml:space="preserve">Progress on recommendations from the previous AR, lessons learned this year and recommendations for the year ahead </w:t>
      </w:r>
    </w:p>
    <w:p w14:paraId="103CB62E" w14:textId="77777777" w:rsidR="00306B0F" w:rsidRPr="00A849A1" w:rsidRDefault="00306B0F" w:rsidP="00306B0F">
      <w:pPr>
        <w:jc w:val="both"/>
        <w:rPr>
          <w:rFonts w:cs="Arial"/>
          <w:sz w:val="22"/>
          <w:szCs w:val="22"/>
        </w:rPr>
      </w:pPr>
    </w:p>
    <w:p w14:paraId="4651544F" w14:textId="6021D009" w:rsidR="00D61DE8" w:rsidRPr="00D61DE8" w:rsidRDefault="00D61DE8" w:rsidP="00D61DE8">
      <w:pPr>
        <w:tabs>
          <w:tab w:val="left" w:pos="6915"/>
          <w:tab w:val="left" w:pos="9495"/>
        </w:tabs>
        <w:rPr>
          <w:bCs/>
          <w:sz w:val="22"/>
          <w:szCs w:val="22"/>
        </w:rPr>
      </w:pPr>
      <w:r w:rsidRPr="00D61DE8">
        <w:rPr>
          <w:bCs/>
          <w:sz w:val="22"/>
          <w:szCs w:val="22"/>
        </w:rPr>
        <w:t>The World Bank and the ADB to engage at official and senior levels with target country governments to ensure that approved activities that support policies, regulations and/or legislative frameworks and pilot projects in target countries commence</w:t>
      </w:r>
      <w:r w:rsidR="005E0A5A">
        <w:rPr>
          <w:bCs/>
          <w:sz w:val="22"/>
          <w:szCs w:val="22"/>
        </w:rPr>
        <w:t xml:space="preserve"> </w:t>
      </w:r>
      <w:r w:rsidRPr="00D61DE8">
        <w:rPr>
          <w:bCs/>
          <w:sz w:val="22"/>
          <w:szCs w:val="22"/>
        </w:rPr>
        <w:t>(by 31</w:t>
      </w:r>
      <w:r w:rsidRPr="00D61DE8">
        <w:rPr>
          <w:bCs/>
          <w:sz w:val="22"/>
          <w:szCs w:val="22"/>
          <w:vertAlign w:val="superscript"/>
        </w:rPr>
        <w:t>st</w:t>
      </w:r>
      <w:r w:rsidRPr="00D61DE8">
        <w:rPr>
          <w:bCs/>
          <w:sz w:val="22"/>
          <w:szCs w:val="22"/>
        </w:rPr>
        <w:t xml:space="preserve"> January 2022).</w:t>
      </w:r>
    </w:p>
    <w:p w14:paraId="2554111B" w14:textId="2520F068" w:rsidR="00757CA1" w:rsidRDefault="00757CA1" w:rsidP="00306B0F">
      <w:pPr>
        <w:rPr>
          <w:sz w:val="20"/>
          <w:szCs w:val="22"/>
        </w:rPr>
      </w:pPr>
    </w:p>
    <w:p w14:paraId="7BB39713" w14:textId="77777777" w:rsidR="00757CA1" w:rsidRDefault="00757CA1" w:rsidP="00306B0F">
      <w:pPr>
        <w:rPr>
          <w:sz w:val="20"/>
          <w:szCs w:val="22"/>
        </w:rPr>
      </w:pPr>
    </w:p>
    <w:p w14:paraId="24A73096" w14:textId="77777777" w:rsidR="00306B0F" w:rsidRPr="00F70DBE" w:rsidRDefault="00306B0F" w:rsidP="00306B0F">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bCs/>
          <w:sz w:val="20"/>
          <w:szCs w:val="20"/>
        </w:rPr>
      </w:pPr>
      <w:r w:rsidRPr="004362AD">
        <w:rPr>
          <w:rFonts w:cs="Arial"/>
          <w:b/>
          <w:bCs/>
          <w:sz w:val="28"/>
          <w:szCs w:val="28"/>
        </w:rPr>
        <w:t xml:space="preserve">D: </w:t>
      </w:r>
      <w:r w:rsidRPr="004362AD">
        <w:rPr>
          <w:b/>
          <w:bCs/>
          <w:sz w:val="28"/>
          <w:szCs w:val="28"/>
        </w:rPr>
        <w:t>PROJECT PERFORMANCE NOT CAPTURED BY OUTPUTS</w:t>
      </w:r>
      <w:r w:rsidRPr="00F405CF">
        <w:rPr>
          <w:b/>
          <w:bCs/>
        </w:rPr>
        <w:t xml:space="preserve"> </w:t>
      </w:r>
    </w:p>
    <w:p w14:paraId="3CFFACA8" w14:textId="77777777" w:rsidR="00306B0F" w:rsidRDefault="00306B0F" w:rsidP="00306B0F">
      <w:pPr>
        <w:rPr>
          <w:sz w:val="20"/>
          <w:szCs w:val="22"/>
        </w:rPr>
      </w:pPr>
    </w:p>
    <w:p w14:paraId="378F6B6B" w14:textId="39C8070A" w:rsidR="00306B0F" w:rsidRDefault="00306B0F" w:rsidP="00306B0F">
      <w:pPr>
        <w:spacing w:before="120" w:after="120"/>
        <w:jc w:val="both"/>
        <w:rPr>
          <w:sz w:val="22"/>
          <w:szCs w:val="22"/>
        </w:rPr>
      </w:pPr>
      <w:r>
        <w:rPr>
          <w:rFonts w:cs="Arial"/>
          <w:sz w:val="22"/>
          <w:szCs w:val="22"/>
        </w:rPr>
        <w:t>In 2020, t</w:t>
      </w:r>
      <w:r w:rsidRPr="00A613E5">
        <w:rPr>
          <w:rFonts w:cs="Arial"/>
          <w:sz w:val="22"/>
          <w:szCs w:val="22"/>
        </w:rPr>
        <w:t xml:space="preserve">he World Bank CCS Trust Fund submitted a proposal to the Industrial Decarbonisation window of the wider Energy Sector Management Assistance Programme Umbrella Trust Fund (ESMAP) to receive funds for a screening study to identify and rate low-cost industrial CCUS projects in developing countries. </w:t>
      </w:r>
      <w:r>
        <w:rPr>
          <w:rFonts w:cs="Arial"/>
          <w:sz w:val="22"/>
          <w:szCs w:val="22"/>
        </w:rPr>
        <w:t xml:space="preserve">The project aims to commence activities in July 2021. </w:t>
      </w:r>
      <w:r w:rsidRPr="00A613E5">
        <w:rPr>
          <w:sz w:val="22"/>
          <w:szCs w:val="22"/>
        </w:rPr>
        <w:t>Together, ESMAP and the World Bank CCS Trust Fund also released an internal call for proposals to identify additional countries and projects to support.</w:t>
      </w:r>
      <w:r w:rsidRPr="00A613E5">
        <w:rPr>
          <w:rFonts w:cs="Arial"/>
          <w:sz w:val="22"/>
          <w:szCs w:val="22"/>
        </w:rPr>
        <w:t xml:space="preserve"> BEIS would normally expect these types of activities to occur in earlier phases of programme delivery.</w:t>
      </w:r>
      <w:r w:rsidRPr="00A613E5">
        <w:rPr>
          <w:sz w:val="22"/>
          <w:szCs w:val="22"/>
        </w:rPr>
        <w:t xml:space="preserve"> </w:t>
      </w:r>
      <w:r>
        <w:rPr>
          <w:rFonts w:cs="Arial"/>
          <w:sz w:val="22"/>
          <w:szCs w:val="22"/>
        </w:rPr>
        <w:t>Although</w:t>
      </w:r>
      <w:r w:rsidRPr="00A613E5" w:rsidDel="00AA1ECE">
        <w:rPr>
          <w:rFonts w:cs="Arial"/>
          <w:sz w:val="22"/>
          <w:szCs w:val="22"/>
        </w:rPr>
        <w:t xml:space="preserve"> </w:t>
      </w:r>
      <w:r w:rsidRPr="00A613E5">
        <w:rPr>
          <w:rFonts w:cs="Arial"/>
          <w:sz w:val="22"/>
          <w:szCs w:val="22"/>
        </w:rPr>
        <w:t>the screening study aligns with BEIS’s policy priority to support industrial CCUS applications in developing countries and this study targets a current knowledge gap</w:t>
      </w:r>
      <w:r>
        <w:rPr>
          <w:rFonts w:cs="Arial"/>
          <w:sz w:val="22"/>
          <w:szCs w:val="22"/>
        </w:rPr>
        <w:t>, BEIS expects funds from the International CCUS Programme to be drawn upon for CCUS activities, rather than those from ESMAP’s industrial decarbonisation window</w:t>
      </w:r>
      <w:r w:rsidRPr="00A613E5">
        <w:rPr>
          <w:rFonts w:cs="Arial"/>
          <w:sz w:val="22"/>
          <w:szCs w:val="22"/>
        </w:rPr>
        <w:t xml:space="preserve">. </w:t>
      </w:r>
    </w:p>
    <w:p w14:paraId="53B7F27D" w14:textId="77777777" w:rsidR="00306B0F" w:rsidRDefault="00306B0F" w:rsidP="00306B0F">
      <w:pPr>
        <w:rPr>
          <w:sz w:val="22"/>
          <w:szCs w:val="22"/>
        </w:rPr>
      </w:pPr>
    </w:p>
    <w:p w14:paraId="52DE8D43" w14:textId="77777777" w:rsidR="00306B0F" w:rsidRPr="00A613E5" w:rsidRDefault="00306B0F" w:rsidP="00306B0F">
      <w:pPr>
        <w:rPr>
          <w:sz w:val="22"/>
          <w:szCs w:val="22"/>
          <w:highlight w:val="yellow"/>
        </w:rPr>
      </w:pPr>
      <w:r>
        <w:rPr>
          <w:sz w:val="22"/>
          <w:szCs w:val="22"/>
        </w:rPr>
        <w:t>Of the nine countries/regions engaged by the World Bank CCS Trust Fund to date, five countries (South Africa, Mexico, Indonesia, Egypt, China) have included CCUS as part of their Nationally Determined Contribution under the Paris Agreement.</w:t>
      </w:r>
    </w:p>
    <w:p w14:paraId="3EDE13BD" w14:textId="77777777" w:rsidR="00306B0F" w:rsidRDefault="00306B0F" w:rsidP="00306B0F">
      <w:pPr>
        <w:rPr>
          <w:sz w:val="20"/>
          <w:szCs w:val="22"/>
        </w:rPr>
      </w:pPr>
    </w:p>
    <w:p w14:paraId="68A80FAD" w14:textId="77777777" w:rsidR="00306B0F" w:rsidRDefault="00306B0F" w:rsidP="00306B0F">
      <w:pPr>
        <w:rPr>
          <w:sz w:val="20"/>
          <w:szCs w:val="22"/>
        </w:rPr>
      </w:pPr>
    </w:p>
    <w:p w14:paraId="126E4DC5" w14:textId="77777777" w:rsidR="00306B0F" w:rsidRPr="00F70DBE" w:rsidRDefault="00306B0F" w:rsidP="00306B0F">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bCs/>
          <w:sz w:val="20"/>
          <w:szCs w:val="20"/>
        </w:rPr>
      </w:pPr>
      <w:r>
        <w:rPr>
          <w:rFonts w:cs="Arial"/>
          <w:b/>
          <w:bCs/>
          <w:sz w:val="28"/>
          <w:szCs w:val="22"/>
        </w:rPr>
        <w:t>E</w:t>
      </w:r>
      <w:r w:rsidRPr="00F70DBE">
        <w:rPr>
          <w:rFonts w:cs="Arial"/>
          <w:b/>
          <w:bCs/>
          <w:sz w:val="28"/>
          <w:szCs w:val="22"/>
        </w:rPr>
        <w:t>: RISK</w:t>
      </w:r>
    </w:p>
    <w:p w14:paraId="2CAA43F4" w14:textId="77777777" w:rsidR="00306B0F" w:rsidRDefault="00306B0F" w:rsidP="00306B0F">
      <w:pPr>
        <w:rPr>
          <w:b/>
          <w:bCs/>
          <w:sz w:val="22"/>
          <w:szCs w:val="22"/>
        </w:rPr>
      </w:pPr>
    </w:p>
    <w:p w14:paraId="1AFDA2C3" w14:textId="77777777" w:rsidR="00306B0F" w:rsidRDefault="00306B0F" w:rsidP="00306B0F">
      <w:pPr>
        <w:contextualSpacing/>
        <w:rPr>
          <w:rFonts w:cs="Arial"/>
          <w:b/>
          <w:bCs/>
          <w:sz w:val="22"/>
          <w:szCs w:val="22"/>
        </w:rPr>
      </w:pPr>
      <w:r w:rsidRPr="00FC547D">
        <w:rPr>
          <w:rFonts w:cs="Arial"/>
          <w:b/>
          <w:bCs/>
          <w:sz w:val="22"/>
          <w:szCs w:val="22"/>
        </w:rPr>
        <w:t xml:space="preserve">Overall risk rating: </w:t>
      </w:r>
      <w:r>
        <w:rPr>
          <w:rFonts w:cs="Arial"/>
          <w:b/>
          <w:bCs/>
          <w:sz w:val="22"/>
          <w:szCs w:val="22"/>
        </w:rPr>
        <w:t>Severe</w:t>
      </w:r>
    </w:p>
    <w:p w14:paraId="0F59D262" w14:textId="77777777" w:rsidR="00306B0F" w:rsidRPr="005011AB" w:rsidRDefault="00306B0F" w:rsidP="00306B0F">
      <w:pPr>
        <w:contextualSpacing/>
        <w:rPr>
          <w:rFonts w:cs="Arial"/>
          <w:b/>
          <w:bCs/>
          <w:sz w:val="20"/>
          <w:szCs w:val="20"/>
        </w:rPr>
      </w:pPr>
    </w:p>
    <w:p w14:paraId="03E8AE48" w14:textId="06A8E79D" w:rsidR="00306B0F" w:rsidRDefault="00306B0F" w:rsidP="00306B0F">
      <w:pPr>
        <w:rPr>
          <w:sz w:val="22"/>
          <w:szCs w:val="22"/>
        </w:rPr>
      </w:pPr>
      <w:r w:rsidRPr="001B0399">
        <w:rPr>
          <w:rFonts w:cs="Arial"/>
          <w:sz w:val="22"/>
          <w:szCs w:val="22"/>
        </w:rPr>
        <w:t>The risk rating increased from ‘major’ to ‘severe’</w:t>
      </w:r>
      <w:r>
        <w:rPr>
          <w:rFonts w:cs="Arial"/>
          <w:sz w:val="22"/>
          <w:szCs w:val="22"/>
        </w:rPr>
        <w:t xml:space="preserve"> in 2020</w:t>
      </w:r>
      <w:r w:rsidRPr="001B0399">
        <w:rPr>
          <w:rFonts w:cs="Arial"/>
          <w:sz w:val="22"/>
          <w:szCs w:val="22"/>
        </w:rPr>
        <w:t xml:space="preserve">, noting that the </w:t>
      </w:r>
      <w:r>
        <w:rPr>
          <w:rFonts w:cs="Arial"/>
          <w:sz w:val="22"/>
          <w:szCs w:val="22"/>
        </w:rPr>
        <w:t>p</w:t>
      </w:r>
      <w:r w:rsidRPr="001B0399">
        <w:rPr>
          <w:rFonts w:cs="Arial"/>
          <w:sz w:val="22"/>
          <w:szCs w:val="22"/>
        </w:rPr>
        <w:t>rogramme</w:t>
      </w:r>
      <w:r>
        <w:rPr>
          <w:rFonts w:cs="Arial"/>
          <w:sz w:val="22"/>
          <w:szCs w:val="22"/>
        </w:rPr>
        <w:t xml:space="preserve"> has</w:t>
      </w:r>
      <w:r w:rsidRPr="001B0399">
        <w:rPr>
          <w:rFonts w:cs="Arial"/>
          <w:sz w:val="22"/>
          <w:szCs w:val="22"/>
        </w:rPr>
        <w:t xml:space="preserve"> scored a </w:t>
      </w:r>
      <w:r w:rsidR="004C13EB">
        <w:rPr>
          <w:rFonts w:cs="Arial"/>
          <w:sz w:val="22"/>
          <w:szCs w:val="22"/>
        </w:rPr>
        <w:t>‘C’ and has substantially not met expectations.</w:t>
      </w:r>
      <w:r w:rsidRPr="001B0399">
        <w:rPr>
          <w:rFonts w:cs="Arial"/>
          <w:sz w:val="22"/>
          <w:szCs w:val="22"/>
        </w:rPr>
        <w:t xml:space="preserve"> The original business case judged the </w:t>
      </w:r>
      <w:r>
        <w:rPr>
          <w:rFonts w:cs="Arial"/>
          <w:sz w:val="22"/>
          <w:szCs w:val="22"/>
        </w:rPr>
        <w:t>p</w:t>
      </w:r>
      <w:r w:rsidRPr="001B0399">
        <w:rPr>
          <w:rFonts w:cs="Arial"/>
          <w:sz w:val="22"/>
          <w:szCs w:val="22"/>
        </w:rPr>
        <w:t>rogramme to be medium</w:t>
      </w:r>
      <w:r>
        <w:rPr>
          <w:rFonts w:cs="Arial"/>
          <w:sz w:val="22"/>
          <w:szCs w:val="22"/>
        </w:rPr>
        <w:t>-</w:t>
      </w:r>
      <w:r w:rsidRPr="001B0399">
        <w:rPr>
          <w:rFonts w:cs="Arial"/>
          <w:sz w:val="22"/>
          <w:szCs w:val="22"/>
        </w:rPr>
        <w:t>to</w:t>
      </w:r>
      <w:r>
        <w:rPr>
          <w:rFonts w:cs="Arial"/>
          <w:sz w:val="22"/>
          <w:szCs w:val="22"/>
        </w:rPr>
        <w:t>-</w:t>
      </w:r>
      <w:r w:rsidRPr="001B0399">
        <w:rPr>
          <w:rFonts w:cs="Arial"/>
          <w:sz w:val="22"/>
          <w:szCs w:val="22"/>
        </w:rPr>
        <w:t>high risk, and the extension business case judged the further £10m contribution as high risk. This was found to be in</w:t>
      </w:r>
      <w:r>
        <w:rPr>
          <w:rFonts w:cs="Arial"/>
          <w:sz w:val="22"/>
          <w:szCs w:val="22"/>
        </w:rPr>
        <w:t>-</w:t>
      </w:r>
      <w:r w:rsidRPr="001B0399">
        <w:rPr>
          <w:rFonts w:cs="Arial"/>
          <w:sz w:val="22"/>
          <w:szCs w:val="22"/>
        </w:rPr>
        <w:t xml:space="preserve">line with BEIS ICF’s risk appetite as the potential reward of success was high. BEIS judges that active and pipeline projects do have the potential to be transformational. BEIS also views CCUS as a </w:t>
      </w:r>
      <w:r w:rsidRPr="001B0399">
        <w:rPr>
          <w:sz w:val="22"/>
          <w:szCs w:val="22"/>
        </w:rPr>
        <w:t>critical ‘transformative’ technology to combat climate change</w:t>
      </w:r>
      <w:r>
        <w:rPr>
          <w:sz w:val="22"/>
          <w:szCs w:val="22"/>
        </w:rPr>
        <w:t xml:space="preserve">, </w:t>
      </w:r>
      <w:r w:rsidRPr="000B72B4">
        <w:rPr>
          <w:sz w:val="22"/>
          <w:szCs w:val="22"/>
        </w:rPr>
        <w:t>noting that it accounts for 15% of the global cumulative emissions reductions needed to reach net-zero in 2070 (IEA, 2020).</w:t>
      </w:r>
      <w:r w:rsidRPr="001B0399">
        <w:rPr>
          <w:sz w:val="22"/>
          <w:szCs w:val="22"/>
        </w:rPr>
        <w:t xml:space="preserve"> </w:t>
      </w:r>
      <w:r>
        <w:rPr>
          <w:sz w:val="22"/>
          <w:szCs w:val="22"/>
        </w:rPr>
        <w:t>D</w:t>
      </w:r>
      <w:r w:rsidRPr="001B0399">
        <w:rPr>
          <w:sz w:val="22"/>
          <w:szCs w:val="22"/>
        </w:rPr>
        <w:t>emonstration in developing countries needs to take place in parallel with demonstrations in developed countries</w:t>
      </w:r>
      <w:r w:rsidR="001355B6">
        <w:rPr>
          <w:sz w:val="22"/>
          <w:szCs w:val="22"/>
        </w:rPr>
        <w:t xml:space="preserve"> to improve visibility of the technologies in a range of countries</w:t>
      </w:r>
      <w:r w:rsidRPr="001B0399">
        <w:rPr>
          <w:sz w:val="22"/>
          <w:szCs w:val="22"/>
        </w:rPr>
        <w:t>.</w:t>
      </w:r>
      <w:r>
        <w:rPr>
          <w:sz w:val="22"/>
          <w:szCs w:val="22"/>
        </w:rPr>
        <w:t xml:space="preserve"> According to the Global CCS Institute, five of the top ten countries that require CCUS are eligible to receive aid. However, only China is in the top 10 countries ready for commercial deployment of CCUS.</w:t>
      </w:r>
      <w:r w:rsidRPr="001B0399">
        <w:rPr>
          <w:sz w:val="22"/>
          <w:szCs w:val="22"/>
        </w:rPr>
        <w:t xml:space="preserve"> </w:t>
      </w:r>
    </w:p>
    <w:p w14:paraId="1072A7DF" w14:textId="77777777" w:rsidR="00306B0F" w:rsidRDefault="00306B0F" w:rsidP="00306B0F">
      <w:pPr>
        <w:rPr>
          <w:sz w:val="22"/>
          <w:szCs w:val="22"/>
        </w:rPr>
      </w:pPr>
    </w:p>
    <w:p w14:paraId="7D31403B" w14:textId="74792D4D" w:rsidR="00306B0F" w:rsidRPr="005E0A5A" w:rsidRDefault="00306B0F" w:rsidP="005E0A5A">
      <w:pPr>
        <w:tabs>
          <w:tab w:val="left" w:pos="6915"/>
          <w:tab w:val="left" w:pos="9495"/>
        </w:tabs>
        <w:rPr>
          <w:rFonts w:cs="Arial"/>
          <w:szCs w:val="20"/>
        </w:rPr>
      </w:pPr>
      <w:r w:rsidRPr="00255F8A">
        <w:rPr>
          <w:sz w:val="22"/>
          <w:szCs w:val="22"/>
        </w:rPr>
        <w:t>Given the lack of progress in Indonesia and South Africa in 2020, and limited progress in Mexico and China, the programme is no longer on track to deliver all objectives by the end of December 2023. This is primarily due to delays to pilot project implementation</w:t>
      </w:r>
      <w:r w:rsidRPr="00EB7C33">
        <w:rPr>
          <w:sz w:val="22"/>
          <w:szCs w:val="22"/>
        </w:rPr>
        <w:t xml:space="preserve"> </w:t>
      </w:r>
      <w:r>
        <w:rPr>
          <w:sz w:val="22"/>
          <w:szCs w:val="22"/>
        </w:rPr>
        <w:t xml:space="preserve">partly </w:t>
      </w:r>
      <w:r w:rsidRPr="00255F8A">
        <w:rPr>
          <w:rFonts w:cs="Arial"/>
          <w:sz w:val="22"/>
          <w:szCs w:val="22"/>
        </w:rPr>
        <w:t xml:space="preserve">as a result of </w:t>
      </w:r>
      <w:r>
        <w:rPr>
          <w:rFonts w:cs="Arial"/>
          <w:sz w:val="22"/>
          <w:szCs w:val="22"/>
        </w:rPr>
        <w:t xml:space="preserve">delays in </w:t>
      </w:r>
      <w:r w:rsidRPr="00255F8A">
        <w:rPr>
          <w:rFonts w:cs="Arial"/>
          <w:sz w:val="22"/>
          <w:szCs w:val="22"/>
        </w:rPr>
        <w:t xml:space="preserve">decision-making </w:t>
      </w:r>
      <w:r>
        <w:rPr>
          <w:rFonts w:cs="Arial"/>
          <w:sz w:val="22"/>
          <w:szCs w:val="22"/>
        </w:rPr>
        <w:t>on CCUS activities by recipient</w:t>
      </w:r>
      <w:r w:rsidRPr="00255F8A">
        <w:rPr>
          <w:rFonts w:cs="Arial"/>
          <w:sz w:val="22"/>
          <w:szCs w:val="22"/>
        </w:rPr>
        <w:t xml:space="preserve"> governments (Mexico, Indonesia, South Africa) or technical issues at pilot project sites (Indonesia and South Africa). </w:t>
      </w:r>
      <w:r w:rsidR="00845642">
        <w:rPr>
          <w:rFonts w:cs="Arial"/>
          <w:sz w:val="22"/>
          <w:szCs w:val="22"/>
        </w:rPr>
        <w:t>P</w:t>
      </w:r>
      <w:r w:rsidR="003245F9" w:rsidRPr="0041604F">
        <w:rPr>
          <w:rFonts w:cs="Arial"/>
          <w:sz w:val="22"/>
          <w:szCs w:val="22"/>
        </w:rPr>
        <w:t xml:space="preserve">roject activities </w:t>
      </w:r>
      <w:r w:rsidR="00845642">
        <w:rPr>
          <w:rFonts w:cs="Arial"/>
          <w:sz w:val="22"/>
          <w:szCs w:val="22"/>
        </w:rPr>
        <w:t xml:space="preserve">have been </w:t>
      </w:r>
      <w:r w:rsidR="003245F9" w:rsidRPr="0041604F">
        <w:rPr>
          <w:rFonts w:cs="Arial"/>
          <w:sz w:val="22"/>
          <w:szCs w:val="22"/>
        </w:rPr>
        <w:t xml:space="preserve">delayed in South Africa since November 2018, in Mexico since July 2018, and in </w:t>
      </w:r>
      <w:r w:rsidR="003245F9" w:rsidRPr="003801D6">
        <w:rPr>
          <w:rFonts w:cs="Arial"/>
          <w:sz w:val="22"/>
          <w:szCs w:val="22"/>
        </w:rPr>
        <w:t>Indonesia since December 2019. Although delays are less severe in China, activities are still delayed by one year.</w:t>
      </w:r>
      <w:r w:rsidR="00845642" w:rsidRPr="003801D6">
        <w:rPr>
          <w:rFonts w:cs="Arial"/>
          <w:sz w:val="22"/>
          <w:szCs w:val="22"/>
        </w:rPr>
        <w:t xml:space="preserve"> </w:t>
      </w:r>
      <w:r w:rsidR="003801D6" w:rsidRPr="003801D6">
        <w:rPr>
          <w:sz w:val="22"/>
          <w:szCs w:val="22"/>
        </w:rPr>
        <w:t>As such, although these existing delays were exacerbated by the COVID-19 pandemic, they are longer-term issues that pre-date the pandemic.</w:t>
      </w:r>
      <w:r w:rsidR="00206F9F" w:rsidRPr="003801D6">
        <w:rPr>
          <w:sz w:val="22"/>
          <w:szCs w:val="22"/>
        </w:rPr>
        <w:t xml:space="preserve"> Delays</w:t>
      </w:r>
      <w:r w:rsidR="002747AF" w:rsidRPr="003801D6">
        <w:rPr>
          <w:sz w:val="22"/>
          <w:szCs w:val="22"/>
        </w:rPr>
        <w:t xml:space="preserve"> </w:t>
      </w:r>
      <w:r w:rsidR="000250B9" w:rsidRPr="003801D6">
        <w:rPr>
          <w:sz w:val="22"/>
          <w:szCs w:val="22"/>
        </w:rPr>
        <w:t xml:space="preserve">have had </w:t>
      </w:r>
      <w:r w:rsidR="000250B9">
        <w:rPr>
          <w:sz w:val="22"/>
          <w:szCs w:val="22"/>
        </w:rPr>
        <w:t>a knock-on effect at the portfolio-level, leading to</w:t>
      </w:r>
      <w:r w:rsidRPr="00EB7C33">
        <w:rPr>
          <w:rFonts w:cs="Arial"/>
          <w:sz w:val="22"/>
          <w:szCs w:val="22"/>
        </w:rPr>
        <w:t xml:space="preserve"> slow allocation</w:t>
      </w:r>
      <w:r w:rsidRPr="00255F8A">
        <w:rPr>
          <w:rFonts w:cs="Arial"/>
          <w:sz w:val="22"/>
          <w:szCs w:val="22"/>
        </w:rPr>
        <w:t xml:space="preserve"> and disbursement of funds by both Trust Funds.</w:t>
      </w:r>
    </w:p>
    <w:tbl>
      <w:tblPr>
        <w:tblStyle w:val="TableGrid"/>
        <w:tblW w:w="0" w:type="auto"/>
        <w:jc w:val="center"/>
        <w:tblLook w:val="04A0" w:firstRow="1" w:lastRow="0" w:firstColumn="1" w:lastColumn="0" w:noHBand="0" w:noVBand="1"/>
      </w:tblPr>
      <w:tblGrid>
        <w:gridCol w:w="2977"/>
        <w:gridCol w:w="3822"/>
        <w:gridCol w:w="2217"/>
      </w:tblGrid>
      <w:tr w:rsidR="00306B0F" w:rsidRPr="001B0399" w14:paraId="56B0C4B5" w14:textId="77777777" w:rsidTr="00D452D2">
        <w:trPr>
          <w:jc w:val="center"/>
        </w:trPr>
        <w:tc>
          <w:tcPr>
            <w:tcW w:w="2977" w:type="dxa"/>
            <w:shd w:val="clear" w:color="auto" w:fill="D9E2F3" w:themeFill="accent1" w:themeFillTint="33"/>
          </w:tcPr>
          <w:p w14:paraId="657A1DEE" w14:textId="77777777" w:rsidR="00306B0F" w:rsidRPr="001B0399" w:rsidRDefault="00306B0F" w:rsidP="00D452D2">
            <w:pPr>
              <w:contextualSpacing/>
              <w:rPr>
                <w:rFonts w:cs="Arial"/>
                <w:b/>
                <w:bCs/>
                <w:sz w:val="22"/>
                <w:szCs w:val="22"/>
              </w:rPr>
            </w:pPr>
            <w:r w:rsidRPr="001B0399">
              <w:rPr>
                <w:rFonts w:cs="Arial"/>
                <w:b/>
                <w:bCs/>
                <w:sz w:val="22"/>
                <w:szCs w:val="22"/>
              </w:rPr>
              <w:lastRenderedPageBreak/>
              <w:t xml:space="preserve">Risk description </w:t>
            </w:r>
          </w:p>
        </w:tc>
        <w:tc>
          <w:tcPr>
            <w:tcW w:w="3822" w:type="dxa"/>
            <w:shd w:val="clear" w:color="auto" w:fill="D9E2F3" w:themeFill="accent1" w:themeFillTint="33"/>
          </w:tcPr>
          <w:p w14:paraId="18DB0F1A" w14:textId="77777777" w:rsidR="00306B0F" w:rsidRPr="001B0399" w:rsidRDefault="00306B0F" w:rsidP="00D452D2">
            <w:pPr>
              <w:contextualSpacing/>
              <w:rPr>
                <w:rFonts w:cs="Arial"/>
                <w:b/>
                <w:bCs/>
                <w:sz w:val="22"/>
                <w:szCs w:val="22"/>
              </w:rPr>
            </w:pPr>
            <w:r w:rsidRPr="001B0399">
              <w:rPr>
                <w:rFonts w:cs="Arial"/>
                <w:b/>
                <w:bCs/>
                <w:sz w:val="22"/>
                <w:szCs w:val="22"/>
              </w:rPr>
              <w:t xml:space="preserve">Mitigation strategy </w:t>
            </w:r>
          </w:p>
        </w:tc>
        <w:tc>
          <w:tcPr>
            <w:tcW w:w="2217" w:type="dxa"/>
            <w:shd w:val="clear" w:color="auto" w:fill="D9E2F3" w:themeFill="accent1" w:themeFillTint="33"/>
          </w:tcPr>
          <w:p w14:paraId="26DF118B" w14:textId="7E66D108" w:rsidR="00306B0F" w:rsidRPr="001B0399" w:rsidRDefault="00306B0F" w:rsidP="00D452D2">
            <w:pPr>
              <w:contextualSpacing/>
              <w:rPr>
                <w:rFonts w:cs="Arial"/>
                <w:b/>
                <w:bCs/>
                <w:sz w:val="22"/>
                <w:szCs w:val="22"/>
              </w:rPr>
            </w:pPr>
            <w:r w:rsidRPr="001B0399">
              <w:rPr>
                <w:rFonts w:cs="Arial"/>
                <w:b/>
                <w:bCs/>
                <w:sz w:val="22"/>
                <w:szCs w:val="22"/>
              </w:rPr>
              <w:t>Residual Risk rating</w:t>
            </w:r>
          </w:p>
        </w:tc>
      </w:tr>
      <w:tr w:rsidR="00306B0F" w:rsidRPr="001B0399" w14:paraId="62F8E878" w14:textId="77777777" w:rsidTr="00D452D2">
        <w:trPr>
          <w:jc w:val="center"/>
        </w:trPr>
        <w:tc>
          <w:tcPr>
            <w:tcW w:w="2977" w:type="dxa"/>
          </w:tcPr>
          <w:p w14:paraId="56772AF8" w14:textId="77777777" w:rsidR="00306B0F" w:rsidRPr="001B0399" w:rsidRDefault="00306B0F" w:rsidP="00D452D2">
            <w:pPr>
              <w:contextualSpacing/>
              <w:rPr>
                <w:rFonts w:cs="Arial"/>
                <w:b/>
                <w:bCs/>
                <w:sz w:val="22"/>
                <w:szCs w:val="22"/>
              </w:rPr>
            </w:pPr>
            <w:r w:rsidRPr="001B0399">
              <w:rPr>
                <w:rFonts w:cs="Arial"/>
                <w:sz w:val="22"/>
                <w:szCs w:val="22"/>
              </w:rPr>
              <w:t xml:space="preserve">Expected outcomes not met </w:t>
            </w:r>
            <w:r>
              <w:rPr>
                <w:rFonts w:cs="Arial"/>
                <w:sz w:val="22"/>
                <w:szCs w:val="22"/>
              </w:rPr>
              <w:t xml:space="preserve">by the end of the Programme </w:t>
            </w:r>
            <w:r w:rsidRPr="001B0399">
              <w:rPr>
                <w:rFonts w:cs="Arial"/>
                <w:sz w:val="22"/>
                <w:szCs w:val="22"/>
              </w:rPr>
              <w:t>due to significant underspend (£37.5m) and slower than expected disbursement in both Trust Funds.</w:t>
            </w:r>
          </w:p>
        </w:tc>
        <w:tc>
          <w:tcPr>
            <w:tcW w:w="3822" w:type="dxa"/>
          </w:tcPr>
          <w:p w14:paraId="34B8566B" w14:textId="77777777" w:rsidR="00306B0F" w:rsidRPr="001B0399" w:rsidRDefault="00306B0F" w:rsidP="00D452D2">
            <w:pPr>
              <w:contextualSpacing/>
              <w:rPr>
                <w:rFonts w:cs="Arial"/>
                <w:sz w:val="22"/>
                <w:szCs w:val="22"/>
              </w:rPr>
            </w:pPr>
            <w:r w:rsidRPr="3BFD8BE8">
              <w:rPr>
                <w:rFonts w:cs="Arial"/>
                <w:sz w:val="22"/>
                <w:szCs w:val="22"/>
              </w:rPr>
              <w:t xml:space="preserve">Full pipelines and expected encashment schedules were a recommendation of the 2020 annual review. Despite requests from BEIS, this recommendation was not achieved. </w:t>
            </w:r>
          </w:p>
        </w:tc>
        <w:tc>
          <w:tcPr>
            <w:tcW w:w="2217" w:type="dxa"/>
            <w:shd w:val="clear" w:color="auto" w:fill="C00000"/>
            <w:vAlign w:val="center"/>
          </w:tcPr>
          <w:p w14:paraId="1ED8170C" w14:textId="77777777" w:rsidR="00306B0F" w:rsidRPr="001B0399" w:rsidRDefault="00306B0F" w:rsidP="00D452D2">
            <w:pPr>
              <w:contextualSpacing/>
              <w:jc w:val="center"/>
              <w:rPr>
                <w:rFonts w:cs="Arial"/>
                <w:sz w:val="22"/>
                <w:szCs w:val="22"/>
              </w:rPr>
            </w:pPr>
            <w:r w:rsidRPr="001B0399">
              <w:rPr>
                <w:rFonts w:cs="Arial"/>
                <w:sz w:val="22"/>
                <w:szCs w:val="22"/>
              </w:rPr>
              <w:t>Severe</w:t>
            </w:r>
          </w:p>
        </w:tc>
      </w:tr>
      <w:tr w:rsidR="00306B0F" w:rsidRPr="001B0399" w14:paraId="19A44592" w14:textId="77777777" w:rsidTr="00314AD5">
        <w:trPr>
          <w:jc w:val="center"/>
        </w:trPr>
        <w:tc>
          <w:tcPr>
            <w:tcW w:w="2977" w:type="dxa"/>
          </w:tcPr>
          <w:p w14:paraId="01FB3DE1" w14:textId="285B1BFD" w:rsidR="00306B0F" w:rsidRPr="001B0399" w:rsidRDefault="00306B0F" w:rsidP="00D452D2">
            <w:pPr>
              <w:contextualSpacing/>
              <w:rPr>
                <w:rFonts w:cs="Arial"/>
                <w:sz w:val="22"/>
                <w:szCs w:val="22"/>
              </w:rPr>
            </w:pPr>
            <w:r>
              <w:rPr>
                <w:rFonts w:cs="Arial"/>
                <w:sz w:val="22"/>
                <w:szCs w:val="22"/>
              </w:rPr>
              <w:t>Expected outcomes not met by the end of the Programme due to d</w:t>
            </w:r>
            <w:r w:rsidRPr="001B0399">
              <w:rPr>
                <w:rFonts w:cs="Arial"/>
                <w:sz w:val="22"/>
                <w:szCs w:val="22"/>
              </w:rPr>
              <w:t>eveloping countries not demonstrat</w:t>
            </w:r>
            <w:r>
              <w:rPr>
                <w:rFonts w:cs="Arial"/>
                <w:sz w:val="22"/>
                <w:szCs w:val="22"/>
              </w:rPr>
              <w:t>ing sustained</w:t>
            </w:r>
            <w:r w:rsidRPr="001B0399">
              <w:rPr>
                <w:rFonts w:cs="Arial"/>
                <w:sz w:val="22"/>
                <w:szCs w:val="22"/>
              </w:rPr>
              <w:t xml:space="preserve"> political will to develop CCUS </w:t>
            </w:r>
            <w:r>
              <w:rPr>
                <w:rFonts w:cs="Arial"/>
                <w:sz w:val="22"/>
                <w:szCs w:val="22"/>
              </w:rPr>
              <w:t xml:space="preserve">(e.g. </w:t>
            </w:r>
            <w:r w:rsidRPr="001B0399">
              <w:rPr>
                <w:rFonts w:cs="Arial"/>
                <w:sz w:val="22"/>
                <w:szCs w:val="22"/>
              </w:rPr>
              <w:t>due to competing priorities in-country</w:t>
            </w:r>
            <w:r>
              <w:rPr>
                <w:rFonts w:cs="Arial"/>
                <w:sz w:val="22"/>
                <w:szCs w:val="22"/>
              </w:rPr>
              <w:t>, fiscal situation and</w:t>
            </w:r>
            <w:r w:rsidRPr="001B0399">
              <w:rPr>
                <w:rFonts w:cs="Arial"/>
                <w:sz w:val="22"/>
                <w:szCs w:val="22"/>
              </w:rPr>
              <w:t xml:space="preserve"> </w:t>
            </w:r>
            <w:r>
              <w:rPr>
                <w:rFonts w:cs="Arial"/>
                <w:sz w:val="22"/>
                <w:szCs w:val="22"/>
              </w:rPr>
              <w:t xml:space="preserve">impact of </w:t>
            </w:r>
            <w:r w:rsidRPr="001B0399">
              <w:rPr>
                <w:rFonts w:cs="Arial"/>
                <w:sz w:val="22"/>
                <w:szCs w:val="22"/>
              </w:rPr>
              <w:t>COVID-19 pandemic</w:t>
            </w:r>
            <w:r>
              <w:rPr>
                <w:rFonts w:cs="Arial"/>
                <w:sz w:val="22"/>
                <w:szCs w:val="22"/>
              </w:rPr>
              <w:t>)</w:t>
            </w:r>
            <w:r w:rsidRPr="001B0399">
              <w:rPr>
                <w:rFonts w:cs="Arial"/>
                <w:sz w:val="22"/>
                <w:szCs w:val="22"/>
              </w:rPr>
              <w:t>.</w:t>
            </w:r>
          </w:p>
        </w:tc>
        <w:tc>
          <w:tcPr>
            <w:tcW w:w="3822" w:type="dxa"/>
          </w:tcPr>
          <w:p w14:paraId="1E81A500" w14:textId="083AC101" w:rsidR="00306B0F" w:rsidRPr="001B0399" w:rsidRDefault="00306B0F" w:rsidP="00D452D2">
            <w:pPr>
              <w:contextualSpacing/>
              <w:rPr>
                <w:rFonts w:cs="Arial"/>
                <w:sz w:val="22"/>
                <w:szCs w:val="22"/>
              </w:rPr>
            </w:pPr>
            <w:r w:rsidRPr="001B0399">
              <w:rPr>
                <w:rFonts w:cs="Arial"/>
                <w:sz w:val="22"/>
                <w:szCs w:val="22"/>
              </w:rPr>
              <w:t xml:space="preserve">BEIS worked with </w:t>
            </w:r>
            <w:r>
              <w:rPr>
                <w:rFonts w:cs="Arial"/>
                <w:sz w:val="22"/>
                <w:szCs w:val="22"/>
              </w:rPr>
              <w:t>UK Embassies and High Commissions in target countries</w:t>
            </w:r>
            <w:r w:rsidRPr="001B0399">
              <w:rPr>
                <w:rFonts w:cs="Arial"/>
                <w:sz w:val="22"/>
                <w:szCs w:val="22"/>
              </w:rPr>
              <w:t xml:space="preserve"> and both Trust Funds monitor</w:t>
            </w:r>
            <w:r>
              <w:rPr>
                <w:rFonts w:cs="Arial"/>
                <w:sz w:val="22"/>
                <w:szCs w:val="22"/>
              </w:rPr>
              <w:t>ed</w:t>
            </w:r>
            <w:r w:rsidRPr="001B0399">
              <w:rPr>
                <w:rFonts w:cs="Arial"/>
                <w:sz w:val="22"/>
                <w:szCs w:val="22"/>
              </w:rPr>
              <w:t xml:space="preserve"> political contexts to promote CCUS development. There w</w:t>
            </w:r>
            <w:r>
              <w:rPr>
                <w:rFonts w:cs="Arial"/>
                <w:sz w:val="22"/>
                <w:szCs w:val="22"/>
              </w:rPr>
              <w:t>ere</w:t>
            </w:r>
            <w:r w:rsidRPr="001B0399">
              <w:rPr>
                <w:rFonts w:cs="Arial"/>
                <w:sz w:val="22"/>
                <w:szCs w:val="22"/>
              </w:rPr>
              <w:t xml:space="preserve"> positive steps taken by the Government </w:t>
            </w:r>
            <w:r>
              <w:rPr>
                <w:rFonts w:cs="Arial"/>
                <w:sz w:val="22"/>
                <w:szCs w:val="22"/>
              </w:rPr>
              <w:t>of</w:t>
            </w:r>
            <w:r w:rsidRPr="001B0399">
              <w:rPr>
                <w:rFonts w:cs="Arial"/>
                <w:sz w:val="22"/>
                <w:szCs w:val="22"/>
              </w:rPr>
              <w:t xml:space="preserve"> Mexico in 2020, </w:t>
            </w:r>
            <w:r>
              <w:rPr>
                <w:rFonts w:cs="Arial"/>
                <w:sz w:val="22"/>
                <w:szCs w:val="22"/>
              </w:rPr>
              <w:t>limited</w:t>
            </w:r>
            <w:r w:rsidRPr="001B0399">
              <w:rPr>
                <w:rFonts w:cs="Arial"/>
                <w:sz w:val="22"/>
                <w:szCs w:val="22"/>
              </w:rPr>
              <w:t xml:space="preserve"> progress in Indonesia and </w:t>
            </w:r>
            <w:r>
              <w:rPr>
                <w:rFonts w:cs="Arial"/>
                <w:sz w:val="22"/>
                <w:szCs w:val="22"/>
              </w:rPr>
              <w:t xml:space="preserve">limited </w:t>
            </w:r>
            <w:r w:rsidRPr="001B0399">
              <w:rPr>
                <w:rFonts w:cs="Arial"/>
                <w:sz w:val="22"/>
                <w:szCs w:val="22"/>
              </w:rPr>
              <w:t>progress in South Africa</w:t>
            </w:r>
            <w:r>
              <w:rPr>
                <w:rFonts w:cs="Arial"/>
                <w:sz w:val="22"/>
                <w:szCs w:val="22"/>
              </w:rPr>
              <w:t xml:space="preserve"> whilst the Grant Agreement was restructured</w:t>
            </w:r>
            <w:r w:rsidRPr="001B0399">
              <w:rPr>
                <w:rFonts w:cs="Arial"/>
                <w:sz w:val="22"/>
                <w:szCs w:val="22"/>
              </w:rPr>
              <w:t xml:space="preserve">. </w:t>
            </w:r>
          </w:p>
        </w:tc>
        <w:tc>
          <w:tcPr>
            <w:tcW w:w="2217" w:type="dxa"/>
            <w:shd w:val="clear" w:color="auto" w:fill="C00000"/>
            <w:vAlign w:val="center"/>
          </w:tcPr>
          <w:p w14:paraId="6EA3B6AF" w14:textId="23E6E11C" w:rsidR="00306B0F" w:rsidRPr="001B0399" w:rsidRDefault="00314AD5" w:rsidP="00D452D2">
            <w:pPr>
              <w:contextualSpacing/>
              <w:jc w:val="center"/>
              <w:rPr>
                <w:rFonts w:cs="Arial"/>
                <w:sz w:val="22"/>
                <w:szCs w:val="22"/>
              </w:rPr>
            </w:pPr>
            <w:r w:rsidRPr="001B0399">
              <w:rPr>
                <w:rFonts w:cs="Arial"/>
                <w:sz w:val="22"/>
                <w:szCs w:val="22"/>
              </w:rPr>
              <w:t>Severe</w:t>
            </w:r>
          </w:p>
        </w:tc>
      </w:tr>
      <w:tr w:rsidR="00306B0F" w:rsidRPr="001B0399" w14:paraId="1009CC52" w14:textId="77777777" w:rsidTr="00D452D2">
        <w:trPr>
          <w:trHeight w:val="2108"/>
          <w:jc w:val="center"/>
        </w:trPr>
        <w:tc>
          <w:tcPr>
            <w:tcW w:w="2977" w:type="dxa"/>
          </w:tcPr>
          <w:p w14:paraId="004DDFB1" w14:textId="77777777" w:rsidR="00306B0F" w:rsidRPr="001B0399" w:rsidRDefault="00306B0F" w:rsidP="00D452D2">
            <w:pPr>
              <w:contextualSpacing/>
              <w:rPr>
                <w:rFonts w:cs="Arial"/>
                <w:sz w:val="22"/>
                <w:szCs w:val="22"/>
              </w:rPr>
            </w:pPr>
            <w:r>
              <w:rPr>
                <w:rFonts w:cs="Arial"/>
                <w:color w:val="000000"/>
                <w:sz w:val="22"/>
                <w:szCs w:val="22"/>
              </w:rPr>
              <w:t>Expected outcomes not met by the end of the Programme due to technical issues delaying pilot project activities.</w:t>
            </w:r>
          </w:p>
        </w:tc>
        <w:tc>
          <w:tcPr>
            <w:tcW w:w="3822" w:type="dxa"/>
          </w:tcPr>
          <w:p w14:paraId="68849A7F" w14:textId="2E978C97" w:rsidR="00306B0F" w:rsidRPr="001B0399" w:rsidRDefault="00306B0F" w:rsidP="00D452D2">
            <w:pPr>
              <w:contextualSpacing/>
              <w:rPr>
                <w:rFonts w:cs="Arial"/>
                <w:color w:val="000000"/>
                <w:sz w:val="22"/>
                <w:szCs w:val="22"/>
              </w:rPr>
            </w:pPr>
            <w:r>
              <w:rPr>
                <w:rFonts w:cs="Arial"/>
                <w:color w:val="000000"/>
                <w:sz w:val="22"/>
                <w:szCs w:val="22"/>
              </w:rPr>
              <w:t>This is a long-term issue in all target countries that primarily impacted South Africa in 2020</w:t>
            </w:r>
            <w:r w:rsidR="00790C1B">
              <w:rPr>
                <w:rFonts w:cs="Arial"/>
                <w:color w:val="000000"/>
                <w:sz w:val="22"/>
                <w:szCs w:val="22"/>
              </w:rPr>
              <w:t xml:space="preserve">. The World Bank </w:t>
            </w:r>
            <w:r w:rsidR="00280DE1">
              <w:rPr>
                <w:rFonts w:cs="Arial"/>
                <w:color w:val="000000"/>
                <w:sz w:val="22"/>
                <w:szCs w:val="22"/>
              </w:rPr>
              <w:t>worked to identify a new</w:t>
            </w:r>
            <w:r>
              <w:rPr>
                <w:rFonts w:cs="Arial"/>
                <w:color w:val="000000"/>
                <w:sz w:val="22"/>
                <w:szCs w:val="22"/>
              </w:rPr>
              <w:t xml:space="preserve"> pilot carbon storage site </w:t>
            </w:r>
            <w:r w:rsidR="00280DE1">
              <w:rPr>
                <w:rFonts w:cs="Arial"/>
                <w:color w:val="000000"/>
                <w:sz w:val="22"/>
                <w:szCs w:val="22"/>
              </w:rPr>
              <w:t>due to technical issues at the original site</w:t>
            </w:r>
            <w:r>
              <w:rPr>
                <w:rFonts w:cs="Arial"/>
                <w:color w:val="000000"/>
                <w:sz w:val="22"/>
                <w:szCs w:val="22"/>
              </w:rPr>
              <w:t xml:space="preserve">. Other target countries that have faced technical issues (Indonesia, China) did not accelerate progress at pilot sites to ensure that Programme objectives could be met by the end of the Programme. </w:t>
            </w:r>
          </w:p>
        </w:tc>
        <w:tc>
          <w:tcPr>
            <w:tcW w:w="2217" w:type="dxa"/>
            <w:shd w:val="clear" w:color="auto" w:fill="ED7D31" w:themeFill="accent2"/>
            <w:vAlign w:val="center"/>
          </w:tcPr>
          <w:p w14:paraId="4227E85B" w14:textId="77777777" w:rsidR="00306B0F" w:rsidRPr="001B0399" w:rsidRDefault="00306B0F" w:rsidP="00D452D2">
            <w:pPr>
              <w:contextualSpacing/>
              <w:jc w:val="center"/>
              <w:rPr>
                <w:rFonts w:cs="Arial"/>
                <w:sz w:val="22"/>
                <w:szCs w:val="22"/>
              </w:rPr>
            </w:pPr>
            <w:r w:rsidRPr="001B0399">
              <w:rPr>
                <w:rFonts w:cs="Arial"/>
                <w:sz w:val="22"/>
                <w:szCs w:val="22"/>
              </w:rPr>
              <w:t>Major</w:t>
            </w:r>
          </w:p>
        </w:tc>
      </w:tr>
    </w:tbl>
    <w:p w14:paraId="62F0106C" w14:textId="77777777" w:rsidR="00306B0F" w:rsidRDefault="00306B0F" w:rsidP="00306B0F">
      <w:pPr>
        <w:rPr>
          <w:b/>
          <w:bCs/>
          <w:sz w:val="22"/>
          <w:szCs w:val="22"/>
        </w:rPr>
      </w:pPr>
    </w:p>
    <w:p w14:paraId="2EB2E6A3" w14:textId="77777777" w:rsidR="00306B0F" w:rsidRDefault="00306B0F" w:rsidP="00306B0F">
      <w:pPr>
        <w:rPr>
          <w:rFonts w:cs="Arial"/>
          <w:sz w:val="22"/>
          <w:szCs w:val="22"/>
        </w:rPr>
      </w:pPr>
      <w:r w:rsidRPr="00F70DBE">
        <w:rPr>
          <w:b/>
          <w:bCs/>
          <w:sz w:val="22"/>
          <w:szCs w:val="22"/>
        </w:rPr>
        <w:t xml:space="preserve">Overview of </w:t>
      </w:r>
      <w:r>
        <w:rPr>
          <w:b/>
          <w:bCs/>
          <w:sz w:val="22"/>
          <w:szCs w:val="22"/>
        </w:rPr>
        <w:t>risk management</w:t>
      </w:r>
      <w:r>
        <w:rPr>
          <w:rFonts w:cs="Arial"/>
          <w:sz w:val="22"/>
          <w:szCs w:val="22"/>
        </w:rPr>
        <w:t xml:space="preserve"> </w:t>
      </w:r>
    </w:p>
    <w:p w14:paraId="2046C82B" w14:textId="77777777" w:rsidR="00306B0F" w:rsidRDefault="00306B0F" w:rsidP="00306B0F">
      <w:pPr>
        <w:rPr>
          <w:rFonts w:cs="Arial"/>
          <w:sz w:val="20"/>
          <w:szCs w:val="20"/>
        </w:rPr>
      </w:pPr>
    </w:p>
    <w:p w14:paraId="5679E200" w14:textId="3D89FC9A" w:rsidR="00306B0F" w:rsidRDefault="00306B0F" w:rsidP="00306B0F">
      <w:pPr>
        <w:jc w:val="both"/>
        <w:rPr>
          <w:rFonts w:cs="Arial"/>
          <w:sz w:val="22"/>
          <w:szCs w:val="22"/>
        </w:rPr>
      </w:pPr>
      <w:r w:rsidRPr="001B0399">
        <w:rPr>
          <w:rFonts w:cs="Arial"/>
          <w:sz w:val="22"/>
          <w:szCs w:val="22"/>
        </w:rPr>
        <w:t>A</w:t>
      </w:r>
      <w:r w:rsidRPr="001B0399">
        <w:rPr>
          <w:rFonts w:cs="Arial"/>
          <w:color w:val="000000"/>
          <w:sz w:val="22"/>
          <w:szCs w:val="22"/>
          <w:lang w:eastAsia="en-GB"/>
        </w:rPr>
        <w:t xml:space="preserve">ll grants financed by the </w:t>
      </w:r>
      <w:r>
        <w:rPr>
          <w:rFonts w:cs="Arial"/>
          <w:color w:val="000000"/>
          <w:sz w:val="22"/>
          <w:szCs w:val="22"/>
          <w:lang w:eastAsia="en-GB"/>
        </w:rPr>
        <w:t xml:space="preserve">World Bank and ADB </w:t>
      </w:r>
      <w:r w:rsidRPr="001B0399">
        <w:rPr>
          <w:rFonts w:cs="Arial"/>
          <w:color w:val="000000"/>
          <w:sz w:val="22"/>
          <w:szCs w:val="22"/>
          <w:lang w:eastAsia="en-GB"/>
        </w:rPr>
        <w:t xml:space="preserve">Trust Funds are subject to respective operational policies and procedures that apply to their financing, including frameworks for governance and anti-corruption. </w:t>
      </w:r>
      <w:r w:rsidRPr="001B0399">
        <w:rPr>
          <w:rFonts w:cs="Arial"/>
          <w:sz w:val="22"/>
          <w:szCs w:val="22"/>
        </w:rPr>
        <w:t>Risks are communicated to BEIS in annual donor meetings and through</w:t>
      </w:r>
      <w:r>
        <w:rPr>
          <w:rFonts w:cs="Arial"/>
          <w:sz w:val="22"/>
          <w:szCs w:val="22"/>
        </w:rPr>
        <w:t xml:space="preserve"> regular</w:t>
      </w:r>
      <w:r w:rsidRPr="001B0399">
        <w:rPr>
          <w:rFonts w:cs="Arial"/>
          <w:sz w:val="22"/>
          <w:szCs w:val="22"/>
        </w:rPr>
        <w:t xml:space="preserve"> </w:t>
      </w:r>
      <w:r>
        <w:rPr>
          <w:rFonts w:cs="Arial"/>
          <w:sz w:val="22"/>
          <w:szCs w:val="22"/>
        </w:rPr>
        <w:t>progress updates</w:t>
      </w:r>
      <w:r w:rsidRPr="001B0399">
        <w:rPr>
          <w:rFonts w:cs="Arial"/>
          <w:sz w:val="22"/>
          <w:szCs w:val="22"/>
        </w:rPr>
        <w:t xml:space="preserve">. </w:t>
      </w:r>
    </w:p>
    <w:p w14:paraId="71AC7536" w14:textId="77777777" w:rsidR="00326703" w:rsidRPr="00283783" w:rsidRDefault="00326703" w:rsidP="00306B0F">
      <w:pPr>
        <w:jc w:val="both"/>
        <w:rPr>
          <w:rFonts w:cs="Arial"/>
          <w:sz w:val="22"/>
          <w:szCs w:val="22"/>
        </w:rPr>
      </w:pPr>
    </w:p>
    <w:p w14:paraId="1CE005AD" w14:textId="77777777" w:rsidR="00306B0F" w:rsidRDefault="00306B0F" w:rsidP="00306B0F">
      <w:pPr>
        <w:rPr>
          <w:bCs/>
          <w:sz w:val="20"/>
          <w:szCs w:val="20"/>
        </w:rPr>
      </w:pPr>
    </w:p>
    <w:p w14:paraId="594671FF" w14:textId="77777777" w:rsidR="00306B0F" w:rsidRPr="00F70DBE" w:rsidRDefault="00306B0F" w:rsidP="00306B0F">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 w:val="20"/>
          <w:szCs w:val="20"/>
        </w:rPr>
      </w:pPr>
      <w:r>
        <w:rPr>
          <w:b/>
          <w:sz w:val="28"/>
          <w:szCs w:val="22"/>
        </w:rPr>
        <w:t>F</w:t>
      </w:r>
      <w:r w:rsidRPr="00F70DBE">
        <w:rPr>
          <w:b/>
          <w:sz w:val="28"/>
          <w:szCs w:val="22"/>
        </w:rPr>
        <w:t xml:space="preserve">: </w:t>
      </w:r>
      <w:r>
        <w:rPr>
          <w:b/>
          <w:sz w:val="28"/>
          <w:szCs w:val="22"/>
        </w:rPr>
        <w:t xml:space="preserve">PROGRAMME MANAGEMENT: </w:t>
      </w:r>
      <w:bookmarkStart w:id="0" w:name="_Hlk21353049"/>
      <w:r>
        <w:rPr>
          <w:b/>
          <w:sz w:val="28"/>
          <w:szCs w:val="22"/>
        </w:rPr>
        <w:t xml:space="preserve">DELIVERY, COMMERCIAL &amp; FINANCIAL PERFORMANCE </w:t>
      </w:r>
      <w:bookmarkEnd w:id="0"/>
    </w:p>
    <w:p w14:paraId="7E902DA8" w14:textId="77777777" w:rsidR="00306B0F" w:rsidRPr="00F70DBE" w:rsidRDefault="00306B0F" w:rsidP="00306B0F">
      <w:pPr>
        <w:rPr>
          <w:rFonts w:cs="Arial"/>
          <w:b/>
          <w:sz w:val="22"/>
          <w:szCs w:val="22"/>
        </w:rPr>
      </w:pPr>
    </w:p>
    <w:p w14:paraId="7C34870E" w14:textId="77777777" w:rsidR="00306B0F" w:rsidRDefault="00306B0F" w:rsidP="00306B0F">
      <w:pPr>
        <w:rPr>
          <w:b/>
          <w:bCs/>
          <w:sz w:val="22"/>
          <w:szCs w:val="22"/>
        </w:rPr>
      </w:pPr>
      <w:r>
        <w:rPr>
          <w:b/>
          <w:bCs/>
          <w:sz w:val="22"/>
          <w:szCs w:val="22"/>
        </w:rPr>
        <w:t>M</w:t>
      </w:r>
      <w:r w:rsidRPr="004D1B53">
        <w:rPr>
          <w:b/>
          <w:bCs/>
          <w:sz w:val="22"/>
          <w:szCs w:val="22"/>
        </w:rPr>
        <w:t>onitoring strategy</w:t>
      </w:r>
    </w:p>
    <w:p w14:paraId="062E1C33" w14:textId="77777777" w:rsidR="00306B0F" w:rsidRDefault="00306B0F" w:rsidP="00306B0F">
      <w:pPr>
        <w:rPr>
          <w:b/>
          <w:bCs/>
          <w:sz w:val="22"/>
          <w:szCs w:val="22"/>
        </w:rPr>
      </w:pPr>
    </w:p>
    <w:p w14:paraId="31FC8A99" w14:textId="22B6C0F7" w:rsidR="00306B0F" w:rsidRDefault="00306B0F" w:rsidP="00306B0F">
      <w:pPr>
        <w:pStyle w:val="NoSpacing"/>
        <w:jc w:val="both"/>
        <w:textAlignment w:val="baseline"/>
        <w:rPr>
          <w:rStyle w:val="FootnoteTextChar"/>
          <w:rFonts w:cs="Arial"/>
          <w:sz w:val="22"/>
          <w:szCs w:val="22"/>
        </w:rPr>
      </w:pPr>
      <w:r>
        <w:rPr>
          <w:rStyle w:val="FootnoteTextChar"/>
          <w:rFonts w:cs="Arial"/>
          <w:sz w:val="22"/>
          <w:szCs w:val="22"/>
        </w:rPr>
        <w:t xml:space="preserve">This annual review was informed by data submitted by delivery partners and fact checked by BEIS through monitoring calls with both delivery partners, data collected through calls with British Embassies, High Commissions and other external stakeholders (including in the private sector and a think tank), annual donor consultation meetings, </w:t>
      </w:r>
      <w:r w:rsidR="001310B9">
        <w:rPr>
          <w:rStyle w:val="FootnoteTextChar"/>
          <w:rFonts w:cs="Arial"/>
          <w:sz w:val="22"/>
          <w:szCs w:val="22"/>
        </w:rPr>
        <w:t>participation</w:t>
      </w:r>
      <w:r>
        <w:rPr>
          <w:rStyle w:val="FootnoteTextChar"/>
          <w:rFonts w:cs="Arial"/>
          <w:sz w:val="22"/>
          <w:szCs w:val="22"/>
        </w:rPr>
        <w:t xml:space="preserve"> in events and review of participant feedback forms, delivery partner annual reports and other international reports (e.g from the International Energy Agency). </w:t>
      </w:r>
    </w:p>
    <w:p w14:paraId="68432B42" w14:textId="77777777" w:rsidR="00A05E77" w:rsidRDefault="00A05E77" w:rsidP="00306B0F">
      <w:pPr>
        <w:pStyle w:val="NoSpacing"/>
        <w:jc w:val="both"/>
        <w:textAlignment w:val="baseline"/>
        <w:rPr>
          <w:rStyle w:val="FootnoteTextChar"/>
          <w:rFonts w:cs="Arial"/>
          <w:sz w:val="22"/>
          <w:szCs w:val="22"/>
        </w:rPr>
      </w:pPr>
    </w:p>
    <w:p w14:paraId="6C805509" w14:textId="77777777" w:rsidR="00306B0F" w:rsidRDefault="00306B0F" w:rsidP="00306B0F">
      <w:pPr>
        <w:rPr>
          <w:rFonts w:cs="Arial"/>
          <w:b/>
          <w:bCs/>
          <w:sz w:val="22"/>
          <w:szCs w:val="22"/>
        </w:rPr>
      </w:pPr>
      <w:r>
        <w:rPr>
          <w:rFonts w:cs="Arial"/>
          <w:b/>
          <w:bCs/>
          <w:sz w:val="22"/>
          <w:szCs w:val="22"/>
        </w:rPr>
        <w:t xml:space="preserve">Partnership performance </w:t>
      </w:r>
    </w:p>
    <w:p w14:paraId="124B2977" w14:textId="77777777" w:rsidR="00306B0F" w:rsidRDefault="00306B0F" w:rsidP="00306B0F">
      <w:pPr>
        <w:rPr>
          <w:rFonts w:cs="Arial"/>
          <w:b/>
          <w:bCs/>
          <w:sz w:val="22"/>
          <w:szCs w:val="22"/>
        </w:rPr>
      </w:pPr>
    </w:p>
    <w:p w14:paraId="688282FC" w14:textId="626842F2" w:rsidR="00306B0F" w:rsidRDefault="00DC7B91" w:rsidP="00306B0F">
      <w:pPr>
        <w:rPr>
          <w:rFonts w:cs="Arial"/>
          <w:sz w:val="22"/>
          <w:szCs w:val="22"/>
        </w:rPr>
      </w:pPr>
      <w:r>
        <w:rPr>
          <w:rFonts w:cs="Arial"/>
          <w:sz w:val="22"/>
          <w:szCs w:val="22"/>
        </w:rPr>
        <w:t xml:space="preserve">Coordination </w:t>
      </w:r>
      <w:r w:rsidR="0003450E">
        <w:rPr>
          <w:rFonts w:cs="Arial"/>
          <w:sz w:val="22"/>
          <w:szCs w:val="22"/>
        </w:rPr>
        <w:t xml:space="preserve">by delivery partners </w:t>
      </w:r>
      <w:r w:rsidR="008D30DC">
        <w:rPr>
          <w:rFonts w:cs="Arial"/>
          <w:sz w:val="22"/>
          <w:szCs w:val="22"/>
        </w:rPr>
        <w:t xml:space="preserve">with British Embassies and High </w:t>
      </w:r>
      <w:r w:rsidR="00123286">
        <w:rPr>
          <w:rFonts w:cs="Arial"/>
          <w:sz w:val="22"/>
          <w:szCs w:val="22"/>
        </w:rPr>
        <w:t>Commissions</w:t>
      </w:r>
      <w:r w:rsidR="00120C6B">
        <w:rPr>
          <w:rFonts w:cs="Arial"/>
          <w:sz w:val="22"/>
          <w:szCs w:val="22"/>
        </w:rPr>
        <w:t xml:space="preserve"> </w:t>
      </w:r>
      <w:r w:rsidR="00C85803">
        <w:rPr>
          <w:rFonts w:cs="Arial"/>
          <w:sz w:val="22"/>
          <w:szCs w:val="22"/>
        </w:rPr>
        <w:t xml:space="preserve">and communication on </w:t>
      </w:r>
      <w:r w:rsidR="004F75B0">
        <w:rPr>
          <w:rFonts w:cs="Arial"/>
          <w:sz w:val="22"/>
          <w:szCs w:val="22"/>
        </w:rPr>
        <w:t xml:space="preserve">project risks </w:t>
      </w:r>
      <w:r>
        <w:rPr>
          <w:rFonts w:cs="Arial"/>
          <w:sz w:val="22"/>
          <w:szCs w:val="22"/>
        </w:rPr>
        <w:t>was ad hoc</w:t>
      </w:r>
      <w:r w:rsidR="0062254F">
        <w:rPr>
          <w:rFonts w:cs="Arial"/>
          <w:sz w:val="22"/>
          <w:szCs w:val="22"/>
        </w:rPr>
        <w:t>,</w:t>
      </w:r>
      <w:r>
        <w:rPr>
          <w:rFonts w:cs="Arial"/>
          <w:sz w:val="22"/>
          <w:szCs w:val="22"/>
        </w:rPr>
        <w:t xml:space="preserve"> </w:t>
      </w:r>
      <w:r w:rsidR="004D7E1A">
        <w:rPr>
          <w:rFonts w:cs="Arial"/>
          <w:sz w:val="22"/>
          <w:szCs w:val="22"/>
        </w:rPr>
        <w:t>despite substantial in-country risks.</w:t>
      </w:r>
      <w:r w:rsidR="009227C3">
        <w:rPr>
          <w:rFonts w:cs="Arial"/>
          <w:sz w:val="22"/>
          <w:szCs w:val="22"/>
        </w:rPr>
        <w:t xml:space="preserve"> </w:t>
      </w:r>
      <w:r w:rsidR="00306B0F">
        <w:rPr>
          <w:rFonts w:cs="Arial"/>
          <w:sz w:val="22"/>
          <w:szCs w:val="22"/>
        </w:rPr>
        <w:lastRenderedPageBreak/>
        <w:t xml:space="preserve">Furthermore, an encashment schedule for all remaining unencashed funds was not provided by the ADB or </w:t>
      </w:r>
      <w:r w:rsidR="0062254F">
        <w:rPr>
          <w:rFonts w:cs="Arial"/>
          <w:sz w:val="22"/>
          <w:szCs w:val="22"/>
        </w:rPr>
        <w:t xml:space="preserve">the </w:t>
      </w:r>
      <w:r w:rsidR="00306B0F">
        <w:rPr>
          <w:rFonts w:cs="Arial"/>
          <w:sz w:val="22"/>
          <w:szCs w:val="22"/>
        </w:rPr>
        <w:t xml:space="preserve">World Bank following repeated requests. </w:t>
      </w:r>
    </w:p>
    <w:p w14:paraId="71E7E5B2" w14:textId="77777777" w:rsidR="00306B0F" w:rsidRPr="001B446B" w:rsidRDefault="00306B0F" w:rsidP="00306B0F">
      <w:pPr>
        <w:rPr>
          <w:rFonts w:cs="Arial"/>
          <w:sz w:val="22"/>
          <w:szCs w:val="22"/>
        </w:rPr>
      </w:pPr>
    </w:p>
    <w:p w14:paraId="29FB1C2E" w14:textId="32E60C2C" w:rsidR="00757CA1" w:rsidRDefault="00306B0F" w:rsidP="00306B0F">
      <w:pPr>
        <w:pStyle w:val="NoSpacing"/>
        <w:jc w:val="both"/>
        <w:textAlignment w:val="baseline"/>
        <w:rPr>
          <w:sz w:val="22"/>
          <w:szCs w:val="22"/>
        </w:rPr>
      </w:pPr>
      <w:r>
        <w:rPr>
          <w:sz w:val="22"/>
          <w:szCs w:val="22"/>
        </w:rPr>
        <w:t>In late 2020, t</w:t>
      </w:r>
      <w:r w:rsidRPr="00A849A1">
        <w:rPr>
          <w:sz w:val="22"/>
          <w:szCs w:val="22"/>
        </w:rPr>
        <w:t>he</w:t>
      </w:r>
      <w:r>
        <w:rPr>
          <w:sz w:val="22"/>
          <w:szCs w:val="22"/>
        </w:rPr>
        <w:t xml:space="preserve"> World Bank’s</w:t>
      </w:r>
      <w:r w:rsidRPr="00A849A1">
        <w:rPr>
          <w:sz w:val="22"/>
          <w:szCs w:val="22"/>
        </w:rPr>
        <w:t xml:space="preserve"> CCUS Trust Fund </w:t>
      </w:r>
      <w:r>
        <w:rPr>
          <w:sz w:val="22"/>
          <w:szCs w:val="22"/>
        </w:rPr>
        <w:t xml:space="preserve">formally came </w:t>
      </w:r>
      <w:r w:rsidRPr="00A849A1">
        <w:rPr>
          <w:sz w:val="22"/>
          <w:szCs w:val="22"/>
        </w:rPr>
        <w:t>under the</w:t>
      </w:r>
      <w:r>
        <w:rPr>
          <w:sz w:val="22"/>
          <w:szCs w:val="22"/>
        </w:rPr>
        <w:t xml:space="preserve"> Umbrella of the wider</w:t>
      </w:r>
      <w:r w:rsidRPr="00A849A1">
        <w:rPr>
          <w:sz w:val="22"/>
          <w:szCs w:val="22"/>
        </w:rPr>
        <w:t xml:space="preserve"> Energy Sector Management Assistance Programme</w:t>
      </w:r>
      <w:r>
        <w:rPr>
          <w:sz w:val="22"/>
          <w:szCs w:val="22"/>
        </w:rPr>
        <w:t xml:space="preserve"> </w:t>
      </w:r>
      <w:r w:rsidRPr="00A849A1">
        <w:rPr>
          <w:sz w:val="22"/>
          <w:szCs w:val="22"/>
        </w:rPr>
        <w:t>Trust Fund</w:t>
      </w:r>
      <w:r>
        <w:rPr>
          <w:sz w:val="22"/>
          <w:szCs w:val="22"/>
        </w:rPr>
        <w:t xml:space="preserve"> within the World Bank</w:t>
      </w:r>
      <w:r w:rsidRPr="00A849A1">
        <w:rPr>
          <w:sz w:val="22"/>
          <w:szCs w:val="22"/>
        </w:rPr>
        <w:t>.</w:t>
      </w:r>
      <w:r>
        <w:rPr>
          <w:sz w:val="22"/>
          <w:szCs w:val="22"/>
        </w:rPr>
        <w:t xml:space="preserve"> BEIS is supportive of this as it enables better coherence and visibility of BEIS funds. </w:t>
      </w:r>
    </w:p>
    <w:p w14:paraId="3E6DCE33" w14:textId="77777777" w:rsidR="00B367DE" w:rsidRDefault="00B367DE" w:rsidP="00306B0F">
      <w:pPr>
        <w:pStyle w:val="NoSpacing"/>
        <w:jc w:val="both"/>
        <w:textAlignment w:val="baseline"/>
        <w:rPr>
          <w:rStyle w:val="FootnoteTextChar"/>
          <w:rFonts w:cs="Arial"/>
          <w:b/>
          <w:bCs/>
          <w:sz w:val="22"/>
          <w:szCs w:val="22"/>
        </w:rPr>
      </w:pPr>
    </w:p>
    <w:p w14:paraId="50857F22" w14:textId="33B7B72E" w:rsidR="00306B0F" w:rsidRPr="000901C3" w:rsidRDefault="00306B0F" w:rsidP="00306B0F">
      <w:pPr>
        <w:pStyle w:val="NoSpacing"/>
        <w:jc w:val="both"/>
        <w:textAlignment w:val="baseline"/>
        <w:rPr>
          <w:rStyle w:val="FootnoteTextChar"/>
          <w:rFonts w:cs="Arial"/>
          <w:b/>
          <w:bCs/>
          <w:sz w:val="22"/>
          <w:szCs w:val="22"/>
        </w:rPr>
      </w:pPr>
      <w:r w:rsidRPr="000901C3">
        <w:rPr>
          <w:rStyle w:val="FootnoteTextChar"/>
          <w:rFonts w:cs="Arial"/>
          <w:b/>
          <w:bCs/>
          <w:sz w:val="22"/>
          <w:szCs w:val="22"/>
        </w:rPr>
        <w:t>Financial performance</w:t>
      </w:r>
      <w:r>
        <w:rPr>
          <w:rStyle w:val="FootnoteTextChar"/>
          <w:rFonts w:cs="Arial"/>
          <w:b/>
          <w:bCs/>
          <w:sz w:val="22"/>
          <w:szCs w:val="22"/>
        </w:rPr>
        <w:t xml:space="preserve"> </w:t>
      </w:r>
    </w:p>
    <w:p w14:paraId="2C6B14E4" w14:textId="77777777" w:rsidR="00306B0F" w:rsidRPr="000901C3" w:rsidRDefault="00306B0F" w:rsidP="00306B0F">
      <w:pPr>
        <w:pStyle w:val="NoSpacing"/>
        <w:jc w:val="both"/>
        <w:textAlignment w:val="baseline"/>
        <w:rPr>
          <w:rStyle w:val="FootnoteTextChar"/>
          <w:rFonts w:cs="Arial"/>
          <w:sz w:val="22"/>
          <w:szCs w:val="22"/>
        </w:rPr>
      </w:pPr>
    </w:p>
    <w:p w14:paraId="230D4AFE" w14:textId="77777777" w:rsidR="00306B0F" w:rsidRPr="000901C3" w:rsidRDefault="00306B0F" w:rsidP="00306B0F">
      <w:pPr>
        <w:pStyle w:val="NoSpacing"/>
        <w:jc w:val="both"/>
        <w:textAlignment w:val="baseline"/>
        <w:rPr>
          <w:rStyle w:val="FootnoteTextChar"/>
          <w:rFonts w:cs="Arial"/>
          <w:i/>
          <w:iCs/>
          <w:sz w:val="22"/>
          <w:szCs w:val="22"/>
        </w:rPr>
      </w:pPr>
      <w:r w:rsidRPr="000901C3">
        <w:rPr>
          <w:rStyle w:val="FootnoteTextChar"/>
          <w:rFonts w:cs="Arial"/>
          <w:i/>
          <w:iCs/>
          <w:sz w:val="22"/>
          <w:szCs w:val="22"/>
        </w:rPr>
        <w:t>Economy</w:t>
      </w:r>
    </w:p>
    <w:p w14:paraId="5002B5C8" w14:textId="313AAEC0" w:rsidR="00306B0F" w:rsidRPr="000901C3" w:rsidRDefault="00306B0F" w:rsidP="00306B0F">
      <w:pPr>
        <w:pStyle w:val="NoSpacing"/>
        <w:jc w:val="both"/>
        <w:textAlignment w:val="baseline"/>
        <w:rPr>
          <w:sz w:val="22"/>
          <w:szCs w:val="22"/>
          <w:u w:val="single"/>
        </w:rPr>
      </w:pPr>
      <w:r w:rsidRPr="00835328">
        <w:rPr>
          <w:b/>
          <w:bCs/>
          <w:sz w:val="22"/>
          <w:szCs w:val="22"/>
        </w:rPr>
        <w:t>Are fees appropriate?</w:t>
      </w:r>
      <w:r>
        <w:rPr>
          <w:sz w:val="22"/>
          <w:szCs w:val="22"/>
        </w:rPr>
        <w:t xml:space="preserve"> Yes, as </w:t>
      </w:r>
      <w:r w:rsidRPr="000901C3">
        <w:rPr>
          <w:sz w:val="22"/>
          <w:szCs w:val="22"/>
        </w:rPr>
        <w:t xml:space="preserve">discussed in the </w:t>
      </w:r>
      <w:r>
        <w:rPr>
          <w:sz w:val="22"/>
          <w:szCs w:val="22"/>
        </w:rPr>
        <w:t>previous</w:t>
      </w:r>
      <w:r w:rsidRPr="000901C3">
        <w:rPr>
          <w:sz w:val="22"/>
          <w:szCs w:val="22"/>
        </w:rPr>
        <w:t xml:space="preserve"> annual review, BEIS is </w:t>
      </w:r>
      <w:r w:rsidRPr="000624B8">
        <w:rPr>
          <w:sz w:val="22"/>
          <w:szCs w:val="22"/>
        </w:rPr>
        <w:t xml:space="preserve">content with the fee arrangement. There has been no change in </w:t>
      </w:r>
      <w:r>
        <w:rPr>
          <w:sz w:val="22"/>
          <w:szCs w:val="22"/>
        </w:rPr>
        <w:t xml:space="preserve">fees in </w:t>
      </w:r>
      <w:r w:rsidRPr="000624B8">
        <w:rPr>
          <w:sz w:val="22"/>
          <w:szCs w:val="22"/>
        </w:rPr>
        <w:t xml:space="preserve">2020. The ADB charges a service fee of: i) 5% of the amount disbursed for grant components of investment projects up to US $5 million, or 2% (with a minimum of US $250,000, whichever is greater) of the amounts disbursed for the same type of grants above US $5 million; and ii) 5% of the amounts disbursed for technical assistance operations. These are the ADB’s standard charges and they are in-line with BEIS’s other programmes that are delivered through the ADB and competitive with other delivery partners. The World Bank’s standard charges are 2% of the contributions received to cover the standard costs of Trust Fund administration incurred by the World Bank. In addition, for costs incurred by the World Bank for CCUS Trust Fund programme management, the World Bank may charge up to a maximum of 8%. These fees were agreed in the original business case and were maintained in the £10 million extension business case in 2017. The World Bank has agreed to maintain the same fees for the </w:t>
      </w:r>
      <w:r>
        <w:rPr>
          <w:sz w:val="22"/>
          <w:szCs w:val="22"/>
        </w:rPr>
        <w:t>remainder</w:t>
      </w:r>
      <w:r w:rsidRPr="000624B8">
        <w:rPr>
          <w:sz w:val="22"/>
          <w:szCs w:val="22"/>
        </w:rPr>
        <w:t xml:space="preserve"> of the programme. This strengthen</w:t>
      </w:r>
      <w:r>
        <w:rPr>
          <w:sz w:val="22"/>
          <w:szCs w:val="22"/>
        </w:rPr>
        <w:t>ed</w:t>
      </w:r>
      <w:r w:rsidRPr="000624B8">
        <w:rPr>
          <w:sz w:val="22"/>
          <w:szCs w:val="22"/>
        </w:rPr>
        <w:t xml:space="preserve"> the value-for-money of BEIS’s </w:t>
      </w:r>
      <w:r>
        <w:rPr>
          <w:sz w:val="22"/>
          <w:szCs w:val="22"/>
        </w:rPr>
        <w:t>£10 million extension in 2017</w:t>
      </w:r>
      <w:r w:rsidRPr="000624B8">
        <w:rPr>
          <w:sz w:val="22"/>
          <w:szCs w:val="22"/>
        </w:rPr>
        <w:t>, as the World Bank increased their rates across all programmes in 2018.</w:t>
      </w:r>
    </w:p>
    <w:p w14:paraId="1304ACC0" w14:textId="77777777" w:rsidR="00306B0F" w:rsidRDefault="00306B0F" w:rsidP="00306B0F">
      <w:pPr>
        <w:pStyle w:val="NoSpacing"/>
        <w:jc w:val="both"/>
        <w:textAlignment w:val="baseline"/>
        <w:rPr>
          <w:sz w:val="22"/>
          <w:szCs w:val="22"/>
        </w:rPr>
      </w:pPr>
    </w:p>
    <w:p w14:paraId="3563F53A" w14:textId="3AC1C34B" w:rsidR="00306B0F" w:rsidRDefault="00306B0F" w:rsidP="00306B0F">
      <w:pPr>
        <w:pStyle w:val="NoSpacing"/>
        <w:jc w:val="both"/>
        <w:textAlignment w:val="baseline"/>
        <w:rPr>
          <w:sz w:val="22"/>
          <w:szCs w:val="22"/>
        </w:rPr>
      </w:pPr>
      <w:r w:rsidRPr="00BF3124">
        <w:rPr>
          <w:b/>
          <w:bCs/>
          <w:sz w:val="22"/>
          <w:szCs w:val="22"/>
        </w:rPr>
        <w:t>Are due diligence processes in place?</w:t>
      </w:r>
      <w:r>
        <w:rPr>
          <w:sz w:val="22"/>
          <w:szCs w:val="22"/>
        </w:rPr>
        <w:t xml:space="preserve"> Yes, BEIS is content with the due diligence processes of the ADB and the World Bank. B</w:t>
      </w:r>
      <w:r w:rsidRPr="00DE49B3">
        <w:rPr>
          <w:sz w:val="22"/>
          <w:szCs w:val="22"/>
        </w:rPr>
        <w:t>oth delivery partners review</w:t>
      </w:r>
      <w:r>
        <w:rPr>
          <w:sz w:val="22"/>
          <w:szCs w:val="22"/>
        </w:rPr>
        <w:t xml:space="preserve"> and implement</w:t>
      </w:r>
      <w:r w:rsidRPr="00DE49B3">
        <w:rPr>
          <w:sz w:val="22"/>
          <w:szCs w:val="22"/>
        </w:rPr>
        <w:t xml:space="preserve"> projects through their internal governance structures in</w:t>
      </w:r>
      <w:r>
        <w:rPr>
          <w:sz w:val="22"/>
          <w:szCs w:val="22"/>
        </w:rPr>
        <w:t>-</w:t>
      </w:r>
      <w:r w:rsidRPr="00DE49B3">
        <w:rPr>
          <w:sz w:val="22"/>
          <w:szCs w:val="22"/>
        </w:rPr>
        <w:t xml:space="preserve">line with applicable policies. </w:t>
      </w:r>
      <w:r>
        <w:rPr>
          <w:sz w:val="22"/>
          <w:szCs w:val="22"/>
        </w:rPr>
        <w:t xml:space="preserve">BEIS expects these processes to be strengthened by the World Bank CCUS Trust Fund coming under the umbrella of the wider ESMAP Umbrella Trust Fund. </w:t>
      </w:r>
    </w:p>
    <w:p w14:paraId="56C383BE" w14:textId="77777777" w:rsidR="00306B0F" w:rsidRDefault="00306B0F" w:rsidP="00306B0F">
      <w:pPr>
        <w:pStyle w:val="NoSpacing"/>
        <w:jc w:val="both"/>
        <w:textAlignment w:val="baseline"/>
        <w:rPr>
          <w:sz w:val="22"/>
          <w:szCs w:val="22"/>
        </w:rPr>
      </w:pPr>
    </w:p>
    <w:p w14:paraId="25A1E96A" w14:textId="2F16706E" w:rsidR="00306B0F" w:rsidRDefault="00306B0F" w:rsidP="00306B0F">
      <w:pPr>
        <w:pStyle w:val="NoSpacing"/>
        <w:jc w:val="both"/>
        <w:textAlignment w:val="baseline"/>
        <w:rPr>
          <w:bCs/>
          <w:sz w:val="22"/>
          <w:szCs w:val="22"/>
        </w:rPr>
      </w:pPr>
      <w:r w:rsidRPr="00BD4D08">
        <w:rPr>
          <w:b/>
          <w:bCs/>
          <w:sz w:val="22"/>
          <w:szCs w:val="22"/>
        </w:rPr>
        <w:t>Are competitive processes in place?</w:t>
      </w:r>
      <w:r>
        <w:rPr>
          <w:sz w:val="22"/>
          <w:szCs w:val="22"/>
        </w:rPr>
        <w:t xml:space="preserve"> </w:t>
      </w:r>
      <w:r>
        <w:rPr>
          <w:bCs/>
          <w:sz w:val="22"/>
          <w:szCs w:val="22"/>
        </w:rPr>
        <w:t>R</w:t>
      </w:r>
      <w:r w:rsidRPr="00DE49B3">
        <w:rPr>
          <w:bCs/>
          <w:sz w:val="22"/>
          <w:szCs w:val="22"/>
        </w:rPr>
        <w:t xml:space="preserve">obust internal policies guide </w:t>
      </w:r>
      <w:r w:rsidRPr="000901C3">
        <w:rPr>
          <w:bCs/>
          <w:sz w:val="22"/>
          <w:szCs w:val="22"/>
        </w:rPr>
        <w:t>all investments</w:t>
      </w:r>
      <w:r>
        <w:rPr>
          <w:bCs/>
          <w:sz w:val="22"/>
          <w:szCs w:val="22"/>
        </w:rPr>
        <w:t xml:space="preserve"> to ensure fair and open competition</w:t>
      </w:r>
      <w:r w:rsidRPr="000901C3">
        <w:rPr>
          <w:bCs/>
          <w:sz w:val="22"/>
          <w:szCs w:val="22"/>
        </w:rPr>
        <w:t xml:space="preserve">. For example, the appointment of the consultant at the pilot capture site in China in 2020 was conducted through a competitive process. </w:t>
      </w:r>
    </w:p>
    <w:p w14:paraId="0AE3F120" w14:textId="65A5FED6" w:rsidR="00741F7A" w:rsidRDefault="00741F7A" w:rsidP="00306B0F">
      <w:pPr>
        <w:pStyle w:val="NoSpacing"/>
        <w:jc w:val="both"/>
        <w:textAlignment w:val="baseline"/>
        <w:rPr>
          <w:bCs/>
          <w:sz w:val="22"/>
          <w:szCs w:val="22"/>
        </w:rPr>
      </w:pPr>
    </w:p>
    <w:p w14:paraId="06DA08A5" w14:textId="77777777" w:rsidR="00741F7A" w:rsidRDefault="00741F7A" w:rsidP="00741F7A">
      <w:pPr>
        <w:rPr>
          <w:rFonts w:cs="Arial"/>
          <w:bCs/>
          <w:sz w:val="22"/>
          <w:szCs w:val="22"/>
        </w:rPr>
      </w:pPr>
      <w:r w:rsidRPr="00130291">
        <w:rPr>
          <w:rFonts w:cs="Arial"/>
          <w:b/>
          <w:sz w:val="22"/>
          <w:szCs w:val="22"/>
        </w:rPr>
        <w:t>Are projects appraised fairly?</w:t>
      </w:r>
      <w:r>
        <w:rPr>
          <w:rFonts w:cs="Arial"/>
          <w:bCs/>
          <w:sz w:val="22"/>
          <w:szCs w:val="22"/>
        </w:rPr>
        <w:t xml:space="preserve"> Yes, t</w:t>
      </w:r>
      <w:r w:rsidRPr="002B7A46">
        <w:rPr>
          <w:rFonts w:cs="Arial"/>
          <w:bCs/>
          <w:sz w:val="22"/>
          <w:szCs w:val="22"/>
        </w:rPr>
        <w:t>hey are reviewed and approved through robust internal governance structures and in</w:t>
      </w:r>
      <w:r>
        <w:rPr>
          <w:rFonts w:cs="Arial"/>
          <w:bCs/>
          <w:sz w:val="22"/>
          <w:szCs w:val="22"/>
        </w:rPr>
        <w:t>-</w:t>
      </w:r>
      <w:r w:rsidRPr="002B7A46">
        <w:rPr>
          <w:rFonts w:cs="Arial"/>
          <w:bCs/>
          <w:sz w:val="22"/>
          <w:szCs w:val="22"/>
        </w:rPr>
        <w:t xml:space="preserve">line with business case objectives. </w:t>
      </w:r>
    </w:p>
    <w:p w14:paraId="758A5437" w14:textId="77777777" w:rsidR="00741F7A" w:rsidRDefault="00741F7A" w:rsidP="00741F7A">
      <w:pPr>
        <w:rPr>
          <w:rFonts w:cs="Arial"/>
          <w:bCs/>
          <w:sz w:val="22"/>
          <w:szCs w:val="22"/>
        </w:rPr>
      </w:pPr>
    </w:p>
    <w:p w14:paraId="2C2E4A02" w14:textId="1C0175EF" w:rsidR="00741F7A" w:rsidRPr="00741F7A" w:rsidRDefault="00741F7A" w:rsidP="00741F7A">
      <w:pPr>
        <w:rPr>
          <w:rFonts w:cs="Arial"/>
          <w:bCs/>
          <w:sz w:val="22"/>
          <w:szCs w:val="22"/>
        </w:rPr>
      </w:pPr>
      <w:r w:rsidRPr="0049383E">
        <w:rPr>
          <w:rFonts w:cs="Arial"/>
          <w:b/>
          <w:sz w:val="22"/>
          <w:szCs w:val="22"/>
        </w:rPr>
        <w:t>Are robust risk management processes in place?</w:t>
      </w:r>
      <w:r>
        <w:rPr>
          <w:rFonts w:cs="Arial"/>
          <w:bCs/>
          <w:sz w:val="22"/>
          <w:szCs w:val="22"/>
        </w:rPr>
        <w:t xml:space="preserve"> </w:t>
      </w:r>
      <w:r w:rsidRPr="00F37F11">
        <w:rPr>
          <w:rFonts w:cs="Arial"/>
          <w:bCs/>
          <w:sz w:val="22"/>
          <w:szCs w:val="22"/>
        </w:rPr>
        <w:t xml:space="preserve">Delivery partner internal risk management processes are in place and </w:t>
      </w:r>
      <w:r>
        <w:rPr>
          <w:rFonts w:cs="Arial"/>
          <w:bCs/>
          <w:sz w:val="22"/>
          <w:szCs w:val="22"/>
        </w:rPr>
        <w:t xml:space="preserve">were </w:t>
      </w:r>
      <w:r w:rsidRPr="00F37F11">
        <w:rPr>
          <w:rFonts w:cs="Arial"/>
          <w:bCs/>
          <w:sz w:val="22"/>
          <w:szCs w:val="22"/>
        </w:rPr>
        <w:t xml:space="preserve">considered robust </w:t>
      </w:r>
      <w:r>
        <w:rPr>
          <w:rFonts w:cs="Arial"/>
          <w:bCs/>
          <w:sz w:val="22"/>
          <w:szCs w:val="22"/>
        </w:rPr>
        <w:t xml:space="preserve">at the time of business case approvals and BEIS deems them to remain fit-for-purpose </w:t>
      </w:r>
      <w:r w:rsidRPr="00F37F11">
        <w:rPr>
          <w:rFonts w:cs="Arial"/>
          <w:bCs/>
          <w:sz w:val="22"/>
          <w:szCs w:val="22"/>
        </w:rPr>
        <w:t>(see Section E).</w:t>
      </w:r>
    </w:p>
    <w:p w14:paraId="4F8455BB" w14:textId="77777777" w:rsidR="00306B0F" w:rsidRPr="000901C3" w:rsidRDefault="00306B0F" w:rsidP="00306B0F">
      <w:pPr>
        <w:rPr>
          <w:rFonts w:cs="Arial"/>
          <w:bCs/>
          <w:sz w:val="22"/>
          <w:szCs w:val="22"/>
        </w:rPr>
      </w:pPr>
    </w:p>
    <w:p w14:paraId="22D9D90D" w14:textId="49889F6D" w:rsidR="00306B0F" w:rsidRDefault="00306B0F" w:rsidP="00306B0F">
      <w:pPr>
        <w:rPr>
          <w:rFonts w:cs="Arial"/>
          <w:bCs/>
          <w:sz w:val="22"/>
          <w:szCs w:val="22"/>
        </w:rPr>
      </w:pPr>
      <w:r w:rsidRPr="000901C3">
        <w:rPr>
          <w:rFonts w:cs="Arial"/>
          <w:bCs/>
          <w:sz w:val="22"/>
          <w:szCs w:val="22"/>
        </w:rPr>
        <w:t>Based on the above</w:t>
      </w:r>
      <w:r>
        <w:rPr>
          <w:rFonts w:cs="Arial"/>
          <w:bCs/>
          <w:sz w:val="22"/>
          <w:szCs w:val="22"/>
        </w:rPr>
        <w:t xml:space="preserve"> economy assessment of the VfM</w:t>
      </w:r>
      <w:r w:rsidRPr="000901C3">
        <w:rPr>
          <w:rFonts w:cs="Arial"/>
          <w:bCs/>
          <w:sz w:val="22"/>
          <w:szCs w:val="22"/>
        </w:rPr>
        <w:t xml:space="preserve">, </w:t>
      </w:r>
      <w:r>
        <w:rPr>
          <w:rFonts w:cs="Arial"/>
          <w:bCs/>
          <w:sz w:val="22"/>
          <w:szCs w:val="22"/>
        </w:rPr>
        <w:t xml:space="preserve">there is sufficient evidence to suggest that delivery partners have robust processes in place to ensure appropriate investments are made which are considered good value for money. Fees have also stayed the same, and are as expected, keeping in-line with the judgement that the inputs into CCUS are appropriate. Delivery partners draw down fees from existing encashments (the last encashments were in 2013 for the ADB and 2017 for the World Bank). </w:t>
      </w:r>
    </w:p>
    <w:p w14:paraId="1A6893B4" w14:textId="77777777" w:rsidR="00306B0F" w:rsidRPr="000901C3" w:rsidRDefault="00306B0F" w:rsidP="00306B0F">
      <w:pPr>
        <w:rPr>
          <w:rFonts w:cs="Arial"/>
          <w:bCs/>
          <w:sz w:val="22"/>
          <w:szCs w:val="22"/>
        </w:rPr>
      </w:pPr>
    </w:p>
    <w:p w14:paraId="38F71AE9" w14:textId="77777777" w:rsidR="00306B0F" w:rsidRPr="000901C3" w:rsidRDefault="00306B0F" w:rsidP="00306B0F">
      <w:pPr>
        <w:rPr>
          <w:rFonts w:cs="Arial"/>
          <w:bCs/>
          <w:i/>
          <w:iCs/>
          <w:sz w:val="22"/>
          <w:szCs w:val="22"/>
        </w:rPr>
      </w:pPr>
      <w:r w:rsidRPr="000901C3">
        <w:rPr>
          <w:rFonts w:cs="Arial"/>
          <w:bCs/>
          <w:i/>
          <w:iCs/>
          <w:sz w:val="22"/>
          <w:szCs w:val="22"/>
        </w:rPr>
        <w:t xml:space="preserve">Efficiency </w:t>
      </w:r>
    </w:p>
    <w:p w14:paraId="7AD03129" w14:textId="7085A9BC" w:rsidR="00306B0F" w:rsidRDefault="008C51A6" w:rsidP="00306B0F">
      <w:pPr>
        <w:rPr>
          <w:rFonts w:cs="Arial"/>
          <w:bCs/>
          <w:sz w:val="22"/>
          <w:szCs w:val="22"/>
        </w:rPr>
      </w:pPr>
      <w:r>
        <w:rPr>
          <w:rFonts w:cs="Arial"/>
          <w:b/>
          <w:bCs/>
          <w:sz w:val="22"/>
          <w:szCs w:val="22"/>
        </w:rPr>
        <w:t>Are</w:t>
      </w:r>
      <w:r w:rsidR="00306B0F" w:rsidRPr="00653978">
        <w:rPr>
          <w:rFonts w:cs="Arial"/>
          <w:b/>
          <w:bCs/>
          <w:sz w:val="22"/>
          <w:szCs w:val="22"/>
        </w:rPr>
        <w:t xml:space="preserve"> funds disbursed as expected?</w:t>
      </w:r>
      <w:r w:rsidR="00306B0F">
        <w:rPr>
          <w:rFonts w:cs="Arial"/>
          <w:sz w:val="22"/>
          <w:szCs w:val="22"/>
        </w:rPr>
        <w:t xml:space="preserve"> </w:t>
      </w:r>
      <w:r w:rsidR="00306B0F">
        <w:rPr>
          <w:rFonts w:cs="Arial"/>
          <w:bCs/>
          <w:sz w:val="22"/>
          <w:szCs w:val="22"/>
        </w:rPr>
        <w:t>No, f</w:t>
      </w:r>
      <w:r w:rsidR="00306B0F" w:rsidRPr="00F37F11">
        <w:rPr>
          <w:rFonts w:cs="Arial"/>
          <w:bCs/>
          <w:sz w:val="22"/>
          <w:szCs w:val="22"/>
        </w:rPr>
        <w:t>unds have not been disbursed as expected</w:t>
      </w:r>
      <w:r w:rsidR="00306B0F">
        <w:rPr>
          <w:rFonts w:cs="Arial"/>
          <w:bCs/>
          <w:sz w:val="22"/>
          <w:szCs w:val="22"/>
        </w:rPr>
        <w:t xml:space="preserve"> in the original and extension business cases</w:t>
      </w:r>
      <w:r w:rsidR="00A52D73">
        <w:rPr>
          <w:rFonts w:cs="Arial"/>
          <w:bCs/>
          <w:sz w:val="22"/>
          <w:szCs w:val="22"/>
        </w:rPr>
        <w:t>.</w:t>
      </w:r>
      <w:r w:rsidR="00BB0272">
        <w:rPr>
          <w:rFonts w:cs="Arial"/>
          <w:bCs/>
          <w:sz w:val="22"/>
          <w:szCs w:val="22"/>
        </w:rPr>
        <w:t xml:space="preserve"> </w:t>
      </w:r>
      <w:r w:rsidR="007A3BBA">
        <w:rPr>
          <w:rFonts w:cs="Arial"/>
          <w:bCs/>
          <w:sz w:val="22"/>
          <w:szCs w:val="22"/>
        </w:rPr>
        <w:t>Th</w:t>
      </w:r>
      <w:r w:rsidR="007D39BC">
        <w:rPr>
          <w:rFonts w:cs="Arial"/>
          <w:bCs/>
          <w:sz w:val="22"/>
          <w:szCs w:val="22"/>
        </w:rPr>
        <w:t>e</w:t>
      </w:r>
      <w:r w:rsidR="007A3BBA">
        <w:rPr>
          <w:rFonts w:cs="Arial"/>
          <w:bCs/>
          <w:sz w:val="22"/>
          <w:szCs w:val="22"/>
        </w:rPr>
        <w:t xml:space="preserve"> slow disbursement </w:t>
      </w:r>
      <w:r w:rsidR="001538C2">
        <w:rPr>
          <w:rFonts w:cs="Arial"/>
          <w:bCs/>
          <w:sz w:val="22"/>
          <w:szCs w:val="22"/>
        </w:rPr>
        <w:t>for project activities</w:t>
      </w:r>
      <w:r w:rsidR="007D39BC">
        <w:rPr>
          <w:rFonts w:cs="Arial"/>
          <w:bCs/>
          <w:sz w:val="22"/>
          <w:szCs w:val="22"/>
        </w:rPr>
        <w:t xml:space="preserve"> represents reduced value-for-money (</w:t>
      </w:r>
      <w:r w:rsidR="001538C2">
        <w:rPr>
          <w:rFonts w:cs="Arial"/>
          <w:bCs/>
          <w:sz w:val="22"/>
          <w:szCs w:val="22"/>
        </w:rPr>
        <w:t>e.g</w:t>
      </w:r>
      <w:r w:rsidR="007D39BC">
        <w:rPr>
          <w:rFonts w:cs="Arial"/>
          <w:bCs/>
          <w:sz w:val="22"/>
          <w:szCs w:val="22"/>
        </w:rPr>
        <w:t>.</w:t>
      </w:r>
      <w:r w:rsidR="001538C2">
        <w:rPr>
          <w:rFonts w:cs="Arial"/>
          <w:bCs/>
          <w:sz w:val="22"/>
          <w:szCs w:val="22"/>
        </w:rPr>
        <w:t xml:space="preserve"> in South Africa</w:t>
      </w:r>
      <w:r w:rsidR="007D39BC">
        <w:rPr>
          <w:rFonts w:cs="Arial"/>
          <w:bCs/>
          <w:sz w:val="22"/>
          <w:szCs w:val="22"/>
        </w:rPr>
        <w:t>,</w:t>
      </w:r>
      <w:r w:rsidR="001538C2">
        <w:rPr>
          <w:rFonts w:cs="Arial"/>
          <w:bCs/>
          <w:sz w:val="22"/>
          <w:szCs w:val="22"/>
        </w:rPr>
        <w:t xml:space="preserve"> </w:t>
      </w:r>
      <w:r w:rsidR="00306132">
        <w:rPr>
          <w:rFonts w:cs="Arial"/>
          <w:bCs/>
          <w:sz w:val="22"/>
          <w:szCs w:val="22"/>
        </w:rPr>
        <w:t xml:space="preserve">$23m was </w:t>
      </w:r>
      <w:r w:rsidR="001538C2">
        <w:rPr>
          <w:rFonts w:cs="Arial"/>
          <w:bCs/>
          <w:sz w:val="22"/>
          <w:szCs w:val="22"/>
        </w:rPr>
        <w:t>allocated in 2018</w:t>
      </w:r>
      <w:r w:rsidR="00F51F46">
        <w:rPr>
          <w:rFonts w:cs="Arial"/>
          <w:bCs/>
          <w:sz w:val="22"/>
          <w:szCs w:val="22"/>
        </w:rPr>
        <w:t xml:space="preserve"> but no </w:t>
      </w:r>
      <w:r w:rsidR="00032F66">
        <w:rPr>
          <w:rFonts w:cs="Arial"/>
          <w:bCs/>
          <w:sz w:val="22"/>
          <w:szCs w:val="22"/>
        </w:rPr>
        <w:t xml:space="preserve">disbursement has </w:t>
      </w:r>
      <w:r w:rsidR="00306132">
        <w:rPr>
          <w:rFonts w:cs="Arial"/>
          <w:bCs/>
          <w:sz w:val="22"/>
          <w:szCs w:val="22"/>
        </w:rPr>
        <w:t>occurred</w:t>
      </w:r>
      <w:r w:rsidR="00EA106D">
        <w:rPr>
          <w:rFonts w:cs="Arial"/>
          <w:bCs/>
          <w:sz w:val="22"/>
          <w:szCs w:val="22"/>
        </w:rPr>
        <w:t>)</w:t>
      </w:r>
      <w:r w:rsidR="00782487">
        <w:rPr>
          <w:rFonts w:cs="Arial"/>
          <w:bCs/>
          <w:sz w:val="22"/>
          <w:szCs w:val="22"/>
        </w:rPr>
        <w:t>.</w:t>
      </w:r>
    </w:p>
    <w:p w14:paraId="1FFAEDE7" w14:textId="77777777" w:rsidR="00306B0F" w:rsidRDefault="00306B0F" w:rsidP="00306B0F">
      <w:pPr>
        <w:rPr>
          <w:rFonts w:cs="Arial"/>
          <w:bCs/>
          <w:sz w:val="22"/>
          <w:szCs w:val="22"/>
        </w:rPr>
      </w:pPr>
    </w:p>
    <w:p w14:paraId="78858211" w14:textId="2E93C3E1" w:rsidR="00306B0F" w:rsidRDefault="008C51A6" w:rsidP="00306B0F">
      <w:pPr>
        <w:rPr>
          <w:rFonts w:cs="Arial"/>
          <w:bCs/>
          <w:sz w:val="22"/>
          <w:szCs w:val="22"/>
        </w:rPr>
      </w:pPr>
      <w:r>
        <w:rPr>
          <w:rFonts w:cs="Arial"/>
          <w:b/>
          <w:sz w:val="22"/>
          <w:szCs w:val="22"/>
        </w:rPr>
        <w:t>Are</w:t>
      </w:r>
      <w:r w:rsidR="00306B0F" w:rsidRPr="00653978">
        <w:rPr>
          <w:rFonts w:cs="Arial"/>
          <w:b/>
          <w:sz w:val="22"/>
          <w:szCs w:val="22"/>
        </w:rPr>
        <w:t xml:space="preserve"> funds delivered on time?</w:t>
      </w:r>
      <w:r w:rsidR="00306B0F" w:rsidRPr="00F37F11">
        <w:rPr>
          <w:rFonts w:cs="Arial"/>
          <w:bCs/>
          <w:sz w:val="22"/>
          <w:szCs w:val="22"/>
        </w:rPr>
        <w:t xml:space="preserve"> No new funds were allocated in 2020 and the programme has </w:t>
      </w:r>
      <w:r w:rsidR="00306B0F">
        <w:rPr>
          <w:rFonts w:cs="Arial"/>
          <w:bCs/>
          <w:sz w:val="22"/>
          <w:szCs w:val="22"/>
        </w:rPr>
        <w:t xml:space="preserve">significantly </w:t>
      </w:r>
      <w:r w:rsidR="00306B0F" w:rsidRPr="00F37F11">
        <w:rPr>
          <w:rFonts w:cs="Arial"/>
          <w:bCs/>
          <w:sz w:val="22"/>
          <w:szCs w:val="22"/>
        </w:rPr>
        <w:t xml:space="preserve">deviated from the original encashment schedules, with no new funds </w:t>
      </w:r>
      <w:r w:rsidR="00306B0F" w:rsidRPr="00F37F11">
        <w:rPr>
          <w:rFonts w:cs="Arial"/>
          <w:bCs/>
          <w:sz w:val="22"/>
          <w:szCs w:val="22"/>
        </w:rPr>
        <w:lastRenderedPageBreak/>
        <w:t>encashed to the ADB since 2013 or the World Bank since 2017</w:t>
      </w:r>
      <w:r w:rsidR="00306B0F">
        <w:rPr>
          <w:rFonts w:cs="Arial"/>
          <w:bCs/>
          <w:sz w:val="22"/>
          <w:szCs w:val="22"/>
        </w:rPr>
        <w:t xml:space="preserve"> due to a lack of demand by delivery partners for funds to be encashed. </w:t>
      </w:r>
      <w:r w:rsidR="00306B0F" w:rsidRPr="00F37F11">
        <w:rPr>
          <w:rFonts w:cs="Arial"/>
          <w:bCs/>
          <w:sz w:val="22"/>
          <w:szCs w:val="22"/>
        </w:rPr>
        <w:t xml:space="preserve">53% of BEIS funds </w:t>
      </w:r>
      <w:r w:rsidR="00306B0F">
        <w:rPr>
          <w:rFonts w:cs="Arial"/>
          <w:bCs/>
          <w:sz w:val="22"/>
          <w:szCs w:val="22"/>
        </w:rPr>
        <w:t xml:space="preserve">are </w:t>
      </w:r>
      <w:r w:rsidR="00306B0F" w:rsidRPr="00F37F11">
        <w:rPr>
          <w:rFonts w:cs="Arial"/>
          <w:bCs/>
          <w:sz w:val="22"/>
          <w:szCs w:val="22"/>
        </w:rPr>
        <w:t>yet to be encashed</w:t>
      </w:r>
      <w:r w:rsidR="00306B0F">
        <w:rPr>
          <w:rFonts w:cs="Arial"/>
          <w:bCs/>
          <w:sz w:val="22"/>
          <w:szCs w:val="22"/>
        </w:rPr>
        <w:t>. Considering the UK’s burden share of each Trust Fund, there is ~£4.3m of unallocated funds not covered by pipeline in the World Bank CCUS Trust Fund and ~£21.8m unallocated</w:t>
      </w:r>
      <w:r w:rsidR="001310B9">
        <w:rPr>
          <w:rFonts w:cs="Arial"/>
          <w:bCs/>
          <w:sz w:val="22"/>
          <w:szCs w:val="22"/>
        </w:rPr>
        <w:t xml:space="preserve"> funds</w:t>
      </w:r>
      <w:r w:rsidR="00306B0F">
        <w:rPr>
          <w:rFonts w:cs="Arial"/>
          <w:bCs/>
          <w:sz w:val="22"/>
          <w:szCs w:val="22"/>
        </w:rPr>
        <w:t xml:space="preserve"> not covered by pipeline in the ADB CCUS Trust Fund. </w:t>
      </w:r>
    </w:p>
    <w:p w14:paraId="34DBCD7F" w14:textId="77777777" w:rsidR="00306B0F" w:rsidRPr="00F37F11" w:rsidRDefault="00306B0F" w:rsidP="00306B0F">
      <w:pPr>
        <w:rPr>
          <w:rFonts w:cs="Arial"/>
          <w:bCs/>
          <w:sz w:val="22"/>
          <w:szCs w:val="22"/>
        </w:rPr>
      </w:pPr>
    </w:p>
    <w:p w14:paraId="6F675CC5" w14:textId="4F85FCB8" w:rsidR="00306B0F" w:rsidRDefault="00306B0F" w:rsidP="00306B0F">
      <w:pPr>
        <w:rPr>
          <w:sz w:val="22"/>
          <w:szCs w:val="22"/>
        </w:rPr>
      </w:pPr>
      <w:r>
        <w:rPr>
          <w:rFonts w:cs="Arial"/>
          <w:bCs/>
          <w:sz w:val="22"/>
          <w:szCs w:val="22"/>
        </w:rPr>
        <w:t>A</w:t>
      </w:r>
      <w:r w:rsidRPr="00A51CD6">
        <w:rPr>
          <w:rFonts w:cs="Arial"/>
          <w:sz w:val="22"/>
          <w:szCs w:val="22"/>
        </w:rPr>
        <w:t>s discussed in previous annual reviews</w:t>
      </w:r>
      <w:r>
        <w:rPr>
          <w:rFonts w:cs="Arial"/>
          <w:sz w:val="22"/>
          <w:szCs w:val="22"/>
        </w:rPr>
        <w:t xml:space="preserve"> since the start of the Programme</w:t>
      </w:r>
      <w:r w:rsidRPr="00A51CD6">
        <w:rPr>
          <w:rFonts w:cs="Arial"/>
          <w:sz w:val="22"/>
          <w:szCs w:val="22"/>
        </w:rPr>
        <w:t>, both</w:t>
      </w:r>
      <w:r w:rsidRPr="00A51CD6">
        <w:rPr>
          <w:sz w:val="22"/>
          <w:szCs w:val="22"/>
        </w:rPr>
        <w:t xml:space="preserve"> delivery partners successfully established activities in target countries, undertook capacity building activities, obtained government and industry support to plan pilot projects, established and strengthened CCUS Centres of Excellence, and identified regulatory frameworks to enable CCUS development. </w:t>
      </w:r>
      <w:r>
        <w:rPr>
          <w:sz w:val="22"/>
          <w:szCs w:val="22"/>
        </w:rPr>
        <w:t xml:space="preserve">However, activities in 2020 demonstrate that the approval and implementation </w:t>
      </w:r>
      <w:r w:rsidR="001310B9">
        <w:rPr>
          <w:sz w:val="22"/>
          <w:szCs w:val="22"/>
        </w:rPr>
        <w:t>of these</w:t>
      </w:r>
      <w:r>
        <w:rPr>
          <w:sz w:val="22"/>
          <w:szCs w:val="22"/>
        </w:rPr>
        <w:t xml:space="preserve"> </w:t>
      </w:r>
      <w:r w:rsidRPr="00A51CD6">
        <w:rPr>
          <w:sz w:val="22"/>
          <w:szCs w:val="22"/>
        </w:rPr>
        <w:t xml:space="preserve">policy, legal and regulatory frameworks </w:t>
      </w:r>
      <w:r>
        <w:rPr>
          <w:sz w:val="22"/>
          <w:szCs w:val="22"/>
        </w:rPr>
        <w:t>in recent years continue to be</w:t>
      </w:r>
      <w:r w:rsidRPr="00A51CD6">
        <w:rPr>
          <w:sz w:val="22"/>
          <w:szCs w:val="22"/>
        </w:rPr>
        <w:t xml:space="preserve"> a persistent issue</w:t>
      </w:r>
      <w:r w:rsidRPr="00F37F11">
        <w:rPr>
          <w:sz w:val="22"/>
          <w:szCs w:val="22"/>
        </w:rPr>
        <w:t>, as has the timescales for pipeline project</w:t>
      </w:r>
      <w:r>
        <w:rPr>
          <w:sz w:val="22"/>
          <w:szCs w:val="22"/>
        </w:rPr>
        <w:t xml:space="preserve"> construction</w:t>
      </w:r>
      <w:r w:rsidRPr="00A51CD6">
        <w:rPr>
          <w:sz w:val="22"/>
          <w:szCs w:val="22"/>
        </w:rPr>
        <w:t>.</w:t>
      </w:r>
      <w:r>
        <w:rPr>
          <w:sz w:val="22"/>
          <w:szCs w:val="22"/>
        </w:rPr>
        <w:t xml:space="preserve"> Largely due to these delays, </w:t>
      </w:r>
      <w:r w:rsidRPr="00F37F11">
        <w:rPr>
          <w:sz w:val="22"/>
          <w:szCs w:val="22"/>
        </w:rPr>
        <w:t>the programme has not met five out of six</w:t>
      </w:r>
      <w:r>
        <w:rPr>
          <w:sz w:val="22"/>
          <w:szCs w:val="22"/>
        </w:rPr>
        <w:t xml:space="preserve"> output</w:t>
      </w:r>
      <w:r w:rsidRPr="00F37F11">
        <w:rPr>
          <w:sz w:val="22"/>
          <w:szCs w:val="22"/>
        </w:rPr>
        <w:t xml:space="preserve"> milestones in 2020. </w:t>
      </w:r>
    </w:p>
    <w:p w14:paraId="6B5EF763" w14:textId="77777777" w:rsidR="00306B0F" w:rsidRPr="00F37F11" w:rsidRDefault="00306B0F" w:rsidP="00306B0F">
      <w:pPr>
        <w:rPr>
          <w:rFonts w:cs="Arial"/>
          <w:bCs/>
          <w:sz w:val="22"/>
          <w:szCs w:val="22"/>
        </w:rPr>
      </w:pPr>
    </w:p>
    <w:p w14:paraId="4580972A" w14:textId="6A728AF9" w:rsidR="00306B0F" w:rsidRDefault="008C51A6" w:rsidP="00306B0F">
      <w:pPr>
        <w:rPr>
          <w:rFonts w:cs="Arial"/>
          <w:bCs/>
          <w:sz w:val="22"/>
          <w:szCs w:val="22"/>
        </w:rPr>
      </w:pPr>
      <w:r>
        <w:rPr>
          <w:rFonts w:cs="Arial"/>
          <w:b/>
          <w:sz w:val="22"/>
          <w:szCs w:val="22"/>
        </w:rPr>
        <w:t>Are</w:t>
      </w:r>
      <w:r w:rsidR="0035685A">
        <w:rPr>
          <w:rFonts w:cs="Arial"/>
          <w:b/>
          <w:sz w:val="22"/>
          <w:szCs w:val="22"/>
        </w:rPr>
        <w:t xml:space="preserve"> </w:t>
      </w:r>
      <w:r w:rsidR="008A5E9F">
        <w:rPr>
          <w:rFonts w:cs="Arial"/>
          <w:b/>
          <w:sz w:val="22"/>
          <w:szCs w:val="22"/>
        </w:rPr>
        <w:t xml:space="preserve">delivery risks appropriately addressed? </w:t>
      </w:r>
      <w:r w:rsidR="008A5E9F">
        <w:rPr>
          <w:rFonts w:cs="Arial"/>
          <w:bCs/>
          <w:sz w:val="22"/>
          <w:szCs w:val="22"/>
        </w:rPr>
        <w:t>B</w:t>
      </w:r>
      <w:r w:rsidR="00306B0F">
        <w:rPr>
          <w:rFonts w:cs="Arial"/>
          <w:bCs/>
          <w:sz w:val="22"/>
          <w:szCs w:val="22"/>
        </w:rPr>
        <w:t>oth delivery partners have lacked a consistent and proactive communication</w:t>
      </w:r>
      <w:r w:rsidR="00306B0F" w:rsidRPr="00F37F11">
        <w:rPr>
          <w:rFonts w:cs="Arial"/>
          <w:bCs/>
          <w:sz w:val="22"/>
          <w:szCs w:val="22"/>
        </w:rPr>
        <w:t xml:space="preserve"> of emerging risks</w:t>
      </w:r>
      <w:r w:rsidR="00306B0F">
        <w:rPr>
          <w:rFonts w:cs="Arial"/>
          <w:bCs/>
          <w:sz w:val="22"/>
          <w:szCs w:val="22"/>
        </w:rPr>
        <w:t xml:space="preserve"> to BEIS</w:t>
      </w:r>
      <w:r w:rsidR="00306B0F" w:rsidRPr="00F37F11">
        <w:rPr>
          <w:rFonts w:cs="Arial"/>
          <w:bCs/>
          <w:sz w:val="22"/>
          <w:szCs w:val="22"/>
        </w:rPr>
        <w:t xml:space="preserve"> </w:t>
      </w:r>
      <w:r w:rsidR="00306B0F">
        <w:rPr>
          <w:rFonts w:cs="Arial"/>
          <w:bCs/>
          <w:sz w:val="22"/>
          <w:szCs w:val="22"/>
        </w:rPr>
        <w:t xml:space="preserve">and development of long-term risk strategies at the portfolio-level. These actions could have mitigated against key issues in the programme, notably the sustained delays and underspend. </w:t>
      </w:r>
    </w:p>
    <w:p w14:paraId="71340F4E" w14:textId="77777777" w:rsidR="00306B0F" w:rsidRDefault="00306B0F" w:rsidP="00306B0F">
      <w:pPr>
        <w:rPr>
          <w:rFonts w:cs="Arial"/>
          <w:bCs/>
          <w:sz w:val="22"/>
          <w:szCs w:val="22"/>
        </w:rPr>
      </w:pPr>
    </w:p>
    <w:p w14:paraId="42B390E4" w14:textId="0B82AD13" w:rsidR="00191712" w:rsidRDefault="008C51A6" w:rsidP="00306B0F">
      <w:pPr>
        <w:rPr>
          <w:rFonts w:cs="Arial"/>
          <w:bCs/>
          <w:sz w:val="22"/>
          <w:szCs w:val="22"/>
        </w:rPr>
      </w:pPr>
      <w:r>
        <w:rPr>
          <w:rFonts w:cs="Arial"/>
          <w:b/>
          <w:sz w:val="22"/>
          <w:szCs w:val="22"/>
        </w:rPr>
        <w:t>Is</w:t>
      </w:r>
      <w:r w:rsidR="00A501E8" w:rsidRPr="008A5E9F">
        <w:rPr>
          <w:rFonts w:cs="Arial"/>
          <w:b/>
          <w:sz w:val="22"/>
          <w:szCs w:val="22"/>
        </w:rPr>
        <w:t xml:space="preserve"> the delivery model fit for purpose?</w:t>
      </w:r>
      <w:r w:rsidR="00A501E8">
        <w:rPr>
          <w:rFonts w:cs="Arial"/>
          <w:bCs/>
          <w:sz w:val="22"/>
          <w:szCs w:val="22"/>
        </w:rPr>
        <w:t xml:space="preserve"> </w:t>
      </w:r>
      <w:r w:rsidR="00306B0F">
        <w:rPr>
          <w:rFonts w:cs="Arial"/>
          <w:bCs/>
          <w:sz w:val="22"/>
          <w:szCs w:val="22"/>
        </w:rPr>
        <w:t>A</w:t>
      </w:r>
      <w:r w:rsidR="00306B0F" w:rsidRPr="00A51CD6">
        <w:rPr>
          <w:rFonts w:cs="Arial"/>
          <w:bCs/>
          <w:sz w:val="22"/>
          <w:szCs w:val="22"/>
        </w:rPr>
        <w:t xml:space="preserve">ctivities must align with </w:t>
      </w:r>
      <w:r w:rsidR="00306B0F">
        <w:rPr>
          <w:rFonts w:cs="Arial"/>
          <w:bCs/>
          <w:sz w:val="22"/>
          <w:szCs w:val="22"/>
        </w:rPr>
        <w:t xml:space="preserve">in-country </w:t>
      </w:r>
      <w:r w:rsidR="00306B0F" w:rsidRPr="00A51CD6">
        <w:rPr>
          <w:rFonts w:cs="Arial"/>
          <w:bCs/>
          <w:sz w:val="22"/>
          <w:szCs w:val="22"/>
        </w:rPr>
        <w:t>government priorities, improving the likelihood of transformational change</w:t>
      </w:r>
      <w:r w:rsidR="00306B0F">
        <w:rPr>
          <w:rFonts w:cs="Arial"/>
          <w:bCs/>
          <w:sz w:val="22"/>
          <w:szCs w:val="22"/>
        </w:rPr>
        <w:t xml:space="preserve"> but also causing substantial delays where decision-making on CCUS activities in recipient countries is delayed</w:t>
      </w:r>
      <w:r w:rsidR="00306B0F" w:rsidRPr="00A51CD6">
        <w:rPr>
          <w:rFonts w:cs="Arial"/>
          <w:bCs/>
          <w:sz w:val="22"/>
          <w:szCs w:val="22"/>
        </w:rPr>
        <w:t>.</w:t>
      </w:r>
      <w:r w:rsidR="00306B0F">
        <w:rPr>
          <w:rFonts w:cs="Arial"/>
          <w:bCs/>
          <w:sz w:val="22"/>
          <w:szCs w:val="22"/>
        </w:rPr>
        <w:t xml:space="preserve"> </w:t>
      </w:r>
      <w:r w:rsidR="00AC3FAC">
        <w:rPr>
          <w:rFonts w:cs="Arial"/>
          <w:bCs/>
          <w:sz w:val="22"/>
          <w:szCs w:val="22"/>
        </w:rPr>
        <w:t xml:space="preserve">Noting the delays and underspend mentioned above, </w:t>
      </w:r>
      <w:r w:rsidR="00F53EB6">
        <w:rPr>
          <w:rFonts w:cs="Arial"/>
          <w:bCs/>
          <w:sz w:val="22"/>
          <w:szCs w:val="22"/>
        </w:rPr>
        <w:t xml:space="preserve">this delivery model does not adequately </w:t>
      </w:r>
      <w:r w:rsidR="00E823BA">
        <w:rPr>
          <w:rFonts w:cs="Arial"/>
          <w:bCs/>
          <w:sz w:val="22"/>
          <w:szCs w:val="22"/>
        </w:rPr>
        <w:t>deliver outputs in the timescales expected.</w:t>
      </w:r>
    </w:p>
    <w:p w14:paraId="539DF2A2" w14:textId="77777777" w:rsidR="00191712" w:rsidRDefault="00191712" w:rsidP="00306B0F">
      <w:pPr>
        <w:rPr>
          <w:rFonts w:cs="Arial"/>
          <w:bCs/>
          <w:sz w:val="22"/>
          <w:szCs w:val="22"/>
        </w:rPr>
      </w:pPr>
    </w:p>
    <w:p w14:paraId="0A154FEA" w14:textId="118BA45A" w:rsidR="00625AC1" w:rsidRDefault="008C51A6" w:rsidP="00306B0F">
      <w:pPr>
        <w:rPr>
          <w:rFonts w:cs="Arial"/>
          <w:bCs/>
          <w:sz w:val="22"/>
          <w:szCs w:val="22"/>
        </w:rPr>
      </w:pPr>
      <w:r>
        <w:rPr>
          <w:rFonts w:cs="Arial"/>
          <w:b/>
          <w:sz w:val="22"/>
          <w:szCs w:val="22"/>
        </w:rPr>
        <w:t>Are</w:t>
      </w:r>
      <w:r w:rsidR="0022761B" w:rsidRPr="00D91E41">
        <w:rPr>
          <w:rFonts w:cs="Arial"/>
          <w:b/>
          <w:sz w:val="22"/>
          <w:szCs w:val="22"/>
        </w:rPr>
        <w:t xml:space="preserve"> delivery partners responsive to changing circumstances?</w:t>
      </w:r>
      <w:r w:rsidR="0022761B">
        <w:rPr>
          <w:rFonts w:cs="Arial"/>
          <w:bCs/>
          <w:sz w:val="22"/>
          <w:szCs w:val="22"/>
        </w:rPr>
        <w:t xml:space="preserve"> </w:t>
      </w:r>
      <w:r w:rsidR="00541CE8">
        <w:rPr>
          <w:rFonts w:cs="Arial"/>
          <w:bCs/>
          <w:sz w:val="22"/>
          <w:szCs w:val="22"/>
        </w:rPr>
        <w:t xml:space="preserve">Both delivery partners </w:t>
      </w:r>
      <w:r w:rsidR="0066489F">
        <w:rPr>
          <w:rFonts w:cs="Arial"/>
          <w:bCs/>
          <w:sz w:val="22"/>
          <w:szCs w:val="22"/>
        </w:rPr>
        <w:t>faced unprecedented challenge</w:t>
      </w:r>
      <w:r w:rsidR="00B6583E">
        <w:rPr>
          <w:rFonts w:cs="Arial"/>
          <w:bCs/>
          <w:sz w:val="22"/>
          <w:szCs w:val="22"/>
        </w:rPr>
        <w:t>s</w:t>
      </w:r>
      <w:r w:rsidR="0066489F">
        <w:rPr>
          <w:rFonts w:cs="Arial"/>
          <w:bCs/>
          <w:sz w:val="22"/>
          <w:szCs w:val="22"/>
        </w:rPr>
        <w:t xml:space="preserve"> in </w:t>
      </w:r>
      <w:r w:rsidR="00B6583E">
        <w:rPr>
          <w:rFonts w:cs="Arial"/>
          <w:bCs/>
          <w:sz w:val="22"/>
          <w:szCs w:val="22"/>
        </w:rPr>
        <w:t>2020</w:t>
      </w:r>
      <w:r w:rsidR="0066489F">
        <w:rPr>
          <w:rFonts w:cs="Arial"/>
          <w:bCs/>
          <w:sz w:val="22"/>
          <w:szCs w:val="22"/>
        </w:rPr>
        <w:t xml:space="preserve"> in navigating </w:t>
      </w:r>
      <w:r w:rsidR="005C4972">
        <w:rPr>
          <w:rFonts w:cs="Arial"/>
          <w:bCs/>
          <w:sz w:val="22"/>
          <w:szCs w:val="22"/>
        </w:rPr>
        <w:t>restrictions caused by the COVID</w:t>
      </w:r>
      <w:r w:rsidR="00B6583E">
        <w:rPr>
          <w:rFonts w:cs="Arial"/>
          <w:bCs/>
          <w:sz w:val="22"/>
          <w:szCs w:val="22"/>
        </w:rPr>
        <w:t>-</w:t>
      </w:r>
      <w:r w:rsidR="005C4972">
        <w:rPr>
          <w:rFonts w:cs="Arial"/>
          <w:bCs/>
          <w:sz w:val="22"/>
          <w:szCs w:val="22"/>
        </w:rPr>
        <w:t xml:space="preserve">19 pandemic. The ADB has demonstrated that virtual engagement for capacity building activities is an efficient method of delivery, noting that this also reduces the cost of staff expenses and </w:t>
      </w:r>
      <w:r w:rsidR="00B6583E">
        <w:rPr>
          <w:rFonts w:cs="Arial"/>
          <w:bCs/>
          <w:sz w:val="22"/>
          <w:szCs w:val="22"/>
        </w:rPr>
        <w:t xml:space="preserve">the </w:t>
      </w:r>
      <w:r w:rsidR="005C4972">
        <w:rPr>
          <w:rFonts w:cs="Arial"/>
          <w:bCs/>
          <w:sz w:val="22"/>
          <w:szCs w:val="22"/>
        </w:rPr>
        <w:t>hiring of assets to host events. It is unclear</w:t>
      </w:r>
      <w:r w:rsidR="00DB2103">
        <w:rPr>
          <w:rFonts w:cs="Arial"/>
          <w:bCs/>
          <w:sz w:val="22"/>
          <w:szCs w:val="22"/>
        </w:rPr>
        <w:t xml:space="preserve"> why </w:t>
      </w:r>
      <w:r w:rsidR="00044130">
        <w:rPr>
          <w:rFonts w:cs="Arial"/>
          <w:bCs/>
          <w:sz w:val="22"/>
          <w:szCs w:val="22"/>
        </w:rPr>
        <w:t>similar levels of virtual stakeholder engagement were not achieved by the World Bank</w:t>
      </w:r>
      <w:r w:rsidR="005C4972">
        <w:rPr>
          <w:rFonts w:cs="Arial"/>
          <w:bCs/>
          <w:sz w:val="22"/>
          <w:szCs w:val="22"/>
        </w:rPr>
        <w:t xml:space="preserve">. </w:t>
      </w:r>
      <w:r w:rsidR="00BB49FB">
        <w:rPr>
          <w:rFonts w:cs="Arial"/>
          <w:bCs/>
          <w:sz w:val="22"/>
          <w:szCs w:val="22"/>
        </w:rPr>
        <w:t xml:space="preserve">The </w:t>
      </w:r>
      <w:r w:rsidR="00BB49FB" w:rsidRPr="00A51CD6">
        <w:rPr>
          <w:rFonts w:cs="Arial"/>
          <w:bCs/>
          <w:sz w:val="22"/>
          <w:szCs w:val="22"/>
        </w:rPr>
        <w:t>ADB’s CCUS game changers webinar</w:t>
      </w:r>
      <w:r w:rsidR="00BB49FB">
        <w:rPr>
          <w:rFonts w:cs="Arial"/>
          <w:bCs/>
          <w:sz w:val="22"/>
          <w:szCs w:val="22"/>
        </w:rPr>
        <w:t xml:space="preserve">, </w:t>
      </w:r>
      <w:r w:rsidR="00BB49FB" w:rsidRPr="00BB49FB">
        <w:rPr>
          <w:rFonts w:cs="Arial"/>
          <w:sz w:val="22"/>
          <w:szCs w:val="22"/>
        </w:rPr>
        <w:t>CO</w:t>
      </w:r>
      <w:r w:rsidR="00BB49FB" w:rsidRPr="00BB49FB">
        <w:rPr>
          <w:rFonts w:cs="Arial"/>
          <w:sz w:val="22"/>
          <w:szCs w:val="22"/>
          <w:vertAlign w:val="subscript"/>
        </w:rPr>
        <w:t>2</w:t>
      </w:r>
      <w:r w:rsidR="00BB49FB" w:rsidRPr="00BB49FB">
        <w:rPr>
          <w:rFonts w:cs="Arial"/>
          <w:bCs/>
          <w:sz w:val="22"/>
          <w:szCs w:val="22"/>
        </w:rPr>
        <w:t xml:space="preserve"> </w:t>
      </w:r>
      <w:r w:rsidR="00BB49FB">
        <w:rPr>
          <w:rFonts w:cs="Arial"/>
          <w:bCs/>
          <w:sz w:val="22"/>
          <w:szCs w:val="22"/>
        </w:rPr>
        <w:t>Mineralisation webinar, and the World Bank-led Global Decarbonising Natural Gas Study show that both delivery partners have responded to technological developments in 2020.</w:t>
      </w:r>
      <w:r w:rsidR="006F5CA0">
        <w:rPr>
          <w:rFonts w:cs="Arial"/>
          <w:bCs/>
          <w:sz w:val="22"/>
          <w:szCs w:val="22"/>
        </w:rPr>
        <w:t xml:space="preserve"> </w:t>
      </w:r>
    </w:p>
    <w:p w14:paraId="2C9C3F52" w14:textId="77777777" w:rsidR="00625AC1" w:rsidRDefault="00625AC1" w:rsidP="00306B0F">
      <w:pPr>
        <w:rPr>
          <w:rFonts w:cs="Arial"/>
          <w:bCs/>
          <w:sz w:val="22"/>
          <w:szCs w:val="22"/>
        </w:rPr>
      </w:pPr>
    </w:p>
    <w:p w14:paraId="753C167F" w14:textId="6EA78B69" w:rsidR="00306B0F" w:rsidRPr="002B7A46" w:rsidRDefault="00306B0F" w:rsidP="00306B0F">
      <w:pPr>
        <w:rPr>
          <w:rFonts w:cs="Arial"/>
          <w:bCs/>
          <w:sz w:val="22"/>
          <w:szCs w:val="22"/>
        </w:rPr>
      </w:pPr>
      <w:r>
        <w:rPr>
          <w:rFonts w:cs="Arial"/>
          <w:bCs/>
          <w:sz w:val="22"/>
          <w:szCs w:val="22"/>
        </w:rPr>
        <w:t xml:space="preserve">The ADB </w:t>
      </w:r>
      <w:r w:rsidRPr="00A849A1">
        <w:rPr>
          <w:rFonts w:cs="Arial"/>
          <w:sz w:val="22"/>
          <w:szCs w:val="22"/>
        </w:rPr>
        <w:t>produce</w:t>
      </w:r>
      <w:r>
        <w:rPr>
          <w:rFonts w:cs="Arial"/>
          <w:sz w:val="22"/>
          <w:szCs w:val="22"/>
        </w:rPr>
        <w:t>d</w:t>
      </w:r>
      <w:r w:rsidRPr="00A849A1">
        <w:rPr>
          <w:rFonts w:cs="Arial"/>
          <w:sz w:val="22"/>
          <w:szCs w:val="22"/>
        </w:rPr>
        <w:t xml:space="preserve"> a note on the lessons learn</w:t>
      </w:r>
      <w:r>
        <w:rPr>
          <w:rFonts w:cs="Arial"/>
          <w:sz w:val="22"/>
          <w:szCs w:val="22"/>
        </w:rPr>
        <w:t>ed</w:t>
      </w:r>
      <w:r w:rsidRPr="00A849A1">
        <w:rPr>
          <w:rFonts w:cs="Arial"/>
          <w:sz w:val="22"/>
          <w:szCs w:val="22"/>
        </w:rPr>
        <w:t xml:space="preserve"> from the Gundih pilot project</w:t>
      </w:r>
      <w:r>
        <w:rPr>
          <w:rFonts w:cs="Arial"/>
          <w:sz w:val="22"/>
          <w:szCs w:val="22"/>
        </w:rPr>
        <w:t xml:space="preserve"> in Indonesia to explain how they responded to changing circumstances. However, the ADB did not proactively disseminate these findings widely, which is a missed opportunity (instead, the report was simply published on the ADB’s website in July 2020).</w:t>
      </w:r>
      <w:r w:rsidR="00107DBF">
        <w:rPr>
          <w:rFonts w:cs="Arial"/>
          <w:sz w:val="22"/>
          <w:szCs w:val="22"/>
        </w:rPr>
        <w:t xml:space="preserve"> </w:t>
      </w:r>
    </w:p>
    <w:p w14:paraId="0F4683C7" w14:textId="77777777" w:rsidR="00306B0F" w:rsidRPr="002B7A46" w:rsidRDefault="00306B0F" w:rsidP="00306B0F">
      <w:pPr>
        <w:rPr>
          <w:rFonts w:cs="Arial"/>
          <w:bCs/>
          <w:sz w:val="22"/>
          <w:szCs w:val="22"/>
        </w:rPr>
      </w:pPr>
    </w:p>
    <w:p w14:paraId="1F3A3041" w14:textId="5C562F5B" w:rsidR="00306B0F" w:rsidRPr="000901C3" w:rsidRDefault="00306B0F" w:rsidP="00306B0F">
      <w:pPr>
        <w:rPr>
          <w:rFonts w:cs="Arial"/>
          <w:bCs/>
          <w:sz w:val="22"/>
          <w:szCs w:val="22"/>
        </w:rPr>
      </w:pPr>
      <w:r>
        <w:rPr>
          <w:rFonts w:cs="Arial"/>
          <w:bCs/>
          <w:sz w:val="22"/>
          <w:szCs w:val="22"/>
        </w:rPr>
        <w:t>Despite proficient risk management and appraisal processes in place to support the efficiency and rational decision-making of CCUS</w:t>
      </w:r>
      <w:r w:rsidRPr="000901C3">
        <w:rPr>
          <w:rFonts w:cs="Arial"/>
          <w:bCs/>
          <w:sz w:val="22"/>
          <w:szCs w:val="22"/>
        </w:rPr>
        <w:t xml:space="preserve">, </w:t>
      </w:r>
      <w:r>
        <w:rPr>
          <w:rFonts w:cs="Arial"/>
          <w:bCs/>
          <w:sz w:val="22"/>
          <w:szCs w:val="22"/>
        </w:rPr>
        <w:t xml:space="preserve">currently </w:t>
      </w:r>
      <w:r w:rsidRPr="000901C3">
        <w:rPr>
          <w:rFonts w:cs="Arial"/>
          <w:bCs/>
          <w:sz w:val="22"/>
          <w:szCs w:val="22"/>
        </w:rPr>
        <w:t xml:space="preserve">BEIS does not judge this programme to be </w:t>
      </w:r>
      <w:r>
        <w:rPr>
          <w:rFonts w:cs="Arial"/>
          <w:bCs/>
          <w:sz w:val="22"/>
          <w:szCs w:val="22"/>
        </w:rPr>
        <w:t>efficient in producing the outputs intended.  D</w:t>
      </w:r>
      <w:r w:rsidRPr="000901C3">
        <w:rPr>
          <w:rFonts w:cs="Arial"/>
          <w:bCs/>
          <w:sz w:val="22"/>
          <w:szCs w:val="22"/>
        </w:rPr>
        <w:t>ue to the significant underspend</w:t>
      </w:r>
      <w:r>
        <w:rPr>
          <w:rFonts w:cs="Arial"/>
          <w:bCs/>
          <w:sz w:val="22"/>
          <w:szCs w:val="22"/>
        </w:rPr>
        <w:t>,</w:t>
      </w:r>
      <w:r w:rsidRPr="000901C3">
        <w:rPr>
          <w:rFonts w:cs="Arial"/>
          <w:bCs/>
          <w:sz w:val="22"/>
          <w:szCs w:val="22"/>
        </w:rPr>
        <w:t xml:space="preserve"> sustained delays</w:t>
      </w:r>
      <w:r>
        <w:rPr>
          <w:rFonts w:cs="Arial"/>
          <w:bCs/>
          <w:sz w:val="22"/>
          <w:szCs w:val="22"/>
        </w:rPr>
        <w:t xml:space="preserve"> and </w:t>
      </w:r>
      <w:r w:rsidR="00A05568">
        <w:rPr>
          <w:rFonts w:cs="Arial"/>
          <w:bCs/>
          <w:sz w:val="22"/>
          <w:szCs w:val="22"/>
        </w:rPr>
        <w:t xml:space="preserve">slow </w:t>
      </w:r>
      <w:r>
        <w:rPr>
          <w:rFonts w:cs="Arial"/>
          <w:bCs/>
          <w:sz w:val="22"/>
          <w:szCs w:val="22"/>
        </w:rPr>
        <w:t>progress in disbursing funds, there is not enough evidence in 2020 to show CCUS is operating efficiently enough to be considered good value-for-money</w:t>
      </w:r>
      <w:r w:rsidRPr="000901C3">
        <w:rPr>
          <w:rFonts w:cs="Arial"/>
          <w:bCs/>
          <w:sz w:val="22"/>
          <w:szCs w:val="22"/>
        </w:rPr>
        <w:t>.</w:t>
      </w:r>
    </w:p>
    <w:p w14:paraId="1659E19E" w14:textId="77777777" w:rsidR="00306B0F" w:rsidRPr="000901C3" w:rsidRDefault="00306B0F" w:rsidP="00306B0F">
      <w:pPr>
        <w:rPr>
          <w:rFonts w:cs="Arial"/>
          <w:sz w:val="22"/>
          <w:szCs w:val="22"/>
          <w:highlight w:val="yellow"/>
        </w:rPr>
      </w:pPr>
    </w:p>
    <w:p w14:paraId="11312020" w14:textId="77777777" w:rsidR="00306B0F" w:rsidRPr="000901C3" w:rsidRDefault="00306B0F" w:rsidP="00306B0F">
      <w:pPr>
        <w:rPr>
          <w:rFonts w:cs="Arial"/>
          <w:i/>
          <w:iCs/>
          <w:sz w:val="22"/>
          <w:szCs w:val="22"/>
        </w:rPr>
      </w:pPr>
      <w:r w:rsidRPr="000901C3">
        <w:rPr>
          <w:rFonts w:cs="Arial"/>
          <w:i/>
          <w:iCs/>
          <w:sz w:val="22"/>
          <w:szCs w:val="22"/>
        </w:rPr>
        <w:t>Effectiveness</w:t>
      </w:r>
    </w:p>
    <w:p w14:paraId="24AA282B" w14:textId="36202837" w:rsidR="00306B0F" w:rsidRDefault="002C3061" w:rsidP="00306B0F">
      <w:pPr>
        <w:tabs>
          <w:tab w:val="left" w:pos="7020"/>
        </w:tabs>
        <w:rPr>
          <w:sz w:val="22"/>
          <w:szCs w:val="22"/>
        </w:rPr>
      </w:pPr>
      <w:r>
        <w:rPr>
          <w:rFonts w:cs="Arial"/>
          <w:b/>
          <w:sz w:val="22"/>
          <w:szCs w:val="22"/>
        </w:rPr>
        <w:t>Are</w:t>
      </w:r>
      <w:r w:rsidR="00306B0F" w:rsidRPr="00A40874">
        <w:rPr>
          <w:rFonts w:cs="Arial"/>
          <w:b/>
          <w:sz w:val="22"/>
          <w:szCs w:val="22"/>
        </w:rPr>
        <w:t xml:space="preserve"> new policies, legislation and regulations been implemented?</w:t>
      </w:r>
      <w:r w:rsidR="00306B0F">
        <w:rPr>
          <w:rFonts w:cs="Arial"/>
          <w:bCs/>
          <w:sz w:val="22"/>
          <w:szCs w:val="22"/>
        </w:rPr>
        <w:t xml:space="preserve"> </w:t>
      </w:r>
      <w:r w:rsidR="008C26F9">
        <w:rPr>
          <w:rFonts w:cs="Arial"/>
          <w:bCs/>
          <w:sz w:val="22"/>
          <w:szCs w:val="22"/>
        </w:rPr>
        <w:t>No, l</w:t>
      </w:r>
      <w:r w:rsidR="00306B0F">
        <w:rPr>
          <w:rFonts w:cs="Arial"/>
          <w:bCs/>
          <w:sz w:val="22"/>
          <w:szCs w:val="22"/>
        </w:rPr>
        <w:t xml:space="preserve">egislative or regulatory </w:t>
      </w:r>
      <w:r w:rsidR="00306B0F" w:rsidRPr="000901C3">
        <w:rPr>
          <w:rFonts w:cs="Arial"/>
          <w:bCs/>
          <w:sz w:val="22"/>
          <w:szCs w:val="22"/>
        </w:rPr>
        <w:t xml:space="preserve">activities in Indonesia and South Africa saw continued delays in 2020 due to delays in decision-making by the respective governments. </w:t>
      </w:r>
      <w:r w:rsidR="00306B0F">
        <w:rPr>
          <w:rFonts w:cs="Arial"/>
          <w:bCs/>
          <w:sz w:val="22"/>
          <w:szCs w:val="22"/>
        </w:rPr>
        <w:t xml:space="preserve">A study to support the development of a Mexican National Standard for CCS/CCUS was commenced in 2020 and is due to be completed in 2021. </w:t>
      </w:r>
      <w:r w:rsidR="00306B0F" w:rsidRPr="00BB12F0">
        <w:rPr>
          <w:sz w:val="22"/>
          <w:szCs w:val="22"/>
        </w:rPr>
        <w:t>In China,</w:t>
      </w:r>
      <w:r w:rsidR="00306B0F">
        <w:rPr>
          <w:sz w:val="22"/>
          <w:szCs w:val="22"/>
        </w:rPr>
        <w:t xml:space="preserve"> the ADB supported the update of the CCUS Roadmap for Deployment, building on technical assistance activities in 2015 but the document is not expected to be published until June 2021. It is expected that these activities could be transformational if they can be completed by the end of the Programme.</w:t>
      </w:r>
    </w:p>
    <w:p w14:paraId="2ED3CA78" w14:textId="77777777" w:rsidR="00306B0F" w:rsidRPr="00A51CD6" w:rsidRDefault="00306B0F" w:rsidP="00306B0F">
      <w:pPr>
        <w:rPr>
          <w:rFonts w:cs="Arial"/>
          <w:sz w:val="22"/>
          <w:szCs w:val="22"/>
          <w:u w:val="single"/>
        </w:rPr>
      </w:pPr>
    </w:p>
    <w:p w14:paraId="0E0B3710" w14:textId="0EDEA815" w:rsidR="00306B0F" w:rsidRDefault="002C3061" w:rsidP="00306B0F">
      <w:pPr>
        <w:rPr>
          <w:rFonts w:cs="Arial"/>
          <w:sz w:val="22"/>
          <w:szCs w:val="22"/>
        </w:rPr>
      </w:pPr>
      <w:r>
        <w:rPr>
          <w:rFonts w:cs="Arial"/>
          <w:b/>
          <w:bCs/>
          <w:sz w:val="22"/>
          <w:szCs w:val="22"/>
        </w:rPr>
        <w:lastRenderedPageBreak/>
        <w:t>Is</w:t>
      </w:r>
      <w:r w:rsidR="00306B0F" w:rsidRPr="00A40874">
        <w:rPr>
          <w:rFonts w:cs="Arial"/>
          <w:b/>
          <w:bCs/>
          <w:sz w:val="22"/>
          <w:szCs w:val="22"/>
        </w:rPr>
        <w:t xml:space="preserve"> public and private finance been leveraged?</w:t>
      </w:r>
      <w:r w:rsidR="00306B0F">
        <w:rPr>
          <w:rFonts w:cs="Arial"/>
          <w:sz w:val="22"/>
          <w:szCs w:val="22"/>
        </w:rPr>
        <w:t xml:space="preserve"> </w:t>
      </w:r>
      <w:r w:rsidR="00306B0F" w:rsidRPr="00A51CD6">
        <w:rPr>
          <w:rFonts w:cs="Arial"/>
          <w:sz w:val="22"/>
          <w:szCs w:val="22"/>
        </w:rPr>
        <w:t>To date, private finance (including from state-owned enterprises) has been mobilised in China, Mexico, Indonesia and South Africa. However,</w:t>
      </w:r>
      <w:r w:rsidR="00306B0F">
        <w:rPr>
          <w:rFonts w:cs="Arial"/>
          <w:sz w:val="22"/>
          <w:szCs w:val="22"/>
        </w:rPr>
        <w:t xml:space="preserve"> no new private finance was leveraged this year by the ADB, although other in-kind support was provided. The World Bank mobilised new private finance for an activity in South Africa.</w:t>
      </w:r>
      <w:r w:rsidR="00306B0F" w:rsidRPr="004016E4">
        <w:rPr>
          <w:rFonts w:cs="Arial"/>
          <w:sz w:val="22"/>
          <w:szCs w:val="22"/>
        </w:rPr>
        <w:t xml:space="preserve"> </w:t>
      </w:r>
      <w:r w:rsidR="00306B0F">
        <w:rPr>
          <w:rFonts w:cs="Arial"/>
          <w:sz w:val="22"/>
          <w:szCs w:val="22"/>
        </w:rPr>
        <w:t>T</w:t>
      </w:r>
      <w:r w:rsidR="00306B0F" w:rsidRPr="00A51CD6">
        <w:rPr>
          <w:rFonts w:cs="Arial"/>
          <w:sz w:val="22"/>
          <w:szCs w:val="22"/>
        </w:rPr>
        <w:t xml:space="preserve">he programme is not on track to deliver outcome expectations for private finance mobilised (see section B). </w:t>
      </w:r>
    </w:p>
    <w:p w14:paraId="5F4C0FA4" w14:textId="77777777" w:rsidR="00306B0F" w:rsidRDefault="00306B0F" w:rsidP="00306B0F">
      <w:pPr>
        <w:rPr>
          <w:rFonts w:cs="Arial"/>
          <w:sz w:val="22"/>
          <w:szCs w:val="22"/>
        </w:rPr>
      </w:pPr>
    </w:p>
    <w:p w14:paraId="0400F494" w14:textId="586040D9" w:rsidR="00306B0F" w:rsidRPr="00017E68" w:rsidRDefault="00306B0F" w:rsidP="00306B0F">
      <w:pPr>
        <w:rPr>
          <w:rFonts w:cs="Arial"/>
          <w:sz w:val="22"/>
          <w:szCs w:val="22"/>
          <w:u w:val="single"/>
        </w:rPr>
      </w:pPr>
      <w:r w:rsidRPr="00416573">
        <w:rPr>
          <w:rFonts w:cs="Arial"/>
          <w:b/>
          <w:sz w:val="22"/>
          <w:szCs w:val="22"/>
        </w:rPr>
        <w:t>Are expenditures at the project-level in line with expectations?</w:t>
      </w:r>
      <w:r>
        <w:rPr>
          <w:rFonts w:cs="Arial"/>
          <w:bCs/>
          <w:sz w:val="22"/>
          <w:szCs w:val="22"/>
        </w:rPr>
        <w:t xml:space="preserve"> No, o</w:t>
      </w:r>
      <w:r w:rsidRPr="00017E68">
        <w:rPr>
          <w:rFonts w:cs="Arial"/>
          <w:bCs/>
          <w:sz w:val="22"/>
          <w:szCs w:val="22"/>
        </w:rPr>
        <w:t>f the $23m committed</w:t>
      </w:r>
      <w:r>
        <w:rPr>
          <w:rFonts w:cs="Arial"/>
          <w:bCs/>
          <w:sz w:val="22"/>
          <w:szCs w:val="22"/>
        </w:rPr>
        <w:t xml:space="preserve"> by the World Bank CCUS Trust Fund</w:t>
      </w:r>
      <w:r w:rsidRPr="00017E68">
        <w:rPr>
          <w:rFonts w:cs="Arial"/>
          <w:bCs/>
          <w:sz w:val="22"/>
          <w:szCs w:val="22"/>
        </w:rPr>
        <w:t xml:space="preserve"> to South Africa in 2018, no funds have been disbursed to date. Similarly, $16.5m was allocated </w:t>
      </w:r>
      <w:r>
        <w:rPr>
          <w:rFonts w:cs="Arial"/>
          <w:bCs/>
          <w:sz w:val="22"/>
          <w:szCs w:val="22"/>
        </w:rPr>
        <w:t xml:space="preserve">by the World Bank </w:t>
      </w:r>
      <w:r w:rsidRPr="00017E68">
        <w:rPr>
          <w:rFonts w:cs="Arial"/>
          <w:bCs/>
          <w:sz w:val="22"/>
          <w:szCs w:val="22"/>
        </w:rPr>
        <w:t>to Mexico in 2017 but is yet to be disbursed.</w:t>
      </w:r>
    </w:p>
    <w:p w14:paraId="0706047A" w14:textId="77777777" w:rsidR="00306B0F" w:rsidRPr="00C44472" w:rsidRDefault="00306B0F" w:rsidP="00306B0F">
      <w:pPr>
        <w:rPr>
          <w:rFonts w:cs="Arial"/>
          <w:b/>
          <w:sz w:val="22"/>
          <w:szCs w:val="22"/>
        </w:rPr>
      </w:pPr>
    </w:p>
    <w:p w14:paraId="0CE67C3D" w14:textId="30684BA2" w:rsidR="00306B0F" w:rsidRPr="00017E68" w:rsidRDefault="00306B0F" w:rsidP="00306B0F">
      <w:pPr>
        <w:rPr>
          <w:rFonts w:cs="Arial"/>
          <w:sz w:val="22"/>
          <w:szCs w:val="22"/>
          <w:u w:val="single"/>
        </w:rPr>
      </w:pPr>
      <w:r w:rsidRPr="00C44472">
        <w:rPr>
          <w:rFonts w:cs="Arial"/>
          <w:b/>
          <w:sz w:val="22"/>
          <w:szCs w:val="22"/>
        </w:rPr>
        <w:t>Is transformational change likely?</w:t>
      </w:r>
      <w:r>
        <w:rPr>
          <w:rFonts w:cs="Arial"/>
          <w:bCs/>
          <w:sz w:val="22"/>
          <w:szCs w:val="22"/>
        </w:rPr>
        <w:t xml:space="preserve"> The Annex below explains that BEIS judges that there is tentative evidence that transformational change will be achieved by the end of the Programme. </w:t>
      </w:r>
    </w:p>
    <w:p w14:paraId="0138E151" w14:textId="4573BFF0" w:rsidR="00306B0F" w:rsidRPr="00533A4A" w:rsidRDefault="00306B0F" w:rsidP="00306B0F">
      <w:pPr>
        <w:spacing w:before="240"/>
        <w:rPr>
          <w:rFonts w:cs="Arial"/>
          <w:bCs/>
          <w:sz w:val="22"/>
          <w:szCs w:val="22"/>
        </w:rPr>
      </w:pPr>
      <w:r>
        <w:rPr>
          <w:rFonts w:cs="Arial"/>
          <w:bCs/>
          <w:sz w:val="22"/>
          <w:szCs w:val="22"/>
        </w:rPr>
        <w:t>Considering the above assessment, and progress mentioned in the previous sections against the output indictors (in particular 1.1, 1.2, 2.2),</w:t>
      </w:r>
      <w:r w:rsidRPr="00533A4A">
        <w:rPr>
          <w:rFonts w:cs="Arial"/>
          <w:bCs/>
          <w:sz w:val="22"/>
          <w:szCs w:val="22"/>
        </w:rPr>
        <w:t xml:space="preserve"> BEIS does not judge </w:t>
      </w:r>
      <w:r>
        <w:rPr>
          <w:rFonts w:cs="Arial"/>
          <w:bCs/>
          <w:sz w:val="22"/>
          <w:szCs w:val="22"/>
        </w:rPr>
        <w:t>that the</w:t>
      </w:r>
      <w:r w:rsidRPr="00533A4A">
        <w:rPr>
          <w:rFonts w:cs="Arial"/>
          <w:bCs/>
          <w:sz w:val="22"/>
          <w:szCs w:val="22"/>
        </w:rPr>
        <w:t xml:space="preserve"> programme </w:t>
      </w:r>
      <w:r>
        <w:rPr>
          <w:rFonts w:cs="Arial"/>
          <w:bCs/>
          <w:sz w:val="22"/>
          <w:szCs w:val="22"/>
        </w:rPr>
        <w:t>was</w:t>
      </w:r>
      <w:r w:rsidRPr="00533A4A">
        <w:rPr>
          <w:rFonts w:cs="Arial"/>
          <w:bCs/>
          <w:sz w:val="22"/>
          <w:szCs w:val="22"/>
        </w:rPr>
        <w:t xml:space="preserve"> </w:t>
      </w:r>
      <w:r>
        <w:rPr>
          <w:rFonts w:cs="Arial"/>
          <w:bCs/>
          <w:sz w:val="22"/>
          <w:szCs w:val="22"/>
        </w:rPr>
        <w:t xml:space="preserve">sufficiently effective in achieving the intended outcomes in 2020, particularly in: </w:t>
      </w:r>
      <w:r w:rsidRPr="00A849A1">
        <w:rPr>
          <w:sz w:val="22"/>
          <w:szCs w:val="22"/>
        </w:rPr>
        <w:t>supporting pilot projects</w:t>
      </w:r>
      <w:r>
        <w:rPr>
          <w:sz w:val="22"/>
          <w:szCs w:val="22"/>
        </w:rPr>
        <w:t>;</w:t>
      </w:r>
      <w:r w:rsidRPr="00A849A1">
        <w:rPr>
          <w:sz w:val="22"/>
          <w:szCs w:val="22"/>
        </w:rPr>
        <w:t xml:space="preserve"> capacity building</w:t>
      </w:r>
      <w:r>
        <w:rPr>
          <w:sz w:val="22"/>
          <w:szCs w:val="22"/>
        </w:rPr>
        <w:t>;</w:t>
      </w:r>
      <w:r w:rsidRPr="00A849A1">
        <w:rPr>
          <w:sz w:val="22"/>
          <w:szCs w:val="22"/>
        </w:rPr>
        <w:t xml:space="preserve"> and the development of policy and regulatory frameworks. </w:t>
      </w:r>
      <w:r>
        <w:rPr>
          <w:rFonts w:cs="Arial"/>
          <w:bCs/>
          <w:sz w:val="22"/>
          <w:szCs w:val="22"/>
        </w:rPr>
        <w:t xml:space="preserve">Currently, </w:t>
      </w:r>
      <w:r w:rsidR="00F54223">
        <w:rPr>
          <w:rFonts w:cs="Arial"/>
          <w:bCs/>
          <w:sz w:val="22"/>
          <w:szCs w:val="22"/>
        </w:rPr>
        <w:t xml:space="preserve">BEIS’ assessment of the International CCUS Programme is that it does not represent </w:t>
      </w:r>
      <w:r w:rsidRPr="00533A4A">
        <w:rPr>
          <w:rFonts w:cs="Arial"/>
          <w:bCs/>
          <w:sz w:val="22"/>
          <w:szCs w:val="22"/>
        </w:rPr>
        <w:t xml:space="preserve">good value-for-money at this time due to the significant underspend and sustained delays. A further analysis will inform decisions on next steps for the programme. </w:t>
      </w:r>
    </w:p>
    <w:p w14:paraId="7E2899E4" w14:textId="77777777" w:rsidR="00306B0F" w:rsidRPr="000901C3" w:rsidRDefault="00306B0F" w:rsidP="00306B0F">
      <w:pPr>
        <w:rPr>
          <w:rFonts w:cs="Arial"/>
          <w:bCs/>
          <w:sz w:val="22"/>
          <w:szCs w:val="22"/>
        </w:rPr>
      </w:pPr>
    </w:p>
    <w:p w14:paraId="76A4CC3E" w14:textId="68978295" w:rsidR="00306B0F" w:rsidRDefault="00306B0F" w:rsidP="00306B0F">
      <w:pPr>
        <w:rPr>
          <w:rFonts w:cs="Arial"/>
          <w:bCs/>
          <w:i/>
          <w:iCs/>
          <w:sz w:val="22"/>
          <w:szCs w:val="22"/>
        </w:rPr>
      </w:pPr>
      <w:r w:rsidRPr="000901C3">
        <w:rPr>
          <w:rFonts w:cs="Arial"/>
          <w:bCs/>
          <w:i/>
          <w:iCs/>
          <w:sz w:val="22"/>
          <w:szCs w:val="22"/>
        </w:rPr>
        <w:t>Equity</w:t>
      </w:r>
    </w:p>
    <w:p w14:paraId="457D537E" w14:textId="2B5410E4" w:rsidR="00306B0F" w:rsidRDefault="00306B0F" w:rsidP="00306B0F">
      <w:pPr>
        <w:rPr>
          <w:rFonts w:cs="Arial"/>
          <w:bCs/>
          <w:sz w:val="22"/>
          <w:szCs w:val="22"/>
        </w:rPr>
      </w:pPr>
      <w:r w:rsidRPr="00494D1D">
        <w:rPr>
          <w:rFonts w:cs="Arial"/>
          <w:b/>
          <w:sz w:val="22"/>
          <w:szCs w:val="22"/>
        </w:rPr>
        <w:t>Are Social and Environmental safeguards adhered to?</w:t>
      </w:r>
      <w:r w:rsidRPr="00C44472">
        <w:rPr>
          <w:rFonts w:cs="Arial"/>
          <w:bCs/>
          <w:sz w:val="22"/>
          <w:szCs w:val="22"/>
        </w:rPr>
        <w:t xml:space="preserve"> Yes, </w:t>
      </w:r>
      <w:r>
        <w:rPr>
          <w:rFonts w:cs="Arial"/>
          <w:bCs/>
          <w:sz w:val="22"/>
          <w:szCs w:val="22"/>
        </w:rPr>
        <w:t>f</w:t>
      </w:r>
      <w:r w:rsidRPr="00E9784E">
        <w:rPr>
          <w:rFonts w:cs="Arial"/>
          <w:bCs/>
          <w:sz w:val="22"/>
          <w:szCs w:val="22"/>
        </w:rPr>
        <w:t>or example, the pilot storage project in South Africa was halted due to social issues. The consultant appointed to conduct technical studies in</w:t>
      </w:r>
      <w:r w:rsidR="007D5062">
        <w:rPr>
          <w:rFonts w:cs="Arial"/>
          <w:bCs/>
          <w:sz w:val="22"/>
          <w:szCs w:val="22"/>
        </w:rPr>
        <w:t xml:space="preserve"> China in</w:t>
      </w:r>
      <w:r w:rsidRPr="00E9784E">
        <w:rPr>
          <w:rFonts w:cs="Arial"/>
          <w:bCs/>
          <w:sz w:val="22"/>
          <w:szCs w:val="22"/>
        </w:rPr>
        <w:t xml:space="preserve"> 2020 will carry out environmental and social impact assessments and community involvement activities. </w:t>
      </w:r>
    </w:p>
    <w:p w14:paraId="73F8DFD6" w14:textId="77777777" w:rsidR="00306B0F" w:rsidRPr="00E9784E" w:rsidRDefault="00306B0F" w:rsidP="00306B0F">
      <w:pPr>
        <w:rPr>
          <w:rFonts w:cs="Arial"/>
          <w:bCs/>
          <w:sz w:val="22"/>
          <w:szCs w:val="22"/>
          <w:u w:val="single"/>
        </w:rPr>
      </w:pPr>
    </w:p>
    <w:p w14:paraId="00E00525" w14:textId="22B92213" w:rsidR="003F0A39" w:rsidRPr="00B367DE" w:rsidRDefault="003F0A39" w:rsidP="003F0A39">
      <w:pPr>
        <w:rPr>
          <w:rFonts w:ascii="Calibri" w:hAnsi="Calibri"/>
          <w:sz w:val="20"/>
          <w:szCs w:val="20"/>
        </w:rPr>
      </w:pPr>
      <w:r w:rsidRPr="00B367DE">
        <w:rPr>
          <w:b/>
          <w:bCs/>
          <w:sz w:val="22"/>
          <w:szCs w:val="22"/>
        </w:rPr>
        <w:t>Do the services provided promote equality of opportunity, including for those with protected characteristics?</w:t>
      </w:r>
      <w:r w:rsidR="00276185" w:rsidRPr="00B367DE">
        <w:rPr>
          <w:b/>
          <w:bCs/>
          <w:sz w:val="22"/>
          <w:szCs w:val="22"/>
        </w:rPr>
        <w:t xml:space="preserve"> </w:t>
      </w:r>
      <w:r w:rsidR="00276185" w:rsidRPr="00B367DE">
        <w:rPr>
          <w:sz w:val="22"/>
          <w:szCs w:val="22"/>
        </w:rPr>
        <w:t xml:space="preserve">BEIS is confident that this </w:t>
      </w:r>
      <w:r w:rsidR="00F57C2F" w:rsidRPr="00B367DE">
        <w:rPr>
          <w:sz w:val="22"/>
          <w:szCs w:val="22"/>
        </w:rPr>
        <w:t>p</w:t>
      </w:r>
      <w:r w:rsidR="00276185" w:rsidRPr="00B367DE">
        <w:rPr>
          <w:sz w:val="22"/>
          <w:szCs w:val="22"/>
        </w:rPr>
        <w:t xml:space="preserve">rogramme does not adversely affect </w:t>
      </w:r>
      <w:r w:rsidR="00B77209" w:rsidRPr="00B367DE">
        <w:rPr>
          <w:sz w:val="22"/>
          <w:szCs w:val="22"/>
        </w:rPr>
        <w:t>Protected Groups.</w:t>
      </w:r>
      <w:r w:rsidRPr="00B367DE">
        <w:rPr>
          <w:b/>
          <w:bCs/>
          <w:sz w:val="22"/>
          <w:szCs w:val="22"/>
        </w:rPr>
        <w:t xml:space="preserve"> </w:t>
      </w:r>
      <w:r w:rsidRPr="00B367DE">
        <w:rPr>
          <w:sz w:val="22"/>
          <w:szCs w:val="22"/>
        </w:rPr>
        <w:t xml:space="preserve">BEIS </w:t>
      </w:r>
      <w:r w:rsidR="006A1C59" w:rsidRPr="00B367DE">
        <w:rPr>
          <w:sz w:val="22"/>
          <w:szCs w:val="22"/>
        </w:rPr>
        <w:t>did</w:t>
      </w:r>
      <w:r w:rsidRPr="00B367DE">
        <w:rPr>
          <w:sz w:val="22"/>
          <w:szCs w:val="22"/>
        </w:rPr>
        <w:t xml:space="preserve"> not </w:t>
      </w:r>
      <w:r w:rsidR="006A1C59" w:rsidRPr="00B367DE">
        <w:rPr>
          <w:sz w:val="22"/>
          <w:szCs w:val="22"/>
        </w:rPr>
        <w:t xml:space="preserve">directly </w:t>
      </w:r>
      <w:r w:rsidRPr="00B367DE">
        <w:rPr>
          <w:sz w:val="22"/>
          <w:szCs w:val="22"/>
        </w:rPr>
        <w:t>monitor th</w:t>
      </w:r>
      <w:r w:rsidR="006A1C59" w:rsidRPr="00B367DE">
        <w:rPr>
          <w:sz w:val="22"/>
          <w:szCs w:val="22"/>
        </w:rPr>
        <w:t>e</w:t>
      </w:r>
      <w:r w:rsidRPr="00B367DE">
        <w:rPr>
          <w:sz w:val="22"/>
          <w:szCs w:val="22"/>
        </w:rPr>
        <w:t>s</w:t>
      </w:r>
      <w:r w:rsidR="006A1C59" w:rsidRPr="00B367DE">
        <w:rPr>
          <w:sz w:val="22"/>
          <w:szCs w:val="22"/>
        </w:rPr>
        <w:t>e</w:t>
      </w:r>
      <w:r w:rsidRPr="00B367DE">
        <w:rPr>
          <w:sz w:val="22"/>
          <w:szCs w:val="22"/>
        </w:rPr>
        <w:t xml:space="preserve"> data through the Logframe</w:t>
      </w:r>
      <w:r w:rsidR="00F326EE" w:rsidRPr="00B367DE">
        <w:rPr>
          <w:sz w:val="22"/>
          <w:szCs w:val="22"/>
        </w:rPr>
        <w:t xml:space="preserve"> </w:t>
      </w:r>
      <w:r w:rsidR="006A1C59" w:rsidRPr="00B367DE">
        <w:rPr>
          <w:sz w:val="22"/>
          <w:szCs w:val="22"/>
        </w:rPr>
        <w:t>in 2020</w:t>
      </w:r>
      <w:r w:rsidRPr="00B367DE">
        <w:rPr>
          <w:sz w:val="22"/>
          <w:szCs w:val="22"/>
        </w:rPr>
        <w:t xml:space="preserve"> </w:t>
      </w:r>
      <w:r w:rsidR="00813238" w:rsidRPr="00B367DE">
        <w:rPr>
          <w:sz w:val="22"/>
          <w:szCs w:val="22"/>
        </w:rPr>
        <w:t>but is</w:t>
      </w:r>
      <w:r w:rsidRPr="00B367DE">
        <w:rPr>
          <w:sz w:val="22"/>
          <w:szCs w:val="22"/>
        </w:rPr>
        <w:t xml:space="preserve"> now collect</w:t>
      </w:r>
      <w:r w:rsidR="00813238" w:rsidRPr="00B367DE">
        <w:rPr>
          <w:sz w:val="22"/>
          <w:szCs w:val="22"/>
        </w:rPr>
        <w:t>ing data</w:t>
      </w:r>
      <w:r w:rsidRPr="00B367DE">
        <w:rPr>
          <w:sz w:val="22"/>
          <w:szCs w:val="22"/>
        </w:rPr>
        <w:t xml:space="preserve"> on the gender split of participants in events and workshops. BEIS expects both delivery partners to ensure gender balance in events and to strive for achieving a gender balance within their projects (both through </w:t>
      </w:r>
      <w:r w:rsidR="003E03FE" w:rsidRPr="00B367DE">
        <w:rPr>
          <w:sz w:val="22"/>
          <w:szCs w:val="22"/>
        </w:rPr>
        <w:t xml:space="preserve">the </w:t>
      </w:r>
      <w:r w:rsidRPr="00B367DE">
        <w:rPr>
          <w:sz w:val="22"/>
          <w:szCs w:val="22"/>
        </w:rPr>
        <w:t xml:space="preserve">number of women employed and </w:t>
      </w:r>
      <w:r w:rsidR="003E03FE" w:rsidRPr="00B367DE">
        <w:rPr>
          <w:sz w:val="22"/>
          <w:szCs w:val="22"/>
        </w:rPr>
        <w:t xml:space="preserve">the </w:t>
      </w:r>
      <w:r w:rsidRPr="00B367DE">
        <w:rPr>
          <w:sz w:val="22"/>
          <w:szCs w:val="22"/>
        </w:rPr>
        <w:t>type of job). Data provided by the ADB showed that female participation in ADB-led events in 2020 ranged from 16-27%. Data w</w:t>
      </w:r>
      <w:r w:rsidR="003E03FE" w:rsidRPr="00B367DE">
        <w:rPr>
          <w:sz w:val="22"/>
          <w:szCs w:val="22"/>
        </w:rPr>
        <w:t>ere</w:t>
      </w:r>
      <w:r w:rsidRPr="00B367DE">
        <w:rPr>
          <w:sz w:val="22"/>
          <w:szCs w:val="22"/>
        </w:rPr>
        <w:t xml:space="preserve"> not provided by the World Bank due to limited </w:t>
      </w:r>
      <w:r w:rsidR="003E03FE" w:rsidRPr="00B367DE">
        <w:rPr>
          <w:sz w:val="22"/>
          <w:szCs w:val="22"/>
        </w:rPr>
        <w:t xml:space="preserve">virtual </w:t>
      </w:r>
      <w:r w:rsidRPr="00B367DE">
        <w:rPr>
          <w:sz w:val="22"/>
          <w:szCs w:val="22"/>
        </w:rPr>
        <w:t xml:space="preserve">stakeholder engagement in 2020. BEIS </w:t>
      </w:r>
      <w:r w:rsidR="003E03FE" w:rsidRPr="00B367DE">
        <w:rPr>
          <w:sz w:val="22"/>
          <w:szCs w:val="22"/>
        </w:rPr>
        <w:t>will</w:t>
      </w:r>
      <w:r w:rsidRPr="00B367DE">
        <w:rPr>
          <w:sz w:val="22"/>
          <w:szCs w:val="22"/>
        </w:rPr>
        <w:t xml:space="preserve"> consider what further measures th</w:t>
      </w:r>
      <w:r w:rsidR="000A7E7D" w:rsidRPr="00B367DE">
        <w:rPr>
          <w:sz w:val="22"/>
          <w:szCs w:val="22"/>
        </w:rPr>
        <w:t>e</w:t>
      </w:r>
      <w:r w:rsidR="003E03FE" w:rsidRPr="00B367DE">
        <w:rPr>
          <w:sz w:val="22"/>
          <w:szCs w:val="22"/>
        </w:rPr>
        <w:t xml:space="preserve"> </w:t>
      </w:r>
      <w:r w:rsidR="000A7E7D" w:rsidRPr="00B367DE">
        <w:rPr>
          <w:sz w:val="22"/>
          <w:szCs w:val="22"/>
        </w:rPr>
        <w:t>p</w:t>
      </w:r>
      <w:r w:rsidRPr="00B367DE">
        <w:rPr>
          <w:sz w:val="22"/>
          <w:szCs w:val="22"/>
        </w:rPr>
        <w:t xml:space="preserve">rogramme can take to promote </w:t>
      </w:r>
      <w:r w:rsidR="0088051A" w:rsidRPr="00B367DE">
        <w:rPr>
          <w:sz w:val="22"/>
          <w:szCs w:val="22"/>
        </w:rPr>
        <w:t xml:space="preserve">the </w:t>
      </w:r>
      <w:r w:rsidRPr="00B367DE">
        <w:rPr>
          <w:sz w:val="22"/>
          <w:szCs w:val="22"/>
        </w:rPr>
        <w:t xml:space="preserve">equality of opportunity for other protected groups. </w:t>
      </w:r>
    </w:p>
    <w:p w14:paraId="57821543" w14:textId="77777777" w:rsidR="00306B0F" w:rsidRPr="00E9784E" w:rsidRDefault="00306B0F" w:rsidP="00306B0F">
      <w:pPr>
        <w:rPr>
          <w:rFonts w:cs="Arial"/>
          <w:bCs/>
          <w:sz w:val="22"/>
          <w:szCs w:val="22"/>
          <w:u w:val="single"/>
        </w:rPr>
      </w:pPr>
    </w:p>
    <w:p w14:paraId="34769909" w14:textId="55164E64" w:rsidR="00306B0F" w:rsidRDefault="00306B0F" w:rsidP="00306B0F">
      <w:pPr>
        <w:rPr>
          <w:rFonts w:cs="Arial"/>
          <w:bCs/>
          <w:sz w:val="22"/>
          <w:szCs w:val="22"/>
        </w:rPr>
      </w:pPr>
      <w:r>
        <w:rPr>
          <w:rFonts w:cs="Arial"/>
          <w:bCs/>
          <w:sz w:val="22"/>
          <w:szCs w:val="22"/>
        </w:rPr>
        <w:t xml:space="preserve">In terms of equity, </w:t>
      </w:r>
      <w:r w:rsidRPr="000901C3">
        <w:rPr>
          <w:rFonts w:cs="Arial"/>
          <w:bCs/>
          <w:sz w:val="22"/>
          <w:szCs w:val="22"/>
        </w:rPr>
        <w:t>BEIS judges t</w:t>
      </w:r>
      <w:r>
        <w:rPr>
          <w:rFonts w:cs="Arial"/>
          <w:bCs/>
          <w:sz w:val="22"/>
          <w:szCs w:val="22"/>
        </w:rPr>
        <w:t>hat t</w:t>
      </w:r>
      <w:r w:rsidRPr="000901C3">
        <w:rPr>
          <w:rFonts w:cs="Arial"/>
          <w:bCs/>
          <w:sz w:val="22"/>
          <w:szCs w:val="22"/>
        </w:rPr>
        <w:t xml:space="preserve">his </w:t>
      </w:r>
      <w:r>
        <w:rPr>
          <w:rFonts w:cs="Arial"/>
          <w:bCs/>
          <w:sz w:val="22"/>
          <w:szCs w:val="22"/>
        </w:rPr>
        <w:t>p</w:t>
      </w:r>
      <w:r w:rsidRPr="000901C3">
        <w:rPr>
          <w:rFonts w:cs="Arial"/>
          <w:bCs/>
          <w:sz w:val="22"/>
          <w:szCs w:val="22"/>
        </w:rPr>
        <w:t xml:space="preserve">rogramme </w:t>
      </w:r>
      <w:r>
        <w:rPr>
          <w:rFonts w:cs="Arial"/>
          <w:bCs/>
          <w:sz w:val="22"/>
          <w:szCs w:val="22"/>
        </w:rPr>
        <w:t>followed appropriate guidelines to ensure social and environmental safeguards for supported stakeholders and staff.</w:t>
      </w:r>
    </w:p>
    <w:p w14:paraId="44D9C51D" w14:textId="77777777" w:rsidR="00306B0F" w:rsidRDefault="00306B0F" w:rsidP="00306B0F">
      <w:pPr>
        <w:rPr>
          <w:rFonts w:cs="Arial"/>
          <w:bCs/>
          <w:sz w:val="22"/>
          <w:szCs w:val="22"/>
        </w:rPr>
      </w:pPr>
    </w:p>
    <w:p w14:paraId="68D4BDB1" w14:textId="19DE361E" w:rsidR="00A05E77" w:rsidRDefault="00306B0F" w:rsidP="00306B0F">
      <w:pPr>
        <w:rPr>
          <w:rFonts w:cs="Arial"/>
          <w:bCs/>
          <w:sz w:val="22"/>
          <w:szCs w:val="22"/>
        </w:rPr>
      </w:pPr>
      <w:r>
        <w:rPr>
          <w:rFonts w:cs="Arial"/>
          <w:bCs/>
          <w:sz w:val="22"/>
          <w:szCs w:val="22"/>
        </w:rPr>
        <w:t>Considering the value-for-money framework above, BEIS judges that the delivery partners’ capacity to deliver funds equitably and through robust policies and governance structures is appropriate. However, delivery partners are not effectively or efficiently delivering within the expected timeframes nor meeting all of the expectations set out in the business cases.</w:t>
      </w:r>
      <w:r w:rsidR="004C13EB">
        <w:rPr>
          <w:rFonts w:cs="Arial"/>
          <w:bCs/>
          <w:sz w:val="22"/>
          <w:szCs w:val="22"/>
        </w:rPr>
        <w:t xml:space="preserve"> The </w:t>
      </w:r>
      <w:r w:rsidR="00F326EE">
        <w:rPr>
          <w:rFonts w:cs="Arial"/>
          <w:bCs/>
          <w:sz w:val="22"/>
          <w:szCs w:val="22"/>
        </w:rPr>
        <w:t>p</w:t>
      </w:r>
      <w:r w:rsidR="004C13EB">
        <w:rPr>
          <w:rFonts w:cs="Arial"/>
          <w:bCs/>
          <w:sz w:val="22"/>
          <w:szCs w:val="22"/>
        </w:rPr>
        <w:t>rogramme is therefore substantially not meeting expectations.</w:t>
      </w:r>
      <w:r>
        <w:rPr>
          <w:rFonts w:cs="Arial"/>
          <w:bCs/>
          <w:sz w:val="22"/>
          <w:szCs w:val="22"/>
        </w:rPr>
        <w:t xml:space="preserve"> </w:t>
      </w:r>
    </w:p>
    <w:p w14:paraId="4B72CB3B" w14:textId="77777777" w:rsidR="00306B0F" w:rsidRPr="00A849A1" w:rsidRDefault="00306B0F" w:rsidP="00306B0F">
      <w:pPr>
        <w:rPr>
          <w:rFonts w:cs="Arial"/>
          <w:sz w:val="22"/>
          <w:szCs w:val="22"/>
        </w:rPr>
      </w:pPr>
    </w:p>
    <w:tbl>
      <w:tblPr>
        <w:tblStyle w:val="TableGrid"/>
        <w:tblW w:w="0" w:type="auto"/>
        <w:tblInd w:w="-5" w:type="dxa"/>
        <w:tblLook w:val="04A0" w:firstRow="1" w:lastRow="0" w:firstColumn="1" w:lastColumn="0" w:noHBand="0" w:noVBand="1"/>
      </w:tblPr>
      <w:tblGrid>
        <w:gridCol w:w="4508"/>
        <w:gridCol w:w="3147"/>
      </w:tblGrid>
      <w:tr w:rsidR="00F5237B" w:rsidRPr="00A849A1" w14:paraId="66489D01" w14:textId="77777777" w:rsidTr="00D452D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EB7C1D" w14:textId="77777777" w:rsidR="00306B0F" w:rsidRPr="00A849A1" w:rsidRDefault="00306B0F" w:rsidP="00D452D2">
            <w:pPr>
              <w:rPr>
                <w:rFonts w:cs="Arial"/>
                <w:sz w:val="22"/>
                <w:szCs w:val="22"/>
              </w:rPr>
            </w:pPr>
            <w:r w:rsidRPr="00A849A1">
              <w:rPr>
                <w:rFonts w:cs="Arial"/>
                <w:sz w:val="22"/>
                <w:szCs w:val="22"/>
              </w:rPr>
              <w:t>Date of last narrative financial report</w:t>
            </w:r>
          </w:p>
        </w:tc>
        <w:tc>
          <w:tcPr>
            <w:tcW w:w="3147" w:type="dxa"/>
            <w:tcBorders>
              <w:top w:val="single" w:sz="4" w:space="0" w:color="auto"/>
              <w:left w:val="single" w:sz="4" w:space="0" w:color="auto"/>
              <w:bottom w:val="single" w:sz="4" w:space="0" w:color="auto"/>
              <w:right w:val="single" w:sz="4" w:space="0" w:color="auto"/>
            </w:tcBorders>
          </w:tcPr>
          <w:p w14:paraId="1E052AAC" w14:textId="77777777" w:rsidR="00306B0F" w:rsidRDefault="00306B0F" w:rsidP="00D452D2">
            <w:pPr>
              <w:rPr>
                <w:rFonts w:cs="Arial"/>
                <w:sz w:val="22"/>
                <w:szCs w:val="22"/>
              </w:rPr>
            </w:pPr>
            <w:r>
              <w:rPr>
                <w:rFonts w:cs="Arial"/>
                <w:sz w:val="22"/>
                <w:szCs w:val="22"/>
              </w:rPr>
              <w:t>World Bank: November 2020</w:t>
            </w:r>
          </w:p>
          <w:p w14:paraId="4742BC8F" w14:textId="77777777" w:rsidR="00306B0F" w:rsidRPr="00A849A1" w:rsidRDefault="00306B0F" w:rsidP="00D452D2">
            <w:pPr>
              <w:rPr>
                <w:rFonts w:cs="Arial"/>
                <w:sz w:val="22"/>
                <w:szCs w:val="22"/>
              </w:rPr>
            </w:pPr>
            <w:r>
              <w:rPr>
                <w:rFonts w:cs="Arial"/>
                <w:sz w:val="22"/>
                <w:szCs w:val="22"/>
              </w:rPr>
              <w:t>ADB: December 2020</w:t>
            </w:r>
          </w:p>
        </w:tc>
      </w:tr>
      <w:tr w:rsidR="00F5237B" w:rsidRPr="00A849A1" w14:paraId="5292B713" w14:textId="77777777" w:rsidTr="00D452D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BC0E27" w14:textId="77777777" w:rsidR="00306B0F" w:rsidRPr="00A849A1" w:rsidRDefault="00306B0F" w:rsidP="00D452D2">
            <w:pPr>
              <w:rPr>
                <w:rFonts w:cs="Arial"/>
                <w:sz w:val="22"/>
                <w:szCs w:val="22"/>
              </w:rPr>
            </w:pPr>
            <w:r w:rsidRPr="00A849A1">
              <w:rPr>
                <w:rFonts w:cs="Arial"/>
                <w:sz w:val="22"/>
                <w:szCs w:val="22"/>
              </w:rPr>
              <w:t>Date of last audited annual statement</w:t>
            </w:r>
          </w:p>
        </w:tc>
        <w:tc>
          <w:tcPr>
            <w:tcW w:w="3147" w:type="dxa"/>
            <w:tcBorders>
              <w:top w:val="single" w:sz="4" w:space="0" w:color="auto"/>
              <w:left w:val="single" w:sz="4" w:space="0" w:color="auto"/>
              <w:bottom w:val="single" w:sz="4" w:space="0" w:color="auto"/>
              <w:right w:val="single" w:sz="4" w:space="0" w:color="auto"/>
            </w:tcBorders>
          </w:tcPr>
          <w:p w14:paraId="6B779906" w14:textId="77777777" w:rsidR="00306B0F" w:rsidRDefault="00306B0F" w:rsidP="00D452D2">
            <w:pPr>
              <w:rPr>
                <w:rFonts w:cs="Arial"/>
                <w:sz w:val="22"/>
                <w:szCs w:val="22"/>
              </w:rPr>
            </w:pPr>
            <w:r>
              <w:rPr>
                <w:rFonts w:cs="Arial"/>
                <w:sz w:val="22"/>
                <w:szCs w:val="22"/>
              </w:rPr>
              <w:t>World Bank: September 2020</w:t>
            </w:r>
          </w:p>
          <w:p w14:paraId="6636777C" w14:textId="77777777" w:rsidR="00306B0F" w:rsidRPr="00A849A1" w:rsidRDefault="00306B0F" w:rsidP="00D452D2">
            <w:pPr>
              <w:rPr>
                <w:rFonts w:cs="Arial"/>
                <w:sz w:val="22"/>
                <w:szCs w:val="22"/>
              </w:rPr>
            </w:pPr>
            <w:r>
              <w:rPr>
                <w:rFonts w:cs="Arial"/>
                <w:sz w:val="22"/>
                <w:szCs w:val="22"/>
              </w:rPr>
              <w:t>ADB: August 2020</w:t>
            </w:r>
          </w:p>
        </w:tc>
      </w:tr>
    </w:tbl>
    <w:p w14:paraId="61862460" w14:textId="77777777" w:rsidR="00306B0F" w:rsidRDefault="00306B0F" w:rsidP="00306B0F">
      <w:pPr>
        <w:rPr>
          <w:rFonts w:cs="Arial"/>
          <w:sz w:val="22"/>
          <w:szCs w:val="22"/>
        </w:rPr>
      </w:pPr>
    </w:p>
    <w:p w14:paraId="722E53DC" w14:textId="77777777" w:rsidR="00306B0F" w:rsidRDefault="00306B0F" w:rsidP="00306B0F">
      <w:pPr>
        <w:rPr>
          <w:rFonts w:cs="Arial"/>
          <w:sz w:val="22"/>
          <w:szCs w:val="22"/>
        </w:rPr>
      </w:pPr>
    </w:p>
    <w:p w14:paraId="765408B8" w14:textId="1495646F" w:rsidR="00306B0F" w:rsidRPr="008D53A5" w:rsidRDefault="00306B0F" w:rsidP="00306B0F">
      <w:pPr>
        <w:jc w:val="center"/>
        <w:rPr>
          <w:b/>
          <w:sz w:val="28"/>
        </w:rPr>
      </w:pPr>
      <w:r>
        <w:rPr>
          <w:b/>
          <w:sz w:val="28"/>
        </w:rPr>
        <w:lastRenderedPageBreak/>
        <w:t>Annex I: International Carbon Capture, Usage and Storage (CCUS)</w:t>
      </w:r>
      <w:r w:rsidRPr="008D53A5">
        <w:rPr>
          <w:b/>
          <w:sz w:val="28"/>
        </w:rPr>
        <w:t xml:space="preserve"> Programme Methodological Note on KPI 15 (Transformational Change)</w:t>
      </w:r>
      <w:r>
        <w:rPr>
          <w:b/>
          <w:sz w:val="28"/>
        </w:rPr>
        <w:t xml:space="preserve"> and Results Assessment</w:t>
      </w:r>
    </w:p>
    <w:p w14:paraId="10DF66F8" w14:textId="77777777" w:rsidR="00306B0F" w:rsidRPr="00BF73C2" w:rsidRDefault="00306B0F" w:rsidP="00306B0F">
      <w:pPr>
        <w:jc w:val="both"/>
        <w:rPr>
          <w:b/>
        </w:rPr>
      </w:pPr>
    </w:p>
    <w:p w14:paraId="657DEFC3" w14:textId="77777777" w:rsidR="00306B0F" w:rsidRPr="00544FE9" w:rsidRDefault="00306B0F" w:rsidP="00306B0F">
      <w:pPr>
        <w:pStyle w:val="ListParagraph"/>
        <w:numPr>
          <w:ilvl w:val="0"/>
          <w:numId w:val="13"/>
        </w:numPr>
        <w:spacing w:after="0"/>
        <w:jc w:val="both"/>
        <w:rPr>
          <w:b/>
        </w:rPr>
      </w:pPr>
      <w:r>
        <w:rPr>
          <w:b/>
        </w:rPr>
        <w:t>Programme Aims and Background</w:t>
      </w:r>
    </w:p>
    <w:p w14:paraId="2B640A78" w14:textId="77777777" w:rsidR="00306B0F" w:rsidRDefault="00306B0F" w:rsidP="00306B0F">
      <w:pPr>
        <w:jc w:val="both"/>
      </w:pPr>
    </w:p>
    <w:p w14:paraId="37F27662" w14:textId="77777777" w:rsidR="00306B0F" w:rsidRDefault="00306B0F" w:rsidP="00306B0F">
      <w:pPr>
        <w:pStyle w:val="ListParagraph"/>
        <w:numPr>
          <w:ilvl w:val="0"/>
          <w:numId w:val="14"/>
        </w:numPr>
        <w:spacing w:after="0"/>
        <w:jc w:val="both"/>
      </w:pPr>
      <w:r>
        <w:t xml:space="preserve">Since December 2012, the UK has </w:t>
      </w:r>
      <w:r w:rsidRPr="00BF73C2">
        <w:t>provid</w:t>
      </w:r>
      <w:r>
        <w:t>ed £7</w:t>
      </w:r>
      <w:r w:rsidRPr="00BF73C2">
        <w:t xml:space="preserve">0 million of </w:t>
      </w:r>
      <w:r>
        <w:t xml:space="preserve">international climate finance through the international </w:t>
      </w:r>
      <w:r w:rsidRPr="000E36DD">
        <w:t xml:space="preserve">Carbon Capture, Usage and Storage </w:t>
      </w:r>
      <w:r>
        <w:t xml:space="preserve">(CCUS) programme, which aims </w:t>
      </w:r>
      <w:r w:rsidRPr="000E36DD">
        <w:t xml:space="preserve">to raise the level of technical understanding of </w:t>
      </w:r>
      <w:r>
        <w:t>CCUS</w:t>
      </w:r>
      <w:r w:rsidRPr="000E36DD">
        <w:t xml:space="preserve"> within key developing countries and emerging economies with high emissions (such as South Africa, Mexico, Indonesia and China), leading to the establishment of the necessary policy frameworks and incentive structures to support commercial, large-scale CCUS demonstration and ultimately accelerate the deployment of CCUS.</w:t>
      </w:r>
      <w:r>
        <w:t xml:space="preserve"> £60 million was provided as part of the original business case in 2012 and £10 million extension was provided as part of an extension business case in 2017.</w:t>
      </w:r>
    </w:p>
    <w:p w14:paraId="6BB470CE" w14:textId="77777777" w:rsidR="00306B0F" w:rsidRDefault="00306B0F" w:rsidP="00306B0F">
      <w:pPr>
        <w:jc w:val="both"/>
      </w:pPr>
    </w:p>
    <w:p w14:paraId="04587B90" w14:textId="77777777" w:rsidR="00306B0F" w:rsidRDefault="00306B0F" w:rsidP="00306B0F">
      <w:pPr>
        <w:pStyle w:val="ListParagraph"/>
        <w:numPr>
          <w:ilvl w:val="0"/>
          <w:numId w:val="14"/>
        </w:numPr>
        <w:spacing w:after="0"/>
        <w:jc w:val="both"/>
      </w:pPr>
      <w:r>
        <w:t>Of the £70 million, £35 million was provided through t</w:t>
      </w:r>
      <w:r w:rsidRPr="00BF73C2">
        <w:t>he</w:t>
      </w:r>
      <w:r>
        <w:t xml:space="preserve"> Asian Development Bank (ADB</w:t>
      </w:r>
      <w:r w:rsidRPr="00BF73C2">
        <w:t>)</w:t>
      </w:r>
      <w:r>
        <w:t>’s</w:t>
      </w:r>
      <w:r w:rsidRPr="00BF73C2">
        <w:t xml:space="preserve"> </w:t>
      </w:r>
      <w:r>
        <w:t>CCUS Fund, and £35 million was provided through the World Bank’s CCUS Trust Fund. The programme runs until December 2023.</w:t>
      </w:r>
    </w:p>
    <w:p w14:paraId="5188E601" w14:textId="77777777" w:rsidR="00306B0F" w:rsidRDefault="00306B0F" w:rsidP="00306B0F"/>
    <w:p w14:paraId="0BEC9207" w14:textId="10D0D3CB" w:rsidR="00306B0F" w:rsidRDefault="00306B0F" w:rsidP="00306B0F">
      <w:pPr>
        <w:pStyle w:val="ListParagraph"/>
        <w:numPr>
          <w:ilvl w:val="0"/>
          <w:numId w:val="14"/>
        </w:numPr>
        <w:spacing w:after="0"/>
        <w:jc w:val="both"/>
      </w:pPr>
      <w:r>
        <w:t xml:space="preserve">The UK provides support for technical assistance (TA), </w:t>
      </w:r>
      <w:r w:rsidRPr="00BF73C2">
        <w:t xml:space="preserve">which </w:t>
      </w:r>
      <w:r>
        <w:t>includes activities such as building t</w:t>
      </w:r>
      <w:r w:rsidRPr="00BF73C2">
        <w:t>he knowledge and skills base of the industries and governments in the supported countries, undertaking feasibility studies</w:t>
      </w:r>
      <w:r>
        <w:t>, developing CCUS roadmaps and reports, supporting the development of pilot projects, setting up CCUS Centres of Excellence, and supporting the development of CCUS policies, regulations and legislation.</w:t>
      </w:r>
    </w:p>
    <w:p w14:paraId="2E74FA9A" w14:textId="77777777" w:rsidR="00ED0045" w:rsidRDefault="00ED0045" w:rsidP="00ED0045">
      <w:pPr>
        <w:pStyle w:val="ListParagraph"/>
      </w:pPr>
    </w:p>
    <w:p w14:paraId="3659CF5D" w14:textId="77777777" w:rsidR="00ED0045" w:rsidRDefault="00ED0045" w:rsidP="00ED0045">
      <w:pPr>
        <w:jc w:val="both"/>
      </w:pPr>
    </w:p>
    <w:p w14:paraId="0DAACBF8" w14:textId="77777777" w:rsidR="00306B0F" w:rsidRDefault="00306B0F" w:rsidP="00306B0F"/>
    <w:p w14:paraId="6C5FB020" w14:textId="77777777" w:rsidR="00306B0F" w:rsidRPr="004D2CA1" w:rsidRDefault="00306B0F" w:rsidP="00306B0F">
      <w:pPr>
        <w:pStyle w:val="ListParagraph"/>
        <w:numPr>
          <w:ilvl w:val="0"/>
          <w:numId w:val="13"/>
        </w:numPr>
        <w:spacing w:after="0"/>
        <w:rPr>
          <w:b/>
        </w:rPr>
      </w:pPr>
      <w:r w:rsidRPr="004D2CA1">
        <w:rPr>
          <w:b/>
        </w:rPr>
        <w:t>Methodological Note Overview</w:t>
      </w:r>
    </w:p>
    <w:p w14:paraId="2DF49CF5" w14:textId="77777777" w:rsidR="00306B0F" w:rsidRDefault="00306B0F" w:rsidP="00306B0F"/>
    <w:p w14:paraId="1C363B0C" w14:textId="77777777" w:rsidR="00306B0F" w:rsidRDefault="00306B0F" w:rsidP="00306B0F">
      <w:pPr>
        <w:pStyle w:val="ListParagraph"/>
        <w:numPr>
          <w:ilvl w:val="0"/>
          <w:numId w:val="14"/>
        </w:numPr>
        <w:spacing w:after="0"/>
        <w:jc w:val="both"/>
      </w:pPr>
      <w:r w:rsidRPr="00BF73C2">
        <w:t xml:space="preserve">This </w:t>
      </w:r>
      <w:r>
        <w:t>methodological note</w:t>
      </w:r>
      <w:r w:rsidRPr="00BF73C2">
        <w:t xml:space="preserve"> </w:t>
      </w:r>
      <w:r>
        <w:t xml:space="preserve">aims to provide a summary of </w:t>
      </w:r>
      <w:r w:rsidRPr="00BF73C2">
        <w:t xml:space="preserve">the </w:t>
      </w:r>
      <w:r>
        <w:t>approach developed to assess the effectiveness of the international CCUS programme using Key Performance Indicator (KPI) 15 (“</w:t>
      </w:r>
      <w:r w:rsidRPr="00D461DC">
        <w:t>Extent to which ICF intervention is likely to have a transformational impact</w:t>
      </w:r>
      <w:r>
        <w:t>”). KPI 15 is an indicator that all ICF programmes must report against and is particularly useful for determining the effectiveness of TA programmes.</w:t>
      </w:r>
    </w:p>
    <w:p w14:paraId="6783FF3E" w14:textId="77777777" w:rsidR="00306B0F" w:rsidRDefault="00306B0F" w:rsidP="00306B0F">
      <w:pPr>
        <w:jc w:val="both"/>
      </w:pPr>
    </w:p>
    <w:p w14:paraId="4DE3DD17" w14:textId="77777777" w:rsidR="00306B0F" w:rsidRDefault="00306B0F" w:rsidP="00306B0F">
      <w:pPr>
        <w:pStyle w:val="ListParagraph"/>
        <w:numPr>
          <w:ilvl w:val="0"/>
          <w:numId w:val="14"/>
        </w:numPr>
        <w:spacing w:after="0"/>
        <w:jc w:val="both"/>
      </w:pPr>
      <w:r w:rsidRPr="00BF73C2">
        <w:t xml:space="preserve">Transformational change is defined here as a change </w:t>
      </w:r>
      <w:r>
        <w:t>that</w:t>
      </w:r>
      <w:r w:rsidRPr="00BF73C2">
        <w:t xml:space="preserve"> catalyses further change, enabling either a shift from one state to another (e.g. from </w:t>
      </w:r>
      <w:r>
        <w:t>unabated fossil fuel use in the industrial and power sectors to abated use through CCUS</w:t>
      </w:r>
      <w:r w:rsidRPr="00BF73C2">
        <w:t xml:space="preserve">) or faster change (e.g. accelerating the </w:t>
      </w:r>
      <w:r>
        <w:t xml:space="preserve">development and deployment of CCUS </w:t>
      </w:r>
      <w:r w:rsidRPr="00BF73C2">
        <w:t xml:space="preserve">by </w:t>
      </w:r>
      <w:r>
        <w:t>increasing</w:t>
      </w:r>
      <w:r w:rsidRPr="00BF73C2">
        <w:t xml:space="preserve"> the deployment of </w:t>
      </w:r>
      <w:r>
        <w:t xml:space="preserve">CCUS </w:t>
      </w:r>
      <w:r w:rsidRPr="00BF73C2">
        <w:t>capital</w:t>
      </w:r>
      <w:r>
        <w:t xml:space="preserve"> and lowering the barriers to investment</w:t>
      </w:r>
      <w:r w:rsidRPr="00BF73C2">
        <w:t>). Transformational change entails a range of simultaneous transformations to political power, social relations, markets and technology.</w:t>
      </w:r>
    </w:p>
    <w:p w14:paraId="39A5A6F4" w14:textId="77777777" w:rsidR="00306B0F" w:rsidRDefault="00306B0F" w:rsidP="00306B0F"/>
    <w:p w14:paraId="2302B230" w14:textId="77777777" w:rsidR="00306B0F" w:rsidRPr="00BF73C2" w:rsidRDefault="00306B0F" w:rsidP="00306B0F">
      <w:pPr>
        <w:pStyle w:val="ListParagraph"/>
        <w:numPr>
          <w:ilvl w:val="0"/>
          <w:numId w:val="14"/>
        </w:numPr>
        <w:spacing w:after="0"/>
        <w:jc w:val="both"/>
      </w:pPr>
      <w:r>
        <w:t>Across the UK’s international climate finance (ICF) portfolio, m</w:t>
      </w:r>
      <w:r w:rsidRPr="00BF73C2">
        <w:t xml:space="preserve">any of the transformations </w:t>
      </w:r>
      <w:r>
        <w:t xml:space="preserve">that </w:t>
      </w:r>
      <w:r w:rsidRPr="00BF73C2">
        <w:t xml:space="preserve">the ICF is seeking to </w:t>
      </w:r>
      <w:r>
        <w:t xml:space="preserve">achieve </w:t>
      </w:r>
      <w:r w:rsidRPr="00BF73C2">
        <w:t xml:space="preserve">will only be evident with a time lag. Though it is necessary to monitor these longer-term changes, most are unlikely to materialise within the period of </w:t>
      </w:r>
      <w:r>
        <w:t>the current</w:t>
      </w:r>
      <w:r w:rsidRPr="00BF73C2">
        <w:t xml:space="preserve"> ICF (5 years</w:t>
      </w:r>
      <w:r>
        <w:t xml:space="preserve"> from 2016-2021</w:t>
      </w:r>
      <w:r w:rsidRPr="00BF73C2">
        <w:t xml:space="preserve">). </w:t>
      </w:r>
      <w:r>
        <w:t xml:space="preserve">Therefore, KPI 15 </w:t>
      </w:r>
      <w:r w:rsidRPr="00BF73C2">
        <w:t>track</w:t>
      </w:r>
      <w:r>
        <w:t>s early signs of transformation and</w:t>
      </w:r>
      <w:r w:rsidRPr="00BF73C2">
        <w:t xml:space="preserve"> the extent to </w:t>
      </w:r>
      <w:r>
        <w:t xml:space="preserve">which </w:t>
      </w:r>
      <w:r>
        <w:lastRenderedPageBreak/>
        <w:t xml:space="preserve">activities </w:t>
      </w:r>
      <w:r w:rsidRPr="00BF73C2">
        <w:t xml:space="preserve">are </w:t>
      </w:r>
      <w:r>
        <w:t xml:space="preserve">facilitating transformation </w:t>
      </w:r>
      <w:r w:rsidRPr="00BF73C2">
        <w:t xml:space="preserve">or </w:t>
      </w:r>
      <w:r>
        <w:t>have a high likelihood of being</w:t>
      </w:r>
      <w:r w:rsidRPr="00BF73C2">
        <w:t xml:space="preserve"> transformational.</w:t>
      </w:r>
    </w:p>
    <w:p w14:paraId="397AA338" w14:textId="77777777" w:rsidR="00306B0F" w:rsidRPr="00BF73C2" w:rsidRDefault="00306B0F" w:rsidP="00306B0F">
      <w:pPr>
        <w:jc w:val="both"/>
      </w:pPr>
    </w:p>
    <w:p w14:paraId="30D475A2" w14:textId="77777777" w:rsidR="00306B0F" w:rsidRPr="00816D14" w:rsidRDefault="00306B0F" w:rsidP="00306B0F">
      <w:pPr>
        <w:pStyle w:val="ListParagraph"/>
        <w:numPr>
          <w:ilvl w:val="0"/>
          <w:numId w:val="13"/>
        </w:numPr>
        <w:spacing w:after="0"/>
        <w:jc w:val="both"/>
        <w:rPr>
          <w:b/>
        </w:rPr>
      </w:pPr>
      <w:r>
        <w:rPr>
          <w:b/>
        </w:rPr>
        <w:t xml:space="preserve">Methodological </w:t>
      </w:r>
      <w:r w:rsidRPr="00816D14">
        <w:rPr>
          <w:b/>
        </w:rPr>
        <w:t>Approach</w:t>
      </w:r>
    </w:p>
    <w:p w14:paraId="61B19CF8" w14:textId="77777777" w:rsidR="00306B0F" w:rsidRDefault="00306B0F" w:rsidP="00306B0F">
      <w:pPr>
        <w:jc w:val="both"/>
      </w:pPr>
    </w:p>
    <w:p w14:paraId="75DFBD1E" w14:textId="77777777" w:rsidR="00306B0F" w:rsidRDefault="00306B0F" w:rsidP="00306B0F">
      <w:pPr>
        <w:pStyle w:val="ListParagraph"/>
        <w:numPr>
          <w:ilvl w:val="0"/>
          <w:numId w:val="15"/>
        </w:numPr>
        <w:spacing w:after="0"/>
        <w:jc w:val="both"/>
      </w:pPr>
      <w:r>
        <w:t xml:space="preserve">The methodological approach uses proxies to account for the time lag in achieving transformations. </w:t>
      </w:r>
      <w:r w:rsidRPr="00BF73C2">
        <w:t>The KPI</w:t>
      </w:r>
      <w:r>
        <w:t xml:space="preserve"> </w:t>
      </w:r>
      <w:r w:rsidRPr="00BF73C2">
        <w:t>15 Theory o</w:t>
      </w:r>
      <w:r>
        <w:t xml:space="preserve">f Change </w:t>
      </w:r>
      <w:r w:rsidRPr="00BF73C2">
        <w:t xml:space="preserve">sets out several criteria </w:t>
      </w:r>
      <w:r>
        <w:t xml:space="preserve">that </w:t>
      </w:r>
      <w:r w:rsidRPr="00BF73C2">
        <w:t>are likely to res</w:t>
      </w:r>
      <w:r>
        <w:t>ult in transformational change:</w:t>
      </w:r>
    </w:p>
    <w:p w14:paraId="23671EBD" w14:textId="77777777" w:rsidR="00306B0F" w:rsidRPr="00BF73C2" w:rsidRDefault="00306B0F" w:rsidP="00306B0F">
      <w:pPr>
        <w:pStyle w:val="ListParagraph"/>
        <w:ind w:left="360"/>
        <w:jc w:val="both"/>
      </w:pPr>
    </w:p>
    <w:p w14:paraId="4612EF6F" w14:textId="77777777" w:rsidR="00306B0F" w:rsidRPr="00BF73C2" w:rsidRDefault="00306B0F" w:rsidP="00306B0F">
      <w:pPr>
        <w:jc w:val="center"/>
      </w:pPr>
      <w:r>
        <w:rPr>
          <w:noProof/>
          <w:lang w:eastAsia="en-GB"/>
        </w:rPr>
        <mc:AlternateContent>
          <mc:Choice Requires="wps">
            <w:drawing>
              <wp:anchor distT="0" distB="0" distL="114300" distR="114300" simplePos="0" relativeHeight="251658240" behindDoc="0" locked="0" layoutInCell="1" allowOverlap="1" wp14:anchorId="2CD685CE" wp14:editId="3CD7ECAE">
                <wp:simplePos x="0" y="0"/>
                <wp:positionH relativeFrom="column">
                  <wp:posOffset>3733800</wp:posOffset>
                </wp:positionH>
                <wp:positionV relativeFrom="paragraph">
                  <wp:posOffset>882650</wp:posOffset>
                </wp:positionV>
                <wp:extent cx="1136650" cy="1111250"/>
                <wp:effectExtent l="0" t="0" r="25400" b="12700"/>
                <wp:wrapNone/>
                <wp:docPr id="6" name="Oval 6"/>
                <wp:cNvGraphicFramePr/>
                <a:graphic xmlns:a="http://schemas.openxmlformats.org/drawingml/2006/main">
                  <a:graphicData uri="http://schemas.microsoft.com/office/word/2010/wordprocessingShape">
                    <wps:wsp>
                      <wps:cNvSpPr/>
                      <wps:spPr>
                        <a:xfrm>
                          <a:off x="0" y="0"/>
                          <a:ext cx="1136650" cy="1111250"/>
                        </a:xfrm>
                        <a:prstGeom prst="ellipse">
                          <a:avLst/>
                        </a:prstGeom>
                        <a:solidFill>
                          <a:schemeClr val="bg1">
                            <a:lumMod val="85000"/>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AFF67" id="Oval 6" o:spid="_x0000_s1026" style="position:absolute;margin-left:294pt;margin-top:69.5pt;width:89.5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" fillcolor="#d8d8d8 [2732]" strokecolor="#1f3763 [1604]" strokeweight="1pt">
                <v:fill opacity="26214f"/>
                <v:stroke joinstyle="miter"/>
              </v:oval>
            </w:pict>
          </mc:Fallback>
        </mc:AlternateContent>
      </w:r>
      <w:r>
        <w:rPr>
          <w:noProof/>
          <w:lang w:eastAsia="en-GB"/>
        </w:rPr>
        <mc:AlternateContent>
          <mc:Choice Requires="wps">
            <w:drawing>
              <wp:anchor distT="0" distB="0" distL="114300" distR="114300" simplePos="0" relativeHeight="251658242" behindDoc="0" locked="0" layoutInCell="1" allowOverlap="1" wp14:anchorId="429F9592" wp14:editId="7F39CB04">
                <wp:simplePos x="0" y="0"/>
                <wp:positionH relativeFrom="column">
                  <wp:posOffset>480060</wp:posOffset>
                </wp:positionH>
                <wp:positionV relativeFrom="paragraph">
                  <wp:posOffset>2322830</wp:posOffset>
                </wp:positionV>
                <wp:extent cx="1295400" cy="685800"/>
                <wp:effectExtent l="0" t="0" r="19050" b="19050"/>
                <wp:wrapNone/>
                <wp:docPr id="4" name="Oval 4"/>
                <wp:cNvGraphicFramePr/>
                <a:graphic xmlns:a="http://schemas.openxmlformats.org/drawingml/2006/main">
                  <a:graphicData uri="http://schemas.microsoft.com/office/word/2010/wordprocessingShape">
                    <wps:wsp>
                      <wps:cNvSpPr/>
                      <wps:spPr>
                        <a:xfrm>
                          <a:off x="0" y="0"/>
                          <a:ext cx="1295400" cy="685800"/>
                        </a:xfrm>
                        <a:prstGeom prst="ellipse">
                          <a:avLst/>
                        </a:prstGeom>
                        <a:solidFill>
                          <a:schemeClr val="bg1">
                            <a:lumMod val="85000"/>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2CB2C" id="Oval 4" o:spid="_x0000_s1026" style="position:absolute;margin-left:37.8pt;margin-top:182.9pt;width:102pt;height:5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" fillcolor="#d8d8d8 [2732]" strokecolor="#1f3763 [1604]" strokeweight="1pt">
                <v:fill opacity="26214f"/>
                <v:stroke joinstyle="miter"/>
              </v:oval>
            </w:pict>
          </mc:Fallback>
        </mc:AlternateContent>
      </w:r>
      <w:r>
        <w:rPr>
          <w:noProof/>
          <w:lang w:eastAsia="en-GB"/>
        </w:rPr>
        <mc:AlternateContent>
          <mc:Choice Requires="wps">
            <w:drawing>
              <wp:anchor distT="0" distB="0" distL="114300" distR="114300" simplePos="0" relativeHeight="251658241" behindDoc="0" locked="0" layoutInCell="1" allowOverlap="1" wp14:anchorId="672E5582" wp14:editId="77933C35">
                <wp:simplePos x="0" y="0"/>
                <wp:positionH relativeFrom="column">
                  <wp:posOffset>480060</wp:posOffset>
                </wp:positionH>
                <wp:positionV relativeFrom="paragraph">
                  <wp:posOffset>1560830</wp:posOffset>
                </wp:positionV>
                <wp:extent cx="1295400" cy="685800"/>
                <wp:effectExtent l="0" t="0" r="19050" b="19050"/>
                <wp:wrapNone/>
                <wp:docPr id="5" name="Oval 5"/>
                <wp:cNvGraphicFramePr/>
                <a:graphic xmlns:a="http://schemas.openxmlformats.org/drawingml/2006/main">
                  <a:graphicData uri="http://schemas.microsoft.com/office/word/2010/wordprocessingShape">
                    <wps:wsp>
                      <wps:cNvSpPr/>
                      <wps:spPr>
                        <a:xfrm>
                          <a:off x="0" y="0"/>
                          <a:ext cx="1295400" cy="685800"/>
                        </a:xfrm>
                        <a:prstGeom prst="ellipse">
                          <a:avLst/>
                        </a:prstGeom>
                        <a:solidFill>
                          <a:schemeClr val="bg1">
                            <a:lumMod val="85000"/>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DFEFEB" id="Oval 5" o:spid="_x0000_s1026" style="position:absolute;margin-left:37.8pt;margin-top:122.9pt;width:102pt;height:5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" fillcolor="#d8d8d8 [2732]" strokecolor="#1f3763 [1604]" strokeweight="1pt">
                <v:fill opacity="26214f"/>
                <v:stroke joinstyle="miter"/>
              </v:oval>
            </w:pict>
          </mc:Fallback>
        </mc:AlternateContent>
      </w:r>
      <w:r w:rsidRPr="00BF73C2">
        <w:rPr>
          <w:noProof/>
          <w:lang w:eastAsia="en-GB"/>
        </w:rPr>
        <w:drawing>
          <wp:inline distT="0" distB="0" distL="0" distR="0" wp14:anchorId="6679B13E" wp14:editId="65917841">
            <wp:extent cx="5637845" cy="29527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43765" cy="2955851"/>
                    </a:xfrm>
                    <a:prstGeom prst="rect">
                      <a:avLst/>
                    </a:prstGeom>
                    <a:noFill/>
                  </pic:spPr>
                </pic:pic>
              </a:graphicData>
            </a:graphic>
          </wp:inline>
        </w:drawing>
      </w:r>
    </w:p>
    <w:p w14:paraId="5F7846B2" w14:textId="77777777" w:rsidR="00306B0F" w:rsidRDefault="00306B0F" w:rsidP="00306B0F"/>
    <w:p w14:paraId="243CFE8C" w14:textId="77777777" w:rsidR="00306B0F" w:rsidRPr="004041D1" w:rsidRDefault="00306B0F" w:rsidP="00306B0F">
      <w:pPr>
        <w:jc w:val="center"/>
        <w:rPr>
          <w:i/>
        </w:rPr>
      </w:pPr>
      <w:r w:rsidRPr="004041D1">
        <w:rPr>
          <w:i/>
        </w:rPr>
        <w:t>Figure 1:</w:t>
      </w:r>
      <w:r>
        <w:rPr>
          <w:i/>
        </w:rPr>
        <w:t xml:space="preserve"> </w:t>
      </w:r>
      <w:r w:rsidRPr="004041D1">
        <w:rPr>
          <w:i/>
        </w:rPr>
        <w:t>KPI 15 Theory of Change</w:t>
      </w:r>
      <w:r>
        <w:rPr>
          <w:i/>
        </w:rPr>
        <w:t xml:space="preserve"> (monitored parts in the international CCUS programme are circled)</w:t>
      </w:r>
    </w:p>
    <w:p w14:paraId="52FDF934" w14:textId="77777777" w:rsidR="00306B0F" w:rsidRDefault="00306B0F" w:rsidP="00306B0F"/>
    <w:p w14:paraId="744E3081" w14:textId="77777777" w:rsidR="00306B0F" w:rsidRDefault="00306B0F" w:rsidP="00306B0F">
      <w:pPr>
        <w:pStyle w:val="ListParagraph"/>
        <w:numPr>
          <w:ilvl w:val="0"/>
          <w:numId w:val="15"/>
        </w:numPr>
        <w:spacing w:after="0"/>
        <w:jc w:val="both"/>
      </w:pPr>
      <w:r w:rsidRPr="00BF73C2">
        <w:t xml:space="preserve">Progress against the relevant criteria </w:t>
      </w:r>
      <w:r>
        <w:t>in Figure 1 are</w:t>
      </w:r>
      <w:r w:rsidRPr="00BF73C2">
        <w:t xml:space="preserve"> assess</w:t>
      </w:r>
      <w:r>
        <w:t>ed using the following box markings (as per the process for assessing KPI 15 in all ICF programmes):</w:t>
      </w:r>
    </w:p>
    <w:p w14:paraId="76A7C54A" w14:textId="77777777" w:rsidR="00306B0F" w:rsidRPr="00BF73C2" w:rsidRDefault="00306B0F" w:rsidP="00306B0F">
      <w:pPr>
        <w:jc w:val="both"/>
      </w:pPr>
    </w:p>
    <w:p w14:paraId="1D488E9D" w14:textId="77777777" w:rsidR="00306B0F" w:rsidRPr="00BF73C2" w:rsidRDefault="00306B0F" w:rsidP="00306B0F">
      <w:pPr>
        <w:ind w:left="1440"/>
        <w:contextualSpacing/>
        <w:jc w:val="both"/>
      </w:pPr>
      <w:r>
        <w:t xml:space="preserve">0 </w:t>
      </w:r>
      <w:r w:rsidRPr="00BF73C2">
        <w:t>Transformation judged unlikely</w:t>
      </w:r>
    </w:p>
    <w:p w14:paraId="0393D1B7" w14:textId="77777777" w:rsidR="00306B0F" w:rsidRPr="00BF73C2" w:rsidRDefault="00306B0F" w:rsidP="00306B0F">
      <w:pPr>
        <w:ind w:left="1440"/>
        <w:contextualSpacing/>
        <w:jc w:val="both"/>
      </w:pPr>
      <w:r>
        <w:t xml:space="preserve">1 </w:t>
      </w:r>
      <w:r w:rsidRPr="00BF73C2">
        <w:t>No evidence yet available</w:t>
      </w:r>
    </w:p>
    <w:p w14:paraId="58E10131" w14:textId="77777777" w:rsidR="00306B0F" w:rsidRPr="00BF73C2" w:rsidRDefault="00306B0F" w:rsidP="00306B0F">
      <w:pPr>
        <w:ind w:left="1440"/>
        <w:contextualSpacing/>
        <w:jc w:val="both"/>
      </w:pPr>
      <w:r>
        <w:t xml:space="preserve">2 </w:t>
      </w:r>
      <w:r w:rsidRPr="00BF73C2">
        <w:t>Some early evidence suggests transformation likely</w:t>
      </w:r>
    </w:p>
    <w:p w14:paraId="4AF798FB" w14:textId="77777777" w:rsidR="00306B0F" w:rsidRPr="00BF73C2" w:rsidRDefault="00306B0F" w:rsidP="00306B0F">
      <w:pPr>
        <w:ind w:left="1440"/>
        <w:jc w:val="both"/>
      </w:pPr>
      <w:r>
        <w:t xml:space="preserve">3 </w:t>
      </w:r>
      <w:r w:rsidRPr="00BF73C2">
        <w:t>Tentative evidence of change – transformation judged likely</w:t>
      </w:r>
    </w:p>
    <w:p w14:paraId="17B4A968" w14:textId="77777777" w:rsidR="00306B0F" w:rsidRPr="00BF73C2" w:rsidRDefault="00306B0F" w:rsidP="00306B0F">
      <w:pPr>
        <w:ind w:left="1440"/>
        <w:jc w:val="both"/>
      </w:pPr>
      <w:r>
        <w:t xml:space="preserve">4 </w:t>
      </w:r>
      <w:r w:rsidRPr="00BF73C2">
        <w:t xml:space="preserve">Clear evidence of change </w:t>
      </w:r>
      <w:r>
        <w:t>–</w:t>
      </w:r>
      <w:r w:rsidRPr="00BF73C2">
        <w:t xml:space="preserve"> transformation judged very likely</w:t>
      </w:r>
    </w:p>
    <w:p w14:paraId="08D3B48E" w14:textId="77777777" w:rsidR="00306B0F" w:rsidRPr="00BF73C2" w:rsidRDefault="00306B0F" w:rsidP="00306B0F">
      <w:pPr>
        <w:jc w:val="both"/>
      </w:pPr>
    </w:p>
    <w:p w14:paraId="3CC260C9" w14:textId="77777777" w:rsidR="00306B0F" w:rsidRDefault="00306B0F" w:rsidP="00306B0F">
      <w:pPr>
        <w:pStyle w:val="ListParagraph"/>
        <w:numPr>
          <w:ilvl w:val="0"/>
          <w:numId w:val="15"/>
        </w:numPr>
        <w:spacing w:after="0"/>
        <w:jc w:val="both"/>
      </w:pPr>
      <w:r>
        <w:t xml:space="preserve">The overall goal of the international CCUS programme is to achieve </w:t>
      </w:r>
      <w:r w:rsidRPr="00BF73C2">
        <w:t>box mark</w:t>
      </w:r>
      <w:r>
        <w:t>ing</w:t>
      </w:r>
      <w:r w:rsidRPr="00BF73C2">
        <w:t xml:space="preserve"> 4 (transformation judged very likely). </w:t>
      </w:r>
      <w:r>
        <w:t xml:space="preserve">The overall </w:t>
      </w:r>
      <w:r w:rsidRPr="00BF73C2">
        <w:t xml:space="preserve">TA box marking </w:t>
      </w:r>
      <w:r>
        <w:t>is assessed each year as part of the annual review process (which runs from April to June each year for this programme). This is calculated as t</w:t>
      </w:r>
      <w:r w:rsidRPr="00BF73C2">
        <w:t xml:space="preserve">he median score across all </w:t>
      </w:r>
      <w:r>
        <w:t xml:space="preserve">of </w:t>
      </w:r>
      <w:r w:rsidRPr="00BF73C2">
        <w:t xml:space="preserve">the </w:t>
      </w:r>
      <w:r>
        <w:t xml:space="preserve">assessed </w:t>
      </w:r>
      <w:r w:rsidRPr="00BF73C2">
        <w:t>criteria.</w:t>
      </w:r>
      <w:r>
        <w:t xml:space="preserve"> In the 2020 annual review, the programme achieved box marking 3. It is one of ICF’s longest running programmes (over 8 years as of March 2021) and outcomes can now start to be assessed rather than just the assessment of outputs.</w:t>
      </w:r>
    </w:p>
    <w:p w14:paraId="0807D783" w14:textId="77777777" w:rsidR="00306B0F" w:rsidRDefault="00306B0F" w:rsidP="00306B0F">
      <w:pPr>
        <w:jc w:val="both"/>
      </w:pPr>
      <w:r>
        <w:t xml:space="preserve"> </w:t>
      </w:r>
    </w:p>
    <w:p w14:paraId="2FE383EC" w14:textId="77777777" w:rsidR="00306B0F" w:rsidRDefault="00306B0F" w:rsidP="00306B0F">
      <w:pPr>
        <w:pStyle w:val="ListParagraph"/>
        <w:numPr>
          <w:ilvl w:val="0"/>
          <w:numId w:val="15"/>
        </w:numPr>
        <w:spacing w:after="0"/>
        <w:jc w:val="both"/>
      </w:pPr>
      <w:r>
        <w:t>The international CCUS programme assesses the degree of transformation against three of the criteria shown in Figure 1: ‘fostering political will to act on climate change’, ‘encouraging innovation and testing new approaches and ideas’, and ‘demonstrating replication by others’.</w:t>
      </w:r>
    </w:p>
    <w:p w14:paraId="4648CB94" w14:textId="77777777" w:rsidR="00306B0F" w:rsidRPr="005A7D86" w:rsidRDefault="00306B0F" w:rsidP="00306B0F"/>
    <w:p w14:paraId="71B6B43F" w14:textId="77777777" w:rsidR="00306B0F" w:rsidRPr="00B96292" w:rsidRDefault="00306B0F" w:rsidP="00306B0F">
      <w:pPr>
        <w:pStyle w:val="ListParagraph"/>
        <w:numPr>
          <w:ilvl w:val="0"/>
          <w:numId w:val="13"/>
        </w:numPr>
        <w:spacing w:after="200" w:line="276" w:lineRule="auto"/>
        <w:jc w:val="both"/>
        <w:rPr>
          <w:b/>
        </w:rPr>
      </w:pPr>
      <w:r w:rsidRPr="00B96292">
        <w:rPr>
          <w:b/>
        </w:rPr>
        <w:lastRenderedPageBreak/>
        <w:t>Rubric Statements</w:t>
      </w:r>
    </w:p>
    <w:p w14:paraId="092DB9AB" w14:textId="77777777" w:rsidR="00306B0F" w:rsidRDefault="00306B0F" w:rsidP="00306B0F">
      <w:pPr>
        <w:pStyle w:val="ListParagraph"/>
        <w:spacing w:after="200" w:line="276" w:lineRule="auto"/>
        <w:ind w:left="360"/>
        <w:jc w:val="both"/>
      </w:pPr>
    </w:p>
    <w:p w14:paraId="3A389470" w14:textId="77777777" w:rsidR="00306B0F" w:rsidRDefault="00306B0F" w:rsidP="00306B0F">
      <w:pPr>
        <w:pStyle w:val="ListParagraph"/>
        <w:numPr>
          <w:ilvl w:val="0"/>
          <w:numId w:val="7"/>
        </w:numPr>
        <w:spacing w:after="200" w:line="276" w:lineRule="auto"/>
        <w:jc w:val="both"/>
      </w:pPr>
      <w:r>
        <w:t>The performance of the international CCUS programme is summarised as a box marking (0-4). Twelve rubric statements for assessing transformational change have been identified based on the experiences of the first eight years of the programme (December 2012 to December 2020), as well as the experiences of other ICF programmes that have historically reported against KPI 15.</w:t>
      </w:r>
    </w:p>
    <w:p w14:paraId="27A352D2" w14:textId="77777777" w:rsidR="00306B0F" w:rsidRDefault="00306B0F" w:rsidP="00306B0F">
      <w:pPr>
        <w:pStyle w:val="ListParagraph"/>
        <w:spacing w:after="200" w:line="276" w:lineRule="auto"/>
        <w:ind w:left="360"/>
        <w:jc w:val="both"/>
      </w:pPr>
    </w:p>
    <w:p w14:paraId="3FAD1CBA" w14:textId="77777777" w:rsidR="00306B0F" w:rsidRPr="001416AC" w:rsidRDefault="00306B0F" w:rsidP="00306B0F">
      <w:pPr>
        <w:pStyle w:val="ListParagraph"/>
        <w:numPr>
          <w:ilvl w:val="0"/>
          <w:numId w:val="7"/>
        </w:numPr>
        <w:spacing w:after="200" w:line="276" w:lineRule="auto"/>
        <w:jc w:val="both"/>
      </w:pPr>
      <w:r w:rsidRPr="001416AC">
        <w:t>The rubric statements are not weighted but this is something that we will consider discuss</w:t>
      </w:r>
      <w:r>
        <w:t>ing</w:t>
      </w:r>
      <w:r w:rsidRPr="001416AC">
        <w:t xml:space="preserve"> with analysts.</w:t>
      </w:r>
    </w:p>
    <w:p w14:paraId="6F33EE9F" w14:textId="77777777" w:rsidR="00306B0F" w:rsidRDefault="00306B0F" w:rsidP="00306B0F">
      <w:pPr>
        <w:pStyle w:val="ListParagraph"/>
      </w:pPr>
    </w:p>
    <w:p w14:paraId="36564EE9" w14:textId="77777777" w:rsidR="00306B0F" w:rsidRDefault="00306B0F" w:rsidP="00306B0F">
      <w:pPr>
        <w:pStyle w:val="ListParagraph"/>
        <w:numPr>
          <w:ilvl w:val="0"/>
          <w:numId w:val="7"/>
        </w:numPr>
        <w:spacing w:after="200" w:line="276" w:lineRule="auto"/>
        <w:jc w:val="both"/>
      </w:pPr>
      <w:r>
        <w:t xml:space="preserve">To achieve a given rubric statement, the programme must answer ‘Yes, Achieved’ to the given question (as outlined in table 2). If the answer is ‘No, Partially Achieved’ or ‘No, Not Achieved’, then the rubric statement in question is not yet achieved. In the case of ‘Partially Achieved’, this could be due to projects in some countries meeting the milestone in question but not in all supported countries. </w:t>
      </w:r>
    </w:p>
    <w:p w14:paraId="281E11F2" w14:textId="77777777" w:rsidR="00306B0F" w:rsidRDefault="00306B0F" w:rsidP="00306B0F">
      <w:pPr>
        <w:pStyle w:val="ListParagraph"/>
      </w:pPr>
    </w:p>
    <w:p w14:paraId="24A32777" w14:textId="77777777" w:rsidR="00306B0F" w:rsidRDefault="00306B0F" w:rsidP="00306B0F">
      <w:pPr>
        <w:jc w:val="both"/>
      </w:pPr>
      <w:r w:rsidRPr="005358A8">
        <w:rPr>
          <w:i/>
        </w:rPr>
        <w:t xml:space="preserve">Table </w:t>
      </w:r>
      <w:r>
        <w:rPr>
          <w:i/>
        </w:rPr>
        <w:t>1</w:t>
      </w:r>
      <w:r w:rsidRPr="005358A8">
        <w:rPr>
          <w:i/>
        </w:rPr>
        <w:t>: Rubric statements for assessing box marking 1</w:t>
      </w:r>
    </w:p>
    <w:p w14:paraId="222DBCB3" w14:textId="77777777" w:rsidR="00306B0F" w:rsidRPr="005358A8" w:rsidRDefault="00306B0F" w:rsidP="00306B0F">
      <w:pPr>
        <w:jc w:val="both"/>
      </w:pPr>
    </w:p>
    <w:tbl>
      <w:tblPr>
        <w:tblW w:w="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tblGrid>
      <w:tr w:rsidR="00306B0F" w:rsidRPr="008869CF" w14:paraId="376FE9DE" w14:textId="77777777" w:rsidTr="00D452D2">
        <w:trPr>
          <w:trHeight w:val="50"/>
          <w:jc w:val="center"/>
        </w:trPr>
        <w:tc>
          <w:tcPr>
            <w:tcW w:w="6113" w:type="dxa"/>
            <w:shd w:val="clear" w:color="000000" w:fill="000000"/>
            <w:noWrap/>
            <w:vAlign w:val="bottom"/>
            <w:hideMark/>
          </w:tcPr>
          <w:p w14:paraId="4FACE8E8" w14:textId="77777777" w:rsidR="00306B0F" w:rsidRPr="008869CF" w:rsidRDefault="00306B0F" w:rsidP="00D452D2">
            <w:pPr>
              <w:rPr>
                <w:b/>
                <w:bCs/>
                <w:color w:val="FFFFFF"/>
                <w:sz w:val="22"/>
                <w:szCs w:val="22"/>
                <w:lang w:eastAsia="en-GB"/>
              </w:rPr>
            </w:pPr>
            <w:r w:rsidRPr="008869CF">
              <w:rPr>
                <w:b/>
                <w:bCs/>
                <w:color w:val="FFFFFF"/>
                <w:sz w:val="22"/>
                <w:szCs w:val="22"/>
                <w:lang w:eastAsia="en-GB"/>
              </w:rPr>
              <w:t>Rubric Statements for 1 (No Evidence Yet Available)</w:t>
            </w:r>
          </w:p>
        </w:tc>
      </w:tr>
      <w:tr w:rsidR="00306B0F" w:rsidRPr="008869CF" w14:paraId="4F76CCBF" w14:textId="77777777" w:rsidTr="00D452D2">
        <w:trPr>
          <w:trHeight w:val="50"/>
          <w:jc w:val="center"/>
        </w:trPr>
        <w:tc>
          <w:tcPr>
            <w:tcW w:w="6113" w:type="dxa"/>
            <w:shd w:val="clear" w:color="auto" w:fill="auto"/>
            <w:vAlign w:val="bottom"/>
            <w:hideMark/>
          </w:tcPr>
          <w:p w14:paraId="5B6BBE77" w14:textId="77777777" w:rsidR="00306B0F" w:rsidRPr="008869CF" w:rsidRDefault="00306B0F" w:rsidP="00D452D2">
            <w:pPr>
              <w:rPr>
                <w:color w:val="000000"/>
                <w:sz w:val="22"/>
                <w:szCs w:val="22"/>
                <w:lang w:eastAsia="en-GB"/>
              </w:rPr>
            </w:pPr>
            <w:r>
              <w:rPr>
                <w:color w:val="000000"/>
                <w:sz w:val="22"/>
                <w:szCs w:val="22"/>
                <w:lang w:eastAsia="en-GB"/>
              </w:rPr>
              <w:t>CCUS</w:t>
            </w:r>
            <w:r w:rsidRPr="008869CF">
              <w:rPr>
                <w:color w:val="000000"/>
                <w:sz w:val="22"/>
                <w:szCs w:val="22"/>
                <w:lang w:eastAsia="en-GB"/>
              </w:rPr>
              <w:t>-related finance has not been successfully deployed or there are delays in deployment that make any measurement of indicators impossible</w:t>
            </w:r>
          </w:p>
        </w:tc>
      </w:tr>
      <w:tr w:rsidR="00306B0F" w:rsidRPr="008869CF" w14:paraId="6F0FB774" w14:textId="77777777" w:rsidTr="00D452D2">
        <w:trPr>
          <w:trHeight w:val="50"/>
          <w:jc w:val="center"/>
        </w:trPr>
        <w:tc>
          <w:tcPr>
            <w:tcW w:w="6113" w:type="dxa"/>
            <w:shd w:val="clear" w:color="auto" w:fill="auto"/>
            <w:vAlign w:val="bottom"/>
            <w:hideMark/>
          </w:tcPr>
          <w:p w14:paraId="1B999C59" w14:textId="77777777" w:rsidR="00306B0F" w:rsidRPr="008869CF" w:rsidRDefault="00306B0F" w:rsidP="00D452D2">
            <w:pPr>
              <w:rPr>
                <w:color w:val="000000"/>
                <w:sz w:val="22"/>
                <w:szCs w:val="22"/>
                <w:lang w:eastAsia="en-GB"/>
              </w:rPr>
            </w:pPr>
            <w:r w:rsidRPr="008869CF">
              <w:rPr>
                <w:color w:val="000000"/>
                <w:sz w:val="22"/>
                <w:szCs w:val="22"/>
                <w:lang w:eastAsia="en-GB"/>
              </w:rPr>
              <w:t xml:space="preserve">Lack of evidence and data to assess more than half </w:t>
            </w:r>
            <w:r>
              <w:rPr>
                <w:color w:val="000000"/>
                <w:sz w:val="22"/>
                <w:szCs w:val="22"/>
                <w:lang w:eastAsia="en-GB"/>
              </w:rPr>
              <w:t xml:space="preserve">(&gt;6) </w:t>
            </w:r>
            <w:r w:rsidRPr="008869CF">
              <w:rPr>
                <w:color w:val="000000"/>
                <w:sz w:val="22"/>
                <w:szCs w:val="22"/>
                <w:lang w:eastAsia="en-GB"/>
              </w:rPr>
              <w:t>of the rubric statements</w:t>
            </w:r>
          </w:p>
        </w:tc>
      </w:tr>
    </w:tbl>
    <w:p w14:paraId="48FDD507" w14:textId="77777777" w:rsidR="00306B0F" w:rsidRDefault="00306B0F" w:rsidP="00306B0F">
      <w:pPr>
        <w:pStyle w:val="ListParagraph"/>
        <w:ind w:left="0"/>
        <w:rPr>
          <w:i/>
        </w:rPr>
      </w:pPr>
    </w:p>
    <w:p w14:paraId="4CE238FF" w14:textId="77777777" w:rsidR="00306B0F" w:rsidRPr="005358A8" w:rsidRDefault="00306B0F" w:rsidP="00306B0F">
      <w:pPr>
        <w:pStyle w:val="ListParagraph"/>
        <w:ind w:left="0"/>
        <w:rPr>
          <w:i/>
        </w:rPr>
      </w:pPr>
      <w:r w:rsidRPr="002B0CD8">
        <w:rPr>
          <w:i/>
        </w:rPr>
        <w:t>Tab</w:t>
      </w:r>
      <w:r>
        <w:rPr>
          <w:i/>
        </w:rPr>
        <w:t>le 2</w:t>
      </w:r>
      <w:r w:rsidRPr="002B0CD8">
        <w:rPr>
          <w:i/>
        </w:rPr>
        <w:t xml:space="preserve">: Rubric statements for assessing </w:t>
      </w:r>
      <w:r>
        <w:rPr>
          <w:i/>
        </w:rPr>
        <w:t>box markings 2-4 and 2019 assessment</w:t>
      </w:r>
    </w:p>
    <w:p w14:paraId="1DB1651B" w14:textId="77777777" w:rsidR="00306B0F" w:rsidRDefault="00306B0F" w:rsidP="00306B0F">
      <w:pPr>
        <w:pStyle w:val="ListParagraph"/>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265"/>
        <w:gridCol w:w="2077"/>
        <w:gridCol w:w="2552"/>
        <w:gridCol w:w="2268"/>
      </w:tblGrid>
      <w:tr w:rsidR="00306B0F" w:rsidRPr="00647DAE" w14:paraId="13C59536" w14:textId="77777777" w:rsidTr="00D452D2">
        <w:trPr>
          <w:trHeight w:val="48"/>
          <w:jc w:val="center"/>
        </w:trPr>
        <w:tc>
          <w:tcPr>
            <w:tcW w:w="1890" w:type="dxa"/>
            <w:shd w:val="clear" w:color="auto" w:fill="000000" w:themeFill="text1"/>
            <w:vAlign w:val="center"/>
            <w:hideMark/>
          </w:tcPr>
          <w:p w14:paraId="398087D0" w14:textId="77777777" w:rsidR="00306B0F" w:rsidRPr="00647DAE" w:rsidRDefault="00306B0F" w:rsidP="00D452D2">
            <w:pPr>
              <w:jc w:val="center"/>
              <w:rPr>
                <w:rFonts w:cs="Arial"/>
                <w:b/>
                <w:bCs/>
                <w:sz w:val="20"/>
                <w:szCs w:val="20"/>
              </w:rPr>
            </w:pPr>
            <w:r w:rsidRPr="00647DAE">
              <w:rPr>
                <w:rFonts w:cs="Arial"/>
                <w:b/>
                <w:bCs/>
                <w:sz w:val="20"/>
                <w:szCs w:val="20"/>
              </w:rPr>
              <w:t>Rubric Statements for 2, 3, 4</w:t>
            </w:r>
          </w:p>
        </w:tc>
        <w:tc>
          <w:tcPr>
            <w:tcW w:w="2265" w:type="dxa"/>
            <w:shd w:val="clear" w:color="auto" w:fill="000000" w:themeFill="text1"/>
            <w:vAlign w:val="center"/>
            <w:hideMark/>
          </w:tcPr>
          <w:p w14:paraId="12E70996" w14:textId="77777777" w:rsidR="00306B0F" w:rsidRPr="00647DAE" w:rsidRDefault="00306B0F" w:rsidP="00D452D2">
            <w:pPr>
              <w:jc w:val="center"/>
              <w:rPr>
                <w:rFonts w:cs="Arial"/>
                <w:b/>
                <w:bCs/>
                <w:sz w:val="20"/>
                <w:szCs w:val="20"/>
              </w:rPr>
            </w:pPr>
            <w:r w:rsidRPr="00647DAE">
              <w:rPr>
                <w:rFonts w:cs="Arial"/>
                <w:b/>
                <w:bCs/>
                <w:sz w:val="20"/>
                <w:szCs w:val="20"/>
              </w:rPr>
              <w:t>Most Relevant KPI 15 Criteria</w:t>
            </w:r>
          </w:p>
        </w:tc>
        <w:tc>
          <w:tcPr>
            <w:tcW w:w="2077" w:type="dxa"/>
            <w:shd w:val="clear" w:color="auto" w:fill="000000" w:themeFill="text1"/>
            <w:vAlign w:val="center"/>
          </w:tcPr>
          <w:p w14:paraId="44677CDC" w14:textId="77777777" w:rsidR="00306B0F" w:rsidRPr="00647DAE" w:rsidRDefault="00306B0F" w:rsidP="00D452D2">
            <w:pPr>
              <w:jc w:val="center"/>
              <w:rPr>
                <w:rFonts w:cs="Arial"/>
                <w:b/>
                <w:bCs/>
                <w:sz w:val="20"/>
                <w:szCs w:val="20"/>
              </w:rPr>
            </w:pPr>
            <w:r w:rsidRPr="00647DAE">
              <w:rPr>
                <w:rFonts w:cs="Arial"/>
                <w:b/>
                <w:bCs/>
                <w:sz w:val="20"/>
                <w:szCs w:val="20"/>
              </w:rPr>
              <w:t>Evidence</w:t>
            </w:r>
          </w:p>
        </w:tc>
        <w:tc>
          <w:tcPr>
            <w:tcW w:w="2552" w:type="dxa"/>
            <w:shd w:val="clear" w:color="auto" w:fill="000000" w:themeFill="text1"/>
            <w:vAlign w:val="center"/>
          </w:tcPr>
          <w:p w14:paraId="512DD4B2" w14:textId="77777777" w:rsidR="00306B0F" w:rsidRPr="00647DAE" w:rsidRDefault="00306B0F" w:rsidP="00D452D2">
            <w:pPr>
              <w:jc w:val="center"/>
              <w:rPr>
                <w:rFonts w:cs="Arial"/>
                <w:b/>
                <w:bCs/>
                <w:sz w:val="20"/>
                <w:szCs w:val="20"/>
              </w:rPr>
            </w:pPr>
            <w:r w:rsidRPr="00647DAE">
              <w:rPr>
                <w:rFonts w:cs="Arial"/>
                <w:b/>
                <w:bCs/>
                <w:sz w:val="20"/>
                <w:szCs w:val="20"/>
                <w:lang w:eastAsia="en-GB"/>
              </w:rPr>
              <w:t>20</w:t>
            </w:r>
            <w:r>
              <w:rPr>
                <w:rFonts w:cs="Arial"/>
                <w:b/>
                <w:bCs/>
                <w:sz w:val="20"/>
                <w:szCs w:val="20"/>
                <w:lang w:eastAsia="en-GB"/>
              </w:rPr>
              <w:t xml:space="preserve">20 </w:t>
            </w:r>
            <w:r w:rsidRPr="00647DAE">
              <w:rPr>
                <w:rFonts w:cs="Arial"/>
                <w:b/>
                <w:bCs/>
                <w:sz w:val="20"/>
                <w:szCs w:val="20"/>
                <w:lang w:eastAsia="en-GB"/>
              </w:rPr>
              <w:t>Scoring</w:t>
            </w:r>
            <w:r>
              <w:rPr>
                <w:rFonts w:cs="Arial"/>
                <w:b/>
                <w:bCs/>
                <w:sz w:val="20"/>
                <w:szCs w:val="20"/>
                <w:lang w:eastAsia="en-GB"/>
              </w:rPr>
              <w:t xml:space="preserve"> (2019 CY)</w:t>
            </w:r>
          </w:p>
        </w:tc>
        <w:tc>
          <w:tcPr>
            <w:tcW w:w="2268" w:type="dxa"/>
            <w:shd w:val="clear" w:color="auto" w:fill="000000" w:themeFill="text1"/>
            <w:vAlign w:val="center"/>
          </w:tcPr>
          <w:p w14:paraId="66458328" w14:textId="77777777" w:rsidR="00306B0F" w:rsidRPr="00647DAE" w:rsidRDefault="00306B0F" w:rsidP="00D452D2">
            <w:pPr>
              <w:jc w:val="center"/>
              <w:rPr>
                <w:rFonts w:cs="Arial"/>
                <w:b/>
                <w:bCs/>
                <w:sz w:val="20"/>
                <w:szCs w:val="20"/>
              </w:rPr>
            </w:pPr>
            <w:r w:rsidRPr="005D2879">
              <w:rPr>
                <w:rFonts w:cs="Arial"/>
                <w:b/>
                <w:bCs/>
                <w:sz w:val="20"/>
                <w:szCs w:val="20"/>
              </w:rPr>
              <w:t>2021 Scoring (2020 CY)</w:t>
            </w:r>
          </w:p>
        </w:tc>
      </w:tr>
      <w:tr w:rsidR="00306B0F" w:rsidRPr="00647DAE" w14:paraId="3B764713" w14:textId="77777777" w:rsidTr="00D452D2">
        <w:trPr>
          <w:trHeight w:val="48"/>
          <w:jc w:val="center"/>
        </w:trPr>
        <w:tc>
          <w:tcPr>
            <w:tcW w:w="1890" w:type="dxa"/>
            <w:shd w:val="clear" w:color="auto" w:fill="auto"/>
            <w:vAlign w:val="center"/>
            <w:hideMark/>
          </w:tcPr>
          <w:p w14:paraId="1DF9FFE0" w14:textId="77777777" w:rsidR="00306B0F" w:rsidRPr="00647DAE" w:rsidRDefault="00306B0F" w:rsidP="00D452D2">
            <w:pPr>
              <w:rPr>
                <w:rFonts w:cs="Arial"/>
                <w:sz w:val="20"/>
                <w:szCs w:val="20"/>
              </w:rPr>
            </w:pPr>
            <w:r w:rsidRPr="00647DAE">
              <w:rPr>
                <w:rFonts w:cs="Arial"/>
                <w:sz w:val="20"/>
                <w:szCs w:val="20"/>
              </w:rPr>
              <w:t>Pilot-scale capture or storage project planned as a result of UK funding</w:t>
            </w:r>
          </w:p>
        </w:tc>
        <w:tc>
          <w:tcPr>
            <w:tcW w:w="2265" w:type="dxa"/>
            <w:shd w:val="clear" w:color="auto" w:fill="auto"/>
            <w:vAlign w:val="center"/>
          </w:tcPr>
          <w:p w14:paraId="1ADA0440" w14:textId="77777777" w:rsidR="00306B0F" w:rsidRPr="00647DAE" w:rsidRDefault="00306B0F" w:rsidP="00D452D2">
            <w:pPr>
              <w:pStyle w:val="ListParagraph"/>
              <w:numPr>
                <w:ilvl w:val="0"/>
                <w:numId w:val="18"/>
              </w:numPr>
              <w:spacing w:after="0"/>
              <w:rPr>
                <w:rFonts w:cs="Arial"/>
                <w:sz w:val="20"/>
              </w:rPr>
            </w:pPr>
            <w:r w:rsidRPr="00647DAE">
              <w:rPr>
                <w:rFonts w:cs="Arial"/>
                <w:sz w:val="20"/>
              </w:rPr>
              <w:t>Political will</w:t>
            </w:r>
          </w:p>
          <w:p w14:paraId="38E1D6DA" w14:textId="77777777" w:rsidR="00306B0F" w:rsidRPr="00647DAE" w:rsidRDefault="00306B0F" w:rsidP="00D452D2">
            <w:pPr>
              <w:pStyle w:val="ListParagraph"/>
              <w:numPr>
                <w:ilvl w:val="0"/>
                <w:numId w:val="18"/>
              </w:numPr>
              <w:spacing w:after="0"/>
              <w:rPr>
                <w:rFonts w:cs="Arial"/>
                <w:sz w:val="20"/>
              </w:rPr>
            </w:pPr>
            <w:r w:rsidRPr="00647DAE">
              <w:rPr>
                <w:rFonts w:cs="Arial"/>
                <w:sz w:val="20"/>
              </w:rPr>
              <w:t>Innovation</w:t>
            </w:r>
          </w:p>
          <w:p w14:paraId="4AFC4D99" w14:textId="77777777" w:rsidR="00306B0F" w:rsidRPr="00647DAE" w:rsidRDefault="00306B0F" w:rsidP="00D452D2">
            <w:pPr>
              <w:pStyle w:val="ListParagraph"/>
              <w:numPr>
                <w:ilvl w:val="0"/>
                <w:numId w:val="18"/>
              </w:numPr>
              <w:spacing w:after="0"/>
              <w:rPr>
                <w:rFonts w:cs="Arial"/>
                <w:sz w:val="20"/>
              </w:rPr>
            </w:pPr>
            <w:r w:rsidRPr="00647DAE">
              <w:rPr>
                <w:rFonts w:cs="Arial"/>
                <w:sz w:val="20"/>
              </w:rPr>
              <w:t>Replication</w:t>
            </w:r>
          </w:p>
        </w:tc>
        <w:tc>
          <w:tcPr>
            <w:tcW w:w="2077" w:type="dxa"/>
          </w:tcPr>
          <w:p w14:paraId="4C39CFB5" w14:textId="77777777" w:rsidR="00306B0F" w:rsidRPr="00647DAE" w:rsidRDefault="00306B0F" w:rsidP="00D452D2">
            <w:pPr>
              <w:pStyle w:val="ListParagraph"/>
              <w:numPr>
                <w:ilvl w:val="0"/>
                <w:numId w:val="19"/>
              </w:numPr>
              <w:spacing w:after="0"/>
              <w:rPr>
                <w:rFonts w:cs="Arial"/>
                <w:b/>
                <w:i/>
                <w:sz w:val="20"/>
              </w:rPr>
            </w:pPr>
            <w:r w:rsidRPr="00647DAE">
              <w:rPr>
                <w:rFonts w:cs="Arial"/>
                <w:b/>
                <w:i/>
                <w:sz w:val="20"/>
              </w:rPr>
              <w:t>Is a pilot-scale capture or storage project planned?</w:t>
            </w:r>
          </w:p>
        </w:tc>
        <w:tc>
          <w:tcPr>
            <w:tcW w:w="2552" w:type="dxa"/>
          </w:tcPr>
          <w:p w14:paraId="60E22686" w14:textId="77777777" w:rsidR="00306B0F" w:rsidRPr="00647DAE" w:rsidRDefault="00306B0F" w:rsidP="00D452D2">
            <w:pPr>
              <w:contextualSpacing/>
              <w:jc w:val="both"/>
              <w:rPr>
                <w:rFonts w:cs="Arial"/>
                <w:b/>
                <w:sz w:val="20"/>
                <w:szCs w:val="20"/>
              </w:rPr>
            </w:pPr>
            <w:r w:rsidRPr="00647DAE">
              <w:rPr>
                <w:rFonts w:cs="Arial"/>
                <w:b/>
                <w:sz w:val="20"/>
                <w:szCs w:val="20"/>
              </w:rPr>
              <w:t>Yes, Exceeded (A+)</w:t>
            </w:r>
            <w:r w:rsidRPr="00647DAE">
              <w:rPr>
                <w:rFonts w:cs="Arial"/>
                <w:sz w:val="20"/>
                <w:szCs w:val="20"/>
              </w:rPr>
              <w:t xml:space="preserve"> – six pilot projects are planned (Mexico (x2), South Africa (x2), Indonesia (x1) and China (x1)).</w:t>
            </w:r>
          </w:p>
        </w:tc>
        <w:tc>
          <w:tcPr>
            <w:tcW w:w="2268" w:type="dxa"/>
          </w:tcPr>
          <w:p w14:paraId="5EECBF5D" w14:textId="77777777" w:rsidR="00306B0F" w:rsidRPr="00647DAE" w:rsidRDefault="00306B0F" w:rsidP="00D452D2">
            <w:pPr>
              <w:contextualSpacing/>
              <w:rPr>
                <w:rFonts w:cs="Arial"/>
                <w:b/>
                <w:sz w:val="20"/>
                <w:szCs w:val="20"/>
              </w:rPr>
            </w:pPr>
            <w:r>
              <w:rPr>
                <w:rFonts w:cs="Arial"/>
                <w:b/>
                <w:sz w:val="20"/>
                <w:szCs w:val="20"/>
              </w:rPr>
              <w:t>Yes, achieved (A)</w:t>
            </w:r>
            <w:r w:rsidRPr="00647DAE">
              <w:rPr>
                <w:rFonts w:cs="Arial"/>
                <w:sz w:val="20"/>
                <w:szCs w:val="20"/>
              </w:rPr>
              <w:t xml:space="preserve"> </w:t>
            </w:r>
            <w:r>
              <w:rPr>
                <w:rFonts w:cs="Arial"/>
                <w:sz w:val="20"/>
                <w:szCs w:val="20"/>
              </w:rPr>
              <w:t xml:space="preserve">– In 2020, Two pilot projects in South Africa have been paused. </w:t>
            </w:r>
            <w:r w:rsidRPr="00B21471">
              <w:rPr>
                <w:rFonts w:cs="Arial"/>
                <w:bCs/>
                <w:sz w:val="20"/>
                <w:szCs w:val="20"/>
              </w:rPr>
              <w:t xml:space="preserve">New pilot projects </w:t>
            </w:r>
            <w:r>
              <w:rPr>
                <w:rFonts w:cs="Arial"/>
                <w:bCs/>
                <w:sz w:val="20"/>
                <w:szCs w:val="20"/>
              </w:rPr>
              <w:t>were</w:t>
            </w:r>
            <w:r w:rsidRPr="00B21471">
              <w:rPr>
                <w:rFonts w:cs="Arial"/>
                <w:bCs/>
                <w:sz w:val="20"/>
                <w:szCs w:val="20"/>
              </w:rPr>
              <w:t xml:space="preserve"> scoped in India and Mexico</w:t>
            </w:r>
            <w:r>
              <w:rPr>
                <w:rFonts w:cs="Arial"/>
                <w:bCs/>
                <w:sz w:val="20"/>
                <w:szCs w:val="20"/>
              </w:rPr>
              <w:t>,</w:t>
            </w:r>
            <w:r w:rsidRPr="00B21471">
              <w:rPr>
                <w:rFonts w:cs="Arial"/>
                <w:bCs/>
                <w:sz w:val="20"/>
                <w:szCs w:val="20"/>
              </w:rPr>
              <w:t xml:space="preserve"> but they </w:t>
            </w:r>
            <w:r>
              <w:rPr>
                <w:rFonts w:cs="Arial"/>
                <w:bCs/>
                <w:sz w:val="20"/>
                <w:szCs w:val="20"/>
              </w:rPr>
              <w:t>were</w:t>
            </w:r>
            <w:r w:rsidRPr="00B21471">
              <w:rPr>
                <w:rFonts w:cs="Arial"/>
                <w:bCs/>
                <w:sz w:val="20"/>
                <w:szCs w:val="20"/>
              </w:rPr>
              <w:t xml:space="preserve"> not agreed between the delivery partner and the supported governments’.</w:t>
            </w:r>
            <w:r>
              <w:rPr>
                <w:rFonts w:cs="Arial"/>
                <w:bCs/>
                <w:sz w:val="20"/>
                <w:szCs w:val="20"/>
              </w:rPr>
              <w:t xml:space="preserve"> Two other pilot projects in Mexico were planned but delayed (Brilliante oil fields and Poza Rica gas plant). One pilot project is planned but delayed in China (Yanchang pilot capture project).</w:t>
            </w:r>
          </w:p>
        </w:tc>
      </w:tr>
      <w:tr w:rsidR="00306B0F" w:rsidRPr="00647DAE" w14:paraId="04C2736E" w14:textId="77777777" w:rsidTr="00D452D2">
        <w:trPr>
          <w:trHeight w:val="48"/>
          <w:jc w:val="center"/>
        </w:trPr>
        <w:tc>
          <w:tcPr>
            <w:tcW w:w="1890" w:type="dxa"/>
            <w:shd w:val="clear" w:color="auto" w:fill="auto"/>
            <w:vAlign w:val="center"/>
            <w:hideMark/>
          </w:tcPr>
          <w:p w14:paraId="43917A25" w14:textId="77777777" w:rsidR="00306B0F" w:rsidRPr="00647DAE" w:rsidRDefault="00306B0F" w:rsidP="00D452D2">
            <w:pPr>
              <w:rPr>
                <w:rFonts w:cs="Arial"/>
                <w:sz w:val="20"/>
                <w:szCs w:val="20"/>
              </w:rPr>
            </w:pPr>
            <w:r w:rsidRPr="00647DAE">
              <w:rPr>
                <w:rFonts w:cs="Arial"/>
                <w:sz w:val="20"/>
                <w:szCs w:val="20"/>
              </w:rPr>
              <w:t xml:space="preserve">Pilot-scale capture or storage project </w:t>
            </w:r>
            <w:r w:rsidRPr="00647DAE">
              <w:rPr>
                <w:rFonts w:cs="Arial"/>
                <w:sz w:val="20"/>
                <w:szCs w:val="20"/>
              </w:rPr>
              <w:lastRenderedPageBreak/>
              <w:t>operational as a result of UK funding</w:t>
            </w:r>
          </w:p>
        </w:tc>
        <w:tc>
          <w:tcPr>
            <w:tcW w:w="2265" w:type="dxa"/>
            <w:shd w:val="clear" w:color="auto" w:fill="auto"/>
            <w:vAlign w:val="center"/>
          </w:tcPr>
          <w:p w14:paraId="3F07B9E7" w14:textId="77777777" w:rsidR="00306B0F" w:rsidRPr="00647DAE" w:rsidRDefault="00306B0F" w:rsidP="00D452D2">
            <w:pPr>
              <w:pStyle w:val="ListParagraph"/>
              <w:numPr>
                <w:ilvl w:val="0"/>
                <w:numId w:val="18"/>
              </w:numPr>
              <w:spacing w:after="0"/>
              <w:rPr>
                <w:rFonts w:cs="Arial"/>
                <w:sz w:val="20"/>
              </w:rPr>
            </w:pPr>
            <w:r w:rsidRPr="00647DAE">
              <w:rPr>
                <w:rFonts w:cs="Arial"/>
                <w:sz w:val="20"/>
              </w:rPr>
              <w:lastRenderedPageBreak/>
              <w:t>Political will</w:t>
            </w:r>
          </w:p>
          <w:p w14:paraId="2673B24E" w14:textId="77777777" w:rsidR="00306B0F" w:rsidRPr="00647DAE" w:rsidRDefault="00306B0F" w:rsidP="00D452D2">
            <w:pPr>
              <w:pStyle w:val="ListParagraph"/>
              <w:numPr>
                <w:ilvl w:val="0"/>
                <w:numId w:val="18"/>
              </w:numPr>
              <w:spacing w:after="0"/>
              <w:rPr>
                <w:rFonts w:cs="Arial"/>
                <w:sz w:val="20"/>
              </w:rPr>
            </w:pPr>
            <w:r w:rsidRPr="00647DAE">
              <w:rPr>
                <w:rFonts w:cs="Arial"/>
                <w:sz w:val="20"/>
              </w:rPr>
              <w:t>Innovation</w:t>
            </w:r>
          </w:p>
          <w:p w14:paraId="3F8C1694" w14:textId="77777777" w:rsidR="00306B0F" w:rsidRPr="00647DAE" w:rsidRDefault="00306B0F" w:rsidP="00D452D2">
            <w:pPr>
              <w:pStyle w:val="ListParagraph"/>
              <w:numPr>
                <w:ilvl w:val="0"/>
                <w:numId w:val="18"/>
              </w:numPr>
              <w:spacing w:after="0"/>
              <w:rPr>
                <w:rFonts w:cs="Arial"/>
                <w:sz w:val="20"/>
              </w:rPr>
            </w:pPr>
            <w:r w:rsidRPr="00647DAE">
              <w:rPr>
                <w:rFonts w:cs="Arial"/>
                <w:sz w:val="20"/>
              </w:rPr>
              <w:lastRenderedPageBreak/>
              <w:t>Replication</w:t>
            </w:r>
          </w:p>
        </w:tc>
        <w:tc>
          <w:tcPr>
            <w:tcW w:w="2077" w:type="dxa"/>
          </w:tcPr>
          <w:p w14:paraId="7C4B071A" w14:textId="77777777" w:rsidR="00306B0F" w:rsidRPr="00647DAE" w:rsidRDefault="00306B0F" w:rsidP="00D452D2">
            <w:pPr>
              <w:pStyle w:val="ListParagraph"/>
              <w:numPr>
                <w:ilvl w:val="0"/>
                <w:numId w:val="20"/>
              </w:numPr>
              <w:spacing w:after="0"/>
              <w:rPr>
                <w:rFonts w:cs="Arial"/>
                <w:b/>
                <w:i/>
                <w:sz w:val="20"/>
              </w:rPr>
            </w:pPr>
            <w:r w:rsidRPr="00647DAE">
              <w:rPr>
                <w:rFonts w:cs="Arial"/>
                <w:b/>
                <w:i/>
                <w:sz w:val="20"/>
              </w:rPr>
              <w:lastRenderedPageBreak/>
              <w:t xml:space="preserve">Is a pilot-scale capture or </w:t>
            </w:r>
            <w:r w:rsidRPr="00647DAE">
              <w:rPr>
                <w:rFonts w:cs="Arial"/>
                <w:b/>
                <w:i/>
                <w:sz w:val="20"/>
              </w:rPr>
              <w:lastRenderedPageBreak/>
              <w:t>storage project operational?</w:t>
            </w:r>
          </w:p>
        </w:tc>
        <w:tc>
          <w:tcPr>
            <w:tcW w:w="2552" w:type="dxa"/>
          </w:tcPr>
          <w:p w14:paraId="655C5A64" w14:textId="77777777" w:rsidR="00306B0F" w:rsidRPr="00647DAE" w:rsidRDefault="00306B0F" w:rsidP="00D452D2">
            <w:pPr>
              <w:rPr>
                <w:rFonts w:cs="Arial"/>
                <w:b/>
                <w:sz w:val="20"/>
                <w:szCs w:val="20"/>
              </w:rPr>
            </w:pPr>
            <w:r w:rsidRPr="00647DAE">
              <w:rPr>
                <w:rFonts w:cs="Arial"/>
                <w:b/>
                <w:sz w:val="20"/>
                <w:szCs w:val="20"/>
              </w:rPr>
              <w:lastRenderedPageBreak/>
              <w:t>No, Not Achieved (B)</w:t>
            </w:r>
            <w:r w:rsidRPr="00647DAE">
              <w:rPr>
                <w:rFonts w:cs="Arial"/>
                <w:sz w:val="20"/>
                <w:szCs w:val="20"/>
              </w:rPr>
              <w:t xml:space="preserve"> – despite a range of pilot </w:t>
            </w:r>
            <w:r w:rsidRPr="00647DAE">
              <w:rPr>
                <w:rFonts w:cs="Arial"/>
                <w:sz w:val="20"/>
                <w:szCs w:val="20"/>
              </w:rPr>
              <w:lastRenderedPageBreak/>
              <w:t>projects planned in the four currently supported countries (Mexico, South Africa, Indonesia and China), movement from the planning phase to the implementation phase has been slow.</w:t>
            </w:r>
          </w:p>
        </w:tc>
        <w:tc>
          <w:tcPr>
            <w:tcW w:w="2268" w:type="dxa"/>
          </w:tcPr>
          <w:p w14:paraId="2304A88A" w14:textId="77777777" w:rsidR="00306B0F" w:rsidRPr="00647DAE" w:rsidRDefault="00306B0F" w:rsidP="00D452D2">
            <w:pPr>
              <w:rPr>
                <w:rFonts w:cs="Arial"/>
                <w:sz w:val="20"/>
                <w:szCs w:val="20"/>
              </w:rPr>
            </w:pPr>
            <w:r w:rsidRPr="00635D0B">
              <w:rPr>
                <w:rFonts w:cs="Arial"/>
                <w:b/>
                <w:bCs/>
                <w:sz w:val="20"/>
                <w:szCs w:val="20"/>
              </w:rPr>
              <w:lastRenderedPageBreak/>
              <w:t xml:space="preserve">No, Not Achieved (B) </w:t>
            </w:r>
            <w:r>
              <w:rPr>
                <w:rFonts w:cs="Arial"/>
                <w:b/>
                <w:bCs/>
                <w:sz w:val="20"/>
                <w:szCs w:val="20"/>
              </w:rPr>
              <w:t>–</w:t>
            </w:r>
            <w:r>
              <w:rPr>
                <w:rFonts w:cs="Arial"/>
                <w:sz w:val="20"/>
                <w:szCs w:val="20"/>
              </w:rPr>
              <w:t xml:space="preserve"> </w:t>
            </w:r>
            <w:r w:rsidRPr="00647DAE">
              <w:rPr>
                <w:rFonts w:cs="Arial"/>
                <w:sz w:val="20"/>
                <w:szCs w:val="20"/>
              </w:rPr>
              <w:t xml:space="preserve">despite a range of </w:t>
            </w:r>
            <w:r w:rsidRPr="00647DAE">
              <w:rPr>
                <w:rFonts w:cs="Arial"/>
                <w:sz w:val="20"/>
                <w:szCs w:val="20"/>
              </w:rPr>
              <w:lastRenderedPageBreak/>
              <w:t xml:space="preserve">pilot projects planned in </w:t>
            </w:r>
            <w:r>
              <w:rPr>
                <w:rFonts w:cs="Arial"/>
                <w:sz w:val="20"/>
                <w:szCs w:val="20"/>
              </w:rPr>
              <w:t xml:space="preserve">three </w:t>
            </w:r>
            <w:r w:rsidRPr="00647DAE">
              <w:rPr>
                <w:rFonts w:cs="Arial"/>
                <w:sz w:val="20"/>
                <w:szCs w:val="20"/>
              </w:rPr>
              <w:t>supported countries (Mexico, South Africa and China), movement from the planning phase to the implementation phase has been slow.</w:t>
            </w:r>
            <w:r>
              <w:rPr>
                <w:rFonts w:cs="Arial"/>
                <w:sz w:val="20"/>
                <w:szCs w:val="20"/>
              </w:rPr>
              <w:t xml:space="preserve"> </w:t>
            </w:r>
          </w:p>
        </w:tc>
      </w:tr>
      <w:tr w:rsidR="00306B0F" w:rsidRPr="00647DAE" w14:paraId="42486CB7" w14:textId="77777777" w:rsidTr="00D452D2">
        <w:trPr>
          <w:trHeight w:val="48"/>
          <w:jc w:val="center"/>
        </w:trPr>
        <w:tc>
          <w:tcPr>
            <w:tcW w:w="1890" w:type="dxa"/>
            <w:shd w:val="clear" w:color="auto" w:fill="auto"/>
            <w:vAlign w:val="center"/>
            <w:hideMark/>
          </w:tcPr>
          <w:p w14:paraId="32D2E667" w14:textId="77777777" w:rsidR="00306B0F" w:rsidRPr="00647DAE" w:rsidRDefault="00306B0F" w:rsidP="00D452D2">
            <w:pPr>
              <w:rPr>
                <w:rFonts w:cs="Arial"/>
                <w:sz w:val="20"/>
                <w:szCs w:val="20"/>
              </w:rPr>
            </w:pPr>
            <w:r w:rsidRPr="00647DAE">
              <w:rPr>
                <w:rFonts w:cs="Arial"/>
                <w:sz w:val="20"/>
                <w:szCs w:val="20"/>
              </w:rPr>
              <w:lastRenderedPageBreak/>
              <w:t>CCUS regulatory or legislative framework developed</w:t>
            </w:r>
          </w:p>
        </w:tc>
        <w:tc>
          <w:tcPr>
            <w:tcW w:w="2265" w:type="dxa"/>
            <w:shd w:val="clear" w:color="auto" w:fill="auto"/>
            <w:vAlign w:val="center"/>
          </w:tcPr>
          <w:p w14:paraId="5FDDD409" w14:textId="77777777" w:rsidR="00306B0F" w:rsidRPr="00647DAE" w:rsidRDefault="00306B0F" w:rsidP="00D452D2">
            <w:pPr>
              <w:pStyle w:val="ListParagraph"/>
              <w:numPr>
                <w:ilvl w:val="0"/>
                <w:numId w:val="17"/>
              </w:numPr>
              <w:spacing w:after="0"/>
              <w:rPr>
                <w:rFonts w:cs="Arial"/>
                <w:sz w:val="20"/>
              </w:rPr>
            </w:pPr>
            <w:r w:rsidRPr="00647DAE">
              <w:rPr>
                <w:rFonts w:cs="Arial"/>
                <w:sz w:val="20"/>
              </w:rPr>
              <w:t>Political will</w:t>
            </w:r>
          </w:p>
        </w:tc>
        <w:tc>
          <w:tcPr>
            <w:tcW w:w="2077" w:type="dxa"/>
          </w:tcPr>
          <w:p w14:paraId="5C1C3635" w14:textId="77777777" w:rsidR="00306B0F" w:rsidRPr="00647DAE" w:rsidRDefault="00306B0F" w:rsidP="00D452D2">
            <w:pPr>
              <w:pStyle w:val="ListParagraph"/>
              <w:numPr>
                <w:ilvl w:val="0"/>
                <w:numId w:val="26"/>
              </w:numPr>
              <w:spacing w:after="0"/>
              <w:rPr>
                <w:rFonts w:cs="Arial"/>
                <w:b/>
                <w:i/>
                <w:sz w:val="20"/>
              </w:rPr>
            </w:pPr>
            <w:r w:rsidRPr="00647DAE">
              <w:rPr>
                <w:rFonts w:cs="Arial"/>
                <w:b/>
                <w:i/>
                <w:sz w:val="20"/>
              </w:rPr>
              <w:t>Has a regulatory or legislative framework for CCUS been developed?</w:t>
            </w:r>
          </w:p>
        </w:tc>
        <w:tc>
          <w:tcPr>
            <w:tcW w:w="2552" w:type="dxa"/>
          </w:tcPr>
          <w:p w14:paraId="41588065" w14:textId="77777777" w:rsidR="00306B0F" w:rsidRPr="00647DAE" w:rsidRDefault="00306B0F" w:rsidP="00D452D2">
            <w:pPr>
              <w:rPr>
                <w:rFonts w:cs="Arial"/>
                <w:b/>
                <w:sz w:val="20"/>
                <w:szCs w:val="20"/>
              </w:rPr>
            </w:pPr>
            <w:r w:rsidRPr="00647DAE">
              <w:rPr>
                <w:rFonts w:cs="Arial"/>
                <w:b/>
                <w:sz w:val="20"/>
                <w:szCs w:val="20"/>
              </w:rPr>
              <w:t>No, Partially Achieved (B)</w:t>
            </w:r>
            <w:r w:rsidRPr="00647DAE">
              <w:rPr>
                <w:rFonts w:cs="Arial"/>
                <w:sz w:val="20"/>
                <w:szCs w:val="20"/>
              </w:rPr>
              <w:t xml:space="preserve"> – regulatory frameworks are currently being considered or developed in Mexico (a NOM), South Africa (a regulatory and legal study) and Indonesia (a draft framework has been produced).</w:t>
            </w:r>
          </w:p>
        </w:tc>
        <w:tc>
          <w:tcPr>
            <w:tcW w:w="2268" w:type="dxa"/>
          </w:tcPr>
          <w:p w14:paraId="7B42872B" w14:textId="77777777" w:rsidR="00306B0F" w:rsidRPr="00647DAE" w:rsidRDefault="00306B0F" w:rsidP="00D452D2">
            <w:pPr>
              <w:rPr>
                <w:rFonts w:cs="Arial"/>
                <w:sz w:val="20"/>
                <w:szCs w:val="20"/>
              </w:rPr>
            </w:pPr>
            <w:r w:rsidRPr="00647DAE">
              <w:rPr>
                <w:rFonts w:cs="Arial"/>
                <w:b/>
                <w:sz w:val="20"/>
                <w:szCs w:val="20"/>
              </w:rPr>
              <w:t>No,</w:t>
            </w:r>
            <w:r>
              <w:rPr>
                <w:rFonts w:cs="Arial"/>
                <w:b/>
                <w:sz w:val="20"/>
                <w:szCs w:val="20"/>
              </w:rPr>
              <w:t xml:space="preserve"> </w:t>
            </w:r>
            <w:r w:rsidRPr="00647DAE">
              <w:rPr>
                <w:rFonts w:cs="Arial"/>
                <w:b/>
                <w:sz w:val="20"/>
                <w:szCs w:val="20"/>
              </w:rPr>
              <w:t>Partially Achieved (B)</w:t>
            </w:r>
            <w:r w:rsidRPr="00647DAE">
              <w:rPr>
                <w:rFonts w:cs="Arial"/>
                <w:sz w:val="20"/>
                <w:szCs w:val="20"/>
              </w:rPr>
              <w:t xml:space="preserve"> – regulatory frameworks are currently being considered or developed in Mexico (a NOM), South Africa (a regulatory and legal study) and Indonesia (a draft framework has been produced).</w:t>
            </w:r>
            <w:r>
              <w:rPr>
                <w:rFonts w:cs="Arial"/>
                <w:sz w:val="20"/>
                <w:szCs w:val="20"/>
              </w:rPr>
              <w:t xml:space="preserve"> There was no progress on this in 2020.</w:t>
            </w:r>
          </w:p>
        </w:tc>
      </w:tr>
      <w:tr w:rsidR="00306B0F" w:rsidRPr="00647DAE" w14:paraId="301CE80D" w14:textId="77777777" w:rsidTr="00D452D2">
        <w:trPr>
          <w:trHeight w:val="48"/>
          <w:jc w:val="center"/>
        </w:trPr>
        <w:tc>
          <w:tcPr>
            <w:tcW w:w="1890" w:type="dxa"/>
            <w:shd w:val="clear" w:color="auto" w:fill="auto"/>
            <w:vAlign w:val="center"/>
            <w:hideMark/>
          </w:tcPr>
          <w:p w14:paraId="6F7F7820" w14:textId="77777777" w:rsidR="00306B0F" w:rsidRPr="00647DAE" w:rsidRDefault="00306B0F" w:rsidP="00D452D2">
            <w:pPr>
              <w:rPr>
                <w:rFonts w:cs="Arial"/>
                <w:sz w:val="20"/>
                <w:szCs w:val="20"/>
              </w:rPr>
            </w:pPr>
            <w:r w:rsidRPr="00647DAE">
              <w:rPr>
                <w:rFonts w:cs="Arial"/>
                <w:sz w:val="20"/>
                <w:szCs w:val="20"/>
              </w:rPr>
              <w:t>CCUS supporting policies or incentives implemented</w:t>
            </w:r>
          </w:p>
        </w:tc>
        <w:tc>
          <w:tcPr>
            <w:tcW w:w="2265" w:type="dxa"/>
            <w:shd w:val="clear" w:color="auto" w:fill="auto"/>
            <w:vAlign w:val="center"/>
          </w:tcPr>
          <w:p w14:paraId="0830670E" w14:textId="77777777" w:rsidR="00306B0F" w:rsidRPr="00647DAE" w:rsidRDefault="00306B0F" w:rsidP="00D452D2">
            <w:pPr>
              <w:pStyle w:val="ListParagraph"/>
              <w:numPr>
                <w:ilvl w:val="0"/>
                <w:numId w:val="17"/>
              </w:numPr>
              <w:spacing w:after="0"/>
              <w:rPr>
                <w:rFonts w:cs="Arial"/>
                <w:sz w:val="20"/>
              </w:rPr>
            </w:pPr>
            <w:r w:rsidRPr="00647DAE">
              <w:rPr>
                <w:rFonts w:cs="Arial"/>
                <w:sz w:val="20"/>
              </w:rPr>
              <w:t>Political will</w:t>
            </w:r>
          </w:p>
        </w:tc>
        <w:tc>
          <w:tcPr>
            <w:tcW w:w="2077" w:type="dxa"/>
          </w:tcPr>
          <w:p w14:paraId="43EE2847" w14:textId="77777777" w:rsidR="00306B0F" w:rsidRPr="00647DAE" w:rsidRDefault="00306B0F" w:rsidP="00D452D2">
            <w:pPr>
              <w:pStyle w:val="ListParagraph"/>
              <w:numPr>
                <w:ilvl w:val="0"/>
                <w:numId w:val="27"/>
              </w:numPr>
              <w:spacing w:after="0"/>
              <w:rPr>
                <w:rFonts w:cs="Arial"/>
                <w:b/>
                <w:i/>
                <w:sz w:val="20"/>
              </w:rPr>
            </w:pPr>
            <w:r w:rsidRPr="00647DAE">
              <w:rPr>
                <w:rFonts w:cs="Arial"/>
                <w:b/>
                <w:i/>
                <w:sz w:val="20"/>
              </w:rPr>
              <w:t>Have supporting policies or incentives for CCUS been implemented?</w:t>
            </w:r>
          </w:p>
        </w:tc>
        <w:tc>
          <w:tcPr>
            <w:tcW w:w="2552" w:type="dxa"/>
          </w:tcPr>
          <w:p w14:paraId="228BFB5E" w14:textId="77777777" w:rsidR="00306B0F" w:rsidRPr="00647DAE" w:rsidRDefault="00306B0F" w:rsidP="00D452D2">
            <w:pPr>
              <w:rPr>
                <w:rFonts w:cs="Arial"/>
                <w:b/>
                <w:sz w:val="20"/>
                <w:szCs w:val="20"/>
              </w:rPr>
            </w:pPr>
            <w:r w:rsidRPr="00647DAE">
              <w:rPr>
                <w:rFonts w:cs="Arial"/>
                <w:b/>
                <w:sz w:val="20"/>
                <w:szCs w:val="20"/>
              </w:rPr>
              <w:t>No, Partially Achieved (B)</w:t>
            </w:r>
            <w:r w:rsidRPr="00647DAE">
              <w:rPr>
                <w:rFonts w:cs="Arial"/>
                <w:sz w:val="20"/>
                <w:szCs w:val="20"/>
              </w:rPr>
              <w:t xml:space="preserve"> – CCUS roadmaps have been produced in China, South Africa and Mexico, and CCUS government financing arrangements for pilot projects and CCUS Centres of Excellence have been agreed in China and South Africa (a CCUS Centre of Excellence has also been established in Indonesia). However, delays continue in the signing of the agreements for the pilot projects in Mexico and the implementation of policies or incentives to stimulate the development of a CCUS industry in each of the supported countries is still lacking</w:t>
            </w:r>
            <w:r>
              <w:rPr>
                <w:rFonts w:cs="Arial"/>
                <w:sz w:val="20"/>
                <w:szCs w:val="20"/>
              </w:rPr>
              <w:t>.</w:t>
            </w:r>
          </w:p>
        </w:tc>
        <w:tc>
          <w:tcPr>
            <w:tcW w:w="2268" w:type="dxa"/>
          </w:tcPr>
          <w:p w14:paraId="6F371B3D" w14:textId="77777777" w:rsidR="00306B0F" w:rsidRPr="00647DAE" w:rsidRDefault="00306B0F" w:rsidP="00D452D2">
            <w:pPr>
              <w:rPr>
                <w:rFonts w:cs="Arial"/>
                <w:sz w:val="20"/>
                <w:szCs w:val="20"/>
              </w:rPr>
            </w:pPr>
            <w:r w:rsidRPr="00647DAE">
              <w:rPr>
                <w:rFonts w:cs="Arial"/>
                <w:b/>
                <w:sz w:val="20"/>
                <w:szCs w:val="20"/>
              </w:rPr>
              <w:t>No, Partially Achieved (B)</w:t>
            </w:r>
            <w:r w:rsidRPr="00647DAE">
              <w:rPr>
                <w:rFonts w:cs="Arial"/>
                <w:sz w:val="20"/>
                <w:szCs w:val="20"/>
              </w:rPr>
              <w:t xml:space="preserve"> –</w:t>
            </w:r>
            <w:r>
              <w:rPr>
                <w:rFonts w:cs="Arial"/>
                <w:sz w:val="20"/>
                <w:szCs w:val="20"/>
              </w:rPr>
              <w:t xml:space="preserve"> no change since 2019.</w:t>
            </w:r>
            <w:r w:rsidRPr="00647DAE">
              <w:rPr>
                <w:rFonts w:cs="Arial"/>
                <w:sz w:val="20"/>
                <w:szCs w:val="20"/>
              </w:rPr>
              <w:t xml:space="preserve"> </w:t>
            </w:r>
            <w:r>
              <w:rPr>
                <w:rFonts w:cs="Arial"/>
                <w:sz w:val="20"/>
                <w:szCs w:val="20"/>
              </w:rPr>
              <w:t xml:space="preserve">Governments have not made decisions on the draft standards and regulations developed by the Trust Funds. </w:t>
            </w:r>
          </w:p>
        </w:tc>
      </w:tr>
      <w:tr w:rsidR="00306B0F" w:rsidRPr="00647DAE" w14:paraId="56760514" w14:textId="77777777" w:rsidTr="00D452D2">
        <w:trPr>
          <w:trHeight w:val="48"/>
          <w:jc w:val="center"/>
        </w:trPr>
        <w:tc>
          <w:tcPr>
            <w:tcW w:w="1890" w:type="dxa"/>
            <w:shd w:val="clear" w:color="auto" w:fill="auto"/>
            <w:vAlign w:val="center"/>
            <w:hideMark/>
          </w:tcPr>
          <w:p w14:paraId="5FFEFBFC" w14:textId="77777777" w:rsidR="00306B0F" w:rsidRPr="00647DAE" w:rsidRDefault="00306B0F" w:rsidP="00D452D2">
            <w:pPr>
              <w:rPr>
                <w:rFonts w:cs="Arial"/>
                <w:sz w:val="20"/>
                <w:szCs w:val="20"/>
              </w:rPr>
            </w:pPr>
            <w:r w:rsidRPr="00647DAE">
              <w:rPr>
                <w:rFonts w:cs="Arial"/>
                <w:sz w:val="20"/>
                <w:szCs w:val="20"/>
              </w:rPr>
              <w:t>Private sector support (financial or non-financial) for CCUS</w:t>
            </w:r>
          </w:p>
        </w:tc>
        <w:tc>
          <w:tcPr>
            <w:tcW w:w="2265" w:type="dxa"/>
            <w:shd w:val="clear" w:color="auto" w:fill="auto"/>
            <w:vAlign w:val="center"/>
          </w:tcPr>
          <w:p w14:paraId="5415D467" w14:textId="77777777" w:rsidR="00306B0F" w:rsidRPr="00647DAE" w:rsidRDefault="00306B0F" w:rsidP="00D452D2">
            <w:pPr>
              <w:pStyle w:val="ListParagraph"/>
              <w:numPr>
                <w:ilvl w:val="0"/>
                <w:numId w:val="17"/>
              </w:numPr>
              <w:spacing w:after="0"/>
              <w:rPr>
                <w:rFonts w:cs="Arial"/>
                <w:sz w:val="20"/>
              </w:rPr>
            </w:pPr>
            <w:r w:rsidRPr="00647DAE">
              <w:rPr>
                <w:rFonts w:cs="Arial"/>
                <w:sz w:val="20"/>
              </w:rPr>
              <w:t>Political will</w:t>
            </w:r>
          </w:p>
        </w:tc>
        <w:tc>
          <w:tcPr>
            <w:tcW w:w="2077" w:type="dxa"/>
          </w:tcPr>
          <w:p w14:paraId="648255CC" w14:textId="77777777" w:rsidR="00306B0F" w:rsidRPr="00647DAE" w:rsidRDefault="00306B0F" w:rsidP="00D452D2">
            <w:pPr>
              <w:pStyle w:val="ListParagraph"/>
              <w:numPr>
                <w:ilvl w:val="0"/>
                <w:numId w:val="28"/>
              </w:numPr>
              <w:spacing w:after="0"/>
              <w:rPr>
                <w:rFonts w:cs="Arial"/>
                <w:b/>
                <w:i/>
                <w:sz w:val="20"/>
              </w:rPr>
            </w:pPr>
            <w:r w:rsidRPr="00647DAE">
              <w:rPr>
                <w:rFonts w:cs="Arial"/>
                <w:b/>
                <w:i/>
                <w:sz w:val="20"/>
              </w:rPr>
              <w:t>Has the private sector provided either financial or non-financial support for CCUS?</w:t>
            </w:r>
          </w:p>
        </w:tc>
        <w:tc>
          <w:tcPr>
            <w:tcW w:w="2552" w:type="dxa"/>
          </w:tcPr>
          <w:p w14:paraId="77225FE7" w14:textId="77777777" w:rsidR="00306B0F" w:rsidRPr="00647DAE" w:rsidRDefault="00306B0F" w:rsidP="00D452D2">
            <w:pPr>
              <w:rPr>
                <w:rFonts w:cs="Arial"/>
                <w:b/>
                <w:sz w:val="20"/>
                <w:szCs w:val="20"/>
              </w:rPr>
            </w:pPr>
            <w:r w:rsidRPr="00647DAE">
              <w:rPr>
                <w:rFonts w:cs="Arial"/>
                <w:b/>
                <w:sz w:val="20"/>
                <w:szCs w:val="20"/>
              </w:rPr>
              <w:t>Yes, Achieved (A)</w:t>
            </w:r>
            <w:r w:rsidRPr="00647DAE">
              <w:rPr>
                <w:rFonts w:cs="Arial"/>
                <w:sz w:val="20"/>
                <w:szCs w:val="20"/>
              </w:rPr>
              <w:t xml:space="preserve"> – the private sector has been involved in the development of the pilot projects in each of the supported countries</w:t>
            </w:r>
            <w:r>
              <w:rPr>
                <w:rFonts w:cs="Arial"/>
                <w:sz w:val="20"/>
                <w:szCs w:val="20"/>
              </w:rPr>
              <w:t xml:space="preserve"> </w:t>
            </w:r>
            <w:r w:rsidRPr="00647DAE">
              <w:rPr>
                <w:rFonts w:cs="Arial"/>
                <w:sz w:val="20"/>
                <w:szCs w:val="20"/>
              </w:rPr>
              <w:t>(Mexico, Indonesia, South Africa and China) if state-owned oil and gas companies are included in the definition of ‘private sector’.</w:t>
            </w:r>
          </w:p>
        </w:tc>
        <w:tc>
          <w:tcPr>
            <w:tcW w:w="2268" w:type="dxa"/>
          </w:tcPr>
          <w:p w14:paraId="7CC6173A" w14:textId="77777777" w:rsidR="00306B0F" w:rsidRPr="00647DAE" w:rsidRDefault="00306B0F" w:rsidP="00D452D2">
            <w:pPr>
              <w:rPr>
                <w:rFonts w:cs="Arial"/>
                <w:sz w:val="20"/>
                <w:szCs w:val="20"/>
              </w:rPr>
            </w:pPr>
            <w:r w:rsidRPr="00647DAE">
              <w:rPr>
                <w:rFonts w:cs="Arial"/>
                <w:b/>
                <w:sz w:val="20"/>
                <w:szCs w:val="20"/>
              </w:rPr>
              <w:t>Yes, Achieved (A)</w:t>
            </w:r>
            <w:r w:rsidRPr="00647DAE">
              <w:rPr>
                <w:rFonts w:cs="Arial"/>
                <w:sz w:val="20"/>
                <w:szCs w:val="20"/>
              </w:rPr>
              <w:t xml:space="preserve"> – the private sector has been involved in the development of the pilot projects in each of the supported countries</w:t>
            </w:r>
            <w:r>
              <w:rPr>
                <w:rFonts w:cs="Arial"/>
                <w:sz w:val="20"/>
                <w:szCs w:val="20"/>
              </w:rPr>
              <w:t xml:space="preserve"> </w:t>
            </w:r>
            <w:r w:rsidRPr="00647DAE">
              <w:rPr>
                <w:rFonts w:cs="Arial"/>
                <w:sz w:val="20"/>
                <w:szCs w:val="20"/>
              </w:rPr>
              <w:t xml:space="preserve">(Mexico, South Africa and China) </w:t>
            </w:r>
          </w:p>
        </w:tc>
      </w:tr>
      <w:tr w:rsidR="00306B0F" w:rsidRPr="00647DAE" w14:paraId="49CD8ADA" w14:textId="77777777" w:rsidTr="00D452D2">
        <w:trPr>
          <w:trHeight w:val="628"/>
          <w:jc w:val="center"/>
        </w:trPr>
        <w:tc>
          <w:tcPr>
            <w:tcW w:w="1890" w:type="dxa"/>
            <w:shd w:val="clear" w:color="auto" w:fill="auto"/>
            <w:vAlign w:val="center"/>
            <w:hideMark/>
          </w:tcPr>
          <w:p w14:paraId="08ADB798" w14:textId="77777777" w:rsidR="00306B0F" w:rsidRPr="00647DAE" w:rsidRDefault="00306B0F" w:rsidP="00D452D2">
            <w:pPr>
              <w:rPr>
                <w:rFonts w:cs="Arial"/>
                <w:sz w:val="20"/>
                <w:szCs w:val="20"/>
              </w:rPr>
            </w:pPr>
            <w:r w:rsidRPr="00647DAE">
              <w:rPr>
                <w:rFonts w:cs="Arial"/>
                <w:sz w:val="20"/>
                <w:szCs w:val="20"/>
              </w:rPr>
              <w:t xml:space="preserve">CCUS included in NDCs to meet climate targets and CCUS deployment </w:t>
            </w:r>
            <w:r w:rsidRPr="00647DAE">
              <w:rPr>
                <w:rFonts w:cs="Arial"/>
                <w:sz w:val="20"/>
                <w:szCs w:val="20"/>
              </w:rPr>
              <w:lastRenderedPageBreak/>
              <w:t>pathways established</w:t>
            </w:r>
          </w:p>
        </w:tc>
        <w:tc>
          <w:tcPr>
            <w:tcW w:w="2265" w:type="dxa"/>
            <w:shd w:val="clear" w:color="auto" w:fill="auto"/>
            <w:vAlign w:val="center"/>
          </w:tcPr>
          <w:p w14:paraId="0B690835" w14:textId="77777777" w:rsidR="00306B0F" w:rsidRPr="00647DAE" w:rsidRDefault="00306B0F" w:rsidP="00D452D2">
            <w:pPr>
              <w:pStyle w:val="ListParagraph"/>
              <w:numPr>
                <w:ilvl w:val="0"/>
                <w:numId w:val="17"/>
              </w:numPr>
              <w:spacing w:after="0"/>
              <w:rPr>
                <w:rFonts w:cs="Arial"/>
                <w:sz w:val="20"/>
              </w:rPr>
            </w:pPr>
            <w:r w:rsidRPr="00647DAE">
              <w:rPr>
                <w:rFonts w:cs="Arial"/>
                <w:sz w:val="20"/>
              </w:rPr>
              <w:lastRenderedPageBreak/>
              <w:t>Political will</w:t>
            </w:r>
          </w:p>
        </w:tc>
        <w:tc>
          <w:tcPr>
            <w:tcW w:w="2077" w:type="dxa"/>
          </w:tcPr>
          <w:p w14:paraId="576C7F64" w14:textId="77777777" w:rsidR="00306B0F" w:rsidRPr="00647DAE" w:rsidRDefault="00306B0F" w:rsidP="00D452D2">
            <w:pPr>
              <w:pStyle w:val="ListParagraph"/>
              <w:numPr>
                <w:ilvl w:val="0"/>
                <w:numId w:val="21"/>
              </w:numPr>
              <w:spacing w:after="0"/>
              <w:rPr>
                <w:rFonts w:cs="Arial"/>
                <w:b/>
                <w:i/>
                <w:sz w:val="20"/>
              </w:rPr>
            </w:pPr>
            <w:r w:rsidRPr="00647DAE">
              <w:rPr>
                <w:rFonts w:cs="Arial"/>
                <w:b/>
                <w:i/>
                <w:sz w:val="20"/>
              </w:rPr>
              <w:t>Has CCUS been included in NDCs to meet climate targets?</w:t>
            </w:r>
          </w:p>
          <w:p w14:paraId="78600A9F" w14:textId="77777777" w:rsidR="00306B0F" w:rsidRPr="00647DAE" w:rsidRDefault="00306B0F" w:rsidP="00D452D2">
            <w:pPr>
              <w:rPr>
                <w:rFonts w:cs="Arial"/>
                <w:b/>
                <w:i/>
                <w:sz w:val="20"/>
                <w:szCs w:val="20"/>
              </w:rPr>
            </w:pPr>
          </w:p>
          <w:p w14:paraId="17847A2A" w14:textId="77777777" w:rsidR="00306B0F" w:rsidRPr="00647DAE" w:rsidRDefault="00306B0F" w:rsidP="00D452D2">
            <w:pPr>
              <w:rPr>
                <w:rFonts w:cs="Arial"/>
                <w:b/>
                <w:i/>
                <w:sz w:val="20"/>
                <w:szCs w:val="20"/>
              </w:rPr>
            </w:pPr>
          </w:p>
          <w:p w14:paraId="504F4F3C" w14:textId="77777777" w:rsidR="00306B0F" w:rsidRPr="00647DAE" w:rsidRDefault="00306B0F" w:rsidP="00D452D2">
            <w:pPr>
              <w:rPr>
                <w:rFonts w:cs="Arial"/>
                <w:b/>
                <w:i/>
                <w:sz w:val="20"/>
                <w:szCs w:val="20"/>
              </w:rPr>
            </w:pPr>
          </w:p>
          <w:p w14:paraId="0D9F908F" w14:textId="77777777" w:rsidR="00306B0F" w:rsidRPr="00647DAE" w:rsidRDefault="00306B0F" w:rsidP="00D452D2">
            <w:pPr>
              <w:rPr>
                <w:rFonts w:cs="Arial"/>
                <w:b/>
                <w:i/>
                <w:sz w:val="20"/>
                <w:szCs w:val="20"/>
              </w:rPr>
            </w:pPr>
          </w:p>
          <w:p w14:paraId="3D7976AC" w14:textId="77777777" w:rsidR="00306B0F" w:rsidRPr="00647DAE" w:rsidRDefault="00306B0F" w:rsidP="00D452D2">
            <w:pPr>
              <w:rPr>
                <w:rFonts w:cs="Arial"/>
                <w:b/>
                <w:i/>
                <w:sz w:val="20"/>
                <w:szCs w:val="20"/>
              </w:rPr>
            </w:pPr>
          </w:p>
          <w:p w14:paraId="77CA6B37" w14:textId="77777777" w:rsidR="00306B0F" w:rsidRDefault="00306B0F" w:rsidP="00D452D2">
            <w:pPr>
              <w:rPr>
                <w:rFonts w:cs="Arial"/>
                <w:b/>
                <w:i/>
                <w:sz w:val="20"/>
                <w:szCs w:val="20"/>
              </w:rPr>
            </w:pPr>
          </w:p>
          <w:p w14:paraId="2B8008CE" w14:textId="77777777" w:rsidR="00306B0F" w:rsidRDefault="00306B0F" w:rsidP="00D452D2">
            <w:pPr>
              <w:rPr>
                <w:rFonts w:cs="Arial"/>
                <w:b/>
                <w:i/>
                <w:sz w:val="20"/>
                <w:szCs w:val="20"/>
              </w:rPr>
            </w:pPr>
          </w:p>
          <w:p w14:paraId="69DE88FF" w14:textId="77777777" w:rsidR="00306B0F" w:rsidRPr="00647DAE" w:rsidRDefault="00306B0F" w:rsidP="00D452D2">
            <w:pPr>
              <w:rPr>
                <w:rFonts w:cs="Arial"/>
                <w:b/>
                <w:i/>
                <w:sz w:val="20"/>
                <w:szCs w:val="20"/>
              </w:rPr>
            </w:pPr>
          </w:p>
          <w:p w14:paraId="193A8764" w14:textId="77777777" w:rsidR="00306B0F" w:rsidRPr="00647DAE" w:rsidRDefault="00306B0F" w:rsidP="00D452D2">
            <w:pPr>
              <w:pStyle w:val="ListParagraph"/>
              <w:numPr>
                <w:ilvl w:val="0"/>
                <w:numId w:val="21"/>
              </w:numPr>
              <w:spacing w:after="0"/>
              <w:rPr>
                <w:rFonts w:cs="Arial"/>
                <w:b/>
                <w:i/>
                <w:sz w:val="20"/>
              </w:rPr>
            </w:pPr>
            <w:r w:rsidRPr="00647DAE">
              <w:rPr>
                <w:rFonts w:cs="Arial"/>
                <w:b/>
                <w:i/>
                <w:sz w:val="20"/>
              </w:rPr>
              <w:t>Have CCUS deployment pathways been established?</w:t>
            </w:r>
          </w:p>
        </w:tc>
        <w:tc>
          <w:tcPr>
            <w:tcW w:w="2552" w:type="dxa"/>
          </w:tcPr>
          <w:p w14:paraId="7568B841" w14:textId="77777777" w:rsidR="00306B0F" w:rsidRPr="00647DAE" w:rsidRDefault="00306B0F" w:rsidP="00D452D2">
            <w:pPr>
              <w:rPr>
                <w:rFonts w:cs="Arial"/>
                <w:sz w:val="20"/>
                <w:szCs w:val="20"/>
              </w:rPr>
            </w:pPr>
            <w:r w:rsidRPr="00647DAE">
              <w:rPr>
                <w:rFonts w:cs="Arial"/>
                <w:b/>
                <w:sz w:val="20"/>
                <w:szCs w:val="20"/>
              </w:rPr>
              <w:lastRenderedPageBreak/>
              <w:t>No, Partially Achieved (B)</w:t>
            </w:r>
            <w:r w:rsidRPr="00647DAE">
              <w:rPr>
                <w:rFonts w:cs="Arial"/>
                <w:sz w:val="20"/>
                <w:szCs w:val="20"/>
              </w:rPr>
              <w:t xml:space="preserve"> – CCUS has been successfully included in the NDCs of China, Mexico and South Africa – future efforts will focus on </w:t>
            </w:r>
            <w:r w:rsidRPr="00647DAE">
              <w:rPr>
                <w:rFonts w:cs="Arial"/>
                <w:sz w:val="20"/>
                <w:szCs w:val="20"/>
              </w:rPr>
              <w:lastRenderedPageBreak/>
              <w:t>including CCUS in the NDCs of other supported countries, particularly Indonesia and India.</w:t>
            </w:r>
          </w:p>
          <w:p w14:paraId="4D7186E8" w14:textId="77777777" w:rsidR="00306B0F" w:rsidRPr="00647DAE" w:rsidRDefault="00306B0F" w:rsidP="00D452D2">
            <w:pPr>
              <w:rPr>
                <w:rFonts w:cs="Arial"/>
                <w:sz w:val="20"/>
                <w:szCs w:val="20"/>
                <w:lang w:eastAsia="en-GB"/>
              </w:rPr>
            </w:pPr>
          </w:p>
          <w:p w14:paraId="17513E56" w14:textId="77777777" w:rsidR="00306B0F" w:rsidRDefault="00306B0F" w:rsidP="00D452D2">
            <w:pPr>
              <w:rPr>
                <w:rFonts w:cs="Arial"/>
                <w:b/>
                <w:sz w:val="20"/>
                <w:szCs w:val="20"/>
                <w:lang w:eastAsia="en-GB"/>
              </w:rPr>
            </w:pPr>
          </w:p>
          <w:p w14:paraId="22D12ABB" w14:textId="77777777" w:rsidR="00306B0F" w:rsidRDefault="00306B0F" w:rsidP="00D452D2">
            <w:pPr>
              <w:rPr>
                <w:rFonts w:cs="Arial"/>
                <w:b/>
                <w:sz w:val="20"/>
                <w:szCs w:val="20"/>
                <w:lang w:eastAsia="en-GB"/>
              </w:rPr>
            </w:pPr>
          </w:p>
          <w:p w14:paraId="4D611855" w14:textId="77777777" w:rsidR="00306B0F" w:rsidRPr="00647DAE" w:rsidRDefault="00306B0F" w:rsidP="00D452D2">
            <w:pPr>
              <w:rPr>
                <w:rFonts w:cs="Arial"/>
                <w:b/>
                <w:sz w:val="20"/>
                <w:szCs w:val="20"/>
              </w:rPr>
            </w:pPr>
            <w:r w:rsidRPr="00647DAE">
              <w:rPr>
                <w:rFonts w:cs="Arial"/>
                <w:b/>
                <w:sz w:val="20"/>
                <w:szCs w:val="20"/>
              </w:rPr>
              <w:t>No, Partially Achieved (B)</w:t>
            </w:r>
            <w:r w:rsidRPr="00647DAE">
              <w:rPr>
                <w:rFonts w:cs="Arial"/>
                <w:sz w:val="20"/>
                <w:szCs w:val="20"/>
              </w:rPr>
              <w:t xml:space="preserve"> – CCUS roadmaps have been produced in China, South Africa and Mexico, but not yet in Indonesia or India.</w:t>
            </w:r>
          </w:p>
        </w:tc>
        <w:tc>
          <w:tcPr>
            <w:tcW w:w="2268" w:type="dxa"/>
          </w:tcPr>
          <w:p w14:paraId="20EF4AE6" w14:textId="77777777" w:rsidR="00306B0F" w:rsidRPr="00647DAE" w:rsidRDefault="00306B0F" w:rsidP="00D452D2">
            <w:pPr>
              <w:rPr>
                <w:rFonts w:cs="Arial"/>
                <w:sz w:val="20"/>
                <w:szCs w:val="20"/>
              </w:rPr>
            </w:pPr>
            <w:r w:rsidRPr="00647DAE">
              <w:rPr>
                <w:rFonts w:cs="Arial"/>
                <w:b/>
                <w:sz w:val="20"/>
                <w:szCs w:val="20"/>
              </w:rPr>
              <w:lastRenderedPageBreak/>
              <w:t>No, Partially Achieved (B)</w:t>
            </w:r>
            <w:r w:rsidRPr="00647DAE">
              <w:rPr>
                <w:rFonts w:cs="Arial"/>
                <w:sz w:val="20"/>
                <w:szCs w:val="20"/>
              </w:rPr>
              <w:t xml:space="preserve"> – CCUS has been successfully included in the NDCs of China, Mexico and South Africa – future </w:t>
            </w:r>
            <w:r w:rsidRPr="00647DAE">
              <w:rPr>
                <w:rFonts w:cs="Arial"/>
                <w:sz w:val="20"/>
                <w:szCs w:val="20"/>
              </w:rPr>
              <w:lastRenderedPageBreak/>
              <w:t>efforts will focus on including CCUS in the NDCs of other supported countries, particularly Indonesia and India.</w:t>
            </w:r>
          </w:p>
          <w:p w14:paraId="1719211D" w14:textId="77777777" w:rsidR="00306B0F" w:rsidRDefault="00306B0F" w:rsidP="00D452D2">
            <w:pPr>
              <w:rPr>
                <w:rFonts w:cs="Arial"/>
                <w:sz w:val="20"/>
                <w:szCs w:val="20"/>
              </w:rPr>
            </w:pPr>
          </w:p>
          <w:p w14:paraId="3A181AEB" w14:textId="77777777" w:rsidR="00306B0F" w:rsidRPr="00647DAE" w:rsidRDefault="00306B0F" w:rsidP="00D452D2">
            <w:pPr>
              <w:rPr>
                <w:rFonts w:cs="Arial"/>
                <w:sz w:val="20"/>
                <w:szCs w:val="20"/>
              </w:rPr>
            </w:pPr>
            <w:r w:rsidRPr="00647DAE">
              <w:rPr>
                <w:rFonts w:cs="Arial"/>
                <w:b/>
                <w:sz w:val="20"/>
                <w:szCs w:val="20"/>
              </w:rPr>
              <w:t>No, Partially Achieved (B)</w:t>
            </w:r>
            <w:r w:rsidRPr="00647DAE">
              <w:rPr>
                <w:rFonts w:cs="Arial"/>
                <w:sz w:val="20"/>
                <w:szCs w:val="20"/>
              </w:rPr>
              <w:t xml:space="preserve"> – </w:t>
            </w:r>
            <w:r>
              <w:rPr>
                <w:rFonts w:cs="Arial"/>
                <w:sz w:val="20"/>
                <w:szCs w:val="20"/>
              </w:rPr>
              <w:t xml:space="preserve">No progress in 2020. </w:t>
            </w:r>
            <w:r w:rsidRPr="00647DAE">
              <w:rPr>
                <w:rFonts w:cs="Arial"/>
                <w:sz w:val="20"/>
                <w:szCs w:val="20"/>
              </w:rPr>
              <w:t>CCUS roadmaps have been produced in China, South Africa and Mexico, but not yet in Indonesia or India.</w:t>
            </w:r>
          </w:p>
        </w:tc>
      </w:tr>
      <w:tr w:rsidR="00306B0F" w:rsidRPr="00647DAE" w14:paraId="642FABAB" w14:textId="77777777" w:rsidTr="00D452D2">
        <w:trPr>
          <w:trHeight w:val="48"/>
          <w:jc w:val="center"/>
        </w:trPr>
        <w:tc>
          <w:tcPr>
            <w:tcW w:w="1890" w:type="dxa"/>
            <w:shd w:val="clear" w:color="auto" w:fill="auto"/>
            <w:vAlign w:val="center"/>
            <w:hideMark/>
          </w:tcPr>
          <w:p w14:paraId="6D54B318" w14:textId="77777777" w:rsidR="00306B0F" w:rsidRPr="00647DAE" w:rsidRDefault="00306B0F" w:rsidP="00D452D2">
            <w:pPr>
              <w:rPr>
                <w:rFonts w:cs="Arial"/>
                <w:sz w:val="20"/>
                <w:szCs w:val="20"/>
              </w:rPr>
            </w:pPr>
            <w:r w:rsidRPr="00647DAE">
              <w:rPr>
                <w:rFonts w:cs="Arial"/>
                <w:sz w:val="20"/>
                <w:szCs w:val="20"/>
              </w:rPr>
              <w:lastRenderedPageBreak/>
              <w:t>Large-scale full-chain CCUS project planned</w:t>
            </w:r>
          </w:p>
        </w:tc>
        <w:tc>
          <w:tcPr>
            <w:tcW w:w="2265" w:type="dxa"/>
            <w:shd w:val="clear" w:color="auto" w:fill="auto"/>
            <w:vAlign w:val="center"/>
          </w:tcPr>
          <w:p w14:paraId="6567A11E" w14:textId="77777777" w:rsidR="00306B0F" w:rsidRPr="00647DAE" w:rsidRDefault="00306B0F" w:rsidP="00D452D2">
            <w:pPr>
              <w:pStyle w:val="ListParagraph"/>
              <w:numPr>
                <w:ilvl w:val="0"/>
                <w:numId w:val="17"/>
              </w:numPr>
              <w:spacing w:after="0"/>
              <w:rPr>
                <w:rFonts w:cs="Arial"/>
                <w:sz w:val="20"/>
              </w:rPr>
            </w:pPr>
            <w:r w:rsidRPr="00647DAE">
              <w:rPr>
                <w:rFonts w:cs="Arial"/>
                <w:sz w:val="20"/>
              </w:rPr>
              <w:t>Political will</w:t>
            </w:r>
          </w:p>
          <w:p w14:paraId="539CF069" w14:textId="77777777" w:rsidR="00306B0F" w:rsidRPr="00647DAE" w:rsidRDefault="00306B0F" w:rsidP="00D452D2">
            <w:pPr>
              <w:pStyle w:val="ListParagraph"/>
              <w:numPr>
                <w:ilvl w:val="0"/>
                <w:numId w:val="17"/>
              </w:numPr>
              <w:spacing w:after="0"/>
              <w:rPr>
                <w:rFonts w:cs="Arial"/>
                <w:sz w:val="20"/>
              </w:rPr>
            </w:pPr>
            <w:r w:rsidRPr="00647DAE">
              <w:rPr>
                <w:rFonts w:cs="Arial"/>
                <w:sz w:val="20"/>
              </w:rPr>
              <w:t>Innovation</w:t>
            </w:r>
          </w:p>
          <w:p w14:paraId="46BFD74B" w14:textId="77777777" w:rsidR="00306B0F" w:rsidRPr="00647DAE" w:rsidRDefault="00306B0F" w:rsidP="00D452D2">
            <w:pPr>
              <w:pStyle w:val="ListParagraph"/>
              <w:numPr>
                <w:ilvl w:val="0"/>
                <w:numId w:val="17"/>
              </w:numPr>
              <w:spacing w:after="0"/>
              <w:rPr>
                <w:rFonts w:cs="Arial"/>
                <w:sz w:val="20"/>
              </w:rPr>
            </w:pPr>
            <w:r w:rsidRPr="00647DAE">
              <w:rPr>
                <w:rFonts w:cs="Arial"/>
                <w:sz w:val="20"/>
              </w:rPr>
              <w:t>Replication</w:t>
            </w:r>
          </w:p>
        </w:tc>
        <w:tc>
          <w:tcPr>
            <w:tcW w:w="2077" w:type="dxa"/>
          </w:tcPr>
          <w:p w14:paraId="48B32858" w14:textId="77777777" w:rsidR="00306B0F" w:rsidRPr="00647DAE" w:rsidRDefault="00306B0F" w:rsidP="00D452D2">
            <w:pPr>
              <w:pStyle w:val="ListParagraph"/>
              <w:numPr>
                <w:ilvl w:val="0"/>
                <w:numId w:val="22"/>
              </w:numPr>
              <w:spacing w:after="0"/>
              <w:rPr>
                <w:rFonts w:cs="Arial"/>
                <w:b/>
                <w:i/>
                <w:sz w:val="20"/>
              </w:rPr>
            </w:pPr>
            <w:r w:rsidRPr="00647DAE">
              <w:rPr>
                <w:rFonts w:cs="Arial"/>
                <w:b/>
                <w:i/>
                <w:sz w:val="20"/>
              </w:rPr>
              <w:t>Is a large-scale full-chain CCUS project planned?</w:t>
            </w:r>
          </w:p>
        </w:tc>
        <w:tc>
          <w:tcPr>
            <w:tcW w:w="2552" w:type="dxa"/>
          </w:tcPr>
          <w:p w14:paraId="1C1F987B" w14:textId="77777777" w:rsidR="00306B0F" w:rsidRPr="00647DAE" w:rsidRDefault="00306B0F" w:rsidP="00D452D2">
            <w:pPr>
              <w:rPr>
                <w:rFonts w:cs="Arial"/>
                <w:b/>
                <w:sz w:val="20"/>
                <w:szCs w:val="20"/>
              </w:rPr>
            </w:pPr>
            <w:r w:rsidRPr="00647DAE">
              <w:rPr>
                <w:rFonts w:cs="Arial"/>
                <w:b/>
                <w:sz w:val="20"/>
                <w:szCs w:val="20"/>
              </w:rPr>
              <w:t>Yes, Achieved (A)</w:t>
            </w:r>
            <w:r w:rsidRPr="00647DAE">
              <w:rPr>
                <w:rFonts w:cs="Arial"/>
                <w:sz w:val="20"/>
                <w:szCs w:val="20"/>
              </w:rPr>
              <w:t xml:space="preserve"> – the large-scale full-chain Yanchang CCUS project in China is currently being scaled-up from the existing 50,000 tCO</w:t>
            </w:r>
            <w:r w:rsidRPr="00647DAE">
              <w:rPr>
                <w:rFonts w:cs="Arial"/>
                <w:sz w:val="20"/>
                <w:szCs w:val="20"/>
                <w:vertAlign w:val="subscript"/>
              </w:rPr>
              <w:t>2</w:t>
            </w:r>
            <w:r w:rsidRPr="00647DAE">
              <w:rPr>
                <w:rFonts w:cs="Arial"/>
                <w:sz w:val="20"/>
                <w:szCs w:val="20"/>
              </w:rPr>
              <w:t>/year stored to 150,000 tCO</w:t>
            </w:r>
            <w:r w:rsidRPr="00647DAE">
              <w:rPr>
                <w:rFonts w:cs="Arial"/>
                <w:sz w:val="20"/>
                <w:szCs w:val="20"/>
                <w:vertAlign w:val="subscript"/>
              </w:rPr>
              <w:t>2</w:t>
            </w:r>
            <w:r w:rsidRPr="00647DAE">
              <w:rPr>
                <w:rFonts w:cs="Arial"/>
                <w:sz w:val="20"/>
                <w:szCs w:val="20"/>
              </w:rPr>
              <w:t>/year stored by the end of 2020 (construction on the scale-up began in September 2018). Following this, the project will be scaled-up to 0.36 mtCO</w:t>
            </w:r>
            <w:r w:rsidRPr="00647DAE">
              <w:rPr>
                <w:rFonts w:cs="Arial"/>
                <w:sz w:val="20"/>
                <w:szCs w:val="20"/>
                <w:vertAlign w:val="subscript"/>
              </w:rPr>
              <w:t>2</w:t>
            </w:r>
            <w:r w:rsidRPr="00647DAE">
              <w:rPr>
                <w:rFonts w:cs="Arial"/>
                <w:sz w:val="20"/>
                <w:szCs w:val="20"/>
              </w:rPr>
              <w:t>/year stored by the end of 2022.</w:t>
            </w:r>
          </w:p>
        </w:tc>
        <w:tc>
          <w:tcPr>
            <w:tcW w:w="2268" w:type="dxa"/>
          </w:tcPr>
          <w:p w14:paraId="0329585D" w14:textId="77777777" w:rsidR="00306B0F" w:rsidRPr="00647DAE" w:rsidRDefault="00306B0F" w:rsidP="00D452D2">
            <w:pPr>
              <w:rPr>
                <w:rFonts w:cs="Arial"/>
                <w:sz w:val="20"/>
                <w:szCs w:val="20"/>
              </w:rPr>
            </w:pPr>
            <w:r w:rsidRPr="00647DAE">
              <w:rPr>
                <w:rFonts w:cs="Arial"/>
                <w:b/>
                <w:sz w:val="20"/>
                <w:szCs w:val="20"/>
              </w:rPr>
              <w:t>Yes, Achieved (A)</w:t>
            </w:r>
            <w:r w:rsidRPr="00647DAE">
              <w:rPr>
                <w:rFonts w:cs="Arial"/>
                <w:sz w:val="20"/>
                <w:szCs w:val="20"/>
              </w:rPr>
              <w:t xml:space="preserve"> –</w:t>
            </w:r>
            <w:r>
              <w:rPr>
                <w:rFonts w:cs="Arial"/>
                <w:sz w:val="20"/>
                <w:szCs w:val="20"/>
              </w:rPr>
              <w:t xml:space="preserve"> the Yanchang CCUS project in China is still in the planning phase due to continued delays in 2020. </w:t>
            </w:r>
            <w:r w:rsidRPr="00647DAE">
              <w:rPr>
                <w:rFonts w:cs="Arial"/>
                <w:sz w:val="20"/>
                <w:szCs w:val="20"/>
              </w:rPr>
              <w:t xml:space="preserve"> </w:t>
            </w:r>
          </w:p>
        </w:tc>
      </w:tr>
      <w:tr w:rsidR="00306B0F" w:rsidRPr="00647DAE" w14:paraId="26EE5DE9" w14:textId="77777777" w:rsidTr="00D452D2">
        <w:trPr>
          <w:trHeight w:val="48"/>
          <w:jc w:val="center"/>
        </w:trPr>
        <w:tc>
          <w:tcPr>
            <w:tcW w:w="1890" w:type="dxa"/>
            <w:shd w:val="clear" w:color="auto" w:fill="auto"/>
            <w:vAlign w:val="center"/>
            <w:hideMark/>
          </w:tcPr>
          <w:p w14:paraId="13D9AEB2" w14:textId="77777777" w:rsidR="00306B0F" w:rsidRPr="00647DAE" w:rsidRDefault="00306B0F" w:rsidP="00D452D2">
            <w:pPr>
              <w:rPr>
                <w:rFonts w:cs="Arial"/>
                <w:sz w:val="20"/>
                <w:szCs w:val="20"/>
              </w:rPr>
            </w:pPr>
            <w:r w:rsidRPr="00647DAE">
              <w:rPr>
                <w:rFonts w:cs="Arial"/>
                <w:sz w:val="20"/>
                <w:szCs w:val="20"/>
              </w:rPr>
              <w:t>Large-scale full-chain CCUS project operational</w:t>
            </w:r>
          </w:p>
        </w:tc>
        <w:tc>
          <w:tcPr>
            <w:tcW w:w="2265" w:type="dxa"/>
            <w:shd w:val="clear" w:color="auto" w:fill="auto"/>
            <w:vAlign w:val="center"/>
          </w:tcPr>
          <w:p w14:paraId="210F988A" w14:textId="77777777" w:rsidR="00306B0F" w:rsidRPr="00647DAE" w:rsidRDefault="00306B0F" w:rsidP="00D452D2">
            <w:pPr>
              <w:pStyle w:val="ListParagraph"/>
              <w:numPr>
                <w:ilvl w:val="0"/>
                <w:numId w:val="17"/>
              </w:numPr>
              <w:spacing w:after="0"/>
              <w:rPr>
                <w:rFonts w:cs="Arial"/>
                <w:sz w:val="20"/>
              </w:rPr>
            </w:pPr>
            <w:r w:rsidRPr="00647DAE">
              <w:rPr>
                <w:rFonts w:cs="Arial"/>
                <w:sz w:val="20"/>
              </w:rPr>
              <w:t>Political will</w:t>
            </w:r>
          </w:p>
          <w:p w14:paraId="6E5BB09C" w14:textId="77777777" w:rsidR="00306B0F" w:rsidRPr="00647DAE" w:rsidRDefault="00306B0F" w:rsidP="00D452D2">
            <w:pPr>
              <w:pStyle w:val="ListParagraph"/>
              <w:numPr>
                <w:ilvl w:val="0"/>
                <w:numId w:val="17"/>
              </w:numPr>
              <w:spacing w:after="0"/>
              <w:rPr>
                <w:rFonts w:cs="Arial"/>
                <w:sz w:val="20"/>
              </w:rPr>
            </w:pPr>
            <w:r w:rsidRPr="00647DAE">
              <w:rPr>
                <w:rFonts w:cs="Arial"/>
                <w:sz w:val="20"/>
              </w:rPr>
              <w:t>Innovation</w:t>
            </w:r>
          </w:p>
          <w:p w14:paraId="4E933FA4" w14:textId="77777777" w:rsidR="00306B0F" w:rsidRPr="00647DAE" w:rsidRDefault="00306B0F" w:rsidP="00D452D2">
            <w:pPr>
              <w:pStyle w:val="ListParagraph"/>
              <w:numPr>
                <w:ilvl w:val="0"/>
                <w:numId w:val="17"/>
              </w:numPr>
              <w:spacing w:after="0"/>
              <w:rPr>
                <w:rFonts w:cs="Arial"/>
                <w:sz w:val="20"/>
              </w:rPr>
            </w:pPr>
            <w:r w:rsidRPr="00647DAE">
              <w:rPr>
                <w:rFonts w:cs="Arial"/>
                <w:sz w:val="20"/>
              </w:rPr>
              <w:t>Replication</w:t>
            </w:r>
          </w:p>
        </w:tc>
        <w:tc>
          <w:tcPr>
            <w:tcW w:w="2077" w:type="dxa"/>
          </w:tcPr>
          <w:p w14:paraId="01FD50DF" w14:textId="77777777" w:rsidR="00306B0F" w:rsidRPr="00647DAE" w:rsidRDefault="00306B0F" w:rsidP="00D452D2">
            <w:pPr>
              <w:pStyle w:val="ListParagraph"/>
              <w:numPr>
                <w:ilvl w:val="0"/>
                <w:numId w:val="23"/>
              </w:numPr>
              <w:spacing w:after="0"/>
              <w:rPr>
                <w:rFonts w:cs="Arial"/>
                <w:b/>
                <w:i/>
                <w:sz w:val="20"/>
              </w:rPr>
            </w:pPr>
            <w:r w:rsidRPr="00647DAE">
              <w:rPr>
                <w:rFonts w:cs="Arial"/>
                <w:b/>
                <w:i/>
                <w:sz w:val="20"/>
              </w:rPr>
              <w:t>Is a large-scale full-chain CCUS project operational?</w:t>
            </w:r>
          </w:p>
        </w:tc>
        <w:tc>
          <w:tcPr>
            <w:tcW w:w="2552" w:type="dxa"/>
          </w:tcPr>
          <w:p w14:paraId="6E1429C4" w14:textId="77777777" w:rsidR="00306B0F" w:rsidRPr="00647DAE" w:rsidRDefault="00306B0F" w:rsidP="00D452D2">
            <w:pPr>
              <w:rPr>
                <w:rFonts w:cs="Arial"/>
                <w:b/>
                <w:sz w:val="20"/>
                <w:szCs w:val="20"/>
              </w:rPr>
            </w:pPr>
            <w:r w:rsidRPr="00647DAE">
              <w:rPr>
                <w:rFonts w:cs="Arial"/>
                <w:b/>
                <w:sz w:val="20"/>
                <w:szCs w:val="20"/>
              </w:rPr>
              <w:t>No, Partially Achieved (B)</w:t>
            </w:r>
            <w:r w:rsidRPr="00647DAE">
              <w:rPr>
                <w:rFonts w:cs="Arial"/>
                <w:sz w:val="20"/>
                <w:szCs w:val="20"/>
              </w:rPr>
              <w:t xml:space="preserve"> – the full-chain Yanchang CCUS project in China is currently being scaled-up from the existing pilot-scale of 50,000 tCO</w:t>
            </w:r>
            <w:r w:rsidRPr="00647DAE">
              <w:rPr>
                <w:rFonts w:cs="Arial"/>
                <w:sz w:val="20"/>
                <w:szCs w:val="20"/>
                <w:vertAlign w:val="subscript"/>
              </w:rPr>
              <w:t>2</w:t>
            </w:r>
            <w:r w:rsidRPr="00647DAE">
              <w:rPr>
                <w:rFonts w:cs="Arial"/>
                <w:sz w:val="20"/>
                <w:szCs w:val="20"/>
              </w:rPr>
              <w:t>/year stored to a mid-scale 100,000 tCO</w:t>
            </w:r>
            <w:r w:rsidRPr="00647DAE">
              <w:rPr>
                <w:rFonts w:cs="Arial"/>
                <w:sz w:val="20"/>
                <w:szCs w:val="20"/>
                <w:vertAlign w:val="subscript"/>
              </w:rPr>
              <w:t>2</w:t>
            </w:r>
            <w:r w:rsidRPr="00647DAE">
              <w:rPr>
                <w:rFonts w:cs="Arial"/>
                <w:sz w:val="20"/>
                <w:szCs w:val="20"/>
              </w:rPr>
              <w:t>/year stored (to be completed by the end of 2020). The scale-up to a large-scale project of 0.36 mtCO</w:t>
            </w:r>
            <w:r w:rsidRPr="00647DAE">
              <w:rPr>
                <w:rFonts w:cs="Arial"/>
                <w:sz w:val="20"/>
                <w:szCs w:val="20"/>
                <w:vertAlign w:val="subscript"/>
              </w:rPr>
              <w:t>2</w:t>
            </w:r>
            <w:r w:rsidRPr="00647DAE">
              <w:rPr>
                <w:rFonts w:cs="Arial"/>
                <w:sz w:val="20"/>
                <w:szCs w:val="20"/>
              </w:rPr>
              <w:t>/year stored will not be operational until the end of 2022.</w:t>
            </w:r>
          </w:p>
        </w:tc>
        <w:tc>
          <w:tcPr>
            <w:tcW w:w="2268" w:type="dxa"/>
          </w:tcPr>
          <w:p w14:paraId="16932B3C" w14:textId="77777777" w:rsidR="00306B0F" w:rsidRPr="00647DAE" w:rsidRDefault="00306B0F" w:rsidP="00D452D2">
            <w:pPr>
              <w:rPr>
                <w:rFonts w:cs="Arial"/>
                <w:sz w:val="20"/>
                <w:szCs w:val="20"/>
              </w:rPr>
            </w:pPr>
            <w:r w:rsidRPr="00647DAE">
              <w:rPr>
                <w:rFonts w:cs="Arial"/>
                <w:b/>
                <w:sz w:val="20"/>
                <w:szCs w:val="20"/>
              </w:rPr>
              <w:t xml:space="preserve">No, </w:t>
            </w:r>
            <w:r>
              <w:rPr>
                <w:rFonts w:cs="Arial"/>
                <w:b/>
                <w:sz w:val="20"/>
                <w:szCs w:val="20"/>
              </w:rPr>
              <w:t>not achieved (C)</w:t>
            </w:r>
            <w:r w:rsidRPr="00647DAE">
              <w:rPr>
                <w:rFonts w:cs="Arial"/>
                <w:b/>
                <w:sz w:val="20"/>
                <w:szCs w:val="20"/>
              </w:rPr>
              <w:t xml:space="preserve"> </w:t>
            </w:r>
            <w:r w:rsidRPr="00647DAE">
              <w:rPr>
                <w:rFonts w:cs="Arial"/>
                <w:sz w:val="20"/>
                <w:szCs w:val="20"/>
              </w:rPr>
              <w:t xml:space="preserve">– the full-chain Yanchang CCUS project in China is </w:t>
            </w:r>
            <w:r>
              <w:rPr>
                <w:rFonts w:cs="Arial"/>
                <w:sz w:val="20"/>
                <w:szCs w:val="20"/>
              </w:rPr>
              <w:t xml:space="preserve">delayed due to a lack of applications to conduct the technical assessments in 2019, followed by lockdowns and travel restrictions due to the COVID-19 pandemic in 2020. </w:t>
            </w:r>
          </w:p>
        </w:tc>
      </w:tr>
      <w:tr w:rsidR="00306B0F" w:rsidRPr="00647DAE" w14:paraId="352691D5" w14:textId="77777777" w:rsidTr="00D452D2">
        <w:trPr>
          <w:trHeight w:val="48"/>
          <w:jc w:val="center"/>
        </w:trPr>
        <w:tc>
          <w:tcPr>
            <w:tcW w:w="1890" w:type="dxa"/>
            <w:shd w:val="clear" w:color="auto" w:fill="FFFFFF" w:themeFill="background1"/>
            <w:vAlign w:val="center"/>
            <w:hideMark/>
          </w:tcPr>
          <w:p w14:paraId="21958791" w14:textId="77777777" w:rsidR="00306B0F" w:rsidRPr="00647DAE" w:rsidRDefault="00306B0F" w:rsidP="00D452D2">
            <w:pPr>
              <w:rPr>
                <w:rFonts w:cs="Arial"/>
                <w:sz w:val="20"/>
                <w:szCs w:val="20"/>
              </w:rPr>
            </w:pPr>
            <w:r w:rsidRPr="00647DAE">
              <w:rPr>
                <w:rFonts w:cs="Arial"/>
                <w:sz w:val="20"/>
                <w:szCs w:val="20"/>
              </w:rPr>
              <w:t>Local CCUS expertise, knowledge and capacity developed</w:t>
            </w:r>
          </w:p>
        </w:tc>
        <w:tc>
          <w:tcPr>
            <w:tcW w:w="2265" w:type="dxa"/>
            <w:shd w:val="clear" w:color="auto" w:fill="auto"/>
            <w:vAlign w:val="center"/>
          </w:tcPr>
          <w:p w14:paraId="007E89F1" w14:textId="77777777" w:rsidR="00306B0F" w:rsidRPr="00647DAE" w:rsidRDefault="00306B0F" w:rsidP="00D452D2">
            <w:pPr>
              <w:pStyle w:val="ListParagraph"/>
              <w:numPr>
                <w:ilvl w:val="0"/>
                <w:numId w:val="17"/>
              </w:numPr>
              <w:spacing w:after="0"/>
              <w:rPr>
                <w:rFonts w:cs="Arial"/>
                <w:sz w:val="20"/>
              </w:rPr>
            </w:pPr>
            <w:r w:rsidRPr="00647DAE">
              <w:rPr>
                <w:rFonts w:cs="Arial"/>
                <w:sz w:val="20"/>
              </w:rPr>
              <w:t>Political will</w:t>
            </w:r>
          </w:p>
          <w:p w14:paraId="117E81E0" w14:textId="77777777" w:rsidR="00306B0F" w:rsidRPr="00647DAE" w:rsidRDefault="00306B0F" w:rsidP="00D452D2">
            <w:pPr>
              <w:pStyle w:val="ListParagraph"/>
              <w:numPr>
                <w:ilvl w:val="0"/>
                <w:numId w:val="17"/>
              </w:numPr>
              <w:spacing w:after="0"/>
              <w:rPr>
                <w:rFonts w:cs="Arial"/>
                <w:sz w:val="20"/>
              </w:rPr>
            </w:pPr>
            <w:r w:rsidRPr="00647DAE">
              <w:rPr>
                <w:rFonts w:cs="Arial"/>
                <w:sz w:val="20"/>
              </w:rPr>
              <w:t>Innovation</w:t>
            </w:r>
          </w:p>
          <w:p w14:paraId="3D491F01" w14:textId="77777777" w:rsidR="00306B0F" w:rsidRPr="00647DAE" w:rsidRDefault="00306B0F" w:rsidP="00D452D2">
            <w:pPr>
              <w:pStyle w:val="ListParagraph"/>
              <w:numPr>
                <w:ilvl w:val="0"/>
                <w:numId w:val="17"/>
              </w:numPr>
              <w:spacing w:after="0"/>
              <w:rPr>
                <w:rFonts w:cs="Arial"/>
                <w:sz w:val="20"/>
              </w:rPr>
            </w:pPr>
            <w:r w:rsidRPr="00647DAE">
              <w:rPr>
                <w:rFonts w:cs="Arial"/>
                <w:sz w:val="20"/>
              </w:rPr>
              <w:t>Replication</w:t>
            </w:r>
          </w:p>
        </w:tc>
        <w:tc>
          <w:tcPr>
            <w:tcW w:w="2077" w:type="dxa"/>
          </w:tcPr>
          <w:p w14:paraId="39374A49" w14:textId="77777777" w:rsidR="00306B0F" w:rsidRPr="00647DAE" w:rsidRDefault="00306B0F" w:rsidP="00D452D2">
            <w:pPr>
              <w:pStyle w:val="ListParagraph"/>
              <w:numPr>
                <w:ilvl w:val="0"/>
                <w:numId w:val="24"/>
              </w:numPr>
              <w:spacing w:after="0"/>
              <w:rPr>
                <w:rFonts w:cs="Arial"/>
                <w:b/>
                <w:i/>
                <w:sz w:val="20"/>
              </w:rPr>
            </w:pPr>
            <w:r w:rsidRPr="00647DAE">
              <w:rPr>
                <w:rFonts w:cs="Arial"/>
                <w:b/>
                <w:i/>
                <w:sz w:val="20"/>
              </w:rPr>
              <w:t>Has local CCUS expertise, knowledge and capacity been developed?</w:t>
            </w:r>
          </w:p>
        </w:tc>
        <w:tc>
          <w:tcPr>
            <w:tcW w:w="2552" w:type="dxa"/>
          </w:tcPr>
          <w:p w14:paraId="1929974E" w14:textId="77777777" w:rsidR="00306B0F" w:rsidRPr="00647DAE" w:rsidRDefault="00306B0F" w:rsidP="00D452D2">
            <w:pPr>
              <w:rPr>
                <w:rFonts w:cs="Arial"/>
                <w:b/>
                <w:sz w:val="20"/>
                <w:szCs w:val="20"/>
              </w:rPr>
            </w:pPr>
            <w:r w:rsidRPr="00647DAE">
              <w:rPr>
                <w:rFonts w:cs="Arial"/>
                <w:b/>
                <w:sz w:val="20"/>
                <w:szCs w:val="20"/>
              </w:rPr>
              <w:t>Yes, Achieved (A)</w:t>
            </w:r>
            <w:r w:rsidRPr="00647DAE">
              <w:rPr>
                <w:rFonts w:cs="Arial"/>
                <w:sz w:val="20"/>
                <w:szCs w:val="20"/>
              </w:rPr>
              <w:t xml:space="preserve"> – in 2019, the ADB facilitated 12 workshops for CCUS: 3 deep dive workshops, 2 regulatory workshops in Indonesia, 2 workshops in Bangladesh, 2 workshops in China (in Guangdong and Shanghai), and 3 meetings of the Centres of Excellence). In 2019, the World Bank organised (or attended) 8 events: 1 CCUS Master’s programme, 2 capacity building courses on CCUS, 3 conference presentations on CCUS, 1 </w:t>
            </w:r>
            <w:r w:rsidRPr="00647DAE">
              <w:rPr>
                <w:rFonts w:cs="Arial"/>
                <w:sz w:val="20"/>
                <w:szCs w:val="20"/>
              </w:rPr>
              <w:lastRenderedPageBreak/>
              <w:t>international CCUS workshop, and 1</w:t>
            </w:r>
            <w:r>
              <w:rPr>
                <w:rFonts w:cs="Arial"/>
                <w:sz w:val="20"/>
                <w:szCs w:val="20"/>
              </w:rPr>
              <w:t xml:space="preserve"> </w:t>
            </w:r>
            <w:r w:rsidRPr="00647DAE">
              <w:rPr>
                <w:rFonts w:cs="Arial"/>
                <w:sz w:val="20"/>
                <w:szCs w:val="20"/>
              </w:rPr>
              <w:t>international capacity building tour for traditional leaders in South Africa.</w:t>
            </w:r>
          </w:p>
        </w:tc>
        <w:tc>
          <w:tcPr>
            <w:tcW w:w="2268" w:type="dxa"/>
          </w:tcPr>
          <w:p w14:paraId="6B9E5B6F" w14:textId="77777777" w:rsidR="00306B0F" w:rsidRPr="00E454D7" w:rsidRDefault="00306B0F" w:rsidP="00D452D2">
            <w:pPr>
              <w:rPr>
                <w:rFonts w:cs="Arial"/>
                <w:bCs/>
                <w:sz w:val="20"/>
                <w:szCs w:val="20"/>
              </w:rPr>
            </w:pPr>
            <w:r>
              <w:rPr>
                <w:rFonts w:cs="Arial"/>
                <w:b/>
                <w:sz w:val="20"/>
                <w:szCs w:val="20"/>
              </w:rPr>
              <w:lastRenderedPageBreak/>
              <w:t xml:space="preserve">Yes, Achieved (A) – </w:t>
            </w:r>
            <w:r w:rsidRPr="00931309">
              <w:rPr>
                <w:rFonts w:cs="Arial"/>
                <w:bCs/>
                <w:sz w:val="20"/>
                <w:szCs w:val="20"/>
              </w:rPr>
              <w:t>Due to global COVID</w:t>
            </w:r>
            <w:r>
              <w:rPr>
                <w:rFonts w:cs="Arial"/>
                <w:bCs/>
                <w:sz w:val="20"/>
                <w:szCs w:val="20"/>
              </w:rPr>
              <w:t>-</w:t>
            </w:r>
            <w:r w:rsidRPr="00931309">
              <w:rPr>
                <w:rFonts w:cs="Arial"/>
                <w:bCs/>
                <w:sz w:val="20"/>
                <w:szCs w:val="20"/>
              </w:rPr>
              <w:t xml:space="preserve">19 restrictions in 2020, the ADB facilitated 4 virtual workshops for CCUS and the World Bank postponed all stakeholder engagements. </w:t>
            </w:r>
          </w:p>
        </w:tc>
      </w:tr>
      <w:tr w:rsidR="00306B0F" w:rsidRPr="00647DAE" w14:paraId="7CFC5BAF" w14:textId="77777777" w:rsidTr="00D452D2">
        <w:trPr>
          <w:trHeight w:val="1408"/>
          <w:jc w:val="center"/>
        </w:trPr>
        <w:tc>
          <w:tcPr>
            <w:tcW w:w="1890" w:type="dxa"/>
            <w:shd w:val="clear" w:color="auto" w:fill="FFFFFF" w:themeFill="background1"/>
            <w:vAlign w:val="center"/>
          </w:tcPr>
          <w:p w14:paraId="23B5706C" w14:textId="77777777" w:rsidR="00306B0F" w:rsidRPr="00647DAE" w:rsidRDefault="00306B0F" w:rsidP="00D452D2">
            <w:pPr>
              <w:rPr>
                <w:rFonts w:cs="Arial"/>
                <w:sz w:val="20"/>
                <w:szCs w:val="20"/>
              </w:rPr>
            </w:pPr>
            <w:r w:rsidRPr="00647DAE">
              <w:rPr>
                <w:rFonts w:cs="Arial"/>
                <w:sz w:val="20"/>
                <w:szCs w:val="20"/>
              </w:rPr>
              <w:t>Replication and dissemination of UK-supported projects within or between countries</w:t>
            </w:r>
          </w:p>
        </w:tc>
        <w:tc>
          <w:tcPr>
            <w:tcW w:w="2265" w:type="dxa"/>
            <w:shd w:val="clear" w:color="auto" w:fill="auto"/>
            <w:vAlign w:val="center"/>
          </w:tcPr>
          <w:p w14:paraId="02A6A320" w14:textId="77777777" w:rsidR="00306B0F" w:rsidRPr="00647DAE" w:rsidRDefault="00306B0F" w:rsidP="00D452D2">
            <w:pPr>
              <w:pStyle w:val="ListParagraph"/>
              <w:numPr>
                <w:ilvl w:val="0"/>
                <w:numId w:val="17"/>
              </w:numPr>
              <w:spacing w:after="0"/>
              <w:rPr>
                <w:rFonts w:cs="Arial"/>
                <w:sz w:val="20"/>
              </w:rPr>
            </w:pPr>
            <w:r w:rsidRPr="00647DAE">
              <w:rPr>
                <w:rFonts w:cs="Arial"/>
                <w:sz w:val="20"/>
              </w:rPr>
              <w:t>Replication</w:t>
            </w:r>
          </w:p>
        </w:tc>
        <w:tc>
          <w:tcPr>
            <w:tcW w:w="2077" w:type="dxa"/>
          </w:tcPr>
          <w:p w14:paraId="4DCCA577" w14:textId="77777777" w:rsidR="00306B0F" w:rsidRPr="00647DAE" w:rsidRDefault="00306B0F" w:rsidP="00D452D2">
            <w:pPr>
              <w:pStyle w:val="ListParagraph"/>
              <w:numPr>
                <w:ilvl w:val="0"/>
                <w:numId w:val="25"/>
              </w:numPr>
              <w:spacing w:after="0"/>
              <w:rPr>
                <w:rFonts w:cs="Arial"/>
                <w:b/>
                <w:i/>
                <w:sz w:val="20"/>
              </w:rPr>
            </w:pPr>
            <w:r w:rsidRPr="00647DAE">
              <w:rPr>
                <w:rFonts w:cs="Arial"/>
                <w:b/>
                <w:i/>
                <w:sz w:val="20"/>
              </w:rPr>
              <w:t>Has replication of UK-supported projects been demonstrated within or between countries?</w:t>
            </w:r>
          </w:p>
          <w:p w14:paraId="3EF4B1D5" w14:textId="77777777" w:rsidR="00306B0F" w:rsidRDefault="00306B0F" w:rsidP="00D452D2">
            <w:pPr>
              <w:rPr>
                <w:rFonts w:cs="Arial"/>
                <w:sz w:val="20"/>
                <w:szCs w:val="20"/>
              </w:rPr>
            </w:pPr>
          </w:p>
          <w:p w14:paraId="4C56FC90" w14:textId="77777777" w:rsidR="00306B0F" w:rsidRDefault="00306B0F" w:rsidP="00D452D2">
            <w:pPr>
              <w:rPr>
                <w:rFonts w:cs="Arial"/>
                <w:sz w:val="20"/>
                <w:szCs w:val="20"/>
              </w:rPr>
            </w:pPr>
          </w:p>
          <w:p w14:paraId="40240564" w14:textId="77777777" w:rsidR="00306B0F" w:rsidRDefault="00306B0F" w:rsidP="00D452D2">
            <w:pPr>
              <w:rPr>
                <w:rFonts w:cs="Arial"/>
                <w:sz w:val="20"/>
                <w:szCs w:val="20"/>
              </w:rPr>
            </w:pPr>
          </w:p>
          <w:p w14:paraId="40EFA871" w14:textId="77777777" w:rsidR="00306B0F" w:rsidRDefault="00306B0F" w:rsidP="00D452D2">
            <w:pPr>
              <w:rPr>
                <w:rFonts w:cs="Arial"/>
                <w:sz w:val="20"/>
                <w:szCs w:val="20"/>
              </w:rPr>
            </w:pPr>
          </w:p>
          <w:p w14:paraId="451DCC18" w14:textId="77777777" w:rsidR="00306B0F" w:rsidRDefault="00306B0F" w:rsidP="00D452D2">
            <w:pPr>
              <w:rPr>
                <w:rFonts w:cs="Arial"/>
                <w:sz w:val="20"/>
                <w:szCs w:val="20"/>
              </w:rPr>
            </w:pPr>
          </w:p>
          <w:p w14:paraId="232B94C7" w14:textId="77777777" w:rsidR="00306B0F" w:rsidRDefault="00306B0F" w:rsidP="00D452D2">
            <w:pPr>
              <w:rPr>
                <w:rFonts w:cs="Arial"/>
                <w:sz w:val="20"/>
                <w:szCs w:val="20"/>
              </w:rPr>
            </w:pPr>
          </w:p>
          <w:p w14:paraId="59F76AE3" w14:textId="77777777" w:rsidR="00306B0F" w:rsidRDefault="00306B0F" w:rsidP="00D452D2">
            <w:pPr>
              <w:rPr>
                <w:rFonts w:cs="Arial"/>
                <w:sz w:val="20"/>
                <w:szCs w:val="20"/>
              </w:rPr>
            </w:pPr>
          </w:p>
          <w:p w14:paraId="03CC6315" w14:textId="77777777" w:rsidR="00306B0F" w:rsidRDefault="00306B0F" w:rsidP="00D452D2">
            <w:pPr>
              <w:rPr>
                <w:rFonts w:cs="Arial"/>
                <w:sz w:val="20"/>
                <w:szCs w:val="20"/>
              </w:rPr>
            </w:pPr>
          </w:p>
          <w:p w14:paraId="5301BD39" w14:textId="77777777" w:rsidR="00306B0F" w:rsidRPr="00647DAE" w:rsidRDefault="00306B0F" w:rsidP="00D452D2">
            <w:pPr>
              <w:rPr>
                <w:rFonts w:cs="Arial"/>
                <w:sz w:val="20"/>
                <w:szCs w:val="20"/>
              </w:rPr>
            </w:pPr>
          </w:p>
          <w:p w14:paraId="04C50E13" w14:textId="77777777" w:rsidR="00306B0F" w:rsidRPr="00647DAE" w:rsidRDefault="00306B0F" w:rsidP="00D452D2">
            <w:pPr>
              <w:pStyle w:val="ListParagraph"/>
              <w:numPr>
                <w:ilvl w:val="0"/>
                <w:numId w:val="25"/>
              </w:numPr>
              <w:spacing w:after="0"/>
              <w:rPr>
                <w:rFonts w:cs="Arial"/>
                <w:b/>
                <w:i/>
                <w:sz w:val="20"/>
              </w:rPr>
            </w:pPr>
            <w:r w:rsidRPr="00647DAE">
              <w:rPr>
                <w:rFonts w:cs="Arial"/>
                <w:b/>
                <w:i/>
                <w:sz w:val="20"/>
              </w:rPr>
              <w:t>Have results and experiences of UK-supported projects been disseminated within or between countries?</w:t>
            </w:r>
          </w:p>
        </w:tc>
        <w:tc>
          <w:tcPr>
            <w:tcW w:w="2552" w:type="dxa"/>
          </w:tcPr>
          <w:p w14:paraId="16B9A4A1" w14:textId="77777777" w:rsidR="00306B0F" w:rsidRPr="00647DAE" w:rsidRDefault="00306B0F" w:rsidP="00D452D2">
            <w:pPr>
              <w:rPr>
                <w:rFonts w:cs="Arial"/>
                <w:sz w:val="20"/>
                <w:szCs w:val="20"/>
              </w:rPr>
            </w:pPr>
            <w:r w:rsidRPr="00647DAE">
              <w:rPr>
                <w:rFonts w:cs="Arial"/>
                <w:b/>
                <w:sz w:val="20"/>
                <w:szCs w:val="20"/>
              </w:rPr>
              <w:t>No, Not Achieved (B)</w:t>
            </w:r>
            <w:r w:rsidRPr="00647DAE">
              <w:rPr>
                <w:rFonts w:cs="Arial"/>
                <w:sz w:val="20"/>
                <w:szCs w:val="20"/>
              </w:rPr>
              <w:t xml:space="preserve"> – although it is challenging to attribute wider CCUS activities in each of the supported countries to the success of UK support, currently the countries supported have primarily focused their efforts on completing the planning phases of their first CCUS pilot projects.</w:t>
            </w:r>
          </w:p>
          <w:p w14:paraId="6AED7107" w14:textId="77777777" w:rsidR="00306B0F" w:rsidRDefault="00306B0F" w:rsidP="00D452D2">
            <w:pPr>
              <w:rPr>
                <w:rFonts w:cs="Arial"/>
                <w:b/>
                <w:sz w:val="20"/>
                <w:szCs w:val="20"/>
              </w:rPr>
            </w:pPr>
          </w:p>
          <w:p w14:paraId="321610C1" w14:textId="77777777" w:rsidR="00306B0F" w:rsidRDefault="00306B0F" w:rsidP="00D452D2">
            <w:pPr>
              <w:rPr>
                <w:rFonts w:cs="Arial"/>
                <w:b/>
                <w:sz w:val="20"/>
                <w:szCs w:val="20"/>
              </w:rPr>
            </w:pPr>
          </w:p>
          <w:p w14:paraId="138D95A8" w14:textId="77777777" w:rsidR="00306B0F" w:rsidRDefault="00306B0F" w:rsidP="00D452D2">
            <w:pPr>
              <w:rPr>
                <w:rFonts w:cs="Arial"/>
                <w:b/>
                <w:sz w:val="20"/>
                <w:szCs w:val="20"/>
              </w:rPr>
            </w:pPr>
          </w:p>
          <w:p w14:paraId="39B303D5" w14:textId="77777777" w:rsidR="00306B0F" w:rsidRDefault="00306B0F" w:rsidP="00D452D2">
            <w:pPr>
              <w:rPr>
                <w:rFonts w:cs="Arial"/>
                <w:b/>
                <w:sz w:val="20"/>
                <w:szCs w:val="20"/>
              </w:rPr>
            </w:pPr>
          </w:p>
          <w:p w14:paraId="23A6C5E4" w14:textId="77777777" w:rsidR="00306B0F" w:rsidRPr="00647DAE" w:rsidRDefault="00306B0F" w:rsidP="00D452D2">
            <w:pPr>
              <w:rPr>
                <w:rFonts w:cs="Arial"/>
                <w:b/>
                <w:sz w:val="20"/>
                <w:szCs w:val="20"/>
              </w:rPr>
            </w:pPr>
          </w:p>
          <w:p w14:paraId="5002888E" w14:textId="77777777" w:rsidR="00306B0F" w:rsidRPr="00647DAE" w:rsidRDefault="00306B0F" w:rsidP="00D452D2">
            <w:pPr>
              <w:rPr>
                <w:rFonts w:cs="Arial"/>
                <w:b/>
                <w:sz w:val="20"/>
                <w:szCs w:val="20"/>
              </w:rPr>
            </w:pPr>
            <w:r w:rsidRPr="00647DAE">
              <w:rPr>
                <w:rFonts w:cs="Arial"/>
                <w:b/>
                <w:sz w:val="20"/>
                <w:szCs w:val="20"/>
              </w:rPr>
              <w:t>Yes, Achieved (A)</w:t>
            </w:r>
            <w:r w:rsidRPr="00647DAE">
              <w:rPr>
                <w:rFonts w:cs="Arial"/>
                <w:sz w:val="20"/>
                <w:szCs w:val="20"/>
              </w:rPr>
              <w:t xml:space="preserve"> – in all of the supported countries, results and experiences have been disseminated through workshops and at events.</w:t>
            </w:r>
          </w:p>
        </w:tc>
        <w:tc>
          <w:tcPr>
            <w:tcW w:w="2268" w:type="dxa"/>
          </w:tcPr>
          <w:p w14:paraId="0C3D896E" w14:textId="77777777" w:rsidR="00306B0F" w:rsidRPr="00647DAE" w:rsidRDefault="00306B0F" w:rsidP="00D452D2">
            <w:pPr>
              <w:rPr>
                <w:rFonts w:cs="Arial"/>
                <w:sz w:val="20"/>
                <w:szCs w:val="20"/>
              </w:rPr>
            </w:pPr>
            <w:r w:rsidRPr="00647DAE">
              <w:rPr>
                <w:rFonts w:cs="Arial"/>
                <w:b/>
                <w:sz w:val="20"/>
                <w:szCs w:val="20"/>
              </w:rPr>
              <w:t>No, Not Achieved (B)</w:t>
            </w:r>
            <w:r w:rsidRPr="00647DAE">
              <w:rPr>
                <w:rFonts w:cs="Arial"/>
                <w:sz w:val="20"/>
                <w:szCs w:val="20"/>
              </w:rPr>
              <w:t xml:space="preserve"> – although it is challenging to attribute wider CCUS activities in each of the supported countries to the success of UK support, currently the countries supported have primarily focused their efforts on </w:t>
            </w:r>
            <w:r>
              <w:rPr>
                <w:rFonts w:cs="Arial"/>
                <w:sz w:val="20"/>
                <w:szCs w:val="20"/>
              </w:rPr>
              <w:t>accelerating progress</w:t>
            </w:r>
            <w:r w:rsidRPr="00647DAE">
              <w:rPr>
                <w:rFonts w:cs="Arial"/>
                <w:sz w:val="20"/>
                <w:szCs w:val="20"/>
              </w:rPr>
              <w:t xml:space="preserve"> of their first CCUS pilot projects.</w:t>
            </w:r>
          </w:p>
          <w:p w14:paraId="2FCDEC45" w14:textId="77777777" w:rsidR="00306B0F" w:rsidRDefault="00306B0F" w:rsidP="00D452D2">
            <w:pPr>
              <w:rPr>
                <w:rFonts w:cs="Arial"/>
                <w:sz w:val="20"/>
                <w:szCs w:val="20"/>
              </w:rPr>
            </w:pPr>
          </w:p>
          <w:p w14:paraId="09EDEC76" w14:textId="77777777" w:rsidR="00306B0F" w:rsidRDefault="00306B0F" w:rsidP="00D452D2">
            <w:pPr>
              <w:rPr>
                <w:rFonts w:cs="Arial"/>
                <w:sz w:val="20"/>
                <w:szCs w:val="20"/>
              </w:rPr>
            </w:pPr>
          </w:p>
          <w:p w14:paraId="079512BC" w14:textId="77777777" w:rsidR="00306B0F" w:rsidRPr="00647DAE" w:rsidRDefault="00306B0F" w:rsidP="00D452D2">
            <w:pPr>
              <w:rPr>
                <w:rFonts w:cs="Arial"/>
                <w:sz w:val="20"/>
                <w:szCs w:val="20"/>
              </w:rPr>
            </w:pPr>
            <w:r>
              <w:rPr>
                <w:rFonts w:cs="Arial"/>
                <w:b/>
                <w:sz w:val="20"/>
                <w:szCs w:val="20"/>
              </w:rPr>
              <w:t>No, Not</w:t>
            </w:r>
            <w:r w:rsidRPr="00647DAE">
              <w:rPr>
                <w:rFonts w:cs="Arial"/>
                <w:b/>
                <w:sz w:val="20"/>
                <w:szCs w:val="20"/>
              </w:rPr>
              <w:t>, Achieved (</w:t>
            </w:r>
            <w:r>
              <w:rPr>
                <w:rFonts w:cs="Arial"/>
                <w:b/>
                <w:sz w:val="20"/>
                <w:szCs w:val="20"/>
              </w:rPr>
              <w:t>C</w:t>
            </w:r>
            <w:r w:rsidRPr="00647DAE">
              <w:rPr>
                <w:rFonts w:cs="Arial"/>
                <w:b/>
                <w:sz w:val="20"/>
                <w:szCs w:val="20"/>
              </w:rPr>
              <w:t>)</w:t>
            </w:r>
            <w:r w:rsidRPr="00647DAE">
              <w:rPr>
                <w:rFonts w:cs="Arial"/>
                <w:sz w:val="20"/>
                <w:szCs w:val="20"/>
              </w:rPr>
              <w:t xml:space="preserve"> – </w:t>
            </w:r>
            <w:r>
              <w:rPr>
                <w:rFonts w:cs="Arial"/>
                <w:sz w:val="20"/>
                <w:szCs w:val="20"/>
              </w:rPr>
              <w:t xml:space="preserve">in-country in-person events were cancelled in 2020 due to the COVID19 pandemic. The ADB did host 4 virtual workshops but these did not specifically share the results and experience of UK-supported projects. </w:t>
            </w:r>
          </w:p>
        </w:tc>
      </w:tr>
    </w:tbl>
    <w:p w14:paraId="78563AE9" w14:textId="77777777" w:rsidR="00306B0F" w:rsidRDefault="00306B0F" w:rsidP="00306B0F">
      <w:pPr>
        <w:rPr>
          <w:i/>
        </w:rPr>
      </w:pPr>
    </w:p>
    <w:p w14:paraId="1F1F040B" w14:textId="77777777" w:rsidR="00306B0F" w:rsidRDefault="00306B0F" w:rsidP="00306B0F">
      <w:pPr>
        <w:rPr>
          <w:i/>
        </w:rPr>
      </w:pPr>
    </w:p>
    <w:p w14:paraId="03EAD62B" w14:textId="77777777" w:rsidR="00306B0F" w:rsidRPr="005F31B4" w:rsidRDefault="00306B0F" w:rsidP="00306B0F">
      <w:pPr>
        <w:rPr>
          <w:i/>
        </w:rPr>
      </w:pPr>
      <w:r w:rsidRPr="002B0CD8">
        <w:rPr>
          <w:i/>
        </w:rPr>
        <w:t>Tab</w:t>
      </w:r>
      <w:r>
        <w:rPr>
          <w:i/>
        </w:rPr>
        <w:t>le 3</w:t>
      </w:r>
      <w:r w:rsidRPr="002B0CD8">
        <w:rPr>
          <w:i/>
        </w:rPr>
        <w:t xml:space="preserve">: </w:t>
      </w:r>
      <w:r>
        <w:rPr>
          <w:i/>
        </w:rPr>
        <w:t xml:space="preserve">Description and rationale for </w:t>
      </w:r>
      <w:r w:rsidRPr="002B0CD8">
        <w:rPr>
          <w:i/>
        </w:rPr>
        <w:t>assessing the degree of transformational change</w:t>
      </w:r>
      <w:r>
        <w:rPr>
          <w:i/>
        </w:rPr>
        <w:t xml:space="preserve"> using the identified rubric statements for box markings 0-4.</w:t>
      </w:r>
    </w:p>
    <w:p w14:paraId="6326DDA0" w14:textId="77777777" w:rsidR="00306B0F" w:rsidRDefault="00306B0F" w:rsidP="00306B0F">
      <w:pPr>
        <w:pStyle w:val="ListParagraph"/>
        <w:jc w:val="center"/>
      </w:pPr>
    </w:p>
    <w:tbl>
      <w:tblPr>
        <w:tblW w:w="9356" w:type="dxa"/>
        <w:jc w:val="center"/>
        <w:tblLayout w:type="fixed"/>
        <w:tblLook w:val="04A0" w:firstRow="1" w:lastRow="0" w:firstColumn="1" w:lastColumn="0" w:noHBand="0" w:noVBand="1"/>
      </w:tblPr>
      <w:tblGrid>
        <w:gridCol w:w="993"/>
        <w:gridCol w:w="1984"/>
        <w:gridCol w:w="1843"/>
        <w:gridCol w:w="4536"/>
      </w:tblGrid>
      <w:tr w:rsidR="00306B0F" w:rsidRPr="008869CF" w14:paraId="45F77AFB" w14:textId="77777777" w:rsidTr="00D452D2">
        <w:trPr>
          <w:trHeight w:val="50"/>
          <w:jc w:val="center"/>
        </w:trPr>
        <w:tc>
          <w:tcPr>
            <w:tcW w:w="993"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65113131" w14:textId="77777777" w:rsidR="00306B0F" w:rsidRPr="008869CF" w:rsidRDefault="00306B0F" w:rsidP="00D452D2">
            <w:pPr>
              <w:rPr>
                <w:b/>
                <w:bCs/>
                <w:color w:val="FFFFFF"/>
                <w:sz w:val="22"/>
                <w:szCs w:val="22"/>
                <w:lang w:eastAsia="en-GB"/>
              </w:rPr>
            </w:pPr>
            <w:r w:rsidRPr="008869CF">
              <w:rPr>
                <w:b/>
                <w:bCs/>
                <w:color w:val="FFFFFF"/>
                <w:sz w:val="22"/>
                <w:szCs w:val="22"/>
                <w:lang w:eastAsia="en-GB"/>
              </w:rPr>
              <w:t>Rubric</w:t>
            </w:r>
          </w:p>
        </w:tc>
        <w:tc>
          <w:tcPr>
            <w:tcW w:w="1984"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5F991E7C" w14:textId="77777777" w:rsidR="00306B0F" w:rsidRPr="008869CF" w:rsidRDefault="00306B0F" w:rsidP="00D452D2">
            <w:pPr>
              <w:rPr>
                <w:b/>
                <w:bCs/>
                <w:color w:val="FFFFFF"/>
                <w:sz w:val="22"/>
                <w:szCs w:val="22"/>
                <w:lang w:eastAsia="en-GB"/>
              </w:rPr>
            </w:pPr>
            <w:r w:rsidRPr="008869CF">
              <w:rPr>
                <w:b/>
                <w:bCs/>
                <w:color w:val="FFFFFF"/>
                <w:sz w:val="22"/>
                <w:szCs w:val="22"/>
                <w:lang w:eastAsia="en-GB"/>
              </w:rPr>
              <w:t>Definition</w:t>
            </w:r>
          </w:p>
        </w:tc>
        <w:tc>
          <w:tcPr>
            <w:tcW w:w="1843"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033544A" w14:textId="77777777" w:rsidR="00306B0F" w:rsidRPr="008869CF" w:rsidRDefault="00306B0F" w:rsidP="00D452D2">
            <w:pPr>
              <w:rPr>
                <w:b/>
                <w:bCs/>
                <w:color w:val="FFFFFF"/>
                <w:sz w:val="22"/>
                <w:szCs w:val="22"/>
                <w:lang w:eastAsia="en-GB"/>
              </w:rPr>
            </w:pPr>
            <w:r w:rsidRPr="008869CF">
              <w:rPr>
                <w:b/>
                <w:bCs/>
                <w:color w:val="FFFFFF"/>
                <w:sz w:val="22"/>
                <w:szCs w:val="22"/>
                <w:lang w:eastAsia="en-GB"/>
              </w:rPr>
              <w:t>Methodology</w:t>
            </w:r>
          </w:p>
        </w:tc>
        <w:tc>
          <w:tcPr>
            <w:tcW w:w="4536"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C355B2C" w14:textId="77777777" w:rsidR="00306B0F" w:rsidRPr="008869CF" w:rsidRDefault="00306B0F" w:rsidP="00D452D2">
            <w:pPr>
              <w:rPr>
                <w:b/>
                <w:bCs/>
                <w:color w:val="FFFFFF"/>
                <w:sz w:val="22"/>
                <w:szCs w:val="22"/>
                <w:lang w:eastAsia="en-GB"/>
              </w:rPr>
            </w:pPr>
            <w:r w:rsidRPr="008869CF">
              <w:rPr>
                <w:b/>
                <w:bCs/>
                <w:color w:val="FFFFFF"/>
                <w:sz w:val="22"/>
                <w:szCs w:val="22"/>
                <w:lang w:eastAsia="en-GB"/>
              </w:rPr>
              <w:t>Rationale</w:t>
            </w:r>
          </w:p>
        </w:tc>
      </w:tr>
      <w:tr w:rsidR="00306B0F" w:rsidRPr="008869CF" w14:paraId="795AC9A4" w14:textId="77777777" w:rsidTr="00D452D2">
        <w:trPr>
          <w:trHeight w:val="438"/>
          <w:jc w:val="center"/>
        </w:trPr>
        <w:tc>
          <w:tcPr>
            <w:tcW w:w="9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35BA69" w14:textId="77777777" w:rsidR="00306B0F" w:rsidRPr="008869CF" w:rsidRDefault="00306B0F" w:rsidP="00D452D2">
            <w:pPr>
              <w:jc w:val="center"/>
              <w:rPr>
                <w:color w:val="000000"/>
                <w:sz w:val="22"/>
                <w:szCs w:val="22"/>
                <w:lang w:eastAsia="en-GB"/>
              </w:rPr>
            </w:pPr>
            <w:r w:rsidRPr="008869CF">
              <w:rPr>
                <w:color w:val="000000"/>
                <w:sz w:val="22"/>
                <w:szCs w:val="22"/>
                <w:lang w:eastAsia="en-GB"/>
              </w:rPr>
              <w:t>0</w:t>
            </w:r>
          </w:p>
        </w:tc>
        <w:tc>
          <w:tcPr>
            <w:tcW w:w="1984" w:type="dxa"/>
            <w:tcBorders>
              <w:top w:val="nil"/>
              <w:left w:val="nil"/>
              <w:bottom w:val="single" w:sz="4" w:space="0" w:color="auto"/>
              <w:right w:val="single" w:sz="4" w:space="0" w:color="auto"/>
            </w:tcBorders>
            <w:shd w:val="clear" w:color="auto" w:fill="auto"/>
            <w:vAlign w:val="center"/>
            <w:hideMark/>
          </w:tcPr>
          <w:p w14:paraId="223D3612" w14:textId="77777777" w:rsidR="00306B0F" w:rsidRPr="008869CF" w:rsidRDefault="00306B0F" w:rsidP="00D452D2">
            <w:pPr>
              <w:rPr>
                <w:color w:val="000000"/>
                <w:sz w:val="22"/>
                <w:szCs w:val="22"/>
                <w:lang w:eastAsia="en-GB"/>
              </w:rPr>
            </w:pPr>
            <w:r w:rsidRPr="008869CF">
              <w:rPr>
                <w:color w:val="000000"/>
                <w:sz w:val="22"/>
                <w:szCs w:val="22"/>
                <w:lang w:eastAsia="en-GB"/>
              </w:rPr>
              <w:t>Transformation judged unlikely</w:t>
            </w:r>
          </w:p>
        </w:tc>
        <w:tc>
          <w:tcPr>
            <w:tcW w:w="1843" w:type="dxa"/>
            <w:tcBorders>
              <w:top w:val="nil"/>
              <w:left w:val="nil"/>
              <w:bottom w:val="single" w:sz="4" w:space="0" w:color="auto"/>
              <w:right w:val="single" w:sz="4" w:space="0" w:color="auto"/>
            </w:tcBorders>
            <w:shd w:val="clear" w:color="auto" w:fill="auto"/>
            <w:noWrap/>
            <w:vAlign w:val="center"/>
            <w:hideMark/>
          </w:tcPr>
          <w:p w14:paraId="215027E8" w14:textId="77777777" w:rsidR="00306B0F" w:rsidRPr="008869CF" w:rsidRDefault="00306B0F" w:rsidP="00D452D2">
            <w:pPr>
              <w:rPr>
                <w:color w:val="000000"/>
                <w:sz w:val="22"/>
                <w:szCs w:val="22"/>
                <w:lang w:eastAsia="en-GB"/>
              </w:rPr>
            </w:pPr>
            <w:r w:rsidRPr="008869CF">
              <w:rPr>
                <w:color w:val="000000"/>
                <w:sz w:val="22"/>
                <w:szCs w:val="22"/>
                <w:lang w:eastAsia="en-GB"/>
              </w:rPr>
              <w:t>0 / 1</w:t>
            </w:r>
            <w:r>
              <w:rPr>
                <w:color w:val="000000"/>
                <w:sz w:val="22"/>
                <w:szCs w:val="22"/>
                <w:lang w:eastAsia="en-GB"/>
              </w:rPr>
              <w:t>2</w:t>
            </w:r>
            <w:r w:rsidRPr="008869CF">
              <w:rPr>
                <w:color w:val="000000"/>
                <w:sz w:val="22"/>
                <w:szCs w:val="22"/>
                <w:lang w:eastAsia="en-GB"/>
              </w:rPr>
              <w:t xml:space="preserve"> statements in </w:t>
            </w:r>
            <w:r>
              <w:rPr>
                <w:color w:val="000000"/>
                <w:sz w:val="22"/>
                <w:szCs w:val="22"/>
                <w:lang w:eastAsia="en-GB"/>
              </w:rPr>
              <w:t>t</w:t>
            </w:r>
            <w:r w:rsidRPr="008869CF">
              <w:rPr>
                <w:color w:val="000000"/>
                <w:sz w:val="22"/>
                <w:szCs w:val="22"/>
                <w:lang w:eastAsia="en-GB"/>
              </w:rPr>
              <w:t xml:space="preserve">able </w:t>
            </w:r>
            <w:r>
              <w:rPr>
                <w:color w:val="000000"/>
                <w:sz w:val="22"/>
                <w:szCs w:val="22"/>
                <w:lang w:eastAsia="en-GB"/>
              </w:rPr>
              <w:t>2</w:t>
            </w:r>
            <w:r w:rsidRPr="008869CF">
              <w:rPr>
                <w:color w:val="000000"/>
                <w:sz w:val="22"/>
                <w:szCs w:val="22"/>
                <w:lang w:eastAsia="en-GB"/>
              </w:rPr>
              <w:t xml:space="preserve"> are true</w:t>
            </w:r>
          </w:p>
        </w:tc>
        <w:tc>
          <w:tcPr>
            <w:tcW w:w="4536" w:type="dxa"/>
            <w:tcBorders>
              <w:top w:val="nil"/>
              <w:left w:val="nil"/>
              <w:bottom w:val="single" w:sz="4" w:space="0" w:color="auto"/>
              <w:right w:val="single" w:sz="4" w:space="0" w:color="auto"/>
            </w:tcBorders>
            <w:shd w:val="clear" w:color="auto" w:fill="auto"/>
            <w:noWrap/>
            <w:vAlign w:val="center"/>
            <w:hideMark/>
          </w:tcPr>
          <w:p w14:paraId="1B17C12E" w14:textId="77777777" w:rsidR="00306B0F" w:rsidRPr="008869CF" w:rsidRDefault="00306B0F" w:rsidP="00D452D2">
            <w:pPr>
              <w:jc w:val="both"/>
              <w:rPr>
                <w:color w:val="000000"/>
                <w:sz w:val="22"/>
                <w:szCs w:val="22"/>
                <w:lang w:eastAsia="en-GB"/>
              </w:rPr>
            </w:pPr>
            <w:r w:rsidRPr="008869CF">
              <w:rPr>
                <w:color w:val="000000"/>
                <w:sz w:val="22"/>
                <w:szCs w:val="22"/>
                <w:lang w:eastAsia="en-GB"/>
              </w:rPr>
              <w:t>Adapted from the CP3 programme's approach</w:t>
            </w:r>
          </w:p>
        </w:tc>
      </w:tr>
      <w:tr w:rsidR="00306B0F" w:rsidRPr="008869CF" w14:paraId="625E9C1A" w14:textId="77777777" w:rsidTr="00D452D2">
        <w:trPr>
          <w:trHeight w:val="449"/>
          <w:jc w:val="center"/>
        </w:trPr>
        <w:tc>
          <w:tcPr>
            <w:tcW w:w="9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F680CE" w14:textId="77777777" w:rsidR="00306B0F" w:rsidRPr="008869CF" w:rsidRDefault="00306B0F" w:rsidP="00D452D2">
            <w:pPr>
              <w:jc w:val="center"/>
              <w:rPr>
                <w:color w:val="000000"/>
                <w:sz w:val="22"/>
                <w:szCs w:val="22"/>
                <w:lang w:eastAsia="en-GB"/>
              </w:rPr>
            </w:pPr>
            <w:r w:rsidRPr="008869CF">
              <w:rPr>
                <w:color w:val="000000"/>
                <w:sz w:val="22"/>
                <w:szCs w:val="22"/>
                <w:lang w:eastAsia="en-GB"/>
              </w:rPr>
              <w:t>1</w:t>
            </w:r>
          </w:p>
        </w:tc>
        <w:tc>
          <w:tcPr>
            <w:tcW w:w="1984" w:type="dxa"/>
            <w:tcBorders>
              <w:top w:val="nil"/>
              <w:left w:val="nil"/>
              <w:bottom w:val="single" w:sz="4" w:space="0" w:color="auto"/>
              <w:right w:val="single" w:sz="4" w:space="0" w:color="auto"/>
            </w:tcBorders>
            <w:shd w:val="clear" w:color="auto" w:fill="auto"/>
            <w:vAlign w:val="center"/>
            <w:hideMark/>
          </w:tcPr>
          <w:p w14:paraId="4DB82BC9" w14:textId="77777777" w:rsidR="00306B0F" w:rsidRPr="008869CF" w:rsidRDefault="00306B0F" w:rsidP="00D452D2">
            <w:pPr>
              <w:rPr>
                <w:color w:val="000000"/>
                <w:sz w:val="22"/>
                <w:szCs w:val="22"/>
                <w:lang w:eastAsia="en-GB"/>
              </w:rPr>
            </w:pPr>
            <w:r w:rsidRPr="008869CF">
              <w:rPr>
                <w:color w:val="000000"/>
                <w:sz w:val="22"/>
                <w:szCs w:val="22"/>
                <w:lang w:eastAsia="en-GB"/>
              </w:rPr>
              <w:t>No evidence yet available</w:t>
            </w:r>
          </w:p>
        </w:tc>
        <w:tc>
          <w:tcPr>
            <w:tcW w:w="1843" w:type="dxa"/>
            <w:tcBorders>
              <w:top w:val="nil"/>
              <w:left w:val="nil"/>
              <w:bottom w:val="single" w:sz="4" w:space="0" w:color="auto"/>
              <w:right w:val="single" w:sz="4" w:space="0" w:color="auto"/>
            </w:tcBorders>
            <w:shd w:val="clear" w:color="auto" w:fill="auto"/>
            <w:noWrap/>
            <w:vAlign w:val="center"/>
            <w:hideMark/>
          </w:tcPr>
          <w:p w14:paraId="2D74ACC4" w14:textId="77777777" w:rsidR="00306B0F" w:rsidRPr="008869CF" w:rsidRDefault="00306B0F" w:rsidP="00D452D2">
            <w:pPr>
              <w:rPr>
                <w:color w:val="000000"/>
                <w:sz w:val="22"/>
                <w:szCs w:val="22"/>
                <w:lang w:eastAsia="en-GB"/>
              </w:rPr>
            </w:pPr>
            <w:r w:rsidRPr="008869CF">
              <w:rPr>
                <w:color w:val="000000"/>
                <w:sz w:val="22"/>
                <w:szCs w:val="22"/>
                <w:lang w:eastAsia="en-GB"/>
              </w:rPr>
              <w:t xml:space="preserve">2 / 2 statements in </w:t>
            </w:r>
            <w:r>
              <w:rPr>
                <w:color w:val="000000"/>
                <w:sz w:val="22"/>
                <w:szCs w:val="22"/>
                <w:lang w:eastAsia="en-GB"/>
              </w:rPr>
              <w:t>t</w:t>
            </w:r>
            <w:r w:rsidRPr="008869CF">
              <w:rPr>
                <w:color w:val="000000"/>
                <w:sz w:val="22"/>
                <w:szCs w:val="22"/>
                <w:lang w:eastAsia="en-GB"/>
              </w:rPr>
              <w:t xml:space="preserve">able </w:t>
            </w:r>
            <w:r>
              <w:rPr>
                <w:color w:val="000000"/>
                <w:sz w:val="22"/>
                <w:szCs w:val="22"/>
                <w:lang w:eastAsia="en-GB"/>
              </w:rPr>
              <w:t>1</w:t>
            </w:r>
            <w:r w:rsidRPr="008869CF">
              <w:rPr>
                <w:color w:val="000000"/>
                <w:sz w:val="22"/>
                <w:szCs w:val="22"/>
                <w:lang w:eastAsia="en-GB"/>
              </w:rPr>
              <w:t xml:space="preserve"> are true</w:t>
            </w:r>
          </w:p>
        </w:tc>
        <w:tc>
          <w:tcPr>
            <w:tcW w:w="4536" w:type="dxa"/>
            <w:tcBorders>
              <w:top w:val="nil"/>
              <w:left w:val="nil"/>
              <w:bottom w:val="single" w:sz="4" w:space="0" w:color="auto"/>
              <w:right w:val="single" w:sz="4" w:space="0" w:color="auto"/>
            </w:tcBorders>
            <w:shd w:val="clear" w:color="auto" w:fill="auto"/>
            <w:noWrap/>
            <w:vAlign w:val="center"/>
            <w:hideMark/>
          </w:tcPr>
          <w:p w14:paraId="7014A082" w14:textId="77777777" w:rsidR="00306B0F" w:rsidRPr="008869CF" w:rsidRDefault="00306B0F" w:rsidP="00D452D2">
            <w:pPr>
              <w:jc w:val="both"/>
              <w:rPr>
                <w:color w:val="000000"/>
                <w:sz w:val="22"/>
                <w:szCs w:val="22"/>
                <w:lang w:eastAsia="en-GB"/>
              </w:rPr>
            </w:pPr>
            <w:r w:rsidRPr="008869CF">
              <w:rPr>
                <w:color w:val="000000"/>
                <w:sz w:val="22"/>
                <w:szCs w:val="22"/>
                <w:lang w:eastAsia="en-GB"/>
              </w:rPr>
              <w:t>Uses the CP3 programme's approach</w:t>
            </w:r>
          </w:p>
        </w:tc>
      </w:tr>
      <w:tr w:rsidR="00306B0F" w:rsidRPr="008869CF" w14:paraId="0772FC01" w14:textId="77777777" w:rsidTr="00D452D2">
        <w:trPr>
          <w:trHeight w:val="887"/>
          <w:jc w:val="center"/>
        </w:trPr>
        <w:tc>
          <w:tcPr>
            <w:tcW w:w="9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2977B78" w14:textId="77777777" w:rsidR="00306B0F" w:rsidRPr="008869CF" w:rsidRDefault="00306B0F" w:rsidP="00D452D2">
            <w:pPr>
              <w:jc w:val="center"/>
              <w:rPr>
                <w:color w:val="000000"/>
                <w:sz w:val="22"/>
                <w:szCs w:val="22"/>
                <w:lang w:eastAsia="en-GB"/>
              </w:rPr>
            </w:pPr>
            <w:r w:rsidRPr="008869CF">
              <w:rPr>
                <w:color w:val="000000"/>
                <w:sz w:val="22"/>
                <w:szCs w:val="22"/>
                <w:lang w:eastAsia="en-GB"/>
              </w:rPr>
              <w:t>2</w:t>
            </w:r>
          </w:p>
        </w:tc>
        <w:tc>
          <w:tcPr>
            <w:tcW w:w="1984" w:type="dxa"/>
            <w:tcBorders>
              <w:top w:val="nil"/>
              <w:left w:val="nil"/>
              <w:bottom w:val="single" w:sz="4" w:space="0" w:color="auto"/>
              <w:right w:val="single" w:sz="4" w:space="0" w:color="auto"/>
            </w:tcBorders>
            <w:shd w:val="clear" w:color="auto" w:fill="auto"/>
            <w:vAlign w:val="center"/>
            <w:hideMark/>
          </w:tcPr>
          <w:p w14:paraId="68688541" w14:textId="77777777" w:rsidR="00306B0F" w:rsidRPr="008869CF" w:rsidRDefault="00306B0F" w:rsidP="00D452D2">
            <w:pPr>
              <w:rPr>
                <w:color w:val="000000"/>
                <w:sz w:val="22"/>
                <w:szCs w:val="22"/>
                <w:lang w:eastAsia="en-GB"/>
              </w:rPr>
            </w:pPr>
            <w:r w:rsidRPr="008869CF">
              <w:rPr>
                <w:color w:val="000000"/>
                <w:sz w:val="22"/>
                <w:szCs w:val="22"/>
                <w:lang w:eastAsia="en-GB"/>
              </w:rPr>
              <w:t>Some early evidence suggests transformational change is likely</w:t>
            </w:r>
          </w:p>
        </w:tc>
        <w:tc>
          <w:tcPr>
            <w:tcW w:w="1843" w:type="dxa"/>
            <w:tcBorders>
              <w:top w:val="nil"/>
              <w:left w:val="nil"/>
              <w:bottom w:val="single" w:sz="4" w:space="0" w:color="auto"/>
              <w:right w:val="single" w:sz="4" w:space="0" w:color="auto"/>
            </w:tcBorders>
            <w:shd w:val="clear" w:color="auto" w:fill="auto"/>
            <w:noWrap/>
            <w:vAlign w:val="center"/>
            <w:hideMark/>
          </w:tcPr>
          <w:p w14:paraId="0CCD0694" w14:textId="77777777" w:rsidR="00306B0F" w:rsidRPr="008869CF" w:rsidRDefault="00306B0F" w:rsidP="00D452D2">
            <w:pPr>
              <w:rPr>
                <w:color w:val="000000"/>
                <w:sz w:val="22"/>
                <w:szCs w:val="22"/>
                <w:lang w:eastAsia="en-GB"/>
              </w:rPr>
            </w:pPr>
            <w:r w:rsidRPr="008869CF">
              <w:rPr>
                <w:color w:val="000000"/>
                <w:sz w:val="22"/>
                <w:szCs w:val="22"/>
                <w:lang w:eastAsia="en-GB"/>
              </w:rPr>
              <w:t>1-2 / 1</w:t>
            </w:r>
            <w:r>
              <w:rPr>
                <w:color w:val="000000"/>
                <w:sz w:val="22"/>
                <w:szCs w:val="22"/>
                <w:lang w:eastAsia="en-GB"/>
              </w:rPr>
              <w:t>2</w:t>
            </w:r>
            <w:r w:rsidRPr="008869CF">
              <w:rPr>
                <w:color w:val="000000"/>
                <w:sz w:val="22"/>
                <w:szCs w:val="22"/>
                <w:lang w:eastAsia="en-GB"/>
              </w:rPr>
              <w:t xml:space="preserve"> statements in </w:t>
            </w:r>
            <w:r>
              <w:rPr>
                <w:color w:val="000000"/>
                <w:sz w:val="22"/>
                <w:szCs w:val="22"/>
                <w:lang w:eastAsia="en-GB"/>
              </w:rPr>
              <w:t>t</w:t>
            </w:r>
            <w:r w:rsidRPr="008869CF">
              <w:rPr>
                <w:color w:val="000000"/>
                <w:sz w:val="22"/>
                <w:szCs w:val="22"/>
                <w:lang w:eastAsia="en-GB"/>
              </w:rPr>
              <w:t xml:space="preserve">able </w:t>
            </w:r>
            <w:r>
              <w:rPr>
                <w:color w:val="000000"/>
                <w:sz w:val="22"/>
                <w:szCs w:val="22"/>
                <w:lang w:eastAsia="en-GB"/>
              </w:rPr>
              <w:t>2</w:t>
            </w:r>
            <w:r w:rsidRPr="008869CF">
              <w:rPr>
                <w:color w:val="000000"/>
                <w:sz w:val="22"/>
                <w:szCs w:val="22"/>
                <w:lang w:eastAsia="en-GB"/>
              </w:rPr>
              <w:t xml:space="preserve"> are true</w:t>
            </w:r>
          </w:p>
        </w:tc>
        <w:tc>
          <w:tcPr>
            <w:tcW w:w="4536" w:type="dxa"/>
            <w:tcBorders>
              <w:top w:val="nil"/>
              <w:left w:val="nil"/>
              <w:bottom w:val="single" w:sz="4" w:space="0" w:color="auto"/>
              <w:right w:val="single" w:sz="4" w:space="0" w:color="auto"/>
            </w:tcBorders>
            <w:shd w:val="clear" w:color="auto" w:fill="auto"/>
            <w:vAlign w:val="center"/>
            <w:hideMark/>
          </w:tcPr>
          <w:p w14:paraId="308207D3" w14:textId="77777777" w:rsidR="00306B0F" w:rsidRPr="008869CF" w:rsidRDefault="00306B0F" w:rsidP="00D452D2">
            <w:pPr>
              <w:jc w:val="both"/>
              <w:rPr>
                <w:color w:val="000000"/>
                <w:sz w:val="22"/>
                <w:szCs w:val="22"/>
                <w:lang w:eastAsia="en-GB"/>
              </w:rPr>
            </w:pPr>
            <w:r w:rsidRPr="008869CF">
              <w:rPr>
                <w:color w:val="000000"/>
                <w:sz w:val="22"/>
                <w:szCs w:val="22"/>
                <w:lang w:eastAsia="en-GB"/>
              </w:rPr>
              <w:t>Improves upon the CP3 programme's approach by providing a list of the same ten statements for rubrics 0, 2, 3 and 4 with the categories split to be middle-heavy to reflect global CCUS deployment and transformational experiences to date</w:t>
            </w:r>
          </w:p>
        </w:tc>
      </w:tr>
      <w:tr w:rsidR="00306B0F" w:rsidRPr="008869CF" w14:paraId="4F189602" w14:textId="77777777" w:rsidTr="00D452D2">
        <w:trPr>
          <w:trHeight w:val="769"/>
          <w:jc w:val="center"/>
        </w:trPr>
        <w:tc>
          <w:tcPr>
            <w:tcW w:w="9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3A5760" w14:textId="77777777" w:rsidR="00306B0F" w:rsidRPr="008869CF" w:rsidRDefault="00306B0F" w:rsidP="00D452D2">
            <w:pPr>
              <w:jc w:val="center"/>
              <w:rPr>
                <w:color w:val="000000"/>
                <w:sz w:val="22"/>
                <w:szCs w:val="22"/>
                <w:lang w:eastAsia="en-GB"/>
              </w:rPr>
            </w:pPr>
            <w:r w:rsidRPr="008869CF">
              <w:rPr>
                <w:color w:val="000000"/>
                <w:sz w:val="22"/>
                <w:szCs w:val="22"/>
                <w:lang w:eastAsia="en-GB"/>
              </w:rPr>
              <w:t>3</w:t>
            </w:r>
          </w:p>
        </w:tc>
        <w:tc>
          <w:tcPr>
            <w:tcW w:w="1984" w:type="dxa"/>
            <w:tcBorders>
              <w:top w:val="nil"/>
              <w:left w:val="nil"/>
              <w:bottom w:val="single" w:sz="4" w:space="0" w:color="auto"/>
              <w:right w:val="single" w:sz="4" w:space="0" w:color="auto"/>
            </w:tcBorders>
            <w:shd w:val="clear" w:color="auto" w:fill="auto"/>
            <w:vAlign w:val="center"/>
            <w:hideMark/>
          </w:tcPr>
          <w:p w14:paraId="1636F3BD" w14:textId="77777777" w:rsidR="00306B0F" w:rsidRPr="008869CF" w:rsidRDefault="00306B0F" w:rsidP="00D452D2">
            <w:pPr>
              <w:rPr>
                <w:color w:val="000000"/>
                <w:sz w:val="22"/>
                <w:szCs w:val="22"/>
                <w:lang w:eastAsia="en-GB"/>
              </w:rPr>
            </w:pPr>
            <w:r w:rsidRPr="22EBFCB2">
              <w:rPr>
                <w:color w:val="000000" w:themeColor="text1"/>
                <w:sz w:val="22"/>
                <w:szCs w:val="22"/>
                <w:lang w:eastAsia="en-GB"/>
              </w:rPr>
              <w:t>Tentative evidence of change – transformation judged likely</w:t>
            </w:r>
          </w:p>
        </w:tc>
        <w:tc>
          <w:tcPr>
            <w:tcW w:w="1843" w:type="dxa"/>
            <w:tcBorders>
              <w:top w:val="nil"/>
              <w:left w:val="nil"/>
              <w:bottom w:val="single" w:sz="4" w:space="0" w:color="auto"/>
              <w:right w:val="single" w:sz="4" w:space="0" w:color="auto"/>
            </w:tcBorders>
            <w:shd w:val="clear" w:color="auto" w:fill="auto"/>
            <w:noWrap/>
            <w:vAlign w:val="center"/>
            <w:hideMark/>
          </w:tcPr>
          <w:p w14:paraId="553168C9" w14:textId="77777777" w:rsidR="00306B0F" w:rsidRPr="008869CF" w:rsidRDefault="00306B0F" w:rsidP="00D452D2">
            <w:pPr>
              <w:rPr>
                <w:color w:val="000000"/>
                <w:sz w:val="22"/>
                <w:szCs w:val="22"/>
                <w:lang w:eastAsia="en-GB"/>
              </w:rPr>
            </w:pPr>
            <w:r w:rsidRPr="22EBFCB2">
              <w:rPr>
                <w:color w:val="000000" w:themeColor="text1"/>
                <w:sz w:val="22"/>
                <w:szCs w:val="22"/>
                <w:lang w:eastAsia="en-GB"/>
              </w:rPr>
              <w:t>3-8 / 12 statements in table 2 are true</w:t>
            </w:r>
          </w:p>
        </w:tc>
        <w:tc>
          <w:tcPr>
            <w:tcW w:w="4536" w:type="dxa"/>
            <w:tcBorders>
              <w:top w:val="nil"/>
              <w:left w:val="nil"/>
              <w:bottom w:val="single" w:sz="4" w:space="0" w:color="auto"/>
              <w:right w:val="single" w:sz="4" w:space="0" w:color="auto"/>
            </w:tcBorders>
            <w:shd w:val="clear" w:color="auto" w:fill="auto"/>
            <w:vAlign w:val="center"/>
            <w:hideMark/>
          </w:tcPr>
          <w:p w14:paraId="638DB9AA" w14:textId="77777777" w:rsidR="00306B0F" w:rsidRPr="008869CF" w:rsidRDefault="00306B0F" w:rsidP="00D452D2">
            <w:pPr>
              <w:jc w:val="both"/>
              <w:rPr>
                <w:color w:val="000000"/>
                <w:sz w:val="22"/>
                <w:szCs w:val="22"/>
                <w:lang w:eastAsia="en-GB"/>
              </w:rPr>
            </w:pPr>
            <w:r w:rsidRPr="008869CF">
              <w:rPr>
                <w:color w:val="000000"/>
                <w:sz w:val="22"/>
                <w:szCs w:val="22"/>
                <w:lang w:eastAsia="en-GB"/>
              </w:rPr>
              <w:t xml:space="preserve">As above. The rubric statements are developed from the ICF </w:t>
            </w:r>
            <w:r>
              <w:rPr>
                <w:color w:val="000000"/>
                <w:sz w:val="22"/>
                <w:szCs w:val="22"/>
                <w:lang w:eastAsia="en-GB"/>
              </w:rPr>
              <w:t>g</w:t>
            </w:r>
            <w:r w:rsidRPr="008869CF">
              <w:rPr>
                <w:color w:val="000000"/>
                <w:sz w:val="22"/>
                <w:szCs w:val="22"/>
                <w:lang w:eastAsia="en-GB"/>
              </w:rPr>
              <w:t xml:space="preserve">lobal CCUS </w:t>
            </w:r>
            <w:r>
              <w:rPr>
                <w:color w:val="000000"/>
                <w:sz w:val="22"/>
                <w:szCs w:val="22"/>
                <w:lang w:eastAsia="en-GB"/>
              </w:rPr>
              <w:t>e</w:t>
            </w:r>
            <w:r w:rsidRPr="008869CF">
              <w:rPr>
                <w:color w:val="000000"/>
                <w:sz w:val="22"/>
                <w:szCs w:val="22"/>
                <w:lang w:eastAsia="en-GB"/>
              </w:rPr>
              <w:t xml:space="preserve">vidence </w:t>
            </w:r>
            <w:r>
              <w:rPr>
                <w:color w:val="000000"/>
                <w:sz w:val="22"/>
                <w:szCs w:val="22"/>
                <w:lang w:eastAsia="en-GB"/>
              </w:rPr>
              <w:t>r</w:t>
            </w:r>
            <w:r w:rsidRPr="008869CF">
              <w:rPr>
                <w:color w:val="000000"/>
                <w:sz w:val="22"/>
                <w:szCs w:val="22"/>
                <w:lang w:eastAsia="en-GB"/>
              </w:rPr>
              <w:t>eview (completed in September 2017</w:t>
            </w:r>
            <w:r>
              <w:rPr>
                <w:color w:val="000000"/>
                <w:sz w:val="22"/>
                <w:szCs w:val="22"/>
                <w:lang w:eastAsia="en-GB"/>
              </w:rPr>
              <w:t xml:space="preserve"> and updated in September 2018</w:t>
            </w:r>
            <w:r w:rsidRPr="008869CF">
              <w:rPr>
                <w:color w:val="000000"/>
                <w:sz w:val="22"/>
                <w:szCs w:val="22"/>
                <w:lang w:eastAsia="en-GB"/>
              </w:rPr>
              <w:t>) and the experiences of the ICF CCUS programme to date</w:t>
            </w:r>
            <w:r>
              <w:rPr>
                <w:color w:val="000000"/>
                <w:sz w:val="22"/>
                <w:szCs w:val="22"/>
                <w:lang w:eastAsia="en-GB"/>
              </w:rPr>
              <w:t>.</w:t>
            </w:r>
          </w:p>
        </w:tc>
      </w:tr>
      <w:tr w:rsidR="00306B0F" w:rsidRPr="008869CF" w14:paraId="6BE18EE6" w14:textId="77777777" w:rsidTr="00D452D2">
        <w:trPr>
          <w:trHeight w:val="1086"/>
          <w:jc w:val="center"/>
        </w:trPr>
        <w:tc>
          <w:tcPr>
            <w:tcW w:w="9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3FB01A" w14:textId="77777777" w:rsidR="00306B0F" w:rsidRPr="008869CF" w:rsidRDefault="00306B0F" w:rsidP="00D452D2">
            <w:pPr>
              <w:jc w:val="center"/>
              <w:rPr>
                <w:color w:val="000000"/>
                <w:sz w:val="22"/>
                <w:szCs w:val="22"/>
                <w:lang w:eastAsia="en-GB"/>
              </w:rPr>
            </w:pPr>
            <w:r w:rsidRPr="008869CF">
              <w:rPr>
                <w:color w:val="000000"/>
                <w:sz w:val="22"/>
                <w:szCs w:val="22"/>
                <w:lang w:eastAsia="en-GB"/>
              </w:rPr>
              <w:lastRenderedPageBreak/>
              <w:t>4</w:t>
            </w:r>
          </w:p>
        </w:tc>
        <w:tc>
          <w:tcPr>
            <w:tcW w:w="1984" w:type="dxa"/>
            <w:tcBorders>
              <w:top w:val="nil"/>
              <w:left w:val="nil"/>
              <w:bottom w:val="single" w:sz="4" w:space="0" w:color="auto"/>
              <w:right w:val="single" w:sz="4" w:space="0" w:color="auto"/>
            </w:tcBorders>
            <w:shd w:val="clear" w:color="auto" w:fill="auto"/>
            <w:vAlign w:val="center"/>
            <w:hideMark/>
          </w:tcPr>
          <w:p w14:paraId="0F53CC6F" w14:textId="77777777" w:rsidR="00306B0F" w:rsidRPr="008869CF" w:rsidRDefault="00306B0F" w:rsidP="00D452D2">
            <w:pPr>
              <w:rPr>
                <w:color w:val="000000"/>
                <w:sz w:val="22"/>
                <w:szCs w:val="22"/>
                <w:lang w:eastAsia="en-GB"/>
              </w:rPr>
            </w:pPr>
            <w:r w:rsidRPr="008869CF">
              <w:rPr>
                <w:color w:val="000000"/>
                <w:sz w:val="22"/>
                <w:szCs w:val="22"/>
                <w:lang w:eastAsia="en-GB"/>
              </w:rPr>
              <w:t>Clear evidence of change – transformation judged very likely</w:t>
            </w:r>
          </w:p>
        </w:tc>
        <w:tc>
          <w:tcPr>
            <w:tcW w:w="1843" w:type="dxa"/>
            <w:tcBorders>
              <w:top w:val="nil"/>
              <w:left w:val="nil"/>
              <w:bottom w:val="single" w:sz="4" w:space="0" w:color="auto"/>
              <w:right w:val="single" w:sz="4" w:space="0" w:color="auto"/>
            </w:tcBorders>
            <w:shd w:val="clear" w:color="auto" w:fill="auto"/>
            <w:noWrap/>
            <w:vAlign w:val="center"/>
            <w:hideMark/>
          </w:tcPr>
          <w:p w14:paraId="1CD682E3" w14:textId="77777777" w:rsidR="00306B0F" w:rsidRPr="008869CF" w:rsidRDefault="00306B0F" w:rsidP="00D452D2">
            <w:pPr>
              <w:rPr>
                <w:color w:val="000000"/>
                <w:sz w:val="22"/>
                <w:szCs w:val="22"/>
                <w:lang w:eastAsia="en-GB"/>
              </w:rPr>
            </w:pPr>
            <w:r w:rsidRPr="008869CF">
              <w:rPr>
                <w:color w:val="000000"/>
                <w:sz w:val="22"/>
                <w:szCs w:val="22"/>
                <w:lang w:eastAsia="en-GB"/>
              </w:rPr>
              <w:t>9-1</w:t>
            </w:r>
            <w:r>
              <w:rPr>
                <w:color w:val="000000"/>
                <w:sz w:val="22"/>
                <w:szCs w:val="22"/>
                <w:lang w:eastAsia="en-GB"/>
              </w:rPr>
              <w:t>2</w:t>
            </w:r>
            <w:r w:rsidRPr="008869CF">
              <w:rPr>
                <w:color w:val="000000"/>
                <w:sz w:val="22"/>
                <w:szCs w:val="22"/>
                <w:lang w:eastAsia="en-GB"/>
              </w:rPr>
              <w:t xml:space="preserve"> / 1</w:t>
            </w:r>
            <w:r>
              <w:rPr>
                <w:color w:val="000000"/>
                <w:sz w:val="22"/>
                <w:szCs w:val="22"/>
                <w:lang w:eastAsia="en-GB"/>
              </w:rPr>
              <w:t>2</w:t>
            </w:r>
            <w:r w:rsidRPr="008869CF">
              <w:rPr>
                <w:color w:val="000000"/>
                <w:sz w:val="22"/>
                <w:szCs w:val="22"/>
                <w:lang w:eastAsia="en-GB"/>
              </w:rPr>
              <w:t xml:space="preserve"> statements in </w:t>
            </w:r>
            <w:r>
              <w:rPr>
                <w:color w:val="000000"/>
                <w:sz w:val="22"/>
                <w:szCs w:val="22"/>
                <w:lang w:eastAsia="en-GB"/>
              </w:rPr>
              <w:t>t</w:t>
            </w:r>
            <w:r w:rsidRPr="008869CF">
              <w:rPr>
                <w:color w:val="000000"/>
                <w:sz w:val="22"/>
                <w:szCs w:val="22"/>
                <w:lang w:eastAsia="en-GB"/>
              </w:rPr>
              <w:t xml:space="preserve">able </w:t>
            </w:r>
            <w:r>
              <w:rPr>
                <w:color w:val="000000"/>
                <w:sz w:val="22"/>
                <w:szCs w:val="22"/>
                <w:lang w:eastAsia="en-GB"/>
              </w:rPr>
              <w:t>2</w:t>
            </w:r>
            <w:r w:rsidRPr="008869CF">
              <w:rPr>
                <w:color w:val="000000"/>
                <w:sz w:val="22"/>
                <w:szCs w:val="22"/>
                <w:lang w:eastAsia="en-GB"/>
              </w:rPr>
              <w:t xml:space="preserve"> are true</w:t>
            </w:r>
          </w:p>
        </w:tc>
        <w:tc>
          <w:tcPr>
            <w:tcW w:w="4536" w:type="dxa"/>
            <w:tcBorders>
              <w:top w:val="nil"/>
              <w:left w:val="nil"/>
              <w:bottom w:val="single" w:sz="4" w:space="0" w:color="auto"/>
              <w:right w:val="single" w:sz="4" w:space="0" w:color="auto"/>
            </w:tcBorders>
            <w:shd w:val="clear" w:color="auto" w:fill="auto"/>
            <w:vAlign w:val="center"/>
            <w:hideMark/>
          </w:tcPr>
          <w:p w14:paraId="6C67F9A8" w14:textId="77777777" w:rsidR="00306B0F" w:rsidRPr="008869CF" w:rsidRDefault="00306B0F" w:rsidP="00D452D2">
            <w:pPr>
              <w:jc w:val="both"/>
              <w:rPr>
                <w:color w:val="000000"/>
                <w:sz w:val="22"/>
                <w:szCs w:val="22"/>
                <w:lang w:eastAsia="en-GB"/>
              </w:rPr>
            </w:pPr>
            <w:r w:rsidRPr="008869CF">
              <w:rPr>
                <w:color w:val="000000"/>
                <w:sz w:val="22"/>
                <w:szCs w:val="22"/>
                <w:lang w:eastAsia="en-GB"/>
              </w:rPr>
              <w:t>As above. No country has yet reached transformational change with CCUS, usually due to 1-2 of the rubric statements missing. This provides the rationale for requiring (almost) all of the rubric statements to be true</w:t>
            </w:r>
          </w:p>
        </w:tc>
      </w:tr>
    </w:tbl>
    <w:p w14:paraId="47340AE9" w14:textId="77777777" w:rsidR="00306B0F" w:rsidRDefault="00306B0F" w:rsidP="00306B0F"/>
    <w:p w14:paraId="32936224" w14:textId="77777777" w:rsidR="00306B0F" w:rsidRDefault="00306B0F" w:rsidP="00306B0F">
      <w:pPr>
        <w:numPr>
          <w:ilvl w:val="0"/>
          <w:numId w:val="16"/>
        </w:numPr>
        <w:jc w:val="both"/>
      </w:pPr>
      <w:r>
        <w:t>Data to assess the three criteria (‘fostering political will to act on climate change’, ‘encouraging innovation and testing new approaches and ideas’, and ‘demonstrating replication by others’) are obtained each year as part of the annual review process, which runs from January to April for the international CCUS programme.</w:t>
      </w:r>
    </w:p>
    <w:p w14:paraId="5B28BC38" w14:textId="77777777" w:rsidR="00306B0F" w:rsidRDefault="00306B0F" w:rsidP="00306B0F">
      <w:pPr>
        <w:jc w:val="both"/>
      </w:pPr>
    </w:p>
    <w:p w14:paraId="44C99293" w14:textId="77777777" w:rsidR="00306B0F" w:rsidRDefault="00306B0F" w:rsidP="00306B0F">
      <w:pPr>
        <w:numPr>
          <w:ilvl w:val="0"/>
          <w:numId w:val="16"/>
        </w:numPr>
        <w:jc w:val="both"/>
      </w:pPr>
      <w:r>
        <w:t>The data are collected in three main ways:</w:t>
      </w:r>
    </w:p>
    <w:p w14:paraId="0408F044" w14:textId="77777777" w:rsidR="00306B0F" w:rsidRDefault="00306B0F" w:rsidP="00306B0F">
      <w:pPr>
        <w:jc w:val="both"/>
      </w:pPr>
    </w:p>
    <w:p w14:paraId="65F61287" w14:textId="77777777" w:rsidR="00306B0F" w:rsidRDefault="00306B0F" w:rsidP="00306B0F">
      <w:pPr>
        <w:numPr>
          <w:ilvl w:val="1"/>
          <w:numId w:val="16"/>
        </w:numPr>
        <w:jc w:val="both"/>
      </w:pPr>
      <w:r>
        <w:t>Data submitted by the delivery partners (the ADB and the World Bank) through the programme logframe, through their annual CCUS Trust Fund reports (which are presented each year at the respective annual donors consultation meetings), and via calls with the World Bank and the ADB CCUS Trust Fund management team. Timescale: twice per year</w:t>
      </w:r>
    </w:p>
    <w:p w14:paraId="2C31BD3B" w14:textId="77777777" w:rsidR="00306B0F" w:rsidRDefault="00306B0F" w:rsidP="00306B0F">
      <w:pPr>
        <w:jc w:val="both"/>
      </w:pPr>
    </w:p>
    <w:p w14:paraId="0B354166" w14:textId="77777777" w:rsidR="00306B0F" w:rsidRDefault="00306B0F" w:rsidP="00306B0F">
      <w:pPr>
        <w:numPr>
          <w:ilvl w:val="1"/>
          <w:numId w:val="16"/>
        </w:numPr>
        <w:jc w:val="both"/>
      </w:pPr>
      <w:r>
        <w:t>Data collected independently by the BEIS programme manager, such as through CCUS missions to collect participant feedback forms from events and workshops, conduct (informal) interviews with key stakeholders, and observe supported activities directly. Timescale: twice per year</w:t>
      </w:r>
    </w:p>
    <w:p w14:paraId="151AAC0A" w14:textId="77777777" w:rsidR="00306B0F" w:rsidRPr="008F326D" w:rsidRDefault="00306B0F" w:rsidP="00306B0F">
      <w:pPr>
        <w:rPr>
          <w:rFonts w:cs="Arial"/>
        </w:rPr>
      </w:pPr>
    </w:p>
    <w:p w14:paraId="3B46C823" w14:textId="77777777" w:rsidR="00306B0F" w:rsidRPr="002052EC" w:rsidRDefault="00306B0F" w:rsidP="00306B0F">
      <w:pPr>
        <w:numPr>
          <w:ilvl w:val="0"/>
          <w:numId w:val="16"/>
        </w:numPr>
        <w:jc w:val="both"/>
      </w:pPr>
      <w:r w:rsidRPr="002052EC">
        <w:t>Overall assessment:</w:t>
      </w:r>
    </w:p>
    <w:p w14:paraId="2578ABA7" w14:textId="77777777" w:rsidR="00306B0F" w:rsidRPr="001647B8" w:rsidRDefault="00306B0F" w:rsidP="00306B0F">
      <w:pPr>
        <w:numPr>
          <w:ilvl w:val="1"/>
          <w:numId w:val="16"/>
        </w:numPr>
        <w:jc w:val="both"/>
      </w:pPr>
      <w:r w:rsidRPr="001647B8">
        <w:t>Score – 3 (Tentative evidence of change – transformation judged likely</w:t>
      </w:r>
      <w:r w:rsidRPr="001647B8">
        <w:rPr>
          <w:lang w:eastAsia="en-GB"/>
        </w:rPr>
        <w:t>)</w:t>
      </w:r>
    </w:p>
    <w:p w14:paraId="215DDD58" w14:textId="77777777" w:rsidR="00306B0F" w:rsidRDefault="00306B0F" w:rsidP="00A06ADB">
      <w:pPr>
        <w:ind w:left="1080"/>
        <w:jc w:val="both"/>
      </w:pPr>
      <w:r>
        <w:t>4</w:t>
      </w:r>
      <w:r w:rsidRPr="001647B8">
        <w:t xml:space="preserve">/12 rubric statements scored “Yes, Achieved” with </w:t>
      </w:r>
      <w:r>
        <w:t>4</w:t>
      </w:r>
      <w:r w:rsidRPr="001647B8">
        <w:t>/12 rubric statements scoring “No, Partially Achieved”</w:t>
      </w:r>
      <w:r>
        <w:t xml:space="preserve"> and 4/12 statements scoring ‘No, not achieved’</w:t>
      </w:r>
      <w:r w:rsidRPr="001647B8">
        <w:t>. BEIS expected progress against the ‘No, partially achieved’ statements in 2020 but progress was impacted by COVID</w:t>
      </w:r>
      <w:r>
        <w:t>-</w:t>
      </w:r>
      <w:r w:rsidRPr="001647B8">
        <w:t>19 restrictions and delays to decision-making in target countries.</w:t>
      </w:r>
    </w:p>
    <w:p w14:paraId="3B31C813" w14:textId="77777777" w:rsidR="00A371F1" w:rsidRDefault="00A371F1"/>
    <w:sectPr w:rsidR="00A371F1" w:rsidSect="00D452D2">
      <w:headerReference w:type="even" r:id="rId23"/>
      <w:headerReference w:type="default" r:id="rId24"/>
      <w:footerReference w:type="even" r:id="rId25"/>
      <w:footerReference w:type="default" r:id="rId26"/>
      <w:headerReference w:type="first" r:id="rId27"/>
      <w:footerReference w:type="first" r:id="rId2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7533" w14:textId="77777777" w:rsidR="002E33E9" w:rsidRDefault="002E33E9" w:rsidP="00376FAB">
      <w:r>
        <w:separator/>
      </w:r>
    </w:p>
  </w:endnote>
  <w:endnote w:type="continuationSeparator" w:id="0">
    <w:p w14:paraId="5F431CED" w14:textId="77777777" w:rsidR="002E33E9" w:rsidRDefault="002E33E9" w:rsidP="00376FAB">
      <w:r>
        <w:continuationSeparator/>
      </w:r>
    </w:p>
  </w:endnote>
  <w:endnote w:type="continuationNotice" w:id="1">
    <w:p w14:paraId="6515CC0C" w14:textId="77777777" w:rsidR="002E33E9" w:rsidRDefault="002E3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7F0E" w14:textId="77777777" w:rsidR="00D452D2" w:rsidRDefault="00D45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9001" w14:textId="77777777" w:rsidR="00D452D2" w:rsidRDefault="00D45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F7F8" w14:textId="77777777" w:rsidR="00D452D2" w:rsidRDefault="00D45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D631" w14:textId="77777777" w:rsidR="002E33E9" w:rsidRDefault="002E33E9" w:rsidP="00376FAB">
      <w:r>
        <w:separator/>
      </w:r>
    </w:p>
  </w:footnote>
  <w:footnote w:type="continuationSeparator" w:id="0">
    <w:p w14:paraId="22D0A923" w14:textId="77777777" w:rsidR="002E33E9" w:rsidRDefault="002E33E9" w:rsidP="00376FAB">
      <w:r>
        <w:continuationSeparator/>
      </w:r>
    </w:p>
  </w:footnote>
  <w:footnote w:type="continuationNotice" w:id="1">
    <w:p w14:paraId="17889D29" w14:textId="77777777" w:rsidR="002E33E9" w:rsidRDefault="002E3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46D6" w14:textId="77777777" w:rsidR="00D452D2" w:rsidRDefault="00D45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3DA5" w14:textId="77777777" w:rsidR="00D452D2" w:rsidRDefault="0097223F">
    <w:pPr>
      <w:pStyle w:val="Header"/>
    </w:pPr>
    <w:r>
      <w:rPr>
        <w:noProof/>
      </w:rPr>
      <mc:AlternateContent>
        <mc:Choice Requires="wps">
          <w:drawing>
            <wp:anchor distT="0" distB="0" distL="114300" distR="114300" simplePos="0" relativeHeight="251658240" behindDoc="0" locked="0" layoutInCell="0" allowOverlap="1" wp14:anchorId="529D07E8" wp14:editId="6D4525F9">
              <wp:simplePos x="0" y="0"/>
              <wp:positionH relativeFrom="page">
                <wp:posOffset>0</wp:posOffset>
              </wp:positionH>
              <wp:positionV relativeFrom="page">
                <wp:posOffset>190500</wp:posOffset>
              </wp:positionV>
              <wp:extent cx="7560310" cy="273050"/>
              <wp:effectExtent l="0" t="0" r="0" b="12700"/>
              <wp:wrapNone/>
              <wp:docPr id="1" name="MSIPCM412f4516a6274136433f2e09"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D2BB4" w14:textId="77777777" w:rsidR="00D452D2" w:rsidRPr="006E5785" w:rsidRDefault="00D452D2" w:rsidP="00D452D2">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9D07E8" id="_x0000_t202" coordsize="21600,21600" o:spt="202" path="m,l,21600r21600,l21600,xe">
              <v:stroke joinstyle="miter"/>
              <v:path gradientshapeok="t" o:connecttype="rect"/>
            </v:shapetype>
            <v:shape id="MSIPCM412f4516a6274136433f2e09"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VdY4o7ICAABIBQAADgAA&#10;AAAAAAAAAAAAAAAuAgAAZHJzL2Uyb0RvYy54bWxQSwECLQAUAAYACAAAACEAaQHeI9wAAAAHAQAA&#10;DwAAAAAAAAAAAAAAAAAMBQAAZHJzL2Rvd25yZXYueG1sUEsFBgAAAAAEAAQA8wAAABUGAAAAAA==&#10;" o:allowincell="f" filled="f" stroked="f" strokeweight=".5pt">
              <v:textbox inset="20pt,0,,0">
                <w:txbxContent>
                  <w:p w14:paraId="316D2BB4" w14:textId="77777777" w:rsidR="00D452D2" w:rsidRPr="006E5785" w:rsidRDefault="00D452D2" w:rsidP="00D452D2">
                    <w:pP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A553" w14:textId="77777777" w:rsidR="00D452D2" w:rsidRDefault="00D4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DE4"/>
    <w:multiLevelType w:val="hybridMultilevel"/>
    <w:tmpl w:val="9B08F48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B4AA1"/>
    <w:multiLevelType w:val="hybridMultilevel"/>
    <w:tmpl w:val="3440F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13D3C"/>
    <w:multiLevelType w:val="multilevel"/>
    <w:tmpl w:val="ABE87D30"/>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E531A6"/>
    <w:multiLevelType w:val="hybridMultilevel"/>
    <w:tmpl w:val="A3F09614"/>
    <w:lvl w:ilvl="0" w:tplc="61D479AE">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8359C"/>
    <w:multiLevelType w:val="hybridMultilevel"/>
    <w:tmpl w:val="10F4D0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004F6F"/>
    <w:multiLevelType w:val="hybridMultilevel"/>
    <w:tmpl w:val="57C6DB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9D3D5C"/>
    <w:multiLevelType w:val="hybridMultilevel"/>
    <w:tmpl w:val="66AC5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554DE"/>
    <w:multiLevelType w:val="hybridMultilevel"/>
    <w:tmpl w:val="362481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E67C3C"/>
    <w:multiLevelType w:val="hybridMultilevel"/>
    <w:tmpl w:val="CF021F04"/>
    <w:lvl w:ilvl="0" w:tplc="67EC300C">
      <w:start w:val="1"/>
      <w:numFmt w:val="bullet"/>
      <w:lvlText w:val=""/>
      <w:lvlJc w:val="left"/>
      <w:pPr>
        <w:tabs>
          <w:tab w:val="num" w:pos="720"/>
        </w:tabs>
        <w:ind w:left="720" w:hanging="360"/>
      </w:pPr>
      <w:rPr>
        <w:rFonts w:ascii="Wingdings" w:hAnsi="Wingdings" w:hint="default"/>
      </w:rPr>
    </w:lvl>
    <w:lvl w:ilvl="1" w:tplc="B9CC6D7C" w:tentative="1">
      <w:start w:val="1"/>
      <w:numFmt w:val="bullet"/>
      <w:lvlText w:val=""/>
      <w:lvlJc w:val="left"/>
      <w:pPr>
        <w:tabs>
          <w:tab w:val="num" w:pos="1440"/>
        </w:tabs>
        <w:ind w:left="1440" w:hanging="360"/>
      </w:pPr>
      <w:rPr>
        <w:rFonts w:ascii="Wingdings" w:hAnsi="Wingdings" w:hint="default"/>
      </w:rPr>
    </w:lvl>
    <w:lvl w:ilvl="2" w:tplc="BC48C71C" w:tentative="1">
      <w:start w:val="1"/>
      <w:numFmt w:val="bullet"/>
      <w:lvlText w:val=""/>
      <w:lvlJc w:val="left"/>
      <w:pPr>
        <w:tabs>
          <w:tab w:val="num" w:pos="2160"/>
        </w:tabs>
        <w:ind w:left="2160" w:hanging="360"/>
      </w:pPr>
      <w:rPr>
        <w:rFonts w:ascii="Wingdings" w:hAnsi="Wingdings" w:hint="default"/>
      </w:rPr>
    </w:lvl>
    <w:lvl w:ilvl="3" w:tplc="3B241FAA" w:tentative="1">
      <w:start w:val="1"/>
      <w:numFmt w:val="bullet"/>
      <w:lvlText w:val=""/>
      <w:lvlJc w:val="left"/>
      <w:pPr>
        <w:tabs>
          <w:tab w:val="num" w:pos="2880"/>
        </w:tabs>
        <w:ind w:left="2880" w:hanging="360"/>
      </w:pPr>
      <w:rPr>
        <w:rFonts w:ascii="Wingdings" w:hAnsi="Wingdings" w:hint="default"/>
      </w:rPr>
    </w:lvl>
    <w:lvl w:ilvl="4" w:tplc="3D44EC00" w:tentative="1">
      <w:start w:val="1"/>
      <w:numFmt w:val="bullet"/>
      <w:lvlText w:val=""/>
      <w:lvlJc w:val="left"/>
      <w:pPr>
        <w:tabs>
          <w:tab w:val="num" w:pos="3600"/>
        </w:tabs>
        <w:ind w:left="3600" w:hanging="360"/>
      </w:pPr>
      <w:rPr>
        <w:rFonts w:ascii="Wingdings" w:hAnsi="Wingdings" w:hint="default"/>
      </w:rPr>
    </w:lvl>
    <w:lvl w:ilvl="5" w:tplc="67D018EE" w:tentative="1">
      <w:start w:val="1"/>
      <w:numFmt w:val="bullet"/>
      <w:lvlText w:val=""/>
      <w:lvlJc w:val="left"/>
      <w:pPr>
        <w:tabs>
          <w:tab w:val="num" w:pos="4320"/>
        </w:tabs>
        <w:ind w:left="4320" w:hanging="360"/>
      </w:pPr>
      <w:rPr>
        <w:rFonts w:ascii="Wingdings" w:hAnsi="Wingdings" w:hint="default"/>
      </w:rPr>
    </w:lvl>
    <w:lvl w:ilvl="6" w:tplc="BB2E89C0" w:tentative="1">
      <w:start w:val="1"/>
      <w:numFmt w:val="bullet"/>
      <w:lvlText w:val=""/>
      <w:lvlJc w:val="left"/>
      <w:pPr>
        <w:tabs>
          <w:tab w:val="num" w:pos="5040"/>
        </w:tabs>
        <w:ind w:left="5040" w:hanging="360"/>
      </w:pPr>
      <w:rPr>
        <w:rFonts w:ascii="Wingdings" w:hAnsi="Wingdings" w:hint="default"/>
      </w:rPr>
    </w:lvl>
    <w:lvl w:ilvl="7" w:tplc="31F873B0" w:tentative="1">
      <w:start w:val="1"/>
      <w:numFmt w:val="bullet"/>
      <w:lvlText w:val=""/>
      <w:lvlJc w:val="left"/>
      <w:pPr>
        <w:tabs>
          <w:tab w:val="num" w:pos="5760"/>
        </w:tabs>
        <w:ind w:left="5760" w:hanging="360"/>
      </w:pPr>
      <w:rPr>
        <w:rFonts w:ascii="Wingdings" w:hAnsi="Wingdings" w:hint="default"/>
      </w:rPr>
    </w:lvl>
    <w:lvl w:ilvl="8" w:tplc="93F48B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916CD"/>
    <w:multiLevelType w:val="hybridMultilevel"/>
    <w:tmpl w:val="98AEDC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D864D2"/>
    <w:multiLevelType w:val="hybridMultilevel"/>
    <w:tmpl w:val="479E0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386A71"/>
    <w:multiLevelType w:val="hybridMultilevel"/>
    <w:tmpl w:val="9C5A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B1E62"/>
    <w:multiLevelType w:val="hybridMultilevel"/>
    <w:tmpl w:val="A3E4CAD8"/>
    <w:lvl w:ilvl="0" w:tplc="6142A2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F7849"/>
    <w:multiLevelType w:val="hybridMultilevel"/>
    <w:tmpl w:val="329AA4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F0593"/>
    <w:multiLevelType w:val="hybridMultilevel"/>
    <w:tmpl w:val="EDB2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4012BF"/>
    <w:multiLevelType w:val="hybridMultilevel"/>
    <w:tmpl w:val="AC3CED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AE649D"/>
    <w:multiLevelType w:val="hybridMultilevel"/>
    <w:tmpl w:val="5540FD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44CDC"/>
    <w:multiLevelType w:val="hybridMultilevel"/>
    <w:tmpl w:val="B53E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70012A"/>
    <w:multiLevelType w:val="hybridMultilevel"/>
    <w:tmpl w:val="A12246A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466973"/>
    <w:multiLevelType w:val="hybridMultilevel"/>
    <w:tmpl w:val="468CCF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1A6895"/>
    <w:multiLevelType w:val="hybridMultilevel"/>
    <w:tmpl w:val="6AE409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803920"/>
    <w:multiLevelType w:val="hybridMultilevel"/>
    <w:tmpl w:val="67361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2948E0"/>
    <w:multiLevelType w:val="hybridMultilevel"/>
    <w:tmpl w:val="BBBED6AA"/>
    <w:lvl w:ilvl="0" w:tplc="33E4FE6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3E24B8"/>
    <w:multiLevelType w:val="hybridMultilevel"/>
    <w:tmpl w:val="ABC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D77ECB"/>
    <w:multiLevelType w:val="hybridMultilevel"/>
    <w:tmpl w:val="2E6895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0D13FC"/>
    <w:multiLevelType w:val="hybridMultilevel"/>
    <w:tmpl w:val="D3E801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E352CF"/>
    <w:multiLevelType w:val="hybridMultilevel"/>
    <w:tmpl w:val="ED5EB1C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814825"/>
    <w:multiLevelType w:val="hybridMultilevel"/>
    <w:tmpl w:val="CD70FF2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AB13C2"/>
    <w:multiLevelType w:val="hybridMultilevel"/>
    <w:tmpl w:val="206E6BA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B56D3C"/>
    <w:multiLevelType w:val="hybridMultilevel"/>
    <w:tmpl w:val="EA4ACE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567DF9"/>
    <w:multiLevelType w:val="hybridMultilevel"/>
    <w:tmpl w:val="B4E064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B72524"/>
    <w:multiLevelType w:val="hybridMultilevel"/>
    <w:tmpl w:val="C1660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853759"/>
    <w:multiLevelType w:val="hybridMultilevel"/>
    <w:tmpl w:val="11564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0645EE"/>
    <w:multiLevelType w:val="hybridMultilevel"/>
    <w:tmpl w:val="1F3C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66926"/>
    <w:multiLevelType w:val="hybridMultilevel"/>
    <w:tmpl w:val="2E745D4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100D9"/>
    <w:multiLevelType w:val="hybridMultilevel"/>
    <w:tmpl w:val="43C44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B17D05"/>
    <w:multiLevelType w:val="hybridMultilevel"/>
    <w:tmpl w:val="C074D1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32"/>
  </w:num>
  <w:num w:numId="3">
    <w:abstractNumId w:val="6"/>
  </w:num>
  <w:num w:numId="4">
    <w:abstractNumId w:val="10"/>
  </w:num>
  <w:num w:numId="5">
    <w:abstractNumId w:val="35"/>
  </w:num>
  <w:num w:numId="6">
    <w:abstractNumId w:val="1"/>
  </w:num>
  <w:num w:numId="7">
    <w:abstractNumId w:val="2"/>
  </w:num>
  <w:num w:numId="8">
    <w:abstractNumId w:val="17"/>
  </w:num>
  <w:num w:numId="9">
    <w:abstractNumId w:val="29"/>
  </w:num>
  <w:num w:numId="10">
    <w:abstractNumId w:val="15"/>
  </w:num>
  <w:num w:numId="11">
    <w:abstractNumId w:val="14"/>
  </w:num>
  <w:num w:numId="12">
    <w:abstractNumId w:val="33"/>
  </w:num>
  <w:num w:numId="13">
    <w:abstractNumId w:val="16"/>
  </w:num>
  <w:num w:numId="14">
    <w:abstractNumId w:val="13"/>
  </w:num>
  <w:num w:numId="15">
    <w:abstractNumId w:val="0"/>
  </w:num>
  <w:num w:numId="16">
    <w:abstractNumId w:val="34"/>
  </w:num>
  <w:num w:numId="17">
    <w:abstractNumId w:val="3"/>
  </w:num>
  <w:num w:numId="18">
    <w:abstractNumId w:val="22"/>
  </w:num>
  <w:num w:numId="19">
    <w:abstractNumId w:val="27"/>
  </w:num>
  <w:num w:numId="20">
    <w:abstractNumId w:val="19"/>
  </w:num>
  <w:num w:numId="21">
    <w:abstractNumId w:val="5"/>
  </w:num>
  <w:num w:numId="22">
    <w:abstractNumId w:val="24"/>
  </w:num>
  <w:num w:numId="23">
    <w:abstractNumId w:val="30"/>
  </w:num>
  <w:num w:numId="24">
    <w:abstractNumId w:val="20"/>
  </w:num>
  <w:num w:numId="25">
    <w:abstractNumId w:val="4"/>
  </w:num>
  <w:num w:numId="26">
    <w:abstractNumId w:val="9"/>
  </w:num>
  <w:num w:numId="27">
    <w:abstractNumId w:val="26"/>
  </w:num>
  <w:num w:numId="28">
    <w:abstractNumId w:val="18"/>
  </w:num>
  <w:num w:numId="29">
    <w:abstractNumId w:val="12"/>
  </w:num>
  <w:num w:numId="30">
    <w:abstractNumId w:val="31"/>
  </w:num>
  <w:num w:numId="31">
    <w:abstractNumId w:val="7"/>
  </w:num>
  <w:num w:numId="32">
    <w:abstractNumId w:val="25"/>
  </w:num>
  <w:num w:numId="33">
    <w:abstractNumId w:val="36"/>
  </w:num>
  <w:num w:numId="34">
    <w:abstractNumId w:val="8"/>
  </w:num>
  <w:num w:numId="35">
    <w:abstractNumId w:val="11"/>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0F"/>
    <w:rsid w:val="0000139B"/>
    <w:rsid w:val="000028A0"/>
    <w:rsid w:val="0000596E"/>
    <w:rsid w:val="00007D75"/>
    <w:rsid w:val="00011701"/>
    <w:rsid w:val="000211FC"/>
    <w:rsid w:val="00022655"/>
    <w:rsid w:val="000246C8"/>
    <w:rsid w:val="000250B9"/>
    <w:rsid w:val="00030938"/>
    <w:rsid w:val="00032F66"/>
    <w:rsid w:val="00033C17"/>
    <w:rsid w:val="0003450E"/>
    <w:rsid w:val="000347D5"/>
    <w:rsid w:val="00036E69"/>
    <w:rsid w:val="00041F7A"/>
    <w:rsid w:val="00044130"/>
    <w:rsid w:val="00046C23"/>
    <w:rsid w:val="000517B0"/>
    <w:rsid w:val="00051CEC"/>
    <w:rsid w:val="00057701"/>
    <w:rsid w:val="000645F7"/>
    <w:rsid w:val="00067E73"/>
    <w:rsid w:val="000771C6"/>
    <w:rsid w:val="00080224"/>
    <w:rsid w:val="00080A3C"/>
    <w:rsid w:val="00085C01"/>
    <w:rsid w:val="00087B4B"/>
    <w:rsid w:val="0009236E"/>
    <w:rsid w:val="000928EA"/>
    <w:rsid w:val="00093B2F"/>
    <w:rsid w:val="000960A9"/>
    <w:rsid w:val="000A1262"/>
    <w:rsid w:val="000A7E7D"/>
    <w:rsid w:val="000B3CC5"/>
    <w:rsid w:val="000C3F14"/>
    <w:rsid w:val="000D1F35"/>
    <w:rsid w:val="000D7E0D"/>
    <w:rsid w:val="000E0D48"/>
    <w:rsid w:val="000E134F"/>
    <w:rsid w:val="000E76C9"/>
    <w:rsid w:val="000F10F4"/>
    <w:rsid w:val="00107DBF"/>
    <w:rsid w:val="0011527C"/>
    <w:rsid w:val="00115C1B"/>
    <w:rsid w:val="00117272"/>
    <w:rsid w:val="00120C6B"/>
    <w:rsid w:val="00123286"/>
    <w:rsid w:val="001252C5"/>
    <w:rsid w:val="001310B9"/>
    <w:rsid w:val="001312CF"/>
    <w:rsid w:val="0013191B"/>
    <w:rsid w:val="00132E58"/>
    <w:rsid w:val="001339A0"/>
    <w:rsid w:val="001355B6"/>
    <w:rsid w:val="0013590A"/>
    <w:rsid w:val="00145A0A"/>
    <w:rsid w:val="001538C2"/>
    <w:rsid w:val="00157965"/>
    <w:rsid w:val="001623B0"/>
    <w:rsid w:val="0016403C"/>
    <w:rsid w:val="00164344"/>
    <w:rsid w:val="001772F3"/>
    <w:rsid w:val="00181C0D"/>
    <w:rsid w:val="0018200D"/>
    <w:rsid w:val="001822C2"/>
    <w:rsid w:val="001826B2"/>
    <w:rsid w:val="00183919"/>
    <w:rsid w:val="00191712"/>
    <w:rsid w:val="001A5FEC"/>
    <w:rsid w:val="001B6EBD"/>
    <w:rsid w:val="001C311D"/>
    <w:rsid w:val="001D13E9"/>
    <w:rsid w:val="001E534C"/>
    <w:rsid w:val="001E7A3C"/>
    <w:rsid w:val="001F70B7"/>
    <w:rsid w:val="002038EE"/>
    <w:rsid w:val="00204A4C"/>
    <w:rsid w:val="00206F9F"/>
    <w:rsid w:val="00216638"/>
    <w:rsid w:val="00223FE8"/>
    <w:rsid w:val="0022761B"/>
    <w:rsid w:val="0023301B"/>
    <w:rsid w:val="0024052C"/>
    <w:rsid w:val="002467B4"/>
    <w:rsid w:val="00251244"/>
    <w:rsid w:val="00252D90"/>
    <w:rsid w:val="002612C1"/>
    <w:rsid w:val="002644F5"/>
    <w:rsid w:val="002661C9"/>
    <w:rsid w:val="0027389D"/>
    <w:rsid w:val="002747AF"/>
    <w:rsid w:val="00275BF2"/>
    <w:rsid w:val="00276185"/>
    <w:rsid w:val="00280BB6"/>
    <w:rsid w:val="00280DE1"/>
    <w:rsid w:val="00282097"/>
    <w:rsid w:val="002955CA"/>
    <w:rsid w:val="002976F0"/>
    <w:rsid w:val="002A0949"/>
    <w:rsid w:val="002A157D"/>
    <w:rsid w:val="002B0E01"/>
    <w:rsid w:val="002C3061"/>
    <w:rsid w:val="002C52D6"/>
    <w:rsid w:val="002D244D"/>
    <w:rsid w:val="002E33E9"/>
    <w:rsid w:val="002E5BCA"/>
    <w:rsid w:val="002E7876"/>
    <w:rsid w:val="002E7F84"/>
    <w:rsid w:val="002F138A"/>
    <w:rsid w:val="002F662E"/>
    <w:rsid w:val="00300879"/>
    <w:rsid w:val="003043E4"/>
    <w:rsid w:val="0030498F"/>
    <w:rsid w:val="00304C8A"/>
    <w:rsid w:val="00306132"/>
    <w:rsid w:val="00306B0F"/>
    <w:rsid w:val="00314AD5"/>
    <w:rsid w:val="00315D00"/>
    <w:rsid w:val="003176FB"/>
    <w:rsid w:val="003208A8"/>
    <w:rsid w:val="00321B90"/>
    <w:rsid w:val="00322329"/>
    <w:rsid w:val="003245F9"/>
    <w:rsid w:val="00326703"/>
    <w:rsid w:val="0032780C"/>
    <w:rsid w:val="00335495"/>
    <w:rsid w:val="00345BBE"/>
    <w:rsid w:val="0035685A"/>
    <w:rsid w:val="00361128"/>
    <w:rsid w:val="0036159A"/>
    <w:rsid w:val="00363EA2"/>
    <w:rsid w:val="003652D1"/>
    <w:rsid w:val="003702A2"/>
    <w:rsid w:val="00375A6A"/>
    <w:rsid w:val="00376FAB"/>
    <w:rsid w:val="00377A4B"/>
    <w:rsid w:val="00377DD6"/>
    <w:rsid w:val="003801D6"/>
    <w:rsid w:val="003801E8"/>
    <w:rsid w:val="0038393B"/>
    <w:rsid w:val="00383F5A"/>
    <w:rsid w:val="0038535A"/>
    <w:rsid w:val="003927ED"/>
    <w:rsid w:val="00394BFD"/>
    <w:rsid w:val="0039718D"/>
    <w:rsid w:val="003A45D0"/>
    <w:rsid w:val="003A61A3"/>
    <w:rsid w:val="003B113D"/>
    <w:rsid w:val="003B4118"/>
    <w:rsid w:val="003B4E18"/>
    <w:rsid w:val="003C0E56"/>
    <w:rsid w:val="003C14FD"/>
    <w:rsid w:val="003D18B3"/>
    <w:rsid w:val="003E03FE"/>
    <w:rsid w:val="003E1AFA"/>
    <w:rsid w:val="003E3159"/>
    <w:rsid w:val="003E584D"/>
    <w:rsid w:val="003F0A39"/>
    <w:rsid w:val="003F78C4"/>
    <w:rsid w:val="004042A4"/>
    <w:rsid w:val="00412BAE"/>
    <w:rsid w:val="0041604F"/>
    <w:rsid w:val="00416681"/>
    <w:rsid w:val="00416E5D"/>
    <w:rsid w:val="00422B39"/>
    <w:rsid w:val="00422F08"/>
    <w:rsid w:val="00430EFB"/>
    <w:rsid w:val="00431258"/>
    <w:rsid w:val="0043638B"/>
    <w:rsid w:val="00443E7B"/>
    <w:rsid w:val="00450A30"/>
    <w:rsid w:val="00450F3D"/>
    <w:rsid w:val="00453766"/>
    <w:rsid w:val="004656D4"/>
    <w:rsid w:val="00466CD4"/>
    <w:rsid w:val="0046728E"/>
    <w:rsid w:val="00477C68"/>
    <w:rsid w:val="00481DAF"/>
    <w:rsid w:val="00482D5D"/>
    <w:rsid w:val="0049458C"/>
    <w:rsid w:val="004A3F41"/>
    <w:rsid w:val="004B315A"/>
    <w:rsid w:val="004C13EB"/>
    <w:rsid w:val="004C5EA5"/>
    <w:rsid w:val="004D04B6"/>
    <w:rsid w:val="004D0677"/>
    <w:rsid w:val="004D74B0"/>
    <w:rsid w:val="004D7E1A"/>
    <w:rsid w:val="004E79E8"/>
    <w:rsid w:val="004F01B2"/>
    <w:rsid w:val="004F5F57"/>
    <w:rsid w:val="004F6683"/>
    <w:rsid w:val="004F75B0"/>
    <w:rsid w:val="00503569"/>
    <w:rsid w:val="0050697B"/>
    <w:rsid w:val="00512143"/>
    <w:rsid w:val="005171BD"/>
    <w:rsid w:val="00522517"/>
    <w:rsid w:val="005347B7"/>
    <w:rsid w:val="0053587B"/>
    <w:rsid w:val="00536500"/>
    <w:rsid w:val="00541CE8"/>
    <w:rsid w:val="00546C14"/>
    <w:rsid w:val="00550542"/>
    <w:rsid w:val="005574F2"/>
    <w:rsid w:val="0057033B"/>
    <w:rsid w:val="00571A61"/>
    <w:rsid w:val="005730B2"/>
    <w:rsid w:val="0057457A"/>
    <w:rsid w:val="0059248F"/>
    <w:rsid w:val="00593452"/>
    <w:rsid w:val="00596C1F"/>
    <w:rsid w:val="005A235D"/>
    <w:rsid w:val="005A6A45"/>
    <w:rsid w:val="005B006F"/>
    <w:rsid w:val="005B18B3"/>
    <w:rsid w:val="005C4972"/>
    <w:rsid w:val="005C49DF"/>
    <w:rsid w:val="005C590B"/>
    <w:rsid w:val="005C7FF2"/>
    <w:rsid w:val="005D191D"/>
    <w:rsid w:val="005D45CD"/>
    <w:rsid w:val="005E0A5A"/>
    <w:rsid w:val="005E2A63"/>
    <w:rsid w:val="005E392B"/>
    <w:rsid w:val="005E5A7E"/>
    <w:rsid w:val="005F3294"/>
    <w:rsid w:val="006016FE"/>
    <w:rsid w:val="006031D1"/>
    <w:rsid w:val="00603337"/>
    <w:rsid w:val="006128B4"/>
    <w:rsid w:val="0061725D"/>
    <w:rsid w:val="00620781"/>
    <w:rsid w:val="0062254F"/>
    <w:rsid w:val="00625AC1"/>
    <w:rsid w:val="00630B22"/>
    <w:rsid w:val="00640090"/>
    <w:rsid w:val="0065724B"/>
    <w:rsid w:val="00661A5A"/>
    <w:rsid w:val="00661DFF"/>
    <w:rsid w:val="0066489F"/>
    <w:rsid w:val="00665298"/>
    <w:rsid w:val="006751D4"/>
    <w:rsid w:val="00680495"/>
    <w:rsid w:val="006840BA"/>
    <w:rsid w:val="00684DC3"/>
    <w:rsid w:val="00686285"/>
    <w:rsid w:val="00687563"/>
    <w:rsid w:val="00690EAB"/>
    <w:rsid w:val="006912E4"/>
    <w:rsid w:val="0069616B"/>
    <w:rsid w:val="006971D6"/>
    <w:rsid w:val="006A1C59"/>
    <w:rsid w:val="006A254D"/>
    <w:rsid w:val="006B304E"/>
    <w:rsid w:val="006B35E2"/>
    <w:rsid w:val="006C306B"/>
    <w:rsid w:val="006D2287"/>
    <w:rsid w:val="006D3EDC"/>
    <w:rsid w:val="006D7C83"/>
    <w:rsid w:val="006F07B7"/>
    <w:rsid w:val="006F5CA0"/>
    <w:rsid w:val="00701521"/>
    <w:rsid w:val="00704465"/>
    <w:rsid w:val="00715174"/>
    <w:rsid w:val="007200A6"/>
    <w:rsid w:val="00723AF5"/>
    <w:rsid w:val="007366A8"/>
    <w:rsid w:val="00741F7A"/>
    <w:rsid w:val="00745E21"/>
    <w:rsid w:val="007470D0"/>
    <w:rsid w:val="00747468"/>
    <w:rsid w:val="007516CD"/>
    <w:rsid w:val="00751DD7"/>
    <w:rsid w:val="00757CA1"/>
    <w:rsid w:val="007614BA"/>
    <w:rsid w:val="0076587F"/>
    <w:rsid w:val="00781BEA"/>
    <w:rsid w:val="00782487"/>
    <w:rsid w:val="007827F6"/>
    <w:rsid w:val="007866CF"/>
    <w:rsid w:val="00787C6C"/>
    <w:rsid w:val="00790C1B"/>
    <w:rsid w:val="00791D4A"/>
    <w:rsid w:val="007931DC"/>
    <w:rsid w:val="007A0128"/>
    <w:rsid w:val="007A0D08"/>
    <w:rsid w:val="007A2ACC"/>
    <w:rsid w:val="007A2EBA"/>
    <w:rsid w:val="007A3BBA"/>
    <w:rsid w:val="007A4A17"/>
    <w:rsid w:val="007A558D"/>
    <w:rsid w:val="007B00C4"/>
    <w:rsid w:val="007B3221"/>
    <w:rsid w:val="007C3778"/>
    <w:rsid w:val="007C4571"/>
    <w:rsid w:val="007D1CE4"/>
    <w:rsid w:val="007D39BC"/>
    <w:rsid w:val="007D5062"/>
    <w:rsid w:val="007F072A"/>
    <w:rsid w:val="007F17BD"/>
    <w:rsid w:val="007F284A"/>
    <w:rsid w:val="007F3C99"/>
    <w:rsid w:val="007F708D"/>
    <w:rsid w:val="00800B48"/>
    <w:rsid w:val="0080233A"/>
    <w:rsid w:val="00802CE9"/>
    <w:rsid w:val="00813238"/>
    <w:rsid w:val="00814740"/>
    <w:rsid w:val="008337E8"/>
    <w:rsid w:val="00840EC5"/>
    <w:rsid w:val="00845642"/>
    <w:rsid w:val="0084697F"/>
    <w:rsid w:val="008559DA"/>
    <w:rsid w:val="008561D5"/>
    <w:rsid w:val="008610EF"/>
    <w:rsid w:val="00862459"/>
    <w:rsid w:val="00864576"/>
    <w:rsid w:val="008655DD"/>
    <w:rsid w:val="00874C10"/>
    <w:rsid w:val="00875955"/>
    <w:rsid w:val="0087688F"/>
    <w:rsid w:val="0088051A"/>
    <w:rsid w:val="00882389"/>
    <w:rsid w:val="008852AB"/>
    <w:rsid w:val="00885420"/>
    <w:rsid w:val="00897881"/>
    <w:rsid w:val="008A5E9F"/>
    <w:rsid w:val="008A6271"/>
    <w:rsid w:val="008B03B1"/>
    <w:rsid w:val="008B764B"/>
    <w:rsid w:val="008C26F9"/>
    <w:rsid w:val="008C51A6"/>
    <w:rsid w:val="008C5765"/>
    <w:rsid w:val="008D30DC"/>
    <w:rsid w:val="008D5334"/>
    <w:rsid w:val="008E7178"/>
    <w:rsid w:val="008F7902"/>
    <w:rsid w:val="0090731A"/>
    <w:rsid w:val="009227C3"/>
    <w:rsid w:val="00925BED"/>
    <w:rsid w:val="00934073"/>
    <w:rsid w:val="009343AB"/>
    <w:rsid w:val="009471F6"/>
    <w:rsid w:val="009525A8"/>
    <w:rsid w:val="0096006C"/>
    <w:rsid w:val="0096380C"/>
    <w:rsid w:val="00964DC9"/>
    <w:rsid w:val="00966668"/>
    <w:rsid w:val="009669DB"/>
    <w:rsid w:val="0097223F"/>
    <w:rsid w:val="00982866"/>
    <w:rsid w:val="009A2412"/>
    <w:rsid w:val="009A2739"/>
    <w:rsid w:val="009A57D6"/>
    <w:rsid w:val="009A741B"/>
    <w:rsid w:val="009B1EA1"/>
    <w:rsid w:val="009B6B02"/>
    <w:rsid w:val="009C60FA"/>
    <w:rsid w:val="009C6141"/>
    <w:rsid w:val="009D0E89"/>
    <w:rsid w:val="009D59C5"/>
    <w:rsid w:val="009D654C"/>
    <w:rsid w:val="009E2151"/>
    <w:rsid w:val="009E596B"/>
    <w:rsid w:val="009F2981"/>
    <w:rsid w:val="009F6B91"/>
    <w:rsid w:val="00A05568"/>
    <w:rsid w:val="00A05E77"/>
    <w:rsid w:val="00A06ADB"/>
    <w:rsid w:val="00A210EE"/>
    <w:rsid w:val="00A2238E"/>
    <w:rsid w:val="00A371F1"/>
    <w:rsid w:val="00A501E8"/>
    <w:rsid w:val="00A50585"/>
    <w:rsid w:val="00A505A7"/>
    <w:rsid w:val="00A50DBF"/>
    <w:rsid w:val="00A52D73"/>
    <w:rsid w:val="00A65F53"/>
    <w:rsid w:val="00A726BA"/>
    <w:rsid w:val="00A77B21"/>
    <w:rsid w:val="00A84707"/>
    <w:rsid w:val="00A92C06"/>
    <w:rsid w:val="00A934E7"/>
    <w:rsid w:val="00A93918"/>
    <w:rsid w:val="00A95ED2"/>
    <w:rsid w:val="00AA414F"/>
    <w:rsid w:val="00AA4ADD"/>
    <w:rsid w:val="00AA5DE5"/>
    <w:rsid w:val="00AA7873"/>
    <w:rsid w:val="00AB3689"/>
    <w:rsid w:val="00AB57C4"/>
    <w:rsid w:val="00AC2AD9"/>
    <w:rsid w:val="00AC3FAC"/>
    <w:rsid w:val="00AC7A0A"/>
    <w:rsid w:val="00AD20A8"/>
    <w:rsid w:val="00AD4DE9"/>
    <w:rsid w:val="00AE216C"/>
    <w:rsid w:val="00AE60AE"/>
    <w:rsid w:val="00AF6FFA"/>
    <w:rsid w:val="00B12150"/>
    <w:rsid w:val="00B12E78"/>
    <w:rsid w:val="00B148F5"/>
    <w:rsid w:val="00B15EB2"/>
    <w:rsid w:val="00B2127B"/>
    <w:rsid w:val="00B22F3C"/>
    <w:rsid w:val="00B2788E"/>
    <w:rsid w:val="00B27B50"/>
    <w:rsid w:val="00B32610"/>
    <w:rsid w:val="00B3417C"/>
    <w:rsid w:val="00B367DE"/>
    <w:rsid w:val="00B4269B"/>
    <w:rsid w:val="00B46A47"/>
    <w:rsid w:val="00B610D6"/>
    <w:rsid w:val="00B65441"/>
    <w:rsid w:val="00B6555F"/>
    <w:rsid w:val="00B6583E"/>
    <w:rsid w:val="00B65C0C"/>
    <w:rsid w:val="00B70C4E"/>
    <w:rsid w:val="00B71F91"/>
    <w:rsid w:val="00B74E98"/>
    <w:rsid w:val="00B77209"/>
    <w:rsid w:val="00B81382"/>
    <w:rsid w:val="00B86AFE"/>
    <w:rsid w:val="00BA1C0E"/>
    <w:rsid w:val="00BA2065"/>
    <w:rsid w:val="00BA490B"/>
    <w:rsid w:val="00BA5FEE"/>
    <w:rsid w:val="00BA65C6"/>
    <w:rsid w:val="00BB0272"/>
    <w:rsid w:val="00BB18F5"/>
    <w:rsid w:val="00BB49FB"/>
    <w:rsid w:val="00BB68BA"/>
    <w:rsid w:val="00BB6A9D"/>
    <w:rsid w:val="00BC1D50"/>
    <w:rsid w:val="00BC201D"/>
    <w:rsid w:val="00BC55DE"/>
    <w:rsid w:val="00BD0A7F"/>
    <w:rsid w:val="00BD1916"/>
    <w:rsid w:val="00BD1E5C"/>
    <w:rsid w:val="00BD64D5"/>
    <w:rsid w:val="00BD67DC"/>
    <w:rsid w:val="00BE11D7"/>
    <w:rsid w:val="00BE17AA"/>
    <w:rsid w:val="00BF272D"/>
    <w:rsid w:val="00BF3124"/>
    <w:rsid w:val="00C00FDC"/>
    <w:rsid w:val="00C06CD8"/>
    <w:rsid w:val="00C07ECC"/>
    <w:rsid w:val="00C12FA2"/>
    <w:rsid w:val="00C14A17"/>
    <w:rsid w:val="00C179AF"/>
    <w:rsid w:val="00C224CD"/>
    <w:rsid w:val="00C346BE"/>
    <w:rsid w:val="00C445A0"/>
    <w:rsid w:val="00C44E81"/>
    <w:rsid w:val="00C46482"/>
    <w:rsid w:val="00C47BA3"/>
    <w:rsid w:val="00C52C1C"/>
    <w:rsid w:val="00C5399C"/>
    <w:rsid w:val="00C57948"/>
    <w:rsid w:val="00C57A21"/>
    <w:rsid w:val="00C57D67"/>
    <w:rsid w:val="00C61492"/>
    <w:rsid w:val="00C6361C"/>
    <w:rsid w:val="00C711F1"/>
    <w:rsid w:val="00C72EFE"/>
    <w:rsid w:val="00C85803"/>
    <w:rsid w:val="00C961ED"/>
    <w:rsid w:val="00CA34FB"/>
    <w:rsid w:val="00CA5D91"/>
    <w:rsid w:val="00CA617F"/>
    <w:rsid w:val="00CA7628"/>
    <w:rsid w:val="00CB07D7"/>
    <w:rsid w:val="00CB208A"/>
    <w:rsid w:val="00CC1AF3"/>
    <w:rsid w:val="00CC52DC"/>
    <w:rsid w:val="00CD3738"/>
    <w:rsid w:val="00CF1744"/>
    <w:rsid w:val="00CF2937"/>
    <w:rsid w:val="00CF358C"/>
    <w:rsid w:val="00D03BAC"/>
    <w:rsid w:val="00D04886"/>
    <w:rsid w:val="00D22BC6"/>
    <w:rsid w:val="00D23343"/>
    <w:rsid w:val="00D33E12"/>
    <w:rsid w:val="00D42556"/>
    <w:rsid w:val="00D43778"/>
    <w:rsid w:val="00D43F6A"/>
    <w:rsid w:val="00D452D2"/>
    <w:rsid w:val="00D5058A"/>
    <w:rsid w:val="00D55696"/>
    <w:rsid w:val="00D5719A"/>
    <w:rsid w:val="00D57C33"/>
    <w:rsid w:val="00D61DE8"/>
    <w:rsid w:val="00D66285"/>
    <w:rsid w:val="00D7087B"/>
    <w:rsid w:val="00D80243"/>
    <w:rsid w:val="00D819F4"/>
    <w:rsid w:val="00D81CBA"/>
    <w:rsid w:val="00D84B71"/>
    <w:rsid w:val="00D909A2"/>
    <w:rsid w:val="00DA32AC"/>
    <w:rsid w:val="00DA6925"/>
    <w:rsid w:val="00DB2103"/>
    <w:rsid w:val="00DC2F64"/>
    <w:rsid w:val="00DC3286"/>
    <w:rsid w:val="00DC4E11"/>
    <w:rsid w:val="00DC7B91"/>
    <w:rsid w:val="00DD014F"/>
    <w:rsid w:val="00DD79B7"/>
    <w:rsid w:val="00DE1B9A"/>
    <w:rsid w:val="00DE21E0"/>
    <w:rsid w:val="00DE526E"/>
    <w:rsid w:val="00DE63A8"/>
    <w:rsid w:val="00DE7EEC"/>
    <w:rsid w:val="00DF3237"/>
    <w:rsid w:val="00E05D5F"/>
    <w:rsid w:val="00E06C7B"/>
    <w:rsid w:val="00E07B6F"/>
    <w:rsid w:val="00E1426A"/>
    <w:rsid w:val="00E16703"/>
    <w:rsid w:val="00E22561"/>
    <w:rsid w:val="00E243A3"/>
    <w:rsid w:val="00E26E4E"/>
    <w:rsid w:val="00E27932"/>
    <w:rsid w:val="00E52047"/>
    <w:rsid w:val="00E70F76"/>
    <w:rsid w:val="00E8023F"/>
    <w:rsid w:val="00E823BA"/>
    <w:rsid w:val="00E83BB7"/>
    <w:rsid w:val="00E91EE5"/>
    <w:rsid w:val="00E94C3D"/>
    <w:rsid w:val="00E95AFF"/>
    <w:rsid w:val="00E9779D"/>
    <w:rsid w:val="00EA106D"/>
    <w:rsid w:val="00EA1185"/>
    <w:rsid w:val="00EA4640"/>
    <w:rsid w:val="00EB294F"/>
    <w:rsid w:val="00EB2B3F"/>
    <w:rsid w:val="00EB3B4F"/>
    <w:rsid w:val="00EC0AE9"/>
    <w:rsid w:val="00EC21D5"/>
    <w:rsid w:val="00ED0045"/>
    <w:rsid w:val="00ED0B21"/>
    <w:rsid w:val="00ED31D5"/>
    <w:rsid w:val="00ED5C69"/>
    <w:rsid w:val="00ED7C50"/>
    <w:rsid w:val="00EE7243"/>
    <w:rsid w:val="00EE7351"/>
    <w:rsid w:val="00EF102E"/>
    <w:rsid w:val="00EF4E1D"/>
    <w:rsid w:val="00EF7FE3"/>
    <w:rsid w:val="00F016A0"/>
    <w:rsid w:val="00F01CAB"/>
    <w:rsid w:val="00F02C42"/>
    <w:rsid w:val="00F037C0"/>
    <w:rsid w:val="00F0591E"/>
    <w:rsid w:val="00F07378"/>
    <w:rsid w:val="00F15B19"/>
    <w:rsid w:val="00F2045B"/>
    <w:rsid w:val="00F22A0D"/>
    <w:rsid w:val="00F3163A"/>
    <w:rsid w:val="00F326EE"/>
    <w:rsid w:val="00F4101A"/>
    <w:rsid w:val="00F42BEF"/>
    <w:rsid w:val="00F4627D"/>
    <w:rsid w:val="00F51F46"/>
    <w:rsid w:val="00F5237B"/>
    <w:rsid w:val="00F5274B"/>
    <w:rsid w:val="00F53EB6"/>
    <w:rsid w:val="00F54223"/>
    <w:rsid w:val="00F553E7"/>
    <w:rsid w:val="00F554F6"/>
    <w:rsid w:val="00F57704"/>
    <w:rsid w:val="00F57C2F"/>
    <w:rsid w:val="00F67DF4"/>
    <w:rsid w:val="00F85DE4"/>
    <w:rsid w:val="00F86BA0"/>
    <w:rsid w:val="00F86F33"/>
    <w:rsid w:val="00F91DAF"/>
    <w:rsid w:val="00F9217A"/>
    <w:rsid w:val="00F958EE"/>
    <w:rsid w:val="00FA2708"/>
    <w:rsid w:val="00FA49AD"/>
    <w:rsid w:val="00FA6591"/>
    <w:rsid w:val="00FA6A1B"/>
    <w:rsid w:val="00FB30D7"/>
    <w:rsid w:val="00FB3862"/>
    <w:rsid w:val="00FB3BEA"/>
    <w:rsid w:val="00FB4DB4"/>
    <w:rsid w:val="00FB5A94"/>
    <w:rsid w:val="00FC18AD"/>
    <w:rsid w:val="00FC1C45"/>
    <w:rsid w:val="00FC4EDA"/>
    <w:rsid w:val="00FE2CBE"/>
    <w:rsid w:val="00FE527F"/>
    <w:rsid w:val="00FE5D0E"/>
    <w:rsid w:val="00FF22BC"/>
    <w:rsid w:val="00FF247C"/>
    <w:rsid w:val="00FF64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B982B"/>
  <w15:chartTrackingRefBased/>
  <w15:docId w15:val="{96ACAA60-8E7E-48C1-BFC6-0049C405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6B0F"/>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306B0F"/>
    <w:pPr>
      <w:spacing w:before="240"/>
      <w:outlineLvl w:val="1"/>
    </w:pPr>
    <w:rPr>
      <w:b/>
      <w:i/>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6B0F"/>
    <w:rPr>
      <w:rFonts w:ascii="Arial" w:eastAsia="Times New Roman" w:hAnsi="Arial" w:cs="Times New Roman"/>
      <w:b/>
      <w:i/>
      <w:kern w:val="28"/>
      <w:sz w:val="28"/>
      <w:szCs w:val="28"/>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uiPriority w:val="34"/>
    <w:qFormat/>
    <w:rsid w:val="00306B0F"/>
    <w:pPr>
      <w:spacing w:after="240"/>
      <w:ind w:left="720"/>
      <w:contextualSpacing/>
    </w:pPr>
    <w:rPr>
      <w:szCs w:val="20"/>
      <w:lang w:eastAsia="en-GB"/>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basedOn w:val="DefaultParagraphFont"/>
    <w:link w:val="ListParagraph"/>
    <w:uiPriority w:val="34"/>
    <w:qFormat/>
    <w:locked/>
    <w:rsid w:val="00306B0F"/>
    <w:rPr>
      <w:rFonts w:ascii="Arial" w:eastAsia="Times New Roman" w:hAnsi="Arial" w:cs="Times New Roman"/>
      <w:sz w:val="24"/>
      <w:szCs w:val="20"/>
      <w:lang w:eastAsia="en-GB"/>
    </w:rPr>
  </w:style>
  <w:style w:type="table" w:styleId="TableGrid">
    <w:name w:val="Table Grid"/>
    <w:basedOn w:val="TableNormal"/>
    <w:rsid w:val="00306B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06B0F"/>
    <w:rPr>
      <w:color w:val="0563C1" w:themeColor="hyperlink"/>
      <w:u w:val="single"/>
    </w:rPr>
  </w:style>
  <w:style w:type="paragraph" w:styleId="Header">
    <w:name w:val="header"/>
    <w:basedOn w:val="Normal"/>
    <w:link w:val="HeaderChar"/>
    <w:uiPriority w:val="99"/>
    <w:unhideWhenUsed/>
    <w:rsid w:val="00306B0F"/>
    <w:pPr>
      <w:tabs>
        <w:tab w:val="center" w:pos="4513"/>
        <w:tab w:val="right" w:pos="9026"/>
      </w:tabs>
    </w:pPr>
  </w:style>
  <w:style w:type="character" w:customStyle="1" w:styleId="HeaderChar">
    <w:name w:val="Header Char"/>
    <w:basedOn w:val="DefaultParagraphFont"/>
    <w:link w:val="Header"/>
    <w:uiPriority w:val="99"/>
    <w:rsid w:val="00306B0F"/>
    <w:rPr>
      <w:rFonts w:ascii="Arial" w:eastAsia="Times New Roman" w:hAnsi="Arial" w:cs="Times New Roman"/>
      <w:sz w:val="24"/>
      <w:szCs w:val="24"/>
    </w:rPr>
  </w:style>
  <w:style w:type="paragraph" w:styleId="Footer">
    <w:name w:val="footer"/>
    <w:basedOn w:val="Normal"/>
    <w:link w:val="FooterChar"/>
    <w:uiPriority w:val="99"/>
    <w:unhideWhenUsed/>
    <w:rsid w:val="00306B0F"/>
    <w:pPr>
      <w:tabs>
        <w:tab w:val="center" w:pos="4513"/>
        <w:tab w:val="right" w:pos="9026"/>
      </w:tabs>
    </w:pPr>
  </w:style>
  <w:style w:type="character" w:customStyle="1" w:styleId="FooterChar">
    <w:name w:val="Footer Char"/>
    <w:basedOn w:val="DefaultParagraphFont"/>
    <w:link w:val="Footer"/>
    <w:uiPriority w:val="99"/>
    <w:rsid w:val="00306B0F"/>
    <w:rPr>
      <w:rFonts w:ascii="Arial" w:eastAsia="Times New Roman" w:hAnsi="Arial" w:cs="Times New Roman"/>
      <w:sz w:val="24"/>
      <w:szCs w:val="24"/>
    </w:rPr>
  </w:style>
  <w:style w:type="character" w:styleId="UnresolvedMention">
    <w:name w:val="Unresolved Mention"/>
    <w:basedOn w:val="DefaultParagraphFont"/>
    <w:uiPriority w:val="99"/>
    <w:unhideWhenUsed/>
    <w:rsid w:val="00306B0F"/>
    <w:rPr>
      <w:color w:val="605E5C"/>
      <w:shd w:val="clear" w:color="auto" w:fill="E1DFDD"/>
    </w:rPr>
  </w:style>
  <w:style w:type="paragraph" w:customStyle="1" w:styleId="Default">
    <w:name w:val="Default"/>
    <w:rsid w:val="00306B0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06B0F"/>
    <w:rPr>
      <w:sz w:val="16"/>
      <w:szCs w:val="16"/>
    </w:rPr>
  </w:style>
  <w:style w:type="paragraph" w:styleId="CommentText">
    <w:name w:val="annotation text"/>
    <w:basedOn w:val="Normal"/>
    <w:link w:val="CommentTextChar"/>
    <w:uiPriority w:val="99"/>
    <w:unhideWhenUsed/>
    <w:rsid w:val="00306B0F"/>
    <w:rPr>
      <w:sz w:val="20"/>
      <w:szCs w:val="20"/>
    </w:rPr>
  </w:style>
  <w:style w:type="character" w:customStyle="1" w:styleId="CommentTextChar">
    <w:name w:val="Comment Text Char"/>
    <w:basedOn w:val="DefaultParagraphFont"/>
    <w:link w:val="CommentText"/>
    <w:uiPriority w:val="99"/>
    <w:rsid w:val="00306B0F"/>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306B0F"/>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306B0F"/>
    <w:rPr>
      <w:b/>
      <w:bCs/>
    </w:rPr>
  </w:style>
  <w:style w:type="character" w:customStyle="1" w:styleId="normaltextrun">
    <w:name w:val="normaltextrun"/>
    <w:basedOn w:val="DefaultParagraphFont"/>
    <w:rsid w:val="00306B0F"/>
  </w:style>
  <w:style w:type="character" w:customStyle="1" w:styleId="FootnoteTextChar">
    <w:name w:val="Footnote Text Char"/>
    <w:basedOn w:val="DefaultParagraphFont"/>
    <w:link w:val="FootnoteText"/>
    <w:uiPriority w:val="99"/>
    <w:semiHidden/>
    <w:rsid w:val="00306B0F"/>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306B0F"/>
    <w:rPr>
      <w:sz w:val="20"/>
      <w:szCs w:val="20"/>
    </w:rPr>
  </w:style>
  <w:style w:type="paragraph" w:customStyle="1" w:styleId="paragraph">
    <w:name w:val="paragraph"/>
    <w:basedOn w:val="Normal"/>
    <w:rsid w:val="00306B0F"/>
    <w:pPr>
      <w:spacing w:before="100" w:beforeAutospacing="1" w:after="100" w:afterAutospacing="1"/>
    </w:pPr>
    <w:rPr>
      <w:rFonts w:ascii="Times New Roman" w:hAnsi="Times New Roman"/>
      <w:lang w:eastAsia="en-GB"/>
    </w:rPr>
  </w:style>
  <w:style w:type="character" w:customStyle="1" w:styleId="eop">
    <w:name w:val="eop"/>
    <w:basedOn w:val="DefaultParagraphFont"/>
    <w:rsid w:val="00306B0F"/>
  </w:style>
  <w:style w:type="character" w:styleId="Mention">
    <w:name w:val="Mention"/>
    <w:basedOn w:val="DefaultParagraphFont"/>
    <w:uiPriority w:val="99"/>
    <w:unhideWhenUsed/>
    <w:rsid w:val="00306B0F"/>
    <w:rPr>
      <w:color w:val="2B579A"/>
      <w:shd w:val="clear" w:color="auto" w:fill="E1DFDD"/>
    </w:rPr>
  </w:style>
  <w:style w:type="character" w:customStyle="1" w:styleId="superscript">
    <w:name w:val="superscript"/>
    <w:basedOn w:val="DefaultParagraphFont"/>
    <w:rsid w:val="00306B0F"/>
  </w:style>
  <w:style w:type="paragraph" w:styleId="NoSpacing">
    <w:name w:val="No Spacing"/>
    <w:uiPriority w:val="1"/>
    <w:qFormat/>
    <w:rsid w:val="00306B0F"/>
    <w:pPr>
      <w:spacing w:after="0" w:line="240" w:lineRule="auto"/>
    </w:pPr>
    <w:rPr>
      <w:rFonts w:ascii="Arial" w:eastAsia="Times New Roman" w:hAnsi="Arial" w:cs="Arial"/>
      <w:sz w:val="24"/>
      <w:szCs w:val="24"/>
    </w:rPr>
  </w:style>
  <w:style w:type="paragraph" w:styleId="Revision">
    <w:name w:val="Revision"/>
    <w:hidden/>
    <w:uiPriority w:val="99"/>
    <w:semiHidden/>
    <w:rsid w:val="00ED0045"/>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2038EE"/>
    <w:pPr>
      <w:spacing w:before="100" w:beforeAutospacing="1" w:after="100" w:afterAutospacing="1"/>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383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66417">
      <w:bodyDiv w:val="1"/>
      <w:marLeft w:val="0"/>
      <w:marRight w:val="0"/>
      <w:marTop w:val="0"/>
      <w:marBottom w:val="0"/>
      <w:divBdr>
        <w:top w:val="none" w:sz="0" w:space="0" w:color="auto"/>
        <w:left w:val="none" w:sz="0" w:space="0" w:color="auto"/>
        <w:bottom w:val="none" w:sz="0" w:space="0" w:color="auto"/>
        <w:right w:val="none" w:sz="0" w:space="0" w:color="auto"/>
      </w:divBdr>
    </w:div>
    <w:div w:id="8932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dstream.org/files/documents/CCS-Business-LogFrame-August2017-20171102031133.pdf" TargetMode="External"/><Relationship Id="rId18" Type="http://schemas.openxmlformats.org/officeDocument/2006/relationships/hyperlink" Target="https://aidstream.org/files/documents/CCS-Annual-Review-2017-20171102031115.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cience-and-innovation-network.s3.eu-west-2.amazonaws.com/BEIS+ICF/CCUS/CCUS+Annual+Review+2020.pdf" TargetMode="External"/><Relationship Id="rId7" Type="http://schemas.openxmlformats.org/officeDocument/2006/relationships/settings" Target="settings.xml"/><Relationship Id="rId12" Type="http://schemas.openxmlformats.org/officeDocument/2006/relationships/hyperlink" Target="https://aidstream.org/files/documents/CCS-Business-Case-Extension-Sept-17-20180711120738.pdf" TargetMode="External"/><Relationship Id="rId17" Type="http://schemas.openxmlformats.org/officeDocument/2006/relationships/hyperlink" Target="https://aidstream.org/files/documents/CCS-Annual-Review-2016-20161010091059.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02.safelinks.protection.outlook.com/?url=https%3A%2F%2Fscience-and-innovation-network.s3.eu-west-2.amazonaws.com%2FBEIS%2BICF%2FCCUS%2FCCUS%2BLogframe%2B2021.xlsx&amp;data=04%7C01%7CEllen.Paton%40beis.gov.uk%7C3b2fd2954ac84ed10a0008d950e3e480%7Ccbac700502c143ebb497e6492d1b2dd8%7C0%7C0%7C637629761980396203%7CUnknown%7CTWFpbGZsb3d8eyJWIjoiMC4wLjAwMDAiLCJQIjoiV2luMzIiLCJBTiI6Ik1haWwiLCJXVCI6Mn0%3D%7C1000&amp;sdata=IehzpZtTxBKONv2ceqJuJIwtXM4ZNN0ba9yQ1EdwMHM%3D&amp;reserved=0" TargetMode="External"/><Relationship Id="rId20" Type="http://schemas.openxmlformats.org/officeDocument/2006/relationships/hyperlink" Target="https://science-and-innovation-network.s3.eu-west-2.amazonaws.com/BEIS+ICF/CCUS/CCUS+Annual+Review+201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dstream.org/files/documents/CCS-Business-Case.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r02.safelinks.protection.outlook.com/?url=https%3A%2F%2Fscience-and-innovation-network.s3.eu-west-2.amazonaws.com%2FBEIS%2BICF%2FCCUS%2FCCUS%2BLogframe%2B2020.xlsx&amp;data=04%7C01%7CEllen.Paton%40beis.gov.uk%7C3b2fd2954ac84ed10a0008d950e3e480%7Ccbac700502c143ebb497e6492d1b2dd8%7C0%7C0%7C637629761980396203%7CUnknown%7CTWFpbGZsb3d8eyJWIjoiMC4wLjAwMDAiLCJQIjoiV2luMzIiLCJBTiI6Ik1haWwiLCJXVCI6Mn0%3D%7C1000&amp;sdata=sq2Y3ZA8lgMfkr8%2F9tC%2FYCNYLEHXjS7bKvj4GKAfwdg%3D&amp;reserved=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idstream.org/files/documents/CCUS-Annual-Review-2018-201807191207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and-innovation-network.s3.eu-west-2.amazonaws.com/BEIS+ICF/CCUS/CCUS+Programme+Logframe+(June+2019).xlsx"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BBAFD14273B545B612A7DFACD821FD" ma:contentTypeVersion="16" ma:contentTypeDescription="Create a new document." ma:contentTypeScope="" ma:versionID="b67c606c340a0d2d1869f5f40d092050">
  <xsd:schema xmlns:xsd="http://www.w3.org/2001/XMLSchema" xmlns:xs="http://www.w3.org/2001/XMLSchema" xmlns:p="http://schemas.microsoft.com/office/2006/metadata/properties" xmlns:ns2="92ad9e33-5271-4ce6-bdd9-333434fbc601" xmlns:ns3="0063f72e-ace3-48fb-9c1f-5b513408b31f" xmlns:ns4="b413c3fd-5a3b-4239-b985-69032e371c04" xmlns:ns5="a8f60570-4bd3-4f2b-950b-a996de8ab151" xmlns:ns6="aaacb922-5235-4a66-b188-303b9b46fbd7" xmlns:ns7="36ebd5cd-78f0-47d9-a37e-8098d9379116" targetNamespace="http://schemas.microsoft.com/office/2006/metadata/properties" ma:root="true" ma:fieldsID="224ced52d7fabcf1460ab1a0165c3992" ns2:_="" ns3:_="" ns4:_="" ns5:_="" ns6:_="" ns7:_="">
    <xsd:import namespace="92ad9e33-5271-4ce6-bdd9-333434fbc601"/>
    <xsd:import namespace="0063f72e-ace3-48fb-9c1f-5b513408b31f"/>
    <xsd:import namespace="b413c3fd-5a3b-4239-b985-69032e371c04"/>
    <xsd:import namespace="a8f60570-4bd3-4f2b-950b-a996de8ab151"/>
    <xsd:import namespace="aaacb922-5235-4a66-b188-303b9b46fbd7"/>
    <xsd:import namespace="36ebd5cd-78f0-47d9-a37e-8098d9379116"/>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9e33-5271-4ce6-bdd9-333434fbc6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International Climate Finance|25a07eec-082c-4868-be05-2bef48a6767e"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136d9e3-02d7-4447-9a9a-9d02553843e1}" ma:internalName="TaxCatchAll" ma:showField="CatchAllData"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136d9e3-02d7-4447-9a9a-9d02553843e1}" ma:internalName="TaxCatchAllLabel" ma:readOnly="true" ma:showField="CatchAllDataLabel"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ebd5cd-78f0-47d9-a37e-8098d937911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92ad9e33-5271-4ce6-bdd9-333434fbc601">
      <Value>1</Value>
    </TaxCatchAll>
    <Government_x0020_Body xmlns="b413c3fd-5a3b-4239-b985-69032e371c04">BEIS</Government_x0020_Body>
    <Date_x0020_Opened xmlns="b413c3fd-5a3b-4239-b985-69032e371c04">2021-06-11T13:35:39+00:00</Date_x0020_Opened>
    <LegacyData xmlns="aaacb922-5235-4a66-b188-303b9b46fbd7" xsi:nil="true"/>
    <Descriptor xmlns="0063f72e-ace3-48fb-9c1f-5b513408b31f" xsi:nil="true"/>
    <m975189f4ba442ecbf67d4147307b177 xmlns="92ad9e33-5271-4ce6-bdd9-333434fbc601">
      <Terms xmlns="http://schemas.microsoft.com/office/infopath/2007/PartnerControls">
        <TermInfo xmlns="http://schemas.microsoft.com/office/infopath/2007/PartnerControls">
          <TermName xmlns="http://schemas.microsoft.com/office/infopath/2007/PartnerControls">International Climate Finance</TermName>
          <TermId xmlns="http://schemas.microsoft.com/office/infopath/2007/PartnerControls">25a07eec-082c-4868-be05-2bef48a6767e</TermId>
        </TermInfo>
      </Terms>
    </m975189f4ba442ecbf67d4147307b177>
    <Security_x0020_Classification xmlns="0063f72e-ace3-48fb-9c1f-5b513408b31f">OFFICIAL</Security_x0020_Classification>
    <Retention_x0020_Label xmlns="a8f60570-4bd3-4f2b-950b-a996de8ab151" xsi:nil="true"/>
    <Date_x0020_Closed xmlns="b413c3fd-5a3b-4239-b985-69032e371c04" xsi:nil="true"/>
    <_dlc_DocId xmlns="92ad9e33-5271-4ce6-bdd9-333434fbc601">FQW7PQWC2EQU-720610831-48890</_dlc_DocId>
    <_dlc_DocIdUrl xmlns="92ad9e33-5271-4ce6-bdd9-333434fbc601">
      <Url>https://beisgov.sharepoint.com/sites/ICF/_layouts/15/DocIdRedir.aspx?ID=FQW7PQWC2EQU-720610831-48890</Url>
      <Description>FQW7PQWC2EQU-720610831-48890</Description>
    </_dlc_DocIdUrl>
  </documentManagement>
</p:properties>
</file>

<file path=customXml/itemProps1.xml><?xml version="1.0" encoding="utf-8"?>
<ds:datastoreItem xmlns:ds="http://schemas.openxmlformats.org/officeDocument/2006/customXml" ds:itemID="{E2DA4643-EA28-418E-9B5A-1AD7F0B28794}">
  <ds:schemaRefs>
    <ds:schemaRef ds:uri="http://schemas.microsoft.com/sharepoint/v3/contenttype/forms"/>
  </ds:schemaRefs>
</ds:datastoreItem>
</file>

<file path=customXml/itemProps2.xml><?xml version="1.0" encoding="utf-8"?>
<ds:datastoreItem xmlns:ds="http://schemas.openxmlformats.org/officeDocument/2006/customXml" ds:itemID="{E586D11C-12C5-4587-AD4B-D161827D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9e33-5271-4ce6-bdd9-333434fbc601"/>
    <ds:schemaRef ds:uri="0063f72e-ace3-48fb-9c1f-5b513408b31f"/>
    <ds:schemaRef ds:uri="b413c3fd-5a3b-4239-b985-69032e371c04"/>
    <ds:schemaRef ds:uri="a8f60570-4bd3-4f2b-950b-a996de8ab151"/>
    <ds:schemaRef ds:uri="aaacb922-5235-4a66-b188-303b9b46fbd7"/>
    <ds:schemaRef ds:uri="36ebd5cd-78f0-47d9-a37e-8098d9379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7C90A-7455-442A-A505-570938A2AE83}">
  <ds:schemaRefs>
    <ds:schemaRef ds:uri="http://schemas.microsoft.com/sharepoint/events"/>
  </ds:schemaRefs>
</ds:datastoreItem>
</file>

<file path=customXml/itemProps4.xml><?xml version="1.0" encoding="utf-8"?>
<ds:datastoreItem xmlns:ds="http://schemas.openxmlformats.org/officeDocument/2006/customXml" ds:itemID="{F86E1BEA-EFBB-4FC4-BB52-8C531972815A}">
  <ds:schemaRefs>
    <ds:schemaRef ds:uri="aaacb922-5235-4a66-b188-303b9b46fbd7"/>
    <ds:schemaRef ds:uri="http://purl.org/dc/dcmitype/"/>
    <ds:schemaRef ds:uri="http://schemas.microsoft.com/office/infopath/2007/PartnerControls"/>
    <ds:schemaRef ds:uri="a8f60570-4bd3-4f2b-950b-a996de8ab15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6ebd5cd-78f0-47d9-a37e-8098d9379116"/>
    <ds:schemaRef ds:uri="b413c3fd-5a3b-4239-b985-69032e371c04"/>
    <ds:schemaRef ds:uri="http://purl.org/dc/terms/"/>
    <ds:schemaRef ds:uri="0063f72e-ace3-48fb-9c1f-5b513408b31f"/>
    <ds:schemaRef ds:uri="92ad9e33-5271-4ce6-bdd9-333434fbc6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10441</Words>
  <Characters>59518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 Ellen (Intl Climate Finance - Investments)</dc:creator>
  <cp:keywords/>
  <dc:description/>
  <cp:lastModifiedBy>Paton, Ellen (Intl Climate Finance - Investments)</cp:lastModifiedBy>
  <cp:revision>2</cp:revision>
  <dcterms:created xsi:type="dcterms:W3CDTF">2021-07-27T12:27:00Z</dcterms:created>
  <dcterms:modified xsi:type="dcterms:W3CDTF">2021-07-27T12:27:00Z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2021-06-11T12:08:44Z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44d99647-9e12-41bd-9f2e-41fde253b3e0</vt:lpwstr>
  </property>
  <property fmtid="{D5CDD505-2E9C-101B-9397-08002B2CF9AE}" pid="8" name="MSIP_Label_ba62f585-b40f-4ab9-bafe-39150f03d124_ContentBits">
    <vt:lpwstr>0</vt:lpwstr>
  </property>
  <property fmtid="{D5CDD505-2E9C-101B-9397-08002B2CF9AE}" pid="9" name="ContentTypeId">
    <vt:lpwstr>0x010100ABBBAFD14273B545B612A7DFACD821FD</vt:lpwstr>
  </property>
  <property fmtid="{D5CDD505-2E9C-101B-9397-08002B2CF9AE}" pid="10" name="Business Unit">
    <vt:lpwstr>1;#International Climate Finance|25a07eec-082c-4868-be05-2bef48a6767e</vt:lpwstr>
  </property>
  <property fmtid="{D5CDD505-2E9C-101B-9397-08002B2CF9AE}" pid="11" name="_dlc_DocIdItemGuid">
    <vt:lpwstr>d756760a-623d-4990-a5ee-784822b6434c</vt:lpwstr>
  </property>
</Properties>
</file>