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EC0E8" w14:textId="1F4229D0" w:rsidR="00C67FEB" w:rsidRDefault="00C67FEB" w:rsidP="003D222C">
      <w:pPr>
        <w:rPr>
          <w:sz w:val="22"/>
          <w:szCs w:val="22"/>
          <w:u w:val="single"/>
        </w:rPr>
      </w:pPr>
    </w:p>
    <w:p w14:paraId="38EC76C4" w14:textId="77777777" w:rsidR="00885BB9" w:rsidRDefault="00885BB9" w:rsidP="00885BB9">
      <w:pPr>
        <w:pStyle w:val="BEISTitle"/>
      </w:pPr>
    </w:p>
    <w:p w14:paraId="0A34EE9B" w14:textId="77777777" w:rsidR="00885BB9" w:rsidRDefault="00885BB9" w:rsidP="00885BB9">
      <w:pPr>
        <w:pStyle w:val="BEISTitle"/>
      </w:pPr>
    </w:p>
    <w:p w14:paraId="76C49B04" w14:textId="77777777" w:rsidR="00885BB9" w:rsidRDefault="00885BB9" w:rsidP="00885BB9">
      <w:pPr>
        <w:pStyle w:val="BEISTitle"/>
      </w:pPr>
    </w:p>
    <w:p w14:paraId="7C7FEA78" w14:textId="77777777" w:rsidR="00885BB9" w:rsidRDefault="00885BB9" w:rsidP="00885BB9">
      <w:pPr>
        <w:pStyle w:val="BEISTitle"/>
      </w:pPr>
    </w:p>
    <w:p w14:paraId="64C9A776" w14:textId="77777777" w:rsidR="00D80C6C" w:rsidRDefault="00D80C6C" w:rsidP="00885BB9">
      <w:pPr>
        <w:pStyle w:val="BEISTitle"/>
      </w:pPr>
    </w:p>
    <w:p w14:paraId="6C63CC07" w14:textId="56B65D4C" w:rsidR="00964968" w:rsidRDefault="00E57DDD" w:rsidP="00964968">
      <w:pPr>
        <w:pStyle w:val="BEISTitle"/>
      </w:pPr>
      <w:r>
        <w:t>Clean Energy Transition Programme Annual Review 2024</w:t>
      </w:r>
      <w:r w:rsidR="00964968">
        <w:t xml:space="preserve"> </w:t>
      </w:r>
    </w:p>
    <w:p w14:paraId="624DAC73" w14:textId="3BC335B7" w:rsidR="00C67FEB" w:rsidRDefault="00C67FEB">
      <w:pPr>
        <w:spacing w:after="160" w:line="259" w:lineRule="auto"/>
        <w:rPr>
          <w:sz w:val="22"/>
          <w:szCs w:val="22"/>
          <w:u w:val="single"/>
        </w:rPr>
      </w:pPr>
    </w:p>
    <w:p w14:paraId="4AF08E4A" w14:textId="20AFDEDA" w:rsidR="007D1D64" w:rsidRDefault="007D1D64">
      <w:pPr>
        <w:spacing w:after="160" w:line="259" w:lineRule="auto"/>
        <w:rPr>
          <w:sz w:val="22"/>
          <w:szCs w:val="22"/>
        </w:rPr>
      </w:pPr>
    </w:p>
    <w:p w14:paraId="160505CC" w14:textId="77777777" w:rsidR="007D1D64" w:rsidRPr="007D1D64" w:rsidRDefault="007D1D64">
      <w:pPr>
        <w:spacing w:after="160" w:line="259" w:lineRule="auto"/>
        <w:rPr>
          <w:sz w:val="22"/>
          <w:szCs w:val="22"/>
        </w:rPr>
      </w:pPr>
    </w:p>
    <w:p w14:paraId="6ED798D0" w14:textId="77777777" w:rsidR="00090217" w:rsidRDefault="00090217" w:rsidP="003D222C">
      <w:pPr>
        <w:rPr>
          <w:sz w:val="22"/>
          <w:szCs w:val="22"/>
          <w:u w:val="single"/>
        </w:rPr>
      </w:pPr>
    </w:p>
    <w:p w14:paraId="1F841114" w14:textId="027A752E" w:rsidR="007D1D64" w:rsidRDefault="007D1D64" w:rsidP="007D1D64">
      <w:pPr>
        <w:spacing w:after="160" w:line="259" w:lineRule="auto"/>
        <w:rPr>
          <w:sz w:val="22"/>
          <w:szCs w:val="22"/>
        </w:rPr>
      </w:pPr>
    </w:p>
    <w:p w14:paraId="744BC35C" w14:textId="77777777" w:rsidR="007D1D64" w:rsidRDefault="007D1D64">
      <w:pPr>
        <w:spacing w:after="160" w:line="259" w:lineRule="auto"/>
        <w:rPr>
          <w:sz w:val="22"/>
          <w:szCs w:val="22"/>
        </w:rPr>
      </w:pPr>
    </w:p>
    <w:p w14:paraId="2EEE1272" w14:textId="0FA2D180" w:rsidR="007D1D64" w:rsidRDefault="007D1D64">
      <w:pPr>
        <w:spacing w:after="160" w:line="259" w:lineRule="auto"/>
        <w:rPr>
          <w:sz w:val="22"/>
          <w:szCs w:val="22"/>
        </w:rPr>
      </w:pPr>
      <w:r>
        <w:rPr>
          <w:sz w:val="22"/>
          <w:szCs w:val="22"/>
        </w:rPr>
        <w:br w:type="page"/>
      </w:r>
    </w:p>
    <w:p w14:paraId="1FB1C90B" w14:textId="21AF7FBD" w:rsidR="007D1D64" w:rsidRDefault="007D1D64" w:rsidP="007D1D64">
      <w:pPr>
        <w:spacing w:after="160" w:line="259" w:lineRule="auto"/>
        <w:rPr>
          <w:sz w:val="22"/>
          <w:szCs w:val="22"/>
        </w:rPr>
      </w:pPr>
    </w:p>
    <w:p w14:paraId="6FC09FA9" w14:textId="77777777" w:rsidR="007D1D64" w:rsidRPr="007D1D64" w:rsidRDefault="007D1D64" w:rsidP="007D1D64">
      <w:pPr>
        <w:spacing w:after="160" w:line="259" w:lineRule="auto"/>
        <w:rPr>
          <w:sz w:val="22"/>
          <w:szCs w:val="22"/>
        </w:rPr>
      </w:pPr>
    </w:p>
    <w:p w14:paraId="40B4FF2C" w14:textId="77777777" w:rsidR="00112E33" w:rsidRDefault="00112E33" w:rsidP="007D1D64">
      <w:pPr>
        <w:spacing w:after="160" w:line="259" w:lineRule="auto"/>
        <w:rPr>
          <w:sz w:val="22"/>
          <w:szCs w:val="22"/>
        </w:rPr>
      </w:pPr>
    </w:p>
    <w:p w14:paraId="01A42860" w14:textId="77777777" w:rsidR="00112E33" w:rsidRDefault="00112E33" w:rsidP="007D1D64">
      <w:pPr>
        <w:spacing w:after="160" w:line="259" w:lineRule="auto"/>
        <w:rPr>
          <w:sz w:val="22"/>
          <w:szCs w:val="22"/>
        </w:rPr>
      </w:pPr>
    </w:p>
    <w:p w14:paraId="4A8FCC2A" w14:textId="77777777" w:rsidR="00112E33" w:rsidRDefault="00112E33" w:rsidP="007D1D64">
      <w:pPr>
        <w:spacing w:after="160" w:line="259" w:lineRule="auto"/>
        <w:rPr>
          <w:sz w:val="22"/>
          <w:szCs w:val="22"/>
        </w:rPr>
      </w:pPr>
    </w:p>
    <w:p w14:paraId="31553A3C" w14:textId="77777777" w:rsidR="00112E33" w:rsidRDefault="00112E33" w:rsidP="007D1D64">
      <w:pPr>
        <w:spacing w:after="160" w:line="259" w:lineRule="auto"/>
        <w:rPr>
          <w:sz w:val="22"/>
          <w:szCs w:val="22"/>
        </w:rPr>
      </w:pPr>
    </w:p>
    <w:p w14:paraId="1E72DB9D" w14:textId="77777777" w:rsidR="00112E33" w:rsidRDefault="00112E33" w:rsidP="007D1D64">
      <w:pPr>
        <w:spacing w:after="160" w:line="259" w:lineRule="auto"/>
        <w:rPr>
          <w:sz w:val="22"/>
          <w:szCs w:val="22"/>
        </w:rPr>
      </w:pPr>
    </w:p>
    <w:p w14:paraId="716930C2" w14:textId="77777777" w:rsidR="00112E33" w:rsidRDefault="00112E33" w:rsidP="007D1D64">
      <w:pPr>
        <w:spacing w:after="160" w:line="259" w:lineRule="auto"/>
        <w:rPr>
          <w:sz w:val="22"/>
          <w:szCs w:val="22"/>
        </w:rPr>
      </w:pPr>
    </w:p>
    <w:p w14:paraId="3ABDAEFF" w14:textId="77777777" w:rsidR="00112E33" w:rsidRDefault="00112E33" w:rsidP="007D1D64">
      <w:pPr>
        <w:spacing w:after="160" w:line="259" w:lineRule="auto"/>
        <w:rPr>
          <w:sz w:val="22"/>
          <w:szCs w:val="22"/>
        </w:rPr>
      </w:pPr>
    </w:p>
    <w:p w14:paraId="0884299F" w14:textId="77777777" w:rsidR="00112E33" w:rsidRDefault="00112E33" w:rsidP="007D1D64">
      <w:pPr>
        <w:spacing w:after="160" w:line="259" w:lineRule="auto"/>
        <w:rPr>
          <w:sz w:val="22"/>
          <w:szCs w:val="22"/>
        </w:rPr>
      </w:pPr>
    </w:p>
    <w:p w14:paraId="3BF57744" w14:textId="77777777" w:rsidR="00112E33" w:rsidRDefault="00112E33" w:rsidP="007D1D64">
      <w:pPr>
        <w:spacing w:after="160" w:line="259" w:lineRule="auto"/>
        <w:rPr>
          <w:sz w:val="22"/>
          <w:szCs w:val="22"/>
        </w:rPr>
      </w:pPr>
    </w:p>
    <w:p w14:paraId="70B1D846" w14:textId="77777777" w:rsidR="00112E33" w:rsidRDefault="00112E33" w:rsidP="007D1D64">
      <w:pPr>
        <w:spacing w:after="160" w:line="259" w:lineRule="auto"/>
        <w:rPr>
          <w:sz w:val="22"/>
          <w:szCs w:val="22"/>
        </w:rPr>
      </w:pPr>
    </w:p>
    <w:p w14:paraId="5C64FB7B" w14:textId="77777777" w:rsidR="00112E33" w:rsidRDefault="00112E33" w:rsidP="007D1D64">
      <w:pPr>
        <w:spacing w:after="160" w:line="259" w:lineRule="auto"/>
        <w:rPr>
          <w:sz w:val="22"/>
          <w:szCs w:val="22"/>
        </w:rPr>
      </w:pPr>
    </w:p>
    <w:p w14:paraId="7997CC66" w14:textId="77777777" w:rsidR="00112E33" w:rsidRDefault="00112E33" w:rsidP="007D1D64">
      <w:pPr>
        <w:spacing w:after="160" w:line="259" w:lineRule="auto"/>
        <w:rPr>
          <w:sz w:val="22"/>
          <w:szCs w:val="22"/>
        </w:rPr>
      </w:pPr>
    </w:p>
    <w:p w14:paraId="629D0223" w14:textId="77777777" w:rsidR="00112E33" w:rsidRDefault="00112E33" w:rsidP="007D1D64">
      <w:pPr>
        <w:spacing w:after="160" w:line="259" w:lineRule="auto"/>
        <w:rPr>
          <w:sz w:val="22"/>
          <w:szCs w:val="22"/>
        </w:rPr>
      </w:pPr>
    </w:p>
    <w:p w14:paraId="7B71C4CA" w14:textId="77777777" w:rsidR="00112E33" w:rsidRDefault="00112E33" w:rsidP="007D1D64">
      <w:pPr>
        <w:spacing w:after="160" w:line="259" w:lineRule="auto"/>
        <w:rPr>
          <w:sz w:val="22"/>
          <w:szCs w:val="22"/>
        </w:rPr>
      </w:pPr>
    </w:p>
    <w:p w14:paraId="0CB89A50" w14:textId="77777777" w:rsidR="00112E33" w:rsidRDefault="00112E33" w:rsidP="007D1D64">
      <w:pPr>
        <w:spacing w:after="160" w:line="259" w:lineRule="auto"/>
        <w:rPr>
          <w:sz w:val="22"/>
          <w:szCs w:val="22"/>
        </w:rPr>
      </w:pPr>
    </w:p>
    <w:p w14:paraId="4B8E6647" w14:textId="77777777" w:rsidR="00112E33" w:rsidRDefault="00112E33" w:rsidP="007D1D64">
      <w:pPr>
        <w:spacing w:after="160" w:line="259" w:lineRule="auto"/>
        <w:rPr>
          <w:sz w:val="22"/>
          <w:szCs w:val="22"/>
        </w:rPr>
      </w:pPr>
    </w:p>
    <w:p w14:paraId="7C0186E9" w14:textId="77777777" w:rsidR="00112E33" w:rsidRDefault="00112E33" w:rsidP="007D1D64">
      <w:pPr>
        <w:spacing w:after="160" w:line="259" w:lineRule="auto"/>
        <w:rPr>
          <w:sz w:val="22"/>
          <w:szCs w:val="22"/>
        </w:rPr>
      </w:pPr>
    </w:p>
    <w:p w14:paraId="0E213DCA" w14:textId="77777777" w:rsidR="00112E33" w:rsidRDefault="00112E33" w:rsidP="007D1D64">
      <w:pPr>
        <w:spacing w:after="160" w:line="259" w:lineRule="auto"/>
        <w:rPr>
          <w:sz w:val="22"/>
          <w:szCs w:val="22"/>
        </w:rPr>
      </w:pPr>
    </w:p>
    <w:p w14:paraId="7F45EBE4" w14:textId="77777777" w:rsidR="00112E33" w:rsidRDefault="00112E33" w:rsidP="007D1D64">
      <w:pPr>
        <w:spacing w:after="160" w:line="259" w:lineRule="auto"/>
        <w:rPr>
          <w:sz w:val="22"/>
          <w:szCs w:val="22"/>
        </w:rPr>
      </w:pPr>
    </w:p>
    <w:p w14:paraId="5F38EC95" w14:textId="77777777" w:rsidR="00112E33" w:rsidRDefault="00112E33" w:rsidP="007D1D64">
      <w:pPr>
        <w:spacing w:after="160" w:line="259" w:lineRule="auto"/>
        <w:rPr>
          <w:sz w:val="22"/>
          <w:szCs w:val="22"/>
        </w:rPr>
      </w:pPr>
    </w:p>
    <w:p w14:paraId="0FDC2684" w14:textId="77777777" w:rsidR="00112E33" w:rsidRDefault="00112E33" w:rsidP="007D1D64">
      <w:pPr>
        <w:spacing w:after="160" w:line="259" w:lineRule="auto"/>
        <w:rPr>
          <w:sz w:val="22"/>
          <w:szCs w:val="22"/>
        </w:rPr>
      </w:pPr>
    </w:p>
    <w:p w14:paraId="1E5D0624" w14:textId="77777777" w:rsidR="00112E33" w:rsidRDefault="00112E33" w:rsidP="007D1D64">
      <w:pPr>
        <w:spacing w:after="160" w:line="259" w:lineRule="auto"/>
        <w:rPr>
          <w:sz w:val="22"/>
          <w:szCs w:val="22"/>
        </w:rPr>
      </w:pPr>
    </w:p>
    <w:p w14:paraId="59AFB796" w14:textId="6367C0D1" w:rsidR="00112E33" w:rsidRDefault="00112E33" w:rsidP="007D1D64">
      <w:pPr>
        <w:spacing w:after="160" w:line="259" w:lineRule="auto"/>
        <w:rPr>
          <w:sz w:val="22"/>
          <w:szCs w:val="22"/>
        </w:rPr>
      </w:pPr>
      <w:r>
        <w:rPr>
          <w:noProof/>
        </w:rPr>
        <w:drawing>
          <wp:inline distT="0" distB="0" distL="0" distR="0" wp14:anchorId="6721D763" wp14:editId="1850EFF9">
            <wp:extent cx="792480" cy="323215"/>
            <wp:effectExtent l="0" t="0" r="7620" b="635"/>
            <wp:docPr id="12" name="Picture 12" descr="Logo - Open Government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2480" cy="323215"/>
                    </a:xfrm>
                    <a:prstGeom prst="rect">
                      <a:avLst/>
                    </a:prstGeom>
                    <a:noFill/>
                  </pic:spPr>
                </pic:pic>
              </a:graphicData>
            </a:graphic>
          </wp:inline>
        </w:drawing>
      </w:r>
    </w:p>
    <w:p w14:paraId="4BBA0357" w14:textId="7A458FEF" w:rsidR="007D1D64" w:rsidRPr="007D1D64" w:rsidRDefault="007D1D64" w:rsidP="007D1D64">
      <w:pPr>
        <w:spacing w:after="160" w:line="259" w:lineRule="auto"/>
        <w:rPr>
          <w:sz w:val="22"/>
          <w:szCs w:val="22"/>
        </w:rPr>
      </w:pPr>
      <w:r w:rsidRPr="007D1D64">
        <w:rPr>
          <w:sz w:val="22"/>
          <w:szCs w:val="22"/>
        </w:rPr>
        <w:t>© Crown copyright 20[XX]</w:t>
      </w:r>
    </w:p>
    <w:p w14:paraId="3A1EFEA4" w14:textId="779BDFEB" w:rsidR="007D1D64" w:rsidRPr="007D1D64" w:rsidRDefault="007D1D64" w:rsidP="007D1D64">
      <w:pPr>
        <w:spacing w:after="160" w:line="259" w:lineRule="auto"/>
        <w:rPr>
          <w:sz w:val="22"/>
          <w:szCs w:val="22"/>
        </w:rPr>
      </w:pPr>
      <w:r w:rsidRPr="007D1D64">
        <w:rPr>
          <w:sz w:val="22"/>
          <w:szCs w:val="22"/>
        </w:rPr>
        <w:t xml:space="preserve">This publication is licensed under the terms of the Open Government Licence v3.0 except where otherwise stated. To view this licence, visit </w:t>
      </w:r>
      <w:hyperlink r:id="rId13" w:history="1">
        <w:r w:rsidRPr="00D56ED4">
          <w:rPr>
            <w:rStyle w:val="Hyperlink"/>
            <w:sz w:val="22"/>
            <w:szCs w:val="22"/>
          </w:rPr>
          <w:t>nationalarchives.gov.uk/doc/open-government-licence/version/3</w:t>
        </w:r>
      </w:hyperlink>
      <w:r w:rsidRPr="007D1D64">
        <w:rPr>
          <w:sz w:val="22"/>
          <w:szCs w:val="22"/>
        </w:rPr>
        <w:t xml:space="preserve"> or write to the Information Policy Team, The National Archives, Kew, London TW9 4DU, or email: </w:t>
      </w:r>
      <w:hyperlink r:id="rId14" w:history="1">
        <w:r w:rsidR="009E1EAF" w:rsidRPr="00236685">
          <w:rPr>
            <w:rStyle w:val="Hyperlink"/>
            <w:sz w:val="22"/>
            <w:szCs w:val="22"/>
          </w:rPr>
          <w:t>psi@nationalarchives.gsi.gov.uk</w:t>
        </w:r>
      </w:hyperlink>
      <w:r w:rsidRPr="007D1D64">
        <w:rPr>
          <w:sz w:val="22"/>
          <w:szCs w:val="22"/>
        </w:rPr>
        <w:t>.</w:t>
      </w:r>
      <w:r w:rsidR="009E1EAF">
        <w:rPr>
          <w:sz w:val="22"/>
          <w:szCs w:val="22"/>
        </w:rPr>
        <w:t xml:space="preserve"> </w:t>
      </w:r>
    </w:p>
    <w:p w14:paraId="521BB1D8" w14:textId="77777777" w:rsidR="007D1D64" w:rsidRPr="007D1D64" w:rsidRDefault="007D1D64" w:rsidP="007D1D64">
      <w:pPr>
        <w:spacing w:after="160" w:line="259" w:lineRule="auto"/>
        <w:rPr>
          <w:sz w:val="22"/>
          <w:szCs w:val="22"/>
        </w:rPr>
      </w:pPr>
      <w:r w:rsidRPr="007D1D64">
        <w:rPr>
          <w:sz w:val="22"/>
          <w:szCs w:val="22"/>
        </w:rPr>
        <w:t>Where we have identified any third-party copyright information you will need to obtain permission from the copyright holders concerned.</w:t>
      </w:r>
    </w:p>
    <w:p w14:paraId="0B828443" w14:textId="77777777" w:rsidR="007D1D64" w:rsidRPr="007D1D64" w:rsidRDefault="007D1D64" w:rsidP="007D1D64">
      <w:pPr>
        <w:spacing w:after="160" w:line="259" w:lineRule="auto"/>
        <w:rPr>
          <w:sz w:val="22"/>
          <w:szCs w:val="22"/>
        </w:rPr>
      </w:pPr>
      <w:r w:rsidRPr="007D1D64">
        <w:rPr>
          <w:sz w:val="22"/>
          <w:szCs w:val="22"/>
        </w:rPr>
        <w:t xml:space="preserve">Any enquiries regarding this publication should be sent to us at: </w:t>
      </w:r>
    </w:p>
    <w:p w14:paraId="5F0B07D2" w14:textId="0E9D6D15" w:rsidR="007D1D64" w:rsidRDefault="00A62D44">
      <w:pPr>
        <w:spacing w:after="160" w:line="259" w:lineRule="auto"/>
        <w:rPr>
          <w:sz w:val="22"/>
          <w:szCs w:val="22"/>
        </w:rPr>
      </w:pPr>
      <w:hyperlink r:id="rId15" w:history="1">
        <w:r w:rsidRPr="00236685">
          <w:rPr>
            <w:rStyle w:val="Hyperlink"/>
            <w:sz w:val="22"/>
            <w:szCs w:val="22"/>
          </w:rPr>
          <w:t>ODA-Transparency@beis.gov.uk</w:t>
        </w:r>
      </w:hyperlink>
      <w:r>
        <w:rPr>
          <w:sz w:val="22"/>
          <w:szCs w:val="22"/>
        </w:rPr>
        <w:t xml:space="preserve"> </w:t>
      </w:r>
      <w:r w:rsidR="007D1D64">
        <w:rPr>
          <w:sz w:val="22"/>
          <w:szCs w:val="22"/>
        </w:rPr>
        <w:br w:type="page"/>
      </w:r>
    </w:p>
    <w:sdt>
      <w:sdtPr>
        <w:rPr>
          <w:rFonts w:ascii="Arial" w:eastAsia="Times New Roman" w:hAnsi="Arial" w:cs="Times New Roman"/>
          <w:color w:val="auto"/>
          <w:sz w:val="24"/>
          <w:szCs w:val="24"/>
          <w:lang w:val="en-GB"/>
        </w:rPr>
        <w:id w:val="744424984"/>
        <w:docPartObj>
          <w:docPartGallery w:val="Table of Contents"/>
          <w:docPartUnique/>
        </w:docPartObj>
      </w:sdtPr>
      <w:sdtEndPr/>
      <w:sdtContent>
        <w:p w14:paraId="52C8021F" w14:textId="7479CA6B" w:rsidR="001B14BA" w:rsidRDefault="001B14BA">
          <w:pPr>
            <w:pStyle w:val="TOCHeading"/>
            <w:rPr>
              <w:rFonts w:ascii="Arial" w:hAnsi="Arial" w:cs="Arial"/>
              <w:color w:val="002060"/>
              <w:sz w:val="76"/>
              <w:szCs w:val="76"/>
            </w:rPr>
          </w:pPr>
          <w:r w:rsidRPr="527A8EFF">
            <w:rPr>
              <w:rFonts w:ascii="Arial" w:hAnsi="Arial" w:cs="Arial"/>
              <w:color w:val="002060"/>
              <w:sz w:val="76"/>
              <w:szCs w:val="76"/>
            </w:rPr>
            <w:t>Contents</w:t>
          </w:r>
        </w:p>
        <w:p w14:paraId="7F576620" w14:textId="77777777" w:rsidR="0030176F" w:rsidRPr="0030176F" w:rsidRDefault="0030176F" w:rsidP="0030176F">
          <w:pPr>
            <w:rPr>
              <w:lang w:val="en-US"/>
            </w:rPr>
          </w:pPr>
        </w:p>
        <w:p w14:paraId="4A531AFB" w14:textId="7964F4C0" w:rsidR="159F08A2" w:rsidRDefault="159F08A2" w:rsidP="159F08A2">
          <w:pPr>
            <w:pStyle w:val="TOC1"/>
            <w:tabs>
              <w:tab w:val="right" w:leader="dot" w:pos="9016"/>
            </w:tabs>
            <w:rPr>
              <w:rFonts w:cs="Arial"/>
              <w:b/>
              <w:bCs/>
              <w:noProof/>
              <w:lang w:eastAsia="en-GB"/>
            </w:rPr>
          </w:pPr>
        </w:p>
        <w:p w14:paraId="067B5835" w14:textId="1164EA36" w:rsidR="00DB4AAF" w:rsidRDefault="00023069" w:rsidP="527A8EFF">
          <w:pPr>
            <w:pStyle w:val="TOC1"/>
            <w:tabs>
              <w:tab w:val="right" w:leader="dot" w:pos="9015"/>
            </w:tabs>
            <w:rPr>
              <w:rStyle w:val="Hyperlink"/>
              <w:noProof/>
              <w:kern w:val="2"/>
              <w:lang w:eastAsia="en-GB"/>
              <w14:ligatures w14:val="standardContextual"/>
            </w:rPr>
          </w:pPr>
          <w:r>
            <w:fldChar w:fldCharType="begin"/>
          </w:r>
          <w:r w:rsidR="001B14BA">
            <w:instrText>TOC \o "1-3" \z \u \h</w:instrText>
          </w:r>
          <w:r>
            <w:fldChar w:fldCharType="separate"/>
          </w:r>
          <w:hyperlink w:anchor="_Toc985939141">
            <w:r w:rsidR="527A8EFF" w:rsidRPr="527A8EFF">
              <w:rPr>
                <w:rStyle w:val="Hyperlink"/>
              </w:rPr>
              <w:t>Section A: Summary and overview</w:t>
            </w:r>
            <w:r w:rsidR="001B14BA">
              <w:tab/>
            </w:r>
            <w:r w:rsidR="001B14BA">
              <w:fldChar w:fldCharType="begin"/>
            </w:r>
            <w:r w:rsidR="001B14BA">
              <w:instrText>PAGEREF _Toc985939141 \h</w:instrText>
            </w:r>
            <w:r w:rsidR="001B14BA">
              <w:fldChar w:fldCharType="separate"/>
            </w:r>
            <w:r w:rsidR="527A8EFF" w:rsidRPr="527A8EFF">
              <w:rPr>
                <w:rStyle w:val="Hyperlink"/>
              </w:rPr>
              <w:t>6</w:t>
            </w:r>
            <w:r w:rsidR="001B14BA">
              <w:fldChar w:fldCharType="end"/>
            </w:r>
          </w:hyperlink>
        </w:p>
        <w:p w14:paraId="44F392C4" w14:textId="7434F3F7" w:rsidR="00DB4AAF" w:rsidRDefault="527A8EFF" w:rsidP="527A8EFF">
          <w:pPr>
            <w:pStyle w:val="TOC2"/>
            <w:tabs>
              <w:tab w:val="right" w:leader="dot" w:pos="9015"/>
            </w:tabs>
            <w:rPr>
              <w:rStyle w:val="Hyperlink"/>
              <w:noProof/>
              <w:kern w:val="2"/>
              <w:lang w:eastAsia="en-GB"/>
              <w14:ligatures w14:val="standardContextual"/>
            </w:rPr>
          </w:pPr>
          <w:hyperlink w:anchor="_Toc1588744456">
            <w:r w:rsidRPr="527A8EFF">
              <w:rPr>
                <w:rStyle w:val="Hyperlink"/>
              </w:rPr>
              <w:t>Description of programme</w:t>
            </w:r>
            <w:r w:rsidR="00023069">
              <w:tab/>
            </w:r>
            <w:r w:rsidR="00023069">
              <w:fldChar w:fldCharType="begin"/>
            </w:r>
            <w:r w:rsidR="00023069">
              <w:instrText>PAGEREF _Toc1588744456 \h</w:instrText>
            </w:r>
            <w:r w:rsidR="00023069">
              <w:fldChar w:fldCharType="separate"/>
            </w:r>
            <w:r w:rsidRPr="527A8EFF">
              <w:rPr>
                <w:rStyle w:val="Hyperlink"/>
              </w:rPr>
              <w:t>7</w:t>
            </w:r>
            <w:r w:rsidR="00023069">
              <w:fldChar w:fldCharType="end"/>
            </w:r>
          </w:hyperlink>
        </w:p>
        <w:p w14:paraId="4F5234CE" w14:textId="57472268" w:rsidR="00DB4AAF" w:rsidRDefault="527A8EFF" w:rsidP="527A8EFF">
          <w:pPr>
            <w:pStyle w:val="TOC2"/>
            <w:tabs>
              <w:tab w:val="right" w:leader="dot" w:pos="9015"/>
            </w:tabs>
            <w:rPr>
              <w:rStyle w:val="Hyperlink"/>
              <w:noProof/>
              <w:kern w:val="2"/>
              <w:lang w:eastAsia="en-GB"/>
              <w14:ligatures w14:val="standardContextual"/>
            </w:rPr>
          </w:pPr>
          <w:hyperlink w:anchor="_Toc1066357791">
            <w:r w:rsidRPr="527A8EFF">
              <w:rPr>
                <w:rStyle w:val="Hyperlink"/>
              </w:rPr>
              <w:t>Summary of progress and supporting narrative for the overall score</w:t>
            </w:r>
            <w:r w:rsidR="00023069">
              <w:tab/>
            </w:r>
            <w:r w:rsidR="00023069">
              <w:fldChar w:fldCharType="begin"/>
            </w:r>
            <w:r w:rsidR="00023069">
              <w:instrText>PAGEREF _Toc1066357791 \h</w:instrText>
            </w:r>
            <w:r w:rsidR="00023069">
              <w:fldChar w:fldCharType="separate"/>
            </w:r>
            <w:r w:rsidRPr="527A8EFF">
              <w:rPr>
                <w:rStyle w:val="Hyperlink"/>
              </w:rPr>
              <w:t>7</w:t>
            </w:r>
            <w:r w:rsidR="00023069">
              <w:fldChar w:fldCharType="end"/>
            </w:r>
          </w:hyperlink>
        </w:p>
        <w:p w14:paraId="1FC0A73E" w14:textId="680E6604" w:rsidR="00DB4AAF" w:rsidRDefault="527A8EFF" w:rsidP="527A8EFF">
          <w:pPr>
            <w:pStyle w:val="TOC2"/>
            <w:tabs>
              <w:tab w:val="right" w:leader="dot" w:pos="9015"/>
            </w:tabs>
            <w:rPr>
              <w:rStyle w:val="Hyperlink"/>
              <w:noProof/>
              <w:kern w:val="2"/>
              <w:lang w:eastAsia="en-GB"/>
              <w14:ligatures w14:val="standardContextual"/>
            </w:rPr>
          </w:pPr>
          <w:hyperlink w:anchor="_Toc685053927">
            <w:r w:rsidRPr="527A8EFF">
              <w:rPr>
                <w:rStyle w:val="Hyperlink"/>
              </w:rPr>
              <w:t>Progress against recommendations from the last review</w:t>
            </w:r>
            <w:r w:rsidR="00023069">
              <w:tab/>
            </w:r>
            <w:r w:rsidR="00023069">
              <w:fldChar w:fldCharType="begin"/>
            </w:r>
            <w:r w:rsidR="00023069">
              <w:instrText>PAGEREF _Toc685053927 \h</w:instrText>
            </w:r>
            <w:r w:rsidR="00023069">
              <w:fldChar w:fldCharType="separate"/>
            </w:r>
            <w:r w:rsidRPr="527A8EFF">
              <w:rPr>
                <w:rStyle w:val="Hyperlink"/>
              </w:rPr>
              <w:t>7</w:t>
            </w:r>
            <w:r w:rsidR="00023069">
              <w:fldChar w:fldCharType="end"/>
            </w:r>
          </w:hyperlink>
        </w:p>
        <w:p w14:paraId="3CDCB849" w14:textId="373A4730" w:rsidR="00DB4AAF" w:rsidRDefault="527A8EFF" w:rsidP="527A8EFF">
          <w:pPr>
            <w:pStyle w:val="TOC2"/>
            <w:tabs>
              <w:tab w:val="right" w:leader="dot" w:pos="9015"/>
            </w:tabs>
            <w:rPr>
              <w:rStyle w:val="Hyperlink"/>
              <w:noProof/>
              <w:kern w:val="2"/>
              <w:lang w:eastAsia="en-GB"/>
              <w14:ligatures w14:val="standardContextual"/>
            </w:rPr>
          </w:pPr>
          <w:hyperlink w:anchor="_Toc1298170689">
            <w:r w:rsidRPr="527A8EFF">
              <w:rPr>
                <w:rStyle w:val="Hyperlink"/>
              </w:rPr>
              <w:t>Major lessons and recommendations for the year ahead</w:t>
            </w:r>
            <w:r w:rsidR="00023069">
              <w:tab/>
            </w:r>
            <w:r w:rsidR="00023069">
              <w:fldChar w:fldCharType="begin"/>
            </w:r>
            <w:r w:rsidR="00023069">
              <w:instrText>PAGEREF _Toc1298170689 \h</w:instrText>
            </w:r>
            <w:r w:rsidR="00023069">
              <w:fldChar w:fldCharType="separate"/>
            </w:r>
            <w:r w:rsidRPr="527A8EFF">
              <w:rPr>
                <w:rStyle w:val="Hyperlink"/>
              </w:rPr>
              <w:t>7</w:t>
            </w:r>
            <w:r w:rsidR="00023069">
              <w:fldChar w:fldCharType="end"/>
            </w:r>
          </w:hyperlink>
        </w:p>
        <w:p w14:paraId="7A969C49" w14:textId="0B36E06B" w:rsidR="00DB4AAF" w:rsidRDefault="527A8EFF" w:rsidP="527A8EFF">
          <w:pPr>
            <w:pStyle w:val="TOC1"/>
            <w:tabs>
              <w:tab w:val="right" w:leader="dot" w:pos="9015"/>
            </w:tabs>
            <w:rPr>
              <w:rStyle w:val="Hyperlink"/>
              <w:noProof/>
              <w:kern w:val="2"/>
              <w:lang w:eastAsia="en-GB"/>
              <w14:ligatures w14:val="standardContextual"/>
            </w:rPr>
          </w:pPr>
          <w:hyperlink w:anchor="_Toc650340794">
            <w:r w:rsidRPr="527A8EFF">
              <w:rPr>
                <w:rStyle w:val="Hyperlink"/>
              </w:rPr>
              <w:t>Section B: Theory of change and progress towards outcomes</w:t>
            </w:r>
            <w:r w:rsidR="00023069">
              <w:tab/>
            </w:r>
            <w:r w:rsidR="00023069">
              <w:fldChar w:fldCharType="begin"/>
            </w:r>
            <w:r w:rsidR="00023069">
              <w:instrText>PAGEREF _Toc650340794 \h</w:instrText>
            </w:r>
            <w:r w:rsidR="00023069">
              <w:fldChar w:fldCharType="separate"/>
            </w:r>
            <w:r w:rsidRPr="527A8EFF">
              <w:rPr>
                <w:rStyle w:val="Hyperlink"/>
              </w:rPr>
              <w:t>8</w:t>
            </w:r>
            <w:r w:rsidR="00023069">
              <w:fldChar w:fldCharType="end"/>
            </w:r>
          </w:hyperlink>
        </w:p>
        <w:p w14:paraId="7EF69F91" w14:textId="5BECE5B7" w:rsidR="00DB4AAF" w:rsidRDefault="527A8EFF" w:rsidP="527A8EFF">
          <w:pPr>
            <w:pStyle w:val="TOC2"/>
            <w:tabs>
              <w:tab w:val="right" w:leader="dot" w:pos="9015"/>
            </w:tabs>
            <w:rPr>
              <w:rStyle w:val="Hyperlink"/>
              <w:noProof/>
              <w:kern w:val="2"/>
              <w:lang w:eastAsia="en-GB"/>
              <w14:ligatures w14:val="standardContextual"/>
            </w:rPr>
          </w:pPr>
          <w:hyperlink w:anchor="_Toc1197078254">
            <w:r w:rsidRPr="527A8EFF">
              <w:rPr>
                <w:rStyle w:val="Hyperlink"/>
              </w:rPr>
              <w:t>Summary of the programme’s theory of change, including any changes to outcome and impact indicators from the original business case</w:t>
            </w:r>
            <w:r w:rsidR="00023069">
              <w:tab/>
            </w:r>
            <w:r w:rsidR="00023069">
              <w:fldChar w:fldCharType="begin"/>
            </w:r>
            <w:r w:rsidR="00023069">
              <w:instrText>PAGEREF _Toc1197078254 \h</w:instrText>
            </w:r>
            <w:r w:rsidR="00023069">
              <w:fldChar w:fldCharType="separate"/>
            </w:r>
            <w:r w:rsidRPr="527A8EFF">
              <w:rPr>
                <w:rStyle w:val="Hyperlink"/>
              </w:rPr>
              <w:t>8</w:t>
            </w:r>
            <w:r w:rsidR="00023069">
              <w:fldChar w:fldCharType="end"/>
            </w:r>
          </w:hyperlink>
        </w:p>
        <w:p w14:paraId="5654720A" w14:textId="4001D3F2" w:rsidR="00DB4AAF" w:rsidRDefault="527A8EFF" w:rsidP="527A8EFF">
          <w:pPr>
            <w:pStyle w:val="TOC2"/>
            <w:tabs>
              <w:tab w:val="right" w:leader="dot" w:pos="9015"/>
            </w:tabs>
            <w:rPr>
              <w:rStyle w:val="Hyperlink"/>
              <w:noProof/>
              <w:kern w:val="2"/>
              <w:lang w:eastAsia="en-GB"/>
              <w14:ligatures w14:val="standardContextual"/>
            </w:rPr>
          </w:pPr>
          <w:hyperlink w:anchor="_Toc395759822">
            <w:r w:rsidRPr="527A8EFF">
              <w:rPr>
                <w:rStyle w:val="Hyperlink"/>
              </w:rPr>
              <w:t>Progress against the expected outcomes and impact, and actions planned for the year ahead</w:t>
            </w:r>
            <w:r w:rsidR="00023069">
              <w:tab/>
            </w:r>
            <w:r w:rsidR="00023069">
              <w:fldChar w:fldCharType="begin"/>
            </w:r>
            <w:r w:rsidR="00023069">
              <w:instrText>PAGEREF _Toc395759822 \h</w:instrText>
            </w:r>
            <w:r w:rsidR="00023069">
              <w:fldChar w:fldCharType="separate"/>
            </w:r>
            <w:r w:rsidRPr="527A8EFF">
              <w:rPr>
                <w:rStyle w:val="Hyperlink"/>
              </w:rPr>
              <w:t>8</w:t>
            </w:r>
            <w:r w:rsidR="00023069">
              <w:fldChar w:fldCharType="end"/>
            </w:r>
          </w:hyperlink>
        </w:p>
        <w:p w14:paraId="00A7C6EC" w14:textId="3420A52C" w:rsidR="00DB4AAF" w:rsidRDefault="527A8EFF" w:rsidP="527A8EFF">
          <w:pPr>
            <w:pStyle w:val="TOC2"/>
            <w:tabs>
              <w:tab w:val="right" w:leader="dot" w:pos="9015"/>
            </w:tabs>
            <w:rPr>
              <w:rStyle w:val="Hyperlink"/>
              <w:noProof/>
              <w:kern w:val="2"/>
              <w:lang w:eastAsia="en-GB"/>
              <w14:ligatures w14:val="standardContextual"/>
            </w:rPr>
          </w:pPr>
          <w:hyperlink w:anchor="_Toc1427550952">
            <w:r w:rsidRPr="527A8EFF">
              <w:rPr>
                <w:rStyle w:val="Hyperlink"/>
              </w:rPr>
              <w:t>Logframe updates since the last review</w:t>
            </w:r>
            <w:r w:rsidR="00023069">
              <w:tab/>
            </w:r>
            <w:r w:rsidR="00023069">
              <w:fldChar w:fldCharType="begin"/>
            </w:r>
            <w:r w:rsidR="00023069">
              <w:instrText>PAGEREF _Toc1427550952 \h</w:instrText>
            </w:r>
            <w:r w:rsidR="00023069">
              <w:fldChar w:fldCharType="separate"/>
            </w:r>
            <w:r w:rsidRPr="527A8EFF">
              <w:rPr>
                <w:rStyle w:val="Hyperlink"/>
              </w:rPr>
              <w:t>9</w:t>
            </w:r>
            <w:r w:rsidR="00023069">
              <w:fldChar w:fldCharType="end"/>
            </w:r>
          </w:hyperlink>
        </w:p>
        <w:p w14:paraId="3F8704AE" w14:textId="66D57AF5" w:rsidR="00DB4AAF" w:rsidRDefault="527A8EFF" w:rsidP="527A8EFF">
          <w:pPr>
            <w:pStyle w:val="TOC1"/>
            <w:tabs>
              <w:tab w:val="right" w:leader="dot" w:pos="9015"/>
            </w:tabs>
            <w:rPr>
              <w:rStyle w:val="Hyperlink"/>
              <w:noProof/>
              <w:kern w:val="2"/>
              <w:lang w:eastAsia="en-GB"/>
              <w14:ligatures w14:val="standardContextual"/>
            </w:rPr>
          </w:pPr>
          <w:hyperlink w:anchor="_Toc796839481">
            <w:r w:rsidRPr="527A8EFF">
              <w:rPr>
                <w:rStyle w:val="Hyperlink"/>
              </w:rPr>
              <w:t>Section C: Output scoring</w:t>
            </w:r>
            <w:r w:rsidR="00023069">
              <w:tab/>
            </w:r>
            <w:r w:rsidR="00023069">
              <w:fldChar w:fldCharType="begin"/>
            </w:r>
            <w:r w:rsidR="00023069">
              <w:instrText>PAGEREF _Toc796839481 \h</w:instrText>
            </w:r>
            <w:r w:rsidR="00023069">
              <w:fldChar w:fldCharType="separate"/>
            </w:r>
            <w:r w:rsidRPr="527A8EFF">
              <w:rPr>
                <w:rStyle w:val="Hyperlink"/>
              </w:rPr>
              <w:t>9</w:t>
            </w:r>
            <w:r w:rsidR="00023069">
              <w:fldChar w:fldCharType="end"/>
            </w:r>
          </w:hyperlink>
        </w:p>
        <w:p w14:paraId="39CB62DA" w14:textId="184EA860" w:rsidR="00DB4AAF" w:rsidRDefault="527A8EFF" w:rsidP="527A8EFF">
          <w:pPr>
            <w:pStyle w:val="TOC2"/>
            <w:tabs>
              <w:tab w:val="right" w:leader="dot" w:pos="9015"/>
            </w:tabs>
            <w:rPr>
              <w:rStyle w:val="Hyperlink"/>
              <w:noProof/>
              <w:kern w:val="2"/>
              <w:lang w:eastAsia="en-GB"/>
              <w14:ligatures w14:val="standardContextual"/>
            </w:rPr>
          </w:pPr>
          <w:hyperlink w:anchor="_Toc1076303970">
            <w:r w:rsidRPr="527A8EFF">
              <w:rPr>
                <w:rStyle w:val="Hyperlink"/>
              </w:rPr>
              <w:t>Output 1: Title</w:t>
            </w:r>
            <w:r w:rsidR="00023069">
              <w:tab/>
            </w:r>
            <w:r w:rsidR="00023069">
              <w:fldChar w:fldCharType="begin"/>
            </w:r>
            <w:r w:rsidR="00023069">
              <w:instrText>PAGEREF _Toc1076303970 \h</w:instrText>
            </w:r>
            <w:r w:rsidR="00023069">
              <w:fldChar w:fldCharType="separate"/>
            </w:r>
            <w:r w:rsidRPr="527A8EFF">
              <w:rPr>
                <w:rStyle w:val="Hyperlink"/>
              </w:rPr>
              <w:t>9</w:t>
            </w:r>
            <w:r w:rsidR="00023069">
              <w:fldChar w:fldCharType="end"/>
            </w:r>
          </w:hyperlink>
        </w:p>
        <w:p w14:paraId="4A9C09C1" w14:textId="45E41058" w:rsidR="00DB4AAF" w:rsidRDefault="527A8EFF" w:rsidP="527A8EFF">
          <w:pPr>
            <w:pStyle w:val="TOC2"/>
            <w:tabs>
              <w:tab w:val="right" w:leader="dot" w:pos="9015"/>
            </w:tabs>
            <w:rPr>
              <w:rStyle w:val="Hyperlink"/>
              <w:noProof/>
              <w:kern w:val="2"/>
              <w:lang w:eastAsia="en-GB"/>
              <w14:ligatures w14:val="standardContextual"/>
            </w:rPr>
          </w:pPr>
          <w:hyperlink w:anchor="_Toc68620101">
            <w:r w:rsidRPr="527A8EFF">
              <w:rPr>
                <w:rStyle w:val="Hyperlink"/>
              </w:rPr>
              <w:t>Output 2: Title</w:t>
            </w:r>
            <w:r w:rsidR="00023069">
              <w:tab/>
            </w:r>
            <w:r w:rsidR="00023069">
              <w:fldChar w:fldCharType="begin"/>
            </w:r>
            <w:r w:rsidR="00023069">
              <w:instrText>PAGEREF _Toc68620101 \h</w:instrText>
            </w:r>
            <w:r w:rsidR="00023069">
              <w:fldChar w:fldCharType="separate"/>
            </w:r>
            <w:r w:rsidRPr="527A8EFF">
              <w:rPr>
                <w:rStyle w:val="Hyperlink"/>
              </w:rPr>
              <w:t>10</w:t>
            </w:r>
            <w:r w:rsidR="00023069">
              <w:fldChar w:fldCharType="end"/>
            </w:r>
          </w:hyperlink>
        </w:p>
        <w:p w14:paraId="5F2F12AB" w14:textId="5EFBE623" w:rsidR="00DB4AAF" w:rsidRDefault="527A8EFF" w:rsidP="527A8EFF">
          <w:pPr>
            <w:pStyle w:val="TOC2"/>
            <w:tabs>
              <w:tab w:val="right" w:leader="dot" w:pos="9015"/>
            </w:tabs>
            <w:rPr>
              <w:rStyle w:val="Hyperlink"/>
              <w:noProof/>
              <w:kern w:val="2"/>
              <w:lang w:eastAsia="en-GB"/>
              <w14:ligatures w14:val="standardContextual"/>
            </w:rPr>
          </w:pPr>
          <w:hyperlink w:anchor="_Toc1248670558">
            <w:r w:rsidRPr="527A8EFF">
              <w:rPr>
                <w:rStyle w:val="Hyperlink"/>
              </w:rPr>
              <w:t>Output 3: Title</w:t>
            </w:r>
            <w:r w:rsidR="00023069">
              <w:tab/>
            </w:r>
            <w:r w:rsidR="00023069">
              <w:fldChar w:fldCharType="begin"/>
            </w:r>
            <w:r w:rsidR="00023069">
              <w:instrText>PAGEREF _Toc1248670558 \h</w:instrText>
            </w:r>
            <w:r w:rsidR="00023069">
              <w:fldChar w:fldCharType="separate"/>
            </w:r>
            <w:r w:rsidRPr="527A8EFF">
              <w:rPr>
                <w:rStyle w:val="Hyperlink"/>
              </w:rPr>
              <w:t>10</w:t>
            </w:r>
            <w:r w:rsidR="00023069">
              <w:fldChar w:fldCharType="end"/>
            </w:r>
          </w:hyperlink>
        </w:p>
        <w:p w14:paraId="2BEC16FE" w14:textId="7617C230" w:rsidR="00DB4AAF" w:rsidRDefault="527A8EFF" w:rsidP="527A8EFF">
          <w:pPr>
            <w:pStyle w:val="TOC1"/>
            <w:tabs>
              <w:tab w:val="right" w:leader="dot" w:pos="9015"/>
            </w:tabs>
            <w:rPr>
              <w:rStyle w:val="Hyperlink"/>
              <w:noProof/>
              <w:kern w:val="2"/>
              <w:lang w:eastAsia="en-GB"/>
              <w14:ligatures w14:val="standardContextual"/>
            </w:rPr>
          </w:pPr>
          <w:hyperlink w:anchor="_Toc257797710">
            <w:r w:rsidRPr="527A8EFF">
              <w:rPr>
                <w:rStyle w:val="Hyperlink"/>
              </w:rPr>
              <w:t>Section D: Programme performance not captured by outputs</w:t>
            </w:r>
            <w:r w:rsidR="00023069">
              <w:tab/>
            </w:r>
            <w:r w:rsidR="00023069">
              <w:fldChar w:fldCharType="begin"/>
            </w:r>
            <w:r w:rsidR="00023069">
              <w:instrText>PAGEREF _Toc257797710 \h</w:instrText>
            </w:r>
            <w:r w:rsidR="00023069">
              <w:fldChar w:fldCharType="separate"/>
            </w:r>
            <w:r w:rsidRPr="527A8EFF">
              <w:rPr>
                <w:rStyle w:val="Hyperlink"/>
              </w:rPr>
              <w:t>10</w:t>
            </w:r>
            <w:r w:rsidR="00023069">
              <w:fldChar w:fldCharType="end"/>
            </w:r>
          </w:hyperlink>
        </w:p>
        <w:p w14:paraId="1B3AE531" w14:textId="6D4B9E9E" w:rsidR="00DB4AAF" w:rsidRDefault="527A8EFF" w:rsidP="527A8EFF">
          <w:pPr>
            <w:pStyle w:val="TOC1"/>
            <w:tabs>
              <w:tab w:val="right" w:leader="dot" w:pos="9015"/>
            </w:tabs>
            <w:rPr>
              <w:rStyle w:val="Hyperlink"/>
              <w:noProof/>
              <w:kern w:val="2"/>
              <w:lang w:eastAsia="en-GB"/>
              <w14:ligatures w14:val="standardContextual"/>
            </w:rPr>
          </w:pPr>
          <w:hyperlink w:anchor="_Toc1033953850">
            <w:r w:rsidRPr="527A8EFF">
              <w:rPr>
                <w:rStyle w:val="Hyperlink"/>
              </w:rPr>
              <w:t>Section E: Risk</w:t>
            </w:r>
            <w:r w:rsidR="00023069">
              <w:tab/>
            </w:r>
            <w:r w:rsidR="00023069">
              <w:fldChar w:fldCharType="begin"/>
            </w:r>
            <w:r w:rsidR="00023069">
              <w:instrText>PAGEREF _Toc1033953850 \h</w:instrText>
            </w:r>
            <w:r w:rsidR="00023069">
              <w:fldChar w:fldCharType="separate"/>
            </w:r>
            <w:r w:rsidRPr="527A8EFF">
              <w:rPr>
                <w:rStyle w:val="Hyperlink"/>
              </w:rPr>
              <w:t>11</w:t>
            </w:r>
            <w:r w:rsidR="00023069">
              <w:fldChar w:fldCharType="end"/>
            </w:r>
          </w:hyperlink>
        </w:p>
        <w:p w14:paraId="3D775740" w14:textId="40222251" w:rsidR="00DB4AAF" w:rsidRDefault="527A8EFF" w:rsidP="527A8EFF">
          <w:pPr>
            <w:pStyle w:val="TOC2"/>
            <w:tabs>
              <w:tab w:val="right" w:leader="dot" w:pos="9015"/>
            </w:tabs>
            <w:rPr>
              <w:rStyle w:val="Hyperlink"/>
              <w:noProof/>
              <w:kern w:val="2"/>
              <w:lang w:eastAsia="en-GB"/>
              <w14:ligatures w14:val="standardContextual"/>
            </w:rPr>
          </w:pPr>
          <w:hyperlink w:anchor="_Toc1589569323">
            <w:r w:rsidRPr="527A8EFF">
              <w:rPr>
                <w:rStyle w:val="Hyperlink"/>
              </w:rPr>
              <w:t>Overall risk rating</w:t>
            </w:r>
            <w:r w:rsidR="00023069">
              <w:tab/>
            </w:r>
            <w:r w:rsidR="00023069">
              <w:fldChar w:fldCharType="begin"/>
            </w:r>
            <w:r w:rsidR="00023069">
              <w:instrText>PAGEREF _Toc1589569323 \h</w:instrText>
            </w:r>
            <w:r w:rsidR="00023069">
              <w:fldChar w:fldCharType="separate"/>
            </w:r>
            <w:r w:rsidRPr="527A8EFF">
              <w:rPr>
                <w:rStyle w:val="Hyperlink"/>
              </w:rPr>
              <w:t>11</w:t>
            </w:r>
            <w:r w:rsidR="00023069">
              <w:fldChar w:fldCharType="end"/>
            </w:r>
          </w:hyperlink>
        </w:p>
        <w:p w14:paraId="265B12E9" w14:textId="2370529E" w:rsidR="00DB4AAF" w:rsidRDefault="527A8EFF" w:rsidP="527A8EFF">
          <w:pPr>
            <w:pStyle w:val="TOC2"/>
            <w:tabs>
              <w:tab w:val="right" w:leader="dot" w:pos="9015"/>
            </w:tabs>
            <w:rPr>
              <w:rStyle w:val="Hyperlink"/>
              <w:noProof/>
              <w:kern w:val="2"/>
              <w:lang w:eastAsia="en-GB"/>
              <w14:ligatures w14:val="standardContextual"/>
            </w:rPr>
          </w:pPr>
          <w:hyperlink w:anchor="_Toc1864488277">
            <w:r w:rsidRPr="527A8EFF">
              <w:rPr>
                <w:rStyle w:val="Hyperlink"/>
              </w:rPr>
              <w:t>Overview of risk management</w:t>
            </w:r>
            <w:r w:rsidR="00023069">
              <w:tab/>
            </w:r>
            <w:r w:rsidR="00023069">
              <w:fldChar w:fldCharType="begin"/>
            </w:r>
            <w:r w:rsidR="00023069">
              <w:instrText>PAGEREF _Toc1864488277 \h</w:instrText>
            </w:r>
            <w:r w:rsidR="00023069">
              <w:fldChar w:fldCharType="separate"/>
            </w:r>
            <w:r w:rsidRPr="527A8EFF">
              <w:rPr>
                <w:rStyle w:val="Hyperlink"/>
              </w:rPr>
              <w:t>11</w:t>
            </w:r>
            <w:r w:rsidR="00023069">
              <w:fldChar w:fldCharType="end"/>
            </w:r>
          </w:hyperlink>
        </w:p>
        <w:p w14:paraId="0EF13443" w14:textId="38154375" w:rsidR="00DB4AAF" w:rsidRDefault="527A8EFF" w:rsidP="527A8EFF">
          <w:pPr>
            <w:pStyle w:val="TOC2"/>
            <w:tabs>
              <w:tab w:val="right" w:leader="dot" w:pos="9015"/>
            </w:tabs>
            <w:rPr>
              <w:rStyle w:val="Hyperlink"/>
              <w:noProof/>
              <w:kern w:val="2"/>
              <w:lang w:eastAsia="en-GB"/>
              <w14:ligatures w14:val="standardContextual"/>
            </w:rPr>
          </w:pPr>
          <w:hyperlink w:anchor="_Toc1844927462">
            <w:r w:rsidRPr="527A8EFF">
              <w:rPr>
                <w:rStyle w:val="Hyperlink"/>
              </w:rPr>
              <w:t>Current risks</w:t>
            </w:r>
            <w:r w:rsidR="00023069">
              <w:tab/>
            </w:r>
            <w:r w:rsidR="00023069">
              <w:fldChar w:fldCharType="begin"/>
            </w:r>
            <w:r w:rsidR="00023069">
              <w:instrText>PAGEREF _Toc1844927462 \h</w:instrText>
            </w:r>
            <w:r w:rsidR="00023069">
              <w:fldChar w:fldCharType="separate"/>
            </w:r>
            <w:r w:rsidRPr="527A8EFF">
              <w:rPr>
                <w:rStyle w:val="Hyperlink"/>
              </w:rPr>
              <w:t>11</w:t>
            </w:r>
            <w:r w:rsidR="00023069">
              <w:fldChar w:fldCharType="end"/>
            </w:r>
          </w:hyperlink>
        </w:p>
        <w:p w14:paraId="566EA9FB" w14:textId="35161CD7" w:rsidR="00DB4AAF" w:rsidRDefault="527A8EFF" w:rsidP="527A8EFF">
          <w:pPr>
            <w:pStyle w:val="TOC2"/>
            <w:tabs>
              <w:tab w:val="right" w:leader="dot" w:pos="9015"/>
            </w:tabs>
            <w:rPr>
              <w:rStyle w:val="Hyperlink"/>
              <w:noProof/>
              <w:kern w:val="2"/>
              <w:lang w:eastAsia="en-GB"/>
              <w14:ligatures w14:val="standardContextual"/>
            </w:rPr>
          </w:pPr>
          <w:hyperlink w:anchor="_Toc253138847">
            <w:r w:rsidRPr="527A8EFF">
              <w:rPr>
                <w:rStyle w:val="Hyperlink"/>
              </w:rPr>
              <w:t>Outstanding actions from risk assessment</w:t>
            </w:r>
            <w:r w:rsidR="00023069">
              <w:tab/>
            </w:r>
            <w:r w:rsidR="00023069">
              <w:fldChar w:fldCharType="begin"/>
            </w:r>
            <w:r w:rsidR="00023069">
              <w:instrText>PAGEREF _Toc253138847 \h</w:instrText>
            </w:r>
            <w:r w:rsidR="00023069">
              <w:fldChar w:fldCharType="separate"/>
            </w:r>
            <w:r w:rsidRPr="527A8EFF">
              <w:rPr>
                <w:rStyle w:val="Hyperlink"/>
              </w:rPr>
              <w:t>11</w:t>
            </w:r>
            <w:r w:rsidR="00023069">
              <w:fldChar w:fldCharType="end"/>
            </w:r>
          </w:hyperlink>
        </w:p>
        <w:p w14:paraId="6E7BF280" w14:textId="64971FC7" w:rsidR="00DB4AAF" w:rsidRDefault="527A8EFF" w:rsidP="527A8EFF">
          <w:pPr>
            <w:pStyle w:val="TOC1"/>
            <w:tabs>
              <w:tab w:val="right" w:leader="dot" w:pos="9015"/>
            </w:tabs>
            <w:rPr>
              <w:rStyle w:val="Hyperlink"/>
              <w:noProof/>
              <w:kern w:val="2"/>
              <w:lang w:eastAsia="en-GB"/>
              <w14:ligatures w14:val="standardContextual"/>
            </w:rPr>
          </w:pPr>
          <w:hyperlink w:anchor="_Toc1274493754">
            <w:r w:rsidRPr="527A8EFF">
              <w:rPr>
                <w:rStyle w:val="Hyperlink"/>
              </w:rPr>
              <w:t>Section F: Programme management: delivery, VfM, commercial and financial performance</w:t>
            </w:r>
            <w:r w:rsidR="00023069">
              <w:tab/>
            </w:r>
            <w:r w:rsidR="00023069">
              <w:fldChar w:fldCharType="begin"/>
            </w:r>
            <w:r w:rsidR="00023069">
              <w:instrText>PAGEREF _Toc1274493754 \h</w:instrText>
            </w:r>
            <w:r w:rsidR="00023069">
              <w:fldChar w:fldCharType="separate"/>
            </w:r>
            <w:r w:rsidRPr="527A8EFF">
              <w:rPr>
                <w:rStyle w:val="Hyperlink"/>
              </w:rPr>
              <w:t>11</w:t>
            </w:r>
            <w:r w:rsidR="00023069">
              <w:fldChar w:fldCharType="end"/>
            </w:r>
          </w:hyperlink>
        </w:p>
        <w:p w14:paraId="2412FD0E" w14:textId="3FC3881B" w:rsidR="00DB4AAF" w:rsidRDefault="527A8EFF" w:rsidP="527A8EFF">
          <w:pPr>
            <w:pStyle w:val="TOC2"/>
            <w:tabs>
              <w:tab w:val="right" w:leader="dot" w:pos="9015"/>
            </w:tabs>
            <w:rPr>
              <w:rStyle w:val="Hyperlink"/>
              <w:noProof/>
              <w:kern w:val="2"/>
              <w:lang w:eastAsia="en-GB"/>
              <w14:ligatures w14:val="standardContextual"/>
            </w:rPr>
          </w:pPr>
          <w:hyperlink w:anchor="_Toc2008939545">
            <w:r w:rsidRPr="527A8EFF">
              <w:rPr>
                <w:rStyle w:val="Hyperlink"/>
              </w:rPr>
              <w:t>Summary of the performance of partners and DESNZ, notably on commercial and financial issues, and including consideration of VfM.</w:t>
            </w:r>
            <w:r w:rsidR="00023069">
              <w:tab/>
            </w:r>
            <w:r w:rsidR="00023069">
              <w:fldChar w:fldCharType="begin"/>
            </w:r>
            <w:r w:rsidR="00023069">
              <w:instrText>PAGEREF _Toc2008939545 \h</w:instrText>
            </w:r>
            <w:r w:rsidR="00023069">
              <w:fldChar w:fldCharType="separate"/>
            </w:r>
            <w:r w:rsidRPr="527A8EFF">
              <w:rPr>
                <w:rStyle w:val="Hyperlink"/>
              </w:rPr>
              <w:t>11</w:t>
            </w:r>
            <w:r w:rsidR="00023069">
              <w:fldChar w:fldCharType="end"/>
            </w:r>
          </w:hyperlink>
          <w:r w:rsidR="00023069">
            <w:fldChar w:fldCharType="end"/>
          </w:r>
        </w:p>
      </w:sdtContent>
    </w:sdt>
    <w:p w14:paraId="5E063C9F" w14:textId="0782D2F0" w:rsidR="001B14BA" w:rsidRDefault="001B14BA" w:rsidP="00276517">
      <w:pPr>
        <w:spacing w:line="276" w:lineRule="auto"/>
      </w:pPr>
    </w:p>
    <w:p w14:paraId="5329C57B" w14:textId="77E53EDE" w:rsidR="008D3049" w:rsidRDefault="008D3049">
      <w:pPr>
        <w:spacing w:after="160" w:line="259" w:lineRule="auto"/>
        <w:rPr>
          <w:sz w:val="22"/>
          <w:szCs w:val="22"/>
        </w:rPr>
      </w:pPr>
    </w:p>
    <w:p w14:paraId="07D3ACBE" w14:textId="4A5589FD" w:rsidR="008D3049" w:rsidRDefault="00B06671">
      <w:pPr>
        <w:spacing w:after="160" w:line="259" w:lineRule="auto"/>
        <w:rPr>
          <w:sz w:val="22"/>
          <w:szCs w:val="22"/>
        </w:rPr>
      </w:pPr>
      <w:r w:rsidRPr="00B06671">
        <w:rPr>
          <w:color w:val="808080" w:themeColor="background1" w:themeShade="80"/>
          <w:sz w:val="22"/>
          <w:szCs w:val="22"/>
        </w:rPr>
        <w:t xml:space="preserve">DO NOT delete the current contents list. To update the list right click on it and select </w:t>
      </w:r>
      <w:r w:rsidR="00D0183B">
        <w:rPr>
          <w:color w:val="808080" w:themeColor="background1" w:themeShade="80"/>
          <w:sz w:val="22"/>
          <w:szCs w:val="22"/>
        </w:rPr>
        <w:t>‘</w:t>
      </w:r>
      <w:r w:rsidRPr="00B06671">
        <w:rPr>
          <w:color w:val="808080" w:themeColor="background1" w:themeShade="80"/>
          <w:sz w:val="22"/>
          <w:szCs w:val="22"/>
        </w:rPr>
        <w:t>Update entire table’.</w:t>
      </w:r>
      <w:r w:rsidR="008D3049">
        <w:rPr>
          <w:sz w:val="22"/>
          <w:szCs w:val="22"/>
        </w:rPr>
        <w:br w:type="page"/>
      </w:r>
    </w:p>
    <w:p w14:paraId="57D6639B" w14:textId="600E4BF0" w:rsidR="003D222C" w:rsidRPr="00D80C6C" w:rsidRDefault="003D222C" w:rsidP="004D5FD5">
      <w:pPr>
        <w:jc w:val="both"/>
        <w:rPr>
          <w:rFonts w:cs="Arial"/>
          <w:b/>
          <w:sz w:val="22"/>
          <w:szCs w:val="22"/>
        </w:rPr>
      </w:pPr>
      <w:r w:rsidRPr="00D80C6C">
        <w:rPr>
          <w:rFonts w:cs="Arial"/>
          <w:sz w:val="22"/>
          <w:szCs w:val="22"/>
          <w:u w:val="single"/>
        </w:rPr>
        <w:lastRenderedPageBreak/>
        <w:t>[</w:t>
      </w:r>
      <w:r w:rsidRPr="00D80C6C">
        <w:rPr>
          <w:rFonts w:cs="Arial"/>
          <w:b/>
          <w:sz w:val="22"/>
          <w:szCs w:val="22"/>
        </w:rPr>
        <w:t xml:space="preserve">GUIDANCE NOTES: </w:t>
      </w:r>
      <w:r w:rsidRPr="00D80C6C">
        <w:rPr>
          <w:rFonts w:cs="Arial"/>
          <w:b/>
          <w:color w:val="FF0000"/>
          <w:sz w:val="22"/>
          <w:szCs w:val="22"/>
        </w:rPr>
        <w:t>IMPORTANT, PLEASE READ ALL BEFORE STARTING DRAFT</w:t>
      </w:r>
    </w:p>
    <w:p w14:paraId="56B81EA1" w14:textId="77777777" w:rsidR="003D222C" w:rsidRPr="00D80C6C" w:rsidRDefault="003D222C" w:rsidP="004D5FD5">
      <w:pPr>
        <w:jc w:val="both"/>
        <w:rPr>
          <w:rFonts w:cs="Arial"/>
          <w:b/>
          <w:sz w:val="22"/>
          <w:szCs w:val="22"/>
        </w:rPr>
      </w:pPr>
    </w:p>
    <w:p w14:paraId="707BE0D9" w14:textId="1F4E46D2" w:rsidR="003D222C" w:rsidRPr="00D80C6C" w:rsidRDefault="003D222C" w:rsidP="004D5FD5">
      <w:pPr>
        <w:jc w:val="both"/>
        <w:rPr>
          <w:rFonts w:eastAsiaTheme="minorEastAsia" w:cs="Arial"/>
          <w:sz w:val="22"/>
          <w:szCs w:val="22"/>
        </w:rPr>
      </w:pPr>
      <w:r w:rsidRPr="00D80C6C">
        <w:rPr>
          <w:rFonts w:cs="Arial"/>
          <w:sz w:val="22"/>
          <w:szCs w:val="22"/>
        </w:rPr>
        <w:t xml:space="preserve">The Annual Review is part of a </w:t>
      </w:r>
      <w:r w:rsidRPr="00D80C6C">
        <w:rPr>
          <w:rFonts w:eastAsiaTheme="minorEastAsia" w:cs="Arial"/>
          <w:sz w:val="22"/>
          <w:szCs w:val="22"/>
        </w:rPr>
        <w:t xml:space="preserve">continuous process of review and improvement and a formal control point in </w:t>
      </w:r>
      <w:r w:rsidR="00E64702">
        <w:rPr>
          <w:rFonts w:eastAsiaTheme="minorEastAsia" w:cs="Arial"/>
          <w:sz w:val="22"/>
          <w:szCs w:val="22"/>
        </w:rPr>
        <w:t>DESNZ</w:t>
      </w:r>
      <w:r w:rsidRPr="00D80C6C">
        <w:rPr>
          <w:rFonts w:eastAsiaTheme="minorEastAsia" w:cs="Arial"/>
          <w:sz w:val="22"/>
          <w:szCs w:val="22"/>
        </w:rPr>
        <w:t xml:space="preserve"> programme cycle. At each formal review, the performance, ongoing relevance and value for money of the programme are assessed, and the spending team needs to decide whether the programme should continue, be restructured or whether it no longer represents value for money and should be stopped.  </w:t>
      </w:r>
    </w:p>
    <w:p w14:paraId="5B6DE748" w14:textId="77777777" w:rsidR="003D222C" w:rsidRPr="00D80C6C" w:rsidRDefault="003D222C" w:rsidP="004D5FD5">
      <w:pPr>
        <w:keepNext/>
        <w:jc w:val="both"/>
        <w:outlineLvl w:val="1"/>
        <w:rPr>
          <w:rFonts w:eastAsiaTheme="minorEastAsia" w:cs="Arial"/>
          <w:sz w:val="22"/>
          <w:szCs w:val="22"/>
          <w:lang w:eastAsia="en-GB"/>
        </w:rPr>
      </w:pPr>
    </w:p>
    <w:p w14:paraId="43F87751" w14:textId="3DB1BC30" w:rsidR="003D222C" w:rsidRPr="00D80C6C" w:rsidRDefault="003D222C" w:rsidP="004D5FD5">
      <w:pPr>
        <w:spacing w:before="40" w:after="40"/>
        <w:jc w:val="both"/>
        <w:rPr>
          <w:rFonts w:eastAsiaTheme="minorEastAsia" w:cs="Arial"/>
          <w:sz w:val="22"/>
          <w:szCs w:val="22"/>
          <w:lang w:eastAsia="en-GB"/>
        </w:rPr>
      </w:pPr>
      <w:r w:rsidRPr="00D80C6C">
        <w:rPr>
          <w:rFonts w:eastAsiaTheme="minorEastAsia" w:cs="Arial"/>
          <w:sz w:val="22"/>
          <w:szCs w:val="22"/>
          <w:lang w:eastAsia="en-GB"/>
        </w:rPr>
        <w:t>The Annual Review includes specific, time-bound recommendations for action, consistent with the key findings. These actions – which in the case of poor performance will include improvement measures – are elaborated in further detail in internal delivery plans.</w:t>
      </w:r>
      <w:r w:rsidR="00AE4FF6">
        <w:rPr>
          <w:rFonts w:eastAsiaTheme="minorEastAsia" w:cs="Arial"/>
          <w:sz w:val="22"/>
          <w:szCs w:val="22"/>
          <w:lang w:eastAsia="en-GB"/>
        </w:rPr>
        <w:t xml:space="preserve"> </w:t>
      </w:r>
      <w:r w:rsidRPr="00D80C6C">
        <w:rPr>
          <w:rFonts w:eastAsiaTheme="minorEastAsia" w:cs="Arial"/>
          <w:sz w:val="22"/>
          <w:szCs w:val="22"/>
          <w:lang w:eastAsia="en-GB"/>
        </w:rPr>
        <w:t>When writing the review, there are a couple of things to</w:t>
      </w:r>
      <w:r w:rsidR="00A00F6B" w:rsidRPr="00D80C6C">
        <w:rPr>
          <w:rFonts w:eastAsiaTheme="minorEastAsia" w:cs="Arial"/>
          <w:sz w:val="22"/>
          <w:szCs w:val="22"/>
          <w:lang w:eastAsia="en-GB"/>
        </w:rPr>
        <w:t xml:space="preserve"> bear</w:t>
      </w:r>
      <w:r w:rsidRPr="00D80C6C">
        <w:rPr>
          <w:rFonts w:eastAsiaTheme="minorEastAsia" w:cs="Arial"/>
          <w:sz w:val="22"/>
          <w:szCs w:val="22"/>
          <w:lang w:eastAsia="en-GB"/>
        </w:rPr>
        <w:t xml:space="preserve"> in mind to make it more likely to move swiftly through the sign-off process:</w:t>
      </w:r>
    </w:p>
    <w:p w14:paraId="2E06490D" w14:textId="77777777" w:rsidR="003D222C" w:rsidRPr="00D80C6C" w:rsidRDefault="003D222C" w:rsidP="004D5FD5">
      <w:pPr>
        <w:numPr>
          <w:ilvl w:val="0"/>
          <w:numId w:val="15"/>
        </w:numPr>
        <w:spacing w:before="40" w:after="40"/>
        <w:jc w:val="both"/>
        <w:rPr>
          <w:rFonts w:eastAsiaTheme="minorEastAsia" w:cs="Arial"/>
          <w:sz w:val="22"/>
          <w:szCs w:val="22"/>
          <w:lang w:eastAsia="en-GB"/>
        </w:rPr>
      </w:pPr>
      <w:r w:rsidRPr="00D80C6C">
        <w:rPr>
          <w:rFonts w:eastAsiaTheme="minorEastAsia" w:cs="Arial"/>
          <w:b/>
          <w:bCs/>
          <w:sz w:val="22"/>
          <w:szCs w:val="22"/>
          <w:lang w:eastAsia="en-GB"/>
        </w:rPr>
        <w:t>Being succinct</w:t>
      </w:r>
    </w:p>
    <w:p w14:paraId="5C9995C6" w14:textId="14E2A39F" w:rsidR="003D222C" w:rsidRPr="00BB4FF2" w:rsidRDefault="003D222C" w:rsidP="00BB4FF2">
      <w:pPr>
        <w:numPr>
          <w:ilvl w:val="0"/>
          <w:numId w:val="19"/>
        </w:numPr>
        <w:spacing w:before="40" w:after="40"/>
        <w:jc w:val="both"/>
        <w:rPr>
          <w:rFonts w:eastAsiaTheme="minorEastAsia" w:cs="Arial"/>
          <w:sz w:val="22"/>
          <w:szCs w:val="22"/>
          <w:lang w:eastAsia="en-GB"/>
        </w:rPr>
      </w:pPr>
      <w:r w:rsidRPr="00D80C6C">
        <w:rPr>
          <w:rFonts w:eastAsiaTheme="minorEastAsia" w:cs="Arial"/>
          <w:sz w:val="22"/>
          <w:szCs w:val="22"/>
          <w:lang w:eastAsia="en-GB"/>
        </w:rPr>
        <w:t>Use bullets points where appropriate, avoid jargon</w:t>
      </w:r>
      <w:r w:rsidR="00BB4FF2">
        <w:rPr>
          <w:rFonts w:eastAsiaTheme="minorEastAsia" w:cs="Arial"/>
          <w:sz w:val="22"/>
          <w:szCs w:val="22"/>
          <w:lang w:eastAsia="en-GB"/>
        </w:rPr>
        <w:t xml:space="preserve">. </w:t>
      </w:r>
      <w:r w:rsidRPr="00BB4FF2">
        <w:rPr>
          <w:rFonts w:eastAsiaTheme="minorEastAsia" w:cs="Arial"/>
          <w:sz w:val="22"/>
          <w:szCs w:val="22"/>
          <w:lang w:eastAsia="en-GB"/>
        </w:rPr>
        <w:t xml:space="preserve">It should be easy for anyone (even those with little or no knowledge of the </w:t>
      </w:r>
      <w:r w:rsidR="00D0302B" w:rsidRPr="00BB4FF2">
        <w:rPr>
          <w:rFonts w:eastAsiaTheme="minorEastAsia" w:cs="Arial"/>
          <w:sz w:val="22"/>
          <w:szCs w:val="22"/>
          <w:lang w:eastAsia="en-GB"/>
        </w:rPr>
        <w:t>programme</w:t>
      </w:r>
      <w:r w:rsidRPr="00BB4FF2">
        <w:rPr>
          <w:rFonts w:eastAsiaTheme="minorEastAsia" w:cs="Arial"/>
          <w:sz w:val="22"/>
          <w:szCs w:val="22"/>
          <w:lang w:eastAsia="en-GB"/>
        </w:rPr>
        <w:t xml:space="preserve">) to read the AR and understand the basics of what’s happened in the last 12 months of the </w:t>
      </w:r>
      <w:r w:rsidR="00D0302B" w:rsidRPr="00BB4FF2">
        <w:rPr>
          <w:rFonts w:eastAsiaTheme="minorEastAsia" w:cs="Arial"/>
          <w:sz w:val="22"/>
          <w:szCs w:val="22"/>
          <w:lang w:eastAsia="en-GB"/>
        </w:rPr>
        <w:t>programme</w:t>
      </w:r>
      <w:r w:rsidRPr="00BB4FF2">
        <w:rPr>
          <w:rFonts w:eastAsiaTheme="minorEastAsia" w:cs="Arial"/>
          <w:sz w:val="22"/>
          <w:szCs w:val="22"/>
          <w:lang w:eastAsia="en-GB"/>
        </w:rPr>
        <w:t xml:space="preserve">. </w:t>
      </w:r>
    </w:p>
    <w:p w14:paraId="0B13A25A" w14:textId="77777777" w:rsidR="003D222C" w:rsidRPr="00D80C6C" w:rsidRDefault="003D222C" w:rsidP="004D5FD5">
      <w:pPr>
        <w:numPr>
          <w:ilvl w:val="0"/>
          <w:numId w:val="15"/>
        </w:numPr>
        <w:spacing w:before="40" w:after="40"/>
        <w:jc w:val="both"/>
        <w:rPr>
          <w:rFonts w:eastAsiaTheme="minorEastAsia" w:cs="Arial"/>
          <w:sz w:val="22"/>
          <w:szCs w:val="22"/>
          <w:lang w:eastAsia="en-GB"/>
        </w:rPr>
      </w:pPr>
      <w:r w:rsidRPr="00D80C6C">
        <w:rPr>
          <w:rFonts w:eastAsiaTheme="minorEastAsia" w:cs="Arial"/>
          <w:b/>
          <w:bCs/>
          <w:sz w:val="22"/>
          <w:szCs w:val="22"/>
          <w:lang w:eastAsia="en-GB"/>
        </w:rPr>
        <w:t>Considering if milestones are appropriate</w:t>
      </w:r>
    </w:p>
    <w:p w14:paraId="66228700" w14:textId="429C52EF" w:rsidR="003D222C" w:rsidRPr="00BB4FF2" w:rsidRDefault="003D222C" w:rsidP="00BB4FF2">
      <w:pPr>
        <w:numPr>
          <w:ilvl w:val="0"/>
          <w:numId w:val="16"/>
        </w:numPr>
        <w:spacing w:before="40" w:after="40"/>
        <w:jc w:val="both"/>
        <w:rPr>
          <w:rFonts w:eastAsiaTheme="minorEastAsia" w:cs="Arial"/>
          <w:sz w:val="22"/>
          <w:szCs w:val="22"/>
          <w:lang w:eastAsia="en-GB"/>
        </w:rPr>
      </w:pPr>
      <w:r w:rsidRPr="00D80C6C">
        <w:rPr>
          <w:rFonts w:eastAsiaTheme="minorEastAsia" w:cs="Arial"/>
          <w:sz w:val="22"/>
          <w:szCs w:val="22"/>
          <w:lang w:eastAsia="en-GB"/>
        </w:rPr>
        <w:t xml:space="preserve">If the </w:t>
      </w:r>
      <w:r w:rsidR="00D0302B">
        <w:rPr>
          <w:rFonts w:eastAsiaTheme="minorEastAsia" w:cs="Arial"/>
          <w:sz w:val="22"/>
          <w:szCs w:val="22"/>
          <w:lang w:eastAsia="en-GB"/>
        </w:rPr>
        <w:t>programme</w:t>
      </w:r>
      <w:r w:rsidRPr="00D80C6C">
        <w:rPr>
          <w:rFonts w:eastAsiaTheme="minorEastAsia" w:cs="Arial"/>
          <w:sz w:val="22"/>
          <w:szCs w:val="22"/>
          <w:lang w:eastAsia="en-GB"/>
        </w:rPr>
        <w:t xml:space="preserve"> is overachieving on all components consider whether the milestones are appropriate, as there might be an argument for making them more stretching. </w:t>
      </w:r>
      <w:r w:rsidRPr="00BB4FF2">
        <w:rPr>
          <w:rFonts w:eastAsiaTheme="minorEastAsia" w:cs="Arial"/>
          <w:sz w:val="22"/>
          <w:szCs w:val="22"/>
          <w:lang w:eastAsia="en-GB"/>
        </w:rPr>
        <w:t>Make sure that this is made clear in the review, and that any decision to amend/not amend milestones is clearly explained.</w:t>
      </w:r>
    </w:p>
    <w:p w14:paraId="3C5A99E7" w14:textId="77777777" w:rsidR="003D222C" w:rsidRPr="00D80C6C" w:rsidRDefault="003D222C" w:rsidP="004D5FD5">
      <w:pPr>
        <w:numPr>
          <w:ilvl w:val="0"/>
          <w:numId w:val="15"/>
        </w:numPr>
        <w:spacing w:before="40" w:after="40"/>
        <w:jc w:val="both"/>
        <w:rPr>
          <w:rFonts w:eastAsiaTheme="minorEastAsia" w:cs="Arial"/>
          <w:sz w:val="22"/>
          <w:szCs w:val="22"/>
          <w:lang w:eastAsia="en-GB"/>
        </w:rPr>
      </w:pPr>
      <w:r w:rsidRPr="00D80C6C">
        <w:rPr>
          <w:rFonts w:eastAsiaTheme="minorEastAsia" w:cs="Arial"/>
          <w:b/>
          <w:bCs/>
          <w:sz w:val="22"/>
          <w:szCs w:val="22"/>
          <w:lang w:eastAsia="en-GB"/>
        </w:rPr>
        <w:t>Analysis</w:t>
      </w:r>
    </w:p>
    <w:p w14:paraId="3396FD7B" w14:textId="0D94945B" w:rsidR="005938E9" w:rsidRPr="00D80C6C" w:rsidRDefault="00AE4FF6" w:rsidP="004D5FD5">
      <w:pPr>
        <w:numPr>
          <w:ilvl w:val="0"/>
          <w:numId w:val="18"/>
        </w:numPr>
        <w:spacing w:before="40" w:after="40"/>
        <w:jc w:val="both"/>
        <w:rPr>
          <w:rFonts w:eastAsiaTheme="minorEastAsia" w:cs="Arial"/>
          <w:sz w:val="22"/>
          <w:szCs w:val="22"/>
          <w:lang w:eastAsia="en-GB"/>
        </w:rPr>
      </w:pPr>
      <w:r>
        <w:rPr>
          <w:rFonts w:eastAsiaTheme="minorEastAsia" w:cs="Arial"/>
          <w:sz w:val="22"/>
          <w:szCs w:val="22"/>
          <w:lang w:eastAsia="en-GB"/>
        </w:rPr>
        <w:t>T</w:t>
      </w:r>
      <w:r w:rsidR="003D222C" w:rsidRPr="00D80C6C">
        <w:rPr>
          <w:rFonts w:eastAsiaTheme="minorEastAsia" w:cs="Arial"/>
          <w:sz w:val="22"/>
          <w:szCs w:val="22"/>
          <w:lang w:eastAsia="en-GB"/>
        </w:rPr>
        <w:t xml:space="preserve">he annual review is </w:t>
      </w:r>
      <w:r w:rsidR="003D222C" w:rsidRPr="00D80C6C">
        <w:rPr>
          <w:rFonts w:eastAsiaTheme="minorEastAsia" w:cs="Arial"/>
          <w:sz w:val="22"/>
          <w:szCs w:val="22"/>
          <w:u w:val="single"/>
          <w:lang w:eastAsia="en-GB"/>
        </w:rPr>
        <w:t xml:space="preserve">not just a factual account </w:t>
      </w:r>
      <w:r w:rsidR="003D222C" w:rsidRPr="00D80C6C">
        <w:rPr>
          <w:rFonts w:eastAsiaTheme="minorEastAsia" w:cs="Arial"/>
          <w:sz w:val="22"/>
          <w:szCs w:val="22"/>
          <w:lang w:eastAsia="en-GB"/>
        </w:rPr>
        <w:t xml:space="preserve">of what has happened over the past year. It should provide your assessment and opinion of what this progress/lack of progress tells us about the </w:t>
      </w:r>
      <w:r w:rsidR="00D0302B">
        <w:rPr>
          <w:rFonts w:eastAsiaTheme="minorEastAsia" w:cs="Arial"/>
          <w:sz w:val="22"/>
          <w:szCs w:val="22"/>
          <w:lang w:eastAsia="en-GB"/>
        </w:rPr>
        <w:t>programme</w:t>
      </w:r>
      <w:r w:rsidR="003D222C" w:rsidRPr="00D80C6C">
        <w:rPr>
          <w:rFonts w:eastAsiaTheme="minorEastAsia" w:cs="Arial"/>
          <w:sz w:val="22"/>
          <w:szCs w:val="22"/>
          <w:lang w:eastAsia="en-GB"/>
        </w:rPr>
        <w:t xml:space="preserve">. </w:t>
      </w:r>
    </w:p>
    <w:p w14:paraId="68CC9579" w14:textId="4FC7F278" w:rsidR="005938E9" w:rsidRPr="00D80C6C" w:rsidRDefault="005938E9" w:rsidP="004D5FD5">
      <w:pPr>
        <w:numPr>
          <w:ilvl w:val="0"/>
          <w:numId w:val="15"/>
        </w:numPr>
        <w:spacing w:before="40" w:after="40"/>
        <w:jc w:val="both"/>
        <w:rPr>
          <w:rFonts w:eastAsiaTheme="minorEastAsia" w:cs="Arial"/>
          <w:sz w:val="22"/>
          <w:szCs w:val="22"/>
          <w:lang w:eastAsia="en-GB"/>
        </w:rPr>
      </w:pPr>
      <w:r w:rsidRPr="00D80C6C">
        <w:rPr>
          <w:rFonts w:eastAsiaTheme="minorEastAsia" w:cs="Arial"/>
          <w:b/>
          <w:bCs/>
          <w:sz w:val="22"/>
          <w:szCs w:val="22"/>
          <w:lang w:eastAsia="en-GB"/>
        </w:rPr>
        <w:t>V</w:t>
      </w:r>
      <w:r w:rsidR="00BF5A99" w:rsidRPr="00D80C6C">
        <w:rPr>
          <w:rFonts w:eastAsiaTheme="minorEastAsia" w:cs="Arial"/>
          <w:b/>
          <w:bCs/>
          <w:sz w:val="22"/>
          <w:szCs w:val="22"/>
          <w:lang w:eastAsia="en-GB"/>
        </w:rPr>
        <w:t>FM</w:t>
      </w:r>
    </w:p>
    <w:p w14:paraId="3A1C2676" w14:textId="1DAE662A" w:rsidR="005938E9" w:rsidRPr="00D80C6C" w:rsidRDefault="00BF5A99" w:rsidP="004D5FD5">
      <w:pPr>
        <w:numPr>
          <w:ilvl w:val="0"/>
          <w:numId w:val="18"/>
        </w:numPr>
        <w:spacing w:before="40" w:after="40"/>
        <w:jc w:val="both"/>
        <w:rPr>
          <w:rFonts w:eastAsiaTheme="minorEastAsia" w:cs="Arial"/>
          <w:sz w:val="22"/>
          <w:szCs w:val="22"/>
          <w:lang w:eastAsia="en-GB"/>
        </w:rPr>
      </w:pPr>
      <w:r w:rsidRPr="00D80C6C">
        <w:rPr>
          <w:rFonts w:eastAsiaTheme="minorEastAsia" w:cs="Arial"/>
          <w:sz w:val="22"/>
          <w:szCs w:val="22"/>
          <w:lang w:eastAsia="en-GB"/>
        </w:rPr>
        <w:t>VFM considerations should be brought out throughout the review, scoring exercise and general assessment of the programme’s performance. There is also a specific section (section F) where VFM and more specifically the 4E VFM framework should be referred to.</w:t>
      </w:r>
    </w:p>
    <w:p w14:paraId="75E6CC1A" w14:textId="77777777" w:rsidR="003D222C" w:rsidRPr="00D80C6C" w:rsidRDefault="003D222C" w:rsidP="004D5FD5">
      <w:pPr>
        <w:keepNext/>
        <w:jc w:val="both"/>
        <w:outlineLvl w:val="1"/>
        <w:rPr>
          <w:rFonts w:cs="Arial"/>
          <w:sz w:val="22"/>
          <w:szCs w:val="22"/>
        </w:rPr>
      </w:pPr>
    </w:p>
    <w:p w14:paraId="51C27932" w14:textId="3074F9A2" w:rsidR="003D222C" w:rsidRDefault="003D222C" w:rsidP="004D5FD5">
      <w:pPr>
        <w:jc w:val="both"/>
        <w:rPr>
          <w:rFonts w:cs="Arial"/>
          <w:sz w:val="22"/>
          <w:szCs w:val="22"/>
        </w:rPr>
      </w:pPr>
      <w:r w:rsidRPr="00D80C6C">
        <w:rPr>
          <w:rFonts w:cs="Arial"/>
          <w:sz w:val="22"/>
          <w:szCs w:val="22"/>
        </w:rPr>
        <w:t xml:space="preserve">Text in brackets is included to guide staff completing each section. To reduce page count, this should be deleted before sending for approval. Suggested section lengths are indicative. Teams can delete spaces between sections on the template as needed, but the headings and sub-headings in bold must not be altered or removed unless otherwise indicated. </w:t>
      </w:r>
      <w:r w:rsidR="00163381" w:rsidRPr="00D80C6C">
        <w:rPr>
          <w:rFonts w:cs="Arial"/>
          <w:sz w:val="22"/>
          <w:szCs w:val="22"/>
        </w:rPr>
        <w:t>All text needs to be suitable for publication. You can use the PDP to record more sensitive information. Bullets rather than full narrative may make sense for some sections.</w:t>
      </w:r>
    </w:p>
    <w:p w14:paraId="2210B7B2" w14:textId="77777777" w:rsidR="004D5FD5" w:rsidRDefault="004D5FD5" w:rsidP="004D5FD5">
      <w:pPr>
        <w:jc w:val="both"/>
        <w:rPr>
          <w:rFonts w:cs="Arial"/>
          <w:sz w:val="22"/>
          <w:szCs w:val="22"/>
        </w:rPr>
      </w:pPr>
    </w:p>
    <w:p w14:paraId="6201E1F6" w14:textId="16DF7117" w:rsidR="004D5FD5" w:rsidRPr="004D5FD5" w:rsidRDefault="004D5FD5" w:rsidP="004D5FD5">
      <w:pPr>
        <w:jc w:val="both"/>
        <w:rPr>
          <w:rFonts w:cs="Arial"/>
          <w:b/>
          <w:bCs/>
          <w:sz w:val="22"/>
          <w:szCs w:val="22"/>
        </w:rPr>
      </w:pPr>
      <w:r w:rsidRPr="004D5FD5">
        <w:rPr>
          <w:rFonts w:cs="Arial"/>
          <w:b/>
          <w:bCs/>
          <w:sz w:val="22"/>
          <w:szCs w:val="22"/>
        </w:rPr>
        <w:t>Output scoring</w:t>
      </w:r>
      <w:r w:rsidR="00080C85">
        <w:rPr>
          <w:rFonts w:cs="Arial"/>
          <w:b/>
          <w:bCs/>
          <w:sz w:val="22"/>
          <w:szCs w:val="22"/>
        </w:rPr>
        <w:t xml:space="preserve"> and assessment of performance</w:t>
      </w:r>
    </w:p>
    <w:p w14:paraId="2CB066B4" w14:textId="71C29EBB" w:rsidR="003D222C" w:rsidRPr="00D80C6C" w:rsidRDefault="003D222C" w:rsidP="004D5FD5">
      <w:pPr>
        <w:jc w:val="both"/>
        <w:rPr>
          <w:rFonts w:cs="Arial"/>
          <w:sz w:val="22"/>
          <w:szCs w:val="22"/>
        </w:rPr>
      </w:pPr>
      <w:r w:rsidRPr="00D80C6C">
        <w:rPr>
          <w:rFonts w:cs="Arial"/>
          <w:sz w:val="22"/>
          <w:szCs w:val="22"/>
        </w:rPr>
        <w:t xml:space="preserve">The Annual Review assesses and rates outputs using the following scale. Each Output will be scored against the grades below, with the </w:t>
      </w:r>
      <w:r w:rsidR="00D0302B">
        <w:rPr>
          <w:rFonts w:cs="Arial"/>
          <w:sz w:val="22"/>
          <w:szCs w:val="22"/>
        </w:rPr>
        <w:t>programme</w:t>
      </w:r>
      <w:r w:rsidRPr="00D80C6C">
        <w:rPr>
          <w:rFonts w:cs="Arial"/>
          <w:sz w:val="22"/>
          <w:szCs w:val="22"/>
        </w:rPr>
        <w:t xml:space="preserve"> primarily awarded an overall grade based on Output weightings, although other areas of the programme, which cannot be captured by the outputs, but has a significant impact on the performance of the programme, should be reflected in the overall score, if necessary.</w:t>
      </w:r>
    </w:p>
    <w:p w14:paraId="0660E4AE" w14:textId="77777777" w:rsidR="003D222C" w:rsidRPr="00D80C6C" w:rsidRDefault="003D222C" w:rsidP="004D5FD5">
      <w:pPr>
        <w:keepNext/>
        <w:jc w:val="both"/>
        <w:outlineLvl w:val="1"/>
        <w:rPr>
          <w:rFonts w:cs="Arial"/>
          <w:color w:val="44546A" w:themeColor="text2"/>
          <w:sz w:val="22"/>
          <w:szCs w:val="22"/>
        </w:rPr>
      </w:pPr>
    </w:p>
    <w:tbl>
      <w:tblPr>
        <w:tblW w:w="6237"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417"/>
      </w:tblGrid>
      <w:tr w:rsidR="003D222C" w:rsidRPr="00D80C6C" w14:paraId="255F2315" w14:textId="77777777" w:rsidTr="00272DF1">
        <w:trPr>
          <w:trHeight w:val="270"/>
        </w:trPr>
        <w:tc>
          <w:tcPr>
            <w:tcW w:w="482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E31A028" w14:textId="77777777" w:rsidR="003D222C" w:rsidRPr="00D80C6C" w:rsidRDefault="003D222C" w:rsidP="004D5FD5">
            <w:pPr>
              <w:jc w:val="both"/>
              <w:rPr>
                <w:rFonts w:cs="Arial"/>
                <w:b/>
                <w:bCs/>
                <w:sz w:val="22"/>
                <w:szCs w:val="22"/>
                <w:lang w:eastAsia="en-GB"/>
              </w:rPr>
            </w:pPr>
            <w:r w:rsidRPr="00D80C6C">
              <w:rPr>
                <w:rFonts w:cs="Arial"/>
                <w:b/>
                <w:bCs/>
                <w:sz w:val="22"/>
                <w:szCs w:val="22"/>
                <w:lang w:eastAsia="en-GB"/>
              </w:rPr>
              <w:t>Description</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0D9FA2B" w14:textId="77777777" w:rsidR="003D222C" w:rsidRPr="00D80C6C" w:rsidRDefault="003D222C" w:rsidP="004D5FD5">
            <w:pPr>
              <w:jc w:val="both"/>
              <w:rPr>
                <w:rFonts w:cs="Arial"/>
                <w:b/>
                <w:bCs/>
                <w:sz w:val="22"/>
                <w:szCs w:val="22"/>
                <w:lang w:eastAsia="en-GB"/>
              </w:rPr>
            </w:pPr>
            <w:r w:rsidRPr="00D80C6C">
              <w:rPr>
                <w:rFonts w:cs="Arial"/>
                <w:b/>
                <w:bCs/>
                <w:sz w:val="22"/>
                <w:szCs w:val="22"/>
                <w:lang w:eastAsia="en-GB"/>
              </w:rPr>
              <w:t>Scale</w:t>
            </w:r>
          </w:p>
        </w:tc>
      </w:tr>
      <w:tr w:rsidR="003D222C" w:rsidRPr="00D80C6C" w14:paraId="27AA7E1D" w14:textId="77777777" w:rsidTr="00272DF1">
        <w:trPr>
          <w:trHeight w:val="270"/>
        </w:trPr>
        <w:tc>
          <w:tcPr>
            <w:tcW w:w="4820" w:type="dxa"/>
            <w:tcBorders>
              <w:top w:val="single" w:sz="4" w:space="0" w:color="auto"/>
              <w:left w:val="single" w:sz="4" w:space="0" w:color="auto"/>
              <w:bottom w:val="single" w:sz="4" w:space="0" w:color="auto"/>
              <w:right w:val="single" w:sz="4" w:space="0" w:color="auto"/>
            </w:tcBorders>
            <w:hideMark/>
          </w:tcPr>
          <w:p w14:paraId="4DD19FD7" w14:textId="77777777" w:rsidR="003D222C" w:rsidRPr="00D80C6C" w:rsidRDefault="003D222C" w:rsidP="004D5FD5">
            <w:pPr>
              <w:jc w:val="both"/>
              <w:rPr>
                <w:rFonts w:cs="Arial"/>
                <w:sz w:val="22"/>
                <w:szCs w:val="22"/>
                <w:lang w:eastAsia="en-GB"/>
              </w:rPr>
            </w:pPr>
            <w:r w:rsidRPr="00D80C6C">
              <w:rPr>
                <w:rFonts w:cs="Arial"/>
                <w:sz w:val="22"/>
                <w:szCs w:val="22"/>
                <w:lang w:eastAsia="en-GB"/>
              </w:rPr>
              <w:t>Outputs substantially exceeded expectation</w:t>
            </w:r>
          </w:p>
        </w:tc>
        <w:tc>
          <w:tcPr>
            <w:tcW w:w="1417" w:type="dxa"/>
            <w:tcBorders>
              <w:top w:val="single" w:sz="4" w:space="0" w:color="auto"/>
              <w:left w:val="single" w:sz="4" w:space="0" w:color="auto"/>
              <w:bottom w:val="single" w:sz="4" w:space="0" w:color="auto"/>
              <w:right w:val="single" w:sz="4" w:space="0" w:color="auto"/>
            </w:tcBorders>
            <w:hideMark/>
          </w:tcPr>
          <w:p w14:paraId="7DEDD252" w14:textId="77777777" w:rsidR="003D222C" w:rsidRPr="00D80C6C" w:rsidRDefault="003D222C" w:rsidP="004D5FD5">
            <w:pPr>
              <w:jc w:val="both"/>
              <w:rPr>
                <w:rFonts w:cs="Arial"/>
                <w:sz w:val="22"/>
                <w:szCs w:val="22"/>
                <w:lang w:eastAsia="en-GB"/>
              </w:rPr>
            </w:pPr>
            <w:r w:rsidRPr="00D80C6C">
              <w:rPr>
                <w:rFonts w:cs="Arial"/>
                <w:sz w:val="22"/>
                <w:szCs w:val="22"/>
                <w:lang w:eastAsia="en-GB"/>
              </w:rPr>
              <w:t>A++</w:t>
            </w:r>
          </w:p>
        </w:tc>
      </w:tr>
      <w:tr w:rsidR="003D222C" w:rsidRPr="00D80C6C" w14:paraId="6DB57E3E" w14:textId="77777777" w:rsidTr="00272DF1">
        <w:trPr>
          <w:trHeight w:val="270"/>
        </w:trPr>
        <w:tc>
          <w:tcPr>
            <w:tcW w:w="4820" w:type="dxa"/>
            <w:tcBorders>
              <w:top w:val="single" w:sz="4" w:space="0" w:color="auto"/>
              <w:left w:val="single" w:sz="4" w:space="0" w:color="auto"/>
              <w:bottom w:val="single" w:sz="4" w:space="0" w:color="auto"/>
              <w:right w:val="single" w:sz="4" w:space="0" w:color="auto"/>
            </w:tcBorders>
            <w:hideMark/>
          </w:tcPr>
          <w:p w14:paraId="52B4EEC8" w14:textId="77777777" w:rsidR="003D222C" w:rsidRPr="00D80C6C" w:rsidRDefault="003D222C" w:rsidP="004D5FD5">
            <w:pPr>
              <w:jc w:val="both"/>
              <w:rPr>
                <w:rFonts w:cs="Arial"/>
                <w:sz w:val="22"/>
                <w:szCs w:val="22"/>
                <w:lang w:eastAsia="en-GB"/>
              </w:rPr>
            </w:pPr>
            <w:r w:rsidRPr="00D80C6C">
              <w:rPr>
                <w:rFonts w:cs="Arial"/>
                <w:sz w:val="22"/>
                <w:szCs w:val="22"/>
                <w:lang w:eastAsia="en-GB"/>
              </w:rPr>
              <w:t>Outputs moderately exceeded expectation</w:t>
            </w:r>
          </w:p>
        </w:tc>
        <w:tc>
          <w:tcPr>
            <w:tcW w:w="1417" w:type="dxa"/>
            <w:tcBorders>
              <w:top w:val="single" w:sz="4" w:space="0" w:color="auto"/>
              <w:left w:val="single" w:sz="4" w:space="0" w:color="auto"/>
              <w:bottom w:val="single" w:sz="4" w:space="0" w:color="auto"/>
              <w:right w:val="single" w:sz="4" w:space="0" w:color="auto"/>
            </w:tcBorders>
            <w:hideMark/>
          </w:tcPr>
          <w:p w14:paraId="02395D1B" w14:textId="77777777" w:rsidR="003D222C" w:rsidRPr="00D80C6C" w:rsidRDefault="003D222C" w:rsidP="004D5FD5">
            <w:pPr>
              <w:jc w:val="both"/>
              <w:rPr>
                <w:rFonts w:cs="Arial"/>
                <w:sz w:val="22"/>
                <w:szCs w:val="22"/>
                <w:lang w:eastAsia="en-GB"/>
              </w:rPr>
            </w:pPr>
            <w:r w:rsidRPr="00D80C6C">
              <w:rPr>
                <w:rFonts w:cs="Arial"/>
                <w:sz w:val="22"/>
                <w:szCs w:val="22"/>
                <w:lang w:eastAsia="en-GB"/>
              </w:rPr>
              <w:t>A+</w:t>
            </w:r>
          </w:p>
        </w:tc>
      </w:tr>
      <w:tr w:rsidR="003D222C" w:rsidRPr="00D80C6C" w14:paraId="56E04A06" w14:textId="77777777" w:rsidTr="00272DF1">
        <w:trPr>
          <w:trHeight w:val="270"/>
        </w:trPr>
        <w:tc>
          <w:tcPr>
            <w:tcW w:w="4820" w:type="dxa"/>
            <w:tcBorders>
              <w:top w:val="single" w:sz="4" w:space="0" w:color="auto"/>
              <w:left w:val="single" w:sz="4" w:space="0" w:color="auto"/>
              <w:bottom w:val="single" w:sz="4" w:space="0" w:color="auto"/>
              <w:right w:val="single" w:sz="4" w:space="0" w:color="auto"/>
            </w:tcBorders>
            <w:hideMark/>
          </w:tcPr>
          <w:p w14:paraId="66B8FB85" w14:textId="77777777" w:rsidR="003D222C" w:rsidRPr="00D80C6C" w:rsidRDefault="003D222C" w:rsidP="004D5FD5">
            <w:pPr>
              <w:jc w:val="both"/>
              <w:rPr>
                <w:rFonts w:cs="Arial"/>
                <w:sz w:val="22"/>
                <w:szCs w:val="22"/>
                <w:lang w:eastAsia="en-GB"/>
              </w:rPr>
            </w:pPr>
            <w:r w:rsidRPr="00D80C6C">
              <w:rPr>
                <w:rFonts w:cs="Arial"/>
                <w:sz w:val="22"/>
                <w:szCs w:val="22"/>
                <w:lang w:eastAsia="en-GB"/>
              </w:rPr>
              <w:t>Outputs met expectation</w:t>
            </w:r>
          </w:p>
        </w:tc>
        <w:tc>
          <w:tcPr>
            <w:tcW w:w="1417" w:type="dxa"/>
            <w:tcBorders>
              <w:top w:val="single" w:sz="4" w:space="0" w:color="auto"/>
              <w:left w:val="single" w:sz="4" w:space="0" w:color="auto"/>
              <w:bottom w:val="single" w:sz="4" w:space="0" w:color="auto"/>
              <w:right w:val="single" w:sz="4" w:space="0" w:color="auto"/>
            </w:tcBorders>
            <w:hideMark/>
          </w:tcPr>
          <w:p w14:paraId="61961CEB" w14:textId="77777777" w:rsidR="003D222C" w:rsidRPr="00D80C6C" w:rsidRDefault="003D222C" w:rsidP="004D5FD5">
            <w:pPr>
              <w:jc w:val="both"/>
              <w:rPr>
                <w:rFonts w:cs="Arial"/>
                <w:sz w:val="22"/>
                <w:szCs w:val="22"/>
                <w:lang w:eastAsia="en-GB"/>
              </w:rPr>
            </w:pPr>
            <w:r w:rsidRPr="00D80C6C">
              <w:rPr>
                <w:rFonts w:cs="Arial"/>
                <w:sz w:val="22"/>
                <w:szCs w:val="22"/>
                <w:lang w:eastAsia="en-GB"/>
              </w:rPr>
              <w:t>A</w:t>
            </w:r>
          </w:p>
        </w:tc>
      </w:tr>
      <w:tr w:rsidR="003D222C" w:rsidRPr="00D80C6C" w14:paraId="67DC3053" w14:textId="77777777" w:rsidTr="00272DF1">
        <w:trPr>
          <w:trHeight w:val="270"/>
        </w:trPr>
        <w:tc>
          <w:tcPr>
            <w:tcW w:w="4820" w:type="dxa"/>
            <w:tcBorders>
              <w:top w:val="single" w:sz="4" w:space="0" w:color="auto"/>
              <w:left w:val="single" w:sz="4" w:space="0" w:color="auto"/>
              <w:bottom w:val="single" w:sz="4" w:space="0" w:color="auto"/>
              <w:right w:val="single" w:sz="4" w:space="0" w:color="auto"/>
            </w:tcBorders>
            <w:hideMark/>
          </w:tcPr>
          <w:p w14:paraId="75849C2C" w14:textId="77777777" w:rsidR="003D222C" w:rsidRPr="00D80C6C" w:rsidRDefault="003D222C" w:rsidP="004D5FD5">
            <w:pPr>
              <w:jc w:val="both"/>
              <w:rPr>
                <w:rFonts w:cs="Arial"/>
                <w:sz w:val="22"/>
                <w:szCs w:val="22"/>
                <w:lang w:eastAsia="en-GB"/>
              </w:rPr>
            </w:pPr>
            <w:r w:rsidRPr="00D80C6C">
              <w:rPr>
                <w:rFonts w:cs="Arial"/>
                <w:sz w:val="22"/>
                <w:szCs w:val="22"/>
                <w:lang w:eastAsia="en-GB"/>
              </w:rPr>
              <w:t>Outputs moderately did not meet expectation</w:t>
            </w:r>
          </w:p>
        </w:tc>
        <w:tc>
          <w:tcPr>
            <w:tcW w:w="1417" w:type="dxa"/>
            <w:tcBorders>
              <w:top w:val="single" w:sz="4" w:space="0" w:color="auto"/>
              <w:left w:val="single" w:sz="4" w:space="0" w:color="auto"/>
              <w:bottom w:val="single" w:sz="4" w:space="0" w:color="auto"/>
              <w:right w:val="single" w:sz="4" w:space="0" w:color="auto"/>
            </w:tcBorders>
            <w:hideMark/>
          </w:tcPr>
          <w:p w14:paraId="7B683593" w14:textId="77777777" w:rsidR="003D222C" w:rsidRPr="00D80C6C" w:rsidRDefault="003D222C" w:rsidP="004D5FD5">
            <w:pPr>
              <w:jc w:val="both"/>
              <w:rPr>
                <w:rFonts w:cs="Arial"/>
                <w:sz w:val="22"/>
                <w:szCs w:val="22"/>
                <w:lang w:eastAsia="en-GB"/>
              </w:rPr>
            </w:pPr>
            <w:r w:rsidRPr="00D80C6C">
              <w:rPr>
                <w:rFonts w:cs="Arial"/>
                <w:sz w:val="22"/>
                <w:szCs w:val="22"/>
                <w:lang w:eastAsia="en-GB"/>
              </w:rPr>
              <w:t>B</w:t>
            </w:r>
          </w:p>
        </w:tc>
      </w:tr>
      <w:tr w:rsidR="003D222C" w:rsidRPr="00D80C6C" w14:paraId="53A5A6D2" w14:textId="77777777" w:rsidTr="00272DF1">
        <w:trPr>
          <w:trHeight w:val="270"/>
        </w:trPr>
        <w:tc>
          <w:tcPr>
            <w:tcW w:w="4820" w:type="dxa"/>
            <w:tcBorders>
              <w:top w:val="single" w:sz="4" w:space="0" w:color="auto"/>
              <w:left w:val="single" w:sz="4" w:space="0" w:color="auto"/>
              <w:bottom w:val="single" w:sz="4" w:space="0" w:color="auto"/>
              <w:right w:val="single" w:sz="4" w:space="0" w:color="auto"/>
            </w:tcBorders>
            <w:hideMark/>
          </w:tcPr>
          <w:p w14:paraId="0536DDF6" w14:textId="77777777" w:rsidR="003D222C" w:rsidRPr="00D80C6C" w:rsidRDefault="003D222C" w:rsidP="004D5FD5">
            <w:pPr>
              <w:jc w:val="both"/>
              <w:rPr>
                <w:rFonts w:cs="Arial"/>
                <w:sz w:val="22"/>
                <w:szCs w:val="22"/>
                <w:lang w:eastAsia="en-GB"/>
              </w:rPr>
            </w:pPr>
            <w:r w:rsidRPr="00D80C6C">
              <w:rPr>
                <w:rFonts w:cs="Arial"/>
                <w:sz w:val="22"/>
                <w:szCs w:val="22"/>
                <w:lang w:eastAsia="en-GB"/>
              </w:rPr>
              <w:t>Outputs substantially did not meet expectation</w:t>
            </w:r>
          </w:p>
        </w:tc>
        <w:tc>
          <w:tcPr>
            <w:tcW w:w="1417" w:type="dxa"/>
            <w:tcBorders>
              <w:top w:val="single" w:sz="4" w:space="0" w:color="auto"/>
              <w:left w:val="single" w:sz="4" w:space="0" w:color="auto"/>
              <w:bottom w:val="single" w:sz="4" w:space="0" w:color="auto"/>
              <w:right w:val="single" w:sz="4" w:space="0" w:color="auto"/>
            </w:tcBorders>
            <w:hideMark/>
          </w:tcPr>
          <w:p w14:paraId="24EDD8DF" w14:textId="77777777" w:rsidR="003D222C" w:rsidRPr="00D80C6C" w:rsidRDefault="003D222C" w:rsidP="004D5FD5">
            <w:pPr>
              <w:jc w:val="both"/>
              <w:rPr>
                <w:rFonts w:cs="Arial"/>
                <w:sz w:val="22"/>
                <w:szCs w:val="22"/>
                <w:lang w:eastAsia="en-GB"/>
              </w:rPr>
            </w:pPr>
            <w:r w:rsidRPr="00D80C6C">
              <w:rPr>
                <w:rFonts w:cs="Arial"/>
                <w:sz w:val="22"/>
                <w:szCs w:val="22"/>
                <w:lang w:eastAsia="en-GB"/>
              </w:rPr>
              <w:t>C</w:t>
            </w:r>
          </w:p>
        </w:tc>
      </w:tr>
    </w:tbl>
    <w:p w14:paraId="14D9ADFB" w14:textId="6C3DC5D4" w:rsidR="30193D0A" w:rsidRPr="00D80C6C" w:rsidRDefault="30193D0A" w:rsidP="004D5FD5">
      <w:pPr>
        <w:jc w:val="both"/>
        <w:rPr>
          <w:rFonts w:cs="Arial"/>
          <w:sz w:val="22"/>
          <w:szCs w:val="22"/>
        </w:rPr>
      </w:pPr>
    </w:p>
    <w:p w14:paraId="09FE2040" w14:textId="762A7D9A" w:rsidR="003D222C" w:rsidRPr="00D80C6C" w:rsidRDefault="00152714" w:rsidP="004D5FD5">
      <w:pPr>
        <w:spacing w:before="40" w:after="40"/>
        <w:jc w:val="both"/>
        <w:rPr>
          <w:rFonts w:cs="Arial"/>
          <w:sz w:val="22"/>
          <w:szCs w:val="22"/>
        </w:rPr>
      </w:pPr>
      <w:r>
        <w:rPr>
          <w:rFonts w:cs="Arial"/>
          <w:sz w:val="22"/>
          <w:szCs w:val="22"/>
        </w:rPr>
        <w:lastRenderedPageBreak/>
        <w:t>C</w:t>
      </w:r>
      <w:r w:rsidR="003D222C" w:rsidRPr="00D80C6C">
        <w:rPr>
          <w:rFonts w:cs="Arial"/>
          <w:sz w:val="22"/>
          <w:szCs w:val="22"/>
        </w:rPr>
        <w:t xml:space="preserve">hanges should not be made to any targets or indicators </w:t>
      </w:r>
      <w:r w:rsidR="003D222C" w:rsidRPr="00D80C6C">
        <w:rPr>
          <w:rFonts w:cs="Arial"/>
          <w:sz w:val="22"/>
          <w:szCs w:val="22"/>
          <w:u w:val="single"/>
        </w:rPr>
        <w:t>more than 2 months into the review period covered in the AR,</w:t>
      </w:r>
      <w:r w:rsidR="003D222C" w:rsidRPr="00D80C6C">
        <w:rPr>
          <w:rFonts w:cs="Arial"/>
          <w:sz w:val="22"/>
          <w:szCs w:val="22"/>
        </w:rPr>
        <w:t xml:space="preserve"> unless in exception six months into the review period and agreed with the Deputy Director. Changes at the outcome or impact level (including statements, indicators and targets) require reapproval at the level the Business Case was approved at. </w:t>
      </w:r>
    </w:p>
    <w:p w14:paraId="7527DC30" w14:textId="77777777" w:rsidR="003D222C" w:rsidRPr="00D80C6C" w:rsidRDefault="003D222C" w:rsidP="004D5FD5">
      <w:pPr>
        <w:jc w:val="both"/>
        <w:rPr>
          <w:rFonts w:cs="Arial"/>
          <w:sz w:val="22"/>
          <w:szCs w:val="22"/>
        </w:rPr>
      </w:pPr>
    </w:p>
    <w:p w14:paraId="15370C56" w14:textId="1A308398" w:rsidR="003D222C" w:rsidRPr="00D80C6C" w:rsidRDefault="003D222C" w:rsidP="004D5FD5">
      <w:pPr>
        <w:jc w:val="both"/>
        <w:rPr>
          <w:rFonts w:cs="Arial"/>
          <w:sz w:val="22"/>
          <w:szCs w:val="22"/>
        </w:rPr>
      </w:pPr>
      <w:r w:rsidRPr="00D80C6C">
        <w:rPr>
          <w:rFonts w:cs="Arial"/>
          <w:sz w:val="22"/>
          <w:szCs w:val="22"/>
        </w:rPr>
        <w:t xml:space="preserve">In deciding how to score each output in a review, ask yourself: “are the results achieved to date those expected in the results framework, and if not, why not?” Provide sufficient justification in the review documentation that the score given matches the performance of the </w:t>
      </w:r>
      <w:r w:rsidR="00D0302B">
        <w:rPr>
          <w:rFonts w:cs="Arial"/>
          <w:sz w:val="22"/>
          <w:szCs w:val="22"/>
        </w:rPr>
        <w:t>programme</w:t>
      </w:r>
      <w:r w:rsidRPr="00D80C6C">
        <w:rPr>
          <w:rFonts w:cs="Arial"/>
          <w:sz w:val="22"/>
          <w:szCs w:val="22"/>
        </w:rPr>
        <w:t>.</w:t>
      </w:r>
    </w:p>
    <w:p w14:paraId="7BE0EC1F" w14:textId="77777777" w:rsidR="003D222C" w:rsidRPr="00D80C6C" w:rsidRDefault="003D222C" w:rsidP="004D5FD5">
      <w:pPr>
        <w:jc w:val="both"/>
        <w:rPr>
          <w:rFonts w:cs="Arial"/>
          <w:sz w:val="22"/>
          <w:szCs w:val="22"/>
        </w:rPr>
      </w:pPr>
    </w:p>
    <w:p w14:paraId="7ECF59E5" w14:textId="349D78C9" w:rsidR="003D222C" w:rsidRPr="00D80C6C" w:rsidRDefault="003D222C" w:rsidP="004D5FD5">
      <w:pPr>
        <w:jc w:val="both"/>
        <w:rPr>
          <w:rFonts w:cs="Arial"/>
          <w:sz w:val="22"/>
          <w:szCs w:val="22"/>
        </w:rPr>
      </w:pPr>
      <w:r w:rsidRPr="00D80C6C">
        <w:rPr>
          <w:rFonts w:cs="Arial"/>
          <w:sz w:val="22"/>
          <w:szCs w:val="22"/>
        </w:rPr>
        <w:t>The level of detail in an AR will be influenced by the size of the intervention,</w:t>
      </w:r>
      <w:r w:rsidR="002408B0">
        <w:rPr>
          <w:rFonts w:cs="Arial"/>
          <w:sz w:val="22"/>
          <w:szCs w:val="22"/>
        </w:rPr>
        <w:t xml:space="preserve"> </w:t>
      </w:r>
      <w:r w:rsidRPr="00D80C6C">
        <w:rPr>
          <w:rFonts w:cs="Arial"/>
          <w:sz w:val="22"/>
          <w:szCs w:val="22"/>
        </w:rPr>
        <w:t>complexity, duration</w:t>
      </w:r>
      <w:r w:rsidR="002408B0">
        <w:rPr>
          <w:rFonts w:cs="Arial"/>
          <w:sz w:val="22"/>
          <w:szCs w:val="22"/>
        </w:rPr>
        <w:t>,</w:t>
      </w:r>
      <w:r w:rsidRPr="00D80C6C">
        <w:rPr>
          <w:rFonts w:cs="Arial"/>
          <w:sz w:val="22"/>
          <w:szCs w:val="22"/>
        </w:rPr>
        <w:t xml:space="preserve"> and intensity of activity during the period in question. An AR covering a year which has mainly focused on tendering may be quite short. A proportionate review is one which provides sufficient information to the reader to determine whether the results </w:t>
      </w:r>
      <w:proofErr w:type="gramStart"/>
      <w:r w:rsidRPr="00D80C6C">
        <w:rPr>
          <w:rFonts w:cs="Arial"/>
          <w:sz w:val="22"/>
          <w:szCs w:val="22"/>
        </w:rPr>
        <w:t>are on track,</w:t>
      </w:r>
      <w:proofErr w:type="gramEnd"/>
      <w:r w:rsidRPr="00D80C6C">
        <w:rPr>
          <w:rFonts w:cs="Arial"/>
          <w:sz w:val="22"/>
          <w:szCs w:val="22"/>
        </w:rPr>
        <w:t xml:space="preserve"> whether the </w:t>
      </w:r>
      <w:r w:rsidR="00D0302B">
        <w:rPr>
          <w:rFonts w:cs="Arial"/>
          <w:sz w:val="22"/>
          <w:szCs w:val="22"/>
        </w:rPr>
        <w:t>programme</w:t>
      </w:r>
      <w:r w:rsidRPr="00D80C6C">
        <w:rPr>
          <w:rFonts w:cs="Arial"/>
          <w:sz w:val="22"/>
          <w:szCs w:val="22"/>
        </w:rPr>
        <w:t xml:space="preserve"> represents </w:t>
      </w:r>
      <w:proofErr w:type="spellStart"/>
      <w:r w:rsidR="002408B0">
        <w:rPr>
          <w:rFonts w:cs="Arial"/>
          <w:sz w:val="22"/>
          <w:szCs w:val="22"/>
        </w:rPr>
        <w:t>VfM</w:t>
      </w:r>
      <w:proofErr w:type="spellEnd"/>
      <w:r w:rsidR="002408B0">
        <w:rPr>
          <w:rFonts w:cs="Arial"/>
          <w:sz w:val="22"/>
          <w:szCs w:val="22"/>
        </w:rPr>
        <w:t xml:space="preserve"> </w:t>
      </w:r>
      <w:r w:rsidRPr="00D80C6C">
        <w:rPr>
          <w:rFonts w:cs="Arial"/>
          <w:sz w:val="22"/>
          <w:szCs w:val="22"/>
        </w:rPr>
        <w:t>and</w:t>
      </w:r>
      <w:r w:rsidR="002408B0">
        <w:rPr>
          <w:rFonts w:cs="Arial"/>
          <w:sz w:val="22"/>
          <w:szCs w:val="22"/>
        </w:rPr>
        <w:t xml:space="preserve"> </w:t>
      </w:r>
      <w:r w:rsidRPr="00D80C6C">
        <w:rPr>
          <w:rFonts w:cs="Arial"/>
          <w:sz w:val="22"/>
          <w:szCs w:val="22"/>
        </w:rPr>
        <w:t>if any</w:t>
      </w:r>
      <w:r w:rsidR="002408B0">
        <w:rPr>
          <w:rFonts w:cs="Arial"/>
          <w:sz w:val="22"/>
          <w:szCs w:val="22"/>
        </w:rPr>
        <w:t xml:space="preserve"> </w:t>
      </w:r>
      <w:r w:rsidRPr="00D80C6C">
        <w:rPr>
          <w:rFonts w:cs="Arial"/>
          <w:sz w:val="22"/>
          <w:szCs w:val="22"/>
        </w:rPr>
        <w:t>corrective action needs to be taken.</w:t>
      </w:r>
    </w:p>
    <w:p w14:paraId="73B8911C" w14:textId="6696A8CB" w:rsidR="003D222C" w:rsidRPr="00D80C6C" w:rsidRDefault="003D222C" w:rsidP="004D5FD5">
      <w:pPr>
        <w:jc w:val="both"/>
        <w:rPr>
          <w:rFonts w:cs="Arial"/>
          <w:sz w:val="22"/>
          <w:szCs w:val="22"/>
        </w:rPr>
      </w:pPr>
    </w:p>
    <w:p w14:paraId="1A1FFB43" w14:textId="77777777" w:rsidR="00386DFC" w:rsidRPr="00D80C6C" w:rsidRDefault="00386DFC" w:rsidP="004D5FD5">
      <w:pPr>
        <w:jc w:val="both"/>
        <w:rPr>
          <w:rFonts w:cs="Arial"/>
          <w:sz w:val="22"/>
          <w:szCs w:val="22"/>
        </w:rPr>
      </w:pPr>
      <w:r w:rsidRPr="00D80C6C">
        <w:rPr>
          <w:rFonts w:cs="Arial"/>
          <w:b/>
          <w:bCs/>
          <w:sz w:val="22"/>
          <w:szCs w:val="22"/>
        </w:rPr>
        <w:t>Results Collection</w:t>
      </w:r>
      <w:r w:rsidRPr="00D80C6C">
        <w:rPr>
          <w:rFonts w:cs="Arial"/>
          <w:sz w:val="22"/>
          <w:szCs w:val="22"/>
        </w:rPr>
        <w:t> </w:t>
      </w:r>
    </w:p>
    <w:p w14:paraId="358508A7" w14:textId="2E3A171D" w:rsidR="00386DFC" w:rsidRPr="00D80C6C" w:rsidRDefault="00386DFC" w:rsidP="004D5FD5">
      <w:pPr>
        <w:jc w:val="both"/>
        <w:rPr>
          <w:rFonts w:cs="Arial"/>
          <w:sz w:val="22"/>
          <w:szCs w:val="22"/>
        </w:rPr>
      </w:pPr>
      <w:r w:rsidRPr="00D80C6C">
        <w:rPr>
          <w:rFonts w:cs="Arial"/>
          <w:sz w:val="22"/>
          <w:szCs w:val="22"/>
        </w:rPr>
        <w:t xml:space="preserve"> ICF </w:t>
      </w:r>
      <w:r w:rsidR="00D0302B">
        <w:rPr>
          <w:rFonts w:cs="Arial"/>
          <w:sz w:val="22"/>
          <w:szCs w:val="22"/>
        </w:rPr>
        <w:t>programme</w:t>
      </w:r>
      <w:r w:rsidRPr="00D80C6C">
        <w:rPr>
          <w:rFonts w:cs="Arial"/>
          <w:sz w:val="22"/>
          <w:szCs w:val="22"/>
        </w:rPr>
        <w:t>s are required to report annually the estimated achieved and lifetime expected results for all relevant Key Performance Indicators (KPIs). In most cases these are included in your </w:t>
      </w:r>
      <w:proofErr w:type="spellStart"/>
      <w:r w:rsidRPr="00D80C6C">
        <w:rPr>
          <w:rFonts w:cs="Arial"/>
          <w:sz w:val="22"/>
          <w:szCs w:val="22"/>
        </w:rPr>
        <w:t>logframe</w:t>
      </w:r>
      <w:proofErr w:type="spellEnd"/>
      <w:r w:rsidRPr="00D80C6C">
        <w:rPr>
          <w:rFonts w:cs="Arial"/>
          <w:sz w:val="22"/>
          <w:szCs w:val="22"/>
        </w:rPr>
        <w:t> as indicators. Results are aggregated annually each March. To allow this, programme leads must collect results against KPIs, and complete results notes before March each year.  A ‘results note’ is produced as part of the internal quality assurance process. The template for results note can be found </w:t>
      </w:r>
      <w:hyperlink r:id="rId16" w:tgtFrame="_blank" w:history="1">
        <w:r w:rsidRPr="00D80C6C">
          <w:rPr>
            <w:rStyle w:val="Hyperlink"/>
            <w:rFonts w:cs="Arial"/>
            <w:sz w:val="22"/>
            <w:szCs w:val="22"/>
          </w:rPr>
          <w:t>here</w:t>
        </w:r>
      </w:hyperlink>
      <w:r w:rsidRPr="00D80C6C">
        <w:rPr>
          <w:rFonts w:cs="Arial"/>
          <w:sz w:val="22"/>
          <w:szCs w:val="22"/>
        </w:rPr>
        <w:t>. The template provides guidance and timescales of the process. Further guidance and examples of best practice can be found in the </w:t>
      </w:r>
      <w:hyperlink r:id="rId17" w:tgtFrame="_blank" w:history="1">
        <w:r w:rsidRPr="00D80C6C">
          <w:rPr>
            <w:rStyle w:val="Hyperlink"/>
            <w:rFonts w:cs="Arial"/>
            <w:sz w:val="22"/>
            <w:szCs w:val="22"/>
          </w:rPr>
          <w:t>ICF Operating Manual</w:t>
        </w:r>
      </w:hyperlink>
      <w:r w:rsidRPr="00D80C6C">
        <w:rPr>
          <w:rFonts w:cs="Arial"/>
          <w:sz w:val="22"/>
          <w:szCs w:val="22"/>
        </w:rPr>
        <w:t>.  </w:t>
      </w:r>
    </w:p>
    <w:p w14:paraId="4BA9BA0C" w14:textId="77777777" w:rsidR="00386DFC" w:rsidRPr="00D80C6C" w:rsidRDefault="00386DFC" w:rsidP="004D5FD5">
      <w:pPr>
        <w:jc w:val="both"/>
        <w:rPr>
          <w:rFonts w:cs="Arial"/>
          <w:sz w:val="22"/>
          <w:szCs w:val="22"/>
        </w:rPr>
      </w:pPr>
      <w:r w:rsidRPr="00D80C6C">
        <w:rPr>
          <w:rFonts w:cs="Arial"/>
          <w:sz w:val="22"/>
          <w:szCs w:val="22"/>
        </w:rPr>
        <w:t> </w:t>
      </w:r>
    </w:p>
    <w:p w14:paraId="49532DDC" w14:textId="7754A7E2" w:rsidR="00386DFC" w:rsidRPr="00D80C6C" w:rsidRDefault="00734B0D" w:rsidP="004D5FD5">
      <w:pPr>
        <w:jc w:val="both"/>
        <w:rPr>
          <w:rFonts w:cs="Arial"/>
          <w:sz w:val="22"/>
          <w:szCs w:val="22"/>
        </w:rPr>
      </w:pPr>
      <w:r>
        <w:rPr>
          <w:rFonts w:cs="Arial"/>
          <w:b/>
          <w:sz w:val="22"/>
          <w:szCs w:val="22"/>
        </w:rPr>
        <w:t>P</w:t>
      </w:r>
      <w:r w:rsidR="00386DFC" w:rsidRPr="00D80C6C">
        <w:rPr>
          <w:rFonts w:cs="Arial"/>
          <w:b/>
          <w:sz w:val="22"/>
          <w:szCs w:val="22"/>
        </w:rPr>
        <w:t xml:space="preserve">rogramme teams </w:t>
      </w:r>
      <w:r>
        <w:rPr>
          <w:rFonts w:cs="Arial"/>
          <w:b/>
          <w:sz w:val="22"/>
          <w:szCs w:val="22"/>
        </w:rPr>
        <w:t>should</w:t>
      </w:r>
      <w:r w:rsidR="00386DFC" w:rsidRPr="00D80C6C">
        <w:rPr>
          <w:rFonts w:cs="Arial"/>
          <w:b/>
          <w:sz w:val="22"/>
          <w:szCs w:val="22"/>
        </w:rPr>
        <w:t> complete the results note simultaneously to the annual review</w:t>
      </w:r>
      <w:r w:rsidR="016E7A31" w:rsidRPr="00D80C6C">
        <w:rPr>
          <w:rFonts w:cs="Arial"/>
          <w:b/>
          <w:bCs/>
          <w:sz w:val="22"/>
          <w:szCs w:val="22"/>
        </w:rPr>
        <w:t>, unless agreed otherwise with the analyst team</w:t>
      </w:r>
      <w:r w:rsidR="00386DFC" w:rsidRPr="00D80C6C">
        <w:rPr>
          <w:rFonts w:cs="Arial"/>
          <w:sz w:val="22"/>
          <w:szCs w:val="22"/>
        </w:rPr>
        <w:t xml:space="preserve">. Combining the results collection and annual review processes has efficiency saving gains across the whole year for programme teams and analysts. The results note should be sighted by the analyst results lead during the analytical quality assurance process and signed off by policy G6 lead by the time the annual review is signed off by the DD. For </w:t>
      </w:r>
      <w:r w:rsidRPr="00D80C6C">
        <w:rPr>
          <w:rFonts w:cs="Arial"/>
          <w:sz w:val="22"/>
          <w:szCs w:val="22"/>
        </w:rPr>
        <w:t>high-risk</w:t>
      </w:r>
      <w:r w:rsidR="00386DFC" w:rsidRPr="00D80C6C">
        <w:rPr>
          <w:rFonts w:cs="Arial"/>
          <w:sz w:val="22"/>
          <w:szCs w:val="22"/>
        </w:rPr>
        <w:t> results notes these will also require sign-off by the G6 analyst lead. If there is strong justification for the results note to be completed outside the annual review process this should be agreed with the PMO, results lead and supporting analyst.  </w:t>
      </w:r>
    </w:p>
    <w:p w14:paraId="1713200D" w14:textId="77777777" w:rsidR="00386DFC" w:rsidRPr="00D80C6C" w:rsidRDefault="00386DFC" w:rsidP="004D5FD5">
      <w:pPr>
        <w:jc w:val="both"/>
        <w:rPr>
          <w:rFonts w:cs="Arial"/>
          <w:sz w:val="22"/>
          <w:szCs w:val="22"/>
        </w:rPr>
      </w:pPr>
      <w:r w:rsidRPr="00D80C6C">
        <w:rPr>
          <w:rFonts w:cs="Arial"/>
          <w:sz w:val="22"/>
          <w:szCs w:val="22"/>
        </w:rPr>
        <w:t> </w:t>
      </w:r>
    </w:p>
    <w:p w14:paraId="53C13F01" w14:textId="37F6900A" w:rsidR="00386DFC" w:rsidRDefault="00386DFC" w:rsidP="004D5FD5">
      <w:pPr>
        <w:jc w:val="both"/>
        <w:rPr>
          <w:rFonts w:cs="Arial"/>
          <w:sz w:val="22"/>
          <w:szCs w:val="22"/>
        </w:rPr>
      </w:pPr>
      <w:r w:rsidRPr="00D80C6C">
        <w:rPr>
          <w:rFonts w:cs="Arial"/>
          <w:sz w:val="22"/>
          <w:szCs w:val="22"/>
        </w:rPr>
        <w:t>Your supporting analysts are your main port of call for results collections and will be able to answer any technical questions, however, the production of the results notes remains with the programme teams.</w:t>
      </w:r>
    </w:p>
    <w:p w14:paraId="088FD675" w14:textId="77777777" w:rsidR="00C64A62" w:rsidRDefault="00C64A62" w:rsidP="004D5FD5">
      <w:pPr>
        <w:jc w:val="both"/>
        <w:rPr>
          <w:rFonts w:cs="Arial"/>
          <w:sz w:val="22"/>
          <w:szCs w:val="22"/>
        </w:rPr>
      </w:pPr>
    </w:p>
    <w:p w14:paraId="034D8159" w14:textId="0A059166" w:rsidR="00C64A62" w:rsidRDefault="00C64A62" w:rsidP="004D5FD5">
      <w:pPr>
        <w:jc w:val="both"/>
        <w:rPr>
          <w:rFonts w:cs="Arial"/>
          <w:b/>
          <w:bCs/>
          <w:sz w:val="22"/>
          <w:szCs w:val="22"/>
        </w:rPr>
      </w:pPr>
      <w:r w:rsidRPr="00C64A62">
        <w:rPr>
          <w:rFonts w:cs="Arial"/>
          <w:b/>
          <w:bCs/>
          <w:sz w:val="22"/>
          <w:szCs w:val="22"/>
        </w:rPr>
        <w:t>Paris Alignment</w:t>
      </w:r>
    </w:p>
    <w:p w14:paraId="2EA785AF" w14:textId="7935D0FA" w:rsidR="00C34E5E" w:rsidRPr="00C34E5E" w:rsidRDefault="008B1D52" w:rsidP="004D5FD5">
      <w:pPr>
        <w:jc w:val="both"/>
        <w:rPr>
          <w:rFonts w:cs="Arial"/>
          <w:sz w:val="22"/>
          <w:szCs w:val="22"/>
        </w:rPr>
      </w:pPr>
      <w:r w:rsidRPr="008B1D52">
        <w:rPr>
          <w:rFonts w:cs="Arial"/>
          <w:sz w:val="22"/>
          <w:szCs w:val="22"/>
        </w:rPr>
        <w:t xml:space="preserve">All existing programmes where ODA is still being spent will be required to complete a Paris Alignment </w:t>
      </w:r>
      <w:r w:rsidR="002E7988">
        <w:rPr>
          <w:rFonts w:cs="Arial"/>
          <w:sz w:val="22"/>
          <w:szCs w:val="22"/>
        </w:rPr>
        <w:t>a</w:t>
      </w:r>
      <w:r w:rsidRPr="008B1D52">
        <w:rPr>
          <w:rFonts w:cs="Arial"/>
          <w:sz w:val="22"/>
          <w:szCs w:val="22"/>
        </w:rPr>
        <w:t>ssessment</w:t>
      </w:r>
      <w:r w:rsidR="002E7988">
        <w:rPr>
          <w:rFonts w:cs="Arial"/>
          <w:sz w:val="22"/>
          <w:szCs w:val="22"/>
        </w:rPr>
        <w:t>, if not already undertaken at the Business Case stage</w:t>
      </w:r>
      <w:r w:rsidRPr="008B1D52">
        <w:rPr>
          <w:rFonts w:cs="Arial"/>
          <w:sz w:val="22"/>
          <w:szCs w:val="22"/>
        </w:rPr>
        <w:t xml:space="preserve">. </w:t>
      </w:r>
    </w:p>
    <w:p w14:paraId="0AA3E72C" w14:textId="77777777" w:rsidR="003D222C" w:rsidRPr="00D80C6C" w:rsidRDefault="003D222C" w:rsidP="004D5FD5">
      <w:pPr>
        <w:jc w:val="both"/>
        <w:rPr>
          <w:rFonts w:cs="Arial"/>
          <w:sz w:val="22"/>
          <w:szCs w:val="22"/>
        </w:rPr>
      </w:pPr>
    </w:p>
    <w:p w14:paraId="4CE82A2C" w14:textId="7755F0F0" w:rsidR="003D222C" w:rsidRPr="00D80C6C" w:rsidRDefault="003D222C" w:rsidP="004D5FD5">
      <w:pPr>
        <w:jc w:val="both"/>
        <w:rPr>
          <w:rFonts w:cs="Arial"/>
          <w:b/>
          <w:sz w:val="22"/>
          <w:szCs w:val="22"/>
        </w:rPr>
      </w:pPr>
      <w:r w:rsidRPr="00D80C6C">
        <w:rPr>
          <w:rFonts w:cs="Arial"/>
          <w:b/>
          <w:sz w:val="22"/>
          <w:szCs w:val="22"/>
        </w:rPr>
        <w:t>Where can I get more help?</w:t>
      </w:r>
    </w:p>
    <w:p w14:paraId="7B7E3A8E" w14:textId="14B2CFC0" w:rsidR="00BE77A2" w:rsidRPr="00D80C6C" w:rsidRDefault="003D222C" w:rsidP="004D5FD5">
      <w:pPr>
        <w:jc w:val="both"/>
        <w:rPr>
          <w:rFonts w:cs="Arial"/>
          <w:sz w:val="22"/>
          <w:szCs w:val="22"/>
        </w:rPr>
      </w:pPr>
      <w:r w:rsidRPr="5CDBA64A">
        <w:rPr>
          <w:rFonts w:cs="Arial"/>
          <w:sz w:val="22"/>
          <w:szCs w:val="22"/>
        </w:rPr>
        <w:t xml:space="preserve">More guidance notes are included in the boxes under each heading below (these should be deleted once the AR has been completed). If you’re looking for more help, check out the </w:t>
      </w:r>
      <w:hyperlink r:id="rId18">
        <w:r w:rsidRPr="5CDBA64A">
          <w:rPr>
            <w:rStyle w:val="Hyperlink"/>
            <w:rFonts w:cs="Arial"/>
            <w:sz w:val="22"/>
            <w:szCs w:val="22"/>
          </w:rPr>
          <w:t>ICF Operating Manual</w:t>
        </w:r>
      </w:hyperlink>
      <w:r w:rsidRPr="5CDBA64A">
        <w:rPr>
          <w:rFonts w:cs="Arial"/>
          <w:sz w:val="22"/>
          <w:szCs w:val="22"/>
        </w:rPr>
        <w:t xml:space="preserve"> which contains more guidance on good practice, timescales, and examples</w:t>
      </w:r>
      <w:r w:rsidR="00080C85" w:rsidRPr="5CDBA64A">
        <w:rPr>
          <w:rFonts w:cs="Arial"/>
          <w:sz w:val="22"/>
          <w:szCs w:val="22"/>
        </w:rPr>
        <w:t xml:space="preserve">, including our full </w:t>
      </w:r>
      <w:hyperlink r:id="rId19">
        <w:r w:rsidR="00080C85" w:rsidRPr="5CDBA64A">
          <w:rPr>
            <w:rStyle w:val="Hyperlink"/>
            <w:rFonts w:cs="Arial"/>
            <w:sz w:val="22"/>
            <w:szCs w:val="22"/>
          </w:rPr>
          <w:t>AR guidance document</w:t>
        </w:r>
      </w:hyperlink>
      <w:r w:rsidRPr="5CDBA64A">
        <w:rPr>
          <w:rFonts w:cs="Arial"/>
          <w:sz w:val="22"/>
          <w:szCs w:val="22"/>
        </w:rPr>
        <w:t xml:space="preserve">. In addition, see the </w:t>
      </w:r>
      <w:hyperlink r:id="rId20">
        <w:r w:rsidRPr="5CDBA64A">
          <w:rPr>
            <w:rStyle w:val="Hyperlink"/>
            <w:rFonts w:cs="Arial"/>
            <w:sz w:val="22"/>
            <w:szCs w:val="22"/>
          </w:rPr>
          <w:t>Monitoring, Reviewing and Scoring Programmes Smart Guide</w:t>
        </w:r>
      </w:hyperlink>
      <w:r w:rsidRPr="5CDBA64A">
        <w:rPr>
          <w:rFonts w:cs="Arial"/>
          <w:sz w:val="22"/>
          <w:szCs w:val="22"/>
        </w:rPr>
        <w:t xml:space="preserve"> for more information on  AR’s and the </w:t>
      </w:r>
      <w:hyperlink r:id="rId21">
        <w:r w:rsidRPr="5CDBA64A">
          <w:rPr>
            <w:rStyle w:val="Hyperlink"/>
            <w:rFonts w:cs="Arial"/>
            <w:sz w:val="22"/>
            <w:szCs w:val="22"/>
          </w:rPr>
          <w:t>Logical Framework Smart Guide</w:t>
        </w:r>
      </w:hyperlink>
      <w:r w:rsidRPr="5CDBA64A">
        <w:rPr>
          <w:rFonts w:cs="Arial"/>
          <w:sz w:val="22"/>
          <w:szCs w:val="22"/>
        </w:rPr>
        <w:t xml:space="preserve"> for help designing an effective results framework to inform a strong Annual Review.</w:t>
      </w:r>
      <w:r w:rsidR="00272DF1" w:rsidRPr="5CDBA64A">
        <w:rPr>
          <w:rFonts w:cs="Arial"/>
          <w:sz w:val="22"/>
          <w:szCs w:val="22"/>
        </w:rPr>
        <w:t xml:space="preserve"> </w:t>
      </w:r>
      <w:r w:rsidR="00945233" w:rsidRPr="5CDBA64A">
        <w:rPr>
          <w:rFonts w:cs="Arial"/>
          <w:sz w:val="22"/>
          <w:szCs w:val="22"/>
        </w:rPr>
        <w:t xml:space="preserve">Please check </w:t>
      </w:r>
      <w:hyperlink r:id="rId22">
        <w:r w:rsidR="00E64702" w:rsidRPr="5CDBA64A">
          <w:rPr>
            <w:rStyle w:val="Hyperlink"/>
            <w:rFonts w:cs="Arial"/>
            <w:sz w:val="22"/>
            <w:szCs w:val="22"/>
          </w:rPr>
          <w:t>DESNZ</w:t>
        </w:r>
        <w:r w:rsidR="00945233" w:rsidRPr="5CDBA64A">
          <w:rPr>
            <w:rStyle w:val="Hyperlink"/>
            <w:rFonts w:cs="Arial"/>
            <w:sz w:val="22"/>
            <w:szCs w:val="22"/>
          </w:rPr>
          <w:t xml:space="preserve"> Dev-Tracker page</w:t>
        </w:r>
      </w:hyperlink>
      <w:r w:rsidR="00945233" w:rsidRPr="5CDBA64A">
        <w:rPr>
          <w:rFonts w:cs="Arial"/>
          <w:sz w:val="22"/>
          <w:szCs w:val="22"/>
        </w:rPr>
        <w:t xml:space="preserve"> to find examples of all our published AR’s.</w:t>
      </w:r>
      <w:r w:rsidR="00272DF1" w:rsidRPr="5CDBA64A">
        <w:rPr>
          <w:rFonts w:cs="Arial"/>
          <w:sz w:val="22"/>
          <w:szCs w:val="22"/>
        </w:rPr>
        <w:t xml:space="preserve"> </w:t>
      </w:r>
      <w:r w:rsidR="00BE77A2" w:rsidRPr="5CDBA64A">
        <w:rPr>
          <w:rFonts w:cs="Arial"/>
          <w:sz w:val="22"/>
          <w:szCs w:val="22"/>
        </w:rPr>
        <w:t>If in doubt, ask a member of PMO</w:t>
      </w:r>
      <w:r w:rsidR="5DBDE8FB" w:rsidRPr="5CDBA64A">
        <w:rPr>
          <w:rFonts w:cs="Arial"/>
          <w:sz w:val="22"/>
          <w:szCs w:val="22"/>
        </w:rPr>
        <w:t xml:space="preserve">: </w:t>
      </w:r>
      <w:hyperlink r:id="rId23">
        <w:r w:rsidR="5FC957AC" w:rsidRPr="5CDBA64A">
          <w:rPr>
            <w:rStyle w:val="Hyperlink"/>
            <w:rFonts w:cs="Arial"/>
            <w:sz w:val="22"/>
            <w:szCs w:val="22"/>
          </w:rPr>
          <w:t>Krissie.Gradeva@</w:t>
        </w:r>
        <w:r w:rsidR="00E64702" w:rsidRPr="5CDBA64A">
          <w:rPr>
            <w:rStyle w:val="Hyperlink"/>
            <w:rFonts w:cs="Arial"/>
            <w:sz w:val="22"/>
            <w:szCs w:val="22"/>
          </w:rPr>
          <w:t>energysecurity.gov.uk</w:t>
        </w:r>
      </w:hyperlink>
    </w:p>
    <w:p w14:paraId="76FF3002" w14:textId="77777777" w:rsidR="003D222C" w:rsidRPr="00D7442D" w:rsidRDefault="003D222C" w:rsidP="004D5FD5">
      <w:pPr>
        <w:jc w:val="both"/>
        <w:rPr>
          <w:rFonts w:cs="Arial"/>
          <w:b/>
          <w:bCs/>
          <w:i/>
          <w:iCs/>
          <w:color w:val="FF0000"/>
        </w:rPr>
      </w:pPr>
    </w:p>
    <w:p w14:paraId="3CAA7229" w14:textId="3516C82D" w:rsidR="00C54643" w:rsidRPr="002408B0" w:rsidRDefault="003D222C" w:rsidP="004D5FD5">
      <w:pPr>
        <w:jc w:val="center"/>
        <w:rPr>
          <w:rFonts w:cs="Arial"/>
          <w:b/>
          <w:bCs/>
          <w:i/>
          <w:iCs/>
          <w:color w:val="FF0000"/>
        </w:rPr>
      </w:pPr>
      <w:r w:rsidRPr="00D7442D">
        <w:rPr>
          <w:rFonts w:cs="Arial"/>
          <w:b/>
          <w:bCs/>
          <w:i/>
          <w:iCs/>
          <w:color w:val="FF0000"/>
        </w:rPr>
        <w:t xml:space="preserve">Delete all </w:t>
      </w:r>
      <w:r w:rsidR="000425EB">
        <w:rPr>
          <w:rFonts w:cs="Arial"/>
          <w:b/>
          <w:bCs/>
          <w:i/>
          <w:iCs/>
          <w:color w:val="FF0000"/>
        </w:rPr>
        <w:t xml:space="preserve">guidance </w:t>
      </w:r>
      <w:r w:rsidRPr="00D7442D">
        <w:rPr>
          <w:rFonts w:cs="Arial"/>
          <w:b/>
          <w:bCs/>
          <w:i/>
          <w:iCs/>
          <w:color w:val="FF0000"/>
        </w:rPr>
        <w:t>text above once the AR is completed</w:t>
      </w:r>
    </w:p>
    <w:p w14:paraId="24564F6C" w14:textId="77777777" w:rsidR="00BB4FF2" w:rsidRDefault="00BB4FF2" w:rsidP="00CD1CE9">
      <w:pPr>
        <w:jc w:val="center"/>
        <w:rPr>
          <w:rFonts w:cs="Arial"/>
          <w:b/>
          <w:bCs/>
          <w:i/>
          <w:iCs/>
          <w:color w:val="FF0000"/>
        </w:rPr>
      </w:pPr>
    </w:p>
    <w:p w14:paraId="15DF95B3" w14:textId="12997626" w:rsidR="00ED2F58" w:rsidRPr="004D5FD5" w:rsidRDefault="003D222C" w:rsidP="00CD1CE9">
      <w:pPr>
        <w:jc w:val="center"/>
        <w:rPr>
          <w:rFonts w:cs="Arial"/>
          <w:b/>
          <w:i/>
          <w:iCs/>
          <w:color w:val="FF0000"/>
        </w:rPr>
      </w:pPr>
      <w:r w:rsidRPr="004D5FD5">
        <w:rPr>
          <w:rFonts w:cs="Arial"/>
          <w:b/>
          <w:bCs/>
          <w:i/>
          <w:iCs/>
          <w:color w:val="FF0000"/>
        </w:rPr>
        <w:lastRenderedPageBreak/>
        <w:t>Please do not edit this master template. Save copies locally</w:t>
      </w:r>
      <w:r w:rsidR="00463B74" w:rsidRPr="004D5FD5">
        <w:rPr>
          <w:rFonts w:cs="Arial"/>
          <w:b/>
          <w:bCs/>
          <w:i/>
          <w:iCs/>
          <w:color w:val="FF0000"/>
        </w:rPr>
        <w:t>.</w:t>
      </w:r>
    </w:p>
    <w:p w14:paraId="32718D3E" w14:textId="4C4B50DF" w:rsidR="004D2FC0" w:rsidRDefault="004D2FC0" w:rsidP="006C516E"/>
    <w:tbl>
      <w:tblPr>
        <w:tblStyle w:val="TableGrid"/>
        <w:tblW w:w="0" w:type="auto"/>
        <w:tblLook w:val="04A0" w:firstRow="1" w:lastRow="0" w:firstColumn="1" w:lastColumn="0" w:noHBand="0" w:noVBand="1"/>
      </w:tblPr>
      <w:tblGrid>
        <w:gridCol w:w="9016"/>
      </w:tblGrid>
      <w:tr w:rsidR="00495286" w14:paraId="65DE13A0" w14:textId="77777777" w:rsidTr="527A8EFF">
        <w:tc>
          <w:tcPr>
            <w:tcW w:w="9016" w:type="dxa"/>
            <w:shd w:val="clear" w:color="auto" w:fill="DEEAF6" w:themeFill="accent5" w:themeFillTint="33"/>
          </w:tcPr>
          <w:p w14:paraId="7DC76797" w14:textId="5D9F4D91" w:rsidR="00495286" w:rsidRDefault="789BD016" w:rsidP="006C516E">
            <w:bookmarkStart w:id="0" w:name="_Toc985939141"/>
            <w:r w:rsidRPr="527A8EFF">
              <w:rPr>
                <w:rStyle w:val="Heading1Char"/>
                <w:rFonts w:ascii="Arial" w:hAnsi="Arial" w:cs="Arial"/>
                <w:b/>
                <w:bCs/>
                <w:color w:val="auto"/>
              </w:rPr>
              <w:t>Section A: Summary and overview</w:t>
            </w:r>
            <w:bookmarkEnd w:id="0"/>
            <w:r>
              <w:t xml:space="preserve"> [</w:t>
            </w:r>
            <w:r w:rsidR="12CAE514">
              <w:t>2-3</w:t>
            </w:r>
            <w:r>
              <w:t xml:space="preserve"> pages]</w:t>
            </w:r>
          </w:p>
        </w:tc>
      </w:tr>
    </w:tbl>
    <w:p w14:paraId="006A5D19" w14:textId="77777777" w:rsidR="00495286" w:rsidRDefault="00495286" w:rsidP="006C516E"/>
    <w:tbl>
      <w:tblPr>
        <w:tblStyle w:val="TableGrid"/>
        <w:tblW w:w="0" w:type="auto"/>
        <w:tblLook w:val="04A0" w:firstRow="1" w:lastRow="0" w:firstColumn="1" w:lastColumn="0" w:noHBand="0" w:noVBand="1"/>
      </w:tblPr>
      <w:tblGrid>
        <w:gridCol w:w="3397"/>
        <w:gridCol w:w="2410"/>
        <w:gridCol w:w="3209"/>
      </w:tblGrid>
      <w:tr w:rsidR="004D2FC0" w:rsidRPr="003F6641" w14:paraId="2869ADA5" w14:textId="77777777" w:rsidTr="00FC16A6">
        <w:trPr>
          <w:trHeight w:val="407"/>
        </w:trPr>
        <w:tc>
          <w:tcPr>
            <w:tcW w:w="9016" w:type="dxa"/>
            <w:gridSpan w:val="3"/>
            <w:tcBorders>
              <w:top w:val="single" w:sz="4" w:space="0" w:color="auto"/>
              <w:left w:val="single" w:sz="4" w:space="0" w:color="auto"/>
              <w:bottom w:val="dotted" w:sz="2" w:space="0" w:color="000000" w:themeColor="text1"/>
              <w:right w:val="single" w:sz="4" w:space="0" w:color="auto"/>
            </w:tcBorders>
          </w:tcPr>
          <w:p w14:paraId="346F2EF8" w14:textId="727CDC35" w:rsidR="004D2FC0" w:rsidRPr="003F6641" w:rsidRDefault="004D2FC0" w:rsidP="00FC16A6">
            <w:pPr>
              <w:rPr>
                <w:rFonts w:cs="Arial"/>
                <w:b/>
                <w:sz w:val="22"/>
                <w:szCs w:val="22"/>
              </w:rPr>
            </w:pPr>
            <w:r w:rsidRPr="003F6641">
              <w:rPr>
                <w:rFonts w:cs="Arial"/>
                <w:b/>
                <w:sz w:val="22"/>
                <w:szCs w:val="22"/>
              </w:rPr>
              <w:t xml:space="preserve">Title:  </w:t>
            </w:r>
            <w:r w:rsidR="00E57DDD">
              <w:rPr>
                <w:rFonts w:cs="Arial"/>
                <w:b/>
                <w:sz w:val="22"/>
                <w:szCs w:val="22"/>
              </w:rPr>
              <w:t>Clean Energy Transition Programme</w:t>
            </w:r>
          </w:p>
        </w:tc>
      </w:tr>
      <w:tr w:rsidR="004D2FC0" w:rsidRPr="003F6641" w14:paraId="109A3418" w14:textId="77777777" w:rsidTr="00FC16A6">
        <w:trPr>
          <w:trHeight w:val="413"/>
        </w:trPr>
        <w:tc>
          <w:tcPr>
            <w:tcW w:w="5807" w:type="dxa"/>
            <w:gridSpan w:val="2"/>
            <w:tcBorders>
              <w:top w:val="dotted" w:sz="2" w:space="0" w:color="000000" w:themeColor="text1"/>
              <w:left w:val="single" w:sz="4" w:space="0" w:color="000000" w:themeColor="text1"/>
              <w:bottom w:val="dotted" w:sz="2" w:space="0" w:color="000000" w:themeColor="text1"/>
              <w:right w:val="dotted" w:sz="2" w:space="0" w:color="000000" w:themeColor="text1"/>
            </w:tcBorders>
            <w:hideMark/>
          </w:tcPr>
          <w:p w14:paraId="79376CB4" w14:textId="1F3E0424" w:rsidR="004D2FC0" w:rsidRPr="003F6641" w:rsidRDefault="004D2FC0" w:rsidP="00FC16A6">
            <w:pPr>
              <w:rPr>
                <w:rFonts w:cs="Arial"/>
                <w:b/>
                <w:sz w:val="22"/>
                <w:szCs w:val="22"/>
              </w:rPr>
            </w:pPr>
            <w:r w:rsidRPr="003F6641">
              <w:rPr>
                <w:rFonts w:cs="Arial"/>
                <w:b/>
                <w:sz w:val="22"/>
                <w:szCs w:val="22"/>
              </w:rPr>
              <w:t xml:space="preserve">Programme Value £ (full life): </w:t>
            </w:r>
            <w:r w:rsidR="00E57DDD">
              <w:rPr>
                <w:rFonts w:cs="Arial"/>
                <w:b/>
                <w:sz w:val="22"/>
                <w:szCs w:val="22"/>
              </w:rPr>
              <w:t>£12million</w:t>
            </w:r>
          </w:p>
        </w:tc>
        <w:tc>
          <w:tcPr>
            <w:tcW w:w="3209" w:type="dxa"/>
            <w:tcBorders>
              <w:top w:val="dotted" w:sz="2" w:space="0" w:color="000000" w:themeColor="text1"/>
              <w:left w:val="dotted" w:sz="2" w:space="0" w:color="000000" w:themeColor="text1"/>
              <w:bottom w:val="dotted" w:sz="2" w:space="0" w:color="000000" w:themeColor="text1"/>
              <w:right w:val="single" w:sz="4" w:space="0" w:color="000000" w:themeColor="text1"/>
            </w:tcBorders>
            <w:hideMark/>
          </w:tcPr>
          <w:p w14:paraId="5E522675" w14:textId="3FD75477" w:rsidR="004D2FC0" w:rsidRPr="003F6641" w:rsidRDefault="004D2FC0" w:rsidP="00FC16A6">
            <w:pPr>
              <w:rPr>
                <w:rFonts w:cs="Arial"/>
                <w:b/>
                <w:sz w:val="22"/>
                <w:szCs w:val="22"/>
              </w:rPr>
            </w:pPr>
            <w:r w:rsidRPr="003F6641">
              <w:rPr>
                <w:rFonts w:cs="Arial"/>
                <w:b/>
                <w:sz w:val="22"/>
                <w:szCs w:val="22"/>
              </w:rPr>
              <w:t xml:space="preserve">Review date: </w:t>
            </w:r>
            <w:r w:rsidR="00E57DDD">
              <w:rPr>
                <w:rFonts w:cs="Arial"/>
                <w:b/>
                <w:sz w:val="22"/>
                <w:szCs w:val="22"/>
              </w:rPr>
              <w:t>1 Jan 2024 to 31 December 2024</w:t>
            </w:r>
          </w:p>
        </w:tc>
      </w:tr>
      <w:tr w:rsidR="004D2FC0" w:rsidRPr="003F6641" w14:paraId="4F6467CB" w14:textId="77777777" w:rsidTr="00FC16A6">
        <w:trPr>
          <w:trHeight w:val="300"/>
        </w:trPr>
        <w:tc>
          <w:tcPr>
            <w:tcW w:w="3397" w:type="dxa"/>
            <w:tcBorders>
              <w:top w:val="dotted" w:sz="2" w:space="0" w:color="000000" w:themeColor="text1"/>
              <w:left w:val="single" w:sz="4" w:space="0" w:color="auto"/>
              <w:bottom w:val="single" w:sz="4" w:space="0" w:color="auto"/>
              <w:right w:val="dotted" w:sz="2" w:space="0" w:color="000000" w:themeColor="text1"/>
            </w:tcBorders>
          </w:tcPr>
          <w:p w14:paraId="06CD2B2E" w14:textId="77777777" w:rsidR="004D2FC0" w:rsidRPr="003F6641" w:rsidRDefault="004D2FC0" w:rsidP="00FC16A6">
            <w:pPr>
              <w:rPr>
                <w:rFonts w:cs="Arial"/>
                <w:b/>
                <w:sz w:val="22"/>
                <w:szCs w:val="22"/>
              </w:rPr>
            </w:pPr>
            <w:r w:rsidRPr="003F6641">
              <w:rPr>
                <w:rFonts w:cs="Arial"/>
                <w:b/>
                <w:sz w:val="22"/>
                <w:szCs w:val="22"/>
              </w:rPr>
              <w:t xml:space="preserve">Programme Code: </w:t>
            </w:r>
            <w:r w:rsidRPr="003F6641">
              <w:rPr>
                <w:rFonts w:cs="Arial"/>
                <w:sz w:val="22"/>
                <w:szCs w:val="22"/>
              </w:rPr>
              <w:t xml:space="preserve">Found </w:t>
            </w:r>
            <w:hyperlink r:id="rId24" w:history="1">
              <w:r w:rsidRPr="003F6641">
                <w:rPr>
                  <w:rStyle w:val="Hyperlink"/>
                  <w:rFonts w:cs="Arial"/>
                  <w:sz w:val="22"/>
                  <w:szCs w:val="22"/>
                </w:rPr>
                <w:t>here</w:t>
              </w:r>
            </w:hyperlink>
          </w:p>
          <w:p w14:paraId="07FE2881" w14:textId="77777777" w:rsidR="004D2FC0" w:rsidRPr="003F6641" w:rsidRDefault="004D2FC0" w:rsidP="00FC16A6">
            <w:pPr>
              <w:rPr>
                <w:rFonts w:cs="Arial"/>
                <w:sz w:val="22"/>
                <w:szCs w:val="22"/>
              </w:rPr>
            </w:pPr>
            <w:r w:rsidRPr="003F6641">
              <w:rPr>
                <w:rFonts w:cs="Arial"/>
                <w:sz w:val="22"/>
                <w:szCs w:val="22"/>
              </w:rPr>
              <w:t>(copy code from document)</w:t>
            </w:r>
          </w:p>
        </w:tc>
        <w:tc>
          <w:tcPr>
            <w:tcW w:w="2410" w:type="dxa"/>
            <w:tcBorders>
              <w:top w:val="dotted" w:sz="2" w:space="0" w:color="000000" w:themeColor="text1"/>
              <w:left w:val="dotted" w:sz="2" w:space="0" w:color="000000" w:themeColor="text1"/>
              <w:bottom w:val="single" w:sz="4" w:space="0" w:color="000000" w:themeColor="text1"/>
              <w:right w:val="dotted" w:sz="2" w:space="0" w:color="000000" w:themeColor="text1"/>
            </w:tcBorders>
            <w:hideMark/>
          </w:tcPr>
          <w:p w14:paraId="3C649775" w14:textId="08869931" w:rsidR="004D2FC0" w:rsidRPr="003F6641" w:rsidRDefault="004D2FC0" w:rsidP="00FC16A6">
            <w:pPr>
              <w:rPr>
                <w:rFonts w:cs="Arial"/>
                <w:b/>
                <w:sz w:val="22"/>
                <w:szCs w:val="22"/>
              </w:rPr>
            </w:pPr>
            <w:r w:rsidRPr="003F6641">
              <w:rPr>
                <w:rFonts w:cs="Arial"/>
                <w:b/>
                <w:sz w:val="22"/>
                <w:szCs w:val="22"/>
              </w:rPr>
              <w:t>Programme start date:</w:t>
            </w:r>
            <w:r w:rsidRPr="003F6641">
              <w:rPr>
                <w:rFonts w:cs="Arial"/>
                <w:sz w:val="22"/>
                <w:szCs w:val="22"/>
              </w:rPr>
              <w:t xml:space="preserve"> </w:t>
            </w:r>
            <w:r w:rsidR="00E57DDD">
              <w:rPr>
                <w:rFonts w:cs="Arial"/>
                <w:sz w:val="22"/>
                <w:szCs w:val="22"/>
              </w:rPr>
              <w:t>2024</w:t>
            </w:r>
          </w:p>
        </w:tc>
        <w:tc>
          <w:tcPr>
            <w:tcW w:w="3209" w:type="dxa"/>
            <w:tcBorders>
              <w:top w:val="dotted" w:sz="2" w:space="0" w:color="000000" w:themeColor="text1"/>
              <w:left w:val="dotted" w:sz="2" w:space="0" w:color="000000" w:themeColor="text1"/>
              <w:bottom w:val="single" w:sz="4" w:space="0" w:color="auto"/>
              <w:right w:val="single" w:sz="4" w:space="0" w:color="auto"/>
            </w:tcBorders>
            <w:hideMark/>
          </w:tcPr>
          <w:p w14:paraId="20826E0A" w14:textId="77777777" w:rsidR="004D2FC0" w:rsidRDefault="004D2FC0" w:rsidP="00FC16A6">
            <w:pPr>
              <w:rPr>
                <w:rFonts w:cs="Arial"/>
                <w:sz w:val="22"/>
                <w:szCs w:val="22"/>
              </w:rPr>
            </w:pPr>
            <w:r w:rsidRPr="003F6641">
              <w:rPr>
                <w:rFonts w:cs="Arial"/>
                <w:b/>
                <w:sz w:val="22"/>
                <w:szCs w:val="22"/>
              </w:rPr>
              <w:t>Programme end date:</w:t>
            </w:r>
            <w:r w:rsidRPr="003F6641">
              <w:rPr>
                <w:rFonts w:cs="Arial"/>
                <w:sz w:val="22"/>
                <w:szCs w:val="22"/>
              </w:rPr>
              <w:t xml:space="preserve"> </w:t>
            </w:r>
          </w:p>
          <w:p w14:paraId="7A133EFD" w14:textId="4B03D296" w:rsidR="00E57DDD" w:rsidRPr="003F6641" w:rsidRDefault="00E57DDD" w:rsidP="00FC16A6">
            <w:pPr>
              <w:rPr>
                <w:rFonts w:cs="Arial"/>
                <w:b/>
                <w:sz w:val="22"/>
                <w:szCs w:val="22"/>
              </w:rPr>
            </w:pPr>
            <w:r>
              <w:rPr>
                <w:rFonts w:cs="Arial"/>
                <w:b/>
                <w:sz w:val="22"/>
                <w:szCs w:val="22"/>
              </w:rPr>
              <w:t>2026</w:t>
            </w:r>
          </w:p>
        </w:tc>
      </w:tr>
    </w:tbl>
    <w:p w14:paraId="44D21F6A" w14:textId="77777777" w:rsidR="004D2FC0" w:rsidRPr="003F6641" w:rsidRDefault="004D2FC0" w:rsidP="004D2FC0">
      <w:pPr>
        <w:rPr>
          <w:rFonts w:cs="Arial"/>
          <w:b/>
          <w:sz w:val="22"/>
          <w:szCs w:val="22"/>
        </w:rPr>
      </w:pPr>
    </w:p>
    <w:tbl>
      <w:tblPr>
        <w:tblStyle w:val="TableGrid"/>
        <w:tblW w:w="0" w:type="auto"/>
        <w:tblLook w:val="04A0" w:firstRow="1" w:lastRow="0" w:firstColumn="1" w:lastColumn="0" w:noHBand="0" w:noVBand="1"/>
      </w:tblPr>
      <w:tblGrid>
        <w:gridCol w:w="2289"/>
        <w:gridCol w:w="1647"/>
        <w:gridCol w:w="599"/>
        <w:gridCol w:w="747"/>
        <w:gridCol w:w="747"/>
        <w:gridCol w:w="746"/>
        <w:gridCol w:w="747"/>
        <w:gridCol w:w="747"/>
        <w:gridCol w:w="747"/>
      </w:tblGrid>
      <w:tr w:rsidR="00545149" w:rsidRPr="003F6641" w14:paraId="397F49F6" w14:textId="77777777" w:rsidTr="000425EB">
        <w:tc>
          <w:tcPr>
            <w:tcW w:w="254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C0C093D" w14:textId="77777777" w:rsidR="004D2FC0" w:rsidRPr="000425EB" w:rsidRDefault="004D2FC0" w:rsidP="00FC16A6">
            <w:pPr>
              <w:rPr>
                <w:rFonts w:cs="Arial"/>
                <w:b/>
                <w:bCs/>
                <w:sz w:val="22"/>
                <w:szCs w:val="22"/>
              </w:rPr>
            </w:pPr>
            <w:r w:rsidRPr="000425EB">
              <w:rPr>
                <w:rFonts w:cs="Arial"/>
                <w:b/>
                <w:bCs/>
                <w:sz w:val="22"/>
                <w:szCs w:val="22"/>
              </w:rPr>
              <w:t>Year</w:t>
            </w:r>
          </w:p>
        </w:tc>
        <w:tc>
          <w:tcPr>
            <w:tcW w:w="709" w:type="dxa"/>
            <w:tcBorders>
              <w:top w:val="single" w:sz="4" w:space="0" w:color="auto"/>
              <w:left w:val="single" w:sz="4" w:space="0" w:color="auto"/>
              <w:bottom w:val="single" w:sz="4" w:space="0" w:color="auto"/>
              <w:right w:val="single" w:sz="4" w:space="0" w:color="auto"/>
            </w:tcBorders>
          </w:tcPr>
          <w:p w14:paraId="04CB39F0" w14:textId="0C6B0D42" w:rsidR="004D2FC0" w:rsidRPr="003F6641" w:rsidRDefault="000F19B0" w:rsidP="00FC16A6">
            <w:pPr>
              <w:rPr>
                <w:rFonts w:cs="Arial"/>
                <w:b/>
                <w:sz w:val="22"/>
                <w:szCs w:val="22"/>
              </w:rPr>
            </w:pPr>
            <w:r>
              <w:rPr>
                <w:rFonts w:cs="Arial"/>
                <w:b/>
                <w:sz w:val="22"/>
                <w:szCs w:val="22"/>
              </w:rPr>
              <w:t>2024</w:t>
            </w:r>
          </w:p>
        </w:tc>
        <w:tc>
          <w:tcPr>
            <w:tcW w:w="673" w:type="dxa"/>
            <w:tcBorders>
              <w:top w:val="single" w:sz="4" w:space="0" w:color="auto"/>
              <w:left w:val="single" w:sz="4" w:space="0" w:color="auto"/>
              <w:bottom w:val="single" w:sz="4" w:space="0" w:color="auto"/>
              <w:right w:val="single" w:sz="4" w:space="0" w:color="auto"/>
            </w:tcBorders>
          </w:tcPr>
          <w:p w14:paraId="037A5853" w14:textId="77777777" w:rsidR="004D2FC0" w:rsidRPr="003F6641" w:rsidRDefault="004D2FC0" w:rsidP="00FC16A6">
            <w:pPr>
              <w:rPr>
                <w:rFonts w:cs="Arial"/>
                <w:b/>
                <w:sz w:val="22"/>
                <w:szCs w:val="22"/>
              </w:rPr>
            </w:pPr>
          </w:p>
        </w:tc>
        <w:tc>
          <w:tcPr>
            <w:tcW w:w="848" w:type="dxa"/>
            <w:tcBorders>
              <w:top w:val="single" w:sz="4" w:space="0" w:color="auto"/>
              <w:left w:val="single" w:sz="4" w:space="0" w:color="auto"/>
              <w:bottom w:val="single" w:sz="4" w:space="0" w:color="auto"/>
              <w:right w:val="single" w:sz="4" w:space="0" w:color="auto"/>
            </w:tcBorders>
          </w:tcPr>
          <w:p w14:paraId="079B1B1B" w14:textId="77777777" w:rsidR="004D2FC0" w:rsidRPr="003F6641" w:rsidRDefault="004D2FC0" w:rsidP="00FC16A6">
            <w:pPr>
              <w:rPr>
                <w:rFonts w:cs="Arial"/>
                <w:b/>
                <w:sz w:val="22"/>
                <w:szCs w:val="22"/>
              </w:rPr>
            </w:pPr>
          </w:p>
        </w:tc>
        <w:tc>
          <w:tcPr>
            <w:tcW w:w="848" w:type="dxa"/>
            <w:tcBorders>
              <w:top w:val="single" w:sz="4" w:space="0" w:color="auto"/>
              <w:left w:val="single" w:sz="4" w:space="0" w:color="auto"/>
              <w:bottom w:val="single" w:sz="4" w:space="0" w:color="auto"/>
              <w:right w:val="single" w:sz="4" w:space="0" w:color="auto"/>
            </w:tcBorders>
          </w:tcPr>
          <w:p w14:paraId="646BA210" w14:textId="77777777" w:rsidR="004D2FC0" w:rsidRPr="003F6641" w:rsidRDefault="004D2FC0" w:rsidP="00FC16A6">
            <w:pPr>
              <w:rPr>
                <w:rFonts w:cs="Arial"/>
                <w:b/>
                <w:sz w:val="22"/>
                <w:szCs w:val="22"/>
              </w:rPr>
            </w:pPr>
          </w:p>
        </w:tc>
        <w:tc>
          <w:tcPr>
            <w:tcW w:w="847" w:type="dxa"/>
            <w:tcBorders>
              <w:top w:val="single" w:sz="4" w:space="0" w:color="auto"/>
              <w:left w:val="single" w:sz="4" w:space="0" w:color="auto"/>
              <w:bottom w:val="single" w:sz="4" w:space="0" w:color="auto"/>
              <w:right w:val="single" w:sz="4" w:space="0" w:color="auto"/>
            </w:tcBorders>
          </w:tcPr>
          <w:p w14:paraId="1035360D" w14:textId="77777777" w:rsidR="004D2FC0" w:rsidRPr="003F6641" w:rsidRDefault="004D2FC0" w:rsidP="00FC16A6">
            <w:pPr>
              <w:rPr>
                <w:rFonts w:cs="Arial"/>
                <w:b/>
                <w:sz w:val="22"/>
                <w:szCs w:val="22"/>
              </w:rPr>
            </w:pPr>
          </w:p>
        </w:tc>
        <w:tc>
          <w:tcPr>
            <w:tcW w:w="848" w:type="dxa"/>
            <w:tcBorders>
              <w:top w:val="single" w:sz="4" w:space="0" w:color="auto"/>
              <w:left w:val="single" w:sz="4" w:space="0" w:color="auto"/>
              <w:bottom w:val="single" w:sz="4" w:space="0" w:color="auto"/>
              <w:right w:val="single" w:sz="4" w:space="0" w:color="auto"/>
            </w:tcBorders>
          </w:tcPr>
          <w:p w14:paraId="64675C53" w14:textId="77777777" w:rsidR="004D2FC0" w:rsidRPr="003F6641" w:rsidRDefault="004D2FC0" w:rsidP="00FC16A6">
            <w:pPr>
              <w:rPr>
                <w:rFonts w:cs="Arial"/>
                <w:b/>
                <w:sz w:val="22"/>
                <w:szCs w:val="22"/>
              </w:rPr>
            </w:pPr>
          </w:p>
        </w:tc>
        <w:tc>
          <w:tcPr>
            <w:tcW w:w="848" w:type="dxa"/>
            <w:tcBorders>
              <w:top w:val="single" w:sz="4" w:space="0" w:color="auto"/>
              <w:left w:val="single" w:sz="4" w:space="0" w:color="auto"/>
              <w:bottom w:val="single" w:sz="4" w:space="0" w:color="auto"/>
              <w:right w:val="single" w:sz="4" w:space="0" w:color="auto"/>
            </w:tcBorders>
          </w:tcPr>
          <w:p w14:paraId="6C4DC08E" w14:textId="77777777" w:rsidR="004D2FC0" w:rsidRPr="003F6641" w:rsidRDefault="004D2FC0" w:rsidP="00FC16A6">
            <w:pPr>
              <w:rPr>
                <w:rFonts w:cs="Arial"/>
                <w:b/>
                <w:sz w:val="22"/>
                <w:szCs w:val="22"/>
              </w:rPr>
            </w:pPr>
          </w:p>
        </w:tc>
        <w:tc>
          <w:tcPr>
            <w:tcW w:w="848" w:type="dxa"/>
            <w:tcBorders>
              <w:top w:val="single" w:sz="4" w:space="0" w:color="auto"/>
              <w:left w:val="single" w:sz="4" w:space="0" w:color="auto"/>
              <w:bottom w:val="single" w:sz="4" w:space="0" w:color="auto"/>
              <w:right w:val="single" w:sz="4" w:space="0" w:color="auto"/>
            </w:tcBorders>
          </w:tcPr>
          <w:p w14:paraId="7DE0F0B5" w14:textId="77777777" w:rsidR="004D2FC0" w:rsidRPr="003F6641" w:rsidRDefault="004D2FC0" w:rsidP="00FC16A6">
            <w:pPr>
              <w:rPr>
                <w:rFonts w:cs="Arial"/>
                <w:b/>
                <w:sz w:val="22"/>
                <w:szCs w:val="22"/>
              </w:rPr>
            </w:pPr>
          </w:p>
        </w:tc>
      </w:tr>
      <w:tr w:rsidR="00545149" w:rsidRPr="003F6641" w14:paraId="461D6177" w14:textId="77777777" w:rsidTr="000425EB">
        <w:tc>
          <w:tcPr>
            <w:tcW w:w="254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3454618" w14:textId="77777777" w:rsidR="004D2FC0" w:rsidRPr="000425EB" w:rsidRDefault="004D2FC0" w:rsidP="00FC16A6">
            <w:pPr>
              <w:rPr>
                <w:rFonts w:cs="Arial"/>
                <w:b/>
                <w:bCs/>
                <w:sz w:val="22"/>
                <w:szCs w:val="22"/>
              </w:rPr>
            </w:pPr>
            <w:r w:rsidRPr="000425EB">
              <w:rPr>
                <w:rFonts w:cs="Arial"/>
                <w:b/>
                <w:bCs/>
                <w:sz w:val="22"/>
                <w:szCs w:val="22"/>
              </w:rPr>
              <w:t>Overall Output Score</w:t>
            </w:r>
          </w:p>
        </w:tc>
        <w:tc>
          <w:tcPr>
            <w:tcW w:w="709" w:type="dxa"/>
            <w:tcBorders>
              <w:top w:val="single" w:sz="4" w:space="0" w:color="auto"/>
              <w:left w:val="single" w:sz="4" w:space="0" w:color="auto"/>
              <w:bottom w:val="single" w:sz="4" w:space="0" w:color="auto"/>
              <w:right w:val="single" w:sz="4" w:space="0" w:color="auto"/>
            </w:tcBorders>
          </w:tcPr>
          <w:p w14:paraId="739EFDDA" w14:textId="609DBA7B" w:rsidR="004D2FC0" w:rsidRPr="003F6641" w:rsidRDefault="000F19B0" w:rsidP="00FC16A6">
            <w:pPr>
              <w:rPr>
                <w:rFonts w:cs="Arial"/>
                <w:b/>
                <w:sz w:val="22"/>
                <w:szCs w:val="22"/>
              </w:rPr>
            </w:pPr>
            <w:r>
              <w:rPr>
                <w:rFonts w:cs="Arial"/>
                <w:b/>
                <w:sz w:val="22"/>
                <w:szCs w:val="22"/>
              </w:rPr>
              <w:t>A+</w:t>
            </w:r>
            <w:r w:rsidR="00545149">
              <w:rPr>
                <w:rFonts w:cs="Arial"/>
                <w:b/>
                <w:sz w:val="22"/>
                <w:szCs w:val="22"/>
              </w:rPr>
              <w:t xml:space="preserve"> Moderately Exceeds </w:t>
            </w:r>
            <w:proofErr w:type="spellStart"/>
            <w:r w:rsidR="00545149">
              <w:rPr>
                <w:rFonts w:cs="Arial"/>
                <w:b/>
                <w:sz w:val="22"/>
                <w:szCs w:val="22"/>
              </w:rPr>
              <w:t>Expectatioins</w:t>
            </w:r>
            <w:proofErr w:type="spellEnd"/>
          </w:p>
        </w:tc>
        <w:tc>
          <w:tcPr>
            <w:tcW w:w="673" w:type="dxa"/>
            <w:tcBorders>
              <w:top w:val="single" w:sz="4" w:space="0" w:color="auto"/>
              <w:left w:val="single" w:sz="4" w:space="0" w:color="auto"/>
              <w:bottom w:val="single" w:sz="4" w:space="0" w:color="auto"/>
              <w:right w:val="single" w:sz="4" w:space="0" w:color="auto"/>
            </w:tcBorders>
          </w:tcPr>
          <w:p w14:paraId="357D8D0E" w14:textId="77777777" w:rsidR="004D2FC0" w:rsidRPr="003F6641" w:rsidRDefault="004D2FC0" w:rsidP="00FC16A6">
            <w:pPr>
              <w:rPr>
                <w:rFonts w:cs="Arial"/>
                <w:b/>
                <w:sz w:val="22"/>
                <w:szCs w:val="22"/>
              </w:rPr>
            </w:pPr>
          </w:p>
        </w:tc>
        <w:tc>
          <w:tcPr>
            <w:tcW w:w="848" w:type="dxa"/>
            <w:tcBorders>
              <w:top w:val="single" w:sz="4" w:space="0" w:color="auto"/>
              <w:left w:val="single" w:sz="4" w:space="0" w:color="auto"/>
              <w:bottom w:val="single" w:sz="4" w:space="0" w:color="auto"/>
              <w:right w:val="single" w:sz="4" w:space="0" w:color="auto"/>
            </w:tcBorders>
          </w:tcPr>
          <w:p w14:paraId="2C992B7A" w14:textId="77777777" w:rsidR="004D2FC0" w:rsidRPr="003F6641" w:rsidRDefault="004D2FC0" w:rsidP="00FC16A6">
            <w:pPr>
              <w:rPr>
                <w:rFonts w:cs="Arial"/>
                <w:b/>
                <w:sz w:val="22"/>
                <w:szCs w:val="22"/>
              </w:rPr>
            </w:pPr>
          </w:p>
        </w:tc>
        <w:tc>
          <w:tcPr>
            <w:tcW w:w="848" w:type="dxa"/>
            <w:tcBorders>
              <w:top w:val="single" w:sz="4" w:space="0" w:color="auto"/>
              <w:left w:val="single" w:sz="4" w:space="0" w:color="auto"/>
              <w:bottom w:val="single" w:sz="4" w:space="0" w:color="auto"/>
              <w:right w:val="single" w:sz="4" w:space="0" w:color="auto"/>
            </w:tcBorders>
          </w:tcPr>
          <w:p w14:paraId="0B25B58D" w14:textId="77777777" w:rsidR="004D2FC0" w:rsidRPr="003F6641" w:rsidRDefault="004D2FC0" w:rsidP="00FC16A6">
            <w:pPr>
              <w:rPr>
                <w:rFonts w:cs="Arial"/>
                <w:b/>
                <w:sz w:val="22"/>
                <w:szCs w:val="22"/>
              </w:rPr>
            </w:pPr>
          </w:p>
        </w:tc>
        <w:tc>
          <w:tcPr>
            <w:tcW w:w="847" w:type="dxa"/>
            <w:tcBorders>
              <w:top w:val="single" w:sz="4" w:space="0" w:color="auto"/>
              <w:left w:val="single" w:sz="4" w:space="0" w:color="auto"/>
              <w:bottom w:val="single" w:sz="4" w:space="0" w:color="auto"/>
              <w:right w:val="single" w:sz="4" w:space="0" w:color="auto"/>
            </w:tcBorders>
          </w:tcPr>
          <w:p w14:paraId="40B2879D" w14:textId="77777777" w:rsidR="004D2FC0" w:rsidRPr="003F6641" w:rsidRDefault="004D2FC0" w:rsidP="00FC16A6">
            <w:pPr>
              <w:rPr>
                <w:rFonts w:cs="Arial"/>
                <w:b/>
                <w:sz w:val="22"/>
                <w:szCs w:val="22"/>
              </w:rPr>
            </w:pPr>
          </w:p>
        </w:tc>
        <w:tc>
          <w:tcPr>
            <w:tcW w:w="848" w:type="dxa"/>
            <w:tcBorders>
              <w:top w:val="single" w:sz="4" w:space="0" w:color="auto"/>
              <w:left w:val="single" w:sz="4" w:space="0" w:color="auto"/>
              <w:bottom w:val="single" w:sz="4" w:space="0" w:color="auto"/>
              <w:right w:val="single" w:sz="4" w:space="0" w:color="auto"/>
            </w:tcBorders>
          </w:tcPr>
          <w:p w14:paraId="1C095E04" w14:textId="77777777" w:rsidR="004D2FC0" w:rsidRPr="003F6641" w:rsidRDefault="004D2FC0" w:rsidP="00FC16A6">
            <w:pPr>
              <w:rPr>
                <w:rFonts w:cs="Arial"/>
                <w:b/>
                <w:sz w:val="22"/>
                <w:szCs w:val="22"/>
              </w:rPr>
            </w:pPr>
          </w:p>
        </w:tc>
        <w:tc>
          <w:tcPr>
            <w:tcW w:w="848" w:type="dxa"/>
            <w:tcBorders>
              <w:top w:val="single" w:sz="4" w:space="0" w:color="auto"/>
              <w:left w:val="single" w:sz="4" w:space="0" w:color="auto"/>
              <w:bottom w:val="single" w:sz="4" w:space="0" w:color="auto"/>
              <w:right w:val="single" w:sz="4" w:space="0" w:color="auto"/>
            </w:tcBorders>
          </w:tcPr>
          <w:p w14:paraId="2E6879F9" w14:textId="77777777" w:rsidR="004D2FC0" w:rsidRPr="003F6641" w:rsidRDefault="004D2FC0" w:rsidP="00FC16A6">
            <w:pPr>
              <w:rPr>
                <w:rFonts w:cs="Arial"/>
                <w:b/>
                <w:sz w:val="22"/>
                <w:szCs w:val="22"/>
              </w:rPr>
            </w:pPr>
          </w:p>
        </w:tc>
        <w:tc>
          <w:tcPr>
            <w:tcW w:w="848" w:type="dxa"/>
            <w:tcBorders>
              <w:top w:val="single" w:sz="4" w:space="0" w:color="auto"/>
              <w:left w:val="single" w:sz="4" w:space="0" w:color="auto"/>
              <w:bottom w:val="single" w:sz="4" w:space="0" w:color="auto"/>
              <w:right w:val="single" w:sz="4" w:space="0" w:color="auto"/>
            </w:tcBorders>
          </w:tcPr>
          <w:p w14:paraId="791C19F9" w14:textId="77777777" w:rsidR="004D2FC0" w:rsidRPr="003F6641" w:rsidRDefault="004D2FC0" w:rsidP="00FC16A6">
            <w:pPr>
              <w:rPr>
                <w:rFonts w:cs="Arial"/>
                <w:b/>
                <w:sz w:val="22"/>
                <w:szCs w:val="22"/>
              </w:rPr>
            </w:pPr>
          </w:p>
        </w:tc>
      </w:tr>
      <w:tr w:rsidR="00545149" w:rsidRPr="003F6641" w14:paraId="58491621" w14:textId="77777777" w:rsidTr="000425EB">
        <w:trPr>
          <w:trHeight w:val="309"/>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030DD62" w14:textId="77777777" w:rsidR="004D2FC0" w:rsidRPr="000425EB" w:rsidRDefault="004D2FC0" w:rsidP="00FC16A6">
            <w:pPr>
              <w:rPr>
                <w:rFonts w:cs="Arial"/>
                <w:b/>
                <w:bCs/>
                <w:sz w:val="22"/>
                <w:szCs w:val="22"/>
              </w:rPr>
            </w:pPr>
            <w:r w:rsidRPr="000425EB">
              <w:rPr>
                <w:rFonts w:cs="Arial"/>
                <w:b/>
                <w:bCs/>
                <w:sz w:val="22"/>
                <w:szCs w:val="22"/>
              </w:rPr>
              <w:t xml:space="preserve">Risk Rating </w:t>
            </w:r>
          </w:p>
        </w:tc>
        <w:tc>
          <w:tcPr>
            <w:tcW w:w="709" w:type="dxa"/>
            <w:tcBorders>
              <w:top w:val="single" w:sz="4" w:space="0" w:color="auto"/>
              <w:left w:val="single" w:sz="4" w:space="0" w:color="auto"/>
              <w:bottom w:val="single" w:sz="4" w:space="0" w:color="auto"/>
              <w:right w:val="single" w:sz="4" w:space="0" w:color="auto"/>
            </w:tcBorders>
          </w:tcPr>
          <w:p w14:paraId="1DA9D990" w14:textId="43F415E4" w:rsidR="004D2FC0" w:rsidRPr="003F6641" w:rsidRDefault="000F19B0" w:rsidP="00FC16A6">
            <w:pPr>
              <w:rPr>
                <w:rFonts w:cs="Arial"/>
                <w:b/>
                <w:sz w:val="22"/>
                <w:szCs w:val="22"/>
              </w:rPr>
            </w:pPr>
            <w:r>
              <w:rPr>
                <w:rFonts w:cs="Arial"/>
                <w:b/>
                <w:sz w:val="22"/>
                <w:szCs w:val="22"/>
              </w:rPr>
              <w:t>Minor</w:t>
            </w:r>
          </w:p>
        </w:tc>
        <w:tc>
          <w:tcPr>
            <w:tcW w:w="673" w:type="dxa"/>
            <w:tcBorders>
              <w:top w:val="single" w:sz="4" w:space="0" w:color="auto"/>
              <w:left w:val="single" w:sz="4" w:space="0" w:color="auto"/>
              <w:bottom w:val="single" w:sz="4" w:space="0" w:color="auto"/>
              <w:right w:val="single" w:sz="4" w:space="0" w:color="auto"/>
            </w:tcBorders>
          </w:tcPr>
          <w:p w14:paraId="180C1E97" w14:textId="77777777" w:rsidR="004D2FC0" w:rsidRPr="003F6641" w:rsidRDefault="004D2FC0" w:rsidP="00FC16A6">
            <w:pPr>
              <w:rPr>
                <w:rFonts w:cs="Arial"/>
                <w:b/>
                <w:sz w:val="22"/>
                <w:szCs w:val="22"/>
              </w:rPr>
            </w:pPr>
          </w:p>
        </w:tc>
        <w:tc>
          <w:tcPr>
            <w:tcW w:w="848" w:type="dxa"/>
            <w:tcBorders>
              <w:top w:val="single" w:sz="4" w:space="0" w:color="auto"/>
              <w:left w:val="single" w:sz="4" w:space="0" w:color="auto"/>
              <w:bottom w:val="single" w:sz="4" w:space="0" w:color="auto"/>
              <w:right w:val="single" w:sz="4" w:space="0" w:color="auto"/>
            </w:tcBorders>
          </w:tcPr>
          <w:p w14:paraId="23FE3FF4" w14:textId="77777777" w:rsidR="004D2FC0" w:rsidRPr="003F6641" w:rsidRDefault="004D2FC0" w:rsidP="00FC16A6">
            <w:pPr>
              <w:rPr>
                <w:rFonts w:cs="Arial"/>
                <w:b/>
                <w:sz w:val="22"/>
                <w:szCs w:val="22"/>
              </w:rPr>
            </w:pPr>
          </w:p>
        </w:tc>
        <w:tc>
          <w:tcPr>
            <w:tcW w:w="848" w:type="dxa"/>
            <w:tcBorders>
              <w:top w:val="single" w:sz="4" w:space="0" w:color="auto"/>
              <w:left w:val="single" w:sz="4" w:space="0" w:color="auto"/>
              <w:bottom w:val="single" w:sz="4" w:space="0" w:color="auto"/>
              <w:right w:val="single" w:sz="4" w:space="0" w:color="auto"/>
            </w:tcBorders>
          </w:tcPr>
          <w:p w14:paraId="6BE836D9" w14:textId="77777777" w:rsidR="004D2FC0" w:rsidRPr="003F6641" w:rsidRDefault="004D2FC0" w:rsidP="00FC16A6">
            <w:pPr>
              <w:rPr>
                <w:rFonts w:cs="Arial"/>
                <w:b/>
                <w:sz w:val="22"/>
                <w:szCs w:val="22"/>
              </w:rPr>
            </w:pPr>
          </w:p>
        </w:tc>
        <w:tc>
          <w:tcPr>
            <w:tcW w:w="847" w:type="dxa"/>
            <w:tcBorders>
              <w:top w:val="single" w:sz="4" w:space="0" w:color="auto"/>
              <w:left w:val="single" w:sz="4" w:space="0" w:color="auto"/>
              <w:bottom w:val="single" w:sz="4" w:space="0" w:color="auto"/>
              <w:right w:val="single" w:sz="4" w:space="0" w:color="auto"/>
            </w:tcBorders>
          </w:tcPr>
          <w:p w14:paraId="468D2069" w14:textId="77777777" w:rsidR="004D2FC0" w:rsidRPr="003F6641" w:rsidRDefault="004D2FC0" w:rsidP="00FC16A6">
            <w:pPr>
              <w:rPr>
                <w:rFonts w:cs="Arial"/>
                <w:b/>
                <w:sz w:val="22"/>
                <w:szCs w:val="22"/>
              </w:rPr>
            </w:pPr>
          </w:p>
        </w:tc>
        <w:tc>
          <w:tcPr>
            <w:tcW w:w="848" w:type="dxa"/>
            <w:tcBorders>
              <w:top w:val="single" w:sz="4" w:space="0" w:color="auto"/>
              <w:left w:val="single" w:sz="4" w:space="0" w:color="auto"/>
              <w:bottom w:val="single" w:sz="4" w:space="0" w:color="auto"/>
              <w:right w:val="single" w:sz="4" w:space="0" w:color="auto"/>
            </w:tcBorders>
          </w:tcPr>
          <w:p w14:paraId="2F214678" w14:textId="77777777" w:rsidR="004D2FC0" w:rsidRPr="003F6641" w:rsidRDefault="004D2FC0" w:rsidP="00FC16A6">
            <w:pPr>
              <w:rPr>
                <w:rFonts w:cs="Arial"/>
                <w:b/>
                <w:sz w:val="22"/>
                <w:szCs w:val="22"/>
              </w:rPr>
            </w:pPr>
          </w:p>
        </w:tc>
        <w:tc>
          <w:tcPr>
            <w:tcW w:w="848" w:type="dxa"/>
            <w:tcBorders>
              <w:top w:val="single" w:sz="4" w:space="0" w:color="auto"/>
              <w:left w:val="single" w:sz="4" w:space="0" w:color="auto"/>
              <w:bottom w:val="single" w:sz="4" w:space="0" w:color="auto"/>
              <w:right w:val="single" w:sz="4" w:space="0" w:color="auto"/>
            </w:tcBorders>
          </w:tcPr>
          <w:p w14:paraId="2A9939C5" w14:textId="77777777" w:rsidR="004D2FC0" w:rsidRPr="003F6641" w:rsidRDefault="004D2FC0" w:rsidP="00FC16A6">
            <w:pPr>
              <w:rPr>
                <w:rFonts w:cs="Arial"/>
                <w:b/>
                <w:sz w:val="22"/>
                <w:szCs w:val="22"/>
              </w:rPr>
            </w:pPr>
          </w:p>
        </w:tc>
        <w:tc>
          <w:tcPr>
            <w:tcW w:w="848" w:type="dxa"/>
            <w:tcBorders>
              <w:top w:val="single" w:sz="4" w:space="0" w:color="auto"/>
              <w:left w:val="single" w:sz="4" w:space="0" w:color="auto"/>
              <w:bottom w:val="single" w:sz="4" w:space="0" w:color="auto"/>
              <w:right w:val="single" w:sz="4" w:space="0" w:color="auto"/>
            </w:tcBorders>
          </w:tcPr>
          <w:p w14:paraId="5349FBAE" w14:textId="77777777" w:rsidR="004D2FC0" w:rsidRPr="003F6641" w:rsidRDefault="004D2FC0" w:rsidP="00FC16A6">
            <w:pPr>
              <w:rPr>
                <w:rFonts w:cs="Arial"/>
                <w:b/>
                <w:sz w:val="22"/>
                <w:szCs w:val="22"/>
              </w:rPr>
            </w:pPr>
          </w:p>
        </w:tc>
      </w:tr>
    </w:tbl>
    <w:p w14:paraId="06E2DA9D" w14:textId="77777777" w:rsidR="004D2FC0" w:rsidRPr="003F6641" w:rsidRDefault="004D2FC0" w:rsidP="004D2FC0">
      <w:pPr>
        <w:rPr>
          <w:rFonts w:cs="Arial"/>
          <w:b/>
          <w:sz w:val="22"/>
          <w:szCs w:val="22"/>
        </w:rPr>
      </w:pPr>
    </w:p>
    <w:tbl>
      <w:tblPr>
        <w:tblStyle w:val="TableGrid"/>
        <w:tblW w:w="0" w:type="auto"/>
        <w:tblInd w:w="-5" w:type="dxa"/>
        <w:tblLook w:val="04A0" w:firstRow="1" w:lastRow="0" w:firstColumn="1" w:lastColumn="0" w:noHBand="0" w:noVBand="1"/>
      </w:tblPr>
      <w:tblGrid>
        <w:gridCol w:w="3969"/>
        <w:gridCol w:w="5052"/>
      </w:tblGrid>
      <w:tr w:rsidR="004D2FC0" w:rsidRPr="003F6641" w14:paraId="4FEBD36E" w14:textId="77777777" w:rsidTr="00495286">
        <w:trPr>
          <w:trHeight w:val="355"/>
        </w:trPr>
        <w:tc>
          <w:tcPr>
            <w:tcW w:w="3969" w:type="dxa"/>
            <w:shd w:val="clear" w:color="auto" w:fill="DEEAF6" w:themeFill="accent5" w:themeFillTint="33"/>
            <w:hideMark/>
          </w:tcPr>
          <w:p w14:paraId="47E97EB8" w14:textId="77777777" w:rsidR="004D2FC0" w:rsidRPr="000425EB" w:rsidRDefault="004D2FC0" w:rsidP="00FC16A6">
            <w:pPr>
              <w:rPr>
                <w:rFonts w:cs="Arial"/>
                <w:b/>
                <w:sz w:val="22"/>
                <w:szCs w:val="22"/>
              </w:rPr>
            </w:pPr>
            <w:r w:rsidRPr="000425EB">
              <w:rPr>
                <w:rFonts w:cs="Arial"/>
                <w:b/>
                <w:sz w:val="22"/>
                <w:szCs w:val="22"/>
              </w:rPr>
              <w:t xml:space="preserve">Link to Business Case: </w:t>
            </w:r>
          </w:p>
        </w:tc>
        <w:tc>
          <w:tcPr>
            <w:tcW w:w="5052" w:type="dxa"/>
          </w:tcPr>
          <w:p w14:paraId="63AF2FD5" w14:textId="77777777" w:rsidR="004D2FC0" w:rsidRPr="003F6641" w:rsidRDefault="004D2FC0" w:rsidP="00FC16A6">
            <w:pPr>
              <w:rPr>
                <w:rFonts w:cs="Arial"/>
                <w:bCs/>
                <w:i/>
                <w:iCs/>
                <w:sz w:val="22"/>
                <w:szCs w:val="22"/>
              </w:rPr>
            </w:pPr>
            <w:r w:rsidRPr="003F6641">
              <w:rPr>
                <w:rFonts w:cs="Arial"/>
                <w:bCs/>
                <w:i/>
                <w:iCs/>
                <w:sz w:val="22"/>
                <w:szCs w:val="22"/>
              </w:rPr>
              <w:t>Devtracker Link – If not published, ensure it is published before or alongside the Annual Review</w:t>
            </w:r>
          </w:p>
          <w:p w14:paraId="52CAFA29" w14:textId="77777777" w:rsidR="004D2FC0" w:rsidRPr="003F6641" w:rsidRDefault="004D2FC0" w:rsidP="00FC16A6">
            <w:pPr>
              <w:rPr>
                <w:rFonts w:cs="Arial"/>
                <w:bCs/>
                <w:i/>
                <w:iCs/>
                <w:sz w:val="22"/>
                <w:szCs w:val="22"/>
              </w:rPr>
            </w:pPr>
          </w:p>
        </w:tc>
      </w:tr>
      <w:tr w:rsidR="004D2FC0" w:rsidRPr="003F6641" w14:paraId="728A7692" w14:textId="77777777" w:rsidTr="00495286">
        <w:trPr>
          <w:trHeight w:val="403"/>
        </w:trPr>
        <w:tc>
          <w:tcPr>
            <w:tcW w:w="3969" w:type="dxa"/>
            <w:shd w:val="clear" w:color="auto" w:fill="DEEAF6" w:themeFill="accent5" w:themeFillTint="33"/>
            <w:hideMark/>
          </w:tcPr>
          <w:p w14:paraId="251B0951" w14:textId="77777777" w:rsidR="004D2FC0" w:rsidRPr="000425EB" w:rsidRDefault="004D2FC0" w:rsidP="00FC16A6">
            <w:pPr>
              <w:rPr>
                <w:rFonts w:cs="Arial"/>
                <w:b/>
                <w:i/>
                <w:sz w:val="22"/>
                <w:szCs w:val="22"/>
              </w:rPr>
            </w:pPr>
            <w:r w:rsidRPr="000425EB">
              <w:rPr>
                <w:rFonts w:cs="Arial"/>
                <w:b/>
                <w:sz w:val="22"/>
                <w:szCs w:val="22"/>
              </w:rPr>
              <w:t xml:space="preserve">Link to </w:t>
            </w:r>
            <w:proofErr w:type="spellStart"/>
            <w:r w:rsidRPr="000425EB">
              <w:rPr>
                <w:rFonts w:cs="Arial"/>
                <w:b/>
                <w:sz w:val="22"/>
                <w:szCs w:val="22"/>
              </w:rPr>
              <w:t>Logframe</w:t>
            </w:r>
            <w:proofErr w:type="spellEnd"/>
            <w:r w:rsidRPr="000425EB">
              <w:rPr>
                <w:rFonts w:cs="Arial"/>
                <w:b/>
                <w:sz w:val="22"/>
                <w:szCs w:val="22"/>
              </w:rPr>
              <w:t xml:space="preserve">: </w:t>
            </w:r>
          </w:p>
        </w:tc>
        <w:tc>
          <w:tcPr>
            <w:tcW w:w="5052" w:type="dxa"/>
          </w:tcPr>
          <w:p w14:paraId="1941208D" w14:textId="77777777" w:rsidR="004D2FC0" w:rsidRPr="003F6641" w:rsidRDefault="004D2FC0" w:rsidP="00FC16A6">
            <w:pPr>
              <w:rPr>
                <w:rFonts w:cs="Arial"/>
                <w:bCs/>
                <w:i/>
                <w:iCs/>
                <w:sz w:val="22"/>
                <w:szCs w:val="22"/>
              </w:rPr>
            </w:pPr>
            <w:r w:rsidRPr="003F6641">
              <w:rPr>
                <w:rFonts w:cs="Arial"/>
                <w:bCs/>
                <w:i/>
                <w:iCs/>
                <w:sz w:val="22"/>
                <w:szCs w:val="22"/>
              </w:rPr>
              <w:t>Devtracker Link – If not published, ensure it is published before or alongside the Annual Review</w:t>
            </w:r>
          </w:p>
        </w:tc>
      </w:tr>
      <w:tr w:rsidR="004D2FC0" w:rsidRPr="003F6641" w14:paraId="240D100A" w14:textId="77777777" w:rsidTr="00495286">
        <w:trPr>
          <w:trHeight w:val="403"/>
        </w:trPr>
        <w:tc>
          <w:tcPr>
            <w:tcW w:w="3969" w:type="dxa"/>
            <w:shd w:val="clear" w:color="auto" w:fill="DEEAF6" w:themeFill="accent5" w:themeFillTint="33"/>
          </w:tcPr>
          <w:p w14:paraId="44F3A577" w14:textId="77777777" w:rsidR="004D2FC0" w:rsidRPr="000425EB" w:rsidRDefault="004D2FC0" w:rsidP="00FC16A6">
            <w:pPr>
              <w:rPr>
                <w:rFonts w:cs="Arial"/>
                <w:b/>
                <w:sz w:val="22"/>
                <w:szCs w:val="22"/>
              </w:rPr>
            </w:pPr>
            <w:r w:rsidRPr="000425EB">
              <w:rPr>
                <w:rFonts w:cs="Arial"/>
                <w:b/>
                <w:sz w:val="22"/>
                <w:szCs w:val="22"/>
              </w:rPr>
              <w:t xml:space="preserve">Link to previous Annual Review </w:t>
            </w:r>
            <w:r w:rsidRPr="000425EB">
              <w:rPr>
                <w:rFonts w:cs="Arial"/>
                <w:bCs/>
                <w:sz w:val="22"/>
                <w:szCs w:val="22"/>
              </w:rPr>
              <w:t>(if appropriate)</w:t>
            </w:r>
          </w:p>
        </w:tc>
        <w:tc>
          <w:tcPr>
            <w:tcW w:w="5052" w:type="dxa"/>
          </w:tcPr>
          <w:p w14:paraId="521FABC2" w14:textId="77777777" w:rsidR="004D2FC0" w:rsidRPr="003F6641" w:rsidRDefault="004D2FC0" w:rsidP="00FC16A6">
            <w:pPr>
              <w:rPr>
                <w:rFonts w:cs="Arial"/>
                <w:bCs/>
                <w:i/>
                <w:iCs/>
                <w:sz w:val="22"/>
                <w:szCs w:val="22"/>
              </w:rPr>
            </w:pPr>
            <w:r w:rsidRPr="003F6641">
              <w:rPr>
                <w:rFonts w:cs="Arial"/>
                <w:bCs/>
                <w:i/>
                <w:iCs/>
                <w:sz w:val="22"/>
                <w:szCs w:val="22"/>
              </w:rPr>
              <w:t>Devtracker Link (if applicable)</w:t>
            </w:r>
          </w:p>
        </w:tc>
      </w:tr>
    </w:tbl>
    <w:p w14:paraId="5A54EF7F" w14:textId="77777777" w:rsidR="004D2FC0" w:rsidRPr="006C516E" w:rsidRDefault="004D2FC0" w:rsidP="006C516E"/>
    <w:p w14:paraId="7A642962" w14:textId="77777777" w:rsidR="003D222C" w:rsidRPr="009E3F6E" w:rsidRDefault="003D222C" w:rsidP="004D5FD5">
      <w:pPr>
        <w:jc w:val="both"/>
      </w:pPr>
      <w:bookmarkStart w:id="1" w:name="_Toc1588744456"/>
      <w:r w:rsidRPr="527A8EFF">
        <w:rPr>
          <w:rStyle w:val="Heading2Char"/>
        </w:rPr>
        <w:t>Description of programme</w:t>
      </w:r>
      <w:bookmarkEnd w:id="1"/>
      <w:r>
        <w:t xml:space="preserve"> [1-2 paragraphs]</w:t>
      </w:r>
    </w:p>
    <w:p w14:paraId="6F9482AB" w14:textId="77777777" w:rsidR="003D222C" w:rsidRPr="00D80C6C" w:rsidRDefault="003D222C" w:rsidP="004D5FD5">
      <w:pPr>
        <w:jc w:val="both"/>
        <w:rPr>
          <w:rFonts w:cs="Arial"/>
          <w:b/>
          <w:sz w:val="22"/>
          <w:szCs w:val="22"/>
        </w:rPr>
      </w:pPr>
    </w:p>
    <w:p w14:paraId="569F1D41" w14:textId="7B13FEDA" w:rsidR="00831358" w:rsidRPr="00742718" w:rsidRDefault="00831358" w:rsidP="00831358">
      <w:pPr>
        <w:rPr>
          <w:sz w:val="20"/>
          <w:szCs w:val="22"/>
        </w:rPr>
      </w:pPr>
      <w:r w:rsidRPr="00742718">
        <w:rPr>
          <w:sz w:val="20"/>
          <w:szCs w:val="22"/>
        </w:rPr>
        <w:t>The CETP leverages IEA Members’ commitment and the all-fuels and all-technologies expertise of the IEA to better support and help accelerate global clean energy transitions, particularly in major emerging economies. The CETP aims to provide cutting-edge technical assistance and capacity building to governments whose energy policies will significantly influence prospects for, and the speed of, a global transition towards more sustainable energy production and use. The Programme aims for reductions in GHG emissions in line with the objectives of the Paris Agreement and countries’ own targets, to enhance energy access and reduce air pollution. Priority countries include Brazil, India, Indonesia, South Africa,</w:t>
      </w:r>
      <w:r>
        <w:rPr>
          <w:sz w:val="20"/>
          <w:szCs w:val="22"/>
        </w:rPr>
        <w:t xml:space="preserve"> and </w:t>
      </w:r>
      <w:r w:rsidRPr="00545149">
        <w:rPr>
          <w:sz w:val="20"/>
          <w:szCs w:val="22"/>
        </w:rPr>
        <w:t>Ukraine</w:t>
      </w:r>
      <w:r w:rsidRPr="00742718">
        <w:rPr>
          <w:sz w:val="20"/>
          <w:szCs w:val="22"/>
        </w:rPr>
        <w:t xml:space="preserve"> as well </w:t>
      </w:r>
      <w:r>
        <w:rPr>
          <w:sz w:val="20"/>
          <w:szCs w:val="22"/>
        </w:rPr>
        <w:t xml:space="preserve">as regional work in </w:t>
      </w:r>
      <w:r w:rsidRPr="00831358">
        <w:rPr>
          <w:sz w:val="20"/>
          <w:szCs w:val="22"/>
        </w:rPr>
        <w:t>Latin America, South-East Asia, and Africa</w:t>
      </w:r>
    </w:p>
    <w:p w14:paraId="31322C24" w14:textId="77777777" w:rsidR="00831358" w:rsidRPr="00742718" w:rsidRDefault="00831358" w:rsidP="00831358">
      <w:pPr>
        <w:rPr>
          <w:sz w:val="20"/>
          <w:szCs w:val="22"/>
        </w:rPr>
      </w:pPr>
    </w:p>
    <w:p w14:paraId="6CD43FA3" w14:textId="6B819D25" w:rsidR="00831358" w:rsidRPr="00742718" w:rsidRDefault="00831358" w:rsidP="00831358">
      <w:pPr>
        <w:rPr>
          <w:sz w:val="20"/>
          <w:szCs w:val="22"/>
        </w:rPr>
      </w:pPr>
      <w:r w:rsidRPr="00742718">
        <w:rPr>
          <w:sz w:val="20"/>
          <w:szCs w:val="22"/>
        </w:rPr>
        <w:t>The transformative outcomes sought by the CETP entail close collaboration with governments to achieve effective actions driven by each priority country’s objectives. This is being achieved through iterative discussions, workshops and exchanges, and in accordance with joint work programmes between the IEA and relevant partners based on consultations with each priority country, building upon the IEA’s long-standing relationships (including at the ministerial level) and reflecting the challenges they are facing in their clean energy transitions. The programme focuses on areas which allow the IEA to draw on its particular strengths and capabilities and that can make a material difference in target countries</w:t>
      </w:r>
      <w:r>
        <w:rPr>
          <w:sz w:val="20"/>
          <w:szCs w:val="22"/>
        </w:rPr>
        <w:t xml:space="preserve">, including </w:t>
      </w:r>
      <w:proofErr w:type="spellStart"/>
      <w:r w:rsidRPr="00742718">
        <w:rPr>
          <w:sz w:val="20"/>
          <w:szCs w:val="22"/>
        </w:rPr>
        <w:t>i</w:t>
      </w:r>
      <w:proofErr w:type="spellEnd"/>
      <w:r w:rsidRPr="00742718">
        <w:rPr>
          <w:sz w:val="20"/>
          <w:szCs w:val="22"/>
        </w:rPr>
        <w:t xml:space="preserve">) data and statistics; ii) energy efficiency; iii) renewable energy and system integration; iv) policy advice and modelling; v) sectoral work; vi) innovation </w:t>
      </w:r>
      <w:r>
        <w:rPr>
          <w:sz w:val="20"/>
          <w:szCs w:val="22"/>
        </w:rPr>
        <w:t xml:space="preserve">and </w:t>
      </w:r>
      <w:r w:rsidRPr="00742718">
        <w:rPr>
          <w:sz w:val="20"/>
          <w:szCs w:val="22"/>
        </w:rPr>
        <w:t>vii), digitalisation.</w:t>
      </w:r>
    </w:p>
    <w:p w14:paraId="36448C51" w14:textId="4BC16DD3" w:rsidR="003D222C" w:rsidRPr="00D80C6C" w:rsidRDefault="003D222C" w:rsidP="00831358">
      <w:pPr>
        <w:jc w:val="both"/>
        <w:rPr>
          <w:rFonts w:cs="Arial"/>
          <w:sz w:val="22"/>
          <w:szCs w:val="22"/>
        </w:rPr>
      </w:pPr>
    </w:p>
    <w:p w14:paraId="58574625" w14:textId="77777777" w:rsidR="009E3F6E" w:rsidRDefault="009E3F6E" w:rsidP="004D5FD5">
      <w:pPr>
        <w:jc w:val="both"/>
      </w:pPr>
    </w:p>
    <w:p w14:paraId="5276E7EE" w14:textId="10318F68" w:rsidR="003D222C" w:rsidRDefault="003D222C" w:rsidP="004D5FD5">
      <w:pPr>
        <w:jc w:val="both"/>
      </w:pPr>
      <w:bookmarkStart w:id="2" w:name="_Toc1066357791"/>
      <w:r w:rsidRPr="527A8EFF">
        <w:rPr>
          <w:rStyle w:val="Heading2Char"/>
        </w:rPr>
        <w:t>Summary of progress and supporting narrative for the overall score</w:t>
      </w:r>
      <w:bookmarkEnd w:id="2"/>
      <w:r w:rsidR="00A86616">
        <w:t xml:space="preserve"> </w:t>
      </w:r>
      <w:r>
        <w:t>[1/2 page]</w:t>
      </w:r>
    </w:p>
    <w:p w14:paraId="19FB68FA" w14:textId="77777777" w:rsidR="00427F4A" w:rsidRDefault="00427F4A" w:rsidP="004D5FD5">
      <w:pPr>
        <w:jc w:val="both"/>
      </w:pPr>
    </w:p>
    <w:p w14:paraId="0567CBD5" w14:textId="25BEFCCF" w:rsidR="00427F4A" w:rsidRPr="002A6E60" w:rsidRDefault="00DB46AE" w:rsidP="00427F4A">
      <w:pPr>
        <w:rPr>
          <w:rFonts w:cs="Arial"/>
          <w:color w:val="000000" w:themeColor="text1"/>
          <w:sz w:val="20"/>
          <w:szCs w:val="22"/>
        </w:rPr>
      </w:pPr>
      <w:r w:rsidRPr="002A6E60">
        <w:rPr>
          <w:rFonts w:cs="Arial"/>
          <w:color w:val="000000" w:themeColor="text1"/>
          <w:sz w:val="20"/>
          <w:szCs w:val="22"/>
        </w:rPr>
        <w:t>T</w:t>
      </w:r>
      <w:r w:rsidR="00427F4A" w:rsidRPr="002A6E60">
        <w:rPr>
          <w:rFonts w:cs="Arial"/>
          <w:color w:val="000000" w:themeColor="text1"/>
          <w:sz w:val="20"/>
          <w:szCs w:val="22"/>
        </w:rPr>
        <w:t>he CETP has continued to effectively deliver a wide range of activity across all the key programme themes and outputs in all target countries with sound and growing evidence of transformational change as a result</w:t>
      </w:r>
      <w:r w:rsidR="007D0FB0" w:rsidRPr="002A6E60">
        <w:rPr>
          <w:rFonts w:cs="Arial"/>
          <w:color w:val="000000" w:themeColor="text1"/>
          <w:sz w:val="20"/>
          <w:szCs w:val="22"/>
        </w:rPr>
        <w:t xml:space="preserve">, </w:t>
      </w:r>
      <w:r w:rsidR="007D0FB0" w:rsidRPr="00C343B5">
        <w:rPr>
          <w:rFonts w:cs="Arial"/>
          <w:color w:val="000000" w:themeColor="text1"/>
          <w:sz w:val="20"/>
          <w:szCs w:val="22"/>
        </w:rPr>
        <w:t>reflected in the assessment against key technical assistance KPIs</w:t>
      </w:r>
      <w:r w:rsidR="00427F4A" w:rsidRPr="00C343B5">
        <w:rPr>
          <w:rFonts w:cs="Arial"/>
          <w:color w:val="000000" w:themeColor="text1"/>
          <w:sz w:val="20"/>
          <w:szCs w:val="22"/>
        </w:rPr>
        <w:t>.</w:t>
      </w:r>
      <w:r w:rsidR="00427F4A" w:rsidRPr="002A6E60">
        <w:rPr>
          <w:rFonts w:cs="Arial"/>
          <w:color w:val="000000" w:themeColor="text1"/>
          <w:sz w:val="20"/>
          <w:szCs w:val="22"/>
        </w:rPr>
        <w:t xml:space="preserve"> </w:t>
      </w:r>
    </w:p>
    <w:p w14:paraId="7A0360C6" w14:textId="77777777" w:rsidR="00427F4A" w:rsidRPr="002A6E60" w:rsidRDefault="00427F4A" w:rsidP="00427F4A">
      <w:pPr>
        <w:rPr>
          <w:rFonts w:cs="Arial"/>
          <w:color w:val="000000" w:themeColor="text1"/>
          <w:sz w:val="20"/>
          <w:szCs w:val="22"/>
        </w:rPr>
      </w:pPr>
    </w:p>
    <w:p w14:paraId="003A76FE" w14:textId="2D6030D5" w:rsidR="00A272BF" w:rsidRPr="00A272BF" w:rsidRDefault="007D0FB0" w:rsidP="00A272BF">
      <w:pPr>
        <w:rPr>
          <w:rFonts w:cs="Arial"/>
          <w:color w:val="000000"/>
          <w:sz w:val="20"/>
          <w:szCs w:val="20"/>
          <w:lang w:eastAsia="en-GB"/>
        </w:rPr>
      </w:pPr>
      <w:proofErr w:type="gramStart"/>
      <w:r w:rsidRPr="7F7619C6">
        <w:rPr>
          <w:rFonts w:cs="Arial"/>
          <w:color w:val="000000" w:themeColor="text1"/>
          <w:sz w:val="20"/>
          <w:szCs w:val="20"/>
        </w:rPr>
        <w:t>The vast majority of</w:t>
      </w:r>
      <w:proofErr w:type="gramEnd"/>
      <w:r w:rsidRPr="7F7619C6">
        <w:rPr>
          <w:rFonts w:cs="Arial"/>
          <w:color w:val="000000" w:themeColor="text1"/>
          <w:sz w:val="20"/>
          <w:szCs w:val="20"/>
        </w:rPr>
        <w:t xml:space="preserve"> </w:t>
      </w:r>
      <w:r w:rsidR="000E70A2" w:rsidRPr="7F7619C6">
        <w:rPr>
          <w:rFonts w:cs="Arial"/>
          <w:color w:val="000000" w:themeColor="text1"/>
          <w:sz w:val="20"/>
          <w:szCs w:val="20"/>
        </w:rPr>
        <w:t>ou</w:t>
      </w:r>
      <w:r w:rsidR="006E7132" w:rsidRPr="7F7619C6">
        <w:rPr>
          <w:rFonts w:cs="Arial"/>
          <w:color w:val="000000" w:themeColor="text1"/>
          <w:sz w:val="20"/>
          <w:szCs w:val="20"/>
        </w:rPr>
        <w:t>t</w:t>
      </w:r>
      <w:r w:rsidR="000E70A2" w:rsidRPr="7F7619C6">
        <w:rPr>
          <w:rFonts w:cs="Arial"/>
          <w:color w:val="000000" w:themeColor="text1"/>
          <w:sz w:val="20"/>
          <w:szCs w:val="20"/>
        </w:rPr>
        <w:t xml:space="preserve">put milestones </w:t>
      </w:r>
      <w:r w:rsidR="004D3CCC" w:rsidRPr="7F7619C6">
        <w:rPr>
          <w:rFonts w:cs="Arial"/>
          <w:color w:val="000000" w:themeColor="text1"/>
          <w:sz w:val="20"/>
          <w:szCs w:val="20"/>
        </w:rPr>
        <w:t>have been met or exceeded</w:t>
      </w:r>
      <w:r w:rsidR="000235CD" w:rsidRPr="7F7619C6">
        <w:rPr>
          <w:rFonts w:cs="Arial"/>
          <w:color w:val="000000" w:themeColor="text1"/>
          <w:sz w:val="20"/>
          <w:szCs w:val="20"/>
        </w:rPr>
        <w:t xml:space="preserve"> (80%) with a </w:t>
      </w:r>
      <w:r w:rsidR="005724CF" w:rsidRPr="7F7619C6">
        <w:rPr>
          <w:rFonts w:cs="Arial"/>
          <w:color w:val="000000" w:themeColor="text1"/>
          <w:sz w:val="20"/>
          <w:szCs w:val="20"/>
        </w:rPr>
        <w:t>significant</w:t>
      </w:r>
      <w:r w:rsidR="000235CD" w:rsidRPr="7F7619C6">
        <w:rPr>
          <w:rFonts w:cs="Arial"/>
          <w:color w:val="000000" w:themeColor="text1"/>
          <w:sz w:val="20"/>
          <w:szCs w:val="20"/>
        </w:rPr>
        <w:t xml:space="preserve"> </w:t>
      </w:r>
      <w:r w:rsidR="005724CF" w:rsidRPr="7F7619C6">
        <w:rPr>
          <w:rFonts w:cs="Arial"/>
          <w:color w:val="000000" w:themeColor="text1"/>
          <w:sz w:val="20"/>
          <w:szCs w:val="20"/>
        </w:rPr>
        <w:t>n</w:t>
      </w:r>
      <w:r w:rsidR="000235CD" w:rsidRPr="7F7619C6">
        <w:rPr>
          <w:rFonts w:cs="Arial"/>
          <w:color w:val="000000" w:themeColor="text1"/>
          <w:sz w:val="20"/>
          <w:szCs w:val="20"/>
        </w:rPr>
        <w:t>u</w:t>
      </w:r>
      <w:r w:rsidR="005724CF" w:rsidRPr="7F7619C6">
        <w:rPr>
          <w:rFonts w:cs="Arial"/>
          <w:color w:val="000000" w:themeColor="text1"/>
          <w:sz w:val="20"/>
          <w:szCs w:val="20"/>
        </w:rPr>
        <w:t>m</w:t>
      </w:r>
      <w:r w:rsidR="000235CD" w:rsidRPr="7F7619C6">
        <w:rPr>
          <w:rFonts w:cs="Arial"/>
          <w:color w:val="000000" w:themeColor="text1"/>
          <w:sz w:val="20"/>
          <w:szCs w:val="20"/>
        </w:rPr>
        <w:t xml:space="preserve">ber </w:t>
      </w:r>
      <w:r w:rsidR="005724CF" w:rsidRPr="7F7619C6">
        <w:rPr>
          <w:rFonts w:cs="Arial"/>
          <w:color w:val="000000" w:themeColor="text1"/>
          <w:sz w:val="20"/>
          <w:szCs w:val="20"/>
        </w:rPr>
        <w:t>of milestones being substantially exceeded</w:t>
      </w:r>
      <w:r w:rsidR="00CB1465" w:rsidRPr="7F7619C6">
        <w:rPr>
          <w:rFonts w:cs="Arial"/>
          <w:color w:val="000000" w:themeColor="text1"/>
          <w:sz w:val="20"/>
          <w:szCs w:val="20"/>
        </w:rPr>
        <w:t xml:space="preserve"> (28%)</w:t>
      </w:r>
      <w:r w:rsidR="00871CE7" w:rsidRPr="7F7619C6">
        <w:rPr>
          <w:rFonts w:cs="Arial"/>
          <w:color w:val="000000" w:themeColor="text1"/>
          <w:sz w:val="20"/>
          <w:szCs w:val="20"/>
        </w:rPr>
        <w:t xml:space="preserve"> with high levels of satisfaction being recorded </w:t>
      </w:r>
      <w:r w:rsidR="008C7043" w:rsidRPr="7F7619C6">
        <w:rPr>
          <w:rFonts w:cs="Arial"/>
          <w:color w:val="000000" w:themeColor="text1"/>
          <w:sz w:val="20"/>
          <w:szCs w:val="20"/>
        </w:rPr>
        <w:t>for activities delivered by the programme</w:t>
      </w:r>
      <w:r w:rsidR="002A6E60" w:rsidRPr="7F7619C6">
        <w:rPr>
          <w:rFonts w:cs="Arial"/>
          <w:color w:val="000000" w:themeColor="text1"/>
          <w:sz w:val="20"/>
          <w:szCs w:val="20"/>
        </w:rPr>
        <w:t xml:space="preserve">. </w:t>
      </w:r>
      <w:r w:rsidR="00763744" w:rsidRPr="7F7619C6">
        <w:rPr>
          <w:rFonts w:cs="Arial"/>
          <w:color w:val="000000" w:themeColor="text1"/>
          <w:sz w:val="20"/>
          <w:szCs w:val="20"/>
        </w:rPr>
        <w:t xml:space="preserve">The </w:t>
      </w:r>
      <w:r w:rsidR="008C25BD" w:rsidRPr="7F7619C6">
        <w:rPr>
          <w:rFonts w:cs="Arial"/>
          <w:color w:val="000000" w:themeColor="text1"/>
          <w:sz w:val="20"/>
          <w:szCs w:val="20"/>
        </w:rPr>
        <w:t xml:space="preserve">programme continues to </w:t>
      </w:r>
      <w:r w:rsidR="004E6541" w:rsidRPr="7F7619C6">
        <w:rPr>
          <w:rFonts w:cs="Arial"/>
          <w:color w:val="000000" w:themeColor="text1"/>
          <w:sz w:val="20"/>
          <w:szCs w:val="20"/>
        </w:rPr>
        <w:t xml:space="preserve">focus on retaining, managing and enhancing the high-level engagement with senior leadership and decision-makers in target countries </w:t>
      </w:r>
      <w:r w:rsidR="00333657" w:rsidRPr="7F7619C6">
        <w:rPr>
          <w:rFonts w:cs="Arial"/>
          <w:color w:val="000000" w:themeColor="text1"/>
          <w:sz w:val="20"/>
          <w:szCs w:val="20"/>
        </w:rPr>
        <w:t>(324 high level meetings held in 20</w:t>
      </w:r>
      <w:r w:rsidR="00471F23" w:rsidRPr="7F7619C6">
        <w:rPr>
          <w:rFonts w:cs="Arial"/>
          <w:color w:val="000000" w:themeColor="text1"/>
          <w:sz w:val="20"/>
          <w:szCs w:val="20"/>
        </w:rPr>
        <w:t xml:space="preserve">24) </w:t>
      </w:r>
      <w:r w:rsidR="004E6541" w:rsidRPr="7F7619C6">
        <w:rPr>
          <w:rFonts w:cs="Arial"/>
          <w:color w:val="000000" w:themeColor="text1"/>
          <w:sz w:val="20"/>
          <w:szCs w:val="20"/>
        </w:rPr>
        <w:t xml:space="preserve">that </w:t>
      </w:r>
      <w:r w:rsidR="00735E7A" w:rsidRPr="7F7619C6">
        <w:rPr>
          <w:rFonts w:cs="Arial"/>
          <w:color w:val="000000" w:themeColor="text1"/>
          <w:sz w:val="20"/>
          <w:szCs w:val="20"/>
        </w:rPr>
        <w:t>ensures that the programm</w:t>
      </w:r>
      <w:r w:rsidR="00825F4F" w:rsidRPr="7F7619C6">
        <w:rPr>
          <w:rFonts w:cs="Arial"/>
          <w:color w:val="000000" w:themeColor="text1"/>
          <w:sz w:val="20"/>
          <w:szCs w:val="20"/>
        </w:rPr>
        <w:t>e</w:t>
      </w:r>
      <w:r w:rsidR="00735E7A" w:rsidRPr="7F7619C6">
        <w:rPr>
          <w:rFonts w:cs="Arial"/>
          <w:color w:val="000000" w:themeColor="text1"/>
          <w:sz w:val="20"/>
          <w:szCs w:val="20"/>
        </w:rPr>
        <w:t xml:space="preserve"> remains needs-drive</w:t>
      </w:r>
      <w:r w:rsidR="00825F4F" w:rsidRPr="7F7619C6">
        <w:rPr>
          <w:rFonts w:cs="Arial"/>
          <w:color w:val="000000" w:themeColor="text1"/>
          <w:sz w:val="20"/>
          <w:szCs w:val="20"/>
        </w:rPr>
        <w:t xml:space="preserve">n and provides the “permission structures” for key officials </w:t>
      </w:r>
      <w:r w:rsidR="006D3D53" w:rsidRPr="7F7619C6">
        <w:rPr>
          <w:rFonts w:cs="Arial"/>
          <w:color w:val="000000" w:themeColor="text1"/>
          <w:sz w:val="20"/>
          <w:szCs w:val="20"/>
        </w:rPr>
        <w:t xml:space="preserve">to engage with the technical exchanges </w:t>
      </w:r>
      <w:r w:rsidR="004265F5" w:rsidRPr="7F7619C6">
        <w:rPr>
          <w:rFonts w:cs="Arial"/>
          <w:color w:val="000000" w:themeColor="text1"/>
          <w:sz w:val="20"/>
          <w:szCs w:val="20"/>
        </w:rPr>
        <w:t xml:space="preserve">                             </w:t>
      </w:r>
      <w:r w:rsidR="006D3D53" w:rsidRPr="7F7619C6">
        <w:rPr>
          <w:rFonts w:cs="Arial"/>
          <w:color w:val="000000" w:themeColor="text1"/>
          <w:sz w:val="20"/>
          <w:szCs w:val="20"/>
        </w:rPr>
        <w:t xml:space="preserve">and </w:t>
      </w:r>
      <w:r w:rsidR="00471F23" w:rsidRPr="7F7619C6">
        <w:rPr>
          <w:rFonts w:cs="Arial"/>
          <w:color w:val="000000" w:themeColor="text1"/>
          <w:sz w:val="20"/>
          <w:szCs w:val="20"/>
        </w:rPr>
        <w:t>workshops (</w:t>
      </w:r>
      <w:r w:rsidR="005D0D30" w:rsidRPr="7F7619C6">
        <w:rPr>
          <w:rFonts w:cs="Arial"/>
          <w:color w:val="000000" w:themeColor="text1"/>
          <w:sz w:val="20"/>
          <w:szCs w:val="20"/>
        </w:rPr>
        <w:t>735 workshops and technical exchanges involving more than 12 000 participants held in 2024)</w:t>
      </w:r>
      <w:r w:rsidR="006D3D53" w:rsidRPr="7F7619C6">
        <w:rPr>
          <w:rFonts w:cs="Arial"/>
          <w:color w:val="000000" w:themeColor="text1"/>
          <w:sz w:val="20"/>
          <w:szCs w:val="20"/>
        </w:rPr>
        <w:t xml:space="preserve"> that form the core of the programme</w:t>
      </w:r>
      <w:r w:rsidR="00825F4F" w:rsidRPr="7F7619C6">
        <w:rPr>
          <w:rFonts w:cs="Arial"/>
          <w:color w:val="000000" w:themeColor="text1"/>
          <w:sz w:val="20"/>
          <w:szCs w:val="20"/>
        </w:rPr>
        <w:t xml:space="preserve"> </w:t>
      </w:r>
      <w:r w:rsidR="00A87B8B" w:rsidRPr="7F7619C6">
        <w:rPr>
          <w:rFonts w:cs="Arial"/>
          <w:color w:val="000000" w:themeColor="text1"/>
          <w:sz w:val="20"/>
          <w:szCs w:val="20"/>
        </w:rPr>
        <w:t>and helps provide clear avenues for products, analysis and recommendations generated to feed into thos</w:t>
      </w:r>
      <w:r w:rsidR="00DD3100" w:rsidRPr="7F7619C6">
        <w:rPr>
          <w:rFonts w:cs="Arial"/>
          <w:color w:val="000000" w:themeColor="text1"/>
          <w:sz w:val="20"/>
          <w:szCs w:val="20"/>
        </w:rPr>
        <w:t>e</w:t>
      </w:r>
      <w:r w:rsidR="00A87B8B" w:rsidRPr="7F7619C6">
        <w:rPr>
          <w:rFonts w:cs="Arial"/>
          <w:color w:val="000000" w:themeColor="text1"/>
          <w:sz w:val="20"/>
          <w:szCs w:val="20"/>
        </w:rPr>
        <w:t xml:space="preserve"> who ultimately have the power to act on them</w:t>
      </w:r>
      <w:r w:rsidR="00DD3100" w:rsidRPr="7F7619C6">
        <w:rPr>
          <w:rFonts w:cs="Arial"/>
          <w:color w:val="000000" w:themeColor="text1"/>
          <w:sz w:val="20"/>
          <w:szCs w:val="20"/>
        </w:rPr>
        <w:t xml:space="preserve">. </w:t>
      </w:r>
      <w:r w:rsidR="00E4158C" w:rsidRPr="7F7619C6">
        <w:rPr>
          <w:rFonts w:cs="Arial"/>
          <w:color w:val="000000" w:themeColor="text1"/>
          <w:sz w:val="20"/>
          <w:szCs w:val="20"/>
        </w:rPr>
        <w:t xml:space="preserve">Nearly 250 tailored analytical outputs were produced over the year providing insight for </w:t>
      </w:r>
      <w:proofErr w:type="gramStart"/>
      <w:r w:rsidR="00E4158C" w:rsidRPr="7F7619C6">
        <w:rPr>
          <w:rFonts w:cs="Arial"/>
          <w:color w:val="000000" w:themeColor="text1"/>
          <w:sz w:val="20"/>
          <w:szCs w:val="20"/>
        </w:rPr>
        <w:t>policy-makers</w:t>
      </w:r>
      <w:proofErr w:type="gramEnd"/>
      <w:r w:rsidR="00E4158C" w:rsidRPr="7F7619C6">
        <w:rPr>
          <w:rFonts w:cs="Arial"/>
          <w:color w:val="000000" w:themeColor="text1"/>
          <w:sz w:val="20"/>
          <w:szCs w:val="20"/>
        </w:rPr>
        <w:t xml:space="preserve"> and, in many cases, feeding directly into decision-making processes</w:t>
      </w:r>
      <w:r w:rsidR="00D76EE0" w:rsidRPr="7F7619C6">
        <w:rPr>
          <w:rFonts w:cs="Arial"/>
          <w:color w:val="000000" w:themeColor="text1"/>
          <w:sz w:val="20"/>
          <w:szCs w:val="20"/>
        </w:rPr>
        <w:t xml:space="preserve">. </w:t>
      </w:r>
      <w:r w:rsidR="00DD3100" w:rsidRPr="7F7619C6">
        <w:rPr>
          <w:rFonts w:cs="Arial"/>
          <w:color w:val="000000" w:themeColor="text1"/>
          <w:sz w:val="20"/>
          <w:szCs w:val="20"/>
        </w:rPr>
        <w:t xml:space="preserve">As a </w:t>
      </w:r>
      <w:r w:rsidR="6005886E" w:rsidRPr="7F7619C6">
        <w:rPr>
          <w:rFonts w:cs="Arial"/>
          <w:color w:val="000000" w:themeColor="text1"/>
          <w:sz w:val="20"/>
          <w:szCs w:val="20"/>
        </w:rPr>
        <w:t>result,</w:t>
      </w:r>
      <w:r w:rsidR="001F0C7B" w:rsidRPr="7F7619C6">
        <w:rPr>
          <w:rFonts w:cs="Arial"/>
          <w:color w:val="000000" w:themeColor="text1"/>
          <w:sz w:val="20"/>
          <w:szCs w:val="20"/>
        </w:rPr>
        <w:t xml:space="preserve"> there is clear evidence of outputs generating real world impact through influence of products and recommendations generated through programme activity feeding directly into policy development and implementation in target countries.</w:t>
      </w:r>
      <w:r w:rsidR="00A272BF" w:rsidRPr="7F7619C6">
        <w:rPr>
          <w:rFonts w:cs="Arial"/>
          <w:color w:val="000000" w:themeColor="text1"/>
          <w:sz w:val="20"/>
          <w:szCs w:val="20"/>
        </w:rPr>
        <w:t xml:space="preserve"> An example is through engaging at the very highest level of government in support of Brazil’s G20 Presidency and successfully supporting key Presidency outcomes , the CETP has been asked to </w:t>
      </w:r>
      <w:r w:rsidR="00A272BF" w:rsidRPr="7F7619C6">
        <w:rPr>
          <w:rFonts w:cs="Arial"/>
          <w:color w:val="000000" w:themeColor="text1"/>
          <w:sz w:val="20"/>
          <w:szCs w:val="20"/>
          <w:lang w:eastAsia="en-GB"/>
        </w:rPr>
        <w:t>support the development of the National Energy Transition Policy and the Future of Fuel Programme, presented by President Luiz Inácio Lula da Silva in August 2024, through provision of technical assistance, modelling, analytical reports and policy recommendations. CETP has also now been asked to continue to support Brazil to implement the policy and will undertake a full review of Brazilian energy policy in 2025.</w:t>
      </w:r>
    </w:p>
    <w:p w14:paraId="620982AE" w14:textId="25B347B8" w:rsidR="00763744" w:rsidRDefault="00763744" w:rsidP="005D0D30">
      <w:pPr>
        <w:rPr>
          <w:rFonts w:cs="Arial"/>
          <w:color w:val="000000" w:themeColor="text1"/>
          <w:sz w:val="20"/>
          <w:szCs w:val="22"/>
        </w:rPr>
      </w:pPr>
    </w:p>
    <w:p w14:paraId="2A679832" w14:textId="017CCB12" w:rsidR="00427F4A" w:rsidRPr="00566BF0" w:rsidRDefault="00427F4A" w:rsidP="00B85F75">
      <w:pPr>
        <w:rPr>
          <w:rFonts w:cs="Arial"/>
          <w:color w:val="000000" w:themeColor="text1"/>
          <w:sz w:val="20"/>
          <w:szCs w:val="22"/>
        </w:rPr>
      </w:pPr>
      <w:r w:rsidRPr="00566BF0">
        <w:rPr>
          <w:rFonts w:cs="Arial"/>
          <w:color w:val="000000" w:themeColor="text1"/>
          <w:sz w:val="20"/>
          <w:szCs w:val="22"/>
        </w:rPr>
        <w:t xml:space="preserve">The CETP Programme also continued to increase local capabilities by transferring expertise, best practices and experiences to enhance local policy development and implementation. Driven by local needs and priorities, </w:t>
      </w:r>
      <w:r w:rsidR="00B85F75" w:rsidRPr="00566BF0">
        <w:rPr>
          <w:rFonts w:cs="Arial"/>
          <w:color w:val="000000" w:themeColor="text1"/>
          <w:sz w:val="20"/>
          <w:szCs w:val="22"/>
        </w:rPr>
        <w:t xml:space="preserve">42 capacity-building and </w:t>
      </w:r>
      <w:r w:rsidR="00096598" w:rsidRPr="00566BF0">
        <w:rPr>
          <w:rFonts w:cs="Arial"/>
          <w:color w:val="000000" w:themeColor="text1"/>
          <w:sz w:val="20"/>
          <w:szCs w:val="22"/>
        </w:rPr>
        <w:t>training</w:t>
      </w:r>
      <w:r w:rsidR="00B85F75" w:rsidRPr="00566BF0">
        <w:rPr>
          <w:rFonts w:cs="Arial"/>
          <w:color w:val="000000" w:themeColor="text1"/>
          <w:sz w:val="20"/>
          <w:szCs w:val="22"/>
        </w:rPr>
        <w:t xml:space="preserve"> vents events were held in 2024 with almost 1 200 policy professionals undertaking </w:t>
      </w:r>
      <w:r w:rsidR="00096598" w:rsidRPr="00566BF0">
        <w:rPr>
          <w:rFonts w:cs="Arial"/>
          <w:color w:val="000000" w:themeColor="text1"/>
          <w:sz w:val="20"/>
          <w:szCs w:val="22"/>
        </w:rPr>
        <w:t xml:space="preserve">training with a particular focus on </w:t>
      </w:r>
      <w:r w:rsidR="00B85F75" w:rsidRPr="00566BF0">
        <w:rPr>
          <w:rFonts w:cs="Arial"/>
          <w:color w:val="000000" w:themeColor="text1"/>
          <w:sz w:val="20"/>
          <w:szCs w:val="22"/>
        </w:rPr>
        <w:t>energy efficiency</w:t>
      </w:r>
      <w:r w:rsidR="00096598" w:rsidRPr="00566BF0">
        <w:rPr>
          <w:rFonts w:cs="Arial"/>
          <w:color w:val="000000" w:themeColor="text1"/>
          <w:sz w:val="20"/>
          <w:szCs w:val="22"/>
        </w:rPr>
        <w:t xml:space="preserve"> policy</w:t>
      </w:r>
      <w:r w:rsidR="00B85F75" w:rsidRPr="00566BF0">
        <w:rPr>
          <w:rFonts w:cs="Arial"/>
          <w:color w:val="000000" w:themeColor="text1"/>
          <w:sz w:val="20"/>
          <w:szCs w:val="22"/>
        </w:rPr>
        <w:t xml:space="preserve">, </w:t>
      </w:r>
      <w:r w:rsidR="00096598" w:rsidRPr="00566BF0">
        <w:rPr>
          <w:rFonts w:cs="Arial"/>
          <w:color w:val="000000" w:themeColor="text1"/>
          <w:sz w:val="20"/>
          <w:szCs w:val="22"/>
        </w:rPr>
        <w:t xml:space="preserve">and </w:t>
      </w:r>
      <w:r w:rsidR="00B85F75" w:rsidRPr="00566BF0">
        <w:rPr>
          <w:rFonts w:cs="Arial"/>
          <w:color w:val="000000" w:themeColor="text1"/>
          <w:sz w:val="20"/>
          <w:szCs w:val="22"/>
        </w:rPr>
        <w:t>data, and</w:t>
      </w:r>
      <w:r w:rsidR="00096598" w:rsidRPr="00566BF0">
        <w:rPr>
          <w:rFonts w:cs="Arial"/>
          <w:color w:val="000000" w:themeColor="text1"/>
          <w:sz w:val="20"/>
          <w:szCs w:val="22"/>
        </w:rPr>
        <w:t xml:space="preserve"> </w:t>
      </w:r>
      <w:r w:rsidR="00B85F75" w:rsidRPr="00566BF0">
        <w:rPr>
          <w:rFonts w:cs="Arial"/>
          <w:color w:val="000000" w:themeColor="text1"/>
          <w:sz w:val="20"/>
          <w:szCs w:val="22"/>
        </w:rPr>
        <w:t>modelling</w:t>
      </w:r>
      <w:r w:rsidRPr="00566BF0">
        <w:rPr>
          <w:rFonts w:cs="Arial"/>
          <w:color w:val="000000" w:themeColor="text1"/>
          <w:sz w:val="20"/>
          <w:szCs w:val="22"/>
        </w:rPr>
        <w:t xml:space="preserve">, including a growing proportion of women, with high levels of satisfaction recorded.     </w:t>
      </w:r>
    </w:p>
    <w:p w14:paraId="6A1620DD" w14:textId="77777777" w:rsidR="00566BF0" w:rsidRDefault="00566BF0" w:rsidP="00427F4A">
      <w:pPr>
        <w:rPr>
          <w:rFonts w:cs="Arial"/>
          <w:color w:val="FF0000"/>
          <w:sz w:val="20"/>
          <w:szCs w:val="22"/>
        </w:rPr>
      </w:pPr>
    </w:p>
    <w:p w14:paraId="326C7605" w14:textId="7FD37794" w:rsidR="00D76EE0" w:rsidRDefault="00F700FA" w:rsidP="00427F4A">
      <w:pPr>
        <w:rPr>
          <w:rFonts w:cs="Arial"/>
          <w:color w:val="000000" w:themeColor="text1"/>
          <w:sz w:val="20"/>
          <w:szCs w:val="20"/>
        </w:rPr>
      </w:pPr>
      <w:r w:rsidRPr="7F7619C6">
        <w:rPr>
          <w:rFonts w:cs="Arial"/>
          <w:color w:val="000000" w:themeColor="text1"/>
          <w:sz w:val="20"/>
          <w:szCs w:val="20"/>
        </w:rPr>
        <w:t>Analysis and insight generated through CET</w:t>
      </w:r>
      <w:r w:rsidR="00C26225" w:rsidRPr="7F7619C6">
        <w:rPr>
          <w:rFonts w:cs="Arial"/>
          <w:color w:val="000000" w:themeColor="text1"/>
          <w:sz w:val="20"/>
          <w:szCs w:val="20"/>
        </w:rPr>
        <w:t>P</w:t>
      </w:r>
      <w:r w:rsidRPr="7F7619C6">
        <w:rPr>
          <w:rFonts w:cs="Arial"/>
          <w:color w:val="000000" w:themeColor="text1"/>
          <w:sz w:val="20"/>
          <w:szCs w:val="20"/>
        </w:rPr>
        <w:t xml:space="preserve"> work with</w:t>
      </w:r>
      <w:r w:rsidR="00C26225" w:rsidRPr="7F7619C6">
        <w:rPr>
          <w:rFonts w:cs="Arial"/>
          <w:color w:val="000000" w:themeColor="text1"/>
          <w:sz w:val="20"/>
          <w:szCs w:val="20"/>
        </w:rPr>
        <w:t xml:space="preserve"> </w:t>
      </w:r>
      <w:r w:rsidRPr="7F7619C6">
        <w:rPr>
          <w:rFonts w:cs="Arial"/>
          <w:color w:val="000000" w:themeColor="text1"/>
          <w:sz w:val="20"/>
          <w:szCs w:val="20"/>
        </w:rPr>
        <w:t>target countries is also widely disseminated</w:t>
      </w:r>
      <w:r w:rsidR="00A90DDD" w:rsidRPr="7F7619C6">
        <w:rPr>
          <w:rFonts w:cs="Arial"/>
          <w:color w:val="000000" w:themeColor="text1"/>
          <w:sz w:val="20"/>
          <w:szCs w:val="20"/>
        </w:rPr>
        <w:t xml:space="preserve"> </w:t>
      </w:r>
      <w:r w:rsidR="00C26225" w:rsidRPr="7F7619C6">
        <w:rPr>
          <w:rFonts w:cs="Arial"/>
          <w:color w:val="000000" w:themeColor="text1"/>
          <w:sz w:val="20"/>
          <w:szCs w:val="20"/>
        </w:rPr>
        <w:t xml:space="preserve">through IEA reporting and dissemination events </w:t>
      </w:r>
      <w:r w:rsidR="00AD26E9" w:rsidRPr="7F7619C6">
        <w:rPr>
          <w:rFonts w:cs="Arial"/>
          <w:color w:val="000000" w:themeColor="text1"/>
          <w:sz w:val="20"/>
          <w:szCs w:val="20"/>
        </w:rPr>
        <w:t xml:space="preserve">(349 held in 2024) </w:t>
      </w:r>
      <w:r w:rsidR="00A90DDD" w:rsidRPr="7F7619C6">
        <w:rPr>
          <w:rFonts w:cs="Arial"/>
          <w:color w:val="000000" w:themeColor="text1"/>
          <w:sz w:val="20"/>
          <w:szCs w:val="20"/>
        </w:rPr>
        <w:t>to ensure that information generated flows to a wider international audience and assisting peer-to-peer learning</w:t>
      </w:r>
      <w:r w:rsidR="00C26225" w:rsidRPr="7F7619C6">
        <w:rPr>
          <w:rFonts w:cs="Arial"/>
          <w:color w:val="000000" w:themeColor="text1"/>
          <w:sz w:val="20"/>
          <w:szCs w:val="20"/>
        </w:rPr>
        <w:t xml:space="preserve"> </w:t>
      </w:r>
      <w:r w:rsidR="1B8498AC" w:rsidRPr="7F7619C6">
        <w:rPr>
          <w:rFonts w:cs="Arial"/>
          <w:color w:val="000000" w:themeColor="text1"/>
          <w:sz w:val="20"/>
          <w:szCs w:val="20"/>
        </w:rPr>
        <w:t>thus further</w:t>
      </w:r>
      <w:r w:rsidR="2EFD9F29" w:rsidRPr="7F7619C6">
        <w:rPr>
          <w:rFonts w:cs="Arial"/>
          <w:color w:val="000000" w:themeColor="text1"/>
          <w:sz w:val="20"/>
          <w:szCs w:val="20"/>
        </w:rPr>
        <w:t xml:space="preserve"> </w:t>
      </w:r>
      <w:r w:rsidR="00C26225" w:rsidRPr="7F7619C6">
        <w:rPr>
          <w:rFonts w:cs="Arial"/>
          <w:color w:val="000000" w:themeColor="text1"/>
          <w:sz w:val="20"/>
          <w:szCs w:val="20"/>
        </w:rPr>
        <w:t xml:space="preserve">leveraging the work of the CETP.  </w:t>
      </w:r>
      <w:r w:rsidR="002D09EC" w:rsidRPr="7F7619C6">
        <w:rPr>
          <w:rFonts w:cs="Arial"/>
          <w:color w:val="000000" w:themeColor="text1"/>
          <w:sz w:val="20"/>
          <w:szCs w:val="20"/>
        </w:rPr>
        <w:t xml:space="preserve"> </w:t>
      </w:r>
      <w:r w:rsidR="00A90DDD" w:rsidRPr="7F7619C6">
        <w:rPr>
          <w:rFonts w:cs="Arial"/>
          <w:color w:val="000000" w:themeColor="text1"/>
          <w:sz w:val="20"/>
          <w:szCs w:val="20"/>
        </w:rPr>
        <w:t xml:space="preserve">          </w:t>
      </w:r>
    </w:p>
    <w:p w14:paraId="39EF6476" w14:textId="77777777" w:rsidR="00AD26E9" w:rsidRDefault="00AD26E9" w:rsidP="00427F4A">
      <w:pPr>
        <w:rPr>
          <w:rFonts w:cs="Arial"/>
          <w:color w:val="000000" w:themeColor="text1"/>
          <w:sz w:val="20"/>
          <w:szCs w:val="22"/>
        </w:rPr>
      </w:pPr>
    </w:p>
    <w:p w14:paraId="51A66F88" w14:textId="121D7D2C" w:rsidR="00AD26E9" w:rsidRPr="00AD26E9" w:rsidRDefault="00AD26E9" w:rsidP="00427F4A">
      <w:pPr>
        <w:rPr>
          <w:rFonts w:cs="Arial"/>
          <w:color w:val="000000" w:themeColor="text1"/>
          <w:sz w:val="20"/>
          <w:szCs w:val="20"/>
        </w:rPr>
      </w:pPr>
      <w:r w:rsidRPr="7F7619C6">
        <w:rPr>
          <w:rFonts w:cs="Arial"/>
          <w:color w:val="000000" w:themeColor="text1"/>
          <w:sz w:val="20"/>
          <w:szCs w:val="20"/>
        </w:rPr>
        <w:t xml:space="preserve">The CETP has also successfully and rapidly launched </w:t>
      </w:r>
      <w:r w:rsidR="00114D34" w:rsidRPr="7F7619C6">
        <w:rPr>
          <w:rFonts w:cs="Arial"/>
          <w:color w:val="000000" w:themeColor="text1"/>
          <w:sz w:val="20"/>
          <w:szCs w:val="20"/>
        </w:rPr>
        <w:t>the new workstream on methane reduction in the oil and gas sector, enabled by the ring-fenced UK funding for this wor</w:t>
      </w:r>
      <w:r w:rsidR="00A55810" w:rsidRPr="7F7619C6">
        <w:rPr>
          <w:rFonts w:cs="Arial"/>
          <w:color w:val="000000" w:themeColor="text1"/>
          <w:sz w:val="20"/>
          <w:szCs w:val="20"/>
        </w:rPr>
        <w:t xml:space="preserve">k, undertaking a </w:t>
      </w:r>
      <w:r w:rsidR="6B7E4601" w:rsidRPr="7F7619C6">
        <w:rPr>
          <w:rFonts w:cs="Arial"/>
          <w:color w:val="000000" w:themeColor="text1"/>
          <w:sz w:val="20"/>
          <w:szCs w:val="20"/>
        </w:rPr>
        <w:t>broad</w:t>
      </w:r>
      <w:r w:rsidR="00A55810" w:rsidRPr="7F7619C6">
        <w:rPr>
          <w:rFonts w:cs="Arial"/>
          <w:color w:val="000000" w:themeColor="text1"/>
          <w:sz w:val="20"/>
          <w:szCs w:val="20"/>
        </w:rPr>
        <w:t xml:space="preserve"> range of engagement, analysis and policy support,  </w:t>
      </w:r>
      <w:r w:rsidR="00114D34" w:rsidRPr="7F7619C6">
        <w:rPr>
          <w:rFonts w:cs="Arial"/>
          <w:color w:val="000000" w:themeColor="text1"/>
          <w:sz w:val="20"/>
          <w:szCs w:val="20"/>
        </w:rPr>
        <w:t xml:space="preserve"> </w:t>
      </w:r>
    </w:p>
    <w:p w14:paraId="25C0347A" w14:textId="77777777" w:rsidR="00D76EE0" w:rsidRDefault="00D76EE0" w:rsidP="00427F4A">
      <w:pPr>
        <w:rPr>
          <w:rFonts w:cs="Arial"/>
          <w:color w:val="FF0000"/>
          <w:sz w:val="20"/>
          <w:szCs w:val="22"/>
        </w:rPr>
      </w:pPr>
    </w:p>
    <w:p w14:paraId="1250CAA7" w14:textId="7CD61695" w:rsidR="00427F4A" w:rsidRPr="00A55810" w:rsidRDefault="00427F4A" w:rsidP="00427F4A">
      <w:pPr>
        <w:rPr>
          <w:rFonts w:cs="Arial"/>
          <w:color w:val="000000" w:themeColor="text1"/>
          <w:sz w:val="20"/>
          <w:szCs w:val="22"/>
        </w:rPr>
      </w:pPr>
      <w:r w:rsidRPr="00A55810">
        <w:rPr>
          <w:rFonts w:cs="Arial"/>
          <w:color w:val="000000" w:themeColor="text1"/>
          <w:sz w:val="20"/>
          <w:szCs w:val="22"/>
        </w:rPr>
        <w:t>Overall, the programme has delivered agreed outcomes and evidence of transformational change and has scored A+ for moderately exceeding expectations in terms of output level milestones</w:t>
      </w:r>
      <w:r w:rsidR="00A55810" w:rsidRPr="00A55810">
        <w:rPr>
          <w:rFonts w:cs="Arial"/>
          <w:color w:val="000000" w:themeColor="text1"/>
          <w:sz w:val="20"/>
          <w:szCs w:val="22"/>
        </w:rPr>
        <w:t>.</w:t>
      </w:r>
    </w:p>
    <w:p w14:paraId="7B570BA3" w14:textId="77777777" w:rsidR="003D222C" w:rsidRDefault="003D222C" w:rsidP="004D5FD5">
      <w:pPr>
        <w:pStyle w:val="Heading2"/>
        <w:jc w:val="both"/>
      </w:pPr>
      <w:bookmarkStart w:id="3" w:name="_Toc685053927"/>
      <w:r>
        <w:t>Progress against recommendations from the last review</w:t>
      </w:r>
      <w:bookmarkEnd w:id="3"/>
    </w:p>
    <w:p w14:paraId="4F1A3C96" w14:textId="77777777" w:rsidR="00427F4A" w:rsidRDefault="00427F4A" w:rsidP="00427F4A"/>
    <w:p w14:paraId="394CDC90" w14:textId="77777777" w:rsidR="00427F4A" w:rsidRDefault="00427F4A" w:rsidP="00427F4A">
      <w:pPr>
        <w:rPr>
          <w:sz w:val="20"/>
          <w:szCs w:val="20"/>
        </w:rPr>
      </w:pPr>
      <w:r w:rsidRPr="00427F4A">
        <w:rPr>
          <w:sz w:val="20"/>
          <w:szCs w:val="20"/>
        </w:rPr>
        <w:t>This is the first year of reporting under current support for the programme</w:t>
      </w:r>
      <w:bookmarkStart w:id="4" w:name="_Toc1298170689"/>
    </w:p>
    <w:p w14:paraId="701559B6" w14:textId="77777777" w:rsidR="00427F4A" w:rsidRDefault="00427F4A" w:rsidP="00427F4A">
      <w:pPr>
        <w:rPr>
          <w:sz w:val="20"/>
          <w:szCs w:val="20"/>
        </w:rPr>
      </w:pPr>
    </w:p>
    <w:p w14:paraId="788BE7E1" w14:textId="54B648D8" w:rsidR="003D222C" w:rsidRPr="009E3F6E" w:rsidRDefault="003D222C" w:rsidP="00427F4A">
      <w:r w:rsidRPr="527A8EFF">
        <w:rPr>
          <w:rStyle w:val="Heading2Char"/>
        </w:rPr>
        <w:t>Major lessons and recommendations for the year ahead</w:t>
      </w:r>
      <w:bookmarkEnd w:id="4"/>
      <w:r>
        <w:t xml:space="preserve"> [1/2 page]</w:t>
      </w:r>
    </w:p>
    <w:p w14:paraId="2A4B8A97" w14:textId="77777777" w:rsidR="003D222C" w:rsidRPr="00D80C6C" w:rsidRDefault="003D222C" w:rsidP="004D5FD5">
      <w:pPr>
        <w:tabs>
          <w:tab w:val="left" w:pos="6915"/>
          <w:tab w:val="left" w:pos="9495"/>
        </w:tabs>
        <w:jc w:val="both"/>
        <w:rPr>
          <w:rFonts w:cs="Arial"/>
          <w:sz w:val="22"/>
          <w:szCs w:val="22"/>
        </w:rPr>
      </w:pPr>
    </w:p>
    <w:p w14:paraId="5E0FDD69" w14:textId="77777777" w:rsidR="00612E9D" w:rsidRPr="00742718" w:rsidRDefault="00612E9D" w:rsidP="00612E9D">
      <w:pPr>
        <w:tabs>
          <w:tab w:val="left" w:pos="6915"/>
          <w:tab w:val="left" w:pos="9495"/>
        </w:tabs>
        <w:jc w:val="both"/>
        <w:rPr>
          <w:sz w:val="22"/>
          <w:szCs w:val="22"/>
        </w:rPr>
      </w:pPr>
    </w:p>
    <w:p w14:paraId="44F1910F" w14:textId="51BB653E" w:rsidR="00E530E5" w:rsidRDefault="00612E9D" w:rsidP="00612E9D">
      <w:pPr>
        <w:rPr>
          <w:rFonts w:cs="Arial"/>
          <w:sz w:val="20"/>
          <w:szCs w:val="20"/>
        </w:rPr>
      </w:pPr>
      <w:r w:rsidRPr="00742718">
        <w:rPr>
          <w:rFonts w:cs="Arial"/>
          <w:sz w:val="20"/>
          <w:szCs w:val="20"/>
        </w:rPr>
        <w:t xml:space="preserve">This report covers </w:t>
      </w:r>
      <w:r w:rsidR="00DD3C9E">
        <w:rPr>
          <w:rFonts w:cs="Arial"/>
          <w:sz w:val="20"/>
          <w:szCs w:val="20"/>
        </w:rPr>
        <w:t>the first year of the UK’s second tranche of support for the second phase of the</w:t>
      </w:r>
      <w:r w:rsidRPr="00742718">
        <w:rPr>
          <w:rFonts w:cs="Arial"/>
          <w:sz w:val="20"/>
          <w:szCs w:val="20"/>
        </w:rPr>
        <w:t xml:space="preserve"> programme</w:t>
      </w:r>
      <w:r w:rsidR="00DD3C9E">
        <w:rPr>
          <w:rFonts w:cs="Arial"/>
          <w:sz w:val="20"/>
          <w:szCs w:val="20"/>
        </w:rPr>
        <w:t xml:space="preserve">. </w:t>
      </w:r>
      <w:r w:rsidRPr="00742718">
        <w:rPr>
          <w:rFonts w:cs="Arial"/>
          <w:sz w:val="20"/>
          <w:szCs w:val="20"/>
        </w:rPr>
        <w:t xml:space="preserve">The lessons learnt during this first phase of the Programme </w:t>
      </w:r>
      <w:r w:rsidR="00DD3C9E">
        <w:rPr>
          <w:rFonts w:cs="Arial"/>
          <w:sz w:val="20"/>
          <w:szCs w:val="20"/>
        </w:rPr>
        <w:t xml:space="preserve">have been </w:t>
      </w:r>
      <w:r w:rsidRPr="00742718">
        <w:rPr>
          <w:rFonts w:cs="Arial"/>
          <w:sz w:val="20"/>
          <w:szCs w:val="20"/>
        </w:rPr>
        <w:t xml:space="preserve">a key input </w:t>
      </w:r>
      <w:r w:rsidR="00DD3C9E">
        <w:rPr>
          <w:rFonts w:cs="Arial"/>
          <w:sz w:val="20"/>
          <w:szCs w:val="20"/>
        </w:rPr>
        <w:t xml:space="preserve">to the </w:t>
      </w:r>
      <w:r w:rsidRPr="00742718">
        <w:rPr>
          <w:rFonts w:cs="Arial"/>
          <w:sz w:val="20"/>
          <w:szCs w:val="20"/>
        </w:rPr>
        <w:t xml:space="preserve">strategic framework and work programme for </w:t>
      </w:r>
      <w:r w:rsidR="00DD3C9E">
        <w:rPr>
          <w:rFonts w:cs="Arial"/>
          <w:sz w:val="20"/>
          <w:szCs w:val="20"/>
        </w:rPr>
        <w:t xml:space="preserve">this phase. </w:t>
      </w:r>
    </w:p>
    <w:p w14:paraId="53E7C0D6" w14:textId="77777777" w:rsidR="004319A3" w:rsidRDefault="004319A3" w:rsidP="00612E9D">
      <w:pPr>
        <w:rPr>
          <w:rFonts w:cs="Arial"/>
          <w:sz w:val="20"/>
          <w:szCs w:val="20"/>
        </w:rPr>
      </w:pPr>
    </w:p>
    <w:p w14:paraId="21ADE2CF" w14:textId="64594816" w:rsidR="00612E9D" w:rsidRPr="00742718" w:rsidRDefault="00E530E5" w:rsidP="00612E9D">
      <w:pPr>
        <w:rPr>
          <w:rFonts w:cs="Arial"/>
          <w:sz w:val="20"/>
          <w:szCs w:val="20"/>
        </w:rPr>
      </w:pPr>
      <w:r w:rsidRPr="7F7619C6">
        <w:rPr>
          <w:rFonts w:cs="Arial"/>
          <w:sz w:val="20"/>
          <w:szCs w:val="20"/>
        </w:rPr>
        <w:t xml:space="preserve">The CETP </w:t>
      </w:r>
      <w:r w:rsidR="00612E9D" w:rsidRPr="7F7619C6">
        <w:rPr>
          <w:rFonts w:cs="Arial"/>
          <w:sz w:val="20"/>
          <w:szCs w:val="20"/>
        </w:rPr>
        <w:t xml:space="preserve">has transformed the relationship between the </w:t>
      </w:r>
      <w:r w:rsidR="0048093A" w:rsidRPr="7F7619C6">
        <w:rPr>
          <w:rFonts w:cs="Arial"/>
          <w:sz w:val="20"/>
          <w:szCs w:val="20"/>
        </w:rPr>
        <w:t>IEA</w:t>
      </w:r>
      <w:r w:rsidR="00612E9D" w:rsidRPr="7F7619C6">
        <w:rPr>
          <w:rFonts w:cs="Arial"/>
          <w:sz w:val="20"/>
          <w:szCs w:val="20"/>
        </w:rPr>
        <w:t xml:space="preserve"> and the target countries participating in the Programme. It </w:t>
      </w:r>
      <w:r w:rsidR="0038778D" w:rsidRPr="7F7619C6">
        <w:rPr>
          <w:rFonts w:cs="Arial"/>
          <w:sz w:val="20"/>
          <w:szCs w:val="20"/>
        </w:rPr>
        <w:t xml:space="preserve">continues to </w:t>
      </w:r>
      <w:r w:rsidR="00612E9D" w:rsidRPr="7F7619C6">
        <w:rPr>
          <w:rFonts w:cs="Arial"/>
          <w:sz w:val="20"/>
          <w:szCs w:val="20"/>
        </w:rPr>
        <w:t xml:space="preserve">strengthen the IEA’s ability and capacity to deliver real world impacts </w:t>
      </w:r>
      <w:r w:rsidR="0038778D" w:rsidRPr="7F7619C6">
        <w:rPr>
          <w:rFonts w:cs="Arial"/>
          <w:sz w:val="20"/>
          <w:szCs w:val="20"/>
        </w:rPr>
        <w:t xml:space="preserve">for target countries </w:t>
      </w:r>
      <w:r w:rsidR="00612E9D" w:rsidRPr="7F7619C6">
        <w:rPr>
          <w:rFonts w:cs="Arial"/>
          <w:sz w:val="20"/>
          <w:szCs w:val="20"/>
        </w:rPr>
        <w:t xml:space="preserve">by drawing on </w:t>
      </w:r>
      <w:r w:rsidR="0038778D" w:rsidRPr="7F7619C6">
        <w:rPr>
          <w:rFonts w:cs="Arial"/>
          <w:sz w:val="20"/>
          <w:szCs w:val="20"/>
        </w:rPr>
        <w:t xml:space="preserve">and making effective use of </w:t>
      </w:r>
      <w:r w:rsidR="00612E9D" w:rsidRPr="7F7619C6">
        <w:rPr>
          <w:rFonts w:cs="Arial"/>
          <w:sz w:val="20"/>
          <w:szCs w:val="20"/>
        </w:rPr>
        <w:t xml:space="preserve">the Agency’s expertise and ability to combine data and evidence-based analysis with strategic policy and regulatory implementation activities.   </w:t>
      </w:r>
    </w:p>
    <w:p w14:paraId="26E2D4A0" w14:textId="77777777" w:rsidR="00612E9D" w:rsidRPr="00742718" w:rsidRDefault="00612E9D" w:rsidP="00612E9D">
      <w:pPr>
        <w:rPr>
          <w:rFonts w:cs="Arial"/>
          <w:sz w:val="20"/>
          <w:szCs w:val="20"/>
        </w:rPr>
      </w:pPr>
    </w:p>
    <w:p w14:paraId="69E04C5F" w14:textId="0A6F136F" w:rsidR="004319A3" w:rsidRDefault="004319A3" w:rsidP="00612E9D">
      <w:pPr>
        <w:rPr>
          <w:rFonts w:cs="Arial"/>
          <w:sz w:val="20"/>
          <w:szCs w:val="20"/>
        </w:rPr>
      </w:pPr>
      <w:r>
        <w:rPr>
          <w:rFonts w:cs="Arial"/>
          <w:sz w:val="20"/>
          <w:szCs w:val="20"/>
        </w:rPr>
        <w:t>Results delivered in 2024 have demonstrated the ongoing</w:t>
      </w:r>
      <w:r w:rsidR="00875EEF">
        <w:rPr>
          <w:rFonts w:cs="Arial"/>
          <w:sz w:val="20"/>
          <w:szCs w:val="20"/>
        </w:rPr>
        <w:t xml:space="preserve"> and crucial</w:t>
      </w:r>
      <w:r>
        <w:rPr>
          <w:rFonts w:cs="Arial"/>
          <w:sz w:val="20"/>
          <w:szCs w:val="20"/>
        </w:rPr>
        <w:t xml:space="preserve"> importance of</w:t>
      </w:r>
      <w:r w:rsidR="00875EEF">
        <w:rPr>
          <w:rFonts w:cs="Arial"/>
          <w:sz w:val="20"/>
          <w:szCs w:val="20"/>
        </w:rPr>
        <w:t xml:space="preserve"> securing high</w:t>
      </w:r>
      <w:r>
        <w:rPr>
          <w:rFonts w:cs="Arial"/>
          <w:sz w:val="20"/>
          <w:szCs w:val="20"/>
        </w:rPr>
        <w:t xml:space="preserve">  </w:t>
      </w:r>
    </w:p>
    <w:p w14:paraId="115A52F5" w14:textId="512D2EC9" w:rsidR="00042595" w:rsidRDefault="00612E9D" w:rsidP="00612E9D">
      <w:pPr>
        <w:rPr>
          <w:rFonts w:cs="Arial"/>
          <w:sz w:val="20"/>
          <w:szCs w:val="20"/>
        </w:rPr>
      </w:pPr>
      <w:r w:rsidRPr="00742718">
        <w:rPr>
          <w:rFonts w:cs="Arial"/>
          <w:sz w:val="20"/>
          <w:szCs w:val="20"/>
        </w:rPr>
        <w:lastRenderedPageBreak/>
        <w:t xml:space="preserve">-level political buy-in within target countries in providing the space for the technical work that </w:t>
      </w:r>
      <w:r w:rsidR="00875EEF">
        <w:rPr>
          <w:rFonts w:cs="Arial"/>
          <w:sz w:val="20"/>
          <w:szCs w:val="20"/>
        </w:rPr>
        <w:t xml:space="preserve">ultimately </w:t>
      </w:r>
      <w:r w:rsidRPr="00742718">
        <w:rPr>
          <w:rFonts w:cs="Arial"/>
          <w:sz w:val="20"/>
          <w:szCs w:val="20"/>
        </w:rPr>
        <w:t>deliver</w:t>
      </w:r>
      <w:r w:rsidR="00875EEF">
        <w:rPr>
          <w:rFonts w:cs="Arial"/>
          <w:sz w:val="20"/>
          <w:szCs w:val="20"/>
        </w:rPr>
        <w:t>s</w:t>
      </w:r>
      <w:r w:rsidRPr="00742718">
        <w:rPr>
          <w:rFonts w:cs="Arial"/>
          <w:sz w:val="20"/>
          <w:szCs w:val="20"/>
        </w:rPr>
        <w:t xml:space="preserve"> the technical and policy outcomes that will have a practical impact on the ground, as well as providing a clear pathway to get the recommendations in front of those who ultimately will make the decisions. </w:t>
      </w:r>
      <w:r w:rsidR="00875EEF">
        <w:rPr>
          <w:rFonts w:cs="Arial"/>
          <w:sz w:val="20"/>
          <w:szCs w:val="20"/>
        </w:rPr>
        <w:t>The IEA has unparalleled access to the highest reaches of government in target countries, further strengthened in 2024 through bi-lateral engagement, new memorandums of</w:t>
      </w:r>
      <w:r w:rsidR="00042595">
        <w:rPr>
          <w:rFonts w:cs="Arial"/>
          <w:sz w:val="20"/>
          <w:szCs w:val="20"/>
        </w:rPr>
        <w:t xml:space="preserve"> </w:t>
      </w:r>
      <w:r w:rsidR="00875EEF">
        <w:rPr>
          <w:rFonts w:cs="Arial"/>
          <w:sz w:val="20"/>
          <w:szCs w:val="20"/>
        </w:rPr>
        <w:t>understanding and IEA support for key multilateral processes, such as Brazil’s G20 presidency.</w:t>
      </w:r>
    </w:p>
    <w:p w14:paraId="36C2860C" w14:textId="77777777" w:rsidR="00641CED" w:rsidRDefault="00641CED" w:rsidP="00612E9D">
      <w:pPr>
        <w:rPr>
          <w:rFonts w:cs="Arial"/>
          <w:sz w:val="20"/>
          <w:szCs w:val="20"/>
        </w:rPr>
      </w:pPr>
    </w:p>
    <w:p w14:paraId="49D4D99D" w14:textId="4895DC8E" w:rsidR="00C92DF7" w:rsidRDefault="00277AD2" w:rsidP="00612E9D">
      <w:pPr>
        <w:rPr>
          <w:rFonts w:cs="Arial"/>
          <w:sz w:val="20"/>
          <w:szCs w:val="20"/>
        </w:rPr>
      </w:pPr>
      <w:r>
        <w:rPr>
          <w:rFonts w:cs="Arial"/>
          <w:sz w:val="20"/>
          <w:szCs w:val="20"/>
        </w:rPr>
        <w:t xml:space="preserve">Another key lesson is the importance of the </w:t>
      </w:r>
      <w:r w:rsidR="006C6CC0">
        <w:rPr>
          <w:rFonts w:cs="Arial"/>
          <w:sz w:val="20"/>
          <w:szCs w:val="20"/>
        </w:rPr>
        <w:t>programme continuing to operate nimbly to</w:t>
      </w:r>
      <w:r w:rsidR="006C6CC0" w:rsidRPr="006C6CC0">
        <w:rPr>
          <w:rFonts w:cs="Arial"/>
          <w:sz w:val="20"/>
          <w:szCs w:val="20"/>
        </w:rPr>
        <w:t xml:space="preserve"> respond to rapidly changing ways of working and the changing priorities of target countries as global energy markets evolve or face moments of crisis</w:t>
      </w:r>
      <w:r w:rsidR="001757F1">
        <w:rPr>
          <w:rFonts w:cs="Arial"/>
          <w:sz w:val="20"/>
          <w:szCs w:val="20"/>
        </w:rPr>
        <w:t xml:space="preserve"> or with changes of administration. The development of annual work programmes (within an agreed</w:t>
      </w:r>
      <w:r w:rsidR="00A70DA9">
        <w:rPr>
          <w:rFonts w:cs="Arial"/>
          <w:sz w:val="20"/>
          <w:szCs w:val="20"/>
        </w:rPr>
        <w:t xml:space="preserve"> longer-term </w:t>
      </w:r>
      <w:r w:rsidR="001757F1">
        <w:rPr>
          <w:rFonts w:cs="Arial"/>
          <w:sz w:val="20"/>
          <w:szCs w:val="20"/>
        </w:rPr>
        <w:t>strategic framework</w:t>
      </w:r>
      <w:r w:rsidR="00A70DA9">
        <w:rPr>
          <w:rFonts w:cs="Arial"/>
          <w:sz w:val="20"/>
          <w:szCs w:val="20"/>
        </w:rPr>
        <w:t xml:space="preserve"> that sets overall direction and objectives</w:t>
      </w:r>
      <w:r w:rsidR="001757F1">
        <w:rPr>
          <w:rFonts w:cs="Arial"/>
          <w:sz w:val="20"/>
          <w:szCs w:val="20"/>
        </w:rPr>
        <w:t>)</w:t>
      </w:r>
      <w:r w:rsidR="00A70DA9">
        <w:rPr>
          <w:rFonts w:cs="Arial"/>
          <w:sz w:val="20"/>
          <w:szCs w:val="20"/>
        </w:rPr>
        <w:t xml:space="preserve"> a</w:t>
      </w:r>
      <w:r w:rsidR="00042595">
        <w:rPr>
          <w:rFonts w:cs="Arial"/>
          <w:sz w:val="20"/>
          <w:szCs w:val="20"/>
        </w:rPr>
        <w:t xml:space="preserve">nd </w:t>
      </w:r>
      <w:r w:rsidR="00772C3A">
        <w:rPr>
          <w:rFonts w:cs="Arial"/>
          <w:sz w:val="20"/>
          <w:szCs w:val="20"/>
        </w:rPr>
        <w:t>regular engagement with Funders through the</w:t>
      </w:r>
      <w:r w:rsidR="00A70DA9">
        <w:rPr>
          <w:rFonts w:cs="Arial"/>
          <w:sz w:val="20"/>
          <w:szCs w:val="20"/>
        </w:rPr>
        <w:t xml:space="preserve"> CETP’s</w:t>
      </w:r>
      <w:r w:rsidR="00772C3A">
        <w:rPr>
          <w:rFonts w:cs="Arial"/>
          <w:sz w:val="20"/>
          <w:szCs w:val="20"/>
        </w:rPr>
        <w:t xml:space="preserve"> governance</w:t>
      </w:r>
      <w:r w:rsidR="005C0081">
        <w:rPr>
          <w:rFonts w:cs="Arial"/>
          <w:sz w:val="20"/>
          <w:szCs w:val="20"/>
        </w:rPr>
        <w:t xml:space="preserve"> structures allowing </w:t>
      </w:r>
      <w:r w:rsidR="00472DAC">
        <w:rPr>
          <w:rFonts w:cs="Arial"/>
          <w:sz w:val="20"/>
          <w:szCs w:val="20"/>
        </w:rPr>
        <w:t>the programme to be pro-active in responding to changing demands</w:t>
      </w:r>
      <w:r w:rsidR="00C92DF7">
        <w:rPr>
          <w:rFonts w:cs="Arial"/>
          <w:sz w:val="20"/>
          <w:szCs w:val="20"/>
        </w:rPr>
        <w:t>.</w:t>
      </w:r>
      <w:r w:rsidR="00A272BF">
        <w:rPr>
          <w:rFonts w:cs="Arial"/>
          <w:sz w:val="20"/>
          <w:szCs w:val="20"/>
        </w:rPr>
        <w:t xml:space="preserve"> For example, the CETP was able to respond rapidly to a request from the Indonesian government to </w:t>
      </w:r>
      <w:r w:rsidR="00A272BF" w:rsidRPr="00A272BF">
        <w:rPr>
          <w:rFonts w:cs="Arial"/>
          <w:sz w:val="20"/>
          <w:szCs w:val="20"/>
        </w:rPr>
        <w:t xml:space="preserve">provide policy guidance and analytical support to Indonesia’s Ministry of Energy and Mineral Resources </w:t>
      </w:r>
      <w:r w:rsidR="00A272BF">
        <w:rPr>
          <w:rFonts w:cs="Arial"/>
          <w:sz w:val="20"/>
          <w:szCs w:val="20"/>
        </w:rPr>
        <w:t xml:space="preserve">to </w:t>
      </w:r>
      <w:r w:rsidR="00A272BF" w:rsidRPr="00A272BF">
        <w:rPr>
          <w:rFonts w:cs="Arial"/>
          <w:sz w:val="20"/>
          <w:szCs w:val="20"/>
        </w:rPr>
        <w:t xml:space="preserve">inform the introduction of </w:t>
      </w:r>
      <w:proofErr w:type="gramStart"/>
      <w:r w:rsidR="00A272BF" w:rsidRPr="00A272BF">
        <w:rPr>
          <w:rFonts w:cs="Arial"/>
          <w:sz w:val="20"/>
          <w:szCs w:val="20"/>
        </w:rPr>
        <w:t>new  fuel</w:t>
      </w:r>
      <w:proofErr w:type="gramEnd"/>
      <w:r w:rsidR="00A272BF" w:rsidRPr="00A272BF">
        <w:rPr>
          <w:rFonts w:cs="Arial"/>
          <w:sz w:val="20"/>
          <w:szCs w:val="20"/>
        </w:rPr>
        <w:t xml:space="preserve"> economy standards for heavy trucks.</w:t>
      </w:r>
      <w:r w:rsidR="00C92DF7">
        <w:rPr>
          <w:rFonts w:cs="Arial"/>
          <w:sz w:val="20"/>
          <w:szCs w:val="20"/>
        </w:rPr>
        <w:t xml:space="preserve"> </w:t>
      </w:r>
      <w:r w:rsidR="00A272BF">
        <w:rPr>
          <w:rFonts w:cs="Arial"/>
          <w:sz w:val="20"/>
          <w:szCs w:val="20"/>
        </w:rPr>
        <w:t>T</w:t>
      </w:r>
      <w:r w:rsidR="00C92DF7">
        <w:rPr>
          <w:rFonts w:cs="Arial"/>
          <w:sz w:val="20"/>
          <w:szCs w:val="20"/>
        </w:rPr>
        <w:t xml:space="preserve">his </w:t>
      </w:r>
      <w:r w:rsidR="00A272BF">
        <w:rPr>
          <w:rFonts w:cs="Arial"/>
          <w:sz w:val="20"/>
          <w:szCs w:val="20"/>
        </w:rPr>
        <w:t xml:space="preserve">nimbleness </w:t>
      </w:r>
      <w:r w:rsidR="00C92DF7">
        <w:rPr>
          <w:rFonts w:cs="Arial"/>
          <w:sz w:val="20"/>
          <w:szCs w:val="20"/>
        </w:rPr>
        <w:t>has also been helped by</w:t>
      </w:r>
      <w:r w:rsidR="00E81763">
        <w:rPr>
          <w:rFonts w:cs="Arial"/>
          <w:sz w:val="20"/>
          <w:szCs w:val="20"/>
        </w:rPr>
        <w:t xml:space="preserve"> encouraging donors (including the UK) to provide funding that is not overly ring-fenced allowing resources to be managed to </w:t>
      </w:r>
      <w:r w:rsidR="000957BA">
        <w:rPr>
          <w:rFonts w:cs="Arial"/>
          <w:sz w:val="20"/>
          <w:szCs w:val="20"/>
        </w:rPr>
        <w:t>target support where needed as target countries</w:t>
      </w:r>
      <w:r w:rsidR="00301907">
        <w:rPr>
          <w:rFonts w:cs="Arial"/>
          <w:sz w:val="20"/>
          <w:szCs w:val="20"/>
        </w:rPr>
        <w:t>’</w:t>
      </w:r>
      <w:r w:rsidR="000957BA">
        <w:rPr>
          <w:rFonts w:cs="Arial"/>
          <w:sz w:val="20"/>
          <w:szCs w:val="20"/>
        </w:rPr>
        <w:t xml:space="preserve"> needs change</w:t>
      </w:r>
      <w:r w:rsidR="00472DAC">
        <w:rPr>
          <w:rFonts w:cs="Arial"/>
          <w:sz w:val="20"/>
          <w:szCs w:val="20"/>
        </w:rPr>
        <w:t>.</w:t>
      </w:r>
    </w:p>
    <w:p w14:paraId="5FC23203" w14:textId="77777777" w:rsidR="00C92DF7" w:rsidRDefault="00C92DF7" w:rsidP="00612E9D">
      <w:pPr>
        <w:rPr>
          <w:rFonts w:cs="Arial"/>
          <w:sz w:val="20"/>
          <w:szCs w:val="20"/>
        </w:rPr>
      </w:pPr>
    </w:p>
    <w:p w14:paraId="39ABEECF" w14:textId="05AD2DC9" w:rsidR="00612E9D" w:rsidRPr="00742718" w:rsidRDefault="00472DAC" w:rsidP="00612E9D">
      <w:pPr>
        <w:rPr>
          <w:rFonts w:cs="Arial"/>
          <w:sz w:val="20"/>
          <w:szCs w:val="20"/>
        </w:rPr>
      </w:pPr>
      <w:r>
        <w:rPr>
          <w:rFonts w:cs="Arial"/>
          <w:sz w:val="20"/>
          <w:szCs w:val="20"/>
        </w:rPr>
        <w:t xml:space="preserve"> </w:t>
      </w:r>
      <w:r w:rsidR="005D69F8">
        <w:rPr>
          <w:rFonts w:cs="Arial"/>
          <w:sz w:val="20"/>
          <w:szCs w:val="20"/>
        </w:rPr>
        <w:t>The I</w:t>
      </w:r>
      <w:r w:rsidR="00C92DF7">
        <w:rPr>
          <w:rFonts w:cs="Arial"/>
          <w:sz w:val="20"/>
          <w:szCs w:val="20"/>
        </w:rPr>
        <w:t xml:space="preserve">EA </w:t>
      </w:r>
      <w:r w:rsidR="005D69F8">
        <w:rPr>
          <w:rFonts w:cs="Arial"/>
          <w:sz w:val="20"/>
          <w:szCs w:val="20"/>
        </w:rPr>
        <w:t xml:space="preserve">has continued to </w:t>
      </w:r>
      <w:r w:rsidR="00612E9D" w:rsidRPr="00742718">
        <w:rPr>
          <w:rFonts w:cs="Arial"/>
          <w:sz w:val="20"/>
          <w:szCs w:val="20"/>
        </w:rPr>
        <w:t xml:space="preserve"> engage effectively with the funders of the CETP, S, both in terms of strategic engagement through the Funders Steering Group and bi-laterally with regular and effective communication and opportunities to provide strategic steers for the programme, , and also in the strong engagement with in-country teams providing visibility for UK support and effective co-ordination with other UK-funded activities in country</w:t>
      </w:r>
      <w:r w:rsidR="00E34730">
        <w:rPr>
          <w:rFonts w:cs="Arial"/>
          <w:sz w:val="20"/>
          <w:szCs w:val="20"/>
        </w:rPr>
        <w:t xml:space="preserve"> – helping to ensure that synergies are exploited and duplication avoided in engagement with target countries.   </w:t>
      </w:r>
      <w:r w:rsidR="00612E9D" w:rsidRPr="00742718">
        <w:rPr>
          <w:rFonts w:cs="Arial"/>
          <w:sz w:val="20"/>
          <w:szCs w:val="20"/>
        </w:rPr>
        <w:t xml:space="preserve"> This close co-operation should continue to underpin a second phase. </w:t>
      </w:r>
    </w:p>
    <w:p w14:paraId="13F54F0C" w14:textId="77777777" w:rsidR="00612E9D" w:rsidRPr="00742718" w:rsidRDefault="00612E9D" w:rsidP="00612E9D">
      <w:pPr>
        <w:rPr>
          <w:rFonts w:cs="Arial"/>
          <w:sz w:val="20"/>
          <w:szCs w:val="20"/>
        </w:rPr>
      </w:pPr>
    </w:p>
    <w:p w14:paraId="773A77CC" w14:textId="1912BB68" w:rsidR="00D0302B" w:rsidRDefault="00D0302B" w:rsidP="004D5FD5">
      <w:pPr>
        <w:jc w:val="both"/>
        <w:rPr>
          <w:rFonts w:cs="Arial"/>
          <w:sz w:val="22"/>
          <w:szCs w:val="22"/>
        </w:rPr>
      </w:pPr>
    </w:p>
    <w:tbl>
      <w:tblPr>
        <w:tblStyle w:val="TableGrid"/>
        <w:tblW w:w="0" w:type="auto"/>
        <w:tblLook w:val="04A0" w:firstRow="1" w:lastRow="0" w:firstColumn="1" w:lastColumn="0" w:noHBand="0" w:noVBand="1"/>
      </w:tblPr>
      <w:tblGrid>
        <w:gridCol w:w="4584"/>
        <w:gridCol w:w="4432"/>
      </w:tblGrid>
      <w:tr w:rsidR="00D0302B" w:rsidRPr="00D80C6C" w14:paraId="4B25CB90" w14:textId="77777777" w:rsidTr="7F7619C6">
        <w:tc>
          <w:tcPr>
            <w:tcW w:w="5210" w:type="dxa"/>
            <w:shd w:val="clear" w:color="auto" w:fill="DEEAF6" w:themeFill="accent5" w:themeFillTint="33"/>
          </w:tcPr>
          <w:p w14:paraId="321EF4D2" w14:textId="77777777" w:rsidR="00D0302B" w:rsidRPr="00D80C6C" w:rsidRDefault="00D0302B" w:rsidP="004D5FD5">
            <w:pPr>
              <w:jc w:val="both"/>
              <w:rPr>
                <w:rFonts w:cs="Arial"/>
                <w:b/>
                <w:sz w:val="22"/>
                <w:szCs w:val="22"/>
              </w:rPr>
            </w:pPr>
            <w:r w:rsidRPr="00D80C6C">
              <w:rPr>
                <w:rFonts w:cs="Arial"/>
                <w:b/>
                <w:sz w:val="22"/>
                <w:szCs w:val="22"/>
              </w:rPr>
              <w:t>Recommendation</w:t>
            </w:r>
          </w:p>
        </w:tc>
        <w:tc>
          <w:tcPr>
            <w:tcW w:w="5210" w:type="dxa"/>
            <w:shd w:val="clear" w:color="auto" w:fill="DEEAF6" w:themeFill="accent5" w:themeFillTint="33"/>
          </w:tcPr>
          <w:p w14:paraId="68A2DDD9" w14:textId="3FAD9E3D" w:rsidR="00D0302B" w:rsidRPr="00D80C6C" w:rsidRDefault="00D0302B" w:rsidP="004D5FD5">
            <w:pPr>
              <w:jc w:val="both"/>
              <w:rPr>
                <w:rFonts w:cs="Arial"/>
                <w:b/>
                <w:sz w:val="22"/>
                <w:szCs w:val="22"/>
              </w:rPr>
            </w:pPr>
            <w:r>
              <w:rPr>
                <w:rFonts w:cs="Arial"/>
                <w:b/>
                <w:sz w:val="22"/>
                <w:szCs w:val="22"/>
              </w:rPr>
              <w:t>Deadline</w:t>
            </w:r>
          </w:p>
        </w:tc>
      </w:tr>
      <w:tr w:rsidR="00D0302B" w:rsidRPr="00D80C6C" w14:paraId="2775F316" w14:textId="77777777" w:rsidTr="7F7619C6">
        <w:tc>
          <w:tcPr>
            <w:tcW w:w="5210" w:type="dxa"/>
          </w:tcPr>
          <w:p w14:paraId="03FF2537" w14:textId="3D568A01" w:rsidR="00D0302B" w:rsidRPr="008448DA" w:rsidRDefault="00EF17CF" w:rsidP="004D5FD5">
            <w:pPr>
              <w:jc w:val="both"/>
              <w:rPr>
                <w:rFonts w:cs="Arial"/>
                <w:bCs/>
                <w:sz w:val="22"/>
                <w:szCs w:val="22"/>
              </w:rPr>
            </w:pPr>
            <w:r w:rsidRPr="008448DA">
              <w:rPr>
                <w:rFonts w:cs="Arial"/>
                <w:bCs/>
                <w:sz w:val="22"/>
                <w:szCs w:val="22"/>
              </w:rPr>
              <w:t>DESNZ</w:t>
            </w:r>
            <w:r w:rsidR="00912C58" w:rsidRPr="008448DA">
              <w:rPr>
                <w:rFonts w:cs="Arial"/>
                <w:bCs/>
                <w:sz w:val="22"/>
                <w:szCs w:val="22"/>
              </w:rPr>
              <w:t>/</w:t>
            </w:r>
            <w:r w:rsidRPr="008448DA">
              <w:rPr>
                <w:rFonts w:cs="Arial"/>
                <w:bCs/>
                <w:sz w:val="22"/>
                <w:szCs w:val="22"/>
              </w:rPr>
              <w:t xml:space="preserve">IEA to review </w:t>
            </w:r>
            <w:proofErr w:type="spellStart"/>
            <w:r w:rsidRPr="008448DA">
              <w:rPr>
                <w:rFonts w:cs="Arial"/>
                <w:bCs/>
                <w:sz w:val="22"/>
                <w:szCs w:val="22"/>
              </w:rPr>
              <w:t>logframe</w:t>
            </w:r>
            <w:proofErr w:type="spellEnd"/>
            <w:r w:rsidRPr="008448DA">
              <w:rPr>
                <w:rFonts w:cs="Arial"/>
                <w:bCs/>
                <w:sz w:val="22"/>
                <w:szCs w:val="22"/>
              </w:rPr>
              <w:t xml:space="preserve"> to ensure that milestones for future are </w:t>
            </w:r>
            <w:r w:rsidR="00912C58" w:rsidRPr="008448DA">
              <w:rPr>
                <w:rFonts w:cs="Arial"/>
                <w:bCs/>
                <w:sz w:val="22"/>
                <w:szCs w:val="22"/>
              </w:rPr>
              <w:t xml:space="preserve">realistic, achievable but retain </w:t>
            </w:r>
            <w:r w:rsidR="008448DA">
              <w:rPr>
                <w:rFonts w:cs="Arial"/>
                <w:bCs/>
                <w:sz w:val="22"/>
                <w:szCs w:val="22"/>
              </w:rPr>
              <w:t>stretch</w:t>
            </w:r>
            <w:r w:rsidR="00A33398">
              <w:rPr>
                <w:rFonts w:cs="Arial"/>
                <w:bCs/>
                <w:sz w:val="22"/>
                <w:szCs w:val="22"/>
              </w:rPr>
              <w:t xml:space="preserve">, particularly where there has been significant overachievement in year 1. This should include </w:t>
            </w:r>
            <w:r w:rsidR="00851D17">
              <w:rPr>
                <w:rFonts w:cs="Arial"/>
                <w:bCs/>
                <w:sz w:val="22"/>
                <w:szCs w:val="22"/>
              </w:rPr>
              <w:t xml:space="preserve">consideration </w:t>
            </w:r>
            <w:r w:rsidR="00661DB2">
              <w:rPr>
                <w:rFonts w:cs="Arial"/>
                <w:bCs/>
                <w:sz w:val="22"/>
                <w:szCs w:val="22"/>
              </w:rPr>
              <w:t>of</w:t>
            </w:r>
            <w:r w:rsidR="00851D17">
              <w:rPr>
                <w:rFonts w:cs="Arial"/>
                <w:bCs/>
                <w:sz w:val="22"/>
                <w:szCs w:val="22"/>
              </w:rPr>
              <w:t xml:space="preserve"> the weighting as attached to outputs</w:t>
            </w:r>
            <w:r w:rsidR="00912C58" w:rsidRPr="008448DA">
              <w:rPr>
                <w:rFonts w:cs="Arial"/>
                <w:bCs/>
                <w:sz w:val="22"/>
                <w:szCs w:val="22"/>
              </w:rPr>
              <w:t xml:space="preserve">  </w:t>
            </w:r>
          </w:p>
        </w:tc>
        <w:tc>
          <w:tcPr>
            <w:tcW w:w="5210" w:type="dxa"/>
          </w:tcPr>
          <w:p w14:paraId="6E43508C" w14:textId="0EE21A8A" w:rsidR="00D0302B" w:rsidRPr="00D80C6C" w:rsidRDefault="008F7BBE" w:rsidP="4630108C">
            <w:pPr>
              <w:jc w:val="both"/>
              <w:rPr>
                <w:rFonts w:cs="Arial"/>
                <w:i/>
                <w:iCs/>
                <w:sz w:val="22"/>
                <w:szCs w:val="22"/>
              </w:rPr>
            </w:pPr>
            <w:r w:rsidRPr="4630108C">
              <w:rPr>
                <w:rFonts w:cs="Arial"/>
                <w:i/>
                <w:iCs/>
                <w:sz w:val="22"/>
                <w:szCs w:val="22"/>
              </w:rPr>
              <w:t xml:space="preserve">By end of </w:t>
            </w:r>
            <w:r w:rsidR="4368349A" w:rsidRPr="4630108C">
              <w:rPr>
                <w:rFonts w:cs="Arial"/>
                <w:i/>
                <w:iCs/>
                <w:sz w:val="22"/>
                <w:szCs w:val="22"/>
              </w:rPr>
              <w:t xml:space="preserve">September </w:t>
            </w:r>
            <w:r w:rsidRPr="4630108C">
              <w:rPr>
                <w:rFonts w:cs="Arial"/>
                <w:i/>
                <w:iCs/>
                <w:sz w:val="22"/>
                <w:szCs w:val="22"/>
              </w:rPr>
              <w:t>2025</w:t>
            </w:r>
            <w:r w:rsidR="00EF17CF" w:rsidRPr="4630108C">
              <w:rPr>
                <w:rFonts w:cs="Arial"/>
                <w:i/>
                <w:iCs/>
                <w:sz w:val="22"/>
                <w:szCs w:val="22"/>
              </w:rPr>
              <w:t xml:space="preserve"> </w:t>
            </w:r>
          </w:p>
        </w:tc>
      </w:tr>
      <w:tr w:rsidR="00D0302B" w:rsidRPr="00D80C6C" w14:paraId="1A7BBA1B" w14:textId="77777777" w:rsidTr="7F7619C6">
        <w:tc>
          <w:tcPr>
            <w:tcW w:w="5210" w:type="dxa"/>
          </w:tcPr>
          <w:p w14:paraId="055F8F7E" w14:textId="21DBAE10" w:rsidR="00D0302B" w:rsidRPr="008F7BBE" w:rsidRDefault="00A219E8" w:rsidP="004D5FD5">
            <w:pPr>
              <w:jc w:val="both"/>
              <w:rPr>
                <w:rFonts w:cs="Arial"/>
                <w:bCs/>
                <w:sz w:val="22"/>
                <w:szCs w:val="22"/>
              </w:rPr>
            </w:pPr>
            <w:r w:rsidRPr="008F7BBE">
              <w:rPr>
                <w:rFonts w:cs="Arial"/>
                <w:bCs/>
                <w:sz w:val="22"/>
                <w:szCs w:val="22"/>
              </w:rPr>
              <w:t>DESNZ to conduct a benchmarking exercise</w:t>
            </w:r>
            <w:r w:rsidR="00851D17" w:rsidRPr="008F7BBE">
              <w:rPr>
                <w:rFonts w:cs="Arial"/>
                <w:bCs/>
                <w:sz w:val="22"/>
                <w:szCs w:val="22"/>
              </w:rPr>
              <w:t xml:space="preserve"> with other ICF technical assistance programmes</w:t>
            </w:r>
            <w:r w:rsidR="008F7BBE">
              <w:rPr>
                <w:rFonts w:cs="Arial"/>
                <w:bCs/>
                <w:sz w:val="22"/>
                <w:szCs w:val="22"/>
              </w:rPr>
              <w:t xml:space="preserve"> </w:t>
            </w:r>
            <w:r w:rsidRPr="008F7BBE">
              <w:rPr>
                <w:rFonts w:cs="Arial"/>
                <w:bCs/>
                <w:sz w:val="22"/>
                <w:szCs w:val="22"/>
              </w:rPr>
              <w:t>to assess</w:t>
            </w:r>
            <w:r w:rsidR="00851D17" w:rsidRPr="008F7BBE">
              <w:rPr>
                <w:rFonts w:cs="Arial"/>
                <w:bCs/>
                <w:sz w:val="22"/>
                <w:szCs w:val="22"/>
              </w:rPr>
              <w:t xml:space="preserve"> whether gender targets are </w:t>
            </w:r>
            <w:r w:rsidR="008F7BBE" w:rsidRPr="008F7BBE">
              <w:rPr>
                <w:rFonts w:cs="Arial"/>
                <w:bCs/>
                <w:sz w:val="22"/>
                <w:szCs w:val="22"/>
              </w:rPr>
              <w:t>sufficiently ambitious</w:t>
            </w:r>
            <w:r w:rsidRPr="008F7BBE">
              <w:rPr>
                <w:rFonts w:cs="Arial"/>
                <w:bCs/>
                <w:sz w:val="22"/>
                <w:szCs w:val="22"/>
              </w:rPr>
              <w:t xml:space="preserve"> </w:t>
            </w:r>
          </w:p>
        </w:tc>
        <w:tc>
          <w:tcPr>
            <w:tcW w:w="5210" w:type="dxa"/>
          </w:tcPr>
          <w:p w14:paraId="456BD3DD" w14:textId="5A25D884" w:rsidR="00D0302B" w:rsidRDefault="008F7BBE" w:rsidP="4630108C">
            <w:pPr>
              <w:jc w:val="both"/>
              <w:rPr>
                <w:rFonts w:cs="Arial"/>
                <w:i/>
                <w:iCs/>
                <w:sz w:val="22"/>
                <w:szCs w:val="22"/>
              </w:rPr>
            </w:pPr>
            <w:r w:rsidRPr="4630108C">
              <w:rPr>
                <w:rFonts w:cs="Arial"/>
                <w:i/>
                <w:iCs/>
                <w:sz w:val="22"/>
                <w:szCs w:val="22"/>
              </w:rPr>
              <w:t xml:space="preserve">By end of </w:t>
            </w:r>
            <w:r w:rsidR="6C1DC8B9" w:rsidRPr="4630108C">
              <w:rPr>
                <w:rFonts w:cs="Arial"/>
                <w:i/>
                <w:iCs/>
                <w:sz w:val="22"/>
                <w:szCs w:val="22"/>
              </w:rPr>
              <w:t xml:space="preserve">September </w:t>
            </w:r>
            <w:r w:rsidRPr="4630108C">
              <w:rPr>
                <w:rFonts w:cs="Arial"/>
                <w:i/>
                <w:iCs/>
                <w:sz w:val="22"/>
                <w:szCs w:val="22"/>
              </w:rPr>
              <w:t xml:space="preserve">2025 </w:t>
            </w:r>
          </w:p>
          <w:p w14:paraId="3E1082EE" w14:textId="77777777" w:rsidR="008F7BBE" w:rsidRPr="008F7BBE" w:rsidRDefault="008F7BBE" w:rsidP="008F7BBE">
            <w:pPr>
              <w:rPr>
                <w:rFonts w:cs="Arial"/>
                <w:sz w:val="22"/>
                <w:szCs w:val="22"/>
              </w:rPr>
            </w:pPr>
          </w:p>
        </w:tc>
      </w:tr>
      <w:tr w:rsidR="00D0302B" w:rsidRPr="00D80C6C" w14:paraId="50A30B87" w14:textId="77777777" w:rsidTr="7F7619C6">
        <w:tc>
          <w:tcPr>
            <w:tcW w:w="5210" w:type="dxa"/>
          </w:tcPr>
          <w:p w14:paraId="44098FC0" w14:textId="4DF56D77" w:rsidR="008F7BBE" w:rsidRPr="00D80C6C" w:rsidRDefault="008F7BBE" w:rsidP="00661DB2">
            <w:pPr>
              <w:jc w:val="both"/>
              <w:rPr>
                <w:rFonts w:cs="Arial"/>
                <w:b/>
                <w:sz w:val="22"/>
                <w:szCs w:val="22"/>
              </w:rPr>
            </w:pPr>
            <w:r w:rsidRPr="00B0504E">
              <w:rPr>
                <w:rFonts w:cs="Arial"/>
                <w:bCs/>
                <w:sz w:val="22"/>
                <w:szCs w:val="22"/>
              </w:rPr>
              <w:t xml:space="preserve">DESNZ to begin conversation with the IEA and through internal processes to assess future CETP funding needs and </w:t>
            </w:r>
            <w:r w:rsidR="00B0504E" w:rsidRPr="00B0504E">
              <w:rPr>
                <w:rFonts w:cs="Arial"/>
                <w:bCs/>
                <w:sz w:val="22"/>
                <w:szCs w:val="22"/>
              </w:rPr>
              <w:t>available resources in the light of geopolitical developments and reductions in ODA</w:t>
            </w:r>
            <w:r w:rsidR="00B0504E">
              <w:rPr>
                <w:rFonts w:cs="Arial"/>
                <w:bCs/>
                <w:sz w:val="22"/>
                <w:szCs w:val="22"/>
              </w:rPr>
              <w:t>.</w:t>
            </w:r>
          </w:p>
        </w:tc>
        <w:tc>
          <w:tcPr>
            <w:tcW w:w="5210" w:type="dxa"/>
          </w:tcPr>
          <w:p w14:paraId="3DDC89E6" w14:textId="398F1A59" w:rsidR="00D0302B" w:rsidRPr="00D80C6C" w:rsidRDefault="6AB455DC" w:rsidP="7F7619C6">
            <w:pPr>
              <w:jc w:val="both"/>
              <w:rPr>
                <w:rFonts w:cs="Arial"/>
                <w:i/>
                <w:iCs/>
                <w:sz w:val="22"/>
                <w:szCs w:val="22"/>
              </w:rPr>
            </w:pPr>
            <w:r w:rsidRPr="7F7619C6">
              <w:rPr>
                <w:rFonts w:cs="Arial"/>
                <w:i/>
                <w:iCs/>
                <w:sz w:val="22"/>
                <w:szCs w:val="22"/>
              </w:rPr>
              <w:t>From August 2025</w:t>
            </w:r>
          </w:p>
        </w:tc>
      </w:tr>
      <w:tr w:rsidR="00661DB2" w:rsidRPr="00D80C6C" w14:paraId="43951222" w14:textId="77777777" w:rsidTr="7F7619C6">
        <w:tc>
          <w:tcPr>
            <w:tcW w:w="5210" w:type="dxa"/>
          </w:tcPr>
          <w:p w14:paraId="371A40CA" w14:textId="57A5F4D1" w:rsidR="00661DB2" w:rsidRPr="00B0504E" w:rsidRDefault="00D76DDD" w:rsidP="00661DB2">
            <w:pPr>
              <w:jc w:val="both"/>
              <w:rPr>
                <w:rFonts w:cs="Arial"/>
                <w:bCs/>
                <w:sz w:val="22"/>
                <w:szCs w:val="22"/>
              </w:rPr>
            </w:pPr>
            <w:r>
              <w:rPr>
                <w:rFonts w:cs="Arial"/>
                <w:bCs/>
                <w:sz w:val="22"/>
                <w:szCs w:val="22"/>
              </w:rPr>
              <w:t xml:space="preserve">Following </w:t>
            </w:r>
            <w:r w:rsidR="00AC6014">
              <w:rPr>
                <w:rFonts w:cs="Arial"/>
                <w:bCs/>
                <w:sz w:val="22"/>
                <w:szCs w:val="22"/>
              </w:rPr>
              <w:t xml:space="preserve">launch </w:t>
            </w:r>
            <w:r>
              <w:rPr>
                <w:rFonts w:cs="Arial"/>
                <w:bCs/>
                <w:sz w:val="22"/>
                <w:szCs w:val="22"/>
              </w:rPr>
              <w:t xml:space="preserve">of </w:t>
            </w:r>
            <w:r w:rsidR="00AC6014">
              <w:rPr>
                <w:rFonts w:cs="Arial"/>
                <w:bCs/>
                <w:sz w:val="22"/>
                <w:szCs w:val="22"/>
              </w:rPr>
              <w:t xml:space="preserve">the </w:t>
            </w:r>
            <w:r>
              <w:rPr>
                <w:rFonts w:cs="Arial"/>
                <w:bCs/>
                <w:sz w:val="22"/>
                <w:szCs w:val="22"/>
              </w:rPr>
              <w:t xml:space="preserve">CETPs dedicated programme on </w:t>
            </w:r>
            <w:r w:rsidR="00C343B5">
              <w:rPr>
                <w:rFonts w:cs="Arial"/>
                <w:bCs/>
                <w:sz w:val="22"/>
                <w:szCs w:val="22"/>
              </w:rPr>
              <w:t xml:space="preserve">methane emissions </w:t>
            </w:r>
            <w:r>
              <w:rPr>
                <w:rFonts w:cs="Arial"/>
                <w:bCs/>
                <w:sz w:val="22"/>
                <w:szCs w:val="22"/>
              </w:rPr>
              <w:t>reduction in the oil and gas secto</w:t>
            </w:r>
            <w:r w:rsidR="00AC6014">
              <w:rPr>
                <w:rFonts w:cs="Arial"/>
                <w:bCs/>
                <w:sz w:val="22"/>
                <w:szCs w:val="22"/>
              </w:rPr>
              <w:t xml:space="preserve">r (enabled and supported by ring-fenced UK funding), </w:t>
            </w:r>
            <w:r w:rsidR="00E837B0">
              <w:rPr>
                <w:rFonts w:cs="Arial"/>
                <w:bCs/>
                <w:sz w:val="22"/>
                <w:szCs w:val="22"/>
              </w:rPr>
              <w:t xml:space="preserve">DESNZ/IEA </w:t>
            </w:r>
            <w:r w:rsidR="00AC6014">
              <w:rPr>
                <w:rFonts w:cs="Arial"/>
                <w:bCs/>
                <w:sz w:val="22"/>
                <w:szCs w:val="22"/>
              </w:rPr>
              <w:t xml:space="preserve">conduct an initial focussed review to steer the forward programme   </w:t>
            </w:r>
          </w:p>
        </w:tc>
        <w:tc>
          <w:tcPr>
            <w:tcW w:w="5210" w:type="dxa"/>
          </w:tcPr>
          <w:p w14:paraId="0534545C" w14:textId="582A094E" w:rsidR="00661DB2" w:rsidRDefault="60877C8B" w:rsidP="7F7619C6">
            <w:pPr>
              <w:jc w:val="both"/>
              <w:rPr>
                <w:rFonts w:cs="Arial"/>
                <w:i/>
                <w:iCs/>
                <w:sz w:val="22"/>
                <w:szCs w:val="22"/>
              </w:rPr>
            </w:pPr>
            <w:r w:rsidRPr="7F7619C6">
              <w:rPr>
                <w:rFonts w:cs="Arial"/>
                <w:i/>
                <w:iCs/>
                <w:sz w:val="22"/>
                <w:szCs w:val="22"/>
              </w:rPr>
              <w:t xml:space="preserve">By end </w:t>
            </w:r>
            <w:proofErr w:type="gramStart"/>
            <w:r w:rsidRPr="7F7619C6">
              <w:rPr>
                <w:rFonts w:cs="Arial"/>
                <w:i/>
                <w:iCs/>
                <w:sz w:val="22"/>
                <w:szCs w:val="22"/>
              </w:rPr>
              <w:t>o</w:t>
            </w:r>
            <w:r w:rsidR="1A2A1670" w:rsidRPr="7F7619C6">
              <w:rPr>
                <w:rFonts w:cs="Arial"/>
                <w:i/>
                <w:iCs/>
                <w:sz w:val="22"/>
                <w:szCs w:val="22"/>
              </w:rPr>
              <w:t>f</w:t>
            </w:r>
            <w:r w:rsidRPr="7F7619C6">
              <w:rPr>
                <w:rFonts w:cs="Arial"/>
                <w:i/>
                <w:iCs/>
                <w:sz w:val="22"/>
                <w:szCs w:val="22"/>
              </w:rPr>
              <w:t xml:space="preserve"> </w:t>
            </w:r>
            <w:r w:rsidR="012D6252" w:rsidRPr="7F7619C6">
              <w:rPr>
                <w:rFonts w:cs="Arial"/>
                <w:i/>
                <w:iCs/>
                <w:sz w:val="22"/>
                <w:szCs w:val="22"/>
              </w:rPr>
              <w:t xml:space="preserve"> October</w:t>
            </w:r>
            <w:proofErr w:type="gramEnd"/>
            <w:r w:rsidR="1A2A1670" w:rsidRPr="7F7619C6">
              <w:rPr>
                <w:rFonts w:cs="Arial"/>
                <w:i/>
                <w:iCs/>
                <w:sz w:val="22"/>
                <w:szCs w:val="22"/>
              </w:rPr>
              <w:t xml:space="preserve"> 2025</w:t>
            </w:r>
            <w:r w:rsidRPr="7F7619C6">
              <w:rPr>
                <w:rFonts w:cs="Arial"/>
                <w:i/>
                <w:iCs/>
                <w:sz w:val="22"/>
                <w:szCs w:val="22"/>
              </w:rPr>
              <w:t xml:space="preserve"> </w:t>
            </w:r>
          </w:p>
        </w:tc>
      </w:tr>
    </w:tbl>
    <w:p w14:paraId="7F17C967" w14:textId="4E965DD7" w:rsidR="00CB2873" w:rsidRDefault="00CB2873" w:rsidP="004D5FD5">
      <w:pPr>
        <w:jc w:val="both"/>
      </w:pPr>
    </w:p>
    <w:tbl>
      <w:tblPr>
        <w:tblStyle w:val="TableGrid"/>
        <w:tblW w:w="0" w:type="auto"/>
        <w:tblLook w:val="04A0" w:firstRow="1" w:lastRow="0" w:firstColumn="1" w:lastColumn="0" w:noHBand="0" w:noVBand="1"/>
      </w:tblPr>
      <w:tblGrid>
        <w:gridCol w:w="9016"/>
      </w:tblGrid>
      <w:tr w:rsidR="00CB2873" w14:paraId="3D63871C" w14:textId="77777777" w:rsidTr="527A8EFF">
        <w:tc>
          <w:tcPr>
            <w:tcW w:w="9016" w:type="dxa"/>
            <w:shd w:val="clear" w:color="auto" w:fill="DEEAF6" w:themeFill="accent5" w:themeFillTint="33"/>
          </w:tcPr>
          <w:p w14:paraId="3A432808" w14:textId="25C3B56F" w:rsidR="00CB2873" w:rsidRDefault="00CB2873" w:rsidP="004D5FD5">
            <w:pPr>
              <w:jc w:val="both"/>
            </w:pPr>
            <w:bookmarkStart w:id="5" w:name="_Toc650340794"/>
            <w:bookmarkStart w:id="6" w:name="_Hlk110858960"/>
            <w:r w:rsidRPr="527A8EFF">
              <w:rPr>
                <w:rStyle w:val="Heading1Char"/>
                <w:rFonts w:ascii="Arial" w:hAnsi="Arial" w:cs="Arial"/>
                <w:b/>
                <w:bCs/>
                <w:color w:val="auto"/>
              </w:rPr>
              <w:t xml:space="preserve">Section B: Theory of </w:t>
            </w:r>
            <w:r w:rsidR="20262009" w:rsidRPr="527A8EFF">
              <w:rPr>
                <w:rStyle w:val="Heading1Char"/>
                <w:rFonts w:ascii="Arial" w:hAnsi="Arial" w:cs="Arial"/>
                <w:b/>
                <w:bCs/>
                <w:color w:val="auto"/>
              </w:rPr>
              <w:t>c</w:t>
            </w:r>
            <w:r w:rsidRPr="527A8EFF">
              <w:rPr>
                <w:rStyle w:val="Heading1Char"/>
                <w:rFonts w:ascii="Arial" w:hAnsi="Arial" w:cs="Arial"/>
                <w:b/>
                <w:bCs/>
                <w:color w:val="auto"/>
              </w:rPr>
              <w:t>hange and progress towards outcomes</w:t>
            </w:r>
            <w:bookmarkEnd w:id="5"/>
            <w:r>
              <w:t xml:space="preserve"> [2 pages]</w:t>
            </w:r>
          </w:p>
        </w:tc>
      </w:tr>
      <w:bookmarkEnd w:id="6"/>
    </w:tbl>
    <w:p w14:paraId="799AF0D2" w14:textId="77777777" w:rsidR="00CB2873" w:rsidRPr="009E3F6E" w:rsidRDefault="00CB2873" w:rsidP="004D5FD5">
      <w:pPr>
        <w:jc w:val="both"/>
      </w:pPr>
    </w:p>
    <w:p w14:paraId="25478844" w14:textId="0A0855AC" w:rsidR="003D222C" w:rsidRPr="00004515" w:rsidRDefault="00AA718D" w:rsidP="004D5FD5">
      <w:pPr>
        <w:jc w:val="both"/>
      </w:pPr>
      <w:bookmarkStart w:id="7" w:name="_Toc1197078254"/>
      <w:r w:rsidRPr="527A8EFF">
        <w:rPr>
          <w:rStyle w:val="Heading2Char"/>
        </w:rPr>
        <w:lastRenderedPageBreak/>
        <w:t>Summary of the</w:t>
      </w:r>
      <w:r w:rsidR="007D6095" w:rsidRPr="527A8EFF">
        <w:rPr>
          <w:rStyle w:val="Heading2Char"/>
        </w:rPr>
        <w:t xml:space="preserve"> </w:t>
      </w:r>
      <w:r w:rsidR="003D222C" w:rsidRPr="527A8EFF">
        <w:rPr>
          <w:rStyle w:val="Heading2Char"/>
        </w:rPr>
        <w:t>programme’s theory of change, including any changes to outcome and impact indicators from the original business case</w:t>
      </w:r>
      <w:bookmarkEnd w:id="7"/>
      <w:r w:rsidR="003D222C">
        <w:t xml:space="preserve"> [1/2 page]</w:t>
      </w:r>
    </w:p>
    <w:p w14:paraId="44435565" w14:textId="77777777" w:rsidR="003D222C" w:rsidRPr="00D80C6C" w:rsidRDefault="003D222C" w:rsidP="004D5FD5">
      <w:pPr>
        <w:jc w:val="both"/>
        <w:rPr>
          <w:rFonts w:cs="Arial"/>
          <w:b/>
          <w:sz w:val="22"/>
          <w:szCs w:val="22"/>
        </w:rPr>
      </w:pPr>
    </w:p>
    <w:p w14:paraId="3D1641E7" w14:textId="77777777" w:rsidR="00080D95" w:rsidRPr="00742718" w:rsidRDefault="00080D95" w:rsidP="00080D95">
      <w:pPr>
        <w:rPr>
          <w:rFonts w:cs="Arial"/>
          <w:sz w:val="20"/>
          <w:szCs w:val="22"/>
        </w:rPr>
      </w:pPr>
      <w:r w:rsidRPr="00742718">
        <w:rPr>
          <w:rFonts w:cs="Arial"/>
          <w:sz w:val="20"/>
          <w:szCs w:val="22"/>
        </w:rPr>
        <w:t xml:space="preserve">The expected impact as described in the programme’s theory of change is that analytically rigorous technical assistance would deliver improved capacity to accelerate support for delivery of secure, affordable and low carbon energy transition policy, in specific major emerging economies.   </w:t>
      </w:r>
    </w:p>
    <w:p w14:paraId="19EB2039" w14:textId="77777777" w:rsidR="00080D95" w:rsidRPr="00742718" w:rsidRDefault="00080D95" w:rsidP="00080D95">
      <w:pPr>
        <w:rPr>
          <w:rFonts w:cs="Arial"/>
          <w:sz w:val="20"/>
          <w:szCs w:val="22"/>
        </w:rPr>
      </w:pPr>
    </w:p>
    <w:p w14:paraId="6C3FF45C" w14:textId="77777777" w:rsidR="00080D95" w:rsidRPr="00742718" w:rsidRDefault="00080D95" w:rsidP="00080D95">
      <w:pPr>
        <w:rPr>
          <w:rFonts w:cs="Arial"/>
          <w:sz w:val="20"/>
          <w:szCs w:val="22"/>
        </w:rPr>
      </w:pPr>
      <w:r w:rsidRPr="00742718">
        <w:rPr>
          <w:rFonts w:cs="Arial"/>
          <w:sz w:val="20"/>
          <w:szCs w:val="22"/>
        </w:rPr>
        <w:t xml:space="preserve">Inputs include IEA expertise on energy data and analysis, policy, and technology, and the strong existing relationships the IEA has with emerging economy ministers, government officials and technical experts, including a comprehensive understanding of country needs and interests. These inputs will be leveraged to deliver training and capacity building activities on data, indicators and modelling, provide technical collaboration and support on range of relevant policy analysis and guidance and convene relevant stakeholders within countries, and arrange for cross-country dialogue and exchange. The aim of these activities is to demonstrate the feasibility of accelerated energy transition, increase institutional capacity and capability in output areas, improve enabling environments for appropriate energy technology RD&amp;D and innovation and encourage key players in Government and other stakeholders to be more supportive of low carbon energy policy options. </w:t>
      </w:r>
    </w:p>
    <w:p w14:paraId="6C8E5C77" w14:textId="77777777" w:rsidR="00080D95" w:rsidRPr="00742718" w:rsidRDefault="00080D95" w:rsidP="00080D95">
      <w:pPr>
        <w:rPr>
          <w:rFonts w:cs="Arial"/>
          <w:sz w:val="20"/>
          <w:szCs w:val="22"/>
        </w:rPr>
      </w:pPr>
    </w:p>
    <w:p w14:paraId="2C7E2290" w14:textId="77777777" w:rsidR="00080D95" w:rsidRPr="00742718" w:rsidRDefault="00080D95" w:rsidP="00080D95">
      <w:pPr>
        <w:rPr>
          <w:rFonts w:cs="Arial"/>
          <w:sz w:val="20"/>
          <w:szCs w:val="20"/>
        </w:rPr>
      </w:pPr>
      <w:r w:rsidRPr="00742718">
        <w:rPr>
          <w:rFonts w:cs="Arial"/>
          <w:sz w:val="20"/>
          <w:szCs w:val="20"/>
        </w:rPr>
        <w:t xml:space="preserve">There have been no changes to the outcome or impact level since the programme started. </w:t>
      </w:r>
    </w:p>
    <w:p w14:paraId="7E00C65A" w14:textId="77777777" w:rsidR="00080D95" w:rsidRPr="00742718" w:rsidRDefault="00080D95" w:rsidP="00080D95">
      <w:pPr>
        <w:rPr>
          <w:rFonts w:cs="Arial"/>
          <w:b/>
          <w:bCs/>
          <w:sz w:val="22"/>
          <w:szCs w:val="22"/>
        </w:rPr>
      </w:pPr>
    </w:p>
    <w:p w14:paraId="594B159C" w14:textId="6C06D7C2" w:rsidR="003D222C" w:rsidRDefault="007D6095" w:rsidP="004D5FD5">
      <w:pPr>
        <w:jc w:val="both"/>
        <w:rPr>
          <w:rFonts w:cs="Arial"/>
          <w:sz w:val="22"/>
          <w:szCs w:val="22"/>
        </w:rPr>
      </w:pPr>
      <w:bookmarkStart w:id="8" w:name="_Toc395759822"/>
      <w:r w:rsidRPr="527A8EFF">
        <w:rPr>
          <w:rStyle w:val="Heading2Char"/>
        </w:rPr>
        <w:t>Progress against</w:t>
      </w:r>
      <w:r w:rsidR="003D222C" w:rsidRPr="527A8EFF">
        <w:rPr>
          <w:rStyle w:val="Heading2Char"/>
        </w:rPr>
        <w:t xml:space="preserve"> the expected outcomes and </w:t>
      </w:r>
      <w:r w:rsidRPr="527A8EFF">
        <w:rPr>
          <w:rStyle w:val="Heading2Char"/>
        </w:rPr>
        <w:t>impact, and</w:t>
      </w:r>
      <w:r w:rsidR="003D222C" w:rsidRPr="527A8EFF">
        <w:rPr>
          <w:rStyle w:val="Heading2Char"/>
        </w:rPr>
        <w:t xml:space="preserve"> action</w:t>
      </w:r>
      <w:r w:rsidRPr="527A8EFF">
        <w:rPr>
          <w:rStyle w:val="Heading2Char"/>
        </w:rPr>
        <w:t>s</w:t>
      </w:r>
      <w:r w:rsidR="003D222C" w:rsidRPr="527A8EFF">
        <w:rPr>
          <w:rStyle w:val="Heading2Char"/>
        </w:rPr>
        <w:t xml:space="preserve"> planned </w:t>
      </w:r>
      <w:r w:rsidR="002D09A5" w:rsidRPr="527A8EFF">
        <w:rPr>
          <w:rStyle w:val="Heading2Char"/>
        </w:rPr>
        <w:t>for</w:t>
      </w:r>
      <w:r w:rsidR="003D222C" w:rsidRPr="527A8EFF">
        <w:rPr>
          <w:rStyle w:val="Heading2Char"/>
        </w:rPr>
        <w:t xml:space="preserve"> the year ahead</w:t>
      </w:r>
      <w:bookmarkEnd w:id="8"/>
      <w:r w:rsidR="003D222C" w:rsidRPr="527A8EFF">
        <w:rPr>
          <w:rFonts w:cs="Arial"/>
          <w:sz w:val="22"/>
          <w:szCs w:val="22"/>
        </w:rPr>
        <w:t xml:space="preserve"> [1/2 page] </w:t>
      </w:r>
    </w:p>
    <w:p w14:paraId="7A3057B0" w14:textId="77777777" w:rsidR="00811A69" w:rsidRDefault="00811A69" w:rsidP="004D5FD5">
      <w:pPr>
        <w:jc w:val="both"/>
        <w:rPr>
          <w:rFonts w:cs="Arial"/>
          <w:sz w:val="22"/>
          <w:szCs w:val="22"/>
        </w:rPr>
      </w:pPr>
    </w:p>
    <w:p w14:paraId="583122A7" w14:textId="07BF401B" w:rsidR="00811A69" w:rsidRDefault="00811A69" w:rsidP="00811A69">
      <w:pPr>
        <w:jc w:val="both"/>
        <w:rPr>
          <w:rFonts w:cs="Arial"/>
          <w:sz w:val="22"/>
          <w:szCs w:val="22"/>
        </w:rPr>
      </w:pPr>
      <w:r w:rsidRPr="00811A69">
        <w:rPr>
          <w:rFonts w:cs="Arial"/>
          <w:sz w:val="22"/>
          <w:szCs w:val="22"/>
        </w:rPr>
        <w:t xml:space="preserve">The programme has met expected outcomes and impacts within the timescales and budget envisaged.  </w:t>
      </w:r>
      <w:r w:rsidR="00E17364">
        <w:rPr>
          <w:rFonts w:cs="Arial"/>
          <w:sz w:val="22"/>
          <w:szCs w:val="22"/>
        </w:rPr>
        <w:t xml:space="preserve">Impacts tracked through progress by priority countries </w:t>
      </w:r>
      <w:proofErr w:type="spellStart"/>
      <w:r w:rsidR="001265B0">
        <w:rPr>
          <w:rFonts w:cs="Arial"/>
          <w:sz w:val="22"/>
          <w:szCs w:val="22"/>
        </w:rPr>
        <w:t>aginst</w:t>
      </w:r>
      <w:proofErr w:type="spellEnd"/>
      <w:r w:rsidR="00E17364">
        <w:rPr>
          <w:rFonts w:cs="Arial"/>
          <w:sz w:val="22"/>
          <w:szCs w:val="22"/>
        </w:rPr>
        <w:t xml:space="preserve"> </w:t>
      </w:r>
      <w:r w:rsidRPr="00811A69">
        <w:rPr>
          <w:rFonts w:cs="Arial"/>
          <w:sz w:val="22"/>
          <w:szCs w:val="22"/>
        </w:rPr>
        <w:t xml:space="preserve">the UN sustainable Development Goal 7 </w:t>
      </w:r>
      <w:r w:rsidR="001265B0">
        <w:rPr>
          <w:rFonts w:cs="Arial"/>
          <w:sz w:val="22"/>
          <w:szCs w:val="22"/>
        </w:rPr>
        <w:t xml:space="preserve">have been positive with improvements in energy </w:t>
      </w:r>
      <w:proofErr w:type="gramStart"/>
      <w:r w:rsidR="001265B0">
        <w:rPr>
          <w:rFonts w:cs="Arial"/>
          <w:sz w:val="22"/>
          <w:szCs w:val="22"/>
        </w:rPr>
        <w:t>efficiency ,</w:t>
      </w:r>
      <w:proofErr w:type="gramEnd"/>
      <w:r w:rsidR="001265B0">
        <w:rPr>
          <w:rFonts w:cs="Arial"/>
          <w:sz w:val="22"/>
          <w:szCs w:val="22"/>
        </w:rPr>
        <w:t xml:space="preserve"> and access to energy and clean cooking improving across the piece</w:t>
      </w:r>
      <w:r w:rsidR="00C67496">
        <w:rPr>
          <w:rFonts w:cs="Arial"/>
          <w:sz w:val="22"/>
          <w:szCs w:val="22"/>
        </w:rPr>
        <w:t xml:space="preserve">, though renewables as a shar </w:t>
      </w:r>
      <w:proofErr w:type="spellStart"/>
      <w:r w:rsidR="00C67496">
        <w:rPr>
          <w:rFonts w:cs="Arial"/>
          <w:sz w:val="22"/>
          <w:szCs w:val="22"/>
        </w:rPr>
        <w:t>eof</w:t>
      </w:r>
      <w:proofErr w:type="spellEnd"/>
      <w:r w:rsidR="00C67496">
        <w:rPr>
          <w:rFonts w:cs="Arial"/>
          <w:sz w:val="22"/>
          <w:szCs w:val="22"/>
        </w:rPr>
        <w:t xml:space="preserve"> final energy consumption did bot increase in the latest reporting for </w:t>
      </w:r>
      <w:r w:rsidR="006C063C">
        <w:rPr>
          <w:rFonts w:cs="Arial"/>
          <w:sz w:val="22"/>
          <w:szCs w:val="22"/>
        </w:rPr>
        <w:t xml:space="preserve">India, South Africa or Indonesia. </w:t>
      </w:r>
      <w:r w:rsidR="001265B0">
        <w:rPr>
          <w:rFonts w:cs="Arial"/>
          <w:sz w:val="22"/>
          <w:szCs w:val="22"/>
        </w:rPr>
        <w:t xml:space="preserve"> </w:t>
      </w:r>
    </w:p>
    <w:p w14:paraId="29B7AB8B" w14:textId="77777777" w:rsidR="006C063C" w:rsidRPr="00811A69" w:rsidRDefault="006C063C" w:rsidP="00811A69">
      <w:pPr>
        <w:jc w:val="both"/>
        <w:rPr>
          <w:rFonts w:cs="Arial"/>
          <w:sz w:val="22"/>
          <w:szCs w:val="22"/>
        </w:rPr>
      </w:pPr>
    </w:p>
    <w:p w14:paraId="700B3E1A" w14:textId="77C6501A" w:rsidR="00811A69" w:rsidRPr="00811A69" w:rsidRDefault="006C063C" w:rsidP="00811A69">
      <w:pPr>
        <w:jc w:val="both"/>
        <w:rPr>
          <w:rFonts w:cs="Arial"/>
          <w:sz w:val="22"/>
          <w:szCs w:val="22"/>
        </w:rPr>
      </w:pPr>
      <w:r w:rsidRPr="7F7619C6">
        <w:rPr>
          <w:rFonts w:cs="Arial"/>
          <w:sz w:val="22"/>
          <w:szCs w:val="22"/>
        </w:rPr>
        <w:t>As set out in Section C, o</w:t>
      </w:r>
      <w:r w:rsidR="00811A69" w:rsidRPr="7F7619C6">
        <w:rPr>
          <w:rFonts w:cs="Arial"/>
          <w:sz w:val="22"/>
          <w:szCs w:val="22"/>
        </w:rPr>
        <w:t xml:space="preserve">utput milestones have </w:t>
      </w:r>
      <w:r w:rsidRPr="7F7619C6">
        <w:rPr>
          <w:rFonts w:cs="Arial"/>
          <w:sz w:val="22"/>
          <w:szCs w:val="22"/>
        </w:rPr>
        <w:t xml:space="preserve">largely </w:t>
      </w:r>
      <w:r w:rsidR="00811A69" w:rsidRPr="7F7619C6">
        <w:rPr>
          <w:rFonts w:cs="Arial"/>
          <w:sz w:val="22"/>
          <w:szCs w:val="22"/>
        </w:rPr>
        <w:t xml:space="preserve">been achieved or surpassed </w:t>
      </w:r>
      <w:proofErr w:type="gramStart"/>
      <w:r w:rsidRPr="7F7619C6">
        <w:rPr>
          <w:rFonts w:cs="Arial"/>
          <w:sz w:val="22"/>
          <w:szCs w:val="22"/>
        </w:rPr>
        <w:t xml:space="preserve">across </w:t>
      </w:r>
      <w:r w:rsidR="00811A69" w:rsidRPr="7F7619C6">
        <w:rPr>
          <w:rFonts w:cs="Arial"/>
          <w:sz w:val="22"/>
          <w:szCs w:val="22"/>
        </w:rPr>
        <w:t xml:space="preserve"> the</w:t>
      </w:r>
      <w:proofErr w:type="gramEnd"/>
      <w:r w:rsidR="00811A69" w:rsidRPr="7F7619C6">
        <w:rPr>
          <w:rFonts w:cs="Arial"/>
          <w:sz w:val="22"/>
          <w:szCs w:val="22"/>
        </w:rPr>
        <w:t xml:space="preserve"> programme, </w:t>
      </w:r>
      <w:r w:rsidR="00744C85" w:rsidRPr="7F7619C6">
        <w:rPr>
          <w:rFonts w:cs="Arial"/>
          <w:sz w:val="22"/>
          <w:szCs w:val="22"/>
        </w:rPr>
        <w:t>and m</w:t>
      </w:r>
      <w:r w:rsidR="00811A69" w:rsidRPr="7F7619C6">
        <w:rPr>
          <w:rFonts w:cs="Arial"/>
          <w:sz w:val="22"/>
          <w:szCs w:val="22"/>
        </w:rPr>
        <w:t xml:space="preserve">ilestones </w:t>
      </w:r>
      <w:r w:rsidR="00744C85" w:rsidRPr="7F7619C6">
        <w:rPr>
          <w:rFonts w:cs="Arial"/>
          <w:sz w:val="22"/>
          <w:szCs w:val="22"/>
        </w:rPr>
        <w:t>will be kept under review to ensur</w:t>
      </w:r>
      <w:r w:rsidR="0043792C" w:rsidRPr="7F7619C6">
        <w:rPr>
          <w:rFonts w:cs="Arial"/>
          <w:sz w:val="22"/>
          <w:szCs w:val="22"/>
        </w:rPr>
        <w:t>e</w:t>
      </w:r>
      <w:r w:rsidR="00744C85" w:rsidRPr="7F7619C6">
        <w:rPr>
          <w:rFonts w:cs="Arial"/>
          <w:sz w:val="22"/>
          <w:szCs w:val="22"/>
        </w:rPr>
        <w:t xml:space="preserve"> they reflect the nature of activity being delivered and </w:t>
      </w:r>
      <w:r w:rsidR="0043792C" w:rsidRPr="7F7619C6">
        <w:rPr>
          <w:rFonts w:cs="Arial"/>
          <w:sz w:val="22"/>
          <w:szCs w:val="22"/>
        </w:rPr>
        <w:t xml:space="preserve">retain stretch where </w:t>
      </w:r>
      <w:r w:rsidR="25FB4F85" w:rsidRPr="7F7619C6">
        <w:rPr>
          <w:rFonts w:cs="Arial"/>
          <w:sz w:val="22"/>
          <w:szCs w:val="22"/>
        </w:rPr>
        <w:t>there has</w:t>
      </w:r>
      <w:r w:rsidR="0043792C" w:rsidRPr="7F7619C6">
        <w:rPr>
          <w:rFonts w:cs="Arial"/>
          <w:sz w:val="22"/>
          <w:szCs w:val="22"/>
        </w:rPr>
        <w:t xml:space="preserve"> been early</w:t>
      </w:r>
      <w:r w:rsidR="00811A69" w:rsidRPr="7F7619C6">
        <w:rPr>
          <w:rFonts w:cs="Arial"/>
          <w:sz w:val="22"/>
          <w:szCs w:val="22"/>
        </w:rPr>
        <w:t xml:space="preserve"> overachievement against milestones.</w:t>
      </w:r>
    </w:p>
    <w:p w14:paraId="7A5A58B0" w14:textId="77777777" w:rsidR="00811A69" w:rsidRPr="00811A69" w:rsidRDefault="00811A69" w:rsidP="00811A69">
      <w:pPr>
        <w:jc w:val="both"/>
        <w:rPr>
          <w:rFonts w:cs="Arial"/>
          <w:sz w:val="22"/>
          <w:szCs w:val="22"/>
        </w:rPr>
      </w:pPr>
    </w:p>
    <w:p w14:paraId="7F61451C" w14:textId="344DFD1D" w:rsidR="008C3035" w:rsidRDefault="00811A69" w:rsidP="00811A69">
      <w:pPr>
        <w:jc w:val="both"/>
        <w:rPr>
          <w:rFonts w:cs="Arial"/>
          <w:sz w:val="22"/>
          <w:szCs w:val="22"/>
        </w:rPr>
      </w:pPr>
      <w:r w:rsidRPr="00811A69">
        <w:rPr>
          <w:rFonts w:cs="Arial"/>
          <w:sz w:val="22"/>
          <w:szCs w:val="22"/>
        </w:rPr>
        <w:t xml:space="preserve">Outcome milestones for </w:t>
      </w:r>
      <w:r w:rsidR="008C1E01">
        <w:rPr>
          <w:rFonts w:cs="Arial"/>
          <w:sz w:val="22"/>
          <w:szCs w:val="22"/>
        </w:rPr>
        <w:t xml:space="preserve">the </w:t>
      </w:r>
      <w:r w:rsidR="00C343B5">
        <w:rPr>
          <w:rFonts w:cs="Arial"/>
          <w:sz w:val="22"/>
          <w:szCs w:val="22"/>
        </w:rPr>
        <w:t>“</w:t>
      </w:r>
      <w:r w:rsidR="008C1E01">
        <w:rPr>
          <w:rFonts w:cs="Arial"/>
          <w:sz w:val="22"/>
          <w:szCs w:val="22"/>
        </w:rPr>
        <w:t>l</w:t>
      </w:r>
      <w:r w:rsidR="008C1E01" w:rsidRPr="008C1E01">
        <w:rPr>
          <w:rFonts w:cs="Arial"/>
          <w:sz w:val="22"/>
          <w:szCs w:val="22"/>
        </w:rPr>
        <w:t>evel of availability of evidence developed for policy making to accelerate clean energy transitions based on production and dissemination of CETP data, models and analysis</w:t>
      </w:r>
      <w:r w:rsidR="00C343B5">
        <w:rPr>
          <w:rFonts w:cs="Arial"/>
          <w:sz w:val="22"/>
          <w:szCs w:val="22"/>
        </w:rPr>
        <w:t>”</w:t>
      </w:r>
      <w:r w:rsidR="008C1E01">
        <w:rPr>
          <w:rFonts w:cs="Arial"/>
          <w:sz w:val="22"/>
          <w:szCs w:val="22"/>
        </w:rPr>
        <w:t xml:space="preserve"> </w:t>
      </w:r>
      <w:r w:rsidRPr="00811A69">
        <w:rPr>
          <w:rFonts w:cs="Arial"/>
          <w:sz w:val="22"/>
          <w:szCs w:val="22"/>
        </w:rPr>
        <w:t xml:space="preserve">have been </w:t>
      </w:r>
      <w:r w:rsidR="008C3035">
        <w:rPr>
          <w:rFonts w:cs="Arial"/>
          <w:sz w:val="22"/>
          <w:szCs w:val="22"/>
        </w:rPr>
        <w:t xml:space="preserve">moderately </w:t>
      </w:r>
      <w:r w:rsidRPr="00811A69">
        <w:rPr>
          <w:rFonts w:cs="Arial"/>
          <w:sz w:val="22"/>
          <w:szCs w:val="22"/>
        </w:rPr>
        <w:t>exceeded</w:t>
      </w:r>
      <w:r w:rsidR="008C1E01">
        <w:rPr>
          <w:rFonts w:cs="Arial"/>
          <w:sz w:val="22"/>
          <w:szCs w:val="22"/>
        </w:rPr>
        <w:t xml:space="preserve">. Outcome milestones for </w:t>
      </w:r>
      <w:r w:rsidR="00FC01EA">
        <w:rPr>
          <w:rFonts w:cs="Arial"/>
          <w:sz w:val="22"/>
          <w:szCs w:val="22"/>
        </w:rPr>
        <w:t>m</w:t>
      </w:r>
      <w:r w:rsidR="00FC01EA" w:rsidRPr="00FC01EA">
        <w:rPr>
          <w:rFonts w:cs="Arial"/>
          <w:sz w:val="22"/>
          <w:szCs w:val="22"/>
        </w:rPr>
        <w:t>obilis</w:t>
      </w:r>
      <w:r w:rsidR="00FC01EA">
        <w:rPr>
          <w:rFonts w:cs="Arial"/>
          <w:sz w:val="22"/>
          <w:szCs w:val="22"/>
        </w:rPr>
        <w:t>ing</w:t>
      </w:r>
      <w:r w:rsidR="00FC01EA" w:rsidRPr="00FC01EA">
        <w:rPr>
          <w:rFonts w:cs="Arial"/>
          <w:sz w:val="22"/>
          <w:szCs w:val="22"/>
        </w:rPr>
        <w:t xml:space="preserve"> political will and capacity enhanced to formulate and implement policies for clean energy transitions in targeted countries and regions</w:t>
      </w:r>
      <w:r w:rsidR="00FC01EA">
        <w:rPr>
          <w:rFonts w:cs="Arial"/>
          <w:sz w:val="22"/>
          <w:szCs w:val="22"/>
        </w:rPr>
        <w:t xml:space="preserve">, were substantially exceeded (number of </w:t>
      </w:r>
      <w:r w:rsidR="00151338" w:rsidRPr="00151338">
        <w:rPr>
          <w:rFonts w:cs="Arial"/>
          <w:sz w:val="22"/>
          <w:szCs w:val="22"/>
        </w:rPr>
        <w:t>Statements from priority countries made in support of clean energy transitions</w:t>
      </w:r>
      <w:r w:rsidR="00151338">
        <w:rPr>
          <w:rFonts w:cs="Arial"/>
          <w:sz w:val="22"/>
          <w:szCs w:val="22"/>
        </w:rPr>
        <w:t xml:space="preserve">) or </w:t>
      </w:r>
      <w:r w:rsidR="004C134B">
        <w:rPr>
          <w:rFonts w:cs="Arial"/>
          <w:sz w:val="22"/>
          <w:szCs w:val="22"/>
        </w:rPr>
        <w:t>moderately</w:t>
      </w:r>
      <w:r w:rsidR="00151338">
        <w:rPr>
          <w:rFonts w:cs="Arial"/>
          <w:sz w:val="22"/>
          <w:szCs w:val="22"/>
        </w:rPr>
        <w:t xml:space="preserve"> exceeded (satisfaction ratings for </w:t>
      </w:r>
      <w:r w:rsidR="00E05553">
        <w:rPr>
          <w:rFonts w:cs="Arial"/>
          <w:sz w:val="22"/>
          <w:szCs w:val="22"/>
        </w:rPr>
        <w:t xml:space="preserve">workshops and technical </w:t>
      </w:r>
      <w:r w:rsidR="004C134B">
        <w:rPr>
          <w:rFonts w:cs="Arial"/>
          <w:sz w:val="22"/>
          <w:szCs w:val="22"/>
        </w:rPr>
        <w:t>exchanges</w:t>
      </w:r>
      <w:r w:rsidR="00E05553">
        <w:rPr>
          <w:rFonts w:cs="Arial"/>
          <w:sz w:val="22"/>
          <w:szCs w:val="22"/>
        </w:rPr>
        <w:t xml:space="preserve">, capacity building and training </w:t>
      </w:r>
      <w:r w:rsidR="004C134B">
        <w:rPr>
          <w:rFonts w:cs="Arial"/>
          <w:sz w:val="22"/>
          <w:szCs w:val="22"/>
        </w:rPr>
        <w:t xml:space="preserve">events, and the number of policies </w:t>
      </w:r>
      <w:r w:rsidR="00CA2397">
        <w:rPr>
          <w:rFonts w:cs="Arial"/>
          <w:sz w:val="22"/>
          <w:szCs w:val="22"/>
        </w:rPr>
        <w:t xml:space="preserve">updated, </w:t>
      </w:r>
      <w:r w:rsidR="006A6E7D">
        <w:rPr>
          <w:rFonts w:cs="Arial"/>
          <w:sz w:val="22"/>
          <w:szCs w:val="22"/>
        </w:rPr>
        <w:t xml:space="preserve">developed or implemented with CETP input). Outcome milestones for </w:t>
      </w:r>
      <w:r w:rsidR="00BF2A09">
        <w:rPr>
          <w:rFonts w:cs="Arial"/>
          <w:sz w:val="22"/>
          <w:szCs w:val="22"/>
        </w:rPr>
        <w:t>i</w:t>
      </w:r>
      <w:r w:rsidR="00BF2A09" w:rsidRPr="00BF2A09">
        <w:rPr>
          <w:rFonts w:cs="Arial"/>
          <w:sz w:val="22"/>
          <w:szCs w:val="22"/>
        </w:rPr>
        <w:t>mproved coordination on clean energy transitions among national, regional and international stakeholders supports knowledge and political will, thereby building capacity to deliver change</w:t>
      </w:r>
      <w:r w:rsidR="00BF2A09">
        <w:rPr>
          <w:rFonts w:cs="Arial"/>
          <w:sz w:val="22"/>
          <w:szCs w:val="22"/>
        </w:rPr>
        <w:t xml:space="preserve"> have also bene modera</w:t>
      </w:r>
      <w:r w:rsidR="00DB46AE">
        <w:rPr>
          <w:rFonts w:cs="Arial"/>
          <w:sz w:val="22"/>
          <w:szCs w:val="22"/>
        </w:rPr>
        <w:t>te</w:t>
      </w:r>
      <w:r w:rsidR="00BF2A09">
        <w:rPr>
          <w:rFonts w:cs="Arial"/>
          <w:sz w:val="22"/>
          <w:szCs w:val="22"/>
        </w:rPr>
        <w:t>ly exceeded.</w:t>
      </w:r>
    </w:p>
    <w:p w14:paraId="7A017644" w14:textId="77777777" w:rsidR="00811A69" w:rsidRPr="00811A69" w:rsidRDefault="00811A69" w:rsidP="00811A69">
      <w:pPr>
        <w:jc w:val="both"/>
        <w:rPr>
          <w:rFonts w:cs="Arial"/>
          <w:sz w:val="22"/>
          <w:szCs w:val="22"/>
        </w:rPr>
      </w:pPr>
    </w:p>
    <w:p w14:paraId="59D80583" w14:textId="66FA743B" w:rsidR="00811A69" w:rsidRDefault="00811A69" w:rsidP="00811A69">
      <w:pPr>
        <w:jc w:val="both"/>
        <w:rPr>
          <w:rFonts w:cs="Arial"/>
          <w:sz w:val="22"/>
          <w:szCs w:val="22"/>
        </w:rPr>
      </w:pPr>
      <w:r w:rsidRPr="00811A69">
        <w:rPr>
          <w:rFonts w:cs="Arial"/>
          <w:sz w:val="22"/>
          <w:szCs w:val="22"/>
        </w:rPr>
        <w:t xml:space="preserve">The programme has delivered value for money and is increasingly leveraging additional funding and in-kind resources from sub-national, national and regional authorities and organisations which both allows the programme to be delivered more efficiently but also demonstrates the value which target countries place on the effectiveness of the programme. In addition, </w:t>
      </w:r>
      <w:proofErr w:type="gramStart"/>
      <w:r w:rsidRPr="00811A69">
        <w:rPr>
          <w:rFonts w:cs="Arial"/>
          <w:sz w:val="22"/>
          <w:szCs w:val="22"/>
        </w:rPr>
        <w:t>a number of</w:t>
      </w:r>
      <w:proofErr w:type="gramEnd"/>
      <w:r w:rsidRPr="00811A69">
        <w:rPr>
          <w:rFonts w:cs="Arial"/>
          <w:sz w:val="22"/>
          <w:szCs w:val="22"/>
        </w:rPr>
        <w:t xml:space="preserve"> </w:t>
      </w:r>
      <w:r w:rsidR="00AE31EC">
        <w:rPr>
          <w:rFonts w:cs="Arial"/>
          <w:sz w:val="22"/>
          <w:szCs w:val="22"/>
        </w:rPr>
        <w:t>additional</w:t>
      </w:r>
      <w:r w:rsidRPr="00811A69">
        <w:rPr>
          <w:rFonts w:cs="Arial"/>
          <w:sz w:val="22"/>
          <w:szCs w:val="22"/>
        </w:rPr>
        <w:t xml:space="preserve"> IEA members</w:t>
      </w:r>
      <w:r w:rsidR="00AE31EC">
        <w:rPr>
          <w:rFonts w:cs="Arial"/>
          <w:sz w:val="22"/>
          <w:szCs w:val="22"/>
        </w:rPr>
        <w:t>, including Irel</w:t>
      </w:r>
      <w:r w:rsidR="00C75C81">
        <w:rPr>
          <w:rFonts w:cs="Arial"/>
          <w:sz w:val="22"/>
          <w:szCs w:val="22"/>
        </w:rPr>
        <w:t>and and Belgium,</w:t>
      </w:r>
      <w:r w:rsidRPr="00811A69">
        <w:rPr>
          <w:rFonts w:cs="Arial"/>
          <w:sz w:val="22"/>
          <w:szCs w:val="22"/>
        </w:rPr>
        <w:t xml:space="preserve"> have recently become funders of the Programme growing its resource base.</w:t>
      </w:r>
    </w:p>
    <w:p w14:paraId="09A407B2" w14:textId="77777777" w:rsidR="00811A69" w:rsidRDefault="00811A69" w:rsidP="004D5FD5">
      <w:pPr>
        <w:jc w:val="both"/>
        <w:rPr>
          <w:rFonts w:cs="Arial"/>
          <w:sz w:val="22"/>
          <w:szCs w:val="22"/>
        </w:rPr>
      </w:pPr>
    </w:p>
    <w:p w14:paraId="20DA03C6" w14:textId="77777777" w:rsidR="003D222C" w:rsidRPr="00D80C6C" w:rsidRDefault="003D222C" w:rsidP="004D5FD5">
      <w:pPr>
        <w:jc w:val="both"/>
        <w:rPr>
          <w:rFonts w:cs="Arial"/>
          <w:sz w:val="22"/>
          <w:szCs w:val="22"/>
        </w:rPr>
      </w:pPr>
    </w:p>
    <w:p w14:paraId="4E909F9D" w14:textId="77777777" w:rsidR="00516AE5" w:rsidRDefault="00B34EB5" w:rsidP="527A8EFF">
      <w:pPr>
        <w:contextualSpacing/>
        <w:jc w:val="both"/>
        <w:rPr>
          <w:rStyle w:val="Heading2Char"/>
        </w:rPr>
      </w:pPr>
      <w:bookmarkStart w:id="9" w:name="_Toc1427550952"/>
      <w:proofErr w:type="spellStart"/>
      <w:r w:rsidRPr="527A8EFF">
        <w:rPr>
          <w:rStyle w:val="Heading2Char"/>
        </w:rPr>
        <w:lastRenderedPageBreak/>
        <w:t>L</w:t>
      </w:r>
      <w:r w:rsidR="003D222C" w:rsidRPr="527A8EFF">
        <w:rPr>
          <w:rStyle w:val="Heading2Char"/>
        </w:rPr>
        <w:t>ogframe</w:t>
      </w:r>
      <w:proofErr w:type="spellEnd"/>
      <w:r w:rsidRPr="527A8EFF">
        <w:rPr>
          <w:rStyle w:val="Heading2Char"/>
        </w:rPr>
        <w:t xml:space="preserve"> </w:t>
      </w:r>
      <w:r w:rsidR="003D222C" w:rsidRPr="527A8EFF">
        <w:rPr>
          <w:rStyle w:val="Heading2Char"/>
        </w:rPr>
        <w:t>update</w:t>
      </w:r>
      <w:r w:rsidRPr="527A8EFF">
        <w:rPr>
          <w:rStyle w:val="Heading2Char"/>
        </w:rPr>
        <w:t>s</w:t>
      </w:r>
      <w:r w:rsidR="003D222C" w:rsidRPr="527A8EFF">
        <w:rPr>
          <w:rStyle w:val="Heading2Char"/>
        </w:rPr>
        <w:t xml:space="preserve"> since the last review</w:t>
      </w:r>
      <w:bookmarkEnd w:id="9"/>
    </w:p>
    <w:p w14:paraId="74FBB1F5" w14:textId="77777777" w:rsidR="006D190D" w:rsidRDefault="006D190D" w:rsidP="527A8EFF">
      <w:pPr>
        <w:contextualSpacing/>
        <w:jc w:val="both"/>
        <w:rPr>
          <w:rFonts w:cs="Arial"/>
          <w:sz w:val="20"/>
          <w:szCs w:val="20"/>
        </w:rPr>
      </w:pPr>
    </w:p>
    <w:p w14:paraId="40D01C03" w14:textId="0A2384BA" w:rsidR="003D222C" w:rsidRPr="00080D95" w:rsidRDefault="00080D95" w:rsidP="527A8EFF">
      <w:pPr>
        <w:contextualSpacing/>
        <w:jc w:val="both"/>
        <w:rPr>
          <w:rFonts w:cs="Arial"/>
          <w:sz w:val="20"/>
          <w:szCs w:val="20"/>
        </w:rPr>
      </w:pPr>
      <w:r w:rsidRPr="00080D95">
        <w:rPr>
          <w:rFonts w:cs="Arial"/>
          <w:sz w:val="20"/>
          <w:szCs w:val="20"/>
        </w:rPr>
        <w:t xml:space="preserve">This is the first review under the current phase of support – the log-frame will be </w:t>
      </w:r>
      <w:proofErr w:type="gramStart"/>
      <w:r w:rsidRPr="00080D95">
        <w:rPr>
          <w:rFonts w:cs="Arial"/>
          <w:sz w:val="20"/>
          <w:szCs w:val="20"/>
        </w:rPr>
        <w:t>ke</w:t>
      </w:r>
      <w:r w:rsidR="00756424">
        <w:rPr>
          <w:rFonts w:cs="Arial"/>
          <w:sz w:val="20"/>
          <w:szCs w:val="20"/>
        </w:rPr>
        <w:t>e</w:t>
      </w:r>
      <w:r w:rsidRPr="00080D95">
        <w:rPr>
          <w:rFonts w:cs="Arial"/>
          <w:sz w:val="20"/>
          <w:szCs w:val="20"/>
        </w:rPr>
        <w:t>p</w:t>
      </w:r>
      <w:proofErr w:type="gramEnd"/>
      <w:r w:rsidRPr="00080D95">
        <w:rPr>
          <w:rFonts w:cs="Arial"/>
          <w:sz w:val="20"/>
          <w:szCs w:val="20"/>
        </w:rPr>
        <w:t xml:space="preserve"> under review to ensure ongoing fitness for purpose </w:t>
      </w:r>
    </w:p>
    <w:p w14:paraId="0ACF7E8D" w14:textId="77777777" w:rsidR="003D222C" w:rsidRPr="00D80C6C" w:rsidRDefault="003D222C" w:rsidP="004D5FD5">
      <w:pPr>
        <w:jc w:val="both"/>
        <w:rPr>
          <w:rFonts w:cs="Arial"/>
          <w:i/>
          <w:iCs/>
          <w:sz w:val="22"/>
          <w:szCs w:val="22"/>
        </w:rPr>
      </w:pPr>
    </w:p>
    <w:p w14:paraId="63CDC9F3" w14:textId="68C950C2" w:rsidR="00CB2873" w:rsidRDefault="00CB2873" w:rsidP="004D5FD5">
      <w:pPr>
        <w:jc w:val="both"/>
        <w:rPr>
          <w:rFonts w:cs="Arial"/>
          <w:sz w:val="22"/>
          <w:szCs w:val="22"/>
          <w:lang w:val="en" w:eastAsia="en-GB"/>
        </w:rPr>
      </w:pPr>
    </w:p>
    <w:tbl>
      <w:tblPr>
        <w:tblStyle w:val="TableGrid"/>
        <w:tblW w:w="0" w:type="auto"/>
        <w:tblLook w:val="04A0" w:firstRow="1" w:lastRow="0" w:firstColumn="1" w:lastColumn="0" w:noHBand="0" w:noVBand="1"/>
      </w:tblPr>
      <w:tblGrid>
        <w:gridCol w:w="9016"/>
      </w:tblGrid>
      <w:tr w:rsidR="00CB2873" w14:paraId="13F66B93" w14:textId="77777777" w:rsidTr="527A8EFF">
        <w:tc>
          <w:tcPr>
            <w:tcW w:w="9016" w:type="dxa"/>
            <w:shd w:val="clear" w:color="auto" w:fill="DEEAF6" w:themeFill="accent5" w:themeFillTint="33"/>
          </w:tcPr>
          <w:p w14:paraId="3D58D529" w14:textId="1237ABB2" w:rsidR="00CB2873" w:rsidRDefault="00CB2873" w:rsidP="004D5FD5">
            <w:pPr>
              <w:jc w:val="both"/>
            </w:pPr>
            <w:bookmarkStart w:id="10" w:name="_Toc796839481"/>
            <w:r w:rsidRPr="527A8EFF">
              <w:rPr>
                <w:rStyle w:val="Heading1Char"/>
                <w:rFonts w:ascii="Arial" w:hAnsi="Arial" w:cs="Arial"/>
                <w:b/>
                <w:bCs/>
                <w:color w:val="auto"/>
              </w:rPr>
              <w:t xml:space="preserve">Section C: Output </w:t>
            </w:r>
            <w:r w:rsidR="4FB023D7" w:rsidRPr="527A8EFF">
              <w:rPr>
                <w:rStyle w:val="Heading1Char"/>
                <w:rFonts w:ascii="Arial" w:hAnsi="Arial" w:cs="Arial"/>
                <w:b/>
                <w:bCs/>
                <w:color w:val="auto"/>
              </w:rPr>
              <w:t>s</w:t>
            </w:r>
            <w:r w:rsidRPr="527A8EFF">
              <w:rPr>
                <w:rStyle w:val="Heading1Char"/>
                <w:rFonts w:ascii="Arial" w:hAnsi="Arial" w:cs="Arial"/>
                <w:b/>
                <w:bCs/>
                <w:color w:val="auto"/>
              </w:rPr>
              <w:t>coring</w:t>
            </w:r>
            <w:bookmarkEnd w:id="10"/>
            <w:r>
              <w:t xml:space="preserve"> [aim for 1 -1</w:t>
            </w:r>
            <w:proofErr w:type="gramStart"/>
            <w:r>
              <w:t>½  pages</w:t>
            </w:r>
            <w:proofErr w:type="gramEnd"/>
            <w:r>
              <w:t xml:space="preserve"> per output]</w:t>
            </w:r>
          </w:p>
        </w:tc>
      </w:tr>
    </w:tbl>
    <w:p w14:paraId="169A4749" w14:textId="77777777" w:rsidR="003D222C" w:rsidRPr="00D80C6C" w:rsidRDefault="003D222C" w:rsidP="004D5FD5">
      <w:pPr>
        <w:jc w:val="both"/>
        <w:rPr>
          <w:rFonts w:cs="Arial"/>
          <w:sz w:val="22"/>
          <w:szCs w:val="22"/>
          <w:lang w:val="en" w:eastAsia="en-GB"/>
        </w:rPr>
      </w:pPr>
    </w:p>
    <w:p w14:paraId="452661DA" w14:textId="2AF82F91" w:rsidR="00953846" w:rsidRPr="00953846" w:rsidRDefault="00953846" w:rsidP="004D5FD5">
      <w:pPr>
        <w:pStyle w:val="Heading2"/>
        <w:jc w:val="both"/>
        <w:rPr>
          <w:sz w:val="24"/>
          <w:szCs w:val="24"/>
        </w:rPr>
      </w:pPr>
      <w:bookmarkStart w:id="11" w:name="_Toc1076303970"/>
      <w:r>
        <w:t>Output 1</w:t>
      </w:r>
      <w:bookmarkEnd w:id="11"/>
    </w:p>
    <w:p w14:paraId="055FDF8F" w14:textId="77777777" w:rsidR="00C22C27" w:rsidRPr="00D80C6C" w:rsidRDefault="00C22C27" w:rsidP="004D5FD5">
      <w:pPr>
        <w:jc w:val="both"/>
        <w:rPr>
          <w:rFonts w:cs="Arial"/>
          <w:sz w:val="22"/>
          <w:szCs w:val="22"/>
        </w:rPr>
      </w:pPr>
    </w:p>
    <w:tbl>
      <w:tblPr>
        <w:tblStyle w:val="TableGrid"/>
        <w:tblW w:w="9072" w:type="dxa"/>
        <w:tblInd w:w="-5" w:type="dxa"/>
        <w:tblLook w:val="04A0" w:firstRow="1" w:lastRow="0" w:firstColumn="1" w:lastColumn="0" w:noHBand="0" w:noVBand="1"/>
      </w:tblPr>
      <w:tblGrid>
        <w:gridCol w:w="1566"/>
        <w:gridCol w:w="616"/>
        <w:gridCol w:w="937"/>
        <w:gridCol w:w="2977"/>
        <w:gridCol w:w="2976"/>
      </w:tblGrid>
      <w:tr w:rsidR="003D222C" w:rsidRPr="00D80C6C" w14:paraId="2102EB17" w14:textId="77777777" w:rsidTr="009A7D7F">
        <w:trPr>
          <w:trHeight w:val="489"/>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A85D6B2" w14:textId="77777777" w:rsidR="003D222C" w:rsidRPr="00D80C6C" w:rsidRDefault="003D222C" w:rsidP="004D5FD5">
            <w:pPr>
              <w:jc w:val="both"/>
              <w:rPr>
                <w:rFonts w:cs="Arial"/>
                <w:b/>
                <w:bCs/>
                <w:sz w:val="22"/>
                <w:szCs w:val="22"/>
              </w:rPr>
            </w:pPr>
            <w:r w:rsidRPr="00D80C6C">
              <w:rPr>
                <w:rFonts w:cs="Arial"/>
                <w:b/>
                <w:bCs/>
                <w:sz w:val="22"/>
                <w:szCs w:val="22"/>
              </w:rPr>
              <w:t xml:space="preserve">Output Title </w:t>
            </w:r>
          </w:p>
        </w:tc>
        <w:tc>
          <w:tcPr>
            <w:tcW w:w="750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F19955C" w14:textId="77777777" w:rsidR="00E54C13" w:rsidRPr="00E54C13" w:rsidRDefault="00E54C13" w:rsidP="00E54C13">
            <w:pPr>
              <w:jc w:val="both"/>
              <w:rPr>
                <w:rFonts w:cs="Arial"/>
                <w:bCs/>
                <w:i/>
                <w:sz w:val="22"/>
                <w:szCs w:val="22"/>
              </w:rPr>
            </w:pPr>
            <w:r w:rsidRPr="00E54C13">
              <w:rPr>
                <w:rFonts w:cs="Arial"/>
                <w:bCs/>
                <w:i/>
                <w:sz w:val="22"/>
                <w:szCs w:val="22"/>
              </w:rPr>
              <w:t xml:space="preserve">IEA’s data, models and analysis inform stakeholders and the </w:t>
            </w:r>
            <w:proofErr w:type="gramStart"/>
            <w:r w:rsidRPr="00E54C13">
              <w:rPr>
                <w:rFonts w:cs="Arial"/>
                <w:bCs/>
                <w:i/>
                <w:sz w:val="22"/>
                <w:szCs w:val="22"/>
              </w:rPr>
              <w:t>general public</w:t>
            </w:r>
            <w:proofErr w:type="gramEnd"/>
            <w:r w:rsidRPr="00E54C13">
              <w:rPr>
                <w:rFonts w:cs="Arial"/>
                <w:bCs/>
                <w:i/>
                <w:sz w:val="22"/>
                <w:szCs w:val="22"/>
              </w:rPr>
              <w:t xml:space="preserve"> on solutions, policies and best practices and guide national, regional and international policy dialogue and multilateral processes</w:t>
            </w:r>
          </w:p>
          <w:p w14:paraId="7383CB14" w14:textId="77777777" w:rsidR="00E54C13" w:rsidRPr="00E54C13" w:rsidRDefault="00E54C13" w:rsidP="00E54C13">
            <w:pPr>
              <w:jc w:val="both"/>
              <w:rPr>
                <w:rFonts w:cs="Arial"/>
                <w:bCs/>
                <w:i/>
                <w:sz w:val="22"/>
                <w:szCs w:val="22"/>
              </w:rPr>
            </w:pPr>
          </w:p>
          <w:p w14:paraId="2212A43F" w14:textId="77777777" w:rsidR="00E54C13" w:rsidRPr="00E54C13" w:rsidRDefault="00E54C13" w:rsidP="00E54C13">
            <w:pPr>
              <w:jc w:val="both"/>
              <w:rPr>
                <w:rFonts w:cs="Arial"/>
                <w:bCs/>
                <w:i/>
                <w:sz w:val="22"/>
                <w:szCs w:val="22"/>
              </w:rPr>
            </w:pPr>
            <w:r w:rsidRPr="00E54C13">
              <w:rPr>
                <w:rFonts w:cs="Arial"/>
                <w:bCs/>
                <w:i/>
                <w:sz w:val="22"/>
                <w:szCs w:val="22"/>
              </w:rPr>
              <w:t xml:space="preserve">IEA communication channels provide relevant information to the stakeholders and </w:t>
            </w:r>
            <w:proofErr w:type="gramStart"/>
            <w:r w:rsidRPr="00E54C13">
              <w:rPr>
                <w:rFonts w:cs="Arial"/>
                <w:bCs/>
                <w:i/>
                <w:sz w:val="22"/>
                <w:szCs w:val="22"/>
              </w:rPr>
              <w:t>general public</w:t>
            </w:r>
            <w:proofErr w:type="gramEnd"/>
          </w:p>
          <w:p w14:paraId="4033C09B" w14:textId="77777777" w:rsidR="00E54C13" w:rsidRPr="00E54C13" w:rsidRDefault="00E54C13" w:rsidP="00E54C13">
            <w:pPr>
              <w:jc w:val="both"/>
              <w:rPr>
                <w:rFonts w:cs="Arial"/>
                <w:bCs/>
                <w:i/>
                <w:sz w:val="22"/>
                <w:szCs w:val="22"/>
              </w:rPr>
            </w:pPr>
          </w:p>
          <w:p w14:paraId="1B8A3AEA" w14:textId="1C70CB3C" w:rsidR="003D222C" w:rsidRPr="00D80C6C" w:rsidRDefault="00E54C13" w:rsidP="00E54C13">
            <w:pPr>
              <w:jc w:val="both"/>
              <w:rPr>
                <w:rFonts w:cs="Arial"/>
                <w:bCs/>
                <w:i/>
                <w:color w:val="FF0000"/>
                <w:sz w:val="22"/>
                <w:szCs w:val="22"/>
              </w:rPr>
            </w:pPr>
            <w:r w:rsidRPr="00E54C13">
              <w:rPr>
                <w:rFonts w:cs="Arial"/>
                <w:bCs/>
                <w:i/>
                <w:sz w:val="22"/>
                <w:szCs w:val="22"/>
              </w:rPr>
              <w:t>CETP dissemination events build momentum for change and deliver critical messaging on the speed and scale for the needed clean energy transitions</w:t>
            </w:r>
          </w:p>
        </w:tc>
      </w:tr>
      <w:tr w:rsidR="003D222C" w:rsidRPr="00D80C6C" w14:paraId="0CA17513" w14:textId="77777777" w:rsidTr="001F2F19">
        <w:trPr>
          <w:trHeight w:val="347"/>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801A128" w14:textId="77777777" w:rsidR="003D222C" w:rsidRPr="00D80C6C" w:rsidRDefault="003D222C" w:rsidP="004D5FD5">
            <w:pPr>
              <w:jc w:val="both"/>
              <w:rPr>
                <w:rFonts w:cs="Arial"/>
                <w:bCs/>
                <w:sz w:val="22"/>
                <w:szCs w:val="22"/>
              </w:rPr>
            </w:pPr>
            <w:r w:rsidRPr="00D80C6C">
              <w:rPr>
                <w:rFonts w:cs="Arial"/>
                <w:bCs/>
                <w:sz w:val="22"/>
                <w:szCs w:val="22"/>
              </w:rPr>
              <w:t xml:space="preserve">Output number: </w:t>
            </w:r>
          </w:p>
        </w:tc>
        <w:tc>
          <w:tcPr>
            <w:tcW w:w="937" w:type="dxa"/>
            <w:tcBorders>
              <w:top w:val="single" w:sz="4" w:space="0" w:color="auto"/>
              <w:left w:val="single" w:sz="4" w:space="0" w:color="auto"/>
              <w:bottom w:val="single" w:sz="4" w:space="0" w:color="auto"/>
              <w:right w:val="single" w:sz="4" w:space="0" w:color="auto"/>
            </w:tcBorders>
          </w:tcPr>
          <w:p w14:paraId="4190402A" w14:textId="7A0A5DD7" w:rsidR="003D222C" w:rsidRPr="00D80C6C" w:rsidRDefault="0034333A" w:rsidP="004D5FD5">
            <w:pPr>
              <w:jc w:val="both"/>
              <w:rPr>
                <w:rFonts w:cs="Arial"/>
                <w:sz w:val="22"/>
                <w:szCs w:val="22"/>
              </w:rPr>
            </w:pPr>
            <w:r>
              <w:rPr>
                <w:rFonts w:cs="Arial"/>
                <w:sz w:val="22"/>
                <w:szCs w:val="22"/>
              </w:rPr>
              <w:t>1</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5FA73C8" w14:textId="77777777" w:rsidR="003D222C" w:rsidRPr="00D80C6C" w:rsidRDefault="003D222C" w:rsidP="004D5FD5">
            <w:pPr>
              <w:jc w:val="both"/>
              <w:rPr>
                <w:rFonts w:cs="Arial"/>
                <w:sz w:val="22"/>
                <w:szCs w:val="22"/>
              </w:rPr>
            </w:pPr>
            <w:r w:rsidRPr="00D80C6C">
              <w:rPr>
                <w:rFonts w:cs="Arial"/>
                <w:bCs/>
                <w:sz w:val="22"/>
                <w:szCs w:val="22"/>
              </w:rPr>
              <w:t xml:space="preserve">Output Score: </w:t>
            </w:r>
          </w:p>
        </w:tc>
        <w:tc>
          <w:tcPr>
            <w:tcW w:w="2976" w:type="dxa"/>
            <w:tcBorders>
              <w:top w:val="single" w:sz="4" w:space="0" w:color="auto"/>
              <w:left w:val="single" w:sz="4" w:space="0" w:color="auto"/>
              <w:bottom w:val="single" w:sz="4" w:space="0" w:color="auto"/>
              <w:right w:val="single" w:sz="4" w:space="0" w:color="auto"/>
            </w:tcBorders>
          </w:tcPr>
          <w:p w14:paraId="0438A869" w14:textId="54A7F687" w:rsidR="003D222C" w:rsidRPr="00DB3B57" w:rsidRDefault="006D77C8" w:rsidP="004D5FD5">
            <w:pPr>
              <w:jc w:val="both"/>
              <w:rPr>
                <w:rFonts w:cs="Arial"/>
                <w:b/>
                <w:bCs/>
                <w:iCs/>
                <w:sz w:val="22"/>
                <w:szCs w:val="22"/>
              </w:rPr>
            </w:pPr>
            <w:r>
              <w:rPr>
                <w:rFonts w:cs="Arial"/>
                <w:b/>
                <w:bCs/>
                <w:iCs/>
                <w:sz w:val="22"/>
                <w:szCs w:val="22"/>
              </w:rPr>
              <w:t>A+</w:t>
            </w:r>
          </w:p>
        </w:tc>
      </w:tr>
      <w:tr w:rsidR="003D222C" w:rsidRPr="00D80C6C" w14:paraId="322D9463" w14:textId="77777777" w:rsidTr="001F2F19">
        <w:trPr>
          <w:trHeight w:val="345"/>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91524D5" w14:textId="77777777" w:rsidR="003D222C" w:rsidRPr="00D80C6C" w:rsidRDefault="003D222C" w:rsidP="004D5FD5">
            <w:pPr>
              <w:jc w:val="both"/>
              <w:rPr>
                <w:rFonts w:cs="Arial"/>
                <w:sz w:val="22"/>
                <w:szCs w:val="22"/>
              </w:rPr>
            </w:pPr>
            <w:r w:rsidRPr="00D80C6C">
              <w:rPr>
                <w:rFonts w:cs="Arial"/>
                <w:bCs/>
                <w:sz w:val="22"/>
                <w:szCs w:val="22"/>
              </w:rPr>
              <w:t xml:space="preserve">Impact weighting (%):  </w:t>
            </w:r>
          </w:p>
        </w:tc>
        <w:tc>
          <w:tcPr>
            <w:tcW w:w="937" w:type="dxa"/>
            <w:tcBorders>
              <w:top w:val="single" w:sz="4" w:space="0" w:color="auto"/>
              <w:left w:val="single" w:sz="4" w:space="0" w:color="auto"/>
              <w:bottom w:val="single" w:sz="4" w:space="0" w:color="auto"/>
              <w:right w:val="single" w:sz="4" w:space="0" w:color="auto"/>
            </w:tcBorders>
            <w:hideMark/>
          </w:tcPr>
          <w:p w14:paraId="2B32CB6F" w14:textId="7389DF37" w:rsidR="003D222C" w:rsidRPr="00D80C6C" w:rsidRDefault="007951BA" w:rsidP="004D5FD5">
            <w:pPr>
              <w:jc w:val="both"/>
              <w:rPr>
                <w:rFonts w:cs="Arial"/>
                <w:bCs/>
                <w:sz w:val="22"/>
                <w:szCs w:val="22"/>
              </w:rPr>
            </w:pPr>
            <w:r>
              <w:rPr>
                <w:rFonts w:cs="Arial"/>
                <w:bCs/>
                <w:sz w:val="22"/>
                <w:szCs w:val="22"/>
              </w:rPr>
              <w:t>30%</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6B322CF" w14:textId="77777777" w:rsidR="003D222C" w:rsidRPr="00D80C6C" w:rsidRDefault="003D222C" w:rsidP="004D5FD5">
            <w:pPr>
              <w:jc w:val="both"/>
              <w:rPr>
                <w:rFonts w:cs="Arial"/>
                <w:bCs/>
                <w:sz w:val="22"/>
                <w:szCs w:val="22"/>
              </w:rPr>
            </w:pPr>
            <w:r w:rsidRPr="00D80C6C">
              <w:rPr>
                <w:rFonts w:cs="Arial"/>
                <w:bCs/>
                <w:sz w:val="22"/>
                <w:szCs w:val="22"/>
              </w:rPr>
              <w:t xml:space="preserve">Weighting revised since last </w:t>
            </w:r>
            <w:proofErr w:type="gramStart"/>
            <w:r w:rsidRPr="00D80C6C">
              <w:rPr>
                <w:rFonts w:cs="Arial"/>
                <w:bCs/>
                <w:sz w:val="22"/>
                <w:szCs w:val="22"/>
              </w:rPr>
              <w:t>AR?</w:t>
            </w:r>
            <w:proofErr w:type="gramEnd"/>
            <w:r w:rsidRPr="00D80C6C">
              <w:rPr>
                <w:rFonts w:cs="Arial"/>
                <w:bCs/>
                <w:sz w:val="22"/>
                <w:szCs w:val="22"/>
              </w:rPr>
              <w:t xml:space="preserve"> </w:t>
            </w:r>
          </w:p>
        </w:tc>
        <w:tc>
          <w:tcPr>
            <w:tcW w:w="2976" w:type="dxa"/>
            <w:tcBorders>
              <w:top w:val="single" w:sz="4" w:space="0" w:color="auto"/>
              <w:left w:val="single" w:sz="4" w:space="0" w:color="auto"/>
              <w:bottom w:val="single" w:sz="4" w:space="0" w:color="auto"/>
              <w:right w:val="single" w:sz="4" w:space="0" w:color="auto"/>
            </w:tcBorders>
          </w:tcPr>
          <w:p w14:paraId="314B55F6" w14:textId="02B29433" w:rsidR="003D222C" w:rsidRPr="00D80C6C" w:rsidRDefault="003E2B32" w:rsidP="004D5FD5">
            <w:pPr>
              <w:jc w:val="both"/>
              <w:rPr>
                <w:rFonts w:cs="Arial"/>
                <w:bCs/>
                <w:sz w:val="22"/>
                <w:szCs w:val="22"/>
              </w:rPr>
            </w:pPr>
            <w:r>
              <w:rPr>
                <w:rFonts w:cs="Arial"/>
                <w:bCs/>
                <w:sz w:val="22"/>
                <w:szCs w:val="22"/>
              </w:rPr>
              <w:t>No</w:t>
            </w:r>
          </w:p>
        </w:tc>
      </w:tr>
      <w:tr w:rsidR="003D222C" w:rsidRPr="00D80C6C" w14:paraId="49FF75D8" w14:textId="77777777" w:rsidTr="001F2F19">
        <w:trPr>
          <w:trHeight w:val="345"/>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9A26186" w14:textId="5C0E02AC" w:rsidR="003D222C" w:rsidRPr="00D80C6C" w:rsidRDefault="003D222C" w:rsidP="004D5FD5">
            <w:pPr>
              <w:jc w:val="both"/>
              <w:rPr>
                <w:rFonts w:cs="Arial"/>
                <w:bCs/>
                <w:sz w:val="22"/>
                <w:szCs w:val="22"/>
              </w:rPr>
            </w:pPr>
            <w:r w:rsidRPr="00D80C6C">
              <w:rPr>
                <w:rFonts w:cs="Arial"/>
                <w:bCs/>
                <w:sz w:val="22"/>
                <w:szCs w:val="22"/>
              </w:rPr>
              <w:t>Risk rating</w:t>
            </w:r>
            <w:r w:rsidR="00DB3B57">
              <w:rPr>
                <w:rFonts w:cs="Arial"/>
                <w:bCs/>
                <w:sz w:val="22"/>
                <w:szCs w:val="22"/>
              </w:rPr>
              <w:t>:</w:t>
            </w:r>
          </w:p>
        </w:tc>
        <w:tc>
          <w:tcPr>
            <w:tcW w:w="937" w:type="dxa"/>
            <w:tcBorders>
              <w:top w:val="single" w:sz="4" w:space="0" w:color="auto"/>
              <w:left w:val="single" w:sz="4" w:space="0" w:color="auto"/>
              <w:bottom w:val="single" w:sz="4" w:space="0" w:color="auto"/>
              <w:right w:val="single" w:sz="4" w:space="0" w:color="auto"/>
            </w:tcBorders>
          </w:tcPr>
          <w:p w14:paraId="05841711" w14:textId="2401A4EC" w:rsidR="003D222C" w:rsidRPr="00D80C6C" w:rsidRDefault="003E2B32" w:rsidP="004D5FD5">
            <w:pPr>
              <w:jc w:val="both"/>
              <w:rPr>
                <w:rFonts w:cs="Arial"/>
                <w:bCs/>
                <w:sz w:val="22"/>
                <w:szCs w:val="22"/>
              </w:rPr>
            </w:pPr>
            <w:r>
              <w:rPr>
                <w:rFonts w:cs="Arial"/>
                <w:bCs/>
                <w:sz w:val="22"/>
                <w:szCs w:val="22"/>
              </w:rPr>
              <w:t>Minor</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75A24C" w14:textId="77777777" w:rsidR="003D222C" w:rsidRPr="00D80C6C" w:rsidRDefault="003D222C" w:rsidP="004D5FD5">
            <w:pPr>
              <w:jc w:val="both"/>
              <w:rPr>
                <w:rFonts w:cs="Arial"/>
                <w:bCs/>
                <w:sz w:val="22"/>
                <w:szCs w:val="22"/>
              </w:rPr>
            </w:pPr>
            <w:r w:rsidRPr="00D80C6C">
              <w:rPr>
                <w:rFonts w:cs="Arial"/>
                <w:bCs/>
                <w:sz w:val="22"/>
                <w:szCs w:val="22"/>
              </w:rPr>
              <w:t>Risk revised since last AR?</w:t>
            </w:r>
          </w:p>
        </w:tc>
        <w:tc>
          <w:tcPr>
            <w:tcW w:w="2976" w:type="dxa"/>
            <w:tcBorders>
              <w:top w:val="single" w:sz="4" w:space="0" w:color="auto"/>
              <w:left w:val="single" w:sz="4" w:space="0" w:color="auto"/>
              <w:bottom w:val="single" w:sz="4" w:space="0" w:color="auto"/>
              <w:right w:val="single" w:sz="4" w:space="0" w:color="auto"/>
            </w:tcBorders>
          </w:tcPr>
          <w:p w14:paraId="36DFFD26" w14:textId="40D6C40A" w:rsidR="003D222C" w:rsidRPr="00D80C6C" w:rsidRDefault="003E2B32" w:rsidP="004D5FD5">
            <w:pPr>
              <w:jc w:val="both"/>
              <w:rPr>
                <w:rFonts w:cs="Arial"/>
                <w:bCs/>
                <w:sz w:val="22"/>
                <w:szCs w:val="22"/>
              </w:rPr>
            </w:pPr>
            <w:r>
              <w:rPr>
                <w:rFonts w:cs="Arial"/>
                <w:bCs/>
                <w:sz w:val="22"/>
                <w:szCs w:val="22"/>
              </w:rPr>
              <w:t>No</w:t>
            </w:r>
          </w:p>
        </w:tc>
      </w:tr>
    </w:tbl>
    <w:p w14:paraId="6858AD8B" w14:textId="77777777" w:rsidR="003D222C" w:rsidRPr="00D80C6C" w:rsidRDefault="003D222C" w:rsidP="004D5FD5">
      <w:pPr>
        <w:jc w:val="both"/>
        <w:rPr>
          <w:rFonts w:cs="Arial"/>
          <w:b/>
          <w:sz w:val="22"/>
          <w:szCs w:val="22"/>
        </w:rPr>
      </w:pPr>
    </w:p>
    <w:tbl>
      <w:tblPr>
        <w:tblStyle w:val="TableGrid"/>
        <w:tblpPr w:leftFromText="180" w:rightFromText="180" w:vertAnchor="text" w:horzAnchor="page" w:tblpX="1462" w:tblpY="-10"/>
        <w:tblOverlap w:val="never"/>
        <w:tblW w:w="9067" w:type="dxa"/>
        <w:tblLook w:val="04A0" w:firstRow="1" w:lastRow="0" w:firstColumn="1" w:lastColumn="0" w:noHBand="0" w:noVBand="1"/>
      </w:tblPr>
      <w:tblGrid>
        <w:gridCol w:w="2161"/>
        <w:gridCol w:w="2115"/>
        <w:gridCol w:w="4791"/>
      </w:tblGrid>
      <w:tr w:rsidR="003D222C" w:rsidRPr="00D80C6C" w14:paraId="2C0E4C57" w14:textId="77777777" w:rsidTr="00A714E8">
        <w:trPr>
          <w:trHeight w:val="273"/>
        </w:trPr>
        <w:tc>
          <w:tcPr>
            <w:tcW w:w="216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D0691AD" w14:textId="77777777" w:rsidR="003D222C" w:rsidRPr="00D80C6C" w:rsidRDefault="003D222C" w:rsidP="004D5FD5">
            <w:pPr>
              <w:jc w:val="both"/>
              <w:rPr>
                <w:rFonts w:cs="Arial"/>
                <w:b/>
                <w:bCs/>
                <w:sz w:val="22"/>
                <w:szCs w:val="22"/>
              </w:rPr>
            </w:pPr>
            <w:r w:rsidRPr="00D80C6C">
              <w:rPr>
                <w:rFonts w:cs="Arial"/>
                <w:b/>
                <w:bCs/>
                <w:sz w:val="22"/>
                <w:szCs w:val="22"/>
              </w:rPr>
              <w:lastRenderedPageBreak/>
              <w:t>Indicator(s)</w:t>
            </w:r>
          </w:p>
        </w:tc>
        <w:tc>
          <w:tcPr>
            <w:tcW w:w="211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00F6E10" w14:textId="77777777" w:rsidR="003D222C" w:rsidRPr="00D80C6C" w:rsidRDefault="003D222C" w:rsidP="004D5FD5">
            <w:pPr>
              <w:jc w:val="both"/>
              <w:rPr>
                <w:rFonts w:cs="Arial"/>
                <w:b/>
                <w:bCs/>
                <w:sz w:val="22"/>
                <w:szCs w:val="22"/>
              </w:rPr>
            </w:pPr>
            <w:r w:rsidRPr="00D80C6C">
              <w:rPr>
                <w:rFonts w:cs="Arial"/>
                <w:b/>
                <w:bCs/>
                <w:sz w:val="22"/>
                <w:szCs w:val="22"/>
              </w:rPr>
              <w:t>Milestone(s) for this review</w:t>
            </w:r>
          </w:p>
        </w:tc>
        <w:tc>
          <w:tcPr>
            <w:tcW w:w="479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AFE6250" w14:textId="77777777" w:rsidR="003D222C" w:rsidRPr="00D80C6C" w:rsidRDefault="003D222C" w:rsidP="004D5FD5">
            <w:pPr>
              <w:jc w:val="both"/>
              <w:rPr>
                <w:rFonts w:cs="Arial"/>
                <w:b/>
                <w:bCs/>
                <w:sz w:val="22"/>
                <w:szCs w:val="22"/>
              </w:rPr>
            </w:pPr>
            <w:r w:rsidRPr="00D80C6C">
              <w:rPr>
                <w:rFonts w:cs="Arial"/>
                <w:b/>
                <w:bCs/>
                <w:sz w:val="22"/>
                <w:szCs w:val="22"/>
              </w:rPr>
              <w:t xml:space="preserve">Progress </w:t>
            </w:r>
          </w:p>
        </w:tc>
      </w:tr>
      <w:tr w:rsidR="003D222C" w:rsidRPr="00D80C6C" w14:paraId="4F7F057D" w14:textId="77777777" w:rsidTr="00A714E8">
        <w:tc>
          <w:tcPr>
            <w:tcW w:w="2161" w:type="dxa"/>
            <w:tcBorders>
              <w:top w:val="single" w:sz="4" w:space="0" w:color="auto"/>
              <w:left w:val="single" w:sz="4" w:space="0" w:color="auto"/>
              <w:bottom w:val="single" w:sz="4" w:space="0" w:color="auto"/>
              <w:right w:val="single" w:sz="4" w:space="0" w:color="auto"/>
            </w:tcBorders>
          </w:tcPr>
          <w:p w14:paraId="3B935EB4" w14:textId="7D528D32" w:rsidR="003D222C" w:rsidRPr="00D80C6C" w:rsidRDefault="00C87667" w:rsidP="00C87667">
            <w:pPr>
              <w:rPr>
                <w:rFonts w:cs="Arial"/>
                <w:bCs/>
                <w:iCs/>
                <w:sz w:val="22"/>
                <w:szCs w:val="22"/>
              </w:rPr>
            </w:pPr>
            <w:proofErr w:type="gramStart"/>
            <w:r>
              <w:rPr>
                <w:rFonts w:cs="Arial"/>
                <w:bCs/>
                <w:iCs/>
                <w:sz w:val="22"/>
                <w:szCs w:val="22"/>
              </w:rPr>
              <w:t xml:space="preserve">1.1 </w:t>
            </w:r>
            <w:r>
              <w:t xml:space="preserve"> </w:t>
            </w:r>
            <w:r w:rsidRPr="00C87667">
              <w:rPr>
                <w:rFonts w:cs="Arial"/>
                <w:bCs/>
                <w:iCs/>
                <w:sz w:val="22"/>
                <w:szCs w:val="22"/>
              </w:rPr>
              <w:t>Number</w:t>
            </w:r>
            <w:proofErr w:type="gramEnd"/>
            <w:r w:rsidRPr="00C87667">
              <w:rPr>
                <w:rFonts w:cs="Arial"/>
                <w:bCs/>
                <w:iCs/>
                <w:sz w:val="22"/>
                <w:szCs w:val="22"/>
              </w:rPr>
              <w:t xml:space="preserve"> of relevant CETP data products, modelling, tailored policy products, and analytical outputs enhanced/produced to</w:t>
            </w:r>
            <w:r>
              <w:rPr>
                <w:rFonts w:cs="Arial"/>
                <w:bCs/>
                <w:iCs/>
                <w:sz w:val="22"/>
                <w:szCs w:val="22"/>
              </w:rPr>
              <w:t xml:space="preserve"> </w:t>
            </w:r>
            <w:r w:rsidRPr="00C87667">
              <w:rPr>
                <w:rFonts w:cs="Arial"/>
                <w:bCs/>
                <w:iCs/>
                <w:sz w:val="22"/>
                <w:szCs w:val="22"/>
              </w:rPr>
              <w:t xml:space="preserve">inform stakeholders and the </w:t>
            </w:r>
            <w:proofErr w:type="gramStart"/>
            <w:r w:rsidRPr="00C87667">
              <w:rPr>
                <w:rFonts w:cs="Arial"/>
                <w:bCs/>
                <w:iCs/>
                <w:sz w:val="22"/>
                <w:szCs w:val="22"/>
              </w:rPr>
              <w:t>general public</w:t>
            </w:r>
            <w:proofErr w:type="gramEnd"/>
            <w:r w:rsidRPr="00C87667">
              <w:rPr>
                <w:rFonts w:cs="Arial"/>
                <w:bCs/>
                <w:iCs/>
                <w:sz w:val="22"/>
                <w:szCs w:val="22"/>
              </w:rPr>
              <w:t xml:space="preserve"> and guide national, regional and international policy dialogue and in support of major multilateral processes</w:t>
            </w:r>
          </w:p>
        </w:tc>
        <w:tc>
          <w:tcPr>
            <w:tcW w:w="2115" w:type="dxa"/>
            <w:tcBorders>
              <w:top w:val="single" w:sz="4" w:space="0" w:color="auto"/>
              <w:left w:val="single" w:sz="4" w:space="0" w:color="auto"/>
              <w:bottom w:val="single" w:sz="4" w:space="0" w:color="auto"/>
              <w:right w:val="single" w:sz="4" w:space="0" w:color="auto"/>
            </w:tcBorders>
          </w:tcPr>
          <w:p w14:paraId="1FA4E29B" w14:textId="47F33716" w:rsidR="003D222C" w:rsidRPr="00D80C6C" w:rsidRDefault="005D13F9" w:rsidP="006053AE">
            <w:pPr>
              <w:jc w:val="center"/>
              <w:rPr>
                <w:rFonts w:cs="Arial"/>
                <w:bCs/>
                <w:iCs/>
                <w:sz w:val="22"/>
                <w:szCs w:val="22"/>
              </w:rPr>
            </w:pPr>
            <w:r>
              <w:rPr>
                <w:rFonts w:cs="Arial"/>
                <w:bCs/>
                <w:iCs/>
                <w:sz w:val="22"/>
                <w:szCs w:val="22"/>
              </w:rPr>
              <w:t>248</w:t>
            </w:r>
          </w:p>
        </w:tc>
        <w:tc>
          <w:tcPr>
            <w:tcW w:w="4791" w:type="dxa"/>
            <w:tcBorders>
              <w:top w:val="single" w:sz="4" w:space="0" w:color="auto"/>
              <w:left w:val="single" w:sz="4" w:space="0" w:color="auto"/>
              <w:bottom w:val="single" w:sz="4" w:space="0" w:color="auto"/>
              <w:right w:val="single" w:sz="4" w:space="0" w:color="auto"/>
            </w:tcBorders>
          </w:tcPr>
          <w:p w14:paraId="4FC30E37" w14:textId="77777777" w:rsidR="005D13F9" w:rsidRDefault="005D13F9" w:rsidP="005D13F9">
            <w:pPr>
              <w:jc w:val="both"/>
              <w:rPr>
                <w:rFonts w:cs="Arial"/>
                <w:bCs/>
                <w:iCs/>
                <w:sz w:val="22"/>
                <w:szCs w:val="22"/>
                <w:u w:val="single"/>
              </w:rPr>
            </w:pPr>
            <w:r w:rsidRPr="005D13F9">
              <w:rPr>
                <w:rFonts w:cs="Arial"/>
                <w:bCs/>
                <w:iCs/>
                <w:sz w:val="22"/>
                <w:szCs w:val="22"/>
                <w:u w:val="single"/>
              </w:rPr>
              <w:t xml:space="preserve">Progress moderately exceeded expectation </w:t>
            </w:r>
          </w:p>
          <w:p w14:paraId="177DCDA2" w14:textId="77777777" w:rsidR="005D13F9" w:rsidRDefault="005D13F9" w:rsidP="005D13F9">
            <w:pPr>
              <w:jc w:val="both"/>
              <w:rPr>
                <w:rFonts w:cs="Arial"/>
                <w:bCs/>
                <w:iCs/>
                <w:sz w:val="22"/>
                <w:szCs w:val="22"/>
                <w:u w:val="single"/>
              </w:rPr>
            </w:pPr>
          </w:p>
          <w:p w14:paraId="3DC28126" w14:textId="6875CF15" w:rsidR="005D13F9" w:rsidRPr="005D13F9" w:rsidRDefault="00F20B2C" w:rsidP="005D13F9">
            <w:pPr>
              <w:jc w:val="both"/>
              <w:rPr>
                <w:rFonts w:cs="Arial"/>
                <w:bCs/>
                <w:iCs/>
                <w:sz w:val="22"/>
                <w:szCs w:val="22"/>
                <w:u w:val="single"/>
              </w:rPr>
            </w:pPr>
            <w:r>
              <w:rPr>
                <w:rFonts w:cs="Arial"/>
                <w:bCs/>
                <w:iCs/>
                <w:sz w:val="22"/>
                <w:szCs w:val="22"/>
              </w:rPr>
              <w:t xml:space="preserve">256 </w:t>
            </w:r>
            <w:r w:rsidRPr="00C87667">
              <w:rPr>
                <w:rFonts w:cs="Arial"/>
                <w:bCs/>
                <w:iCs/>
                <w:sz w:val="22"/>
                <w:szCs w:val="22"/>
              </w:rPr>
              <w:t>data products, modelling, tailored policy products, and analytical outputs enhanced/produced to</w:t>
            </w:r>
            <w:r>
              <w:rPr>
                <w:rFonts w:cs="Arial"/>
                <w:bCs/>
                <w:iCs/>
                <w:sz w:val="22"/>
                <w:szCs w:val="22"/>
              </w:rPr>
              <w:t xml:space="preserve"> </w:t>
            </w:r>
            <w:r w:rsidRPr="00C87667">
              <w:rPr>
                <w:rFonts w:cs="Arial"/>
                <w:bCs/>
                <w:iCs/>
                <w:sz w:val="22"/>
                <w:szCs w:val="22"/>
              </w:rPr>
              <w:t xml:space="preserve">inform stakeholders and the </w:t>
            </w:r>
            <w:proofErr w:type="gramStart"/>
            <w:r w:rsidRPr="00C87667">
              <w:rPr>
                <w:rFonts w:cs="Arial"/>
                <w:bCs/>
                <w:iCs/>
                <w:sz w:val="22"/>
                <w:szCs w:val="22"/>
              </w:rPr>
              <w:t>general public</w:t>
            </w:r>
            <w:proofErr w:type="gramEnd"/>
            <w:r w:rsidRPr="00C87667">
              <w:rPr>
                <w:rFonts w:cs="Arial"/>
                <w:bCs/>
                <w:iCs/>
                <w:sz w:val="22"/>
                <w:szCs w:val="22"/>
              </w:rPr>
              <w:t xml:space="preserve"> and guide national, regional and international policy dialogue and in support of major multilateral processes</w:t>
            </w:r>
          </w:p>
          <w:p w14:paraId="1DF15CBA" w14:textId="0005F146" w:rsidR="005D13F9" w:rsidRPr="00D80C6C" w:rsidRDefault="005D13F9" w:rsidP="004D5FD5">
            <w:pPr>
              <w:contextualSpacing/>
              <w:jc w:val="both"/>
              <w:rPr>
                <w:rFonts w:cs="Arial"/>
                <w:bCs/>
                <w:iCs/>
                <w:sz w:val="22"/>
                <w:szCs w:val="22"/>
              </w:rPr>
            </w:pPr>
          </w:p>
        </w:tc>
      </w:tr>
      <w:tr w:rsidR="00691842" w:rsidRPr="00D80C6C" w14:paraId="5FC9728D" w14:textId="77777777" w:rsidTr="00A714E8">
        <w:tc>
          <w:tcPr>
            <w:tcW w:w="2161" w:type="dxa"/>
            <w:tcBorders>
              <w:top w:val="single" w:sz="4" w:space="0" w:color="auto"/>
              <w:left w:val="single" w:sz="4" w:space="0" w:color="auto"/>
              <w:bottom w:val="single" w:sz="4" w:space="0" w:color="auto"/>
              <w:right w:val="single" w:sz="4" w:space="0" w:color="auto"/>
            </w:tcBorders>
          </w:tcPr>
          <w:p w14:paraId="7962695B" w14:textId="1A4DE6F1" w:rsidR="00691842" w:rsidRPr="00C14B26" w:rsidRDefault="00C14B26" w:rsidP="00C14B26">
            <w:pPr>
              <w:rPr>
                <w:rFonts w:cs="Arial"/>
                <w:sz w:val="22"/>
                <w:szCs w:val="22"/>
              </w:rPr>
            </w:pPr>
            <w:r>
              <w:rPr>
                <w:rFonts w:cs="Arial"/>
                <w:sz w:val="22"/>
                <w:szCs w:val="22"/>
              </w:rPr>
              <w:t xml:space="preserve">1.1a </w:t>
            </w:r>
            <w:r w:rsidRPr="00C14B26">
              <w:rPr>
                <w:rFonts w:cs="Arial"/>
                <w:sz w:val="22"/>
                <w:szCs w:val="22"/>
              </w:rPr>
              <w:t xml:space="preserve">Number of relevant CETP data products, modelling, tailored policy products, and analytical outputs on methane reduction in the oil and gas sector enhanced/produced to inform stakeholders and the </w:t>
            </w:r>
            <w:proofErr w:type="gramStart"/>
            <w:r w:rsidRPr="00C14B26">
              <w:rPr>
                <w:rFonts w:cs="Arial"/>
                <w:sz w:val="22"/>
                <w:szCs w:val="22"/>
              </w:rPr>
              <w:t>general public</w:t>
            </w:r>
            <w:proofErr w:type="gramEnd"/>
            <w:r w:rsidRPr="00C14B26">
              <w:rPr>
                <w:rFonts w:cs="Arial"/>
                <w:sz w:val="22"/>
                <w:szCs w:val="22"/>
              </w:rPr>
              <w:t xml:space="preserve"> and guide national, regional and international policy dialogue and in support of major multilateral processes</w:t>
            </w:r>
          </w:p>
        </w:tc>
        <w:tc>
          <w:tcPr>
            <w:tcW w:w="2115" w:type="dxa"/>
            <w:tcBorders>
              <w:top w:val="single" w:sz="4" w:space="0" w:color="auto"/>
              <w:left w:val="single" w:sz="4" w:space="0" w:color="auto"/>
              <w:bottom w:val="single" w:sz="4" w:space="0" w:color="auto"/>
              <w:right w:val="single" w:sz="4" w:space="0" w:color="auto"/>
            </w:tcBorders>
          </w:tcPr>
          <w:p w14:paraId="4F70BD3F" w14:textId="0A9638EA" w:rsidR="00691842" w:rsidRPr="006053AE" w:rsidRDefault="00F77C6E" w:rsidP="006053AE">
            <w:pPr>
              <w:jc w:val="center"/>
              <w:rPr>
                <w:rFonts w:cs="Arial"/>
                <w:sz w:val="22"/>
                <w:szCs w:val="22"/>
              </w:rPr>
            </w:pPr>
            <w:r w:rsidRPr="006053AE">
              <w:rPr>
                <w:rFonts w:cs="Arial"/>
                <w:sz w:val="22"/>
                <w:szCs w:val="22"/>
              </w:rPr>
              <w:t>3</w:t>
            </w:r>
          </w:p>
        </w:tc>
        <w:tc>
          <w:tcPr>
            <w:tcW w:w="4791" w:type="dxa"/>
            <w:tcBorders>
              <w:top w:val="single" w:sz="4" w:space="0" w:color="auto"/>
              <w:left w:val="single" w:sz="4" w:space="0" w:color="auto"/>
              <w:bottom w:val="single" w:sz="4" w:space="0" w:color="auto"/>
              <w:right w:val="single" w:sz="4" w:space="0" w:color="auto"/>
            </w:tcBorders>
          </w:tcPr>
          <w:p w14:paraId="3714E962" w14:textId="77777777" w:rsidR="00F77C6E" w:rsidRDefault="00F77C6E" w:rsidP="00F77C6E">
            <w:pPr>
              <w:jc w:val="both"/>
              <w:rPr>
                <w:rFonts w:cs="Arial"/>
                <w:bCs/>
                <w:iCs/>
                <w:sz w:val="22"/>
                <w:szCs w:val="22"/>
                <w:u w:val="single"/>
              </w:rPr>
            </w:pPr>
            <w:r w:rsidRPr="00F77C6E">
              <w:rPr>
                <w:rFonts w:cs="Arial"/>
                <w:bCs/>
                <w:iCs/>
                <w:sz w:val="22"/>
                <w:szCs w:val="22"/>
                <w:u w:val="single"/>
              </w:rPr>
              <w:t xml:space="preserve">Progress substantially exceeded expectation </w:t>
            </w:r>
          </w:p>
          <w:p w14:paraId="0CCBB753" w14:textId="77777777" w:rsidR="00F77C6E" w:rsidRDefault="00F77C6E" w:rsidP="00F77C6E">
            <w:pPr>
              <w:jc w:val="both"/>
              <w:rPr>
                <w:rFonts w:cs="Arial"/>
                <w:bCs/>
                <w:iCs/>
                <w:sz w:val="22"/>
                <w:szCs w:val="22"/>
                <w:u w:val="single"/>
              </w:rPr>
            </w:pPr>
          </w:p>
          <w:p w14:paraId="288683AC" w14:textId="3F2A2280" w:rsidR="00F77C6E" w:rsidRPr="00F77C6E" w:rsidRDefault="006053AE" w:rsidP="00F77C6E">
            <w:pPr>
              <w:jc w:val="both"/>
              <w:rPr>
                <w:rFonts w:cs="Arial"/>
                <w:bCs/>
                <w:iCs/>
                <w:sz w:val="22"/>
                <w:szCs w:val="22"/>
                <w:u w:val="single"/>
              </w:rPr>
            </w:pPr>
            <w:r w:rsidRPr="006053AE">
              <w:rPr>
                <w:rFonts w:cs="Arial"/>
                <w:bCs/>
                <w:iCs/>
                <w:sz w:val="22"/>
                <w:szCs w:val="22"/>
              </w:rPr>
              <w:t xml:space="preserve">15 relevant CETP data products, modelling, tailored policy products, and analytical outputs on methane reduction in the oil and gas sector enhanced/produced to inform stakeholders and the </w:t>
            </w:r>
            <w:proofErr w:type="gramStart"/>
            <w:r w:rsidRPr="006053AE">
              <w:rPr>
                <w:rFonts w:cs="Arial"/>
                <w:bCs/>
                <w:iCs/>
                <w:sz w:val="22"/>
                <w:szCs w:val="22"/>
              </w:rPr>
              <w:t>general public</w:t>
            </w:r>
            <w:proofErr w:type="gramEnd"/>
            <w:r w:rsidRPr="006053AE">
              <w:rPr>
                <w:rFonts w:cs="Arial"/>
                <w:bCs/>
                <w:iCs/>
                <w:sz w:val="22"/>
                <w:szCs w:val="22"/>
              </w:rPr>
              <w:t xml:space="preserve"> and guide national, regional and international policy dialogue and in support of major multilateral processes</w:t>
            </w:r>
          </w:p>
          <w:p w14:paraId="3318F706" w14:textId="77777777" w:rsidR="00691842" w:rsidRPr="00D80C6C" w:rsidRDefault="00691842" w:rsidP="3A221014">
            <w:pPr>
              <w:contextualSpacing/>
              <w:jc w:val="both"/>
              <w:rPr>
                <w:rFonts w:cs="Arial"/>
                <w:i/>
                <w:iCs/>
                <w:sz w:val="22"/>
                <w:szCs w:val="22"/>
              </w:rPr>
            </w:pPr>
          </w:p>
        </w:tc>
      </w:tr>
      <w:tr w:rsidR="007D6C3D" w:rsidRPr="00D80C6C" w14:paraId="203A1FE8" w14:textId="77777777" w:rsidTr="00A714E8">
        <w:tc>
          <w:tcPr>
            <w:tcW w:w="2161" w:type="dxa"/>
            <w:tcBorders>
              <w:top w:val="single" w:sz="4" w:space="0" w:color="auto"/>
              <w:left w:val="single" w:sz="4" w:space="0" w:color="auto"/>
              <w:bottom w:val="single" w:sz="4" w:space="0" w:color="auto"/>
              <w:right w:val="single" w:sz="4" w:space="0" w:color="auto"/>
            </w:tcBorders>
          </w:tcPr>
          <w:p w14:paraId="18A9265B" w14:textId="5FEDAA1C" w:rsidR="00594299" w:rsidRPr="00594299" w:rsidRDefault="00594299" w:rsidP="006053AE">
            <w:pPr>
              <w:rPr>
                <w:rFonts w:cs="Arial"/>
                <w:sz w:val="22"/>
                <w:szCs w:val="22"/>
              </w:rPr>
            </w:pPr>
            <w:r>
              <w:rPr>
                <w:rFonts w:cs="Arial"/>
                <w:i/>
                <w:iCs/>
                <w:sz w:val="22"/>
                <w:szCs w:val="22"/>
              </w:rPr>
              <w:t xml:space="preserve">1.2 </w:t>
            </w:r>
            <w:r w:rsidRPr="00594299">
              <w:rPr>
                <w:rFonts w:cs="Arial"/>
                <w:sz w:val="22"/>
                <w:szCs w:val="22"/>
              </w:rPr>
              <w:t>Number of users and page views of the CETP pages on the IEA website</w:t>
            </w:r>
          </w:p>
          <w:p w14:paraId="40EF664B" w14:textId="36B5218E" w:rsidR="007D6C3D" w:rsidRPr="00D80C6C" w:rsidRDefault="007D6C3D" w:rsidP="006053AE">
            <w:pPr>
              <w:rPr>
                <w:rFonts w:cs="Arial"/>
                <w:i/>
                <w:iCs/>
                <w:sz w:val="22"/>
                <w:szCs w:val="22"/>
              </w:rPr>
            </w:pPr>
          </w:p>
        </w:tc>
        <w:tc>
          <w:tcPr>
            <w:tcW w:w="2115" w:type="dxa"/>
            <w:tcBorders>
              <w:top w:val="single" w:sz="4" w:space="0" w:color="auto"/>
              <w:left w:val="single" w:sz="4" w:space="0" w:color="auto"/>
              <w:bottom w:val="single" w:sz="4" w:space="0" w:color="auto"/>
              <w:right w:val="single" w:sz="4" w:space="0" w:color="auto"/>
            </w:tcBorders>
          </w:tcPr>
          <w:p w14:paraId="778049FA" w14:textId="77777777" w:rsidR="007D6C3D" w:rsidRDefault="00FC3238" w:rsidP="00EA0B4D">
            <w:pPr>
              <w:jc w:val="center"/>
              <w:rPr>
                <w:rFonts w:cs="Arial"/>
                <w:sz w:val="22"/>
                <w:szCs w:val="22"/>
              </w:rPr>
            </w:pPr>
            <w:r>
              <w:rPr>
                <w:rFonts w:cs="Arial"/>
                <w:sz w:val="22"/>
                <w:szCs w:val="22"/>
              </w:rPr>
              <w:t>2,400,000 users</w:t>
            </w:r>
          </w:p>
          <w:p w14:paraId="3B341161" w14:textId="72F99A2D" w:rsidR="00FC3238" w:rsidRPr="006053AE" w:rsidRDefault="00FC3238" w:rsidP="00EA0B4D">
            <w:pPr>
              <w:jc w:val="center"/>
              <w:rPr>
                <w:rFonts w:cs="Arial"/>
                <w:sz w:val="22"/>
                <w:szCs w:val="22"/>
              </w:rPr>
            </w:pPr>
            <w:r>
              <w:rPr>
                <w:rFonts w:cs="Arial"/>
                <w:sz w:val="22"/>
                <w:szCs w:val="22"/>
              </w:rPr>
              <w:t xml:space="preserve">5,600,000 </w:t>
            </w:r>
            <w:r w:rsidR="00EA0B4D">
              <w:rPr>
                <w:rFonts w:cs="Arial"/>
                <w:sz w:val="22"/>
                <w:szCs w:val="22"/>
              </w:rPr>
              <w:t>page views</w:t>
            </w:r>
          </w:p>
        </w:tc>
        <w:tc>
          <w:tcPr>
            <w:tcW w:w="4791" w:type="dxa"/>
            <w:tcBorders>
              <w:top w:val="single" w:sz="4" w:space="0" w:color="auto"/>
              <w:left w:val="single" w:sz="4" w:space="0" w:color="auto"/>
              <w:bottom w:val="single" w:sz="4" w:space="0" w:color="auto"/>
              <w:right w:val="single" w:sz="4" w:space="0" w:color="auto"/>
            </w:tcBorders>
          </w:tcPr>
          <w:p w14:paraId="25033F5F" w14:textId="77777777" w:rsidR="00EA0B4D" w:rsidRDefault="00EA0B4D" w:rsidP="00EA0B4D">
            <w:pPr>
              <w:jc w:val="both"/>
              <w:rPr>
                <w:rFonts w:cs="Arial"/>
                <w:bCs/>
                <w:iCs/>
                <w:sz w:val="22"/>
                <w:szCs w:val="22"/>
                <w:u w:val="single"/>
              </w:rPr>
            </w:pPr>
            <w:r w:rsidRPr="00F77C6E">
              <w:rPr>
                <w:rFonts w:cs="Arial"/>
                <w:bCs/>
                <w:iCs/>
                <w:sz w:val="22"/>
                <w:szCs w:val="22"/>
                <w:u w:val="single"/>
              </w:rPr>
              <w:t xml:space="preserve">Progress substantially exceeded expectation </w:t>
            </w:r>
          </w:p>
          <w:p w14:paraId="477DBB7D" w14:textId="77777777" w:rsidR="00551B61" w:rsidRDefault="00551B61" w:rsidP="00EA0B4D">
            <w:pPr>
              <w:jc w:val="both"/>
              <w:rPr>
                <w:rFonts w:cs="Arial"/>
                <w:bCs/>
                <w:iCs/>
                <w:sz w:val="22"/>
                <w:szCs w:val="22"/>
                <w:u w:val="single"/>
              </w:rPr>
            </w:pPr>
          </w:p>
          <w:p w14:paraId="1D9CF222" w14:textId="435DD1CC" w:rsidR="00551B61" w:rsidRPr="008E7842" w:rsidRDefault="0039458C" w:rsidP="00EA0B4D">
            <w:pPr>
              <w:jc w:val="both"/>
              <w:rPr>
                <w:rFonts w:cs="Arial"/>
                <w:bCs/>
                <w:iCs/>
                <w:sz w:val="22"/>
                <w:szCs w:val="22"/>
              </w:rPr>
            </w:pPr>
            <w:r w:rsidRPr="008E7842">
              <w:rPr>
                <w:rFonts w:cs="Arial"/>
                <w:bCs/>
                <w:iCs/>
                <w:sz w:val="22"/>
                <w:szCs w:val="22"/>
              </w:rPr>
              <w:t>3,237,000 users of the CETP pages on th</w:t>
            </w:r>
            <w:r w:rsidR="008E7842" w:rsidRPr="008E7842">
              <w:rPr>
                <w:rFonts w:cs="Arial"/>
                <w:bCs/>
                <w:iCs/>
                <w:sz w:val="22"/>
                <w:szCs w:val="22"/>
              </w:rPr>
              <w:t>e IEA website</w:t>
            </w:r>
            <w:r w:rsidRPr="008E7842">
              <w:rPr>
                <w:rFonts w:cs="Arial"/>
                <w:bCs/>
                <w:iCs/>
                <w:sz w:val="22"/>
                <w:szCs w:val="22"/>
              </w:rPr>
              <w:t xml:space="preserve"> with 7,554,000 page views </w:t>
            </w:r>
          </w:p>
          <w:p w14:paraId="4E3DD113" w14:textId="77777777" w:rsidR="007D6C3D" w:rsidRDefault="007D6C3D" w:rsidP="3A221014">
            <w:pPr>
              <w:contextualSpacing/>
              <w:jc w:val="both"/>
              <w:rPr>
                <w:rFonts w:cs="Arial"/>
                <w:sz w:val="22"/>
                <w:szCs w:val="22"/>
              </w:rPr>
            </w:pPr>
          </w:p>
          <w:p w14:paraId="578B90AD" w14:textId="77777777" w:rsidR="00EA0B4D" w:rsidRPr="00EA0B4D" w:rsidRDefault="00EA0B4D" w:rsidP="3A221014">
            <w:pPr>
              <w:contextualSpacing/>
              <w:jc w:val="both"/>
              <w:rPr>
                <w:rFonts w:cs="Arial"/>
                <w:sz w:val="22"/>
                <w:szCs w:val="22"/>
              </w:rPr>
            </w:pPr>
          </w:p>
        </w:tc>
      </w:tr>
      <w:tr w:rsidR="007D6C3D" w:rsidRPr="00D80C6C" w14:paraId="043C6F64" w14:textId="77777777" w:rsidTr="00A714E8">
        <w:tc>
          <w:tcPr>
            <w:tcW w:w="2161" w:type="dxa"/>
            <w:tcBorders>
              <w:top w:val="single" w:sz="4" w:space="0" w:color="auto"/>
              <w:left w:val="single" w:sz="4" w:space="0" w:color="auto"/>
              <w:bottom w:val="single" w:sz="4" w:space="0" w:color="auto"/>
              <w:right w:val="single" w:sz="4" w:space="0" w:color="auto"/>
            </w:tcBorders>
          </w:tcPr>
          <w:p w14:paraId="2C291EC6" w14:textId="76087331" w:rsidR="007D6C3D" w:rsidRPr="00D80C6C" w:rsidRDefault="00C5016C" w:rsidP="00017A21">
            <w:pPr>
              <w:rPr>
                <w:rFonts w:cs="Arial"/>
                <w:i/>
                <w:iCs/>
                <w:sz w:val="22"/>
                <w:szCs w:val="22"/>
              </w:rPr>
            </w:pPr>
            <w:r>
              <w:rPr>
                <w:rFonts w:cs="Arial"/>
                <w:i/>
                <w:iCs/>
                <w:sz w:val="22"/>
                <w:szCs w:val="22"/>
              </w:rPr>
              <w:t xml:space="preserve">1.3 </w:t>
            </w:r>
            <w:r w:rsidRPr="00C5016C">
              <w:rPr>
                <w:rFonts w:cs="Arial"/>
                <w:sz w:val="22"/>
                <w:szCs w:val="22"/>
              </w:rPr>
              <w:t>Number of public dissemination events held, e.g. report launches, press events</w:t>
            </w:r>
          </w:p>
        </w:tc>
        <w:tc>
          <w:tcPr>
            <w:tcW w:w="2115" w:type="dxa"/>
            <w:tcBorders>
              <w:top w:val="single" w:sz="4" w:space="0" w:color="auto"/>
              <w:left w:val="single" w:sz="4" w:space="0" w:color="auto"/>
              <w:bottom w:val="single" w:sz="4" w:space="0" w:color="auto"/>
              <w:right w:val="single" w:sz="4" w:space="0" w:color="auto"/>
            </w:tcBorders>
          </w:tcPr>
          <w:p w14:paraId="408E5B6F" w14:textId="69A45AEC" w:rsidR="007D6C3D" w:rsidRPr="008E7842" w:rsidRDefault="008E7842" w:rsidP="008E7842">
            <w:pPr>
              <w:jc w:val="center"/>
              <w:rPr>
                <w:rFonts w:cs="Arial"/>
                <w:sz w:val="22"/>
                <w:szCs w:val="22"/>
              </w:rPr>
            </w:pPr>
            <w:r w:rsidRPr="008E7842">
              <w:rPr>
                <w:rFonts w:cs="Arial"/>
                <w:sz w:val="22"/>
                <w:szCs w:val="22"/>
              </w:rPr>
              <w:t>130</w:t>
            </w:r>
          </w:p>
        </w:tc>
        <w:tc>
          <w:tcPr>
            <w:tcW w:w="4791" w:type="dxa"/>
            <w:tcBorders>
              <w:top w:val="single" w:sz="4" w:space="0" w:color="auto"/>
              <w:left w:val="single" w:sz="4" w:space="0" w:color="auto"/>
              <w:bottom w:val="single" w:sz="4" w:space="0" w:color="auto"/>
              <w:right w:val="single" w:sz="4" w:space="0" w:color="auto"/>
            </w:tcBorders>
          </w:tcPr>
          <w:p w14:paraId="39F33D97" w14:textId="43ED803D" w:rsidR="008529C5" w:rsidRPr="008529C5" w:rsidRDefault="008529C5" w:rsidP="008529C5">
            <w:pPr>
              <w:contextualSpacing/>
              <w:rPr>
                <w:rFonts w:cs="Arial"/>
                <w:sz w:val="22"/>
                <w:szCs w:val="22"/>
                <w:u w:val="single"/>
              </w:rPr>
            </w:pPr>
            <w:r w:rsidRPr="008529C5">
              <w:rPr>
                <w:rFonts w:cs="Arial"/>
                <w:sz w:val="22"/>
                <w:szCs w:val="22"/>
                <w:u w:val="single"/>
              </w:rPr>
              <w:t>Progress substantially exceeded expectation</w:t>
            </w:r>
          </w:p>
          <w:p w14:paraId="507B88BC" w14:textId="77777777" w:rsidR="008529C5" w:rsidRDefault="008529C5" w:rsidP="008E7842">
            <w:pPr>
              <w:contextualSpacing/>
              <w:jc w:val="center"/>
              <w:rPr>
                <w:rFonts w:cs="Arial"/>
                <w:i/>
                <w:iCs/>
                <w:sz w:val="22"/>
                <w:szCs w:val="22"/>
              </w:rPr>
            </w:pPr>
          </w:p>
          <w:p w14:paraId="3056926F" w14:textId="25F4DC57" w:rsidR="007D6C3D" w:rsidRPr="008529C5" w:rsidRDefault="008529C5" w:rsidP="008529C5">
            <w:pPr>
              <w:contextualSpacing/>
              <w:rPr>
                <w:rFonts w:cs="Arial"/>
                <w:sz w:val="22"/>
                <w:szCs w:val="22"/>
              </w:rPr>
            </w:pPr>
            <w:r>
              <w:rPr>
                <w:rFonts w:cs="Arial"/>
                <w:sz w:val="22"/>
                <w:szCs w:val="22"/>
              </w:rPr>
              <w:t>349 public dissemination events held</w:t>
            </w:r>
          </w:p>
        </w:tc>
      </w:tr>
      <w:tr w:rsidR="007D6C3D" w:rsidRPr="00D80C6C" w14:paraId="0CB0CC3B" w14:textId="77777777" w:rsidTr="00A714E8">
        <w:tc>
          <w:tcPr>
            <w:tcW w:w="2161" w:type="dxa"/>
            <w:tcBorders>
              <w:top w:val="single" w:sz="4" w:space="0" w:color="auto"/>
              <w:left w:val="single" w:sz="4" w:space="0" w:color="auto"/>
              <w:bottom w:val="single" w:sz="4" w:space="0" w:color="auto"/>
              <w:right w:val="single" w:sz="4" w:space="0" w:color="auto"/>
            </w:tcBorders>
          </w:tcPr>
          <w:p w14:paraId="5AF8FCD0" w14:textId="38280DA1" w:rsidR="007D6C3D" w:rsidRPr="00F65BAF" w:rsidRDefault="00F70C23" w:rsidP="00017A21">
            <w:pPr>
              <w:rPr>
                <w:rFonts w:cs="Arial"/>
                <w:sz w:val="22"/>
                <w:szCs w:val="22"/>
              </w:rPr>
            </w:pPr>
            <w:r w:rsidRPr="00F65BAF">
              <w:rPr>
                <w:rFonts w:cs="Arial"/>
                <w:sz w:val="22"/>
                <w:szCs w:val="22"/>
              </w:rPr>
              <w:t>1.4 Total number of participants in dissemination events</w:t>
            </w:r>
          </w:p>
        </w:tc>
        <w:tc>
          <w:tcPr>
            <w:tcW w:w="2115" w:type="dxa"/>
            <w:tcBorders>
              <w:top w:val="single" w:sz="4" w:space="0" w:color="auto"/>
              <w:left w:val="single" w:sz="4" w:space="0" w:color="auto"/>
              <w:bottom w:val="single" w:sz="4" w:space="0" w:color="auto"/>
              <w:right w:val="single" w:sz="4" w:space="0" w:color="auto"/>
            </w:tcBorders>
          </w:tcPr>
          <w:p w14:paraId="1D078E55" w14:textId="7CB951FB" w:rsidR="007D6C3D" w:rsidRPr="00775B79" w:rsidRDefault="00775B79" w:rsidP="00775B79">
            <w:pPr>
              <w:jc w:val="center"/>
              <w:rPr>
                <w:rFonts w:cs="Arial"/>
                <w:sz w:val="22"/>
                <w:szCs w:val="22"/>
              </w:rPr>
            </w:pPr>
            <w:r w:rsidRPr="00775B79">
              <w:rPr>
                <w:rFonts w:cs="Arial"/>
                <w:sz w:val="22"/>
                <w:szCs w:val="22"/>
              </w:rPr>
              <w:t>239,797</w:t>
            </w:r>
          </w:p>
        </w:tc>
        <w:tc>
          <w:tcPr>
            <w:tcW w:w="4791" w:type="dxa"/>
            <w:tcBorders>
              <w:top w:val="single" w:sz="4" w:space="0" w:color="auto"/>
              <w:left w:val="single" w:sz="4" w:space="0" w:color="auto"/>
              <w:bottom w:val="single" w:sz="4" w:space="0" w:color="auto"/>
              <w:right w:val="single" w:sz="4" w:space="0" w:color="auto"/>
            </w:tcBorders>
          </w:tcPr>
          <w:p w14:paraId="2CAA2EAF" w14:textId="77777777" w:rsidR="00775B79" w:rsidRDefault="00775B79" w:rsidP="00775B79">
            <w:pPr>
              <w:jc w:val="both"/>
              <w:rPr>
                <w:rFonts w:cs="Arial"/>
                <w:bCs/>
                <w:iCs/>
                <w:sz w:val="22"/>
                <w:szCs w:val="22"/>
                <w:u w:val="single"/>
              </w:rPr>
            </w:pPr>
            <w:r w:rsidRPr="00775B79">
              <w:rPr>
                <w:rFonts w:cs="Arial"/>
                <w:bCs/>
                <w:iCs/>
                <w:sz w:val="22"/>
                <w:szCs w:val="22"/>
                <w:u w:val="single"/>
              </w:rPr>
              <w:t xml:space="preserve">Progress moderately did not meet expectation </w:t>
            </w:r>
          </w:p>
          <w:p w14:paraId="6BD8DCFF" w14:textId="77777777" w:rsidR="00775B79" w:rsidRDefault="00775B79" w:rsidP="00775B79">
            <w:pPr>
              <w:jc w:val="both"/>
              <w:rPr>
                <w:rFonts w:cs="Arial"/>
                <w:bCs/>
                <w:iCs/>
                <w:sz w:val="22"/>
                <w:szCs w:val="22"/>
                <w:u w:val="single"/>
              </w:rPr>
            </w:pPr>
          </w:p>
          <w:p w14:paraId="02EC7EE3" w14:textId="2798ED7F" w:rsidR="00775B79" w:rsidRPr="00E329AE" w:rsidRDefault="00E329AE" w:rsidP="00775B79">
            <w:pPr>
              <w:jc w:val="both"/>
              <w:rPr>
                <w:rFonts w:cs="Arial"/>
                <w:bCs/>
                <w:iCs/>
                <w:sz w:val="22"/>
                <w:szCs w:val="22"/>
              </w:rPr>
            </w:pPr>
            <w:r w:rsidRPr="00E329AE">
              <w:rPr>
                <w:rFonts w:cs="Arial"/>
                <w:bCs/>
                <w:iCs/>
                <w:sz w:val="22"/>
                <w:szCs w:val="22"/>
              </w:rPr>
              <w:t>237,497 participants in dissemination events</w:t>
            </w:r>
          </w:p>
          <w:p w14:paraId="45EC1364" w14:textId="77777777" w:rsidR="007D6C3D" w:rsidRPr="00D80C6C" w:rsidRDefault="007D6C3D" w:rsidP="3A221014">
            <w:pPr>
              <w:contextualSpacing/>
              <w:jc w:val="both"/>
              <w:rPr>
                <w:rFonts w:cs="Arial"/>
                <w:i/>
                <w:iCs/>
                <w:sz w:val="22"/>
                <w:szCs w:val="22"/>
              </w:rPr>
            </w:pPr>
          </w:p>
        </w:tc>
      </w:tr>
      <w:tr w:rsidR="00C5016C" w:rsidRPr="00D80C6C" w14:paraId="0CEA67E6" w14:textId="77777777" w:rsidTr="00A714E8">
        <w:tc>
          <w:tcPr>
            <w:tcW w:w="2161" w:type="dxa"/>
            <w:tcBorders>
              <w:top w:val="single" w:sz="4" w:space="0" w:color="auto"/>
              <w:left w:val="single" w:sz="4" w:space="0" w:color="auto"/>
              <w:bottom w:val="single" w:sz="4" w:space="0" w:color="auto"/>
              <w:right w:val="single" w:sz="4" w:space="0" w:color="auto"/>
            </w:tcBorders>
          </w:tcPr>
          <w:p w14:paraId="5A4D25D3" w14:textId="13489C5C" w:rsidR="00C5016C" w:rsidRPr="00017A21" w:rsidRDefault="00017A21" w:rsidP="00017A21">
            <w:pPr>
              <w:rPr>
                <w:rFonts w:cs="Arial"/>
                <w:sz w:val="22"/>
                <w:szCs w:val="22"/>
              </w:rPr>
            </w:pPr>
            <w:r w:rsidRPr="00017A21">
              <w:rPr>
                <w:rFonts w:cs="Arial"/>
                <w:sz w:val="22"/>
                <w:szCs w:val="22"/>
              </w:rPr>
              <w:lastRenderedPageBreak/>
              <w:t>1.5 % of women in attendance at CETP dissemination events</w:t>
            </w:r>
          </w:p>
        </w:tc>
        <w:tc>
          <w:tcPr>
            <w:tcW w:w="2115" w:type="dxa"/>
            <w:tcBorders>
              <w:top w:val="single" w:sz="4" w:space="0" w:color="auto"/>
              <w:left w:val="single" w:sz="4" w:space="0" w:color="auto"/>
              <w:bottom w:val="single" w:sz="4" w:space="0" w:color="auto"/>
              <w:right w:val="single" w:sz="4" w:space="0" w:color="auto"/>
            </w:tcBorders>
          </w:tcPr>
          <w:p w14:paraId="5CB1000B" w14:textId="33BD2149" w:rsidR="00C5016C" w:rsidRPr="00E329AE" w:rsidRDefault="00E329AE" w:rsidP="3A221014">
            <w:pPr>
              <w:jc w:val="both"/>
              <w:rPr>
                <w:rFonts w:cs="Arial"/>
                <w:sz w:val="22"/>
                <w:szCs w:val="22"/>
              </w:rPr>
            </w:pPr>
            <w:r>
              <w:rPr>
                <w:rFonts w:cs="Arial"/>
                <w:i/>
                <w:iCs/>
                <w:sz w:val="22"/>
                <w:szCs w:val="22"/>
              </w:rPr>
              <w:t xml:space="preserve">          </w:t>
            </w:r>
            <w:r>
              <w:rPr>
                <w:rFonts w:cs="Arial"/>
                <w:sz w:val="22"/>
                <w:szCs w:val="22"/>
              </w:rPr>
              <w:t xml:space="preserve">   </w:t>
            </w:r>
            <w:r w:rsidR="00592745">
              <w:rPr>
                <w:rFonts w:cs="Arial"/>
                <w:sz w:val="22"/>
                <w:szCs w:val="22"/>
              </w:rPr>
              <w:t>38%</w:t>
            </w:r>
          </w:p>
        </w:tc>
        <w:tc>
          <w:tcPr>
            <w:tcW w:w="4791" w:type="dxa"/>
            <w:tcBorders>
              <w:top w:val="single" w:sz="4" w:space="0" w:color="auto"/>
              <w:left w:val="single" w:sz="4" w:space="0" w:color="auto"/>
              <w:bottom w:val="single" w:sz="4" w:space="0" w:color="auto"/>
              <w:right w:val="single" w:sz="4" w:space="0" w:color="auto"/>
            </w:tcBorders>
          </w:tcPr>
          <w:p w14:paraId="5AC4E406" w14:textId="77777777" w:rsidR="00592745" w:rsidRDefault="00592745" w:rsidP="00592745">
            <w:pPr>
              <w:jc w:val="both"/>
              <w:rPr>
                <w:rFonts w:cs="Arial"/>
                <w:bCs/>
                <w:iCs/>
                <w:sz w:val="22"/>
                <w:szCs w:val="22"/>
                <w:u w:val="single"/>
              </w:rPr>
            </w:pPr>
            <w:r w:rsidRPr="005D13F9">
              <w:rPr>
                <w:rFonts w:cs="Arial"/>
                <w:bCs/>
                <w:iCs/>
                <w:sz w:val="22"/>
                <w:szCs w:val="22"/>
                <w:u w:val="single"/>
              </w:rPr>
              <w:t xml:space="preserve">Progress moderately exceeded expectation </w:t>
            </w:r>
          </w:p>
          <w:p w14:paraId="69995E7E" w14:textId="77777777" w:rsidR="00C5016C" w:rsidRDefault="00C5016C" w:rsidP="3A221014">
            <w:pPr>
              <w:contextualSpacing/>
              <w:jc w:val="both"/>
              <w:rPr>
                <w:rFonts w:cs="Arial"/>
                <w:i/>
                <w:iCs/>
                <w:sz w:val="22"/>
                <w:szCs w:val="22"/>
              </w:rPr>
            </w:pPr>
          </w:p>
          <w:p w14:paraId="0D5B9186" w14:textId="60749350" w:rsidR="00592745" w:rsidRPr="00B335D0" w:rsidRDefault="00B335D0" w:rsidP="3A221014">
            <w:pPr>
              <w:contextualSpacing/>
              <w:jc w:val="both"/>
              <w:rPr>
                <w:rFonts w:cs="Arial"/>
                <w:sz w:val="22"/>
                <w:szCs w:val="22"/>
              </w:rPr>
            </w:pPr>
            <w:r w:rsidRPr="00B335D0">
              <w:rPr>
                <w:rFonts w:cs="Arial"/>
                <w:sz w:val="22"/>
                <w:szCs w:val="22"/>
              </w:rPr>
              <w:t>Women accounted for 43% of attendees at CETP dissemination events</w:t>
            </w:r>
          </w:p>
        </w:tc>
      </w:tr>
      <w:tr w:rsidR="00C5016C" w:rsidRPr="00D80C6C" w14:paraId="597C924C" w14:textId="77777777" w:rsidTr="00A714E8">
        <w:tc>
          <w:tcPr>
            <w:tcW w:w="2161" w:type="dxa"/>
            <w:tcBorders>
              <w:top w:val="single" w:sz="4" w:space="0" w:color="auto"/>
              <w:left w:val="single" w:sz="4" w:space="0" w:color="auto"/>
              <w:bottom w:val="single" w:sz="4" w:space="0" w:color="auto"/>
              <w:right w:val="single" w:sz="4" w:space="0" w:color="auto"/>
            </w:tcBorders>
          </w:tcPr>
          <w:p w14:paraId="64AC240A" w14:textId="71D30849" w:rsidR="00C5016C" w:rsidRPr="00017A21" w:rsidRDefault="00017A21" w:rsidP="00B335D0">
            <w:pPr>
              <w:jc w:val="both"/>
              <w:rPr>
                <w:rFonts w:cs="Arial"/>
                <w:sz w:val="22"/>
                <w:szCs w:val="22"/>
              </w:rPr>
            </w:pPr>
            <w:r>
              <w:rPr>
                <w:rFonts w:cs="Arial"/>
                <w:sz w:val="22"/>
                <w:szCs w:val="22"/>
              </w:rPr>
              <w:t>1.6</w:t>
            </w:r>
            <w:r w:rsidR="00B335D0">
              <w:rPr>
                <w:rFonts w:cs="Arial"/>
                <w:sz w:val="22"/>
                <w:szCs w:val="22"/>
              </w:rPr>
              <w:t xml:space="preserve"> </w:t>
            </w:r>
            <w:r w:rsidR="008F5D38" w:rsidRPr="008F5D38">
              <w:rPr>
                <w:rFonts w:cs="Arial"/>
                <w:sz w:val="22"/>
                <w:szCs w:val="22"/>
              </w:rPr>
              <w:t>Total annual number of views of online CETP events on IEA.org and IEA YouTube channel</w:t>
            </w:r>
          </w:p>
        </w:tc>
        <w:tc>
          <w:tcPr>
            <w:tcW w:w="2115" w:type="dxa"/>
            <w:tcBorders>
              <w:top w:val="single" w:sz="4" w:space="0" w:color="auto"/>
              <w:left w:val="single" w:sz="4" w:space="0" w:color="auto"/>
              <w:bottom w:val="single" w:sz="4" w:space="0" w:color="auto"/>
              <w:right w:val="single" w:sz="4" w:space="0" w:color="auto"/>
            </w:tcBorders>
          </w:tcPr>
          <w:p w14:paraId="3AEF8899" w14:textId="43C68071" w:rsidR="00C5016C" w:rsidRPr="00D56259" w:rsidRDefault="00D56259" w:rsidP="00852202">
            <w:pPr>
              <w:jc w:val="center"/>
              <w:rPr>
                <w:rFonts w:cs="Arial"/>
                <w:sz w:val="22"/>
                <w:szCs w:val="22"/>
              </w:rPr>
            </w:pPr>
            <w:r>
              <w:rPr>
                <w:rFonts w:cs="Arial"/>
                <w:sz w:val="22"/>
                <w:szCs w:val="22"/>
              </w:rPr>
              <w:t>96,000</w:t>
            </w:r>
          </w:p>
        </w:tc>
        <w:tc>
          <w:tcPr>
            <w:tcW w:w="4791" w:type="dxa"/>
            <w:tcBorders>
              <w:top w:val="single" w:sz="4" w:space="0" w:color="auto"/>
              <w:left w:val="single" w:sz="4" w:space="0" w:color="auto"/>
              <w:bottom w:val="single" w:sz="4" w:space="0" w:color="auto"/>
              <w:right w:val="single" w:sz="4" w:space="0" w:color="auto"/>
            </w:tcBorders>
          </w:tcPr>
          <w:p w14:paraId="6314C22F" w14:textId="77777777" w:rsidR="00852202" w:rsidRDefault="00852202" w:rsidP="00852202">
            <w:pPr>
              <w:jc w:val="both"/>
              <w:rPr>
                <w:rFonts w:cs="Arial"/>
                <w:bCs/>
                <w:iCs/>
                <w:sz w:val="22"/>
                <w:szCs w:val="22"/>
                <w:u w:val="single"/>
              </w:rPr>
            </w:pPr>
            <w:r w:rsidRPr="005D13F9">
              <w:rPr>
                <w:rFonts w:cs="Arial"/>
                <w:bCs/>
                <w:iCs/>
                <w:sz w:val="22"/>
                <w:szCs w:val="22"/>
                <w:u w:val="single"/>
              </w:rPr>
              <w:t xml:space="preserve">Progress moderately exceeded expectation </w:t>
            </w:r>
          </w:p>
          <w:p w14:paraId="2E6A674E" w14:textId="77777777" w:rsidR="00852202" w:rsidRDefault="00852202" w:rsidP="00852202">
            <w:pPr>
              <w:contextualSpacing/>
              <w:jc w:val="both"/>
              <w:rPr>
                <w:rFonts w:cs="Arial"/>
                <w:i/>
                <w:iCs/>
                <w:sz w:val="22"/>
                <w:szCs w:val="22"/>
              </w:rPr>
            </w:pPr>
          </w:p>
          <w:p w14:paraId="12581DD1" w14:textId="3E346490" w:rsidR="00C5016C" w:rsidRPr="00852202" w:rsidRDefault="00852202" w:rsidP="3A221014">
            <w:pPr>
              <w:contextualSpacing/>
              <w:jc w:val="both"/>
              <w:rPr>
                <w:rFonts w:cs="Arial"/>
                <w:sz w:val="22"/>
                <w:szCs w:val="22"/>
              </w:rPr>
            </w:pPr>
            <w:r w:rsidRPr="00852202">
              <w:rPr>
                <w:rFonts w:cs="Arial"/>
                <w:sz w:val="22"/>
                <w:szCs w:val="22"/>
              </w:rPr>
              <w:t>102,000 views of online CETP events</w:t>
            </w:r>
          </w:p>
        </w:tc>
      </w:tr>
    </w:tbl>
    <w:p w14:paraId="35E8E90F" w14:textId="77777777" w:rsidR="00C5016C" w:rsidRDefault="00C5016C" w:rsidP="3A221014">
      <w:pPr>
        <w:jc w:val="both"/>
        <w:rPr>
          <w:b/>
          <w:bCs/>
          <w:i/>
          <w:iCs/>
          <w:sz w:val="28"/>
          <w:szCs w:val="28"/>
        </w:rPr>
      </w:pPr>
    </w:p>
    <w:p w14:paraId="08AB1D93" w14:textId="1B05505E" w:rsidR="003D222C" w:rsidRPr="00D80C6C" w:rsidRDefault="00C02966" w:rsidP="3A221014">
      <w:pPr>
        <w:jc w:val="both"/>
        <w:rPr>
          <w:rFonts w:cs="Arial"/>
          <w:b/>
          <w:bCs/>
          <w:i/>
          <w:iCs/>
          <w:sz w:val="22"/>
          <w:szCs w:val="22"/>
        </w:rPr>
      </w:pPr>
      <w:r w:rsidRPr="3A221014">
        <w:rPr>
          <w:b/>
          <w:bCs/>
          <w:i/>
          <w:iCs/>
          <w:sz w:val="28"/>
          <w:szCs w:val="28"/>
        </w:rPr>
        <w:t>O</w:t>
      </w:r>
      <w:r w:rsidR="003D222C" w:rsidRPr="3A221014">
        <w:rPr>
          <w:b/>
          <w:bCs/>
          <w:i/>
          <w:iCs/>
          <w:sz w:val="28"/>
          <w:szCs w:val="28"/>
        </w:rPr>
        <w:t>utput</w:t>
      </w:r>
      <w:r w:rsidRPr="3A221014">
        <w:rPr>
          <w:b/>
          <w:bCs/>
          <w:i/>
          <w:iCs/>
          <w:sz w:val="28"/>
          <w:szCs w:val="28"/>
        </w:rPr>
        <w:t xml:space="preserve"> summary</w:t>
      </w:r>
      <w:r w:rsidR="003D222C" w:rsidRPr="3A221014">
        <w:rPr>
          <w:b/>
          <w:bCs/>
          <w:i/>
          <w:iCs/>
          <w:sz w:val="28"/>
          <w:szCs w:val="28"/>
        </w:rPr>
        <w:t xml:space="preserve"> and supporting narrative for the score</w:t>
      </w:r>
      <w:r w:rsidR="003D222C" w:rsidRPr="3A221014">
        <w:rPr>
          <w:rFonts w:cs="Arial"/>
          <w:b/>
          <w:bCs/>
          <w:i/>
          <w:iCs/>
          <w:sz w:val="22"/>
          <w:szCs w:val="22"/>
        </w:rPr>
        <w:t xml:space="preserve"> </w:t>
      </w:r>
      <w:r w:rsidR="003D222C" w:rsidRPr="3A221014">
        <w:rPr>
          <w:rFonts w:cs="Arial"/>
          <w:i/>
          <w:iCs/>
          <w:sz w:val="22"/>
          <w:szCs w:val="22"/>
        </w:rPr>
        <w:t>[max 1/2 page]</w:t>
      </w:r>
    </w:p>
    <w:p w14:paraId="279A4EAB" w14:textId="01C02DF7" w:rsidR="003D222C" w:rsidRPr="00D80C6C" w:rsidRDefault="003D222C" w:rsidP="004D5FD5">
      <w:pPr>
        <w:jc w:val="both"/>
        <w:rPr>
          <w:rFonts w:cs="Arial"/>
          <w:bCs/>
          <w:sz w:val="22"/>
          <w:szCs w:val="22"/>
        </w:rPr>
      </w:pPr>
    </w:p>
    <w:p w14:paraId="101C9E28" w14:textId="7AF03996" w:rsidR="00D15936" w:rsidRPr="00742718" w:rsidRDefault="00D15936" w:rsidP="00D15936">
      <w:pPr>
        <w:jc w:val="both"/>
        <w:rPr>
          <w:rFonts w:cs="Arial"/>
          <w:sz w:val="20"/>
          <w:szCs w:val="20"/>
        </w:rPr>
      </w:pPr>
      <w:r w:rsidRPr="00742718">
        <w:rPr>
          <w:rFonts w:cs="Arial"/>
          <w:sz w:val="20"/>
          <w:szCs w:val="20"/>
        </w:rPr>
        <w:t xml:space="preserve">This output focuses on the provision </w:t>
      </w:r>
      <w:r>
        <w:rPr>
          <w:rFonts w:cs="Arial"/>
          <w:sz w:val="20"/>
          <w:szCs w:val="20"/>
        </w:rPr>
        <w:t xml:space="preserve">and dissemination </w:t>
      </w:r>
      <w:r w:rsidRPr="00742718">
        <w:rPr>
          <w:rFonts w:cs="Arial"/>
          <w:sz w:val="20"/>
          <w:szCs w:val="20"/>
        </w:rPr>
        <w:t xml:space="preserve">of analytical tools under the CETP to facilitate analytically rigorous energy policy planning, build relationships with target countries modelling teams and support long-term, ambitious and defensible national energy strategy development. This includes working with target countries on modelling, </w:t>
      </w:r>
      <w:r w:rsidR="004270CA">
        <w:rPr>
          <w:rFonts w:cs="Arial"/>
          <w:sz w:val="20"/>
          <w:szCs w:val="20"/>
        </w:rPr>
        <w:t>economy-wide and sector-</w:t>
      </w:r>
      <w:r w:rsidR="00EE58EC">
        <w:rPr>
          <w:rFonts w:cs="Arial"/>
          <w:sz w:val="20"/>
          <w:szCs w:val="20"/>
        </w:rPr>
        <w:t>specific</w:t>
      </w:r>
      <w:r w:rsidR="004270CA">
        <w:rPr>
          <w:rFonts w:cs="Arial"/>
          <w:sz w:val="20"/>
          <w:szCs w:val="20"/>
        </w:rPr>
        <w:t xml:space="preserve"> road</w:t>
      </w:r>
      <w:r w:rsidR="00863243">
        <w:rPr>
          <w:rFonts w:cs="Arial"/>
          <w:sz w:val="20"/>
          <w:szCs w:val="20"/>
        </w:rPr>
        <w:t>-</w:t>
      </w:r>
      <w:r w:rsidR="004270CA">
        <w:rPr>
          <w:rFonts w:cs="Arial"/>
          <w:sz w:val="20"/>
          <w:szCs w:val="20"/>
        </w:rPr>
        <w:t>mapping</w:t>
      </w:r>
      <w:r w:rsidR="00863243">
        <w:rPr>
          <w:rFonts w:cs="Arial"/>
          <w:sz w:val="20"/>
          <w:szCs w:val="20"/>
        </w:rPr>
        <w:t>,</w:t>
      </w:r>
      <w:r w:rsidR="004270CA">
        <w:rPr>
          <w:rFonts w:cs="Arial"/>
          <w:sz w:val="20"/>
          <w:szCs w:val="20"/>
        </w:rPr>
        <w:t xml:space="preserve"> </w:t>
      </w:r>
      <w:r w:rsidRPr="00742718">
        <w:rPr>
          <w:rFonts w:cs="Arial"/>
          <w:sz w:val="20"/>
          <w:szCs w:val="20"/>
        </w:rPr>
        <w:t xml:space="preserve">technology and sector-specific analysis, development of policy </w:t>
      </w:r>
      <w:r>
        <w:rPr>
          <w:rFonts w:cs="Arial"/>
          <w:sz w:val="20"/>
          <w:szCs w:val="20"/>
        </w:rPr>
        <w:t xml:space="preserve">and regulatory </w:t>
      </w:r>
      <w:r w:rsidRPr="00742718">
        <w:rPr>
          <w:rFonts w:cs="Arial"/>
          <w:sz w:val="20"/>
          <w:szCs w:val="20"/>
        </w:rPr>
        <w:t xml:space="preserve">packages and electricity system analyses. It is increasingly fundamental to the work of CETP as it exploits the high-level relationships built to date and the impact of technical exchanges undertaken </w:t>
      </w:r>
      <w:r w:rsidR="00863243">
        <w:rPr>
          <w:rFonts w:cs="Arial"/>
          <w:sz w:val="20"/>
          <w:szCs w:val="20"/>
        </w:rPr>
        <w:t xml:space="preserve">(see output 2) </w:t>
      </w:r>
      <w:r w:rsidRPr="00742718">
        <w:rPr>
          <w:rFonts w:cs="Arial"/>
          <w:sz w:val="20"/>
          <w:szCs w:val="20"/>
        </w:rPr>
        <w:t>to position the Programme and the expertise it can offer as the partner of choice for insight and advice – with the resulting analysis increasingly directly impacting the development of national policies that promote the accelerated deployment of clean energy technologies.</w:t>
      </w:r>
    </w:p>
    <w:p w14:paraId="34EC14C9" w14:textId="77777777" w:rsidR="00D15936" w:rsidRPr="00742718" w:rsidRDefault="00D15936" w:rsidP="00D15936">
      <w:pPr>
        <w:jc w:val="both"/>
        <w:rPr>
          <w:rFonts w:cs="Arial"/>
          <w:sz w:val="20"/>
          <w:szCs w:val="20"/>
        </w:rPr>
      </w:pPr>
    </w:p>
    <w:p w14:paraId="5FE63BF5" w14:textId="4300125B" w:rsidR="00D15936" w:rsidRPr="00742718" w:rsidRDefault="00D15936" w:rsidP="00D15936">
      <w:pPr>
        <w:jc w:val="both"/>
        <w:rPr>
          <w:rFonts w:cs="Arial"/>
          <w:sz w:val="20"/>
          <w:szCs w:val="20"/>
        </w:rPr>
      </w:pPr>
      <w:r w:rsidRPr="00742718">
        <w:rPr>
          <w:rFonts w:cs="Arial"/>
          <w:sz w:val="20"/>
          <w:szCs w:val="20"/>
        </w:rPr>
        <w:t xml:space="preserve">All milestones have been met or surpassed </w:t>
      </w:r>
      <w:proofErr w:type="gramStart"/>
      <w:r w:rsidRPr="00742718">
        <w:rPr>
          <w:rFonts w:cs="Arial"/>
          <w:sz w:val="20"/>
          <w:szCs w:val="20"/>
        </w:rPr>
        <w:t>with the exception of</w:t>
      </w:r>
      <w:proofErr w:type="gramEnd"/>
      <w:r w:rsidRPr="00742718">
        <w:rPr>
          <w:rFonts w:cs="Arial"/>
          <w:sz w:val="20"/>
          <w:szCs w:val="20"/>
        </w:rPr>
        <w:t xml:space="preserve"> </w:t>
      </w:r>
      <w:r w:rsidR="00336D92">
        <w:rPr>
          <w:rFonts w:cs="Arial"/>
          <w:sz w:val="20"/>
          <w:szCs w:val="20"/>
        </w:rPr>
        <w:t xml:space="preserve">a very small shortfall </w:t>
      </w:r>
      <w:r w:rsidR="00EE58EC">
        <w:rPr>
          <w:rFonts w:cs="Arial"/>
          <w:sz w:val="20"/>
          <w:szCs w:val="20"/>
        </w:rPr>
        <w:t xml:space="preserve">(less than 1%) </w:t>
      </w:r>
      <w:r w:rsidR="00336D92">
        <w:rPr>
          <w:rFonts w:cs="Arial"/>
          <w:sz w:val="20"/>
          <w:szCs w:val="20"/>
        </w:rPr>
        <w:t xml:space="preserve">against the target for </w:t>
      </w:r>
      <w:r w:rsidR="002965A6">
        <w:rPr>
          <w:rFonts w:cs="Arial"/>
          <w:sz w:val="20"/>
          <w:szCs w:val="20"/>
        </w:rPr>
        <w:t>participants in dissemination events though the</w:t>
      </w:r>
      <w:r w:rsidR="00C41C86">
        <w:rPr>
          <w:rFonts w:cs="Arial"/>
          <w:sz w:val="20"/>
          <w:szCs w:val="20"/>
        </w:rPr>
        <w:t xml:space="preserve"> number </w:t>
      </w:r>
      <w:r w:rsidR="002965A6">
        <w:rPr>
          <w:rFonts w:cs="Arial"/>
          <w:sz w:val="20"/>
          <w:szCs w:val="20"/>
        </w:rPr>
        <w:t xml:space="preserve">of such events held significantly exceeded </w:t>
      </w:r>
      <w:r w:rsidR="00C41C86">
        <w:rPr>
          <w:rFonts w:cs="Arial"/>
          <w:sz w:val="20"/>
          <w:szCs w:val="20"/>
        </w:rPr>
        <w:t>expectations</w:t>
      </w:r>
      <w:r w:rsidR="00023F83">
        <w:rPr>
          <w:rFonts w:cs="Arial"/>
          <w:sz w:val="20"/>
          <w:szCs w:val="20"/>
        </w:rPr>
        <w:t xml:space="preserve">. </w:t>
      </w:r>
      <w:r w:rsidR="006C6DAB">
        <w:rPr>
          <w:rFonts w:cs="Arial"/>
          <w:sz w:val="20"/>
          <w:szCs w:val="20"/>
        </w:rPr>
        <w:t xml:space="preserve">The new work programme </w:t>
      </w:r>
      <w:r w:rsidR="00DD1F35">
        <w:rPr>
          <w:rFonts w:cs="Arial"/>
          <w:sz w:val="20"/>
          <w:szCs w:val="20"/>
        </w:rPr>
        <w:t xml:space="preserve">on methane supported by ring-fenced Uk funding, in </w:t>
      </w:r>
      <w:proofErr w:type="gramStart"/>
      <w:r w:rsidR="00DD1F35">
        <w:rPr>
          <w:rFonts w:cs="Arial"/>
          <w:sz w:val="20"/>
          <w:szCs w:val="20"/>
        </w:rPr>
        <w:t>a particular, has</w:t>
      </w:r>
      <w:proofErr w:type="gramEnd"/>
      <w:r w:rsidR="00DD1F35">
        <w:rPr>
          <w:rFonts w:cs="Arial"/>
          <w:sz w:val="20"/>
          <w:szCs w:val="20"/>
        </w:rPr>
        <w:t xml:space="preserve"> exceeded expectations reflecting the fact that </w:t>
      </w:r>
      <w:r w:rsidR="0013079A">
        <w:rPr>
          <w:rFonts w:cs="Arial"/>
          <w:sz w:val="20"/>
          <w:szCs w:val="20"/>
        </w:rPr>
        <w:t xml:space="preserve">the </w:t>
      </w:r>
      <w:r w:rsidR="00382E5D">
        <w:rPr>
          <w:rFonts w:cs="Arial"/>
          <w:sz w:val="20"/>
          <w:szCs w:val="20"/>
        </w:rPr>
        <w:t xml:space="preserve">programme </w:t>
      </w:r>
      <w:r w:rsidR="0013079A">
        <w:rPr>
          <w:rFonts w:cs="Arial"/>
          <w:sz w:val="20"/>
          <w:szCs w:val="20"/>
        </w:rPr>
        <w:t>was up and running and delivering work earlier than originally anticipated</w:t>
      </w:r>
      <w:r w:rsidR="00382E5D">
        <w:rPr>
          <w:rFonts w:cs="Arial"/>
          <w:sz w:val="20"/>
          <w:szCs w:val="20"/>
        </w:rPr>
        <w:t xml:space="preserve"> with the work actively being prioritised and pushed forward by the delivery partner. </w:t>
      </w:r>
      <w:r w:rsidR="00023F83">
        <w:rPr>
          <w:rFonts w:cs="Arial"/>
          <w:sz w:val="20"/>
          <w:szCs w:val="20"/>
        </w:rPr>
        <w:t xml:space="preserve">Overall, this </w:t>
      </w:r>
      <w:r w:rsidRPr="00742718">
        <w:rPr>
          <w:rFonts w:cs="Arial"/>
          <w:sz w:val="20"/>
          <w:szCs w:val="20"/>
        </w:rPr>
        <w:t>represent</w:t>
      </w:r>
      <w:r w:rsidR="00023F83">
        <w:rPr>
          <w:rFonts w:cs="Arial"/>
          <w:sz w:val="20"/>
          <w:szCs w:val="20"/>
        </w:rPr>
        <w:t>s</w:t>
      </w:r>
      <w:r w:rsidRPr="00742718">
        <w:rPr>
          <w:rFonts w:cs="Arial"/>
          <w:sz w:val="20"/>
          <w:szCs w:val="20"/>
        </w:rPr>
        <w:t xml:space="preserve"> a significant </w:t>
      </w:r>
      <w:r w:rsidR="00023F83">
        <w:rPr>
          <w:rFonts w:cs="Arial"/>
          <w:sz w:val="20"/>
          <w:szCs w:val="20"/>
        </w:rPr>
        <w:t xml:space="preserve">amount of </w:t>
      </w:r>
      <w:r w:rsidRPr="00742718">
        <w:rPr>
          <w:rFonts w:cs="Arial"/>
          <w:sz w:val="20"/>
          <w:szCs w:val="20"/>
        </w:rPr>
        <w:t>activity over the last year reflect</w:t>
      </w:r>
      <w:r w:rsidR="00336D92">
        <w:rPr>
          <w:rFonts w:cs="Arial"/>
          <w:sz w:val="20"/>
          <w:szCs w:val="20"/>
        </w:rPr>
        <w:t>ing</w:t>
      </w:r>
      <w:r w:rsidRPr="00742718">
        <w:rPr>
          <w:rFonts w:cs="Arial"/>
          <w:sz w:val="20"/>
          <w:szCs w:val="20"/>
        </w:rPr>
        <w:t xml:space="preserve"> the maturity of the programme and the trust placed in it by target countries.  </w:t>
      </w:r>
    </w:p>
    <w:p w14:paraId="1E971726" w14:textId="77777777" w:rsidR="00D15936" w:rsidRPr="00742718" w:rsidRDefault="00D15936" w:rsidP="00D15936">
      <w:pPr>
        <w:jc w:val="both"/>
        <w:rPr>
          <w:rFonts w:cs="Arial"/>
          <w:sz w:val="20"/>
          <w:szCs w:val="20"/>
        </w:rPr>
      </w:pPr>
    </w:p>
    <w:p w14:paraId="0128214B" w14:textId="2A4F4918" w:rsidR="003604A1" w:rsidRPr="003604A1" w:rsidRDefault="00D15936" w:rsidP="003604A1">
      <w:pPr>
        <w:jc w:val="both"/>
        <w:rPr>
          <w:rFonts w:cs="Arial"/>
          <w:sz w:val="20"/>
          <w:szCs w:val="20"/>
        </w:rPr>
      </w:pPr>
      <w:r w:rsidRPr="7F7619C6">
        <w:rPr>
          <w:rFonts w:cs="Arial"/>
          <w:sz w:val="20"/>
          <w:szCs w:val="20"/>
        </w:rPr>
        <w:t xml:space="preserve">Analytical outputs produced through CETP in </w:t>
      </w:r>
      <w:r w:rsidR="00B04B8C" w:rsidRPr="7F7619C6">
        <w:rPr>
          <w:rFonts w:cs="Arial"/>
          <w:sz w:val="20"/>
          <w:szCs w:val="20"/>
        </w:rPr>
        <w:t>2024</w:t>
      </w:r>
      <w:r w:rsidR="001D4CDB" w:rsidRPr="7F7619C6">
        <w:rPr>
          <w:rFonts w:cs="Arial"/>
          <w:sz w:val="20"/>
          <w:szCs w:val="20"/>
        </w:rPr>
        <w:t xml:space="preserve"> included provision of </w:t>
      </w:r>
      <w:r w:rsidR="003604A1" w:rsidRPr="7F7619C6">
        <w:rPr>
          <w:rFonts w:cs="Arial"/>
          <w:sz w:val="20"/>
          <w:szCs w:val="20"/>
        </w:rPr>
        <w:t>technical analysis and commen</w:t>
      </w:r>
      <w:r w:rsidR="002D5062" w:rsidRPr="7F7619C6">
        <w:rPr>
          <w:rFonts w:cs="Arial"/>
          <w:sz w:val="20"/>
          <w:szCs w:val="20"/>
        </w:rPr>
        <w:t xml:space="preserve">tary and recommendations on draft legislation in both Turkmenistan and </w:t>
      </w:r>
      <w:r w:rsidR="00C541D2" w:rsidRPr="7F7619C6">
        <w:rPr>
          <w:rFonts w:cs="Arial"/>
          <w:sz w:val="20"/>
          <w:szCs w:val="20"/>
        </w:rPr>
        <w:t xml:space="preserve">Uzbekistan for </w:t>
      </w:r>
      <w:proofErr w:type="spellStart"/>
      <w:r w:rsidR="00C541D2" w:rsidRPr="7F7619C6">
        <w:rPr>
          <w:rFonts w:cs="Arial"/>
          <w:sz w:val="20"/>
          <w:szCs w:val="20"/>
        </w:rPr>
        <w:t>ther</w:t>
      </w:r>
      <w:proofErr w:type="spellEnd"/>
      <w:r w:rsidR="00C541D2" w:rsidRPr="7F7619C6">
        <w:rPr>
          <w:rFonts w:cs="Arial"/>
          <w:sz w:val="20"/>
          <w:szCs w:val="20"/>
        </w:rPr>
        <w:t xml:space="preserve"> regulation of methane emissions in the oil and gas sectors. </w:t>
      </w:r>
      <w:r w:rsidR="00912C03" w:rsidRPr="7F7619C6">
        <w:rPr>
          <w:rFonts w:cs="Arial"/>
          <w:sz w:val="20"/>
          <w:szCs w:val="20"/>
        </w:rPr>
        <w:t xml:space="preserve">In Africa, the CETP has launched work on an in-depth review of Mozambique’s energy policy </w:t>
      </w:r>
      <w:r w:rsidR="00E74E68" w:rsidRPr="7F7619C6">
        <w:rPr>
          <w:rFonts w:cs="Arial"/>
          <w:sz w:val="20"/>
          <w:szCs w:val="20"/>
        </w:rPr>
        <w:t xml:space="preserve">working in partnership with the </w:t>
      </w:r>
      <w:r w:rsidR="009952DF" w:rsidRPr="7F7619C6">
        <w:rPr>
          <w:rFonts w:cs="Arial"/>
          <w:sz w:val="20"/>
          <w:szCs w:val="20"/>
        </w:rPr>
        <w:t xml:space="preserve">Ministry of Mineral Resources and Energy of Mozambique, the review will be a key input to the development of Mozambique’s new energy strategy. The CETP has also collaborated closely with the </w:t>
      </w:r>
      <w:r w:rsidR="003604A1" w:rsidRPr="7F7619C6">
        <w:rPr>
          <w:rFonts w:cs="Arial"/>
          <w:sz w:val="20"/>
          <w:szCs w:val="20"/>
        </w:rPr>
        <w:t xml:space="preserve">Bureau of Energy Efficiency </w:t>
      </w:r>
      <w:r w:rsidR="006F18C6" w:rsidRPr="7F7619C6">
        <w:rPr>
          <w:rFonts w:cs="Arial"/>
          <w:sz w:val="20"/>
          <w:szCs w:val="20"/>
        </w:rPr>
        <w:t xml:space="preserve">in India </w:t>
      </w:r>
      <w:r w:rsidR="003604A1" w:rsidRPr="7F7619C6">
        <w:rPr>
          <w:rFonts w:cs="Arial"/>
          <w:sz w:val="20"/>
          <w:szCs w:val="20"/>
        </w:rPr>
        <w:t>to support development of the country’s national energy efficiency plan,</w:t>
      </w:r>
      <w:r w:rsidR="065A4F6F" w:rsidRPr="7F7619C6">
        <w:rPr>
          <w:rFonts w:cs="Arial"/>
          <w:sz w:val="20"/>
          <w:szCs w:val="20"/>
        </w:rPr>
        <w:t xml:space="preserve"> </w:t>
      </w:r>
      <w:r w:rsidR="006F18C6" w:rsidRPr="7F7619C6">
        <w:rPr>
          <w:rFonts w:cs="Arial"/>
          <w:sz w:val="20"/>
          <w:szCs w:val="20"/>
        </w:rPr>
        <w:t xml:space="preserve">including analysis to support the development of </w:t>
      </w:r>
      <w:r w:rsidR="003604A1" w:rsidRPr="7F7619C6">
        <w:rPr>
          <w:rFonts w:cs="Arial"/>
          <w:sz w:val="20"/>
          <w:szCs w:val="20"/>
        </w:rPr>
        <w:t xml:space="preserve">policy packages for electrification in buildings and light industry. </w:t>
      </w:r>
    </w:p>
    <w:p w14:paraId="6F75239D" w14:textId="3DBD7341" w:rsidR="7F7619C6" w:rsidRDefault="7F7619C6" w:rsidP="7F7619C6">
      <w:pPr>
        <w:jc w:val="both"/>
        <w:rPr>
          <w:rFonts w:cs="Arial"/>
          <w:sz w:val="20"/>
          <w:szCs w:val="20"/>
        </w:rPr>
      </w:pPr>
    </w:p>
    <w:p w14:paraId="766FF45D" w14:textId="23E9E6E1" w:rsidR="003604A1" w:rsidRDefault="00FF6230" w:rsidP="003604A1">
      <w:pPr>
        <w:jc w:val="both"/>
        <w:rPr>
          <w:rFonts w:cs="Arial"/>
          <w:sz w:val="20"/>
          <w:szCs w:val="20"/>
        </w:rPr>
      </w:pPr>
      <w:r w:rsidRPr="7F7619C6">
        <w:rPr>
          <w:rFonts w:cs="Arial"/>
          <w:sz w:val="20"/>
          <w:szCs w:val="20"/>
        </w:rPr>
        <w:t>P</w:t>
      </w:r>
      <w:r w:rsidR="003604A1" w:rsidRPr="7F7619C6">
        <w:rPr>
          <w:rFonts w:cs="Arial"/>
          <w:sz w:val="20"/>
          <w:szCs w:val="20"/>
        </w:rPr>
        <w:t>olicy guidance and analytical support</w:t>
      </w:r>
      <w:r w:rsidRPr="7F7619C6">
        <w:rPr>
          <w:rFonts w:cs="Arial"/>
          <w:sz w:val="20"/>
          <w:szCs w:val="20"/>
        </w:rPr>
        <w:t xml:space="preserve"> </w:t>
      </w:r>
      <w:r w:rsidR="3A9220D7" w:rsidRPr="7F7619C6">
        <w:rPr>
          <w:rFonts w:cs="Arial"/>
          <w:sz w:val="20"/>
          <w:szCs w:val="20"/>
        </w:rPr>
        <w:t>have</w:t>
      </w:r>
      <w:r w:rsidRPr="7F7619C6">
        <w:rPr>
          <w:rFonts w:cs="Arial"/>
          <w:sz w:val="20"/>
          <w:szCs w:val="20"/>
        </w:rPr>
        <w:t xml:space="preserve"> also been provided </w:t>
      </w:r>
      <w:r w:rsidR="003604A1" w:rsidRPr="7F7619C6">
        <w:rPr>
          <w:rFonts w:cs="Arial"/>
          <w:sz w:val="20"/>
          <w:szCs w:val="20"/>
        </w:rPr>
        <w:t xml:space="preserve">to Indonesia’s Ministry of Energy and Mineral Resources </w:t>
      </w:r>
      <w:r w:rsidRPr="7F7619C6">
        <w:rPr>
          <w:rFonts w:cs="Arial"/>
          <w:sz w:val="20"/>
          <w:szCs w:val="20"/>
        </w:rPr>
        <w:t xml:space="preserve">to </w:t>
      </w:r>
      <w:r w:rsidR="003771FF" w:rsidRPr="7F7619C6">
        <w:rPr>
          <w:rFonts w:cs="Arial"/>
          <w:sz w:val="20"/>
          <w:szCs w:val="20"/>
        </w:rPr>
        <w:t>assist</w:t>
      </w:r>
      <w:r w:rsidRPr="7F7619C6">
        <w:rPr>
          <w:rFonts w:cs="Arial"/>
          <w:sz w:val="20"/>
          <w:szCs w:val="20"/>
        </w:rPr>
        <w:t xml:space="preserve"> with the development and implementation of </w:t>
      </w:r>
      <w:r w:rsidR="003604A1" w:rsidRPr="7F7619C6">
        <w:rPr>
          <w:rFonts w:cs="Arial"/>
          <w:sz w:val="20"/>
          <w:szCs w:val="20"/>
        </w:rPr>
        <w:t>new fuel economy standards for heavy trucks</w:t>
      </w:r>
      <w:r w:rsidR="003771FF" w:rsidRPr="7F7619C6">
        <w:rPr>
          <w:rFonts w:cs="Arial"/>
          <w:sz w:val="20"/>
          <w:szCs w:val="20"/>
        </w:rPr>
        <w:t>. In 2024, t</w:t>
      </w:r>
      <w:r w:rsidR="003604A1" w:rsidRPr="7F7619C6">
        <w:rPr>
          <w:rFonts w:cs="Arial"/>
          <w:sz w:val="20"/>
          <w:szCs w:val="20"/>
        </w:rPr>
        <w:t xml:space="preserve">he Central American Integration System adopted the first regional energy efficiency standard on residential refrigerators and freezers in 2024, informed by </w:t>
      </w:r>
      <w:r w:rsidR="003771FF" w:rsidRPr="7F7619C6">
        <w:rPr>
          <w:rFonts w:cs="Arial"/>
          <w:sz w:val="20"/>
          <w:szCs w:val="20"/>
        </w:rPr>
        <w:t xml:space="preserve">collaboration with </w:t>
      </w:r>
      <w:r w:rsidR="003604A1" w:rsidRPr="7F7619C6">
        <w:rPr>
          <w:rFonts w:cs="Arial"/>
          <w:sz w:val="20"/>
          <w:szCs w:val="20"/>
        </w:rPr>
        <w:t xml:space="preserve">the </w:t>
      </w:r>
      <w:r w:rsidR="5078E434" w:rsidRPr="7F7619C6">
        <w:rPr>
          <w:rFonts w:cs="Arial"/>
          <w:sz w:val="20"/>
          <w:szCs w:val="20"/>
        </w:rPr>
        <w:t>C</w:t>
      </w:r>
      <w:r w:rsidR="003604A1" w:rsidRPr="7F7619C6">
        <w:rPr>
          <w:rFonts w:cs="Arial"/>
          <w:sz w:val="20"/>
          <w:szCs w:val="20"/>
        </w:rPr>
        <w:t xml:space="preserve">ETP through </w:t>
      </w:r>
      <w:r w:rsidR="003771FF" w:rsidRPr="7F7619C6">
        <w:rPr>
          <w:rFonts w:cs="Arial"/>
          <w:sz w:val="20"/>
          <w:szCs w:val="20"/>
        </w:rPr>
        <w:t xml:space="preserve">provision of </w:t>
      </w:r>
      <w:r w:rsidR="003604A1" w:rsidRPr="7F7619C6">
        <w:rPr>
          <w:rFonts w:cs="Arial"/>
          <w:sz w:val="20"/>
          <w:szCs w:val="20"/>
        </w:rPr>
        <w:t>analytical work</w:t>
      </w:r>
      <w:r w:rsidR="003771FF" w:rsidRPr="7F7619C6">
        <w:rPr>
          <w:rFonts w:cs="Arial"/>
          <w:sz w:val="20"/>
          <w:szCs w:val="20"/>
        </w:rPr>
        <w:t xml:space="preserve"> and support for </w:t>
      </w:r>
      <w:r w:rsidR="003604A1" w:rsidRPr="7F7619C6">
        <w:rPr>
          <w:rFonts w:cs="Arial"/>
          <w:sz w:val="20"/>
          <w:szCs w:val="20"/>
        </w:rPr>
        <w:t>the Technical Working Group on Energy Efficiency.</w:t>
      </w:r>
    </w:p>
    <w:p w14:paraId="0F0222B4" w14:textId="77777777" w:rsidR="00382E5D" w:rsidRDefault="00382E5D" w:rsidP="00D15936">
      <w:pPr>
        <w:jc w:val="both"/>
        <w:rPr>
          <w:rFonts w:cs="Arial"/>
          <w:sz w:val="20"/>
          <w:szCs w:val="20"/>
        </w:rPr>
      </w:pPr>
    </w:p>
    <w:p w14:paraId="45AE6586" w14:textId="7580514F" w:rsidR="003D222C" w:rsidRPr="00D80C6C" w:rsidRDefault="00B04B8C" w:rsidP="004D5FD5">
      <w:pPr>
        <w:jc w:val="both"/>
        <w:rPr>
          <w:rFonts w:cs="Arial"/>
          <w:bCs/>
          <w:sz w:val="22"/>
          <w:szCs w:val="22"/>
        </w:rPr>
      </w:pPr>
      <w:r>
        <w:rPr>
          <w:rFonts w:cs="Arial"/>
          <w:sz w:val="20"/>
          <w:szCs w:val="20"/>
        </w:rPr>
        <w:t xml:space="preserve"> </w:t>
      </w:r>
      <w:r w:rsidR="003D222C" w:rsidRPr="00D80C6C">
        <w:rPr>
          <w:rFonts w:cs="Arial"/>
          <w:bCs/>
          <w:sz w:val="22"/>
          <w:szCs w:val="22"/>
        </w:rPr>
        <w:t xml:space="preserve">  </w:t>
      </w:r>
    </w:p>
    <w:p w14:paraId="4E79AAE8" w14:textId="50DE255F" w:rsidR="003D222C" w:rsidRPr="00D80C6C" w:rsidRDefault="00C02966" w:rsidP="3A221014">
      <w:pPr>
        <w:jc w:val="both"/>
        <w:rPr>
          <w:rFonts w:cs="Arial"/>
          <w:i/>
          <w:iCs/>
          <w:sz w:val="22"/>
          <w:szCs w:val="22"/>
        </w:rPr>
      </w:pPr>
      <w:r w:rsidRPr="3A221014">
        <w:rPr>
          <w:b/>
          <w:bCs/>
          <w:i/>
          <w:iCs/>
          <w:sz w:val="28"/>
          <w:szCs w:val="28"/>
        </w:rPr>
        <w:t>C</w:t>
      </w:r>
      <w:r w:rsidR="003D222C" w:rsidRPr="3A221014">
        <w:rPr>
          <w:b/>
          <w:bCs/>
          <w:i/>
          <w:iCs/>
          <w:sz w:val="28"/>
          <w:szCs w:val="28"/>
        </w:rPr>
        <w:t xml:space="preserve">hanges </w:t>
      </w:r>
      <w:r w:rsidR="5AA7F347" w:rsidRPr="3A221014">
        <w:rPr>
          <w:b/>
          <w:bCs/>
          <w:i/>
          <w:iCs/>
          <w:sz w:val="28"/>
          <w:szCs w:val="28"/>
        </w:rPr>
        <w:t xml:space="preserve">to </w:t>
      </w:r>
      <w:r w:rsidR="003D222C" w:rsidRPr="3A221014">
        <w:rPr>
          <w:b/>
          <w:bCs/>
          <w:i/>
          <w:iCs/>
          <w:sz w:val="28"/>
          <w:szCs w:val="28"/>
        </w:rPr>
        <w:t xml:space="preserve">this output, and any planned changes </w:t>
      </w:r>
      <w:proofErr w:type="gramStart"/>
      <w:r w:rsidR="003D222C" w:rsidRPr="3A221014">
        <w:rPr>
          <w:b/>
          <w:bCs/>
          <w:i/>
          <w:iCs/>
          <w:sz w:val="28"/>
          <w:szCs w:val="28"/>
        </w:rPr>
        <w:t>as a result of</w:t>
      </w:r>
      <w:proofErr w:type="gramEnd"/>
      <w:r w:rsidR="003D222C" w:rsidRPr="3A221014">
        <w:rPr>
          <w:b/>
          <w:bCs/>
          <w:i/>
          <w:iCs/>
          <w:sz w:val="28"/>
          <w:szCs w:val="28"/>
        </w:rPr>
        <w:t xml:space="preserve"> this review</w:t>
      </w:r>
      <w:r w:rsidR="003D222C" w:rsidRPr="3A221014">
        <w:rPr>
          <w:rFonts w:cs="Arial"/>
          <w:b/>
          <w:bCs/>
          <w:i/>
          <w:iCs/>
          <w:sz w:val="22"/>
          <w:szCs w:val="22"/>
        </w:rPr>
        <w:t xml:space="preserve"> </w:t>
      </w:r>
      <w:r w:rsidR="003D222C" w:rsidRPr="3A221014">
        <w:rPr>
          <w:rFonts w:cs="Arial"/>
          <w:i/>
          <w:iCs/>
          <w:sz w:val="22"/>
          <w:szCs w:val="22"/>
        </w:rPr>
        <w:t>[1 paragraph]</w:t>
      </w:r>
    </w:p>
    <w:p w14:paraId="2C9E6F55" w14:textId="77777777" w:rsidR="003D222C" w:rsidRPr="00D80C6C" w:rsidRDefault="003D222C" w:rsidP="004D5FD5">
      <w:pPr>
        <w:jc w:val="both"/>
        <w:rPr>
          <w:rFonts w:cs="Arial"/>
          <w:sz w:val="22"/>
          <w:szCs w:val="22"/>
        </w:rPr>
      </w:pPr>
    </w:p>
    <w:p w14:paraId="02BCABD6" w14:textId="6973E078" w:rsidR="0018285E" w:rsidRDefault="003771FF" w:rsidP="004D5FD5">
      <w:pPr>
        <w:jc w:val="both"/>
        <w:rPr>
          <w:rFonts w:cs="Arial"/>
          <w:sz w:val="22"/>
          <w:szCs w:val="22"/>
        </w:rPr>
      </w:pPr>
      <w:r>
        <w:rPr>
          <w:rFonts w:cs="Arial"/>
          <w:sz w:val="22"/>
          <w:szCs w:val="22"/>
        </w:rPr>
        <w:t xml:space="preserve">As the first year of this current </w:t>
      </w:r>
      <w:r w:rsidR="00CE2951">
        <w:rPr>
          <w:rFonts w:cs="Arial"/>
          <w:sz w:val="22"/>
          <w:szCs w:val="22"/>
        </w:rPr>
        <w:t xml:space="preserve">tranche of support for the programme, there have been no changes to the </w:t>
      </w:r>
      <w:r w:rsidR="00BC14BA">
        <w:rPr>
          <w:rFonts w:cs="Arial"/>
          <w:sz w:val="22"/>
          <w:szCs w:val="22"/>
        </w:rPr>
        <w:t xml:space="preserve">output </w:t>
      </w:r>
      <w:proofErr w:type="gramStart"/>
      <w:r w:rsidR="00FF5C7C">
        <w:rPr>
          <w:rFonts w:cs="Arial"/>
          <w:sz w:val="22"/>
          <w:szCs w:val="22"/>
        </w:rPr>
        <w:t>during the course of</w:t>
      </w:r>
      <w:proofErr w:type="gramEnd"/>
      <w:r w:rsidR="00FF5C7C">
        <w:rPr>
          <w:rFonts w:cs="Arial"/>
          <w:sz w:val="22"/>
          <w:szCs w:val="22"/>
        </w:rPr>
        <w:t xml:space="preserve"> the</w:t>
      </w:r>
      <w:r w:rsidR="00BC14BA">
        <w:rPr>
          <w:rFonts w:cs="Arial"/>
          <w:sz w:val="22"/>
          <w:szCs w:val="22"/>
        </w:rPr>
        <w:t xml:space="preserve"> year</w:t>
      </w:r>
      <w:r w:rsidR="0018285E">
        <w:rPr>
          <w:rFonts w:cs="Arial"/>
          <w:sz w:val="22"/>
          <w:szCs w:val="22"/>
        </w:rPr>
        <w:t>.</w:t>
      </w:r>
      <w:r w:rsidR="003A5F0C">
        <w:rPr>
          <w:rFonts w:cs="Arial"/>
          <w:sz w:val="22"/>
          <w:szCs w:val="22"/>
        </w:rPr>
        <w:t xml:space="preserve"> </w:t>
      </w:r>
      <w:r w:rsidR="0018285E">
        <w:rPr>
          <w:rFonts w:cs="Arial"/>
          <w:sz w:val="22"/>
          <w:szCs w:val="22"/>
        </w:rPr>
        <w:t xml:space="preserve">We will keep </w:t>
      </w:r>
      <w:r w:rsidR="00944256">
        <w:rPr>
          <w:rFonts w:cs="Arial"/>
          <w:sz w:val="22"/>
          <w:szCs w:val="22"/>
        </w:rPr>
        <w:t>all outputs</w:t>
      </w:r>
      <w:r w:rsidR="003A5F0C">
        <w:rPr>
          <w:rFonts w:cs="Arial"/>
          <w:sz w:val="22"/>
          <w:szCs w:val="22"/>
        </w:rPr>
        <w:t xml:space="preserve"> </w:t>
      </w:r>
      <w:r w:rsidR="00944256">
        <w:rPr>
          <w:rFonts w:cs="Arial"/>
          <w:sz w:val="22"/>
          <w:szCs w:val="22"/>
        </w:rPr>
        <w:t>under review, particularly where milestones have been sign</w:t>
      </w:r>
      <w:r w:rsidR="001012DB">
        <w:rPr>
          <w:rFonts w:cs="Arial"/>
          <w:sz w:val="22"/>
          <w:szCs w:val="22"/>
        </w:rPr>
        <w:t xml:space="preserve">ificantly over-achieved, for example due to methane work ramping up faster than expected, to ensure </w:t>
      </w:r>
      <w:r w:rsidR="00944256">
        <w:rPr>
          <w:rFonts w:cs="Arial"/>
          <w:sz w:val="22"/>
          <w:szCs w:val="22"/>
        </w:rPr>
        <w:t>th</w:t>
      </w:r>
      <w:r w:rsidR="001012DB">
        <w:rPr>
          <w:rFonts w:cs="Arial"/>
          <w:sz w:val="22"/>
          <w:szCs w:val="22"/>
        </w:rPr>
        <w:t xml:space="preserve">at cumulative output milestones </w:t>
      </w:r>
      <w:r w:rsidR="00FF5C7C">
        <w:rPr>
          <w:rFonts w:cs="Arial"/>
          <w:sz w:val="22"/>
          <w:szCs w:val="22"/>
        </w:rPr>
        <w:t xml:space="preserve">remain stretching for the programme. </w:t>
      </w:r>
      <w:r w:rsidR="001012DB">
        <w:rPr>
          <w:rFonts w:cs="Arial"/>
          <w:sz w:val="22"/>
          <w:szCs w:val="22"/>
        </w:rPr>
        <w:t xml:space="preserve"> </w:t>
      </w:r>
    </w:p>
    <w:p w14:paraId="4E947D9F" w14:textId="77777777" w:rsidR="003771FF" w:rsidRDefault="003771FF" w:rsidP="004D5FD5">
      <w:pPr>
        <w:jc w:val="both"/>
        <w:rPr>
          <w:rFonts w:cs="Arial"/>
          <w:sz w:val="22"/>
          <w:szCs w:val="22"/>
        </w:rPr>
      </w:pPr>
    </w:p>
    <w:p w14:paraId="17BAC3B7" w14:textId="4DCF08E7" w:rsidR="003D222C" w:rsidRDefault="003D222C" w:rsidP="004D5FD5">
      <w:pPr>
        <w:jc w:val="both"/>
        <w:rPr>
          <w:rFonts w:cs="Arial"/>
          <w:sz w:val="22"/>
          <w:szCs w:val="22"/>
        </w:rPr>
      </w:pPr>
      <w:r w:rsidRPr="00953846">
        <w:rPr>
          <w:b/>
          <w:bCs/>
          <w:i/>
          <w:iCs/>
          <w:sz w:val="28"/>
          <w:szCs w:val="28"/>
        </w:rPr>
        <w:lastRenderedPageBreak/>
        <w:t>Progress on recommendations from the previous AR</w:t>
      </w:r>
      <w:r w:rsidR="00690170" w:rsidRPr="00953846">
        <w:rPr>
          <w:b/>
          <w:bCs/>
          <w:i/>
          <w:iCs/>
          <w:sz w:val="28"/>
          <w:szCs w:val="28"/>
        </w:rPr>
        <w:t xml:space="preserve">, </w:t>
      </w:r>
      <w:r w:rsidRPr="00953846">
        <w:rPr>
          <w:b/>
          <w:bCs/>
          <w:i/>
          <w:iCs/>
          <w:sz w:val="28"/>
          <w:szCs w:val="28"/>
        </w:rPr>
        <w:t>lessons learned this year</w:t>
      </w:r>
      <w:r w:rsidR="00690170" w:rsidRPr="00953846">
        <w:rPr>
          <w:b/>
          <w:bCs/>
          <w:i/>
          <w:iCs/>
          <w:sz w:val="28"/>
          <w:szCs w:val="28"/>
        </w:rPr>
        <w:t>,</w:t>
      </w:r>
      <w:r w:rsidRPr="00953846">
        <w:rPr>
          <w:b/>
          <w:bCs/>
          <w:i/>
          <w:iCs/>
          <w:sz w:val="28"/>
          <w:szCs w:val="28"/>
        </w:rPr>
        <w:t xml:space="preserve"> and recommendations for the year ahead</w:t>
      </w:r>
      <w:r w:rsidRPr="00953846">
        <w:rPr>
          <w:rFonts w:cs="Arial"/>
          <w:b/>
          <w:bCs/>
        </w:rPr>
        <w:t xml:space="preserve"> </w:t>
      </w:r>
      <w:r w:rsidRPr="00D80C6C">
        <w:rPr>
          <w:rFonts w:cs="Arial"/>
          <w:sz w:val="22"/>
          <w:szCs w:val="22"/>
        </w:rPr>
        <w:t>[1-2 paragraphs]</w:t>
      </w:r>
    </w:p>
    <w:p w14:paraId="5E2717E5" w14:textId="77777777" w:rsidR="003A5F0C" w:rsidRDefault="003A5F0C" w:rsidP="004D5FD5">
      <w:pPr>
        <w:jc w:val="both"/>
        <w:rPr>
          <w:rFonts w:cs="Arial"/>
          <w:sz w:val="22"/>
          <w:szCs w:val="22"/>
        </w:rPr>
      </w:pPr>
    </w:p>
    <w:p w14:paraId="6DD42BDA" w14:textId="2F02BD4B" w:rsidR="003A5F0C" w:rsidRDefault="003A5F0C" w:rsidP="004D5FD5">
      <w:pPr>
        <w:jc w:val="both"/>
        <w:rPr>
          <w:rFonts w:cs="Arial"/>
          <w:bCs/>
          <w:sz w:val="22"/>
          <w:szCs w:val="22"/>
        </w:rPr>
      </w:pPr>
      <w:r w:rsidRPr="003A5F0C">
        <w:rPr>
          <w:rFonts w:cs="Arial"/>
          <w:bCs/>
          <w:sz w:val="22"/>
          <w:szCs w:val="22"/>
        </w:rPr>
        <w:t>As the first year of this current tranche of support for the programme</w:t>
      </w:r>
      <w:r w:rsidR="005A273A">
        <w:rPr>
          <w:rFonts w:cs="Arial"/>
          <w:bCs/>
          <w:sz w:val="22"/>
          <w:szCs w:val="22"/>
        </w:rPr>
        <w:t xml:space="preserve"> there</w:t>
      </w:r>
      <w:r w:rsidR="00767FF9">
        <w:rPr>
          <w:rFonts w:cs="Arial"/>
          <w:bCs/>
          <w:sz w:val="22"/>
          <w:szCs w:val="22"/>
        </w:rPr>
        <w:t xml:space="preserve"> </w:t>
      </w:r>
      <w:r w:rsidR="005A273A">
        <w:rPr>
          <w:rFonts w:cs="Arial"/>
          <w:bCs/>
          <w:sz w:val="22"/>
          <w:szCs w:val="22"/>
        </w:rPr>
        <w:t>are no outstanding recommendations, with recommendations from the last year of the first tranche o</w:t>
      </w:r>
      <w:r w:rsidR="00767FF9">
        <w:rPr>
          <w:rFonts w:cs="Arial"/>
          <w:bCs/>
          <w:sz w:val="22"/>
          <w:szCs w:val="22"/>
        </w:rPr>
        <w:t xml:space="preserve">f </w:t>
      </w:r>
      <w:r w:rsidR="005A273A">
        <w:rPr>
          <w:rFonts w:cs="Arial"/>
          <w:bCs/>
          <w:sz w:val="22"/>
          <w:szCs w:val="22"/>
        </w:rPr>
        <w:t xml:space="preserve">support feeding directly into the </w:t>
      </w:r>
      <w:r w:rsidR="00F91A66">
        <w:rPr>
          <w:rFonts w:cs="Arial"/>
          <w:bCs/>
          <w:sz w:val="22"/>
          <w:szCs w:val="22"/>
        </w:rPr>
        <w:t xml:space="preserve">subsequent </w:t>
      </w:r>
      <w:r w:rsidR="005A273A">
        <w:rPr>
          <w:rFonts w:cs="Arial"/>
          <w:bCs/>
          <w:sz w:val="22"/>
          <w:szCs w:val="22"/>
        </w:rPr>
        <w:t>business case</w:t>
      </w:r>
      <w:r w:rsidR="00F91A66">
        <w:rPr>
          <w:rFonts w:cs="Arial"/>
          <w:bCs/>
          <w:sz w:val="22"/>
          <w:szCs w:val="22"/>
        </w:rPr>
        <w:t>.</w:t>
      </w:r>
    </w:p>
    <w:p w14:paraId="2D0DD476" w14:textId="77777777" w:rsidR="00B5728A" w:rsidRDefault="00B5728A" w:rsidP="004D5FD5">
      <w:pPr>
        <w:jc w:val="both"/>
        <w:rPr>
          <w:rFonts w:cs="Arial"/>
          <w:bCs/>
          <w:sz w:val="22"/>
          <w:szCs w:val="22"/>
        </w:rPr>
      </w:pPr>
    </w:p>
    <w:p w14:paraId="3EFCCB5B" w14:textId="131A9323" w:rsidR="00B5728A" w:rsidRPr="007548C5" w:rsidRDefault="00B5728A" w:rsidP="004D5FD5">
      <w:pPr>
        <w:jc w:val="both"/>
        <w:rPr>
          <w:rFonts w:cs="Arial"/>
          <w:bCs/>
          <w:i/>
          <w:iCs/>
          <w:sz w:val="22"/>
          <w:szCs w:val="22"/>
        </w:rPr>
      </w:pPr>
      <w:r w:rsidRPr="007548C5">
        <w:rPr>
          <w:rFonts w:cs="Arial"/>
          <w:bCs/>
          <w:i/>
          <w:iCs/>
          <w:sz w:val="22"/>
          <w:szCs w:val="22"/>
        </w:rPr>
        <w:t>Recommendations</w:t>
      </w:r>
    </w:p>
    <w:p w14:paraId="48C4C8A0" w14:textId="77777777" w:rsidR="00F91A66" w:rsidRDefault="00F91A66" w:rsidP="004D5FD5">
      <w:pPr>
        <w:jc w:val="both"/>
        <w:rPr>
          <w:rFonts w:cs="Arial"/>
          <w:bCs/>
          <w:sz w:val="22"/>
          <w:szCs w:val="22"/>
        </w:rPr>
      </w:pPr>
    </w:p>
    <w:p w14:paraId="70C81B90" w14:textId="6C19A846" w:rsidR="00B5728A" w:rsidRPr="00494DDF" w:rsidRDefault="00B5728A" w:rsidP="00494DDF">
      <w:pPr>
        <w:pStyle w:val="ListParagraph"/>
        <w:numPr>
          <w:ilvl w:val="0"/>
          <w:numId w:val="20"/>
        </w:numPr>
        <w:jc w:val="both"/>
        <w:rPr>
          <w:rFonts w:cs="Arial"/>
          <w:bCs/>
          <w:sz w:val="22"/>
          <w:szCs w:val="22"/>
        </w:rPr>
      </w:pPr>
      <w:r w:rsidRPr="00494DDF">
        <w:rPr>
          <w:rFonts w:cs="Arial"/>
          <w:bCs/>
          <w:sz w:val="22"/>
          <w:szCs w:val="22"/>
        </w:rPr>
        <w:t>IEA to continue to track the impacts of analytical reports and policy recommendations on policy development in target countries produced in 2024</w:t>
      </w:r>
      <w:r w:rsidR="00333638" w:rsidRPr="00494DDF">
        <w:rPr>
          <w:rFonts w:cs="Arial"/>
          <w:bCs/>
          <w:sz w:val="22"/>
          <w:szCs w:val="22"/>
        </w:rPr>
        <w:t>, recognising that analytical work produced in one year may</w:t>
      </w:r>
      <w:r w:rsidR="00494DDF" w:rsidRPr="00494DDF">
        <w:rPr>
          <w:rFonts w:cs="Arial"/>
          <w:bCs/>
          <w:sz w:val="22"/>
          <w:szCs w:val="22"/>
        </w:rPr>
        <w:t xml:space="preserve"> continue to inform policy development in future,</w:t>
      </w:r>
      <w:r w:rsidRPr="00494DDF">
        <w:rPr>
          <w:rFonts w:cs="Arial"/>
          <w:bCs/>
          <w:sz w:val="22"/>
          <w:szCs w:val="22"/>
        </w:rPr>
        <w:t xml:space="preserve"> and report in Programme Annual Report highlighting</w:t>
      </w:r>
      <w:proofErr w:type="gramStart"/>
      <w:r w:rsidRPr="00494DDF">
        <w:rPr>
          <w:rFonts w:cs="Arial"/>
          <w:bCs/>
          <w:sz w:val="22"/>
          <w:szCs w:val="22"/>
        </w:rPr>
        <w:t>, in particular, where</w:t>
      </w:r>
      <w:proofErr w:type="gramEnd"/>
      <w:r w:rsidRPr="00494DDF">
        <w:rPr>
          <w:rFonts w:cs="Arial"/>
          <w:bCs/>
          <w:sz w:val="22"/>
          <w:szCs w:val="22"/>
        </w:rPr>
        <w:t xml:space="preserve"> work has helped inform real-world policy decisions by target countries.</w:t>
      </w:r>
    </w:p>
    <w:p w14:paraId="72F2FAA1" w14:textId="61E92E36" w:rsidR="003D222C" w:rsidRPr="00494DDF" w:rsidRDefault="009C398B" w:rsidP="00494DDF">
      <w:pPr>
        <w:pStyle w:val="ListParagraph"/>
        <w:numPr>
          <w:ilvl w:val="0"/>
          <w:numId w:val="20"/>
        </w:numPr>
        <w:jc w:val="both"/>
        <w:rPr>
          <w:rFonts w:cs="Arial"/>
          <w:bCs/>
          <w:color w:val="FF0000"/>
          <w:sz w:val="22"/>
          <w:szCs w:val="22"/>
        </w:rPr>
      </w:pPr>
      <w:r w:rsidRPr="00494DDF">
        <w:rPr>
          <w:rFonts w:cs="Arial"/>
          <w:bCs/>
          <w:sz w:val="22"/>
          <w:szCs w:val="22"/>
        </w:rPr>
        <w:t>DENZ</w:t>
      </w:r>
      <w:r w:rsidR="00B5728A" w:rsidRPr="00494DDF">
        <w:rPr>
          <w:rFonts w:cs="Arial"/>
          <w:bCs/>
          <w:sz w:val="22"/>
          <w:szCs w:val="22"/>
        </w:rPr>
        <w:t xml:space="preserve"> and IEA to </w:t>
      </w:r>
      <w:r w:rsidRPr="00494DDF">
        <w:rPr>
          <w:rFonts w:cs="Arial"/>
          <w:bCs/>
          <w:sz w:val="22"/>
          <w:szCs w:val="22"/>
        </w:rPr>
        <w:t xml:space="preserve">keep the </w:t>
      </w:r>
      <w:proofErr w:type="spellStart"/>
      <w:r w:rsidRPr="00494DDF">
        <w:rPr>
          <w:rFonts w:cs="Arial"/>
          <w:bCs/>
          <w:sz w:val="22"/>
          <w:szCs w:val="22"/>
        </w:rPr>
        <w:t>logframe</w:t>
      </w:r>
      <w:proofErr w:type="spellEnd"/>
      <w:r w:rsidRPr="00494DDF">
        <w:rPr>
          <w:rFonts w:cs="Arial"/>
          <w:bCs/>
          <w:sz w:val="22"/>
          <w:szCs w:val="22"/>
        </w:rPr>
        <w:t xml:space="preserve"> under review </w:t>
      </w:r>
      <w:r w:rsidR="000976C7" w:rsidRPr="00494DDF">
        <w:rPr>
          <w:rFonts w:cs="Arial"/>
          <w:bCs/>
          <w:sz w:val="22"/>
          <w:szCs w:val="22"/>
        </w:rPr>
        <w:t xml:space="preserve">to ensure that </w:t>
      </w:r>
      <w:r w:rsidR="00B5728A" w:rsidRPr="00494DDF">
        <w:rPr>
          <w:rFonts w:cs="Arial"/>
          <w:bCs/>
          <w:sz w:val="22"/>
          <w:szCs w:val="22"/>
        </w:rPr>
        <w:t xml:space="preserve">output indicators </w:t>
      </w:r>
      <w:r w:rsidR="000976C7" w:rsidRPr="00494DDF">
        <w:rPr>
          <w:rFonts w:cs="Arial"/>
          <w:bCs/>
          <w:sz w:val="22"/>
          <w:szCs w:val="22"/>
        </w:rPr>
        <w:t xml:space="preserve">remain relevant and that milestones are </w:t>
      </w:r>
      <w:r w:rsidR="00767FF9" w:rsidRPr="00494DDF">
        <w:rPr>
          <w:rFonts w:cs="Arial"/>
          <w:bCs/>
          <w:sz w:val="22"/>
          <w:szCs w:val="22"/>
        </w:rPr>
        <w:t xml:space="preserve">ambitious but realistic </w:t>
      </w:r>
      <w:r w:rsidR="000976C7" w:rsidRPr="00494DDF">
        <w:rPr>
          <w:rFonts w:cs="Arial"/>
          <w:bCs/>
          <w:sz w:val="22"/>
          <w:szCs w:val="22"/>
        </w:rPr>
        <w:t>and retain stretch</w:t>
      </w:r>
      <w:r w:rsidR="007548C5" w:rsidRPr="00494DDF">
        <w:rPr>
          <w:rFonts w:cs="Arial"/>
          <w:bCs/>
          <w:sz w:val="22"/>
          <w:szCs w:val="22"/>
        </w:rPr>
        <w:t xml:space="preserve">, in particular recalibrating milestones for </w:t>
      </w:r>
      <w:r w:rsidR="00C16B0B">
        <w:rPr>
          <w:rFonts w:cs="Arial"/>
          <w:bCs/>
          <w:sz w:val="22"/>
          <w:szCs w:val="22"/>
        </w:rPr>
        <w:t>work on methane reductio</w:t>
      </w:r>
      <w:r w:rsidR="00865A3E">
        <w:rPr>
          <w:rFonts w:cs="Arial"/>
          <w:bCs/>
          <w:sz w:val="22"/>
          <w:szCs w:val="22"/>
        </w:rPr>
        <w:t xml:space="preserve">n.  </w:t>
      </w:r>
    </w:p>
    <w:p w14:paraId="6F13DE51" w14:textId="11A899D5" w:rsidR="004A367B" w:rsidRDefault="004A367B" w:rsidP="004D5FD5">
      <w:pPr>
        <w:pStyle w:val="Heading2"/>
        <w:jc w:val="both"/>
      </w:pPr>
      <w:bookmarkStart w:id="12" w:name="_Toc68620101"/>
      <w:r>
        <w:t xml:space="preserve">Output 2: </w:t>
      </w:r>
      <w:bookmarkEnd w:id="12"/>
    </w:p>
    <w:p w14:paraId="6614CA3C" w14:textId="77777777" w:rsidR="00691842" w:rsidRPr="00691842" w:rsidRDefault="00691842" w:rsidP="00691842"/>
    <w:tbl>
      <w:tblPr>
        <w:tblStyle w:val="TableGrid"/>
        <w:tblW w:w="9072" w:type="dxa"/>
        <w:tblInd w:w="-5" w:type="dxa"/>
        <w:tblLook w:val="04A0" w:firstRow="1" w:lastRow="0" w:firstColumn="1" w:lastColumn="0" w:noHBand="0" w:noVBand="1"/>
      </w:tblPr>
      <w:tblGrid>
        <w:gridCol w:w="1566"/>
        <w:gridCol w:w="616"/>
        <w:gridCol w:w="937"/>
        <w:gridCol w:w="2977"/>
        <w:gridCol w:w="2976"/>
      </w:tblGrid>
      <w:tr w:rsidR="00691842" w:rsidRPr="00D80C6C" w14:paraId="41CE7F22" w14:textId="77777777">
        <w:trPr>
          <w:trHeight w:val="489"/>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057EFC7" w14:textId="77777777" w:rsidR="00691842" w:rsidRPr="00D80C6C" w:rsidRDefault="00691842">
            <w:pPr>
              <w:jc w:val="both"/>
              <w:rPr>
                <w:rFonts w:cs="Arial"/>
                <w:b/>
                <w:bCs/>
                <w:sz w:val="22"/>
                <w:szCs w:val="22"/>
              </w:rPr>
            </w:pPr>
            <w:r w:rsidRPr="00D80C6C">
              <w:rPr>
                <w:rFonts w:cs="Arial"/>
                <w:b/>
                <w:bCs/>
                <w:sz w:val="22"/>
                <w:szCs w:val="22"/>
              </w:rPr>
              <w:t xml:space="preserve">Output Title </w:t>
            </w:r>
          </w:p>
        </w:tc>
        <w:tc>
          <w:tcPr>
            <w:tcW w:w="750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8968739" w14:textId="4C70E8C0" w:rsidR="00691842" w:rsidRPr="00ED5FD4" w:rsidRDefault="00D84B32">
            <w:pPr>
              <w:jc w:val="both"/>
              <w:rPr>
                <w:rFonts w:cs="Arial"/>
                <w:bCs/>
                <w:iCs/>
                <w:color w:val="FF0000"/>
                <w:sz w:val="22"/>
                <w:szCs w:val="22"/>
              </w:rPr>
            </w:pPr>
            <w:r w:rsidRPr="00D84B32">
              <w:rPr>
                <w:rFonts w:cs="Arial"/>
                <w:bCs/>
                <w:iCs/>
                <w:sz w:val="22"/>
                <w:szCs w:val="22"/>
              </w:rPr>
              <w:t>Country Engagement - knowledge transfer and capacity building to enable CETP priority countries to drive, implement and expand national and regional energy transitions</w:t>
            </w:r>
          </w:p>
        </w:tc>
      </w:tr>
      <w:tr w:rsidR="00691842" w:rsidRPr="00D80C6C" w14:paraId="1A461D66" w14:textId="77777777">
        <w:trPr>
          <w:trHeight w:val="347"/>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9F004B5" w14:textId="77777777" w:rsidR="00691842" w:rsidRPr="00D80C6C" w:rsidRDefault="00691842">
            <w:pPr>
              <w:jc w:val="both"/>
              <w:rPr>
                <w:rFonts w:cs="Arial"/>
                <w:bCs/>
                <w:sz w:val="22"/>
                <w:szCs w:val="22"/>
              </w:rPr>
            </w:pPr>
            <w:r w:rsidRPr="00D80C6C">
              <w:rPr>
                <w:rFonts w:cs="Arial"/>
                <w:bCs/>
                <w:sz w:val="22"/>
                <w:szCs w:val="22"/>
              </w:rPr>
              <w:t xml:space="preserve">Output number: </w:t>
            </w:r>
          </w:p>
        </w:tc>
        <w:tc>
          <w:tcPr>
            <w:tcW w:w="937" w:type="dxa"/>
            <w:tcBorders>
              <w:top w:val="single" w:sz="4" w:space="0" w:color="auto"/>
              <w:left w:val="single" w:sz="4" w:space="0" w:color="auto"/>
              <w:bottom w:val="single" w:sz="4" w:space="0" w:color="auto"/>
              <w:right w:val="single" w:sz="4" w:space="0" w:color="auto"/>
            </w:tcBorders>
          </w:tcPr>
          <w:p w14:paraId="77F166EC" w14:textId="1490CA2B" w:rsidR="00691842" w:rsidRPr="00D80C6C" w:rsidRDefault="007B2380">
            <w:pPr>
              <w:jc w:val="both"/>
              <w:rPr>
                <w:rFonts w:cs="Arial"/>
                <w:sz w:val="22"/>
                <w:szCs w:val="22"/>
              </w:rPr>
            </w:pPr>
            <w:r>
              <w:rPr>
                <w:rFonts w:cs="Arial"/>
                <w:sz w:val="22"/>
                <w:szCs w:val="22"/>
              </w:rPr>
              <w:t>2</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3065D68" w14:textId="77777777" w:rsidR="00691842" w:rsidRPr="00D80C6C" w:rsidRDefault="00691842">
            <w:pPr>
              <w:jc w:val="both"/>
              <w:rPr>
                <w:rFonts w:cs="Arial"/>
                <w:sz w:val="22"/>
                <w:szCs w:val="22"/>
              </w:rPr>
            </w:pPr>
            <w:r w:rsidRPr="00D80C6C">
              <w:rPr>
                <w:rFonts w:cs="Arial"/>
                <w:bCs/>
                <w:sz w:val="22"/>
                <w:szCs w:val="22"/>
              </w:rPr>
              <w:t xml:space="preserve">Output Score: </w:t>
            </w:r>
          </w:p>
        </w:tc>
        <w:tc>
          <w:tcPr>
            <w:tcW w:w="2976" w:type="dxa"/>
            <w:tcBorders>
              <w:top w:val="single" w:sz="4" w:space="0" w:color="auto"/>
              <w:left w:val="single" w:sz="4" w:space="0" w:color="auto"/>
              <w:bottom w:val="single" w:sz="4" w:space="0" w:color="auto"/>
              <w:right w:val="single" w:sz="4" w:space="0" w:color="auto"/>
            </w:tcBorders>
          </w:tcPr>
          <w:p w14:paraId="263A0106" w14:textId="277E18B9" w:rsidR="00691842" w:rsidRPr="00DB3B57" w:rsidRDefault="00AD2E36">
            <w:pPr>
              <w:jc w:val="both"/>
              <w:rPr>
                <w:rFonts w:cs="Arial"/>
                <w:b/>
                <w:bCs/>
                <w:iCs/>
                <w:sz w:val="22"/>
                <w:szCs w:val="22"/>
              </w:rPr>
            </w:pPr>
            <w:r>
              <w:rPr>
                <w:rFonts w:cs="Arial"/>
                <w:b/>
                <w:bCs/>
                <w:iCs/>
                <w:sz w:val="22"/>
                <w:szCs w:val="22"/>
              </w:rPr>
              <w:t>A+</w:t>
            </w:r>
          </w:p>
        </w:tc>
      </w:tr>
      <w:tr w:rsidR="00691842" w:rsidRPr="00D80C6C" w14:paraId="08DC1373" w14:textId="77777777">
        <w:trPr>
          <w:trHeight w:val="345"/>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EE290D9" w14:textId="77777777" w:rsidR="00691842" w:rsidRPr="00D80C6C" w:rsidRDefault="00691842">
            <w:pPr>
              <w:jc w:val="both"/>
              <w:rPr>
                <w:rFonts w:cs="Arial"/>
                <w:sz w:val="22"/>
                <w:szCs w:val="22"/>
              </w:rPr>
            </w:pPr>
            <w:r w:rsidRPr="00D80C6C">
              <w:rPr>
                <w:rFonts w:cs="Arial"/>
                <w:bCs/>
                <w:sz w:val="22"/>
                <w:szCs w:val="22"/>
              </w:rPr>
              <w:t xml:space="preserve">Impact weighting (%):  </w:t>
            </w:r>
          </w:p>
        </w:tc>
        <w:tc>
          <w:tcPr>
            <w:tcW w:w="937" w:type="dxa"/>
            <w:tcBorders>
              <w:top w:val="single" w:sz="4" w:space="0" w:color="auto"/>
              <w:left w:val="single" w:sz="4" w:space="0" w:color="auto"/>
              <w:bottom w:val="single" w:sz="4" w:space="0" w:color="auto"/>
              <w:right w:val="single" w:sz="4" w:space="0" w:color="auto"/>
            </w:tcBorders>
            <w:hideMark/>
          </w:tcPr>
          <w:p w14:paraId="24DB908D" w14:textId="785F53F7" w:rsidR="00691842" w:rsidRPr="00D80C6C" w:rsidRDefault="00D84B32">
            <w:pPr>
              <w:jc w:val="both"/>
              <w:rPr>
                <w:rFonts w:cs="Arial"/>
                <w:bCs/>
                <w:sz w:val="22"/>
                <w:szCs w:val="22"/>
              </w:rPr>
            </w:pPr>
            <w:r>
              <w:rPr>
                <w:rFonts w:cs="Arial"/>
                <w:bCs/>
                <w:sz w:val="22"/>
                <w:szCs w:val="22"/>
              </w:rPr>
              <w:t>40%</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6454226" w14:textId="77777777" w:rsidR="00691842" w:rsidRPr="00D80C6C" w:rsidRDefault="00691842">
            <w:pPr>
              <w:jc w:val="both"/>
              <w:rPr>
                <w:rFonts w:cs="Arial"/>
                <w:bCs/>
                <w:sz w:val="22"/>
                <w:szCs w:val="22"/>
              </w:rPr>
            </w:pPr>
            <w:r w:rsidRPr="00D80C6C">
              <w:rPr>
                <w:rFonts w:cs="Arial"/>
                <w:bCs/>
                <w:sz w:val="22"/>
                <w:szCs w:val="22"/>
              </w:rPr>
              <w:t xml:space="preserve">Weighting revised since last </w:t>
            </w:r>
            <w:proofErr w:type="gramStart"/>
            <w:r w:rsidRPr="00D80C6C">
              <w:rPr>
                <w:rFonts w:cs="Arial"/>
                <w:bCs/>
                <w:sz w:val="22"/>
                <w:szCs w:val="22"/>
              </w:rPr>
              <w:t>AR?</w:t>
            </w:r>
            <w:proofErr w:type="gramEnd"/>
            <w:r w:rsidRPr="00D80C6C">
              <w:rPr>
                <w:rFonts w:cs="Arial"/>
                <w:bCs/>
                <w:sz w:val="22"/>
                <w:szCs w:val="22"/>
              </w:rPr>
              <w:t xml:space="preserve"> </w:t>
            </w:r>
          </w:p>
        </w:tc>
        <w:tc>
          <w:tcPr>
            <w:tcW w:w="2976" w:type="dxa"/>
            <w:tcBorders>
              <w:top w:val="single" w:sz="4" w:space="0" w:color="auto"/>
              <w:left w:val="single" w:sz="4" w:space="0" w:color="auto"/>
              <w:bottom w:val="single" w:sz="4" w:space="0" w:color="auto"/>
              <w:right w:val="single" w:sz="4" w:space="0" w:color="auto"/>
            </w:tcBorders>
          </w:tcPr>
          <w:p w14:paraId="7A0765DF" w14:textId="7F083C0A" w:rsidR="00691842" w:rsidRPr="00D80C6C" w:rsidRDefault="00275237">
            <w:pPr>
              <w:jc w:val="both"/>
              <w:rPr>
                <w:rFonts w:cs="Arial"/>
                <w:bCs/>
                <w:sz w:val="22"/>
                <w:szCs w:val="22"/>
              </w:rPr>
            </w:pPr>
            <w:r>
              <w:rPr>
                <w:rFonts w:cs="Arial"/>
                <w:bCs/>
                <w:sz w:val="22"/>
                <w:szCs w:val="22"/>
              </w:rPr>
              <w:t>No</w:t>
            </w:r>
          </w:p>
        </w:tc>
      </w:tr>
      <w:tr w:rsidR="00691842" w:rsidRPr="00D80C6C" w14:paraId="2D4E6664" w14:textId="77777777">
        <w:trPr>
          <w:trHeight w:val="345"/>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E2EAEE" w14:textId="5122F178" w:rsidR="00691842" w:rsidRPr="00D80C6C" w:rsidRDefault="00691842">
            <w:pPr>
              <w:jc w:val="both"/>
              <w:rPr>
                <w:rFonts w:cs="Arial"/>
                <w:bCs/>
                <w:sz w:val="22"/>
                <w:szCs w:val="22"/>
              </w:rPr>
            </w:pPr>
            <w:r w:rsidRPr="00D80C6C">
              <w:rPr>
                <w:rFonts w:cs="Arial"/>
                <w:bCs/>
                <w:sz w:val="22"/>
                <w:szCs w:val="22"/>
              </w:rPr>
              <w:t>Risk rating</w:t>
            </w:r>
            <w:r w:rsidR="00DB3B57">
              <w:rPr>
                <w:rFonts w:cs="Arial"/>
                <w:bCs/>
                <w:sz w:val="22"/>
                <w:szCs w:val="22"/>
              </w:rPr>
              <w:t>:</w:t>
            </w:r>
          </w:p>
        </w:tc>
        <w:tc>
          <w:tcPr>
            <w:tcW w:w="937" w:type="dxa"/>
            <w:tcBorders>
              <w:top w:val="single" w:sz="4" w:space="0" w:color="auto"/>
              <w:left w:val="single" w:sz="4" w:space="0" w:color="auto"/>
              <w:bottom w:val="single" w:sz="4" w:space="0" w:color="auto"/>
              <w:right w:val="single" w:sz="4" w:space="0" w:color="auto"/>
            </w:tcBorders>
          </w:tcPr>
          <w:p w14:paraId="055BA998" w14:textId="05E06EBB" w:rsidR="00691842" w:rsidRPr="00D80C6C" w:rsidRDefault="008F5D38">
            <w:pPr>
              <w:jc w:val="both"/>
              <w:rPr>
                <w:rFonts w:cs="Arial"/>
                <w:bCs/>
                <w:sz w:val="22"/>
                <w:szCs w:val="22"/>
              </w:rPr>
            </w:pPr>
            <w:r>
              <w:rPr>
                <w:rFonts w:cs="Arial"/>
                <w:bCs/>
                <w:sz w:val="22"/>
                <w:szCs w:val="22"/>
              </w:rPr>
              <w:t>Minor</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85ECE2" w14:textId="77777777" w:rsidR="00691842" w:rsidRPr="00D80C6C" w:rsidRDefault="00691842">
            <w:pPr>
              <w:jc w:val="both"/>
              <w:rPr>
                <w:rFonts w:cs="Arial"/>
                <w:bCs/>
                <w:sz w:val="22"/>
                <w:szCs w:val="22"/>
              </w:rPr>
            </w:pPr>
            <w:r w:rsidRPr="00D80C6C">
              <w:rPr>
                <w:rFonts w:cs="Arial"/>
                <w:bCs/>
                <w:sz w:val="22"/>
                <w:szCs w:val="22"/>
              </w:rPr>
              <w:t>Risk revised since last AR?</w:t>
            </w:r>
          </w:p>
        </w:tc>
        <w:tc>
          <w:tcPr>
            <w:tcW w:w="2976" w:type="dxa"/>
            <w:tcBorders>
              <w:top w:val="single" w:sz="4" w:space="0" w:color="auto"/>
              <w:left w:val="single" w:sz="4" w:space="0" w:color="auto"/>
              <w:bottom w:val="single" w:sz="4" w:space="0" w:color="auto"/>
              <w:right w:val="single" w:sz="4" w:space="0" w:color="auto"/>
            </w:tcBorders>
          </w:tcPr>
          <w:p w14:paraId="34DD6A93" w14:textId="2D33554D" w:rsidR="00691842" w:rsidRPr="00D80C6C" w:rsidRDefault="00275237">
            <w:pPr>
              <w:jc w:val="both"/>
              <w:rPr>
                <w:rFonts w:cs="Arial"/>
                <w:bCs/>
                <w:sz w:val="22"/>
                <w:szCs w:val="22"/>
              </w:rPr>
            </w:pPr>
            <w:r>
              <w:rPr>
                <w:rFonts w:cs="Arial"/>
                <w:bCs/>
                <w:sz w:val="22"/>
                <w:szCs w:val="22"/>
              </w:rPr>
              <w:t>No</w:t>
            </w:r>
          </w:p>
        </w:tc>
      </w:tr>
    </w:tbl>
    <w:p w14:paraId="33BACDC4" w14:textId="77777777" w:rsidR="00691842" w:rsidRPr="00D80C6C" w:rsidRDefault="00691842" w:rsidP="00691842">
      <w:pPr>
        <w:jc w:val="both"/>
        <w:rPr>
          <w:rFonts w:cs="Arial"/>
          <w:b/>
          <w:sz w:val="22"/>
          <w:szCs w:val="22"/>
        </w:rPr>
      </w:pPr>
    </w:p>
    <w:tbl>
      <w:tblPr>
        <w:tblStyle w:val="TableGrid"/>
        <w:tblpPr w:leftFromText="180" w:rightFromText="180" w:vertAnchor="text" w:horzAnchor="page" w:tblpX="1462" w:tblpY="-10"/>
        <w:tblOverlap w:val="never"/>
        <w:tblW w:w="9067" w:type="dxa"/>
        <w:tblLook w:val="04A0" w:firstRow="1" w:lastRow="0" w:firstColumn="1" w:lastColumn="0" w:noHBand="0" w:noVBand="1"/>
      </w:tblPr>
      <w:tblGrid>
        <w:gridCol w:w="1838"/>
        <w:gridCol w:w="1843"/>
        <w:gridCol w:w="5386"/>
      </w:tblGrid>
      <w:tr w:rsidR="00691842" w:rsidRPr="00D80C6C" w14:paraId="72BA5779" w14:textId="77777777" w:rsidTr="00A714E8">
        <w:trPr>
          <w:trHeight w:val="273"/>
        </w:trPr>
        <w:tc>
          <w:tcPr>
            <w:tcW w:w="183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0749DF7" w14:textId="77777777" w:rsidR="00691842" w:rsidRPr="00D80C6C" w:rsidRDefault="00691842">
            <w:pPr>
              <w:jc w:val="both"/>
              <w:rPr>
                <w:rFonts w:cs="Arial"/>
                <w:b/>
                <w:bCs/>
                <w:sz w:val="22"/>
                <w:szCs w:val="22"/>
              </w:rPr>
            </w:pPr>
            <w:r w:rsidRPr="00D80C6C">
              <w:rPr>
                <w:rFonts w:cs="Arial"/>
                <w:b/>
                <w:bCs/>
                <w:sz w:val="22"/>
                <w:szCs w:val="22"/>
              </w:rPr>
              <w:lastRenderedPageBreak/>
              <w:t>Indicator(s)</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4DCC454" w14:textId="77777777" w:rsidR="00691842" w:rsidRPr="00D80C6C" w:rsidRDefault="00691842" w:rsidP="00281BC4">
            <w:pPr>
              <w:jc w:val="center"/>
              <w:rPr>
                <w:rFonts w:cs="Arial"/>
                <w:b/>
                <w:bCs/>
                <w:sz w:val="22"/>
                <w:szCs w:val="22"/>
              </w:rPr>
            </w:pPr>
            <w:r w:rsidRPr="00D80C6C">
              <w:rPr>
                <w:rFonts w:cs="Arial"/>
                <w:b/>
                <w:bCs/>
                <w:sz w:val="22"/>
                <w:szCs w:val="22"/>
              </w:rPr>
              <w:t>Milestone(s) for this review</w:t>
            </w:r>
          </w:p>
        </w:tc>
        <w:tc>
          <w:tcPr>
            <w:tcW w:w="538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4649BD1" w14:textId="77777777" w:rsidR="00691842" w:rsidRPr="00281BC4" w:rsidRDefault="00691842">
            <w:pPr>
              <w:jc w:val="both"/>
              <w:rPr>
                <w:rFonts w:cs="Arial"/>
                <w:b/>
                <w:bCs/>
                <w:sz w:val="22"/>
                <w:szCs w:val="22"/>
              </w:rPr>
            </w:pPr>
            <w:r w:rsidRPr="00281BC4">
              <w:rPr>
                <w:rFonts w:cs="Arial"/>
                <w:b/>
                <w:bCs/>
                <w:sz w:val="22"/>
                <w:szCs w:val="22"/>
              </w:rPr>
              <w:t xml:space="preserve">Progress </w:t>
            </w:r>
          </w:p>
        </w:tc>
      </w:tr>
      <w:tr w:rsidR="00691842" w:rsidRPr="00D80C6C" w14:paraId="1A9B1DC3" w14:textId="77777777" w:rsidTr="00A714E8">
        <w:tc>
          <w:tcPr>
            <w:tcW w:w="1838" w:type="dxa"/>
            <w:tcBorders>
              <w:top w:val="single" w:sz="4" w:space="0" w:color="auto"/>
              <w:left w:val="single" w:sz="4" w:space="0" w:color="auto"/>
              <w:bottom w:val="single" w:sz="4" w:space="0" w:color="auto"/>
              <w:right w:val="single" w:sz="4" w:space="0" w:color="auto"/>
            </w:tcBorders>
          </w:tcPr>
          <w:p w14:paraId="71BA9FC9" w14:textId="3B1B10B7" w:rsidR="00691842" w:rsidRPr="00D80C6C" w:rsidRDefault="007B2380" w:rsidP="00A714E8">
            <w:pPr>
              <w:rPr>
                <w:rFonts w:cs="Arial"/>
                <w:bCs/>
                <w:iCs/>
                <w:sz w:val="22"/>
                <w:szCs w:val="22"/>
              </w:rPr>
            </w:pPr>
            <w:r>
              <w:rPr>
                <w:rFonts w:cs="Arial"/>
                <w:bCs/>
                <w:iCs/>
                <w:sz w:val="22"/>
                <w:szCs w:val="22"/>
              </w:rPr>
              <w:t xml:space="preserve">2.1 </w:t>
            </w:r>
            <w:r w:rsidRPr="007B2380">
              <w:rPr>
                <w:rFonts w:cs="Arial"/>
                <w:bCs/>
                <w:iCs/>
                <w:sz w:val="22"/>
                <w:szCs w:val="22"/>
              </w:rPr>
              <w:t>Number of High-level Bi-lateral Meetings between the CETP and Priority countries</w:t>
            </w:r>
          </w:p>
        </w:tc>
        <w:tc>
          <w:tcPr>
            <w:tcW w:w="1843" w:type="dxa"/>
            <w:tcBorders>
              <w:top w:val="single" w:sz="4" w:space="0" w:color="auto"/>
              <w:left w:val="single" w:sz="4" w:space="0" w:color="auto"/>
              <w:bottom w:val="single" w:sz="4" w:space="0" w:color="auto"/>
              <w:right w:val="single" w:sz="4" w:space="0" w:color="auto"/>
            </w:tcBorders>
          </w:tcPr>
          <w:p w14:paraId="1F90D257" w14:textId="467B1B52" w:rsidR="00691842" w:rsidRPr="00D80C6C" w:rsidRDefault="00053A60" w:rsidP="00281BC4">
            <w:pPr>
              <w:jc w:val="center"/>
              <w:rPr>
                <w:rFonts w:cs="Arial"/>
                <w:bCs/>
                <w:iCs/>
                <w:sz w:val="22"/>
                <w:szCs w:val="22"/>
              </w:rPr>
            </w:pPr>
            <w:r>
              <w:rPr>
                <w:rFonts w:cs="Arial"/>
                <w:bCs/>
                <w:iCs/>
                <w:sz w:val="22"/>
                <w:szCs w:val="22"/>
              </w:rPr>
              <w:t>46</w:t>
            </w:r>
          </w:p>
        </w:tc>
        <w:tc>
          <w:tcPr>
            <w:tcW w:w="5386" w:type="dxa"/>
            <w:tcBorders>
              <w:top w:val="single" w:sz="4" w:space="0" w:color="auto"/>
              <w:left w:val="single" w:sz="4" w:space="0" w:color="auto"/>
              <w:bottom w:val="single" w:sz="4" w:space="0" w:color="auto"/>
              <w:right w:val="single" w:sz="4" w:space="0" w:color="auto"/>
            </w:tcBorders>
          </w:tcPr>
          <w:p w14:paraId="3B52893A" w14:textId="77777777" w:rsidR="00281BC4" w:rsidRDefault="00281BC4" w:rsidP="00281BC4">
            <w:pPr>
              <w:jc w:val="both"/>
              <w:rPr>
                <w:rFonts w:cs="Arial"/>
                <w:bCs/>
                <w:iCs/>
                <w:sz w:val="22"/>
                <w:szCs w:val="22"/>
                <w:u w:val="single"/>
              </w:rPr>
            </w:pPr>
            <w:r w:rsidRPr="00281BC4">
              <w:rPr>
                <w:rFonts w:cs="Arial"/>
                <w:bCs/>
                <w:iCs/>
                <w:sz w:val="22"/>
                <w:szCs w:val="22"/>
                <w:u w:val="single"/>
              </w:rPr>
              <w:t xml:space="preserve">Progress substantially exceeded expectation </w:t>
            </w:r>
          </w:p>
          <w:p w14:paraId="5E359BE2" w14:textId="77777777" w:rsidR="00281BC4" w:rsidRDefault="00281BC4" w:rsidP="00281BC4">
            <w:pPr>
              <w:jc w:val="both"/>
              <w:rPr>
                <w:rFonts w:cs="Arial"/>
                <w:bCs/>
                <w:iCs/>
                <w:sz w:val="22"/>
                <w:szCs w:val="22"/>
                <w:u w:val="single"/>
              </w:rPr>
            </w:pPr>
          </w:p>
          <w:p w14:paraId="1ABC5E85" w14:textId="1C122F1A" w:rsidR="00281BC4" w:rsidRPr="00281BC4" w:rsidRDefault="00DE5151" w:rsidP="00281BC4">
            <w:pPr>
              <w:jc w:val="both"/>
              <w:rPr>
                <w:rFonts w:cs="Arial"/>
                <w:bCs/>
                <w:iCs/>
                <w:sz w:val="22"/>
                <w:szCs w:val="22"/>
              </w:rPr>
            </w:pPr>
            <w:r>
              <w:rPr>
                <w:rFonts w:cs="Arial"/>
                <w:bCs/>
                <w:iCs/>
                <w:sz w:val="22"/>
                <w:szCs w:val="22"/>
              </w:rPr>
              <w:t xml:space="preserve">326 </w:t>
            </w:r>
            <w:r w:rsidR="00C63238" w:rsidRPr="00C63238">
              <w:rPr>
                <w:rFonts w:cs="Arial"/>
                <w:bCs/>
                <w:iCs/>
                <w:sz w:val="22"/>
                <w:szCs w:val="22"/>
              </w:rPr>
              <w:t xml:space="preserve">High-level Bi-lateral Meetings </w:t>
            </w:r>
            <w:r w:rsidR="00C63238">
              <w:rPr>
                <w:rFonts w:cs="Arial"/>
                <w:bCs/>
                <w:iCs/>
                <w:sz w:val="22"/>
                <w:szCs w:val="22"/>
              </w:rPr>
              <w:t xml:space="preserve">held </w:t>
            </w:r>
            <w:r w:rsidR="00C63238" w:rsidRPr="00C63238">
              <w:rPr>
                <w:rFonts w:cs="Arial"/>
                <w:bCs/>
                <w:iCs/>
                <w:sz w:val="22"/>
                <w:szCs w:val="22"/>
              </w:rPr>
              <w:t>between the CETP and Priority countries</w:t>
            </w:r>
          </w:p>
          <w:p w14:paraId="1C0583B9" w14:textId="100CD0F8" w:rsidR="00691842" w:rsidRPr="00281BC4" w:rsidRDefault="00691842">
            <w:pPr>
              <w:contextualSpacing/>
              <w:jc w:val="both"/>
              <w:rPr>
                <w:rFonts w:cs="Arial"/>
                <w:bCs/>
                <w:iCs/>
                <w:sz w:val="22"/>
                <w:szCs w:val="22"/>
              </w:rPr>
            </w:pPr>
          </w:p>
        </w:tc>
      </w:tr>
      <w:tr w:rsidR="00691842" w:rsidRPr="00D80C6C" w14:paraId="6F627DFA" w14:textId="77777777" w:rsidTr="00A714E8">
        <w:tc>
          <w:tcPr>
            <w:tcW w:w="1838" w:type="dxa"/>
            <w:tcBorders>
              <w:top w:val="single" w:sz="4" w:space="0" w:color="auto"/>
              <w:left w:val="single" w:sz="4" w:space="0" w:color="auto"/>
              <w:bottom w:val="single" w:sz="4" w:space="0" w:color="auto"/>
              <w:right w:val="single" w:sz="4" w:space="0" w:color="auto"/>
            </w:tcBorders>
          </w:tcPr>
          <w:p w14:paraId="4BD1753E" w14:textId="508F2938" w:rsidR="00691842" w:rsidRPr="00D80C6C" w:rsidRDefault="007B2380" w:rsidP="00A714E8">
            <w:pPr>
              <w:rPr>
                <w:rFonts w:cs="Arial"/>
                <w:bCs/>
                <w:iCs/>
                <w:sz w:val="22"/>
                <w:szCs w:val="22"/>
              </w:rPr>
            </w:pPr>
            <w:proofErr w:type="gramStart"/>
            <w:r>
              <w:rPr>
                <w:rFonts w:cs="Arial"/>
                <w:bCs/>
                <w:iCs/>
                <w:sz w:val="22"/>
                <w:szCs w:val="22"/>
              </w:rPr>
              <w:t xml:space="preserve">2.2 </w:t>
            </w:r>
            <w:r w:rsidR="00240237">
              <w:t xml:space="preserve"> </w:t>
            </w:r>
            <w:r w:rsidR="00240237" w:rsidRPr="00240237">
              <w:rPr>
                <w:rFonts w:cs="Arial"/>
                <w:bCs/>
                <w:iCs/>
                <w:sz w:val="22"/>
                <w:szCs w:val="22"/>
              </w:rPr>
              <w:t>Number</w:t>
            </w:r>
            <w:proofErr w:type="gramEnd"/>
            <w:r w:rsidR="00240237" w:rsidRPr="00240237">
              <w:rPr>
                <w:rFonts w:cs="Arial"/>
                <w:bCs/>
                <w:iCs/>
                <w:sz w:val="22"/>
                <w:szCs w:val="22"/>
              </w:rPr>
              <w:t xml:space="preserve"> of workshops and technical exchanges delivered to CETP priority countries</w:t>
            </w:r>
          </w:p>
        </w:tc>
        <w:tc>
          <w:tcPr>
            <w:tcW w:w="1843" w:type="dxa"/>
            <w:tcBorders>
              <w:top w:val="single" w:sz="4" w:space="0" w:color="auto"/>
              <w:left w:val="single" w:sz="4" w:space="0" w:color="auto"/>
              <w:bottom w:val="single" w:sz="4" w:space="0" w:color="auto"/>
              <w:right w:val="single" w:sz="4" w:space="0" w:color="auto"/>
            </w:tcBorders>
          </w:tcPr>
          <w:p w14:paraId="3D8B963A" w14:textId="520370F2" w:rsidR="00691842" w:rsidRPr="00D80C6C" w:rsidRDefault="00EA7F20" w:rsidP="00281BC4">
            <w:pPr>
              <w:jc w:val="center"/>
              <w:rPr>
                <w:rFonts w:cs="Arial"/>
                <w:bCs/>
                <w:iCs/>
                <w:sz w:val="22"/>
                <w:szCs w:val="22"/>
              </w:rPr>
            </w:pPr>
            <w:r>
              <w:rPr>
                <w:rFonts w:cs="Arial"/>
                <w:bCs/>
                <w:iCs/>
                <w:sz w:val="22"/>
                <w:szCs w:val="22"/>
              </w:rPr>
              <w:t>695</w:t>
            </w:r>
          </w:p>
        </w:tc>
        <w:tc>
          <w:tcPr>
            <w:tcW w:w="5386" w:type="dxa"/>
            <w:tcBorders>
              <w:top w:val="single" w:sz="4" w:space="0" w:color="auto"/>
              <w:left w:val="single" w:sz="4" w:space="0" w:color="auto"/>
              <w:bottom w:val="single" w:sz="4" w:space="0" w:color="auto"/>
              <w:right w:val="single" w:sz="4" w:space="0" w:color="auto"/>
            </w:tcBorders>
          </w:tcPr>
          <w:p w14:paraId="666C5098" w14:textId="7A779D97" w:rsidR="00EA7F20" w:rsidRDefault="00EA7F20" w:rsidP="00EA7F20">
            <w:pPr>
              <w:jc w:val="both"/>
              <w:rPr>
                <w:rFonts w:cs="Arial"/>
                <w:bCs/>
                <w:iCs/>
                <w:sz w:val="22"/>
                <w:szCs w:val="22"/>
                <w:u w:val="single"/>
              </w:rPr>
            </w:pPr>
            <w:r w:rsidRPr="00775B79">
              <w:rPr>
                <w:rFonts w:cs="Arial"/>
                <w:bCs/>
                <w:iCs/>
                <w:sz w:val="22"/>
                <w:szCs w:val="22"/>
                <w:u w:val="single"/>
              </w:rPr>
              <w:t xml:space="preserve">Progress moderately </w:t>
            </w:r>
            <w:r w:rsidR="00C87DE6">
              <w:rPr>
                <w:rFonts w:cs="Arial"/>
                <w:bCs/>
                <w:iCs/>
                <w:sz w:val="22"/>
                <w:szCs w:val="22"/>
                <w:u w:val="single"/>
              </w:rPr>
              <w:t xml:space="preserve">exceeded </w:t>
            </w:r>
            <w:r w:rsidRPr="00775B79">
              <w:rPr>
                <w:rFonts w:cs="Arial"/>
                <w:bCs/>
                <w:iCs/>
                <w:sz w:val="22"/>
                <w:szCs w:val="22"/>
                <w:u w:val="single"/>
              </w:rPr>
              <w:t xml:space="preserve">expectation </w:t>
            </w:r>
          </w:p>
          <w:p w14:paraId="2B34F28E" w14:textId="77777777" w:rsidR="00691842" w:rsidRDefault="00691842">
            <w:pPr>
              <w:contextualSpacing/>
              <w:jc w:val="both"/>
              <w:rPr>
                <w:rFonts w:cs="Arial"/>
                <w:bCs/>
                <w:iCs/>
                <w:sz w:val="22"/>
                <w:szCs w:val="22"/>
              </w:rPr>
            </w:pPr>
          </w:p>
          <w:p w14:paraId="2F0F0C95" w14:textId="7917D085" w:rsidR="00EA7F20" w:rsidRPr="00D80C6C" w:rsidRDefault="00742D60">
            <w:pPr>
              <w:contextualSpacing/>
              <w:jc w:val="both"/>
              <w:rPr>
                <w:rFonts w:cs="Arial"/>
                <w:bCs/>
                <w:iCs/>
                <w:sz w:val="22"/>
                <w:szCs w:val="22"/>
              </w:rPr>
            </w:pPr>
            <w:r>
              <w:rPr>
                <w:rFonts w:cs="Arial"/>
                <w:bCs/>
                <w:iCs/>
                <w:sz w:val="22"/>
                <w:szCs w:val="22"/>
              </w:rPr>
              <w:t>735 workshops and technical exchanges delivered</w:t>
            </w:r>
          </w:p>
        </w:tc>
      </w:tr>
      <w:tr w:rsidR="008F5D38" w:rsidRPr="00D80C6C" w14:paraId="529B936E" w14:textId="77777777" w:rsidTr="00A714E8">
        <w:tc>
          <w:tcPr>
            <w:tcW w:w="1838" w:type="dxa"/>
            <w:tcBorders>
              <w:top w:val="single" w:sz="4" w:space="0" w:color="auto"/>
              <w:left w:val="single" w:sz="4" w:space="0" w:color="auto"/>
              <w:bottom w:val="single" w:sz="4" w:space="0" w:color="auto"/>
              <w:right w:val="single" w:sz="4" w:space="0" w:color="auto"/>
            </w:tcBorders>
          </w:tcPr>
          <w:p w14:paraId="7478E343" w14:textId="13A9F0AD" w:rsidR="008F5D38" w:rsidRPr="00D80C6C" w:rsidRDefault="00240237" w:rsidP="00A714E8">
            <w:pPr>
              <w:rPr>
                <w:rFonts w:cs="Arial"/>
                <w:bCs/>
                <w:iCs/>
                <w:sz w:val="22"/>
                <w:szCs w:val="22"/>
              </w:rPr>
            </w:pPr>
            <w:proofErr w:type="gramStart"/>
            <w:r>
              <w:rPr>
                <w:rFonts w:cs="Arial"/>
                <w:bCs/>
                <w:iCs/>
                <w:sz w:val="22"/>
                <w:szCs w:val="22"/>
              </w:rPr>
              <w:t xml:space="preserve">2.3 </w:t>
            </w:r>
            <w:r w:rsidR="002B11DA">
              <w:t xml:space="preserve"> </w:t>
            </w:r>
            <w:r w:rsidR="002B11DA" w:rsidRPr="002B11DA">
              <w:rPr>
                <w:rFonts w:cs="Arial"/>
                <w:bCs/>
                <w:iCs/>
                <w:sz w:val="22"/>
                <w:szCs w:val="22"/>
              </w:rPr>
              <w:t>Number</w:t>
            </w:r>
            <w:proofErr w:type="gramEnd"/>
            <w:r w:rsidR="002B11DA" w:rsidRPr="002B11DA">
              <w:rPr>
                <w:rFonts w:cs="Arial"/>
                <w:bCs/>
                <w:iCs/>
                <w:sz w:val="22"/>
                <w:szCs w:val="22"/>
              </w:rPr>
              <w:t xml:space="preserve"> of workshops and technical exchanges delivered to CETP priority countries on methane reduction in the oil and gas sector</w:t>
            </w:r>
          </w:p>
        </w:tc>
        <w:tc>
          <w:tcPr>
            <w:tcW w:w="1843" w:type="dxa"/>
            <w:tcBorders>
              <w:top w:val="single" w:sz="4" w:space="0" w:color="auto"/>
              <w:left w:val="single" w:sz="4" w:space="0" w:color="auto"/>
              <w:bottom w:val="single" w:sz="4" w:space="0" w:color="auto"/>
              <w:right w:val="single" w:sz="4" w:space="0" w:color="auto"/>
            </w:tcBorders>
          </w:tcPr>
          <w:p w14:paraId="5CB36511" w14:textId="5FF79423" w:rsidR="008F5D38" w:rsidRPr="00D80C6C" w:rsidRDefault="00D61B29" w:rsidP="00281BC4">
            <w:pPr>
              <w:jc w:val="center"/>
              <w:rPr>
                <w:rFonts w:cs="Arial"/>
                <w:bCs/>
                <w:iCs/>
                <w:sz w:val="22"/>
                <w:szCs w:val="22"/>
              </w:rPr>
            </w:pPr>
            <w:r>
              <w:rPr>
                <w:rFonts w:cs="Arial"/>
                <w:bCs/>
                <w:iCs/>
                <w:sz w:val="22"/>
                <w:szCs w:val="22"/>
              </w:rPr>
              <w:t>10</w:t>
            </w:r>
          </w:p>
        </w:tc>
        <w:tc>
          <w:tcPr>
            <w:tcW w:w="5386" w:type="dxa"/>
            <w:tcBorders>
              <w:top w:val="single" w:sz="4" w:space="0" w:color="auto"/>
              <w:left w:val="single" w:sz="4" w:space="0" w:color="auto"/>
              <w:bottom w:val="single" w:sz="4" w:space="0" w:color="auto"/>
              <w:right w:val="single" w:sz="4" w:space="0" w:color="auto"/>
            </w:tcBorders>
          </w:tcPr>
          <w:p w14:paraId="5124ED96" w14:textId="77777777" w:rsidR="008F5D38" w:rsidRDefault="00D61B29">
            <w:pPr>
              <w:contextualSpacing/>
              <w:jc w:val="both"/>
              <w:rPr>
                <w:rFonts w:cs="Arial"/>
                <w:bCs/>
                <w:iCs/>
                <w:sz w:val="22"/>
                <w:szCs w:val="22"/>
                <w:u w:val="single"/>
              </w:rPr>
            </w:pPr>
            <w:r w:rsidRPr="00D61B29">
              <w:rPr>
                <w:rFonts w:cs="Arial"/>
                <w:bCs/>
                <w:iCs/>
                <w:sz w:val="22"/>
                <w:szCs w:val="22"/>
                <w:u w:val="single"/>
              </w:rPr>
              <w:t>Progress substantially exceeded expectation</w:t>
            </w:r>
          </w:p>
          <w:p w14:paraId="7FA65B56" w14:textId="77777777" w:rsidR="00D61B29" w:rsidRDefault="00D61B29">
            <w:pPr>
              <w:contextualSpacing/>
              <w:jc w:val="both"/>
              <w:rPr>
                <w:rFonts w:cs="Arial"/>
                <w:bCs/>
                <w:iCs/>
                <w:sz w:val="22"/>
                <w:szCs w:val="22"/>
                <w:u w:val="single"/>
              </w:rPr>
            </w:pPr>
          </w:p>
          <w:p w14:paraId="69393462" w14:textId="5C558C65" w:rsidR="00D61B29" w:rsidRPr="00D61B29" w:rsidRDefault="00D61B29">
            <w:pPr>
              <w:contextualSpacing/>
              <w:jc w:val="both"/>
              <w:rPr>
                <w:rFonts w:cs="Arial"/>
                <w:bCs/>
                <w:iCs/>
                <w:sz w:val="22"/>
                <w:szCs w:val="22"/>
              </w:rPr>
            </w:pPr>
            <w:r w:rsidRPr="00D61B29">
              <w:rPr>
                <w:rFonts w:cs="Arial"/>
                <w:bCs/>
                <w:iCs/>
                <w:sz w:val="22"/>
                <w:szCs w:val="22"/>
              </w:rPr>
              <w:t>96 workshops and technical exchanges delivered to CETP priority countries on methane reduction in the oil and gas sector</w:t>
            </w:r>
          </w:p>
        </w:tc>
      </w:tr>
      <w:tr w:rsidR="008F5D38" w:rsidRPr="00D80C6C" w14:paraId="11017EB1" w14:textId="77777777" w:rsidTr="00A714E8">
        <w:tc>
          <w:tcPr>
            <w:tcW w:w="1838" w:type="dxa"/>
            <w:tcBorders>
              <w:top w:val="single" w:sz="4" w:space="0" w:color="auto"/>
              <w:left w:val="single" w:sz="4" w:space="0" w:color="auto"/>
              <w:bottom w:val="single" w:sz="4" w:space="0" w:color="auto"/>
              <w:right w:val="single" w:sz="4" w:space="0" w:color="auto"/>
            </w:tcBorders>
          </w:tcPr>
          <w:p w14:paraId="396BA709" w14:textId="3DED7607" w:rsidR="008F5D38" w:rsidRPr="00D80C6C" w:rsidRDefault="002B11DA" w:rsidP="00A714E8">
            <w:pPr>
              <w:rPr>
                <w:rFonts w:cs="Arial"/>
                <w:bCs/>
                <w:iCs/>
                <w:sz w:val="22"/>
                <w:szCs w:val="22"/>
              </w:rPr>
            </w:pPr>
            <w:proofErr w:type="gramStart"/>
            <w:r>
              <w:rPr>
                <w:rFonts w:cs="Arial"/>
                <w:bCs/>
                <w:iCs/>
                <w:sz w:val="22"/>
                <w:szCs w:val="22"/>
              </w:rPr>
              <w:t xml:space="preserve">2.4 </w:t>
            </w:r>
            <w:r w:rsidR="005B2472">
              <w:t xml:space="preserve"> </w:t>
            </w:r>
            <w:r w:rsidR="005B2472" w:rsidRPr="005B2472">
              <w:rPr>
                <w:rFonts w:cs="Arial"/>
                <w:bCs/>
                <w:iCs/>
                <w:sz w:val="22"/>
                <w:szCs w:val="22"/>
              </w:rPr>
              <w:t>Number</w:t>
            </w:r>
            <w:proofErr w:type="gramEnd"/>
            <w:r w:rsidR="005B2472" w:rsidRPr="005B2472">
              <w:rPr>
                <w:rFonts w:cs="Arial"/>
                <w:bCs/>
                <w:iCs/>
                <w:sz w:val="22"/>
                <w:szCs w:val="22"/>
              </w:rPr>
              <w:t xml:space="preserve"> of participants in workshops and technical exchanges delivered to CETP priority countries</w:t>
            </w:r>
          </w:p>
        </w:tc>
        <w:tc>
          <w:tcPr>
            <w:tcW w:w="1843" w:type="dxa"/>
            <w:tcBorders>
              <w:top w:val="single" w:sz="4" w:space="0" w:color="auto"/>
              <w:left w:val="single" w:sz="4" w:space="0" w:color="auto"/>
              <w:bottom w:val="single" w:sz="4" w:space="0" w:color="auto"/>
              <w:right w:val="single" w:sz="4" w:space="0" w:color="auto"/>
            </w:tcBorders>
          </w:tcPr>
          <w:p w14:paraId="71F3C42E" w14:textId="3F95AB50" w:rsidR="008F5D38" w:rsidRPr="00D80C6C" w:rsidRDefault="00C87DE6" w:rsidP="00281BC4">
            <w:pPr>
              <w:jc w:val="center"/>
              <w:rPr>
                <w:rFonts w:cs="Arial"/>
                <w:bCs/>
                <w:iCs/>
                <w:sz w:val="22"/>
                <w:szCs w:val="22"/>
              </w:rPr>
            </w:pPr>
            <w:r>
              <w:rPr>
                <w:rFonts w:cs="Arial"/>
                <w:bCs/>
                <w:iCs/>
                <w:sz w:val="22"/>
                <w:szCs w:val="22"/>
              </w:rPr>
              <w:t>15,801</w:t>
            </w:r>
          </w:p>
        </w:tc>
        <w:tc>
          <w:tcPr>
            <w:tcW w:w="5386" w:type="dxa"/>
            <w:tcBorders>
              <w:top w:val="single" w:sz="4" w:space="0" w:color="auto"/>
              <w:left w:val="single" w:sz="4" w:space="0" w:color="auto"/>
              <w:bottom w:val="single" w:sz="4" w:space="0" w:color="auto"/>
              <w:right w:val="single" w:sz="4" w:space="0" w:color="auto"/>
            </w:tcBorders>
          </w:tcPr>
          <w:p w14:paraId="0D5CCD87" w14:textId="2CC6EDA2" w:rsidR="008F5D38" w:rsidRDefault="00271005">
            <w:pPr>
              <w:contextualSpacing/>
              <w:jc w:val="both"/>
              <w:rPr>
                <w:rFonts w:cs="Arial"/>
                <w:bCs/>
                <w:iCs/>
                <w:sz w:val="22"/>
                <w:szCs w:val="22"/>
                <w:u w:val="single"/>
              </w:rPr>
            </w:pPr>
            <w:r w:rsidRPr="00271005">
              <w:rPr>
                <w:rFonts w:cs="Arial"/>
                <w:bCs/>
                <w:iCs/>
                <w:sz w:val="22"/>
                <w:szCs w:val="22"/>
                <w:u w:val="single"/>
              </w:rPr>
              <w:t xml:space="preserve">Progress </w:t>
            </w:r>
            <w:r w:rsidR="0042520A">
              <w:rPr>
                <w:rFonts w:cs="Arial"/>
                <w:bCs/>
                <w:iCs/>
                <w:sz w:val="22"/>
                <w:szCs w:val="22"/>
                <w:u w:val="single"/>
              </w:rPr>
              <w:t xml:space="preserve">substantially </w:t>
            </w:r>
            <w:r w:rsidRPr="00271005">
              <w:rPr>
                <w:rFonts w:cs="Arial"/>
                <w:bCs/>
                <w:iCs/>
                <w:sz w:val="22"/>
                <w:szCs w:val="22"/>
                <w:u w:val="single"/>
              </w:rPr>
              <w:t>did not meet expectation</w:t>
            </w:r>
          </w:p>
          <w:p w14:paraId="4C0EBD18" w14:textId="77777777" w:rsidR="00271005" w:rsidRDefault="00271005">
            <w:pPr>
              <w:contextualSpacing/>
              <w:jc w:val="both"/>
              <w:rPr>
                <w:rFonts w:cs="Arial"/>
                <w:bCs/>
                <w:iCs/>
                <w:sz w:val="22"/>
                <w:szCs w:val="22"/>
                <w:u w:val="single"/>
              </w:rPr>
            </w:pPr>
          </w:p>
          <w:p w14:paraId="2FBA1697" w14:textId="25614C0A" w:rsidR="00271005" w:rsidRPr="005939B1" w:rsidRDefault="005939B1">
            <w:pPr>
              <w:contextualSpacing/>
              <w:jc w:val="both"/>
              <w:rPr>
                <w:rFonts w:cs="Arial"/>
                <w:bCs/>
                <w:iCs/>
                <w:sz w:val="22"/>
                <w:szCs w:val="22"/>
              </w:rPr>
            </w:pPr>
            <w:r w:rsidRPr="005939B1">
              <w:rPr>
                <w:rFonts w:cs="Arial"/>
                <w:bCs/>
                <w:iCs/>
                <w:sz w:val="22"/>
                <w:szCs w:val="22"/>
              </w:rPr>
              <w:t>12,276 participants in workshops and technical exchanges delivered to CETP priority countries</w:t>
            </w:r>
          </w:p>
        </w:tc>
      </w:tr>
      <w:tr w:rsidR="008F5D38" w:rsidRPr="00D80C6C" w14:paraId="7BCFFAE0" w14:textId="77777777" w:rsidTr="00A714E8">
        <w:tc>
          <w:tcPr>
            <w:tcW w:w="1838" w:type="dxa"/>
            <w:tcBorders>
              <w:top w:val="single" w:sz="4" w:space="0" w:color="auto"/>
              <w:left w:val="single" w:sz="4" w:space="0" w:color="auto"/>
              <w:bottom w:val="single" w:sz="4" w:space="0" w:color="auto"/>
              <w:right w:val="single" w:sz="4" w:space="0" w:color="auto"/>
            </w:tcBorders>
          </w:tcPr>
          <w:p w14:paraId="4B9ACF00" w14:textId="20A89839" w:rsidR="008F5D38" w:rsidRPr="00D80C6C" w:rsidRDefault="005B2472" w:rsidP="00A714E8">
            <w:pPr>
              <w:rPr>
                <w:rFonts w:cs="Arial"/>
                <w:bCs/>
                <w:iCs/>
                <w:sz w:val="22"/>
                <w:szCs w:val="22"/>
              </w:rPr>
            </w:pPr>
            <w:proofErr w:type="gramStart"/>
            <w:r>
              <w:rPr>
                <w:rFonts w:cs="Arial"/>
                <w:bCs/>
                <w:iCs/>
                <w:sz w:val="22"/>
                <w:szCs w:val="22"/>
              </w:rPr>
              <w:t xml:space="preserve">2.5 </w:t>
            </w:r>
            <w:r w:rsidR="00CB2147">
              <w:t xml:space="preserve"> </w:t>
            </w:r>
            <w:r w:rsidR="00CB2147" w:rsidRPr="00CB2147">
              <w:rPr>
                <w:rFonts w:cs="Arial"/>
                <w:bCs/>
                <w:iCs/>
                <w:sz w:val="22"/>
                <w:szCs w:val="22"/>
              </w:rPr>
              <w:t>Number</w:t>
            </w:r>
            <w:proofErr w:type="gramEnd"/>
            <w:r w:rsidR="00CB2147" w:rsidRPr="00CB2147">
              <w:rPr>
                <w:rFonts w:cs="Arial"/>
                <w:bCs/>
                <w:iCs/>
                <w:sz w:val="22"/>
                <w:szCs w:val="22"/>
              </w:rPr>
              <w:t xml:space="preserve"> of participants in workshops and technical exchanges on methane reduction in the oil and gas sector delivered to CETP priority countries</w:t>
            </w:r>
          </w:p>
        </w:tc>
        <w:tc>
          <w:tcPr>
            <w:tcW w:w="1843" w:type="dxa"/>
            <w:tcBorders>
              <w:top w:val="single" w:sz="4" w:space="0" w:color="auto"/>
              <w:left w:val="single" w:sz="4" w:space="0" w:color="auto"/>
              <w:bottom w:val="single" w:sz="4" w:space="0" w:color="auto"/>
              <w:right w:val="single" w:sz="4" w:space="0" w:color="auto"/>
            </w:tcBorders>
          </w:tcPr>
          <w:p w14:paraId="0D041E87" w14:textId="56494FC8" w:rsidR="008F5D38" w:rsidRPr="00D80C6C" w:rsidRDefault="00B443EC" w:rsidP="00281BC4">
            <w:pPr>
              <w:jc w:val="center"/>
              <w:rPr>
                <w:rFonts w:cs="Arial"/>
                <w:bCs/>
                <w:iCs/>
                <w:sz w:val="22"/>
                <w:szCs w:val="22"/>
              </w:rPr>
            </w:pPr>
            <w:r>
              <w:rPr>
                <w:rFonts w:cs="Arial"/>
                <w:bCs/>
                <w:iCs/>
                <w:sz w:val="22"/>
                <w:szCs w:val="22"/>
              </w:rPr>
              <w:t>270</w:t>
            </w:r>
          </w:p>
        </w:tc>
        <w:tc>
          <w:tcPr>
            <w:tcW w:w="5386" w:type="dxa"/>
            <w:tcBorders>
              <w:top w:val="single" w:sz="4" w:space="0" w:color="auto"/>
              <w:left w:val="single" w:sz="4" w:space="0" w:color="auto"/>
              <w:bottom w:val="single" w:sz="4" w:space="0" w:color="auto"/>
              <w:right w:val="single" w:sz="4" w:space="0" w:color="auto"/>
            </w:tcBorders>
          </w:tcPr>
          <w:p w14:paraId="6B4594E8" w14:textId="77777777" w:rsidR="00B443EC" w:rsidRDefault="00B443EC" w:rsidP="00B443EC">
            <w:pPr>
              <w:contextualSpacing/>
              <w:jc w:val="both"/>
              <w:rPr>
                <w:rFonts w:cs="Arial"/>
                <w:bCs/>
                <w:iCs/>
                <w:sz w:val="22"/>
                <w:szCs w:val="22"/>
                <w:u w:val="single"/>
              </w:rPr>
            </w:pPr>
            <w:r w:rsidRPr="00D61B29">
              <w:rPr>
                <w:rFonts w:cs="Arial"/>
                <w:bCs/>
                <w:iCs/>
                <w:sz w:val="22"/>
                <w:szCs w:val="22"/>
                <w:u w:val="single"/>
              </w:rPr>
              <w:t>Progress substantially exceeded expectation</w:t>
            </w:r>
          </w:p>
          <w:p w14:paraId="3827DABD" w14:textId="77777777" w:rsidR="008F5D38" w:rsidRDefault="008F5D38">
            <w:pPr>
              <w:contextualSpacing/>
              <w:jc w:val="both"/>
              <w:rPr>
                <w:rFonts w:cs="Arial"/>
                <w:bCs/>
                <w:iCs/>
                <w:sz w:val="22"/>
                <w:szCs w:val="22"/>
              </w:rPr>
            </w:pPr>
          </w:p>
          <w:p w14:paraId="7213C741" w14:textId="0056DE49" w:rsidR="00B443EC" w:rsidRPr="00D80C6C" w:rsidRDefault="00966FE4">
            <w:pPr>
              <w:contextualSpacing/>
              <w:jc w:val="both"/>
              <w:rPr>
                <w:rFonts w:cs="Arial"/>
                <w:bCs/>
                <w:iCs/>
                <w:sz w:val="22"/>
                <w:szCs w:val="22"/>
              </w:rPr>
            </w:pPr>
            <w:r>
              <w:rPr>
                <w:rFonts w:cs="Arial"/>
                <w:bCs/>
                <w:iCs/>
                <w:sz w:val="22"/>
                <w:szCs w:val="22"/>
              </w:rPr>
              <w:t xml:space="preserve">1005 </w:t>
            </w:r>
            <w:r w:rsidRPr="00966FE4">
              <w:rPr>
                <w:rFonts w:cs="Arial"/>
                <w:bCs/>
                <w:iCs/>
                <w:sz w:val="22"/>
                <w:szCs w:val="22"/>
              </w:rPr>
              <w:t>participants in workshops and technical exchanges on methane reduction in the oil and gas sector delivered to CETP priority countries</w:t>
            </w:r>
          </w:p>
        </w:tc>
      </w:tr>
      <w:tr w:rsidR="008F5D38" w:rsidRPr="00D80C6C" w14:paraId="56F19C48" w14:textId="77777777" w:rsidTr="00A714E8">
        <w:tc>
          <w:tcPr>
            <w:tcW w:w="1838" w:type="dxa"/>
            <w:tcBorders>
              <w:top w:val="single" w:sz="4" w:space="0" w:color="auto"/>
              <w:left w:val="single" w:sz="4" w:space="0" w:color="auto"/>
              <w:bottom w:val="single" w:sz="4" w:space="0" w:color="auto"/>
              <w:right w:val="single" w:sz="4" w:space="0" w:color="auto"/>
            </w:tcBorders>
          </w:tcPr>
          <w:p w14:paraId="2410B7A9" w14:textId="28946077" w:rsidR="008F5D38" w:rsidRPr="00D80C6C" w:rsidRDefault="00CB2147" w:rsidP="00A714E8">
            <w:pPr>
              <w:rPr>
                <w:rFonts w:cs="Arial"/>
                <w:bCs/>
                <w:iCs/>
                <w:sz w:val="22"/>
                <w:szCs w:val="22"/>
              </w:rPr>
            </w:pPr>
            <w:proofErr w:type="gramStart"/>
            <w:r>
              <w:rPr>
                <w:rFonts w:cs="Arial"/>
                <w:bCs/>
                <w:iCs/>
                <w:sz w:val="22"/>
                <w:szCs w:val="22"/>
              </w:rPr>
              <w:t xml:space="preserve">2.6 </w:t>
            </w:r>
            <w:r w:rsidR="00044D2B">
              <w:t xml:space="preserve"> </w:t>
            </w:r>
            <w:r w:rsidR="00044D2B" w:rsidRPr="00044D2B">
              <w:rPr>
                <w:rFonts w:cs="Arial"/>
                <w:bCs/>
                <w:iCs/>
                <w:sz w:val="22"/>
                <w:szCs w:val="22"/>
              </w:rPr>
              <w:t>%</w:t>
            </w:r>
            <w:proofErr w:type="gramEnd"/>
            <w:r w:rsidR="00044D2B" w:rsidRPr="00044D2B">
              <w:rPr>
                <w:rFonts w:cs="Arial"/>
                <w:bCs/>
                <w:iCs/>
                <w:sz w:val="22"/>
                <w:szCs w:val="22"/>
              </w:rPr>
              <w:t xml:space="preserve"> Attendance of women in workshops and technical exchanges delivered to CETP priority countries</w:t>
            </w:r>
          </w:p>
        </w:tc>
        <w:tc>
          <w:tcPr>
            <w:tcW w:w="1843" w:type="dxa"/>
            <w:tcBorders>
              <w:top w:val="single" w:sz="4" w:space="0" w:color="auto"/>
              <w:left w:val="single" w:sz="4" w:space="0" w:color="auto"/>
              <w:bottom w:val="single" w:sz="4" w:space="0" w:color="auto"/>
              <w:right w:val="single" w:sz="4" w:space="0" w:color="auto"/>
            </w:tcBorders>
          </w:tcPr>
          <w:p w14:paraId="30628F5C" w14:textId="1348CC06" w:rsidR="008F5D38" w:rsidRPr="00D80C6C" w:rsidRDefault="00042519" w:rsidP="00281BC4">
            <w:pPr>
              <w:jc w:val="center"/>
              <w:rPr>
                <w:rFonts w:cs="Arial"/>
                <w:bCs/>
                <w:iCs/>
                <w:sz w:val="22"/>
                <w:szCs w:val="22"/>
              </w:rPr>
            </w:pPr>
            <w:r>
              <w:rPr>
                <w:rFonts w:cs="Arial"/>
                <w:bCs/>
                <w:iCs/>
                <w:sz w:val="22"/>
                <w:szCs w:val="22"/>
              </w:rPr>
              <w:t>35%</w:t>
            </w:r>
          </w:p>
        </w:tc>
        <w:tc>
          <w:tcPr>
            <w:tcW w:w="5386" w:type="dxa"/>
            <w:tcBorders>
              <w:top w:val="single" w:sz="4" w:space="0" w:color="auto"/>
              <w:left w:val="single" w:sz="4" w:space="0" w:color="auto"/>
              <w:bottom w:val="single" w:sz="4" w:space="0" w:color="auto"/>
              <w:right w:val="single" w:sz="4" w:space="0" w:color="auto"/>
            </w:tcBorders>
          </w:tcPr>
          <w:p w14:paraId="75A0E2D9" w14:textId="77777777" w:rsidR="00042519" w:rsidRDefault="00042519" w:rsidP="00042519">
            <w:pPr>
              <w:rPr>
                <w:rFonts w:cs="Arial"/>
                <w:bCs/>
                <w:iCs/>
                <w:sz w:val="22"/>
                <w:szCs w:val="22"/>
                <w:u w:val="single"/>
              </w:rPr>
            </w:pPr>
            <w:r w:rsidRPr="00042519">
              <w:rPr>
                <w:rFonts w:cs="Arial"/>
                <w:bCs/>
                <w:iCs/>
                <w:sz w:val="22"/>
                <w:szCs w:val="22"/>
                <w:u w:val="single"/>
              </w:rPr>
              <w:t xml:space="preserve">Progress moderately exceeded expectation </w:t>
            </w:r>
          </w:p>
          <w:p w14:paraId="63917477" w14:textId="77777777" w:rsidR="00042519" w:rsidRDefault="00042519" w:rsidP="00042519">
            <w:pPr>
              <w:rPr>
                <w:rFonts w:cs="Arial"/>
                <w:bCs/>
                <w:iCs/>
                <w:sz w:val="22"/>
                <w:szCs w:val="22"/>
                <w:u w:val="single"/>
              </w:rPr>
            </w:pPr>
          </w:p>
          <w:p w14:paraId="22150809" w14:textId="765738B3" w:rsidR="00042519" w:rsidRPr="00042519" w:rsidRDefault="00042519" w:rsidP="00042519">
            <w:pPr>
              <w:rPr>
                <w:rFonts w:cs="Arial"/>
                <w:bCs/>
                <w:iCs/>
                <w:sz w:val="22"/>
                <w:szCs w:val="22"/>
              </w:rPr>
            </w:pPr>
            <w:r w:rsidRPr="00042519">
              <w:rPr>
                <w:rFonts w:cs="Arial"/>
                <w:bCs/>
                <w:iCs/>
                <w:sz w:val="22"/>
                <w:szCs w:val="22"/>
              </w:rPr>
              <w:t>Women accounted for 38.2% of attendees at   workshops and technical exchanges delivered to CETP priority countries</w:t>
            </w:r>
          </w:p>
          <w:p w14:paraId="50228267" w14:textId="02EB5A65" w:rsidR="008F5D38" w:rsidRPr="00042519" w:rsidRDefault="008F5D38">
            <w:pPr>
              <w:contextualSpacing/>
              <w:jc w:val="both"/>
              <w:rPr>
                <w:rFonts w:cs="Arial"/>
                <w:bCs/>
                <w:iCs/>
                <w:sz w:val="22"/>
                <w:szCs w:val="22"/>
                <w:u w:val="single"/>
              </w:rPr>
            </w:pPr>
          </w:p>
        </w:tc>
      </w:tr>
      <w:tr w:rsidR="008F5D38" w:rsidRPr="00D80C6C" w14:paraId="2B4D8C8B" w14:textId="77777777" w:rsidTr="00A714E8">
        <w:tc>
          <w:tcPr>
            <w:tcW w:w="1838" w:type="dxa"/>
            <w:tcBorders>
              <w:top w:val="single" w:sz="4" w:space="0" w:color="auto"/>
              <w:left w:val="single" w:sz="4" w:space="0" w:color="auto"/>
              <w:bottom w:val="single" w:sz="4" w:space="0" w:color="auto"/>
              <w:right w:val="single" w:sz="4" w:space="0" w:color="auto"/>
            </w:tcBorders>
          </w:tcPr>
          <w:p w14:paraId="266902FA" w14:textId="13CF3195" w:rsidR="008F5D38" w:rsidRPr="00D80C6C" w:rsidRDefault="00044D2B" w:rsidP="00A714E8">
            <w:pPr>
              <w:rPr>
                <w:rFonts w:cs="Arial"/>
                <w:bCs/>
                <w:iCs/>
                <w:sz w:val="22"/>
                <w:szCs w:val="22"/>
              </w:rPr>
            </w:pPr>
            <w:proofErr w:type="gramStart"/>
            <w:r>
              <w:rPr>
                <w:rFonts w:cs="Arial"/>
                <w:bCs/>
                <w:iCs/>
                <w:sz w:val="22"/>
                <w:szCs w:val="22"/>
              </w:rPr>
              <w:lastRenderedPageBreak/>
              <w:t xml:space="preserve">2.7 </w:t>
            </w:r>
            <w:r w:rsidR="00B35DBF">
              <w:t xml:space="preserve"> </w:t>
            </w:r>
            <w:r w:rsidR="00B35DBF" w:rsidRPr="00B35DBF">
              <w:rPr>
                <w:rFonts w:cs="Arial"/>
                <w:bCs/>
                <w:iCs/>
                <w:sz w:val="22"/>
                <w:szCs w:val="22"/>
              </w:rPr>
              <w:t>%</w:t>
            </w:r>
            <w:proofErr w:type="gramEnd"/>
            <w:r w:rsidR="00B35DBF" w:rsidRPr="00B35DBF">
              <w:rPr>
                <w:rFonts w:cs="Arial"/>
                <w:bCs/>
                <w:iCs/>
                <w:sz w:val="22"/>
                <w:szCs w:val="22"/>
              </w:rPr>
              <w:t xml:space="preserve"> Attendance of women in workshops and technical exchanges on methane reduction in the oil and gas sector delivered to CETP priority countries</w:t>
            </w:r>
          </w:p>
        </w:tc>
        <w:tc>
          <w:tcPr>
            <w:tcW w:w="1843" w:type="dxa"/>
            <w:tcBorders>
              <w:top w:val="single" w:sz="4" w:space="0" w:color="auto"/>
              <w:left w:val="single" w:sz="4" w:space="0" w:color="auto"/>
              <w:bottom w:val="single" w:sz="4" w:space="0" w:color="auto"/>
              <w:right w:val="single" w:sz="4" w:space="0" w:color="auto"/>
            </w:tcBorders>
          </w:tcPr>
          <w:p w14:paraId="25A3FB9A" w14:textId="36785597" w:rsidR="008F5D38" w:rsidRPr="00D80C6C" w:rsidRDefault="00D24C69" w:rsidP="00281BC4">
            <w:pPr>
              <w:jc w:val="center"/>
              <w:rPr>
                <w:rFonts w:cs="Arial"/>
                <w:bCs/>
                <w:iCs/>
                <w:sz w:val="22"/>
                <w:szCs w:val="22"/>
              </w:rPr>
            </w:pPr>
            <w:r>
              <w:rPr>
                <w:rFonts w:cs="Arial"/>
                <w:bCs/>
                <w:iCs/>
                <w:sz w:val="22"/>
                <w:szCs w:val="22"/>
              </w:rPr>
              <w:t>35%</w:t>
            </w:r>
          </w:p>
        </w:tc>
        <w:tc>
          <w:tcPr>
            <w:tcW w:w="5386" w:type="dxa"/>
            <w:tcBorders>
              <w:top w:val="single" w:sz="4" w:space="0" w:color="auto"/>
              <w:left w:val="single" w:sz="4" w:space="0" w:color="auto"/>
              <w:bottom w:val="single" w:sz="4" w:space="0" w:color="auto"/>
              <w:right w:val="single" w:sz="4" w:space="0" w:color="auto"/>
            </w:tcBorders>
          </w:tcPr>
          <w:p w14:paraId="2A6627B5" w14:textId="77777777" w:rsidR="00D24C69" w:rsidRDefault="00D24C69" w:rsidP="00D24C69">
            <w:pPr>
              <w:contextualSpacing/>
              <w:jc w:val="both"/>
              <w:rPr>
                <w:rFonts w:cs="Arial"/>
                <w:bCs/>
                <w:iCs/>
                <w:sz w:val="22"/>
                <w:szCs w:val="22"/>
                <w:u w:val="single"/>
              </w:rPr>
            </w:pPr>
            <w:r w:rsidRPr="00271005">
              <w:rPr>
                <w:rFonts w:cs="Arial"/>
                <w:bCs/>
                <w:iCs/>
                <w:sz w:val="22"/>
                <w:szCs w:val="22"/>
                <w:u w:val="single"/>
              </w:rPr>
              <w:t>Progress moderately did not meet expectation</w:t>
            </w:r>
          </w:p>
          <w:p w14:paraId="4F63258C" w14:textId="77777777" w:rsidR="00D24C69" w:rsidRDefault="00D24C69" w:rsidP="00D24C69">
            <w:pPr>
              <w:contextualSpacing/>
              <w:jc w:val="both"/>
              <w:rPr>
                <w:rFonts w:cs="Arial"/>
                <w:bCs/>
                <w:iCs/>
                <w:sz w:val="22"/>
                <w:szCs w:val="22"/>
                <w:u w:val="single"/>
              </w:rPr>
            </w:pPr>
          </w:p>
          <w:p w14:paraId="1EF80110" w14:textId="44D19749" w:rsidR="008F5D38" w:rsidRPr="00D80C6C" w:rsidRDefault="00D24C69" w:rsidP="00D24C69">
            <w:pPr>
              <w:contextualSpacing/>
              <w:jc w:val="both"/>
              <w:rPr>
                <w:rFonts w:cs="Arial"/>
                <w:bCs/>
                <w:iCs/>
                <w:sz w:val="22"/>
                <w:szCs w:val="22"/>
              </w:rPr>
            </w:pPr>
            <w:r w:rsidRPr="00D24C69">
              <w:rPr>
                <w:rFonts w:cs="Arial"/>
                <w:bCs/>
                <w:iCs/>
                <w:sz w:val="22"/>
                <w:szCs w:val="22"/>
              </w:rPr>
              <w:t xml:space="preserve">Women accounted for </w:t>
            </w:r>
            <w:r>
              <w:rPr>
                <w:rFonts w:cs="Arial"/>
                <w:bCs/>
                <w:iCs/>
                <w:sz w:val="22"/>
                <w:szCs w:val="22"/>
              </w:rPr>
              <w:t xml:space="preserve">30% </w:t>
            </w:r>
            <w:r w:rsidRPr="00D24C69">
              <w:rPr>
                <w:rFonts w:cs="Arial"/>
                <w:bCs/>
                <w:iCs/>
                <w:sz w:val="22"/>
                <w:szCs w:val="22"/>
              </w:rPr>
              <w:t>of attendees at   workshops and technical exchanges</w:t>
            </w:r>
            <w:r>
              <w:t xml:space="preserve"> </w:t>
            </w:r>
            <w:r w:rsidRPr="00D24C69">
              <w:rPr>
                <w:rFonts w:cs="Arial"/>
                <w:bCs/>
                <w:iCs/>
                <w:sz w:val="22"/>
                <w:szCs w:val="22"/>
              </w:rPr>
              <w:t>on methane reduction in the oil and gas sector delivered to CETP priority countries</w:t>
            </w:r>
          </w:p>
        </w:tc>
      </w:tr>
      <w:tr w:rsidR="00044D2B" w:rsidRPr="00D80C6C" w14:paraId="7991B543" w14:textId="77777777" w:rsidTr="00A714E8">
        <w:tc>
          <w:tcPr>
            <w:tcW w:w="1838" w:type="dxa"/>
            <w:tcBorders>
              <w:top w:val="single" w:sz="4" w:space="0" w:color="auto"/>
              <w:left w:val="single" w:sz="4" w:space="0" w:color="auto"/>
              <w:bottom w:val="single" w:sz="4" w:space="0" w:color="auto"/>
              <w:right w:val="single" w:sz="4" w:space="0" w:color="auto"/>
            </w:tcBorders>
          </w:tcPr>
          <w:p w14:paraId="0D06CB3F" w14:textId="4CA8ADAB" w:rsidR="00044D2B" w:rsidRPr="00D80C6C" w:rsidRDefault="00B35DBF" w:rsidP="00A714E8">
            <w:pPr>
              <w:rPr>
                <w:rFonts w:cs="Arial"/>
                <w:bCs/>
                <w:iCs/>
                <w:sz w:val="22"/>
                <w:szCs w:val="22"/>
              </w:rPr>
            </w:pPr>
            <w:proofErr w:type="gramStart"/>
            <w:r>
              <w:rPr>
                <w:rFonts w:cs="Arial"/>
                <w:bCs/>
                <w:iCs/>
                <w:sz w:val="22"/>
                <w:szCs w:val="22"/>
              </w:rPr>
              <w:t xml:space="preserve">2.8 </w:t>
            </w:r>
            <w:r>
              <w:t xml:space="preserve"> </w:t>
            </w:r>
            <w:r w:rsidRPr="00B35DBF">
              <w:rPr>
                <w:rFonts w:cs="Arial"/>
                <w:bCs/>
                <w:iCs/>
                <w:sz w:val="22"/>
                <w:szCs w:val="22"/>
              </w:rPr>
              <w:t>Number</w:t>
            </w:r>
            <w:proofErr w:type="gramEnd"/>
            <w:r w:rsidRPr="00B35DBF">
              <w:rPr>
                <w:rFonts w:cs="Arial"/>
                <w:bCs/>
                <w:iCs/>
                <w:sz w:val="22"/>
                <w:szCs w:val="22"/>
              </w:rPr>
              <w:t xml:space="preserve"> of capacity building and training events delivered</w:t>
            </w:r>
          </w:p>
        </w:tc>
        <w:tc>
          <w:tcPr>
            <w:tcW w:w="1843" w:type="dxa"/>
            <w:tcBorders>
              <w:top w:val="single" w:sz="4" w:space="0" w:color="auto"/>
              <w:left w:val="single" w:sz="4" w:space="0" w:color="auto"/>
              <w:bottom w:val="single" w:sz="4" w:space="0" w:color="auto"/>
              <w:right w:val="single" w:sz="4" w:space="0" w:color="auto"/>
            </w:tcBorders>
          </w:tcPr>
          <w:p w14:paraId="58AFDB92" w14:textId="2E9EFF1A" w:rsidR="00044D2B" w:rsidRPr="00D80C6C" w:rsidRDefault="00CF53E2" w:rsidP="00281BC4">
            <w:pPr>
              <w:jc w:val="center"/>
              <w:rPr>
                <w:rFonts w:cs="Arial"/>
                <w:bCs/>
                <w:iCs/>
                <w:sz w:val="22"/>
                <w:szCs w:val="22"/>
              </w:rPr>
            </w:pPr>
            <w:r>
              <w:rPr>
                <w:rFonts w:cs="Arial"/>
                <w:bCs/>
                <w:iCs/>
                <w:sz w:val="22"/>
                <w:szCs w:val="22"/>
              </w:rPr>
              <w:t>4</w:t>
            </w:r>
            <w:r w:rsidR="00833E39">
              <w:rPr>
                <w:rFonts w:cs="Arial"/>
                <w:bCs/>
                <w:iCs/>
                <w:sz w:val="22"/>
                <w:szCs w:val="22"/>
              </w:rPr>
              <w:t>2</w:t>
            </w:r>
          </w:p>
        </w:tc>
        <w:tc>
          <w:tcPr>
            <w:tcW w:w="5386" w:type="dxa"/>
            <w:tcBorders>
              <w:top w:val="single" w:sz="4" w:space="0" w:color="auto"/>
              <w:left w:val="single" w:sz="4" w:space="0" w:color="auto"/>
              <w:bottom w:val="single" w:sz="4" w:space="0" w:color="auto"/>
              <w:right w:val="single" w:sz="4" w:space="0" w:color="auto"/>
            </w:tcBorders>
          </w:tcPr>
          <w:p w14:paraId="415F7855" w14:textId="77777777" w:rsidR="00044D2B" w:rsidRDefault="00833E39">
            <w:pPr>
              <w:contextualSpacing/>
              <w:jc w:val="both"/>
              <w:rPr>
                <w:rFonts w:cs="Arial"/>
                <w:bCs/>
                <w:iCs/>
                <w:sz w:val="22"/>
                <w:szCs w:val="22"/>
                <w:u w:val="single"/>
              </w:rPr>
            </w:pPr>
            <w:r w:rsidRPr="00833E39">
              <w:rPr>
                <w:rFonts w:cs="Arial"/>
                <w:bCs/>
                <w:iCs/>
                <w:sz w:val="22"/>
                <w:szCs w:val="22"/>
                <w:u w:val="single"/>
              </w:rPr>
              <w:t>Progress met expectation</w:t>
            </w:r>
          </w:p>
          <w:p w14:paraId="14E0D611" w14:textId="77777777" w:rsidR="00833E39" w:rsidRDefault="00833E39">
            <w:pPr>
              <w:contextualSpacing/>
              <w:jc w:val="both"/>
              <w:rPr>
                <w:rFonts w:cs="Arial"/>
                <w:bCs/>
                <w:iCs/>
                <w:sz w:val="22"/>
                <w:szCs w:val="22"/>
                <w:u w:val="single"/>
              </w:rPr>
            </w:pPr>
          </w:p>
          <w:p w14:paraId="6D8745E8" w14:textId="0D1FBB9B" w:rsidR="00833E39" w:rsidRPr="00833E39" w:rsidRDefault="00833E39">
            <w:pPr>
              <w:contextualSpacing/>
              <w:jc w:val="both"/>
              <w:rPr>
                <w:rFonts w:cs="Arial"/>
                <w:bCs/>
                <w:iCs/>
                <w:sz w:val="22"/>
                <w:szCs w:val="22"/>
              </w:rPr>
            </w:pPr>
            <w:r w:rsidRPr="00833E39">
              <w:rPr>
                <w:rFonts w:cs="Arial"/>
                <w:bCs/>
                <w:iCs/>
                <w:sz w:val="22"/>
                <w:szCs w:val="22"/>
              </w:rPr>
              <w:t>42 capacity building and training events delivered</w:t>
            </w:r>
          </w:p>
        </w:tc>
      </w:tr>
      <w:tr w:rsidR="00044D2B" w:rsidRPr="00D80C6C" w14:paraId="1CEE82B5" w14:textId="77777777" w:rsidTr="00A714E8">
        <w:tc>
          <w:tcPr>
            <w:tcW w:w="1838" w:type="dxa"/>
            <w:tcBorders>
              <w:top w:val="single" w:sz="4" w:space="0" w:color="auto"/>
              <w:left w:val="single" w:sz="4" w:space="0" w:color="auto"/>
              <w:bottom w:val="single" w:sz="4" w:space="0" w:color="auto"/>
              <w:right w:val="single" w:sz="4" w:space="0" w:color="auto"/>
            </w:tcBorders>
          </w:tcPr>
          <w:p w14:paraId="6A31765B" w14:textId="5C96A8B3" w:rsidR="00044D2B" w:rsidRPr="00D80C6C" w:rsidRDefault="00F432C1" w:rsidP="00A714E8">
            <w:pPr>
              <w:rPr>
                <w:rFonts w:cs="Arial"/>
                <w:bCs/>
                <w:iCs/>
                <w:sz w:val="22"/>
                <w:szCs w:val="22"/>
              </w:rPr>
            </w:pPr>
            <w:proofErr w:type="gramStart"/>
            <w:r>
              <w:rPr>
                <w:rFonts w:cs="Arial"/>
                <w:bCs/>
                <w:iCs/>
                <w:sz w:val="22"/>
                <w:szCs w:val="22"/>
              </w:rPr>
              <w:t xml:space="preserve">2.9 </w:t>
            </w:r>
            <w:r w:rsidR="00D9595A">
              <w:t xml:space="preserve"> </w:t>
            </w:r>
            <w:r w:rsidR="00D9595A" w:rsidRPr="00D9595A">
              <w:rPr>
                <w:rFonts w:cs="Arial"/>
                <w:bCs/>
                <w:iCs/>
                <w:sz w:val="22"/>
                <w:szCs w:val="22"/>
              </w:rPr>
              <w:t>Number</w:t>
            </w:r>
            <w:proofErr w:type="gramEnd"/>
            <w:r w:rsidR="00D9595A" w:rsidRPr="00D9595A">
              <w:rPr>
                <w:rFonts w:cs="Arial"/>
                <w:bCs/>
                <w:iCs/>
                <w:sz w:val="22"/>
                <w:szCs w:val="22"/>
              </w:rPr>
              <w:t xml:space="preserve"> of capacity building and training events on methane reduction in the oil and gas sector delivered</w:t>
            </w:r>
          </w:p>
        </w:tc>
        <w:tc>
          <w:tcPr>
            <w:tcW w:w="1843" w:type="dxa"/>
            <w:tcBorders>
              <w:top w:val="single" w:sz="4" w:space="0" w:color="auto"/>
              <w:left w:val="single" w:sz="4" w:space="0" w:color="auto"/>
              <w:bottom w:val="single" w:sz="4" w:space="0" w:color="auto"/>
              <w:right w:val="single" w:sz="4" w:space="0" w:color="auto"/>
            </w:tcBorders>
          </w:tcPr>
          <w:p w14:paraId="06966E9C" w14:textId="4189354D" w:rsidR="00044D2B" w:rsidRPr="00D80C6C" w:rsidRDefault="006443AF" w:rsidP="00281BC4">
            <w:pPr>
              <w:jc w:val="center"/>
              <w:rPr>
                <w:rFonts w:cs="Arial"/>
                <w:bCs/>
                <w:iCs/>
                <w:sz w:val="22"/>
                <w:szCs w:val="22"/>
              </w:rPr>
            </w:pPr>
            <w:r>
              <w:rPr>
                <w:rFonts w:cs="Arial"/>
                <w:bCs/>
                <w:iCs/>
                <w:sz w:val="22"/>
                <w:szCs w:val="22"/>
              </w:rPr>
              <w:t>5</w:t>
            </w:r>
          </w:p>
        </w:tc>
        <w:tc>
          <w:tcPr>
            <w:tcW w:w="5386" w:type="dxa"/>
            <w:tcBorders>
              <w:top w:val="single" w:sz="4" w:space="0" w:color="auto"/>
              <w:left w:val="single" w:sz="4" w:space="0" w:color="auto"/>
              <w:bottom w:val="single" w:sz="4" w:space="0" w:color="auto"/>
              <w:right w:val="single" w:sz="4" w:space="0" w:color="auto"/>
            </w:tcBorders>
          </w:tcPr>
          <w:p w14:paraId="6D6EA61B" w14:textId="36F9E0AE" w:rsidR="00044D2B" w:rsidRDefault="006443AF">
            <w:pPr>
              <w:contextualSpacing/>
              <w:jc w:val="both"/>
              <w:rPr>
                <w:rFonts w:cs="Arial"/>
                <w:bCs/>
                <w:iCs/>
                <w:sz w:val="22"/>
                <w:szCs w:val="22"/>
                <w:u w:val="single"/>
              </w:rPr>
            </w:pPr>
            <w:r w:rsidRPr="006443AF">
              <w:rPr>
                <w:rFonts w:cs="Arial"/>
                <w:bCs/>
                <w:iCs/>
                <w:sz w:val="22"/>
                <w:szCs w:val="22"/>
                <w:u w:val="single"/>
              </w:rPr>
              <w:t xml:space="preserve">Progress </w:t>
            </w:r>
            <w:r w:rsidR="00F878F8">
              <w:rPr>
                <w:rFonts w:cs="Arial"/>
                <w:bCs/>
                <w:iCs/>
                <w:sz w:val="22"/>
                <w:szCs w:val="22"/>
                <w:u w:val="single"/>
              </w:rPr>
              <w:t>substantially</w:t>
            </w:r>
            <w:r w:rsidR="00F878F8" w:rsidRPr="006443AF">
              <w:rPr>
                <w:rFonts w:cs="Arial"/>
                <w:bCs/>
                <w:iCs/>
                <w:sz w:val="22"/>
                <w:szCs w:val="22"/>
                <w:u w:val="single"/>
              </w:rPr>
              <w:t xml:space="preserve"> </w:t>
            </w:r>
            <w:r w:rsidRPr="006443AF">
              <w:rPr>
                <w:rFonts w:cs="Arial"/>
                <w:bCs/>
                <w:iCs/>
                <w:sz w:val="22"/>
                <w:szCs w:val="22"/>
                <w:u w:val="single"/>
              </w:rPr>
              <w:t>exceeded expectation</w:t>
            </w:r>
          </w:p>
          <w:p w14:paraId="6C920C90" w14:textId="77777777" w:rsidR="006443AF" w:rsidRDefault="006443AF">
            <w:pPr>
              <w:contextualSpacing/>
              <w:jc w:val="both"/>
              <w:rPr>
                <w:rFonts w:cs="Arial"/>
                <w:bCs/>
                <w:iCs/>
                <w:sz w:val="22"/>
                <w:szCs w:val="22"/>
                <w:u w:val="single"/>
              </w:rPr>
            </w:pPr>
          </w:p>
          <w:p w14:paraId="541DF937" w14:textId="4B67C874" w:rsidR="006443AF" w:rsidRPr="006443AF" w:rsidRDefault="006443AF">
            <w:pPr>
              <w:contextualSpacing/>
              <w:jc w:val="both"/>
              <w:rPr>
                <w:rFonts w:cs="Arial"/>
                <w:bCs/>
                <w:iCs/>
                <w:sz w:val="22"/>
                <w:szCs w:val="22"/>
                <w:u w:val="single"/>
              </w:rPr>
            </w:pPr>
            <w:r w:rsidRPr="006443AF">
              <w:rPr>
                <w:rFonts w:cs="Arial"/>
                <w:bCs/>
                <w:iCs/>
                <w:sz w:val="22"/>
                <w:szCs w:val="22"/>
              </w:rPr>
              <w:t>7 capacity building and training events on methane reduction in the oil and gas sector delivered</w:t>
            </w:r>
          </w:p>
        </w:tc>
      </w:tr>
      <w:tr w:rsidR="00044D2B" w:rsidRPr="00D80C6C" w14:paraId="4CB537E2" w14:textId="77777777" w:rsidTr="00A714E8">
        <w:tc>
          <w:tcPr>
            <w:tcW w:w="1838" w:type="dxa"/>
            <w:tcBorders>
              <w:top w:val="single" w:sz="4" w:space="0" w:color="auto"/>
              <w:left w:val="single" w:sz="4" w:space="0" w:color="auto"/>
              <w:bottom w:val="single" w:sz="4" w:space="0" w:color="auto"/>
              <w:right w:val="single" w:sz="4" w:space="0" w:color="auto"/>
            </w:tcBorders>
          </w:tcPr>
          <w:p w14:paraId="6E2C3154" w14:textId="7329637C" w:rsidR="00044D2B" w:rsidRPr="00D80C6C" w:rsidRDefault="00D9595A" w:rsidP="00A714E8">
            <w:pPr>
              <w:rPr>
                <w:rFonts w:cs="Arial"/>
                <w:bCs/>
                <w:iCs/>
                <w:sz w:val="22"/>
                <w:szCs w:val="22"/>
              </w:rPr>
            </w:pPr>
            <w:proofErr w:type="gramStart"/>
            <w:r>
              <w:rPr>
                <w:rFonts w:cs="Arial"/>
                <w:bCs/>
                <w:iCs/>
                <w:sz w:val="22"/>
                <w:szCs w:val="22"/>
              </w:rPr>
              <w:t>2.10</w:t>
            </w:r>
            <w:r w:rsidR="00DF691B">
              <w:rPr>
                <w:rFonts w:cs="Arial"/>
                <w:bCs/>
                <w:iCs/>
                <w:sz w:val="22"/>
                <w:szCs w:val="22"/>
              </w:rPr>
              <w:t xml:space="preserve"> </w:t>
            </w:r>
            <w:r w:rsidR="00201EE4">
              <w:t xml:space="preserve"> </w:t>
            </w:r>
            <w:r w:rsidR="00201EE4" w:rsidRPr="00201EE4">
              <w:rPr>
                <w:rFonts w:cs="Arial"/>
                <w:bCs/>
                <w:iCs/>
                <w:sz w:val="22"/>
                <w:szCs w:val="22"/>
              </w:rPr>
              <w:t>Number</w:t>
            </w:r>
            <w:proofErr w:type="gramEnd"/>
            <w:r w:rsidR="00201EE4" w:rsidRPr="00201EE4">
              <w:rPr>
                <w:rFonts w:cs="Arial"/>
                <w:bCs/>
                <w:iCs/>
                <w:sz w:val="22"/>
                <w:szCs w:val="22"/>
              </w:rPr>
              <w:t xml:space="preserve"> of participants in capacity building and training events delivered to CETP priority countries</w:t>
            </w:r>
          </w:p>
        </w:tc>
        <w:tc>
          <w:tcPr>
            <w:tcW w:w="1843" w:type="dxa"/>
            <w:tcBorders>
              <w:top w:val="single" w:sz="4" w:space="0" w:color="auto"/>
              <w:left w:val="single" w:sz="4" w:space="0" w:color="auto"/>
              <w:bottom w:val="single" w:sz="4" w:space="0" w:color="auto"/>
              <w:right w:val="single" w:sz="4" w:space="0" w:color="auto"/>
            </w:tcBorders>
          </w:tcPr>
          <w:p w14:paraId="306D430D" w14:textId="63975DF2" w:rsidR="00044D2B" w:rsidRPr="00D80C6C" w:rsidRDefault="00624CEF" w:rsidP="00281BC4">
            <w:pPr>
              <w:jc w:val="center"/>
              <w:rPr>
                <w:rFonts w:cs="Arial"/>
                <w:bCs/>
                <w:iCs/>
                <w:sz w:val="22"/>
                <w:szCs w:val="22"/>
              </w:rPr>
            </w:pPr>
            <w:r>
              <w:rPr>
                <w:rFonts w:cs="Arial"/>
                <w:bCs/>
                <w:iCs/>
                <w:sz w:val="22"/>
                <w:szCs w:val="22"/>
              </w:rPr>
              <w:t>3917</w:t>
            </w:r>
          </w:p>
        </w:tc>
        <w:tc>
          <w:tcPr>
            <w:tcW w:w="5386" w:type="dxa"/>
            <w:tcBorders>
              <w:top w:val="single" w:sz="4" w:space="0" w:color="auto"/>
              <w:left w:val="single" w:sz="4" w:space="0" w:color="auto"/>
              <w:bottom w:val="single" w:sz="4" w:space="0" w:color="auto"/>
              <w:right w:val="single" w:sz="4" w:space="0" w:color="auto"/>
            </w:tcBorders>
          </w:tcPr>
          <w:p w14:paraId="4A7A65BB" w14:textId="08BC0934" w:rsidR="00044D2B" w:rsidRDefault="00CA2A46">
            <w:pPr>
              <w:contextualSpacing/>
              <w:jc w:val="both"/>
              <w:rPr>
                <w:rFonts w:cs="Arial"/>
                <w:bCs/>
                <w:iCs/>
                <w:sz w:val="22"/>
                <w:szCs w:val="22"/>
                <w:u w:val="single"/>
              </w:rPr>
            </w:pPr>
            <w:r w:rsidRPr="00CA2A46">
              <w:rPr>
                <w:rFonts w:cs="Arial"/>
                <w:bCs/>
                <w:iCs/>
                <w:sz w:val="22"/>
                <w:szCs w:val="22"/>
                <w:u w:val="single"/>
              </w:rPr>
              <w:t xml:space="preserve">Progress </w:t>
            </w:r>
            <w:r w:rsidR="00545149">
              <w:rPr>
                <w:rFonts w:cs="Arial"/>
                <w:bCs/>
                <w:iCs/>
                <w:sz w:val="22"/>
                <w:szCs w:val="22"/>
                <w:u w:val="single"/>
              </w:rPr>
              <w:t xml:space="preserve">substantially </w:t>
            </w:r>
            <w:r w:rsidRPr="00CA2A46">
              <w:rPr>
                <w:rFonts w:cs="Arial"/>
                <w:bCs/>
                <w:iCs/>
                <w:sz w:val="22"/>
                <w:szCs w:val="22"/>
                <w:u w:val="single"/>
              </w:rPr>
              <w:t>did not meet expectation</w:t>
            </w:r>
          </w:p>
          <w:p w14:paraId="3C9F63E7" w14:textId="77777777" w:rsidR="00CA2A46" w:rsidRDefault="00CA2A46">
            <w:pPr>
              <w:contextualSpacing/>
              <w:jc w:val="both"/>
              <w:rPr>
                <w:rFonts w:cs="Arial"/>
                <w:bCs/>
                <w:iCs/>
                <w:sz w:val="22"/>
                <w:szCs w:val="22"/>
                <w:u w:val="single"/>
              </w:rPr>
            </w:pPr>
          </w:p>
          <w:p w14:paraId="6AB213F9" w14:textId="2D668BE7" w:rsidR="00CA2A46" w:rsidRPr="00A26A74" w:rsidRDefault="00A26A74">
            <w:pPr>
              <w:contextualSpacing/>
              <w:jc w:val="both"/>
              <w:rPr>
                <w:rFonts w:cs="Arial"/>
                <w:bCs/>
                <w:iCs/>
                <w:sz w:val="22"/>
                <w:szCs w:val="22"/>
              </w:rPr>
            </w:pPr>
            <w:r w:rsidRPr="00A26A74">
              <w:rPr>
                <w:rFonts w:cs="Arial"/>
                <w:bCs/>
                <w:iCs/>
                <w:sz w:val="22"/>
                <w:szCs w:val="22"/>
              </w:rPr>
              <w:t>3392</w:t>
            </w:r>
            <w:r w:rsidRPr="00A26A74">
              <w:t xml:space="preserve"> </w:t>
            </w:r>
            <w:r w:rsidRPr="00A26A74">
              <w:rPr>
                <w:rFonts w:cs="Arial"/>
                <w:bCs/>
                <w:iCs/>
                <w:sz w:val="22"/>
                <w:szCs w:val="22"/>
              </w:rPr>
              <w:t>participants in capacity building and training events delivered to CETP priority countries</w:t>
            </w:r>
          </w:p>
        </w:tc>
      </w:tr>
      <w:tr w:rsidR="00044D2B" w:rsidRPr="00D80C6C" w14:paraId="5AF63C3D" w14:textId="77777777" w:rsidTr="00A714E8">
        <w:tc>
          <w:tcPr>
            <w:tcW w:w="1838" w:type="dxa"/>
            <w:tcBorders>
              <w:top w:val="single" w:sz="4" w:space="0" w:color="auto"/>
              <w:left w:val="single" w:sz="4" w:space="0" w:color="auto"/>
              <w:bottom w:val="single" w:sz="4" w:space="0" w:color="auto"/>
              <w:right w:val="single" w:sz="4" w:space="0" w:color="auto"/>
            </w:tcBorders>
          </w:tcPr>
          <w:p w14:paraId="5F2E44DA" w14:textId="3F072AD5" w:rsidR="00044D2B" w:rsidRPr="00D80C6C" w:rsidRDefault="00D9595A" w:rsidP="00A714E8">
            <w:pPr>
              <w:rPr>
                <w:rFonts w:cs="Arial"/>
                <w:bCs/>
                <w:iCs/>
                <w:sz w:val="22"/>
                <w:szCs w:val="22"/>
              </w:rPr>
            </w:pPr>
            <w:proofErr w:type="gramStart"/>
            <w:r>
              <w:rPr>
                <w:rFonts w:cs="Arial"/>
                <w:bCs/>
                <w:iCs/>
                <w:sz w:val="22"/>
                <w:szCs w:val="22"/>
              </w:rPr>
              <w:t>2.11</w:t>
            </w:r>
            <w:r w:rsidR="00A714E8">
              <w:rPr>
                <w:rFonts w:cs="Arial"/>
                <w:bCs/>
                <w:iCs/>
                <w:sz w:val="22"/>
                <w:szCs w:val="22"/>
              </w:rPr>
              <w:t xml:space="preserve"> </w:t>
            </w:r>
            <w:r w:rsidR="00A714E8">
              <w:t xml:space="preserve"> </w:t>
            </w:r>
            <w:r w:rsidR="00A714E8" w:rsidRPr="00A714E8">
              <w:rPr>
                <w:rFonts w:cs="Arial"/>
                <w:bCs/>
                <w:iCs/>
                <w:sz w:val="22"/>
                <w:szCs w:val="22"/>
              </w:rPr>
              <w:t>Number</w:t>
            </w:r>
            <w:proofErr w:type="gramEnd"/>
            <w:r w:rsidR="00A714E8" w:rsidRPr="00A714E8">
              <w:rPr>
                <w:rFonts w:cs="Arial"/>
                <w:bCs/>
                <w:iCs/>
                <w:sz w:val="22"/>
                <w:szCs w:val="22"/>
              </w:rPr>
              <w:t xml:space="preserve"> of participants in capacity building and training events on methane reduction in the oil and gas sector delivered to CETP priority countries</w:t>
            </w:r>
          </w:p>
        </w:tc>
        <w:tc>
          <w:tcPr>
            <w:tcW w:w="1843" w:type="dxa"/>
            <w:tcBorders>
              <w:top w:val="single" w:sz="4" w:space="0" w:color="auto"/>
              <w:left w:val="single" w:sz="4" w:space="0" w:color="auto"/>
              <w:bottom w:val="single" w:sz="4" w:space="0" w:color="auto"/>
              <w:right w:val="single" w:sz="4" w:space="0" w:color="auto"/>
            </w:tcBorders>
          </w:tcPr>
          <w:p w14:paraId="0D14410E" w14:textId="72821911" w:rsidR="00044D2B" w:rsidRPr="00D80C6C" w:rsidRDefault="00A26A74" w:rsidP="00281BC4">
            <w:pPr>
              <w:jc w:val="center"/>
              <w:rPr>
                <w:rFonts w:cs="Arial"/>
                <w:bCs/>
                <w:iCs/>
                <w:sz w:val="22"/>
                <w:szCs w:val="22"/>
              </w:rPr>
            </w:pPr>
            <w:r>
              <w:rPr>
                <w:rFonts w:cs="Arial"/>
                <w:bCs/>
                <w:iCs/>
                <w:sz w:val="22"/>
                <w:szCs w:val="22"/>
              </w:rPr>
              <w:t>100</w:t>
            </w:r>
          </w:p>
        </w:tc>
        <w:tc>
          <w:tcPr>
            <w:tcW w:w="5386" w:type="dxa"/>
            <w:tcBorders>
              <w:top w:val="single" w:sz="4" w:space="0" w:color="auto"/>
              <w:left w:val="single" w:sz="4" w:space="0" w:color="auto"/>
              <w:bottom w:val="single" w:sz="4" w:space="0" w:color="auto"/>
              <w:right w:val="single" w:sz="4" w:space="0" w:color="auto"/>
            </w:tcBorders>
          </w:tcPr>
          <w:p w14:paraId="73B6A206" w14:textId="77777777" w:rsidR="00044D2B" w:rsidRDefault="00172CAA">
            <w:pPr>
              <w:contextualSpacing/>
              <w:jc w:val="both"/>
              <w:rPr>
                <w:rFonts w:cs="Arial"/>
                <w:bCs/>
                <w:iCs/>
                <w:sz w:val="22"/>
                <w:szCs w:val="22"/>
                <w:u w:val="single"/>
              </w:rPr>
            </w:pPr>
            <w:r w:rsidRPr="00172CAA">
              <w:rPr>
                <w:rFonts w:cs="Arial"/>
                <w:bCs/>
                <w:iCs/>
                <w:sz w:val="22"/>
                <w:szCs w:val="22"/>
                <w:u w:val="single"/>
              </w:rPr>
              <w:t>Progress moderately exceeded expectation</w:t>
            </w:r>
          </w:p>
          <w:p w14:paraId="0D1D436C" w14:textId="77777777" w:rsidR="00172CAA" w:rsidRDefault="00172CAA">
            <w:pPr>
              <w:contextualSpacing/>
              <w:jc w:val="both"/>
              <w:rPr>
                <w:rFonts w:cs="Arial"/>
                <w:bCs/>
                <w:iCs/>
                <w:sz w:val="22"/>
                <w:szCs w:val="22"/>
                <w:u w:val="single"/>
              </w:rPr>
            </w:pPr>
          </w:p>
          <w:p w14:paraId="5D10721A" w14:textId="08727D73" w:rsidR="00172CAA" w:rsidRPr="00172CAA" w:rsidRDefault="00172CAA">
            <w:pPr>
              <w:contextualSpacing/>
              <w:jc w:val="both"/>
              <w:rPr>
                <w:rFonts w:cs="Arial"/>
                <w:bCs/>
                <w:iCs/>
                <w:sz w:val="22"/>
                <w:szCs w:val="22"/>
                <w:u w:val="single"/>
              </w:rPr>
            </w:pPr>
            <w:r w:rsidRPr="00172CAA">
              <w:rPr>
                <w:rFonts w:cs="Arial"/>
                <w:bCs/>
                <w:iCs/>
                <w:sz w:val="22"/>
                <w:szCs w:val="22"/>
              </w:rPr>
              <w:t>120</w:t>
            </w:r>
            <w:r>
              <w:rPr>
                <w:rFonts w:cs="Arial"/>
                <w:bCs/>
                <w:iCs/>
                <w:sz w:val="22"/>
                <w:szCs w:val="22"/>
              </w:rPr>
              <w:t xml:space="preserve"> </w:t>
            </w:r>
            <w:r w:rsidRPr="00172CAA">
              <w:rPr>
                <w:rFonts w:cs="Arial"/>
                <w:bCs/>
                <w:iCs/>
                <w:sz w:val="22"/>
                <w:szCs w:val="22"/>
              </w:rPr>
              <w:t>participants in capacity building and training events on methane reduction in the oil and gas sector delivered to CETP priority countries</w:t>
            </w:r>
            <w:r>
              <w:rPr>
                <w:rFonts w:cs="Arial"/>
                <w:bCs/>
                <w:iCs/>
                <w:sz w:val="22"/>
                <w:szCs w:val="22"/>
              </w:rPr>
              <w:t>.</w:t>
            </w:r>
          </w:p>
        </w:tc>
      </w:tr>
      <w:tr w:rsidR="00044D2B" w:rsidRPr="00D80C6C" w14:paraId="4ADCFD17" w14:textId="77777777" w:rsidTr="00A714E8">
        <w:tc>
          <w:tcPr>
            <w:tcW w:w="1838" w:type="dxa"/>
            <w:tcBorders>
              <w:top w:val="single" w:sz="4" w:space="0" w:color="auto"/>
              <w:left w:val="single" w:sz="4" w:space="0" w:color="auto"/>
              <w:bottom w:val="single" w:sz="4" w:space="0" w:color="auto"/>
              <w:right w:val="single" w:sz="4" w:space="0" w:color="auto"/>
            </w:tcBorders>
          </w:tcPr>
          <w:p w14:paraId="207D3AA7" w14:textId="14EE4737" w:rsidR="00044D2B" w:rsidRPr="00D80C6C" w:rsidRDefault="00D9595A" w:rsidP="00A714E8">
            <w:pPr>
              <w:rPr>
                <w:rFonts w:cs="Arial"/>
                <w:bCs/>
                <w:iCs/>
                <w:sz w:val="22"/>
                <w:szCs w:val="22"/>
              </w:rPr>
            </w:pPr>
            <w:proofErr w:type="gramStart"/>
            <w:r>
              <w:rPr>
                <w:rFonts w:cs="Arial"/>
                <w:bCs/>
                <w:iCs/>
                <w:sz w:val="22"/>
                <w:szCs w:val="22"/>
              </w:rPr>
              <w:t>2.12</w:t>
            </w:r>
            <w:r w:rsidR="00DF691B">
              <w:rPr>
                <w:rFonts w:cs="Arial"/>
                <w:bCs/>
                <w:iCs/>
                <w:sz w:val="22"/>
                <w:szCs w:val="22"/>
              </w:rPr>
              <w:t xml:space="preserve"> </w:t>
            </w:r>
            <w:r w:rsidR="00DF691B">
              <w:t xml:space="preserve"> </w:t>
            </w:r>
            <w:r w:rsidR="00DF691B" w:rsidRPr="00DF691B">
              <w:rPr>
                <w:rFonts w:cs="Arial"/>
                <w:bCs/>
                <w:iCs/>
                <w:sz w:val="22"/>
                <w:szCs w:val="22"/>
              </w:rPr>
              <w:t>%</w:t>
            </w:r>
            <w:proofErr w:type="gramEnd"/>
            <w:r w:rsidR="00DF691B" w:rsidRPr="00DF691B">
              <w:rPr>
                <w:rFonts w:cs="Arial"/>
                <w:bCs/>
                <w:iCs/>
                <w:sz w:val="22"/>
                <w:szCs w:val="22"/>
              </w:rPr>
              <w:t xml:space="preserve"> Attendance of women in capacity building and training events delivered to CETP priority countries</w:t>
            </w:r>
          </w:p>
        </w:tc>
        <w:tc>
          <w:tcPr>
            <w:tcW w:w="1843" w:type="dxa"/>
            <w:tcBorders>
              <w:top w:val="single" w:sz="4" w:space="0" w:color="auto"/>
              <w:left w:val="single" w:sz="4" w:space="0" w:color="auto"/>
              <w:bottom w:val="single" w:sz="4" w:space="0" w:color="auto"/>
              <w:right w:val="single" w:sz="4" w:space="0" w:color="auto"/>
            </w:tcBorders>
          </w:tcPr>
          <w:p w14:paraId="7F3FE8EA" w14:textId="6E797CCD" w:rsidR="00044D2B" w:rsidRPr="00D80C6C" w:rsidRDefault="00285E32" w:rsidP="00281BC4">
            <w:pPr>
              <w:jc w:val="center"/>
              <w:rPr>
                <w:rFonts w:cs="Arial"/>
                <w:bCs/>
                <w:iCs/>
                <w:sz w:val="22"/>
                <w:szCs w:val="22"/>
              </w:rPr>
            </w:pPr>
            <w:r>
              <w:rPr>
                <w:rFonts w:cs="Arial"/>
                <w:bCs/>
                <w:iCs/>
                <w:sz w:val="22"/>
                <w:szCs w:val="22"/>
              </w:rPr>
              <w:t>35%</w:t>
            </w:r>
          </w:p>
        </w:tc>
        <w:tc>
          <w:tcPr>
            <w:tcW w:w="5386" w:type="dxa"/>
            <w:tcBorders>
              <w:top w:val="single" w:sz="4" w:space="0" w:color="auto"/>
              <w:left w:val="single" w:sz="4" w:space="0" w:color="auto"/>
              <w:bottom w:val="single" w:sz="4" w:space="0" w:color="auto"/>
              <w:right w:val="single" w:sz="4" w:space="0" w:color="auto"/>
            </w:tcBorders>
          </w:tcPr>
          <w:p w14:paraId="51FC7228" w14:textId="77777777" w:rsidR="00044D2B" w:rsidRDefault="00285E32">
            <w:pPr>
              <w:contextualSpacing/>
              <w:jc w:val="both"/>
              <w:rPr>
                <w:rFonts w:cs="Arial"/>
                <w:bCs/>
                <w:iCs/>
                <w:sz w:val="22"/>
                <w:szCs w:val="22"/>
                <w:u w:val="single"/>
              </w:rPr>
            </w:pPr>
            <w:r w:rsidRPr="00285E32">
              <w:rPr>
                <w:rFonts w:cs="Arial"/>
                <w:bCs/>
                <w:iCs/>
                <w:sz w:val="22"/>
                <w:szCs w:val="22"/>
                <w:u w:val="single"/>
              </w:rPr>
              <w:t>Progress substantially exceeded expectation</w:t>
            </w:r>
          </w:p>
          <w:p w14:paraId="0D85041B" w14:textId="77777777" w:rsidR="00285E32" w:rsidRDefault="00285E32">
            <w:pPr>
              <w:contextualSpacing/>
              <w:jc w:val="both"/>
              <w:rPr>
                <w:rFonts w:cs="Arial"/>
                <w:bCs/>
                <w:iCs/>
                <w:sz w:val="22"/>
                <w:szCs w:val="22"/>
                <w:u w:val="single"/>
              </w:rPr>
            </w:pPr>
          </w:p>
          <w:p w14:paraId="51D74774" w14:textId="78C0897C" w:rsidR="00285E32" w:rsidRPr="00324D05" w:rsidRDefault="00AD3F22">
            <w:pPr>
              <w:contextualSpacing/>
              <w:jc w:val="both"/>
              <w:rPr>
                <w:rFonts w:cs="Arial"/>
                <w:bCs/>
                <w:iCs/>
                <w:sz w:val="22"/>
                <w:szCs w:val="22"/>
              </w:rPr>
            </w:pPr>
            <w:r>
              <w:rPr>
                <w:rFonts w:cs="Arial"/>
                <w:bCs/>
                <w:iCs/>
                <w:sz w:val="22"/>
                <w:szCs w:val="22"/>
              </w:rPr>
              <w:t xml:space="preserve">Women accounted for </w:t>
            </w:r>
            <w:r w:rsidR="00324D05">
              <w:rPr>
                <w:rFonts w:cs="Arial"/>
                <w:bCs/>
                <w:iCs/>
                <w:sz w:val="22"/>
                <w:szCs w:val="22"/>
              </w:rPr>
              <w:t xml:space="preserve">48.7% </w:t>
            </w:r>
            <w:r>
              <w:rPr>
                <w:rFonts w:cs="Arial"/>
                <w:bCs/>
                <w:iCs/>
                <w:sz w:val="22"/>
                <w:szCs w:val="22"/>
              </w:rPr>
              <w:t xml:space="preserve">of attendees </w:t>
            </w:r>
            <w:proofErr w:type="gramStart"/>
            <w:r>
              <w:rPr>
                <w:rFonts w:cs="Arial"/>
                <w:bCs/>
                <w:iCs/>
                <w:sz w:val="22"/>
                <w:szCs w:val="22"/>
              </w:rPr>
              <w:t xml:space="preserve">at </w:t>
            </w:r>
            <w:r>
              <w:t xml:space="preserve"> </w:t>
            </w:r>
            <w:r w:rsidRPr="00AD3F22">
              <w:rPr>
                <w:rFonts w:cs="Arial"/>
                <w:bCs/>
                <w:iCs/>
                <w:sz w:val="22"/>
                <w:szCs w:val="22"/>
              </w:rPr>
              <w:t>capacity</w:t>
            </w:r>
            <w:proofErr w:type="gramEnd"/>
            <w:r w:rsidRPr="00AD3F22">
              <w:rPr>
                <w:rFonts w:cs="Arial"/>
                <w:bCs/>
                <w:iCs/>
                <w:sz w:val="22"/>
                <w:szCs w:val="22"/>
              </w:rPr>
              <w:t xml:space="preserve"> building and training events delivered to CETP priority countries</w:t>
            </w:r>
          </w:p>
        </w:tc>
      </w:tr>
      <w:tr w:rsidR="00D9595A" w:rsidRPr="00D80C6C" w14:paraId="1295C833" w14:textId="77777777" w:rsidTr="00A714E8">
        <w:tc>
          <w:tcPr>
            <w:tcW w:w="1838" w:type="dxa"/>
            <w:tcBorders>
              <w:top w:val="single" w:sz="4" w:space="0" w:color="auto"/>
              <w:left w:val="single" w:sz="4" w:space="0" w:color="auto"/>
              <w:bottom w:val="single" w:sz="4" w:space="0" w:color="auto"/>
              <w:right w:val="single" w:sz="4" w:space="0" w:color="auto"/>
            </w:tcBorders>
          </w:tcPr>
          <w:p w14:paraId="24CA772A" w14:textId="51D6D20A" w:rsidR="00D9595A" w:rsidRPr="00D80C6C" w:rsidRDefault="00D9595A" w:rsidP="00AD3F22">
            <w:pPr>
              <w:jc w:val="both"/>
              <w:rPr>
                <w:rFonts w:cs="Arial"/>
                <w:bCs/>
                <w:iCs/>
                <w:sz w:val="22"/>
                <w:szCs w:val="22"/>
              </w:rPr>
            </w:pPr>
            <w:proofErr w:type="gramStart"/>
            <w:r>
              <w:rPr>
                <w:rFonts w:cs="Arial"/>
                <w:bCs/>
                <w:iCs/>
                <w:sz w:val="22"/>
                <w:szCs w:val="22"/>
              </w:rPr>
              <w:t>2.13</w:t>
            </w:r>
            <w:r w:rsidR="00A714E8">
              <w:rPr>
                <w:rFonts w:cs="Arial"/>
                <w:bCs/>
                <w:iCs/>
                <w:sz w:val="22"/>
                <w:szCs w:val="22"/>
              </w:rPr>
              <w:t xml:space="preserve"> </w:t>
            </w:r>
            <w:r w:rsidR="005C3E6D">
              <w:t xml:space="preserve"> </w:t>
            </w:r>
            <w:r w:rsidR="005C3E6D" w:rsidRPr="005C3E6D">
              <w:rPr>
                <w:rFonts w:cs="Arial"/>
                <w:bCs/>
                <w:iCs/>
                <w:sz w:val="22"/>
                <w:szCs w:val="22"/>
              </w:rPr>
              <w:t>%</w:t>
            </w:r>
            <w:proofErr w:type="gramEnd"/>
            <w:r w:rsidR="005C3E6D" w:rsidRPr="005C3E6D">
              <w:rPr>
                <w:rFonts w:cs="Arial"/>
                <w:bCs/>
                <w:iCs/>
                <w:sz w:val="22"/>
                <w:szCs w:val="22"/>
              </w:rPr>
              <w:t xml:space="preserve"> Attendance of women in </w:t>
            </w:r>
            <w:r w:rsidR="005C3E6D" w:rsidRPr="005C3E6D">
              <w:rPr>
                <w:rFonts w:cs="Arial"/>
                <w:bCs/>
                <w:iCs/>
                <w:sz w:val="22"/>
                <w:szCs w:val="22"/>
              </w:rPr>
              <w:lastRenderedPageBreak/>
              <w:t>capacity building and training events on methane reduction in the oil and gas sector delivered to CETP priority countries</w:t>
            </w:r>
          </w:p>
        </w:tc>
        <w:tc>
          <w:tcPr>
            <w:tcW w:w="1843" w:type="dxa"/>
            <w:tcBorders>
              <w:top w:val="single" w:sz="4" w:space="0" w:color="auto"/>
              <w:left w:val="single" w:sz="4" w:space="0" w:color="auto"/>
              <w:bottom w:val="single" w:sz="4" w:space="0" w:color="auto"/>
              <w:right w:val="single" w:sz="4" w:space="0" w:color="auto"/>
            </w:tcBorders>
          </w:tcPr>
          <w:p w14:paraId="064A49B2" w14:textId="77777777" w:rsidR="00D9595A" w:rsidRPr="00D80C6C" w:rsidRDefault="004B6B16" w:rsidP="00281BC4">
            <w:pPr>
              <w:jc w:val="center"/>
              <w:rPr>
                <w:rFonts w:cs="Arial"/>
                <w:bCs/>
                <w:iCs/>
                <w:sz w:val="22"/>
                <w:szCs w:val="22"/>
              </w:rPr>
            </w:pPr>
            <w:r>
              <w:rPr>
                <w:rFonts w:cs="Arial"/>
                <w:bCs/>
                <w:iCs/>
                <w:sz w:val="22"/>
                <w:szCs w:val="22"/>
              </w:rPr>
              <w:lastRenderedPageBreak/>
              <w:t>35%</w:t>
            </w:r>
          </w:p>
        </w:tc>
        <w:tc>
          <w:tcPr>
            <w:tcW w:w="5386" w:type="dxa"/>
            <w:tcBorders>
              <w:top w:val="single" w:sz="4" w:space="0" w:color="auto"/>
              <w:left w:val="single" w:sz="4" w:space="0" w:color="auto"/>
              <w:bottom w:val="single" w:sz="4" w:space="0" w:color="auto"/>
              <w:right w:val="single" w:sz="4" w:space="0" w:color="auto"/>
            </w:tcBorders>
          </w:tcPr>
          <w:p w14:paraId="1F8A6AC0" w14:textId="77777777" w:rsidR="004B6B16" w:rsidRPr="004F62F8" w:rsidRDefault="004B6B16" w:rsidP="004B6B16">
            <w:pPr>
              <w:rPr>
                <w:rFonts w:cs="Arial"/>
                <w:bCs/>
                <w:iCs/>
                <w:sz w:val="22"/>
                <w:szCs w:val="22"/>
                <w:u w:val="single"/>
              </w:rPr>
            </w:pPr>
            <w:r w:rsidRPr="004F62F8">
              <w:rPr>
                <w:rFonts w:cs="Arial"/>
                <w:bCs/>
                <w:iCs/>
                <w:sz w:val="22"/>
                <w:szCs w:val="22"/>
                <w:u w:val="single"/>
              </w:rPr>
              <w:t>Progress moderately exceeded expectation</w:t>
            </w:r>
          </w:p>
          <w:p w14:paraId="4AF84F10" w14:textId="77777777" w:rsidR="004B6B16" w:rsidRDefault="004B6B16" w:rsidP="004B6B16">
            <w:pPr>
              <w:rPr>
                <w:rFonts w:cs="Arial"/>
                <w:bCs/>
                <w:iCs/>
                <w:sz w:val="22"/>
                <w:szCs w:val="22"/>
                <w:u w:val="single"/>
              </w:rPr>
            </w:pPr>
          </w:p>
          <w:p w14:paraId="539D7EFA" w14:textId="4557954A" w:rsidR="004B6B16" w:rsidRPr="004F62F8" w:rsidRDefault="004B6B16" w:rsidP="004B6B16">
            <w:pPr>
              <w:rPr>
                <w:rFonts w:cs="Arial"/>
                <w:bCs/>
                <w:iCs/>
                <w:sz w:val="22"/>
                <w:szCs w:val="22"/>
              </w:rPr>
            </w:pPr>
            <w:r w:rsidRPr="004F62F8">
              <w:rPr>
                <w:rFonts w:cs="Arial"/>
                <w:bCs/>
                <w:iCs/>
                <w:sz w:val="22"/>
                <w:szCs w:val="22"/>
              </w:rPr>
              <w:lastRenderedPageBreak/>
              <w:t xml:space="preserve">Women accounted for </w:t>
            </w:r>
            <w:r w:rsidR="00024E16" w:rsidRPr="004F62F8">
              <w:rPr>
                <w:rFonts w:cs="Arial"/>
                <w:bCs/>
                <w:iCs/>
                <w:sz w:val="22"/>
                <w:szCs w:val="22"/>
              </w:rPr>
              <w:t>36% of attendees at</w:t>
            </w:r>
            <w:r w:rsidR="00B8720F" w:rsidRPr="004F62F8">
              <w:rPr>
                <w:rFonts w:cs="Arial"/>
                <w:bCs/>
                <w:iCs/>
                <w:sz w:val="22"/>
                <w:szCs w:val="22"/>
              </w:rPr>
              <w:t xml:space="preserve"> capacity building and training events on methane reduction in the oil and gas sector delivered to CETP priority countries</w:t>
            </w:r>
          </w:p>
          <w:p w14:paraId="6AF9F76C" w14:textId="77777777" w:rsidR="00D9595A" w:rsidRPr="00D80C6C" w:rsidRDefault="00D9595A">
            <w:pPr>
              <w:contextualSpacing/>
              <w:jc w:val="both"/>
              <w:rPr>
                <w:rFonts w:cs="Arial"/>
                <w:bCs/>
                <w:iCs/>
                <w:sz w:val="22"/>
                <w:szCs w:val="22"/>
              </w:rPr>
            </w:pPr>
          </w:p>
        </w:tc>
      </w:tr>
    </w:tbl>
    <w:p w14:paraId="4E73FBED" w14:textId="77777777" w:rsidR="00D358E8" w:rsidRDefault="00D358E8" w:rsidP="004D5FD5">
      <w:pPr>
        <w:pStyle w:val="Heading2"/>
        <w:jc w:val="both"/>
      </w:pPr>
      <w:bookmarkStart w:id="13" w:name="_Toc1248670558"/>
    </w:p>
    <w:p w14:paraId="71B25512" w14:textId="77777777" w:rsidR="00133326" w:rsidRPr="00D80C6C" w:rsidRDefault="00133326" w:rsidP="00133326">
      <w:pPr>
        <w:jc w:val="both"/>
        <w:rPr>
          <w:rFonts w:cs="Arial"/>
          <w:b/>
          <w:bCs/>
          <w:i/>
          <w:iCs/>
          <w:sz w:val="22"/>
          <w:szCs w:val="22"/>
        </w:rPr>
      </w:pPr>
      <w:r w:rsidRPr="3A221014">
        <w:rPr>
          <w:b/>
          <w:bCs/>
          <w:i/>
          <w:iCs/>
          <w:sz w:val="28"/>
          <w:szCs w:val="28"/>
        </w:rPr>
        <w:t>Output summary and supporting narrative for the score</w:t>
      </w:r>
      <w:r w:rsidRPr="3A221014">
        <w:rPr>
          <w:rFonts w:cs="Arial"/>
          <w:b/>
          <w:bCs/>
          <w:i/>
          <w:iCs/>
          <w:sz w:val="22"/>
          <w:szCs w:val="22"/>
        </w:rPr>
        <w:t xml:space="preserve"> </w:t>
      </w:r>
      <w:r w:rsidRPr="3A221014">
        <w:rPr>
          <w:rFonts w:cs="Arial"/>
          <w:i/>
          <w:iCs/>
          <w:sz w:val="22"/>
          <w:szCs w:val="22"/>
        </w:rPr>
        <w:t>[max 1/2 page]</w:t>
      </w:r>
    </w:p>
    <w:p w14:paraId="76C5C2D1" w14:textId="77777777" w:rsidR="00EF0FB8" w:rsidRDefault="00EF0FB8" w:rsidP="00EF0FB8"/>
    <w:p w14:paraId="417D9431" w14:textId="60F6653E" w:rsidR="00B04CCE" w:rsidRPr="00742718" w:rsidRDefault="00B04CCE" w:rsidP="00B04CCE">
      <w:pPr>
        <w:jc w:val="both"/>
        <w:rPr>
          <w:rFonts w:cs="Arial"/>
          <w:bCs/>
          <w:sz w:val="20"/>
          <w:szCs w:val="20"/>
        </w:rPr>
      </w:pPr>
      <w:bookmarkStart w:id="14" w:name="_Hlk198556167"/>
      <w:r w:rsidRPr="00742718">
        <w:rPr>
          <w:rFonts w:cs="Arial"/>
          <w:bCs/>
          <w:sz w:val="20"/>
          <w:szCs w:val="20"/>
        </w:rPr>
        <w:t xml:space="preserve">This output is focused on securing buy-in from relevant </w:t>
      </w:r>
      <w:r w:rsidR="007E3326">
        <w:rPr>
          <w:rFonts w:cs="Arial"/>
          <w:bCs/>
          <w:sz w:val="20"/>
          <w:szCs w:val="20"/>
        </w:rPr>
        <w:t xml:space="preserve">ministers and </w:t>
      </w:r>
      <w:r w:rsidRPr="00742718">
        <w:rPr>
          <w:rFonts w:cs="Arial"/>
          <w:bCs/>
          <w:sz w:val="20"/>
          <w:szCs w:val="20"/>
        </w:rPr>
        <w:t xml:space="preserve">senior officials within the administrative structures of relevant entities in the target countries to ensure that the CETP is driven by the needs and objectives of those countries, are well-received and inform and influence the development and implementation of energy polices consistent with clean energy transitions.  All work plans and priorities have been developed in consultation with key ministries and institutions during the programming phase.  </w:t>
      </w:r>
    </w:p>
    <w:bookmarkEnd w:id="14"/>
    <w:p w14:paraId="09AAEF46" w14:textId="77777777" w:rsidR="00B04CCE" w:rsidRPr="00742718" w:rsidRDefault="00B04CCE" w:rsidP="00B04CCE">
      <w:pPr>
        <w:jc w:val="both"/>
        <w:rPr>
          <w:rFonts w:cs="Arial"/>
          <w:bCs/>
          <w:sz w:val="20"/>
          <w:szCs w:val="20"/>
        </w:rPr>
      </w:pPr>
    </w:p>
    <w:p w14:paraId="6C89A52B" w14:textId="26D33B1C" w:rsidR="00B04CCE" w:rsidRPr="00742718" w:rsidRDefault="00B04CCE" w:rsidP="00B04CCE">
      <w:pPr>
        <w:jc w:val="both"/>
        <w:rPr>
          <w:rFonts w:cs="Arial"/>
          <w:bCs/>
          <w:sz w:val="20"/>
          <w:szCs w:val="20"/>
        </w:rPr>
      </w:pPr>
      <w:r w:rsidRPr="00742718">
        <w:rPr>
          <w:rFonts w:cs="Arial"/>
          <w:bCs/>
          <w:sz w:val="20"/>
          <w:szCs w:val="20"/>
        </w:rPr>
        <w:t>In 202</w:t>
      </w:r>
      <w:r>
        <w:rPr>
          <w:rFonts w:cs="Arial"/>
          <w:bCs/>
          <w:sz w:val="20"/>
          <w:szCs w:val="20"/>
        </w:rPr>
        <w:t>4</w:t>
      </w:r>
      <w:r w:rsidRPr="00742718">
        <w:rPr>
          <w:rFonts w:cs="Arial"/>
          <w:bCs/>
          <w:sz w:val="20"/>
          <w:szCs w:val="20"/>
        </w:rPr>
        <w:t xml:space="preserve">, this engagement has included </w:t>
      </w:r>
      <w:proofErr w:type="gramStart"/>
      <w:r w:rsidR="00E41E18">
        <w:rPr>
          <w:rFonts w:cs="Arial"/>
          <w:bCs/>
          <w:sz w:val="20"/>
          <w:szCs w:val="20"/>
        </w:rPr>
        <w:t>a number</w:t>
      </w:r>
      <w:r w:rsidR="00465E32">
        <w:rPr>
          <w:rFonts w:cs="Arial"/>
          <w:bCs/>
          <w:sz w:val="20"/>
          <w:szCs w:val="20"/>
        </w:rPr>
        <w:t xml:space="preserve"> of</w:t>
      </w:r>
      <w:proofErr w:type="gramEnd"/>
      <w:r w:rsidR="00465E32">
        <w:rPr>
          <w:rFonts w:cs="Arial"/>
          <w:bCs/>
          <w:sz w:val="20"/>
          <w:szCs w:val="20"/>
        </w:rPr>
        <w:t xml:space="preserve"> </w:t>
      </w:r>
      <w:r w:rsidRPr="00742718">
        <w:rPr>
          <w:rFonts w:cs="Arial"/>
          <w:bCs/>
          <w:sz w:val="20"/>
          <w:szCs w:val="20"/>
        </w:rPr>
        <w:t>meetings to discuss CETP work between the IEA Executive Director</w:t>
      </w:r>
      <w:r w:rsidR="00465E32">
        <w:rPr>
          <w:rFonts w:cs="Arial"/>
          <w:bCs/>
          <w:sz w:val="20"/>
          <w:szCs w:val="20"/>
        </w:rPr>
        <w:t xml:space="preserve"> and </w:t>
      </w:r>
      <w:r w:rsidR="00E849B6">
        <w:rPr>
          <w:rFonts w:cs="Arial"/>
          <w:bCs/>
          <w:sz w:val="20"/>
          <w:szCs w:val="20"/>
        </w:rPr>
        <w:t xml:space="preserve">leaders and ministers in </w:t>
      </w:r>
      <w:r w:rsidR="00AF532B">
        <w:rPr>
          <w:rFonts w:cs="Arial"/>
          <w:bCs/>
          <w:sz w:val="20"/>
          <w:szCs w:val="20"/>
        </w:rPr>
        <w:t xml:space="preserve">all </w:t>
      </w:r>
      <w:r w:rsidR="00B34ADF">
        <w:rPr>
          <w:rFonts w:cs="Arial"/>
          <w:bCs/>
          <w:sz w:val="20"/>
          <w:szCs w:val="20"/>
        </w:rPr>
        <w:t>t</w:t>
      </w:r>
      <w:r w:rsidR="00E849B6">
        <w:rPr>
          <w:rFonts w:cs="Arial"/>
          <w:bCs/>
          <w:sz w:val="20"/>
          <w:szCs w:val="20"/>
        </w:rPr>
        <w:t xml:space="preserve">arget countries. </w:t>
      </w:r>
      <w:r w:rsidRPr="00742718">
        <w:rPr>
          <w:rFonts w:cs="Arial"/>
          <w:bCs/>
          <w:sz w:val="20"/>
          <w:szCs w:val="20"/>
        </w:rPr>
        <w:t xml:space="preserve">In addition, many Ministers from CETP target countries attended the IEA Ministerial in </w:t>
      </w:r>
      <w:r>
        <w:rPr>
          <w:rFonts w:cs="Arial"/>
          <w:bCs/>
          <w:sz w:val="20"/>
          <w:szCs w:val="20"/>
        </w:rPr>
        <w:t xml:space="preserve">2024 </w:t>
      </w:r>
      <w:r w:rsidRPr="00742718">
        <w:rPr>
          <w:rFonts w:cs="Arial"/>
          <w:bCs/>
          <w:sz w:val="20"/>
          <w:szCs w:val="20"/>
        </w:rPr>
        <w:t>where at a special session on the CETP, ministers from funders and target countries came together to discuss the successes of the programme to date, opportunities to enhance the programme and identify forward priorities.</w:t>
      </w:r>
    </w:p>
    <w:p w14:paraId="77925F4D" w14:textId="77777777" w:rsidR="00B04CCE" w:rsidRPr="00742718" w:rsidRDefault="00B04CCE" w:rsidP="00B04CCE">
      <w:pPr>
        <w:jc w:val="both"/>
        <w:rPr>
          <w:rFonts w:cs="Arial"/>
          <w:bCs/>
          <w:sz w:val="20"/>
          <w:szCs w:val="20"/>
        </w:rPr>
      </w:pPr>
    </w:p>
    <w:p w14:paraId="537D45DB" w14:textId="644A92BC" w:rsidR="00E849B6" w:rsidRPr="00DF6AF2" w:rsidRDefault="00B04CCE" w:rsidP="00106EED">
      <w:pPr>
        <w:rPr>
          <w:sz w:val="20"/>
          <w:szCs w:val="20"/>
        </w:rPr>
      </w:pPr>
      <w:r w:rsidRPr="00DF6AF2">
        <w:rPr>
          <w:rFonts w:cs="Arial"/>
          <w:bCs/>
          <w:sz w:val="20"/>
          <w:szCs w:val="20"/>
        </w:rPr>
        <w:t xml:space="preserve">This high-level engagement </w:t>
      </w:r>
      <w:r w:rsidR="00E738D3" w:rsidRPr="00DF6AF2">
        <w:rPr>
          <w:rFonts w:cs="Arial"/>
          <w:bCs/>
          <w:sz w:val="20"/>
          <w:szCs w:val="20"/>
        </w:rPr>
        <w:t xml:space="preserve">and resulting buy-in </w:t>
      </w:r>
      <w:r w:rsidRPr="00DF6AF2">
        <w:rPr>
          <w:rFonts w:cs="Arial"/>
          <w:bCs/>
          <w:sz w:val="20"/>
          <w:szCs w:val="20"/>
        </w:rPr>
        <w:t>as facilitated and been supported by</w:t>
      </w:r>
      <w:r w:rsidR="00EF0FB8" w:rsidRPr="00DF6AF2">
        <w:rPr>
          <w:b/>
          <w:bCs/>
          <w:i/>
          <w:iCs/>
          <w:sz w:val="20"/>
          <w:szCs w:val="20"/>
        </w:rPr>
        <w:t xml:space="preserve"> </w:t>
      </w:r>
      <w:r w:rsidR="00EF0FB8" w:rsidRPr="00DF6AF2">
        <w:rPr>
          <w:sz w:val="20"/>
          <w:szCs w:val="20"/>
        </w:rPr>
        <w:t xml:space="preserve">the provision of tailored </w:t>
      </w:r>
      <w:r w:rsidRPr="00DF6AF2">
        <w:rPr>
          <w:sz w:val="20"/>
          <w:szCs w:val="20"/>
        </w:rPr>
        <w:t xml:space="preserve">technical </w:t>
      </w:r>
      <w:r w:rsidR="00DF6AF2" w:rsidRPr="00DF6AF2">
        <w:rPr>
          <w:sz w:val="20"/>
          <w:szCs w:val="20"/>
        </w:rPr>
        <w:t>exchanges</w:t>
      </w:r>
      <w:r w:rsidRPr="00DF6AF2">
        <w:rPr>
          <w:sz w:val="20"/>
          <w:szCs w:val="20"/>
        </w:rPr>
        <w:t xml:space="preserve"> and capacity building </w:t>
      </w:r>
      <w:r w:rsidR="00EF0FB8" w:rsidRPr="00DF6AF2">
        <w:rPr>
          <w:sz w:val="20"/>
          <w:szCs w:val="20"/>
        </w:rPr>
        <w:t xml:space="preserve">training events for target countries across the full spectrum of issues covered by the CETP and forms a significant proportion of work undertaken under CETP. </w:t>
      </w:r>
      <w:r w:rsidR="00547D1F">
        <w:rPr>
          <w:sz w:val="20"/>
          <w:szCs w:val="20"/>
        </w:rPr>
        <w:t xml:space="preserve"> 831 </w:t>
      </w:r>
      <w:r w:rsidR="00455EAD" w:rsidRPr="00455EAD">
        <w:rPr>
          <w:sz w:val="20"/>
          <w:szCs w:val="20"/>
        </w:rPr>
        <w:t xml:space="preserve">technical exchanges </w:t>
      </w:r>
      <w:r w:rsidR="00547D1F">
        <w:rPr>
          <w:sz w:val="20"/>
          <w:szCs w:val="20"/>
        </w:rPr>
        <w:t xml:space="preserve">and workshops have been </w:t>
      </w:r>
      <w:r w:rsidR="00455EAD" w:rsidRPr="00455EAD">
        <w:rPr>
          <w:sz w:val="20"/>
          <w:szCs w:val="20"/>
        </w:rPr>
        <w:t>with officials across all CETP priority countries</w:t>
      </w:r>
      <w:r w:rsidR="000D5A26">
        <w:rPr>
          <w:sz w:val="20"/>
          <w:szCs w:val="20"/>
        </w:rPr>
        <w:t xml:space="preserve">, with high levels of satisfaction recorded ahead of milestones, and </w:t>
      </w:r>
      <w:r w:rsidR="00154BAB">
        <w:rPr>
          <w:sz w:val="20"/>
          <w:szCs w:val="20"/>
        </w:rPr>
        <w:t xml:space="preserve">the number </w:t>
      </w:r>
      <w:r w:rsidR="00451FC3">
        <w:rPr>
          <w:sz w:val="20"/>
          <w:szCs w:val="20"/>
        </w:rPr>
        <w:t>of</w:t>
      </w:r>
      <w:r w:rsidR="00154BAB">
        <w:rPr>
          <w:sz w:val="20"/>
          <w:szCs w:val="20"/>
        </w:rPr>
        <w:t xml:space="preserve"> women participants also exceeding milestones. Technical exchanges in 2024 have included </w:t>
      </w:r>
      <w:r w:rsidR="00C626EF">
        <w:rPr>
          <w:sz w:val="20"/>
          <w:szCs w:val="20"/>
        </w:rPr>
        <w:t>presen</w:t>
      </w:r>
      <w:r w:rsidR="0056692D">
        <w:rPr>
          <w:sz w:val="20"/>
          <w:szCs w:val="20"/>
        </w:rPr>
        <w:t xml:space="preserve">tation of </w:t>
      </w:r>
      <w:r w:rsidR="00154BAB">
        <w:rPr>
          <w:sz w:val="20"/>
          <w:szCs w:val="20"/>
        </w:rPr>
        <w:t xml:space="preserve"> </w:t>
      </w:r>
      <w:r w:rsidR="000D5A26">
        <w:rPr>
          <w:sz w:val="20"/>
          <w:szCs w:val="20"/>
        </w:rPr>
        <w:t xml:space="preserve"> </w:t>
      </w:r>
      <w:r w:rsidR="00C626EF" w:rsidRPr="00C626EF">
        <w:rPr>
          <w:sz w:val="20"/>
          <w:szCs w:val="20"/>
        </w:rPr>
        <w:t>policy recommendations on electricity grids and secure</w:t>
      </w:r>
      <w:r w:rsidR="0056692D">
        <w:rPr>
          <w:sz w:val="20"/>
          <w:szCs w:val="20"/>
        </w:rPr>
        <w:t xml:space="preserve"> </w:t>
      </w:r>
      <w:r w:rsidR="00C626EF" w:rsidRPr="00C626EF">
        <w:rPr>
          <w:sz w:val="20"/>
          <w:szCs w:val="20"/>
        </w:rPr>
        <w:t>energy transitions to key Indian stakeholders at a workshop co-hosted with</w:t>
      </w:r>
      <w:r w:rsidR="0056692D">
        <w:rPr>
          <w:sz w:val="20"/>
          <w:szCs w:val="20"/>
        </w:rPr>
        <w:t xml:space="preserve"> </w:t>
      </w:r>
      <w:r w:rsidR="00C626EF" w:rsidRPr="00C626EF">
        <w:rPr>
          <w:sz w:val="20"/>
          <w:szCs w:val="20"/>
        </w:rPr>
        <w:t>India's Ministry of Power and the Grid Controller of India</w:t>
      </w:r>
      <w:r w:rsidR="0056692D">
        <w:rPr>
          <w:sz w:val="20"/>
          <w:szCs w:val="20"/>
        </w:rPr>
        <w:t xml:space="preserve">, </w:t>
      </w:r>
      <w:r w:rsidR="004A4817">
        <w:rPr>
          <w:sz w:val="20"/>
          <w:szCs w:val="20"/>
        </w:rPr>
        <w:t xml:space="preserve">collaboration with </w:t>
      </w:r>
      <w:r w:rsidR="00843A63">
        <w:rPr>
          <w:sz w:val="20"/>
          <w:szCs w:val="20"/>
        </w:rPr>
        <w:t>t</w:t>
      </w:r>
      <w:r w:rsidR="004A4817" w:rsidRPr="004A4817">
        <w:rPr>
          <w:sz w:val="20"/>
          <w:szCs w:val="20"/>
        </w:rPr>
        <w:t xml:space="preserve">he Energy Market Authority of Singapore and the IEA </w:t>
      </w:r>
      <w:r w:rsidR="00843A63">
        <w:rPr>
          <w:sz w:val="20"/>
          <w:szCs w:val="20"/>
        </w:rPr>
        <w:t xml:space="preserve">on </w:t>
      </w:r>
      <w:r w:rsidR="004A4817" w:rsidRPr="004A4817">
        <w:rPr>
          <w:sz w:val="20"/>
          <w:szCs w:val="20"/>
        </w:rPr>
        <w:t>a joint workshop</w:t>
      </w:r>
      <w:r w:rsidR="00843A63">
        <w:rPr>
          <w:sz w:val="20"/>
          <w:szCs w:val="20"/>
        </w:rPr>
        <w:t xml:space="preserve"> for ASEAN countries </w:t>
      </w:r>
      <w:r w:rsidR="004A4817" w:rsidRPr="004A4817">
        <w:rPr>
          <w:sz w:val="20"/>
          <w:szCs w:val="20"/>
        </w:rPr>
        <w:t xml:space="preserve"> on</w:t>
      </w:r>
      <w:r w:rsidR="00843A63">
        <w:rPr>
          <w:sz w:val="20"/>
          <w:szCs w:val="20"/>
        </w:rPr>
        <w:t xml:space="preserve"> </w:t>
      </w:r>
      <w:r w:rsidR="004A4817" w:rsidRPr="004A4817">
        <w:rPr>
          <w:sz w:val="20"/>
          <w:szCs w:val="20"/>
        </w:rPr>
        <w:t>advancing cross-border electricity trading to unlock the region's renewable</w:t>
      </w:r>
      <w:r w:rsidR="00843A63">
        <w:rPr>
          <w:sz w:val="20"/>
          <w:szCs w:val="20"/>
        </w:rPr>
        <w:t xml:space="preserve"> </w:t>
      </w:r>
      <w:r w:rsidR="004A4817" w:rsidRPr="004A4817">
        <w:rPr>
          <w:sz w:val="20"/>
          <w:szCs w:val="20"/>
        </w:rPr>
        <w:t>energy potential</w:t>
      </w:r>
      <w:r w:rsidR="00843A63">
        <w:rPr>
          <w:sz w:val="20"/>
          <w:szCs w:val="20"/>
        </w:rPr>
        <w:t xml:space="preserve">, </w:t>
      </w:r>
      <w:r w:rsidR="00285C57">
        <w:rPr>
          <w:sz w:val="20"/>
          <w:szCs w:val="20"/>
        </w:rPr>
        <w:t>organising</w:t>
      </w:r>
      <w:r w:rsidR="00643946">
        <w:rPr>
          <w:sz w:val="20"/>
          <w:szCs w:val="20"/>
        </w:rPr>
        <w:t xml:space="preserve"> with </w:t>
      </w:r>
      <w:r w:rsidR="00456541" w:rsidRPr="00456541">
        <w:rPr>
          <w:sz w:val="20"/>
          <w:szCs w:val="20"/>
        </w:rPr>
        <w:t xml:space="preserve">Brazil’s Ministry of Mines and Energy, </w:t>
      </w:r>
      <w:r w:rsidR="00643946">
        <w:rPr>
          <w:sz w:val="20"/>
          <w:szCs w:val="20"/>
        </w:rPr>
        <w:t xml:space="preserve">a workshop on </w:t>
      </w:r>
      <w:r w:rsidR="00456541" w:rsidRPr="00456541">
        <w:rPr>
          <w:sz w:val="20"/>
          <w:szCs w:val="20"/>
        </w:rPr>
        <w:t>Doubling Energy Efficiency Policy Tools for Latin</w:t>
      </w:r>
      <w:r w:rsidR="00643946">
        <w:rPr>
          <w:sz w:val="20"/>
          <w:szCs w:val="20"/>
        </w:rPr>
        <w:t xml:space="preserve"> </w:t>
      </w:r>
      <w:r w:rsidR="00456541" w:rsidRPr="00456541">
        <w:rPr>
          <w:sz w:val="20"/>
          <w:szCs w:val="20"/>
        </w:rPr>
        <w:t>America</w:t>
      </w:r>
      <w:r w:rsidR="00643946">
        <w:rPr>
          <w:sz w:val="20"/>
          <w:szCs w:val="20"/>
        </w:rPr>
        <w:t>, a</w:t>
      </w:r>
      <w:r w:rsidR="005C7E58">
        <w:rPr>
          <w:sz w:val="20"/>
          <w:szCs w:val="20"/>
        </w:rPr>
        <w:t>nd</w:t>
      </w:r>
      <w:r w:rsidR="00106EED">
        <w:rPr>
          <w:sz w:val="20"/>
          <w:szCs w:val="20"/>
        </w:rPr>
        <w:t xml:space="preserve"> a</w:t>
      </w:r>
      <w:r w:rsidR="005C7E58">
        <w:rPr>
          <w:sz w:val="20"/>
          <w:szCs w:val="20"/>
        </w:rPr>
        <w:t xml:space="preserve"> </w:t>
      </w:r>
      <w:r w:rsidR="00106EED" w:rsidRPr="00106EED">
        <w:rPr>
          <w:sz w:val="20"/>
          <w:szCs w:val="20"/>
        </w:rPr>
        <w:t>series of</w:t>
      </w:r>
      <w:r w:rsidR="00106EED">
        <w:rPr>
          <w:sz w:val="20"/>
          <w:szCs w:val="20"/>
        </w:rPr>
        <w:t xml:space="preserve"> </w:t>
      </w:r>
      <w:r w:rsidR="00106EED" w:rsidRPr="00106EED">
        <w:rPr>
          <w:sz w:val="20"/>
          <w:szCs w:val="20"/>
        </w:rPr>
        <w:t>Regional Roundtables on Turning Methane Pledges into Action</w:t>
      </w:r>
      <w:r w:rsidR="00106EED">
        <w:rPr>
          <w:sz w:val="20"/>
          <w:szCs w:val="20"/>
        </w:rPr>
        <w:t xml:space="preserve"> </w:t>
      </w:r>
      <w:r w:rsidR="00106EED" w:rsidRPr="00106EED">
        <w:rPr>
          <w:sz w:val="20"/>
          <w:szCs w:val="20"/>
        </w:rPr>
        <w:t xml:space="preserve">aimed </w:t>
      </w:r>
      <w:r w:rsidR="00106EED">
        <w:rPr>
          <w:sz w:val="20"/>
          <w:szCs w:val="20"/>
        </w:rPr>
        <w:t>at</w:t>
      </w:r>
      <w:r w:rsidR="00106EED" w:rsidRPr="00106EED">
        <w:rPr>
          <w:sz w:val="20"/>
          <w:szCs w:val="20"/>
        </w:rPr>
        <w:t xml:space="preserve"> bring</w:t>
      </w:r>
      <w:r w:rsidR="00106EED">
        <w:rPr>
          <w:sz w:val="20"/>
          <w:szCs w:val="20"/>
        </w:rPr>
        <w:t>ing</w:t>
      </w:r>
      <w:r w:rsidR="00106EED" w:rsidRPr="00106EED">
        <w:rPr>
          <w:sz w:val="20"/>
          <w:szCs w:val="20"/>
        </w:rPr>
        <w:t xml:space="preserve"> together countries from specific regions to discuss</w:t>
      </w:r>
      <w:r w:rsidR="00106EED">
        <w:rPr>
          <w:sz w:val="20"/>
          <w:szCs w:val="20"/>
        </w:rPr>
        <w:t xml:space="preserve"> </w:t>
      </w:r>
      <w:r w:rsidR="00106EED" w:rsidRPr="00106EED">
        <w:rPr>
          <w:sz w:val="20"/>
          <w:szCs w:val="20"/>
        </w:rPr>
        <w:t>challenges and opportunities in methane monitoring, abatement, regulation and</w:t>
      </w:r>
      <w:r w:rsidR="00106EED">
        <w:rPr>
          <w:sz w:val="20"/>
          <w:szCs w:val="20"/>
        </w:rPr>
        <w:t xml:space="preserve"> </w:t>
      </w:r>
      <w:r w:rsidR="00106EED" w:rsidRPr="00106EED">
        <w:rPr>
          <w:sz w:val="20"/>
          <w:szCs w:val="20"/>
        </w:rPr>
        <w:t>financin</w:t>
      </w:r>
      <w:r w:rsidR="00106EED">
        <w:rPr>
          <w:sz w:val="20"/>
          <w:szCs w:val="20"/>
        </w:rPr>
        <w:t>g.</w:t>
      </w:r>
    </w:p>
    <w:p w14:paraId="68AD81F9" w14:textId="77777777" w:rsidR="00E849B6" w:rsidRPr="00DF6AF2" w:rsidRDefault="00E849B6" w:rsidP="00E738D3">
      <w:pPr>
        <w:rPr>
          <w:sz w:val="20"/>
          <w:szCs w:val="20"/>
        </w:rPr>
      </w:pPr>
    </w:p>
    <w:p w14:paraId="4B44CA13" w14:textId="7598714D" w:rsidR="00D358E8" w:rsidRPr="00DF6AF2" w:rsidRDefault="00EF0FB8" w:rsidP="00E738D3">
      <w:pPr>
        <w:rPr>
          <w:sz w:val="20"/>
          <w:szCs w:val="20"/>
        </w:rPr>
      </w:pPr>
      <w:r w:rsidRPr="00DF6AF2">
        <w:rPr>
          <w:sz w:val="20"/>
          <w:szCs w:val="20"/>
        </w:rPr>
        <w:t xml:space="preserve">The training </w:t>
      </w:r>
      <w:r w:rsidR="00154BAB">
        <w:rPr>
          <w:sz w:val="20"/>
          <w:szCs w:val="20"/>
        </w:rPr>
        <w:t xml:space="preserve">and capacity building </w:t>
      </w:r>
      <w:r w:rsidR="00C22604">
        <w:rPr>
          <w:sz w:val="20"/>
          <w:szCs w:val="20"/>
        </w:rPr>
        <w:t xml:space="preserve">offered by the programme </w:t>
      </w:r>
      <w:r w:rsidRPr="00DF6AF2">
        <w:rPr>
          <w:sz w:val="20"/>
          <w:szCs w:val="20"/>
        </w:rPr>
        <w:t>supports joint learning and knowledge transfer to provide officials and others with the skills and knowledge to support target countries in formulating and implementing policies towards clean energy transitions as well as creating peer-to-peer networks of practitioners.</w:t>
      </w:r>
    </w:p>
    <w:p w14:paraId="03BE758E" w14:textId="5E2AF3BB" w:rsidR="003B681F" w:rsidRPr="00DF6AF2" w:rsidRDefault="003B681F" w:rsidP="003B681F">
      <w:pPr>
        <w:pStyle w:val="Heading2"/>
        <w:jc w:val="both"/>
        <w:rPr>
          <w:b w:val="0"/>
          <w:bCs/>
          <w:i w:val="0"/>
          <w:iCs/>
          <w:sz w:val="20"/>
          <w:szCs w:val="20"/>
        </w:rPr>
      </w:pPr>
      <w:r w:rsidRPr="00DF6AF2">
        <w:rPr>
          <w:b w:val="0"/>
          <w:bCs/>
          <w:i w:val="0"/>
          <w:iCs/>
          <w:sz w:val="20"/>
          <w:szCs w:val="20"/>
        </w:rPr>
        <w:t xml:space="preserve">Overall, </w:t>
      </w:r>
      <w:r w:rsidR="003B2D27">
        <w:rPr>
          <w:b w:val="0"/>
          <w:bCs/>
          <w:i w:val="0"/>
          <w:iCs/>
          <w:sz w:val="20"/>
          <w:szCs w:val="20"/>
        </w:rPr>
        <w:t xml:space="preserve">47 </w:t>
      </w:r>
      <w:r w:rsidRPr="00DF6AF2">
        <w:rPr>
          <w:b w:val="0"/>
          <w:bCs/>
          <w:i w:val="0"/>
          <w:iCs/>
          <w:sz w:val="20"/>
          <w:szCs w:val="20"/>
        </w:rPr>
        <w:t xml:space="preserve">training </w:t>
      </w:r>
      <w:r w:rsidR="00B34ADF">
        <w:rPr>
          <w:b w:val="0"/>
          <w:bCs/>
          <w:i w:val="0"/>
          <w:iCs/>
          <w:sz w:val="20"/>
          <w:szCs w:val="20"/>
        </w:rPr>
        <w:t xml:space="preserve">and capacity building </w:t>
      </w:r>
      <w:r w:rsidRPr="00DF6AF2">
        <w:rPr>
          <w:b w:val="0"/>
          <w:bCs/>
          <w:i w:val="0"/>
          <w:iCs/>
          <w:sz w:val="20"/>
          <w:szCs w:val="20"/>
        </w:rPr>
        <w:t>events were held in</w:t>
      </w:r>
      <w:r w:rsidR="00C22604">
        <w:rPr>
          <w:b w:val="0"/>
          <w:bCs/>
          <w:i w:val="0"/>
          <w:iCs/>
          <w:sz w:val="20"/>
          <w:szCs w:val="20"/>
        </w:rPr>
        <w:t xml:space="preserve"> 2024</w:t>
      </w:r>
      <w:r w:rsidRPr="00DF6AF2">
        <w:rPr>
          <w:b w:val="0"/>
          <w:bCs/>
          <w:i w:val="0"/>
          <w:iCs/>
          <w:sz w:val="20"/>
          <w:szCs w:val="20"/>
        </w:rPr>
        <w:t>. This exceeded the agreed milestone,</w:t>
      </w:r>
      <w:r w:rsidR="003B2D27">
        <w:rPr>
          <w:b w:val="0"/>
          <w:bCs/>
          <w:i w:val="0"/>
          <w:iCs/>
          <w:sz w:val="20"/>
          <w:szCs w:val="20"/>
        </w:rPr>
        <w:t xml:space="preserve"> </w:t>
      </w:r>
      <w:r w:rsidR="00E57953">
        <w:rPr>
          <w:b w:val="0"/>
          <w:bCs/>
          <w:i w:val="0"/>
          <w:iCs/>
          <w:sz w:val="20"/>
          <w:szCs w:val="20"/>
        </w:rPr>
        <w:t xml:space="preserve">with </w:t>
      </w:r>
      <w:r w:rsidR="00272DAF">
        <w:rPr>
          <w:b w:val="0"/>
          <w:bCs/>
          <w:i w:val="0"/>
          <w:iCs/>
          <w:sz w:val="20"/>
          <w:szCs w:val="20"/>
        </w:rPr>
        <w:t>a record 48.7</w:t>
      </w:r>
      <w:r w:rsidRPr="00DF6AF2">
        <w:rPr>
          <w:b w:val="0"/>
          <w:bCs/>
          <w:i w:val="0"/>
          <w:iCs/>
          <w:sz w:val="20"/>
          <w:szCs w:val="20"/>
        </w:rPr>
        <w:t xml:space="preserve">% </w:t>
      </w:r>
      <w:r w:rsidR="00E57953">
        <w:rPr>
          <w:b w:val="0"/>
          <w:bCs/>
          <w:i w:val="0"/>
          <w:iCs/>
          <w:sz w:val="20"/>
          <w:szCs w:val="20"/>
        </w:rPr>
        <w:t>of attendees being</w:t>
      </w:r>
      <w:r w:rsidRPr="00DF6AF2">
        <w:rPr>
          <w:b w:val="0"/>
          <w:bCs/>
          <w:i w:val="0"/>
          <w:iCs/>
          <w:sz w:val="20"/>
          <w:szCs w:val="20"/>
        </w:rPr>
        <w:t xml:space="preserve"> women, </w:t>
      </w:r>
      <w:r w:rsidR="00272DAF">
        <w:rPr>
          <w:b w:val="0"/>
          <w:bCs/>
          <w:i w:val="0"/>
          <w:iCs/>
          <w:sz w:val="20"/>
          <w:szCs w:val="20"/>
        </w:rPr>
        <w:t xml:space="preserve">and </w:t>
      </w:r>
      <w:r w:rsidRPr="00DF6AF2">
        <w:rPr>
          <w:b w:val="0"/>
          <w:bCs/>
          <w:i w:val="0"/>
          <w:iCs/>
          <w:sz w:val="20"/>
          <w:szCs w:val="20"/>
        </w:rPr>
        <w:t xml:space="preserve">continued high levels of satisfaction with the training being recorded through responses to feedback forms provided for each event.   </w:t>
      </w:r>
    </w:p>
    <w:p w14:paraId="1F2AEA64" w14:textId="5E5E5EB4" w:rsidR="007B5B9B" w:rsidRPr="007B5B9B" w:rsidRDefault="003B681F" w:rsidP="007B5B9B">
      <w:pPr>
        <w:pStyle w:val="Heading2"/>
        <w:jc w:val="both"/>
        <w:rPr>
          <w:b w:val="0"/>
          <w:bCs/>
          <w:i w:val="0"/>
          <w:iCs/>
          <w:sz w:val="20"/>
          <w:szCs w:val="20"/>
        </w:rPr>
      </w:pPr>
      <w:r w:rsidRPr="00272DAF">
        <w:rPr>
          <w:b w:val="0"/>
          <w:bCs/>
          <w:i w:val="0"/>
          <w:iCs/>
          <w:sz w:val="20"/>
          <w:szCs w:val="20"/>
        </w:rPr>
        <w:t xml:space="preserve">Examples of training activities undertaken include </w:t>
      </w:r>
      <w:r w:rsidR="007B5B9B">
        <w:rPr>
          <w:b w:val="0"/>
          <w:bCs/>
          <w:i w:val="0"/>
          <w:iCs/>
          <w:sz w:val="20"/>
          <w:szCs w:val="20"/>
        </w:rPr>
        <w:t>working in</w:t>
      </w:r>
      <w:r w:rsidR="007B5B9B" w:rsidRPr="007B5B9B">
        <w:rPr>
          <w:b w:val="0"/>
          <w:bCs/>
          <w:i w:val="0"/>
          <w:iCs/>
          <w:sz w:val="20"/>
          <w:szCs w:val="20"/>
        </w:rPr>
        <w:t xml:space="preserve"> collaboration with the World Energy Council and the Indian Government’s Future Energy Leaders, Program, </w:t>
      </w:r>
      <w:r w:rsidR="007B5B9B">
        <w:rPr>
          <w:b w:val="0"/>
          <w:bCs/>
          <w:i w:val="0"/>
          <w:iCs/>
          <w:sz w:val="20"/>
          <w:szCs w:val="20"/>
        </w:rPr>
        <w:t xml:space="preserve">to </w:t>
      </w:r>
      <w:r w:rsidR="007B5B9B" w:rsidRPr="007B5B9B">
        <w:rPr>
          <w:b w:val="0"/>
          <w:bCs/>
          <w:i w:val="0"/>
          <w:iCs/>
          <w:sz w:val="20"/>
          <w:szCs w:val="20"/>
        </w:rPr>
        <w:t xml:space="preserve">deliver training on energy policy and data in New Delhi in June 2024. In collaboration with Brazil’s Ministry of Mines and Energy, the CETP </w:t>
      </w:r>
      <w:r w:rsidR="004D060F">
        <w:rPr>
          <w:b w:val="0"/>
          <w:bCs/>
          <w:i w:val="0"/>
          <w:iCs/>
          <w:sz w:val="20"/>
          <w:szCs w:val="20"/>
        </w:rPr>
        <w:t xml:space="preserve">delivered </w:t>
      </w:r>
      <w:r w:rsidR="007B5B9B" w:rsidRPr="007B5B9B">
        <w:rPr>
          <w:b w:val="0"/>
          <w:bCs/>
          <w:i w:val="0"/>
          <w:iCs/>
          <w:sz w:val="20"/>
          <w:szCs w:val="20"/>
        </w:rPr>
        <w:t>a Latin America Energy Efficiency Policy Training Week in December 2024 for policy officials from countries across Latin America</w:t>
      </w:r>
      <w:r w:rsidR="004D060F">
        <w:rPr>
          <w:b w:val="0"/>
          <w:bCs/>
          <w:i w:val="0"/>
          <w:iCs/>
          <w:sz w:val="20"/>
          <w:szCs w:val="20"/>
        </w:rPr>
        <w:t xml:space="preserve">. </w:t>
      </w:r>
      <w:r w:rsidR="007B5B9B" w:rsidRPr="007B5B9B">
        <w:rPr>
          <w:b w:val="0"/>
          <w:bCs/>
          <w:i w:val="0"/>
          <w:iCs/>
          <w:sz w:val="20"/>
          <w:szCs w:val="20"/>
        </w:rPr>
        <w:t xml:space="preserve">The CETP </w:t>
      </w:r>
      <w:r w:rsidR="004D060F">
        <w:rPr>
          <w:b w:val="0"/>
          <w:bCs/>
          <w:i w:val="0"/>
          <w:iCs/>
          <w:sz w:val="20"/>
          <w:szCs w:val="20"/>
        </w:rPr>
        <w:t xml:space="preserve">also </w:t>
      </w:r>
      <w:r w:rsidR="007B5B9B" w:rsidRPr="007B5B9B">
        <w:rPr>
          <w:b w:val="0"/>
          <w:bCs/>
          <w:i w:val="0"/>
          <w:iCs/>
          <w:sz w:val="20"/>
          <w:szCs w:val="20"/>
        </w:rPr>
        <w:t>partnered with the Development Bank of Latin America to develop and deliver an online course on energy efficiency in buildings in Latin America. The course, for policy officials, is now available in Spanish, Portuguese and English</w:t>
      </w:r>
      <w:r w:rsidR="004D060F">
        <w:rPr>
          <w:b w:val="0"/>
          <w:bCs/>
          <w:i w:val="0"/>
          <w:iCs/>
          <w:sz w:val="20"/>
          <w:szCs w:val="20"/>
        </w:rPr>
        <w:t xml:space="preserve">. In partnership with the </w:t>
      </w:r>
      <w:r w:rsidR="007B5B9B" w:rsidRPr="007B5B9B">
        <w:rPr>
          <w:b w:val="0"/>
          <w:bCs/>
          <w:i w:val="0"/>
          <w:iCs/>
          <w:sz w:val="20"/>
          <w:szCs w:val="20"/>
        </w:rPr>
        <w:t>Climate Compatible Growth, Sustainable Energy for All, the World Bank and the World Resources Institute,</w:t>
      </w:r>
      <w:r w:rsidR="004D060F">
        <w:rPr>
          <w:b w:val="0"/>
          <w:bCs/>
          <w:i w:val="0"/>
          <w:iCs/>
          <w:sz w:val="20"/>
          <w:szCs w:val="20"/>
        </w:rPr>
        <w:t xml:space="preserve"> CETP</w:t>
      </w:r>
      <w:r w:rsidR="007B5B9B" w:rsidRPr="007B5B9B">
        <w:rPr>
          <w:b w:val="0"/>
          <w:bCs/>
          <w:i w:val="0"/>
          <w:iCs/>
          <w:sz w:val="20"/>
          <w:szCs w:val="20"/>
        </w:rPr>
        <w:t xml:space="preserve"> delivered a two-week training session on energy modelling in Accra, </w:t>
      </w:r>
      <w:r w:rsidR="007B5B9B" w:rsidRPr="007B5B9B">
        <w:rPr>
          <w:b w:val="0"/>
          <w:bCs/>
          <w:i w:val="0"/>
          <w:iCs/>
          <w:sz w:val="20"/>
          <w:szCs w:val="20"/>
        </w:rPr>
        <w:lastRenderedPageBreak/>
        <w:t>Ghana for 100 energy professionals from more than 20 African countries, in May 2024. The CETP</w:t>
      </w:r>
      <w:r w:rsidR="004D060F">
        <w:rPr>
          <w:b w:val="0"/>
          <w:bCs/>
          <w:i w:val="0"/>
          <w:iCs/>
          <w:sz w:val="20"/>
          <w:szCs w:val="20"/>
        </w:rPr>
        <w:t xml:space="preserve"> </w:t>
      </w:r>
      <w:r w:rsidR="00520EA4">
        <w:rPr>
          <w:b w:val="0"/>
          <w:bCs/>
          <w:i w:val="0"/>
          <w:iCs/>
          <w:sz w:val="20"/>
          <w:szCs w:val="20"/>
        </w:rPr>
        <w:t xml:space="preserve">also </w:t>
      </w:r>
      <w:r w:rsidR="00520EA4" w:rsidRPr="007B5B9B">
        <w:rPr>
          <w:b w:val="0"/>
          <w:bCs/>
          <w:i w:val="0"/>
          <w:iCs/>
          <w:sz w:val="20"/>
          <w:szCs w:val="20"/>
        </w:rPr>
        <w:t>delivered</w:t>
      </w:r>
      <w:r w:rsidR="007B5B9B" w:rsidRPr="007B5B9B">
        <w:rPr>
          <w:b w:val="0"/>
          <w:bCs/>
          <w:i w:val="0"/>
          <w:iCs/>
          <w:sz w:val="20"/>
          <w:szCs w:val="20"/>
        </w:rPr>
        <w:t xml:space="preserve"> a workshop for Iraq’s Ministry of Environment, Ministry of Oil and National Oil Companies, to build capacity for the development of emissions inventories, monitoring frameworks and strengthening methane regulations in the oil and gas sector. </w:t>
      </w:r>
    </w:p>
    <w:p w14:paraId="25B126DC" w14:textId="77777777" w:rsidR="005A7460" w:rsidRDefault="005A7460" w:rsidP="005A7460"/>
    <w:p w14:paraId="7DB5AA29" w14:textId="156967F8" w:rsidR="005A7460" w:rsidRDefault="005A7460" w:rsidP="005A7460">
      <w:pPr>
        <w:rPr>
          <w:sz w:val="20"/>
          <w:szCs w:val="20"/>
        </w:rPr>
      </w:pPr>
      <w:r w:rsidRPr="7F7619C6">
        <w:rPr>
          <w:sz w:val="20"/>
          <w:szCs w:val="20"/>
        </w:rPr>
        <w:t xml:space="preserve">Milestones where there has been moderate underperformance are those related to </w:t>
      </w:r>
      <w:r w:rsidR="004D060F" w:rsidRPr="7F7619C6">
        <w:rPr>
          <w:sz w:val="20"/>
          <w:szCs w:val="20"/>
        </w:rPr>
        <w:t xml:space="preserve">the number of participants in technical exchanges and workshops and </w:t>
      </w:r>
      <w:r w:rsidR="00A92073" w:rsidRPr="7F7619C6">
        <w:rPr>
          <w:sz w:val="20"/>
          <w:szCs w:val="20"/>
        </w:rPr>
        <w:t>training</w:t>
      </w:r>
      <w:r w:rsidR="004D060F" w:rsidRPr="7F7619C6">
        <w:rPr>
          <w:sz w:val="20"/>
          <w:szCs w:val="20"/>
        </w:rPr>
        <w:t xml:space="preserve"> and capacity building</w:t>
      </w:r>
      <w:r w:rsidR="00A92073" w:rsidRPr="7F7619C6">
        <w:rPr>
          <w:sz w:val="20"/>
          <w:szCs w:val="20"/>
        </w:rPr>
        <w:t xml:space="preserve">. </w:t>
      </w:r>
      <w:r w:rsidR="00BC0DB6" w:rsidRPr="7F7619C6">
        <w:rPr>
          <w:sz w:val="20"/>
          <w:szCs w:val="20"/>
        </w:rPr>
        <w:t>This is partly due to a focus on smaller events and sessions</w:t>
      </w:r>
      <w:r w:rsidR="00460BF4" w:rsidRPr="7F7619C6">
        <w:rPr>
          <w:sz w:val="20"/>
          <w:szCs w:val="20"/>
        </w:rPr>
        <w:t xml:space="preserve">, reflecting a shifting balance of demand from </w:t>
      </w:r>
      <w:r w:rsidR="006A2798" w:rsidRPr="7F7619C6">
        <w:rPr>
          <w:sz w:val="20"/>
          <w:szCs w:val="20"/>
        </w:rPr>
        <w:t>target</w:t>
      </w:r>
      <w:r w:rsidR="00460BF4" w:rsidRPr="7F7619C6">
        <w:rPr>
          <w:sz w:val="20"/>
          <w:szCs w:val="20"/>
        </w:rPr>
        <w:t xml:space="preserve"> countries for more focussed </w:t>
      </w:r>
      <w:r w:rsidR="006A2798" w:rsidRPr="7F7619C6">
        <w:rPr>
          <w:sz w:val="20"/>
          <w:szCs w:val="20"/>
        </w:rPr>
        <w:t xml:space="preserve">targeted policy exchanges and capacity building </w:t>
      </w:r>
      <w:r w:rsidR="001D25F4" w:rsidRPr="7F7619C6">
        <w:rPr>
          <w:sz w:val="20"/>
          <w:szCs w:val="20"/>
        </w:rPr>
        <w:t>as opposed to broader but larger-scale events, in tune reflecting a shift from awareness-raising to more practical</w:t>
      </w:r>
      <w:r w:rsidR="002C1DB3" w:rsidRPr="7F7619C6">
        <w:rPr>
          <w:sz w:val="20"/>
          <w:szCs w:val="20"/>
        </w:rPr>
        <w:t>, policy-focussed engagement.</w:t>
      </w:r>
      <w:r w:rsidR="001D25F4" w:rsidRPr="7F7619C6">
        <w:rPr>
          <w:sz w:val="20"/>
          <w:szCs w:val="20"/>
        </w:rPr>
        <w:t xml:space="preserve"> </w:t>
      </w:r>
      <w:r w:rsidR="1FB97C04" w:rsidRPr="7F7619C6">
        <w:rPr>
          <w:sz w:val="20"/>
          <w:szCs w:val="20"/>
        </w:rPr>
        <w:t xml:space="preserve">There was also moderate underperformance </w:t>
      </w:r>
      <w:r w:rsidR="0D6D4005" w:rsidRPr="7F7619C6">
        <w:rPr>
          <w:sz w:val="20"/>
          <w:szCs w:val="20"/>
        </w:rPr>
        <w:t>against milestones for female attendance at workshops on methane emissions reduction in the oil and gas sector</w:t>
      </w:r>
      <w:r w:rsidR="5CC37258" w:rsidRPr="7F7619C6">
        <w:rPr>
          <w:sz w:val="20"/>
          <w:szCs w:val="20"/>
        </w:rPr>
        <w:t xml:space="preserve">. </w:t>
      </w:r>
      <w:r w:rsidR="6C9E107D" w:rsidRPr="7F7619C6">
        <w:rPr>
          <w:sz w:val="20"/>
          <w:szCs w:val="20"/>
        </w:rPr>
        <w:t>Although this is partly a conseque</w:t>
      </w:r>
      <w:r w:rsidR="1DD220F4" w:rsidRPr="7F7619C6">
        <w:rPr>
          <w:sz w:val="20"/>
          <w:szCs w:val="20"/>
        </w:rPr>
        <w:t>n</w:t>
      </w:r>
      <w:r w:rsidR="6C9E107D" w:rsidRPr="7F7619C6">
        <w:rPr>
          <w:sz w:val="20"/>
          <w:szCs w:val="20"/>
        </w:rPr>
        <w:t>ce of the existing</w:t>
      </w:r>
      <w:r w:rsidR="5CC37258" w:rsidRPr="7F7619C6">
        <w:rPr>
          <w:sz w:val="20"/>
          <w:szCs w:val="20"/>
        </w:rPr>
        <w:t xml:space="preserve"> g</w:t>
      </w:r>
      <w:r w:rsidR="19806FB8" w:rsidRPr="7F7619C6">
        <w:rPr>
          <w:sz w:val="20"/>
          <w:szCs w:val="20"/>
        </w:rPr>
        <w:t>e</w:t>
      </w:r>
      <w:r w:rsidR="5CC37258" w:rsidRPr="7F7619C6">
        <w:rPr>
          <w:sz w:val="20"/>
          <w:szCs w:val="20"/>
        </w:rPr>
        <w:t xml:space="preserve">nder </w:t>
      </w:r>
      <w:r w:rsidR="2F66FEA2" w:rsidRPr="7F7619C6">
        <w:rPr>
          <w:sz w:val="20"/>
          <w:szCs w:val="20"/>
        </w:rPr>
        <w:t>balance</w:t>
      </w:r>
      <w:r w:rsidR="021F6885" w:rsidRPr="7F7619C6">
        <w:rPr>
          <w:sz w:val="20"/>
          <w:szCs w:val="20"/>
        </w:rPr>
        <w:t xml:space="preserve"> in the oil and gas sector</w:t>
      </w:r>
      <w:r w:rsidR="475D5E36" w:rsidRPr="7F7619C6">
        <w:rPr>
          <w:sz w:val="20"/>
          <w:szCs w:val="20"/>
        </w:rPr>
        <w:t xml:space="preserve">, particularly in countries targeted, </w:t>
      </w:r>
      <w:r w:rsidR="41EAB593" w:rsidRPr="7F7619C6">
        <w:rPr>
          <w:sz w:val="20"/>
          <w:szCs w:val="20"/>
        </w:rPr>
        <w:t xml:space="preserve">but IEA are actively </w:t>
      </w:r>
      <w:r w:rsidR="0041782D" w:rsidRPr="7F7619C6">
        <w:rPr>
          <w:sz w:val="20"/>
          <w:szCs w:val="20"/>
        </w:rPr>
        <w:t xml:space="preserve">working to identify </w:t>
      </w:r>
      <w:r w:rsidR="6987ADCF" w:rsidRPr="7F7619C6">
        <w:rPr>
          <w:sz w:val="20"/>
          <w:szCs w:val="20"/>
        </w:rPr>
        <w:t>potential attendees.</w:t>
      </w:r>
      <w:r w:rsidR="2F66FEA2" w:rsidRPr="7F7619C6">
        <w:rPr>
          <w:sz w:val="20"/>
          <w:szCs w:val="20"/>
        </w:rPr>
        <w:t xml:space="preserve"> </w:t>
      </w:r>
      <w:r w:rsidR="5CC37258" w:rsidRPr="7F7619C6">
        <w:rPr>
          <w:sz w:val="20"/>
          <w:szCs w:val="20"/>
        </w:rPr>
        <w:t xml:space="preserve"> </w:t>
      </w:r>
      <w:r w:rsidR="0D6D4005" w:rsidRPr="7F7619C6">
        <w:rPr>
          <w:sz w:val="20"/>
          <w:szCs w:val="20"/>
        </w:rPr>
        <w:t xml:space="preserve"> </w:t>
      </w:r>
      <w:r w:rsidR="1FB97C04" w:rsidRPr="7F7619C6">
        <w:rPr>
          <w:sz w:val="20"/>
          <w:szCs w:val="20"/>
        </w:rPr>
        <w:t xml:space="preserve"> </w:t>
      </w:r>
      <w:r w:rsidR="001D25F4" w:rsidRPr="7F7619C6">
        <w:rPr>
          <w:sz w:val="20"/>
          <w:szCs w:val="20"/>
        </w:rPr>
        <w:t xml:space="preserve"> </w:t>
      </w:r>
      <w:r w:rsidR="004D060F" w:rsidRPr="7F7619C6">
        <w:rPr>
          <w:sz w:val="20"/>
          <w:szCs w:val="20"/>
        </w:rPr>
        <w:t xml:space="preserve"> </w:t>
      </w:r>
    </w:p>
    <w:p w14:paraId="49F2405C" w14:textId="77777777" w:rsidR="00520EA4" w:rsidRDefault="00520EA4" w:rsidP="005A7460">
      <w:pPr>
        <w:rPr>
          <w:sz w:val="20"/>
          <w:szCs w:val="20"/>
        </w:rPr>
      </w:pPr>
    </w:p>
    <w:p w14:paraId="0C3AD0F8" w14:textId="77777777" w:rsidR="00520EA4" w:rsidRPr="00D80C6C" w:rsidRDefault="00520EA4" w:rsidP="00520EA4">
      <w:pPr>
        <w:jc w:val="both"/>
        <w:rPr>
          <w:rFonts w:cs="Arial"/>
          <w:i/>
          <w:iCs/>
          <w:sz w:val="22"/>
          <w:szCs w:val="22"/>
        </w:rPr>
      </w:pPr>
      <w:r w:rsidRPr="3A221014">
        <w:rPr>
          <w:b/>
          <w:bCs/>
          <w:i/>
          <w:iCs/>
          <w:sz w:val="28"/>
          <w:szCs w:val="28"/>
        </w:rPr>
        <w:t xml:space="preserve">Changes to this output, and any planned changes </w:t>
      </w:r>
      <w:proofErr w:type="gramStart"/>
      <w:r w:rsidRPr="3A221014">
        <w:rPr>
          <w:b/>
          <w:bCs/>
          <w:i/>
          <w:iCs/>
          <w:sz w:val="28"/>
          <w:szCs w:val="28"/>
        </w:rPr>
        <w:t>as a result of</w:t>
      </w:r>
      <w:proofErr w:type="gramEnd"/>
      <w:r w:rsidRPr="3A221014">
        <w:rPr>
          <w:b/>
          <w:bCs/>
          <w:i/>
          <w:iCs/>
          <w:sz w:val="28"/>
          <w:szCs w:val="28"/>
        </w:rPr>
        <w:t xml:space="preserve"> this review</w:t>
      </w:r>
      <w:r w:rsidRPr="3A221014">
        <w:rPr>
          <w:rFonts w:cs="Arial"/>
          <w:b/>
          <w:bCs/>
          <w:i/>
          <w:iCs/>
          <w:sz w:val="22"/>
          <w:szCs w:val="22"/>
        </w:rPr>
        <w:t xml:space="preserve"> </w:t>
      </w:r>
      <w:r w:rsidRPr="3A221014">
        <w:rPr>
          <w:rFonts w:cs="Arial"/>
          <w:i/>
          <w:iCs/>
          <w:sz w:val="22"/>
          <w:szCs w:val="22"/>
        </w:rPr>
        <w:t>[1 paragraph]</w:t>
      </w:r>
    </w:p>
    <w:p w14:paraId="476F6EC5" w14:textId="77777777" w:rsidR="00520EA4" w:rsidRPr="00D80C6C" w:rsidRDefault="00520EA4" w:rsidP="00520EA4">
      <w:pPr>
        <w:jc w:val="both"/>
        <w:rPr>
          <w:rFonts w:cs="Arial"/>
          <w:sz w:val="22"/>
          <w:szCs w:val="22"/>
        </w:rPr>
      </w:pPr>
    </w:p>
    <w:p w14:paraId="18F949A5" w14:textId="64FB860E" w:rsidR="00520EA4" w:rsidRPr="008F29B8" w:rsidRDefault="00520EA4" w:rsidP="00520EA4">
      <w:pPr>
        <w:jc w:val="both"/>
        <w:rPr>
          <w:rFonts w:cs="Arial"/>
          <w:sz w:val="20"/>
          <w:szCs w:val="20"/>
        </w:rPr>
      </w:pPr>
      <w:r w:rsidRPr="008F29B8">
        <w:rPr>
          <w:rFonts w:cs="Arial"/>
          <w:sz w:val="20"/>
          <w:szCs w:val="20"/>
        </w:rPr>
        <w:t xml:space="preserve">As the first year of this current tranche of support for the programme, there have been no changes to the output </w:t>
      </w:r>
      <w:proofErr w:type="gramStart"/>
      <w:r w:rsidRPr="008F29B8">
        <w:rPr>
          <w:rFonts w:cs="Arial"/>
          <w:sz w:val="20"/>
          <w:szCs w:val="20"/>
        </w:rPr>
        <w:t>during the course of</w:t>
      </w:r>
      <w:proofErr w:type="gramEnd"/>
      <w:r w:rsidRPr="008F29B8">
        <w:rPr>
          <w:rFonts w:cs="Arial"/>
          <w:sz w:val="20"/>
          <w:szCs w:val="20"/>
        </w:rPr>
        <w:t xml:space="preserve"> the year. We will keep all outputs under review, particularly where milestones have been significantly over-achieved, for example due to methane work ramping up faster than expected, to ensure that cumulative output milestones remain stretching for the programme.  Where</w:t>
      </w:r>
      <w:r w:rsidR="00EC3672" w:rsidRPr="008F29B8">
        <w:rPr>
          <w:rFonts w:cs="Arial"/>
          <w:sz w:val="20"/>
          <w:szCs w:val="20"/>
        </w:rPr>
        <w:t xml:space="preserve"> milestones on participant numbers have not been met due to the </w:t>
      </w:r>
      <w:r w:rsidR="008F29B8" w:rsidRPr="008F29B8">
        <w:rPr>
          <w:rFonts w:cs="Arial"/>
          <w:sz w:val="20"/>
          <w:szCs w:val="20"/>
        </w:rPr>
        <w:t xml:space="preserve">seeming changing balance </w:t>
      </w:r>
      <w:proofErr w:type="gramStart"/>
      <w:r w:rsidR="008F29B8" w:rsidRPr="008F29B8">
        <w:rPr>
          <w:rFonts w:cs="Arial"/>
          <w:sz w:val="20"/>
          <w:szCs w:val="20"/>
        </w:rPr>
        <w:t>in the nature of events</w:t>
      </w:r>
      <w:proofErr w:type="gramEnd"/>
      <w:r w:rsidR="008F29B8" w:rsidRPr="008F29B8">
        <w:rPr>
          <w:rFonts w:cs="Arial"/>
          <w:sz w:val="20"/>
          <w:szCs w:val="20"/>
        </w:rPr>
        <w:t xml:space="preserve"> being demanded by target countries we will consider if future milestones should be revised.</w:t>
      </w:r>
    </w:p>
    <w:p w14:paraId="1D59113F" w14:textId="77777777" w:rsidR="008F29B8" w:rsidRPr="008F29B8" w:rsidRDefault="008F29B8" w:rsidP="00520EA4">
      <w:pPr>
        <w:jc w:val="both"/>
        <w:rPr>
          <w:rFonts w:cs="Arial"/>
          <w:sz w:val="20"/>
          <w:szCs w:val="20"/>
        </w:rPr>
      </w:pPr>
    </w:p>
    <w:p w14:paraId="4A4CDBAA" w14:textId="77777777" w:rsidR="008F29B8" w:rsidRDefault="008F29B8" w:rsidP="008F29B8">
      <w:pPr>
        <w:jc w:val="both"/>
        <w:rPr>
          <w:rFonts w:cs="Arial"/>
          <w:sz w:val="22"/>
          <w:szCs w:val="22"/>
        </w:rPr>
      </w:pPr>
      <w:r w:rsidRPr="00953846">
        <w:rPr>
          <w:b/>
          <w:bCs/>
          <w:i/>
          <w:iCs/>
          <w:sz w:val="28"/>
          <w:szCs w:val="28"/>
        </w:rPr>
        <w:t>Progress on recommendations from the previous AR, lessons learned this year, and recommendations for the year ahead</w:t>
      </w:r>
      <w:r w:rsidRPr="00953846">
        <w:rPr>
          <w:rFonts w:cs="Arial"/>
          <w:b/>
          <w:bCs/>
        </w:rPr>
        <w:t xml:space="preserve"> </w:t>
      </w:r>
      <w:r w:rsidRPr="00D80C6C">
        <w:rPr>
          <w:rFonts w:cs="Arial"/>
          <w:sz w:val="22"/>
          <w:szCs w:val="22"/>
        </w:rPr>
        <w:t>[1-2 paragraphs]</w:t>
      </w:r>
    </w:p>
    <w:p w14:paraId="0193D291" w14:textId="77777777" w:rsidR="008F29B8" w:rsidRDefault="008F29B8" w:rsidP="008F29B8">
      <w:pPr>
        <w:jc w:val="both"/>
        <w:rPr>
          <w:rFonts w:cs="Arial"/>
          <w:sz w:val="22"/>
          <w:szCs w:val="22"/>
        </w:rPr>
      </w:pPr>
    </w:p>
    <w:p w14:paraId="1F01B4EF" w14:textId="77777777" w:rsidR="008F29B8" w:rsidRPr="00DE68DC" w:rsidRDefault="008F29B8" w:rsidP="008F29B8">
      <w:pPr>
        <w:jc w:val="both"/>
        <w:rPr>
          <w:rFonts w:cs="Arial"/>
          <w:bCs/>
          <w:sz w:val="20"/>
          <w:szCs w:val="20"/>
        </w:rPr>
      </w:pPr>
      <w:r w:rsidRPr="00DE68DC">
        <w:rPr>
          <w:rFonts w:cs="Arial"/>
          <w:bCs/>
          <w:sz w:val="20"/>
          <w:szCs w:val="20"/>
        </w:rPr>
        <w:t>As the first year of this current tranche of support for the programme there are no outstanding recommendations, with recommendations from the last year of the first tranche of support feeding directly into the subsequent business case.</w:t>
      </w:r>
    </w:p>
    <w:p w14:paraId="1F86E768" w14:textId="77777777" w:rsidR="008F29B8" w:rsidRPr="00DE68DC" w:rsidRDefault="008F29B8" w:rsidP="008F29B8">
      <w:pPr>
        <w:jc w:val="both"/>
        <w:rPr>
          <w:rFonts w:cs="Arial"/>
          <w:bCs/>
          <w:sz w:val="20"/>
          <w:szCs w:val="20"/>
        </w:rPr>
      </w:pPr>
    </w:p>
    <w:p w14:paraId="156830B3" w14:textId="77777777" w:rsidR="008F29B8" w:rsidRPr="00DE68DC" w:rsidRDefault="008F29B8" w:rsidP="008F29B8">
      <w:pPr>
        <w:jc w:val="both"/>
        <w:rPr>
          <w:rFonts w:cs="Arial"/>
          <w:bCs/>
          <w:i/>
          <w:iCs/>
          <w:sz w:val="20"/>
          <w:szCs w:val="20"/>
        </w:rPr>
      </w:pPr>
      <w:r w:rsidRPr="00DE68DC">
        <w:rPr>
          <w:rFonts w:cs="Arial"/>
          <w:bCs/>
          <w:i/>
          <w:iCs/>
          <w:sz w:val="20"/>
          <w:szCs w:val="20"/>
        </w:rPr>
        <w:t>Recommendations</w:t>
      </w:r>
    </w:p>
    <w:p w14:paraId="59210FCA" w14:textId="77777777" w:rsidR="008F29B8" w:rsidRPr="00DE68DC" w:rsidRDefault="008F29B8" w:rsidP="008F29B8">
      <w:pPr>
        <w:jc w:val="both"/>
        <w:rPr>
          <w:rFonts w:cs="Arial"/>
          <w:bCs/>
          <w:sz w:val="20"/>
          <w:szCs w:val="20"/>
        </w:rPr>
      </w:pPr>
    </w:p>
    <w:p w14:paraId="6467A8E3" w14:textId="548BDD53" w:rsidR="008F29B8" w:rsidRPr="00DE68DC" w:rsidRDefault="008F29B8" w:rsidP="7F7619C6">
      <w:pPr>
        <w:pStyle w:val="ListParagraph"/>
        <w:numPr>
          <w:ilvl w:val="0"/>
          <w:numId w:val="20"/>
        </w:numPr>
        <w:jc w:val="both"/>
        <w:rPr>
          <w:rFonts w:cs="Arial"/>
          <w:sz w:val="20"/>
        </w:rPr>
      </w:pPr>
      <w:r w:rsidRPr="7F7619C6">
        <w:rPr>
          <w:rFonts w:cs="Arial"/>
          <w:sz w:val="20"/>
        </w:rPr>
        <w:t>IEA</w:t>
      </w:r>
      <w:r w:rsidR="006D62BB" w:rsidRPr="7F7619C6">
        <w:rPr>
          <w:rFonts w:cs="Arial"/>
          <w:sz w:val="20"/>
        </w:rPr>
        <w:t xml:space="preserve"> and DESNZ to review</w:t>
      </w:r>
      <w:r w:rsidR="003953D8" w:rsidRPr="7F7619C6">
        <w:rPr>
          <w:rFonts w:cs="Arial"/>
          <w:sz w:val="20"/>
        </w:rPr>
        <w:t xml:space="preserve"> the nature of technical exchanges and training being requested by target countries</w:t>
      </w:r>
      <w:r w:rsidR="007C4183" w:rsidRPr="7F7619C6">
        <w:rPr>
          <w:rFonts w:cs="Arial"/>
          <w:sz w:val="20"/>
        </w:rPr>
        <w:t xml:space="preserve"> to assess preferences for focussed smaller scale engagement vs more generic cross-cutting activity and implications for milestone on number of participants.</w:t>
      </w:r>
      <w:r w:rsidR="003953D8" w:rsidRPr="7F7619C6">
        <w:rPr>
          <w:rFonts w:cs="Arial"/>
          <w:sz w:val="20"/>
        </w:rPr>
        <w:t xml:space="preserve"> </w:t>
      </w:r>
      <w:r w:rsidRPr="7F7619C6">
        <w:rPr>
          <w:rFonts w:cs="Arial"/>
          <w:sz w:val="20"/>
        </w:rPr>
        <w:t xml:space="preserve"> </w:t>
      </w:r>
    </w:p>
    <w:p w14:paraId="5C7DBBA5" w14:textId="75C9A919" w:rsidR="003953D8" w:rsidRPr="00DE68DC" w:rsidRDefault="003953D8" w:rsidP="008F29B8">
      <w:pPr>
        <w:pStyle w:val="ListParagraph"/>
        <w:numPr>
          <w:ilvl w:val="0"/>
          <w:numId w:val="20"/>
        </w:numPr>
        <w:jc w:val="both"/>
        <w:rPr>
          <w:rFonts w:cs="Arial"/>
          <w:bCs/>
          <w:sz w:val="20"/>
        </w:rPr>
      </w:pPr>
      <w:r w:rsidRPr="00DE68DC">
        <w:rPr>
          <w:rFonts w:cs="Arial"/>
          <w:bCs/>
          <w:sz w:val="20"/>
        </w:rPr>
        <w:t xml:space="preserve">DESNZ to consider </w:t>
      </w:r>
      <w:r w:rsidR="00397BEF" w:rsidRPr="00DE68DC">
        <w:rPr>
          <w:rFonts w:cs="Arial"/>
          <w:bCs/>
          <w:sz w:val="20"/>
        </w:rPr>
        <w:t xml:space="preserve">increasing </w:t>
      </w:r>
      <w:r w:rsidRPr="00DE68DC">
        <w:rPr>
          <w:rFonts w:cs="Arial"/>
          <w:bCs/>
          <w:sz w:val="20"/>
        </w:rPr>
        <w:t>weighting</w:t>
      </w:r>
      <w:r w:rsidR="00397BEF" w:rsidRPr="00DE68DC">
        <w:rPr>
          <w:rFonts w:cs="Arial"/>
          <w:bCs/>
          <w:sz w:val="20"/>
        </w:rPr>
        <w:t xml:space="preserve"> of this output given </w:t>
      </w:r>
      <w:r w:rsidR="007C4183" w:rsidRPr="00DE68DC">
        <w:rPr>
          <w:rFonts w:cs="Arial"/>
          <w:bCs/>
          <w:sz w:val="20"/>
        </w:rPr>
        <w:t>the significant amount of activity encompassed within its scope.</w:t>
      </w:r>
    </w:p>
    <w:p w14:paraId="4ED29AB1" w14:textId="4CD97A91" w:rsidR="007C4183" w:rsidRPr="00DE68DC" w:rsidRDefault="007C4183" w:rsidP="008F29B8">
      <w:pPr>
        <w:pStyle w:val="ListParagraph"/>
        <w:numPr>
          <w:ilvl w:val="0"/>
          <w:numId w:val="20"/>
        </w:numPr>
        <w:jc w:val="both"/>
        <w:rPr>
          <w:rFonts w:cs="Arial"/>
          <w:bCs/>
          <w:sz w:val="20"/>
        </w:rPr>
      </w:pPr>
      <w:r w:rsidRPr="00DE68DC">
        <w:rPr>
          <w:rFonts w:cs="Arial"/>
          <w:bCs/>
          <w:sz w:val="20"/>
        </w:rPr>
        <w:t xml:space="preserve">DESNZ to </w:t>
      </w:r>
      <w:r w:rsidR="00DF7370" w:rsidRPr="00DE68DC">
        <w:rPr>
          <w:rFonts w:cs="Arial"/>
          <w:bCs/>
          <w:sz w:val="20"/>
        </w:rPr>
        <w:t xml:space="preserve">benchmark gender participation rates </w:t>
      </w:r>
      <w:r w:rsidR="0070781E" w:rsidRPr="00DE68DC">
        <w:rPr>
          <w:rFonts w:cs="Arial"/>
          <w:bCs/>
          <w:sz w:val="20"/>
        </w:rPr>
        <w:t xml:space="preserve">against similar ICF programmes </w:t>
      </w:r>
      <w:r w:rsidR="00DF7370" w:rsidRPr="00DE68DC">
        <w:rPr>
          <w:rFonts w:cs="Arial"/>
          <w:bCs/>
          <w:sz w:val="20"/>
        </w:rPr>
        <w:t xml:space="preserve">to ensure milestones </w:t>
      </w:r>
      <w:r w:rsidR="0070781E" w:rsidRPr="00DE68DC">
        <w:rPr>
          <w:rFonts w:cs="Arial"/>
          <w:bCs/>
          <w:sz w:val="20"/>
        </w:rPr>
        <w:t>still reflect sufficient ambition and stretch</w:t>
      </w:r>
      <w:r w:rsidR="00DF7370" w:rsidRPr="00DE68DC">
        <w:rPr>
          <w:rFonts w:cs="Arial"/>
          <w:bCs/>
          <w:sz w:val="20"/>
        </w:rPr>
        <w:t xml:space="preserve"> </w:t>
      </w:r>
    </w:p>
    <w:p w14:paraId="38497F54" w14:textId="57B837BC" w:rsidR="008F29B8" w:rsidRPr="00DE68DC" w:rsidRDefault="008F29B8" w:rsidP="008A7AEE">
      <w:pPr>
        <w:pStyle w:val="ListParagraph"/>
        <w:numPr>
          <w:ilvl w:val="0"/>
          <w:numId w:val="20"/>
        </w:numPr>
        <w:jc w:val="both"/>
        <w:rPr>
          <w:rFonts w:cs="Arial"/>
          <w:sz w:val="20"/>
        </w:rPr>
      </w:pPr>
      <w:r w:rsidRPr="00DE68DC">
        <w:rPr>
          <w:rFonts w:cs="Arial"/>
          <w:bCs/>
          <w:sz w:val="20"/>
        </w:rPr>
        <w:t>DE</w:t>
      </w:r>
      <w:r w:rsidR="00AF6A60">
        <w:rPr>
          <w:rFonts w:cs="Arial"/>
          <w:bCs/>
          <w:sz w:val="20"/>
        </w:rPr>
        <w:t>S</w:t>
      </w:r>
      <w:r w:rsidRPr="00DE68DC">
        <w:rPr>
          <w:rFonts w:cs="Arial"/>
          <w:bCs/>
          <w:sz w:val="20"/>
        </w:rPr>
        <w:t xml:space="preserve">NZ and IEA to keep the </w:t>
      </w:r>
      <w:proofErr w:type="spellStart"/>
      <w:r w:rsidRPr="00DE68DC">
        <w:rPr>
          <w:rFonts w:cs="Arial"/>
          <w:bCs/>
          <w:sz w:val="20"/>
        </w:rPr>
        <w:t>logframe</w:t>
      </w:r>
      <w:proofErr w:type="spellEnd"/>
      <w:r w:rsidRPr="00DE68DC">
        <w:rPr>
          <w:rFonts w:cs="Arial"/>
          <w:bCs/>
          <w:sz w:val="20"/>
        </w:rPr>
        <w:t xml:space="preserve"> under review to ensure that output indicators remain relevant and that milestones are ambitious but realistic and retain stretch</w:t>
      </w:r>
    </w:p>
    <w:p w14:paraId="345661C3" w14:textId="190AD630" w:rsidR="004A367B" w:rsidRDefault="004A367B" w:rsidP="004D5FD5">
      <w:pPr>
        <w:pStyle w:val="Heading2"/>
        <w:jc w:val="both"/>
      </w:pPr>
      <w:r>
        <w:t xml:space="preserve">Output 3: </w:t>
      </w:r>
      <w:bookmarkEnd w:id="13"/>
    </w:p>
    <w:p w14:paraId="23CF0139" w14:textId="77777777" w:rsidR="00ED5FD4" w:rsidRPr="00ED5FD4" w:rsidRDefault="00ED5FD4" w:rsidP="00ED5FD4"/>
    <w:tbl>
      <w:tblPr>
        <w:tblStyle w:val="TableGrid"/>
        <w:tblW w:w="9072" w:type="dxa"/>
        <w:tblInd w:w="-5" w:type="dxa"/>
        <w:tblLook w:val="04A0" w:firstRow="1" w:lastRow="0" w:firstColumn="1" w:lastColumn="0" w:noHBand="0" w:noVBand="1"/>
      </w:tblPr>
      <w:tblGrid>
        <w:gridCol w:w="1566"/>
        <w:gridCol w:w="616"/>
        <w:gridCol w:w="937"/>
        <w:gridCol w:w="2977"/>
        <w:gridCol w:w="2976"/>
      </w:tblGrid>
      <w:tr w:rsidR="00ED5FD4" w:rsidRPr="00D80C6C" w14:paraId="343E8A59" w14:textId="77777777">
        <w:trPr>
          <w:trHeight w:val="489"/>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F6358D7" w14:textId="77777777" w:rsidR="00ED5FD4" w:rsidRPr="00D80C6C" w:rsidRDefault="00ED5FD4">
            <w:pPr>
              <w:jc w:val="both"/>
              <w:rPr>
                <w:rFonts w:cs="Arial"/>
                <w:b/>
                <w:bCs/>
                <w:sz w:val="22"/>
                <w:szCs w:val="22"/>
              </w:rPr>
            </w:pPr>
            <w:r w:rsidRPr="00D80C6C">
              <w:rPr>
                <w:rFonts w:cs="Arial"/>
                <w:b/>
                <w:bCs/>
                <w:sz w:val="22"/>
                <w:szCs w:val="22"/>
              </w:rPr>
              <w:t xml:space="preserve">Output Title </w:t>
            </w:r>
          </w:p>
        </w:tc>
        <w:tc>
          <w:tcPr>
            <w:tcW w:w="750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15425E5" w14:textId="67DF1C24" w:rsidR="00ED5FD4" w:rsidRPr="00196F42" w:rsidRDefault="00196F42" w:rsidP="00196F42">
            <w:pPr>
              <w:jc w:val="both"/>
              <w:rPr>
                <w:rFonts w:cs="Arial"/>
                <w:bCs/>
                <w:iCs/>
                <w:color w:val="FF0000"/>
                <w:sz w:val="22"/>
                <w:szCs w:val="22"/>
              </w:rPr>
            </w:pPr>
            <w:r w:rsidRPr="00196F42">
              <w:rPr>
                <w:rFonts w:cs="Arial"/>
                <w:bCs/>
                <w:iCs/>
                <w:sz w:val="22"/>
                <w:szCs w:val="22"/>
              </w:rPr>
              <w:t>Partnerships focussed on clean energy transitions developed in and with CETP target countries and regions. Level of donor cooperation and collaboration with the IEA within the framework of the CETP</w:t>
            </w:r>
          </w:p>
        </w:tc>
      </w:tr>
      <w:tr w:rsidR="00ED5FD4" w:rsidRPr="00D80C6C" w14:paraId="0D129A7F" w14:textId="77777777">
        <w:trPr>
          <w:trHeight w:val="347"/>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E4E4F19" w14:textId="77777777" w:rsidR="00ED5FD4" w:rsidRPr="00D80C6C" w:rsidRDefault="00ED5FD4">
            <w:pPr>
              <w:jc w:val="both"/>
              <w:rPr>
                <w:rFonts w:cs="Arial"/>
                <w:bCs/>
                <w:sz w:val="22"/>
                <w:szCs w:val="22"/>
              </w:rPr>
            </w:pPr>
            <w:r w:rsidRPr="00D80C6C">
              <w:rPr>
                <w:rFonts w:cs="Arial"/>
                <w:bCs/>
                <w:sz w:val="22"/>
                <w:szCs w:val="22"/>
              </w:rPr>
              <w:t xml:space="preserve">Output number: </w:t>
            </w:r>
          </w:p>
        </w:tc>
        <w:tc>
          <w:tcPr>
            <w:tcW w:w="937" w:type="dxa"/>
            <w:tcBorders>
              <w:top w:val="single" w:sz="4" w:space="0" w:color="auto"/>
              <w:left w:val="single" w:sz="4" w:space="0" w:color="auto"/>
              <w:bottom w:val="single" w:sz="4" w:space="0" w:color="auto"/>
              <w:right w:val="single" w:sz="4" w:space="0" w:color="auto"/>
            </w:tcBorders>
          </w:tcPr>
          <w:p w14:paraId="7D3D58F5" w14:textId="70A2B895" w:rsidR="00ED5FD4" w:rsidRPr="00D80C6C" w:rsidRDefault="00D84B32">
            <w:pPr>
              <w:jc w:val="both"/>
              <w:rPr>
                <w:rFonts w:cs="Arial"/>
                <w:sz w:val="22"/>
                <w:szCs w:val="22"/>
              </w:rPr>
            </w:pPr>
            <w:r>
              <w:rPr>
                <w:rFonts w:cs="Arial"/>
                <w:sz w:val="22"/>
                <w:szCs w:val="22"/>
              </w:rPr>
              <w:t>3</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58A97E8" w14:textId="77777777" w:rsidR="00ED5FD4" w:rsidRPr="00D80C6C" w:rsidRDefault="00ED5FD4">
            <w:pPr>
              <w:jc w:val="both"/>
              <w:rPr>
                <w:rFonts w:cs="Arial"/>
                <w:sz w:val="22"/>
                <w:szCs w:val="22"/>
              </w:rPr>
            </w:pPr>
            <w:r w:rsidRPr="00D80C6C">
              <w:rPr>
                <w:rFonts w:cs="Arial"/>
                <w:bCs/>
                <w:sz w:val="22"/>
                <w:szCs w:val="22"/>
              </w:rPr>
              <w:t xml:space="preserve">Output Score: </w:t>
            </w:r>
          </w:p>
        </w:tc>
        <w:tc>
          <w:tcPr>
            <w:tcW w:w="2976" w:type="dxa"/>
            <w:tcBorders>
              <w:top w:val="single" w:sz="4" w:space="0" w:color="auto"/>
              <w:left w:val="single" w:sz="4" w:space="0" w:color="auto"/>
              <w:bottom w:val="single" w:sz="4" w:space="0" w:color="auto"/>
              <w:right w:val="single" w:sz="4" w:space="0" w:color="auto"/>
            </w:tcBorders>
          </w:tcPr>
          <w:p w14:paraId="20F25E26" w14:textId="1A3A4524" w:rsidR="00ED5FD4" w:rsidRPr="00DB3B57" w:rsidRDefault="000F19B0">
            <w:pPr>
              <w:jc w:val="both"/>
              <w:rPr>
                <w:rFonts w:cs="Arial"/>
                <w:b/>
                <w:bCs/>
                <w:iCs/>
                <w:sz w:val="22"/>
                <w:szCs w:val="22"/>
              </w:rPr>
            </w:pPr>
            <w:r>
              <w:rPr>
                <w:rFonts w:cs="Arial"/>
                <w:b/>
                <w:bCs/>
                <w:iCs/>
                <w:sz w:val="22"/>
                <w:szCs w:val="22"/>
              </w:rPr>
              <w:t>A+</w:t>
            </w:r>
          </w:p>
        </w:tc>
      </w:tr>
      <w:tr w:rsidR="00ED5FD4" w:rsidRPr="00D80C6C" w14:paraId="71D6D4AA" w14:textId="77777777">
        <w:trPr>
          <w:trHeight w:val="345"/>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DBDA094" w14:textId="77777777" w:rsidR="00ED5FD4" w:rsidRPr="00D80C6C" w:rsidRDefault="00ED5FD4">
            <w:pPr>
              <w:jc w:val="both"/>
              <w:rPr>
                <w:rFonts w:cs="Arial"/>
                <w:sz w:val="22"/>
                <w:szCs w:val="22"/>
              </w:rPr>
            </w:pPr>
            <w:r w:rsidRPr="00D80C6C">
              <w:rPr>
                <w:rFonts w:cs="Arial"/>
                <w:bCs/>
                <w:sz w:val="22"/>
                <w:szCs w:val="22"/>
              </w:rPr>
              <w:t xml:space="preserve">Impact weighting (%):  </w:t>
            </w:r>
          </w:p>
        </w:tc>
        <w:tc>
          <w:tcPr>
            <w:tcW w:w="937" w:type="dxa"/>
            <w:tcBorders>
              <w:top w:val="single" w:sz="4" w:space="0" w:color="auto"/>
              <w:left w:val="single" w:sz="4" w:space="0" w:color="auto"/>
              <w:bottom w:val="single" w:sz="4" w:space="0" w:color="auto"/>
              <w:right w:val="single" w:sz="4" w:space="0" w:color="auto"/>
            </w:tcBorders>
            <w:hideMark/>
          </w:tcPr>
          <w:p w14:paraId="0EC60837" w14:textId="68B9FFDE" w:rsidR="00ED5FD4" w:rsidRPr="00D80C6C" w:rsidRDefault="00D84B32">
            <w:pPr>
              <w:jc w:val="both"/>
              <w:rPr>
                <w:rFonts w:cs="Arial"/>
                <w:bCs/>
                <w:sz w:val="22"/>
                <w:szCs w:val="22"/>
              </w:rPr>
            </w:pPr>
            <w:r>
              <w:rPr>
                <w:rFonts w:cs="Arial"/>
                <w:bCs/>
                <w:sz w:val="22"/>
                <w:szCs w:val="22"/>
              </w:rPr>
              <w:t>30%</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E35CD2B" w14:textId="77777777" w:rsidR="00ED5FD4" w:rsidRPr="00D80C6C" w:rsidRDefault="00ED5FD4">
            <w:pPr>
              <w:jc w:val="both"/>
              <w:rPr>
                <w:rFonts w:cs="Arial"/>
                <w:bCs/>
                <w:sz w:val="22"/>
                <w:szCs w:val="22"/>
              </w:rPr>
            </w:pPr>
            <w:r w:rsidRPr="00D80C6C">
              <w:rPr>
                <w:rFonts w:cs="Arial"/>
                <w:bCs/>
                <w:sz w:val="22"/>
                <w:szCs w:val="22"/>
              </w:rPr>
              <w:t xml:space="preserve">Weighting revised since last </w:t>
            </w:r>
            <w:proofErr w:type="gramStart"/>
            <w:r w:rsidRPr="00D80C6C">
              <w:rPr>
                <w:rFonts w:cs="Arial"/>
                <w:bCs/>
                <w:sz w:val="22"/>
                <w:szCs w:val="22"/>
              </w:rPr>
              <w:t>AR?</w:t>
            </w:r>
            <w:proofErr w:type="gramEnd"/>
            <w:r w:rsidRPr="00D80C6C">
              <w:rPr>
                <w:rFonts w:cs="Arial"/>
                <w:bCs/>
                <w:sz w:val="22"/>
                <w:szCs w:val="22"/>
              </w:rPr>
              <w:t xml:space="preserve"> </w:t>
            </w:r>
          </w:p>
        </w:tc>
        <w:tc>
          <w:tcPr>
            <w:tcW w:w="2976" w:type="dxa"/>
            <w:tcBorders>
              <w:top w:val="single" w:sz="4" w:space="0" w:color="auto"/>
              <w:left w:val="single" w:sz="4" w:space="0" w:color="auto"/>
              <w:bottom w:val="single" w:sz="4" w:space="0" w:color="auto"/>
              <w:right w:val="single" w:sz="4" w:space="0" w:color="auto"/>
            </w:tcBorders>
          </w:tcPr>
          <w:p w14:paraId="510CC462" w14:textId="12B1D51E" w:rsidR="00ED5FD4" w:rsidRPr="00D80C6C" w:rsidRDefault="00D84B32">
            <w:pPr>
              <w:jc w:val="both"/>
              <w:rPr>
                <w:rFonts w:cs="Arial"/>
                <w:bCs/>
                <w:sz w:val="22"/>
                <w:szCs w:val="22"/>
              </w:rPr>
            </w:pPr>
            <w:r>
              <w:rPr>
                <w:rFonts w:cs="Arial"/>
                <w:bCs/>
                <w:sz w:val="22"/>
                <w:szCs w:val="22"/>
              </w:rPr>
              <w:t>No</w:t>
            </w:r>
          </w:p>
        </w:tc>
      </w:tr>
      <w:tr w:rsidR="00ED5FD4" w:rsidRPr="00D80C6C" w14:paraId="13EB579E" w14:textId="77777777">
        <w:trPr>
          <w:trHeight w:val="345"/>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A981A1" w14:textId="44967B89" w:rsidR="00ED5FD4" w:rsidRPr="00D80C6C" w:rsidRDefault="00ED5FD4">
            <w:pPr>
              <w:jc w:val="both"/>
              <w:rPr>
                <w:rFonts w:cs="Arial"/>
                <w:bCs/>
                <w:sz w:val="22"/>
                <w:szCs w:val="22"/>
              </w:rPr>
            </w:pPr>
            <w:r w:rsidRPr="00D80C6C">
              <w:rPr>
                <w:rFonts w:cs="Arial"/>
                <w:bCs/>
                <w:sz w:val="22"/>
                <w:szCs w:val="22"/>
              </w:rPr>
              <w:t>Risk rating</w:t>
            </w:r>
            <w:r w:rsidR="00DB3B57">
              <w:rPr>
                <w:rFonts w:cs="Arial"/>
                <w:bCs/>
                <w:sz w:val="22"/>
                <w:szCs w:val="22"/>
              </w:rPr>
              <w:t>:</w:t>
            </w:r>
          </w:p>
        </w:tc>
        <w:tc>
          <w:tcPr>
            <w:tcW w:w="937" w:type="dxa"/>
            <w:tcBorders>
              <w:top w:val="single" w:sz="4" w:space="0" w:color="auto"/>
              <w:left w:val="single" w:sz="4" w:space="0" w:color="auto"/>
              <w:bottom w:val="single" w:sz="4" w:space="0" w:color="auto"/>
              <w:right w:val="single" w:sz="4" w:space="0" w:color="auto"/>
            </w:tcBorders>
          </w:tcPr>
          <w:p w14:paraId="56DEF1B3" w14:textId="31ED1DF3" w:rsidR="00ED5FD4" w:rsidRPr="00D80C6C" w:rsidRDefault="00D84B32">
            <w:pPr>
              <w:jc w:val="both"/>
              <w:rPr>
                <w:rFonts w:cs="Arial"/>
                <w:bCs/>
                <w:sz w:val="22"/>
                <w:szCs w:val="22"/>
              </w:rPr>
            </w:pPr>
            <w:r>
              <w:rPr>
                <w:rFonts w:cs="Arial"/>
                <w:bCs/>
                <w:sz w:val="22"/>
                <w:szCs w:val="22"/>
              </w:rPr>
              <w:t>Minor</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1EB55AA" w14:textId="77777777" w:rsidR="00ED5FD4" w:rsidRPr="00D80C6C" w:rsidRDefault="00ED5FD4">
            <w:pPr>
              <w:jc w:val="both"/>
              <w:rPr>
                <w:rFonts w:cs="Arial"/>
                <w:bCs/>
                <w:sz w:val="22"/>
                <w:szCs w:val="22"/>
              </w:rPr>
            </w:pPr>
            <w:r w:rsidRPr="00D80C6C">
              <w:rPr>
                <w:rFonts w:cs="Arial"/>
                <w:bCs/>
                <w:sz w:val="22"/>
                <w:szCs w:val="22"/>
              </w:rPr>
              <w:t>Risk revised since last AR?</w:t>
            </w:r>
          </w:p>
        </w:tc>
        <w:tc>
          <w:tcPr>
            <w:tcW w:w="2976" w:type="dxa"/>
            <w:tcBorders>
              <w:top w:val="single" w:sz="4" w:space="0" w:color="auto"/>
              <w:left w:val="single" w:sz="4" w:space="0" w:color="auto"/>
              <w:bottom w:val="single" w:sz="4" w:space="0" w:color="auto"/>
              <w:right w:val="single" w:sz="4" w:space="0" w:color="auto"/>
            </w:tcBorders>
          </w:tcPr>
          <w:p w14:paraId="7C423B56" w14:textId="5F9687D5" w:rsidR="00ED5FD4" w:rsidRPr="00D80C6C" w:rsidRDefault="00D84B32">
            <w:pPr>
              <w:jc w:val="both"/>
              <w:rPr>
                <w:rFonts w:cs="Arial"/>
                <w:bCs/>
                <w:sz w:val="22"/>
                <w:szCs w:val="22"/>
              </w:rPr>
            </w:pPr>
            <w:r>
              <w:rPr>
                <w:rFonts w:cs="Arial"/>
                <w:bCs/>
                <w:sz w:val="22"/>
                <w:szCs w:val="22"/>
              </w:rPr>
              <w:t>No</w:t>
            </w:r>
          </w:p>
        </w:tc>
      </w:tr>
    </w:tbl>
    <w:p w14:paraId="468D082A" w14:textId="77777777" w:rsidR="00ED5FD4" w:rsidRPr="00D80C6C" w:rsidRDefault="00ED5FD4" w:rsidP="00ED5FD4">
      <w:pPr>
        <w:jc w:val="both"/>
        <w:rPr>
          <w:rFonts w:cs="Arial"/>
          <w:b/>
          <w:sz w:val="22"/>
          <w:szCs w:val="22"/>
        </w:rPr>
      </w:pPr>
    </w:p>
    <w:tbl>
      <w:tblPr>
        <w:tblStyle w:val="TableGrid"/>
        <w:tblpPr w:leftFromText="180" w:rightFromText="180" w:vertAnchor="text" w:horzAnchor="page" w:tblpX="1462" w:tblpY="-10"/>
        <w:tblOverlap w:val="never"/>
        <w:tblW w:w="9067" w:type="dxa"/>
        <w:tblLook w:val="04A0" w:firstRow="1" w:lastRow="0" w:firstColumn="1" w:lastColumn="0" w:noHBand="0" w:noVBand="1"/>
      </w:tblPr>
      <w:tblGrid>
        <w:gridCol w:w="1525"/>
        <w:gridCol w:w="2238"/>
        <w:gridCol w:w="5304"/>
      </w:tblGrid>
      <w:tr w:rsidR="00ED5FD4" w:rsidRPr="00D80C6C" w14:paraId="1DCF0917" w14:textId="77777777" w:rsidTr="7F7619C6">
        <w:trPr>
          <w:trHeight w:val="273"/>
        </w:trPr>
        <w:tc>
          <w:tcPr>
            <w:tcW w:w="142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B7EFCD7" w14:textId="77777777" w:rsidR="00ED5FD4" w:rsidRPr="00D80C6C" w:rsidRDefault="00ED5FD4">
            <w:pPr>
              <w:jc w:val="both"/>
              <w:rPr>
                <w:rFonts w:cs="Arial"/>
                <w:b/>
                <w:bCs/>
                <w:sz w:val="22"/>
                <w:szCs w:val="22"/>
              </w:rPr>
            </w:pPr>
            <w:r w:rsidRPr="00D80C6C">
              <w:rPr>
                <w:rFonts w:cs="Arial"/>
                <w:b/>
                <w:bCs/>
                <w:sz w:val="22"/>
                <w:szCs w:val="22"/>
              </w:rPr>
              <w:lastRenderedPageBreak/>
              <w:t>Indicator(s)</w:t>
            </w:r>
          </w:p>
        </w:tc>
        <w:tc>
          <w:tcPr>
            <w:tcW w:w="225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1B685D1" w14:textId="77777777" w:rsidR="00ED5FD4" w:rsidRPr="00D80C6C" w:rsidRDefault="00ED5FD4">
            <w:pPr>
              <w:jc w:val="both"/>
              <w:rPr>
                <w:rFonts w:cs="Arial"/>
                <w:b/>
                <w:bCs/>
                <w:sz w:val="22"/>
                <w:szCs w:val="22"/>
              </w:rPr>
            </w:pPr>
            <w:r w:rsidRPr="00D80C6C">
              <w:rPr>
                <w:rFonts w:cs="Arial"/>
                <w:b/>
                <w:bCs/>
                <w:sz w:val="22"/>
                <w:szCs w:val="22"/>
              </w:rPr>
              <w:t>Milestone(s) for this review</w:t>
            </w:r>
          </w:p>
        </w:tc>
        <w:tc>
          <w:tcPr>
            <w:tcW w:w="538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238883B" w14:textId="77777777" w:rsidR="00ED5FD4" w:rsidRPr="00D80C6C" w:rsidRDefault="00ED5FD4">
            <w:pPr>
              <w:jc w:val="both"/>
              <w:rPr>
                <w:rFonts w:cs="Arial"/>
                <w:b/>
                <w:bCs/>
                <w:sz w:val="22"/>
                <w:szCs w:val="22"/>
              </w:rPr>
            </w:pPr>
            <w:r w:rsidRPr="00D80C6C">
              <w:rPr>
                <w:rFonts w:cs="Arial"/>
                <w:b/>
                <w:bCs/>
                <w:sz w:val="22"/>
                <w:szCs w:val="22"/>
              </w:rPr>
              <w:t xml:space="preserve">Progress </w:t>
            </w:r>
          </w:p>
        </w:tc>
      </w:tr>
      <w:tr w:rsidR="00ED5FD4" w:rsidRPr="00D80C6C" w14:paraId="0D9D6326" w14:textId="77777777" w:rsidTr="7F7619C6">
        <w:tc>
          <w:tcPr>
            <w:tcW w:w="1427" w:type="dxa"/>
            <w:tcBorders>
              <w:top w:val="single" w:sz="4" w:space="0" w:color="auto"/>
              <w:left w:val="single" w:sz="4" w:space="0" w:color="auto"/>
              <w:bottom w:val="single" w:sz="4" w:space="0" w:color="auto"/>
              <w:right w:val="single" w:sz="4" w:space="0" w:color="auto"/>
            </w:tcBorders>
          </w:tcPr>
          <w:p w14:paraId="2A9C800A" w14:textId="13B8D908" w:rsidR="00ED5FD4" w:rsidRPr="00D80C6C" w:rsidRDefault="00196F42">
            <w:pPr>
              <w:jc w:val="both"/>
              <w:rPr>
                <w:rFonts w:cs="Arial"/>
                <w:bCs/>
                <w:iCs/>
                <w:sz w:val="22"/>
                <w:szCs w:val="22"/>
              </w:rPr>
            </w:pPr>
            <w:proofErr w:type="gramStart"/>
            <w:r>
              <w:rPr>
                <w:rFonts w:cs="Arial"/>
                <w:bCs/>
                <w:iCs/>
                <w:sz w:val="22"/>
                <w:szCs w:val="22"/>
              </w:rPr>
              <w:t xml:space="preserve">3.1 </w:t>
            </w:r>
            <w:r w:rsidR="00B55F49">
              <w:t xml:space="preserve"> </w:t>
            </w:r>
            <w:r w:rsidR="00B55F49" w:rsidRPr="00B55F49">
              <w:rPr>
                <w:rFonts w:cs="Arial"/>
                <w:bCs/>
                <w:iCs/>
                <w:sz w:val="22"/>
                <w:szCs w:val="22"/>
              </w:rPr>
              <w:t>Number</w:t>
            </w:r>
            <w:proofErr w:type="gramEnd"/>
            <w:r w:rsidR="00B55F49" w:rsidRPr="00B55F49">
              <w:rPr>
                <w:rFonts w:cs="Arial"/>
                <w:bCs/>
                <w:iCs/>
                <w:sz w:val="22"/>
                <w:szCs w:val="22"/>
              </w:rPr>
              <w:t xml:space="preserve"> of partnerships with CETP countries with a formal MOU</w:t>
            </w:r>
          </w:p>
        </w:tc>
        <w:tc>
          <w:tcPr>
            <w:tcW w:w="2254" w:type="dxa"/>
            <w:tcBorders>
              <w:top w:val="single" w:sz="4" w:space="0" w:color="auto"/>
              <w:left w:val="single" w:sz="4" w:space="0" w:color="auto"/>
              <w:bottom w:val="single" w:sz="4" w:space="0" w:color="auto"/>
              <w:right w:val="single" w:sz="4" w:space="0" w:color="auto"/>
            </w:tcBorders>
          </w:tcPr>
          <w:p w14:paraId="50E8BA73" w14:textId="278456B5" w:rsidR="00ED5FD4" w:rsidRPr="00D80C6C" w:rsidRDefault="00CE4634" w:rsidP="00760DDF">
            <w:pPr>
              <w:jc w:val="center"/>
              <w:rPr>
                <w:rFonts w:cs="Arial"/>
                <w:bCs/>
                <w:iCs/>
                <w:sz w:val="22"/>
                <w:szCs w:val="22"/>
              </w:rPr>
            </w:pPr>
            <w:r>
              <w:rPr>
                <w:rFonts w:cs="Arial"/>
                <w:bCs/>
                <w:iCs/>
                <w:sz w:val="22"/>
                <w:szCs w:val="22"/>
              </w:rPr>
              <w:t>25</w:t>
            </w:r>
          </w:p>
        </w:tc>
        <w:tc>
          <w:tcPr>
            <w:tcW w:w="5386" w:type="dxa"/>
            <w:tcBorders>
              <w:top w:val="single" w:sz="4" w:space="0" w:color="auto"/>
              <w:left w:val="single" w:sz="4" w:space="0" w:color="auto"/>
              <w:bottom w:val="single" w:sz="4" w:space="0" w:color="auto"/>
              <w:right w:val="single" w:sz="4" w:space="0" w:color="auto"/>
            </w:tcBorders>
          </w:tcPr>
          <w:p w14:paraId="37D61BBD" w14:textId="77777777" w:rsidR="00ED5FD4" w:rsidRDefault="00CE4634">
            <w:pPr>
              <w:contextualSpacing/>
              <w:jc w:val="both"/>
              <w:rPr>
                <w:rFonts w:cs="Arial"/>
                <w:bCs/>
                <w:iCs/>
                <w:sz w:val="22"/>
                <w:szCs w:val="22"/>
                <w:u w:val="single"/>
              </w:rPr>
            </w:pPr>
            <w:r w:rsidRPr="00CE4634">
              <w:rPr>
                <w:rFonts w:cs="Arial"/>
                <w:bCs/>
                <w:iCs/>
                <w:sz w:val="22"/>
                <w:szCs w:val="22"/>
                <w:u w:val="single"/>
              </w:rPr>
              <w:t>Progress moderately did not meet expectation</w:t>
            </w:r>
          </w:p>
          <w:p w14:paraId="2145CA97" w14:textId="77777777" w:rsidR="00CE4634" w:rsidRDefault="00CE4634">
            <w:pPr>
              <w:contextualSpacing/>
              <w:jc w:val="both"/>
              <w:rPr>
                <w:rFonts w:cs="Arial"/>
                <w:bCs/>
                <w:iCs/>
                <w:sz w:val="22"/>
                <w:szCs w:val="22"/>
                <w:u w:val="single"/>
              </w:rPr>
            </w:pPr>
          </w:p>
          <w:p w14:paraId="0B45BE2C" w14:textId="6A4207B9" w:rsidR="00CE4634" w:rsidRPr="00787B27" w:rsidRDefault="00596FD4">
            <w:pPr>
              <w:contextualSpacing/>
              <w:jc w:val="both"/>
              <w:rPr>
                <w:rFonts w:cs="Arial"/>
                <w:bCs/>
                <w:iCs/>
                <w:sz w:val="22"/>
                <w:szCs w:val="22"/>
              </w:rPr>
            </w:pPr>
            <w:r w:rsidRPr="00787B27">
              <w:rPr>
                <w:rFonts w:cs="Arial"/>
                <w:bCs/>
                <w:iCs/>
                <w:sz w:val="22"/>
                <w:szCs w:val="22"/>
              </w:rPr>
              <w:t>22 partnerships with CETP countries with a</w:t>
            </w:r>
            <w:r w:rsidR="00787B27" w:rsidRPr="00787B27">
              <w:rPr>
                <w:rFonts w:cs="Arial"/>
                <w:bCs/>
                <w:iCs/>
                <w:sz w:val="22"/>
                <w:szCs w:val="22"/>
              </w:rPr>
              <w:t xml:space="preserve"> </w:t>
            </w:r>
            <w:r w:rsidRPr="00787B27">
              <w:rPr>
                <w:rFonts w:cs="Arial"/>
                <w:bCs/>
                <w:iCs/>
                <w:sz w:val="22"/>
                <w:szCs w:val="22"/>
              </w:rPr>
              <w:t>formal MOU</w:t>
            </w:r>
          </w:p>
        </w:tc>
      </w:tr>
      <w:tr w:rsidR="00D84B32" w:rsidRPr="00D80C6C" w14:paraId="3A1A5C2C" w14:textId="77777777" w:rsidTr="7F7619C6">
        <w:tc>
          <w:tcPr>
            <w:tcW w:w="1427" w:type="dxa"/>
            <w:tcBorders>
              <w:top w:val="single" w:sz="4" w:space="0" w:color="auto"/>
              <w:left w:val="single" w:sz="4" w:space="0" w:color="auto"/>
              <w:bottom w:val="single" w:sz="4" w:space="0" w:color="auto"/>
              <w:right w:val="single" w:sz="4" w:space="0" w:color="auto"/>
            </w:tcBorders>
          </w:tcPr>
          <w:p w14:paraId="599241A9" w14:textId="07817329" w:rsidR="00D84B32" w:rsidRPr="00D80C6C" w:rsidRDefault="00196F42">
            <w:pPr>
              <w:jc w:val="both"/>
              <w:rPr>
                <w:rFonts w:cs="Arial"/>
                <w:bCs/>
                <w:iCs/>
                <w:sz w:val="22"/>
                <w:szCs w:val="22"/>
              </w:rPr>
            </w:pPr>
            <w:r>
              <w:rPr>
                <w:rFonts w:cs="Arial"/>
                <w:bCs/>
                <w:iCs/>
                <w:sz w:val="22"/>
                <w:szCs w:val="22"/>
              </w:rPr>
              <w:t>3.2</w:t>
            </w:r>
            <w:r w:rsidR="00B55F49">
              <w:rPr>
                <w:rFonts w:cs="Arial"/>
                <w:bCs/>
                <w:iCs/>
                <w:sz w:val="22"/>
                <w:szCs w:val="22"/>
              </w:rPr>
              <w:t xml:space="preserve"> </w:t>
            </w:r>
            <w:r w:rsidR="002E3EA6" w:rsidRPr="002E3EA6">
              <w:rPr>
                <w:rFonts w:cs="Arial"/>
                <w:bCs/>
                <w:iCs/>
                <w:sz w:val="22"/>
                <w:szCs w:val="22"/>
              </w:rPr>
              <w:t>Number of relevant partner organisations engaged in CETP countries</w:t>
            </w:r>
          </w:p>
        </w:tc>
        <w:tc>
          <w:tcPr>
            <w:tcW w:w="2254" w:type="dxa"/>
            <w:tcBorders>
              <w:top w:val="single" w:sz="4" w:space="0" w:color="auto"/>
              <w:left w:val="single" w:sz="4" w:space="0" w:color="auto"/>
              <w:bottom w:val="single" w:sz="4" w:space="0" w:color="auto"/>
              <w:right w:val="single" w:sz="4" w:space="0" w:color="auto"/>
            </w:tcBorders>
          </w:tcPr>
          <w:p w14:paraId="5AEDC8BC" w14:textId="4EC93CB1" w:rsidR="00D84B32" w:rsidRPr="00D80C6C" w:rsidRDefault="00787B27" w:rsidP="00760DDF">
            <w:pPr>
              <w:jc w:val="center"/>
              <w:rPr>
                <w:rFonts w:cs="Arial"/>
                <w:bCs/>
                <w:iCs/>
                <w:sz w:val="22"/>
                <w:szCs w:val="22"/>
              </w:rPr>
            </w:pPr>
            <w:r>
              <w:rPr>
                <w:rFonts w:cs="Arial"/>
                <w:bCs/>
                <w:iCs/>
                <w:sz w:val="22"/>
                <w:szCs w:val="22"/>
              </w:rPr>
              <w:t>372</w:t>
            </w:r>
          </w:p>
        </w:tc>
        <w:tc>
          <w:tcPr>
            <w:tcW w:w="5386" w:type="dxa"/>
            <w:tcBorders>
              <w:top w:val="single" w:sz="4" w:space="0" w:color="auto"/>
              <w:left w:val="single" w:sz="4" w:space="0" w:color="auto"/>
              <w:bottom w:val="single" w:sz="4" w:space="0" w:color="auto"/>
              <w:right w:val="single" w:sz="4" w:space="0" w:color="auto"/>
            </w:tcBorders>
          </w:tcPr>
          <w:p w14:paraId="016238F6" w14:textId="0BE8C98F" w:rsidR="00D84B32" w:rsidRPr="00787B27" w:rsidRDefault="00787B27">
            <w:pPr>
              <w:contextualSpacing/>
              <w:jc w:val="both"/>
              <w:rPr>
                <w:rFonts w:cs="Arial"/>
                <w:bCs/>
                <w:iCs/>
                <w:sz w:val="22"/>
                <w:szCs w:val="22"/>
                <w:u w:val="single"/>
              </w:rPr>
            </w:pPr>
            <w:r w:rsidRPr="00787B27">
              <w:rPr>
                <w:rFonts w:cs="Arial"/>
                <w:bCs/>
                <w:iCs/>
                <w:sz w:val="22"/>
                <w:szCs w:val="22"/>
                <w:u w:val="single"/>
              </w:rPr>
              <w:t>Progress moderately exceeded expectation</w:t>
            </w:r>
          </w:p>
          <w:p w14:paraId="6F288D97" w14:textId="77777777" w:rsidR="00787B27" w:rsidRDefault="00787B27">
            <w:pPr>
              <w:contextualSpacing/>
              <w:jc w:val="both"/>
              <w:rPr>
                <w:rFonts w:cs="Arial"/>
                <w:bCs/>
                <w:iCs/>
                <w:sz w:val="22"/>
                <w:szCs w:val="22"/>
              </w:rPr>
            </w:pPr>
          </w:p>
          <w:p w14:paraId="6F3AB40D" w14:textId="0B0F0099" w:rsidR="00787B27" w:rsidRPr="00D80C6C" w:rsidRDefault="5C5F5A40" w:rsidP="7F7619C6">
            <w:pPr>
              <w:contextualSpacing/>
              <w:jc w:val="both"/>
              <w:rPr>
                <w:rFonts w:cs="Arial"/>
                <w:sz w:val="22"/>
                <w:szCs w:val="22"/>
              </w:rPr>
            </w:pPr>
            <w:r w:rsidRPr="7F7619C6">
              <w:rPr>
                <w:rFonts w:cs="Arial"/>
                <w:sz w:val="22"/>
                <w:szCs w:val="22"/>
              </w:rPr>
              <w:t>385</w:t>
            </w:r>
            <w:r w:rsidR="36F37DDB" w:rsidRPr="7F7619C6">
              <w:rPr>
                <w:rFonts w:cs="Arial"/>
                <w:sz w:val="22"/>
                <w:szCs w:val="22"/>
              </w:rPr>
              <w:t xml:space="preserve"> </w:t>
            </w:r>
            <w:r w:rsidRPr="7F7619C6">
              <w:rPr>
                <w:rFonts w:cs="Arial"/>
                <w:sz w:val="22"/>
                <w:szCs w:val="22"/>
              </w:rPr>
              <w:t>relevant partner organisations engaged in CETP countries</w:t>
            </w:r>
          </w:p>
        </w:tc>
      </w:tr>
      <w:tr w:rsidR="00D84B32" w:rsidRPr="00D80C6C" w14:paraId="2BCA7A9F" w14:textId="77777777" w:rsidTr="7F7619C6">
        <w:tc>
          <w:tcPr>
            <w:tcW w:w="1427" w:type="dxa"/>
            <w:tcBorders>
              <w:top w:val="single" w:sz="4" w:space="0" w:color="auto"/>
              <w:left w:val="single" w:sz="4" w:space="0" w:color="auto"/>
              <w:bottom w:val="single" w:sz="4" w:space="0" w:color="auto"/>
              <w:right w:val="single" w:sz="4" w:space="0" w:color="auto"/>
            </w:tcBorders>
          </w:tcPr>
          <w:p w14:paraId="0835D539" w14:textId="5B4A5681" w:rsidR="00D84B32" w:rsidRPr="00D80C6C" w:rsidRDefault="00196F42">
            <w:pPr>
              <w:jc w:val="both"/>
              <w:rPr>
                <w:rFonts w:cs="Arial"/>
                <w:bCs/>
                <w:iCs/>
                <w:sz w:val="22"/>
                <w:szCs w:val="22"/>
              </w:rPr>
            </w:pPr>
            <w:r>
              <w:rPr>
                <w:rFonts w:cs="Arial"/>
                <w:bCs/>
                <w:iCs/>
                <w:sz w:val="22"/>
                <w:szCs w:val="22"/>
              </w:rPr>
              <w:t>3.3</w:t>
            </w:r>
            <w:r w:rsidR="002E3EA6">
              <w:rPr>
                <w:rFonts w:cs="Arial"/>
                <w:bCs/>
                <w:iCs/>
                <w:sz w:val="22"/>
                <w:szCs w:val="22"/>
              </w:rPr>
              <w:t xml:space="preserve"> </w:t>
            </w:r>
            <w:r w:rsidR="00692CEB">
              <w:t xml:space="preserve"> </w:t>
            </w:r>
            <w:r w:rsidR="00753571">
              <w:t xml:space="preserve"> </w:t>
            </w:r>
            <w:r w:rsidR="00753571" w:rsidRPr="00753571">
              <w:rPr>
                <w:sz w:val="22"/>
                <w:szCs w:val="22"/>
              </w:rPr>
              <w:t>Number of Human Resource Exchanges</w:t>
            </w:r>
          </w:p>
        </w:tc>
        <w:tc>
          <w:tcPr>
            <w:tcW w:w="2254" w:type="dxa"/>
            <w:tcBorders>
              <w:top w:val="single" w:sz="4" w:space="0" w:color="auto"/>
              <w:left w:val="single" w:sz="4" w:space="0" w:color="auto"/>
              <w:bottom w:val="single" w:sz="4" w:space="0" w:color="auto"/>
              <w:right w:val="single" w:sz="4" w:space="0" w:color="auto"/>
            </w:tcBorders>
          </w:tcPr>
          <w:p w14:paraId="14419D3D" w14:textId="56F1A589" w:rsidR="00D84B32" w:rsidRPr="00D80C6C" w:rsidRDefault="008F2FE2" w:rsidP="00760DDF">
            <w:pPr>
              <w:jc w:val="center"/>
              <w:rPr>
                <w:rFonts w:cs="Arial"/>
                <w:bCs/>
                <w:iCs/>
                <w:sz w:val="22"/>
                <w:szCs w:val="22"/>
              </w:rPr>
            </w:pPr>
            <w:r>
              <w:rPr>
                <w:rFonts w:cs="Arial"/>
                <w:bCs/>
                <w:iCs/>
                <w:sz w:val="22"/>
                <w:szCs w:val="22"/>
              </w:rPr>
              <w:t>26</w:t>
            </w:r>
          </w:p>
        </w:tc>
        <w:tc>
          <w:tcPr>
            <w:tcW w:w="5386" w:type="dxa"/>
            <w:tcBorders>
              <w:top w:val="single" w:sz="4" w:space="0" w:color="auto"/>
              <w:left w:val="single" w:sz="4" w:space="0" w:color="auto"/>
              <w:bottom w:val="single" w:sz="4" w:space="0" w:color="auto"/>
              <w:right w:val="single" w:sz="4" w:space="0" w:color="auto"/>
            </w:tcBorders>
          </w:tcPr>
          <w:p w14:paraId="2C11A2FC" w14:textId="3C605027" w:rsidR="00D84B32" w:rsidRDefault="008F2FE2">
            <w:pPr>
              <w:contextualSpacing/>
              <w:jc w:val="both"/>
              <w:rPr>
                <w:rFonts w:cs="Arial"/>
                <w:bCs/>
                <w:iCs/>
                <w:sz w:val="22"/>
                <w:szCs w:val="22"/>
                <w:u w:val="single"/>
              </w:rPr>
            </w:pPr>
            <w:r w:rsidRPr="008F2FE2">
              <w:rPr>
                <w:rFonts w:cs="Arial"/>
                <w:bCs/>
                <w:iCs/>
                <w:sz w:val="22"/>
                <w:szCs w:val="22"/>
                <w:u w:val="single"/>
              </w:rPr>
              <w:t xml:space="preserve">Progress </w:t>
            </w:r>
            <w:proofErr w:type="gramStart"/>
            <w:r w:rsidR="00C343B5">
              <w:rPr>
                <w:rFonts w:cs="Arial"/>
                <w:bCs/>
                <w:iCs/>
                <w:sz w:val="22"/>
                <w:szCs w:val="22"/>
                <w:u w:val="single"/>
              </w:rPr>
              <w:t xml:space="preserve">substantially </w:t>
            </w:r>
            <w:r w:rsidR="00C343B5" w:rsidRPr="008F2FE2">
              <w:rPr>
                <w:rFonts w:cs="Arial"/>
                <w:bCs/>
                <w:iCs/>
                <w:sz w:val="22"/>
                <w:szCs w:val="22"/>
                <w:u w:val="single"/>
              </w:rPr>
              <w:t xml:space="preserve"> </w:t>
            </w:r>
            <w:r w:rsidRPr="008F2FE2">
              <w:rPr>
                <w:rFonts w:cs="Arial"/>
                <w:bCs/>
                <w:iCs/>
                <w:sz w:val="22"/>
                <w:szCs w:val="22"/>
                <w:u w:val="single"/>
              </w:rPr>
              <w:t>exceeded</w:t>
            </w:r>
            <w:proofErr w:type="gramEnd"/>
            <w:r w:rsidRPr="008F2FE2">
              <w:rPr>
                <w:rFonts w:cs="Arial"/>
                <w:bCs/>
                <w:iCs/>
                <w:sz w:val="22"/>
                <w:szCs w:val="22"/>
                <w:u w:val="single"/>
              </w:rPr>
              <w:t xml:space="preserve"> expectation</w:t>
            </w:r>
          </w:p>
          <w:p w14:paraId="79E05DEC" w14:textId="77777777" w:rsidR="008F2FE2" w:rsidRDefault="008F2FE2">
            <w:pPr>
              <w:contextualSpacing/>
              <w:jc w:val="both"/>
              <w:rPr>
                <w:rFonts w:cs="Arial"/>
                <w:bCs/>
                <w:iCs/>
                <w:sz w:val="22"/>
                <w:szCs w:val="22"/>
                <w:u w:val="single"/>
              </w:rPr>
            </w:pPr>
          </w:p>
          <w:p w14:paraId="3439E31C" w14:textId="5E48A826" w:rsidR="008F2FE2" w:rsidRPr="008F2FE2" w:rsidRDefault="008F2FE2">
            <w:pPr>
              <w:contextualSpacing/>
              <w:jc w:val="both"/>
              <w:rPr>
                <w:rFonts w:cs="Arial"/>
                <w:bCs/>
                <w:iCs/>
                <w:sz w:val="22"/>
                <w:szCs w:val="22"/>
                <w:u w:val="single"/>
              </w:rPr>
            </w:pPr>
            <w:r w:rsidRPr="008F2FE2">
              <w:rPr>
                <w:sz w:val="22"/>
                <w:szCs w:val="22"/>
              </w:rPr>
              <w:t>32 Human Resource Exchanges</w:t>
            </w:r>
          </w:p>
        </w:tc>
      </w:tr>
      <w:tr w:rsidR="00D84B32" w:rsidRPr="00D80C6C" w14:paraId="159F3244" w14:textId="77777777" w:rsidTr="7F7619C6">
        <w:tc>
          <w:tcPr>
            <w:tcW w:w="1427" w:type="dxa"/>
            <w:tcBorders>
              <w:top w:val="single" w:sz="4" w:space="0" w:color="auto"/>
              <w:left w:val="single" w:sz="4" w:space="0" w:color="auto"/>
              <w:bottom w:val="single" w:sz="4" w:space="0" w:color="auto"/>
              <w:right w:val="single" w:sz="4" w:space="0" w:color="auto"/>
            </w:tcBorders>
          </w:tcPr>
          <w:p w14:paraId="1EE13FD2" w14:textId="36EEC3BC" w:rsidR="00D84B32" w:rsidRPr="00D80C6C" w:rsidRDefault="00196F42">
            <w:pPr>
              <w:jc w:val="both"/>
              <w:rPr>
                <w:rFonts w:cs="Arial"/>
                <w:bCs/>
                <w:iCs/>
                <w:sz w:val="22"/>
                <w:szCs w:val="22"/>
              </w:rPr>
            </w:pPr>
            <w:proofErr w:type="gramStart"/>
            <w:r>
              <w:rPr>
                <w:rFonts w:cs="Arial"/>
                <w:bCs/>
                <w:iCs/>
                <w:sz w:val="22"/>
                <w:szCs w:val="22"/>
              </w:rPr>
              <w:t>3.4</w:t>
            </w:r>
            <w:r w:rsidR="00753571">
              <w:rPr>
                <w:rFonts w:cs="Arial"/>
                <w:bCs/>
                <w:iCs/>
                <w:sz w:val="22"/>
                <w:szCs w:val="22"/>
              </w:rPr>
              <w:t xml:space="preserve"> </w:t>
            </w:r>
            <w:r w:rsidR="00A322AE">
              <w:t xml:space="preserve"> </w:t>
            </w:r>
            <w:r w:rsidR="00A322AE" w:rsidRPr="00A322AE">
              <w:rPr>
                <w:rFonts w:cs="Arial"/>
                <w:bCs/>
                <w:iCs/>
                <w:sz w:val="22"/>
                <w:szCs w:val="22"/>
              </w:rPr>
              <w:t>Number</w:t>
            </w:r>
            <w:proofErr w:type="gramEnd"/>
            <w:r w:rsidR="00A322AE" w:rsidRPr="00A322AE">
              <w:rPr>
                <w:rFonts w:cs="Arial"/>
                <w:bCs/>
                <w:iCs/>
                <w:sz w:val="22"/>
                <w:szCs w:val="22"/>
              </w:rPr>
              <w:t xml:space="preserve"> of females participants in human resource exchanges</w:t>
            </w:r>
          </w:p>
        </w:tc>
        <w:tc>
          <w:tcPr>
            <w:tcW w:w="2254" w:type="dxa"/>
            <w:tcBorders>
              <w:top w:val="single" w:sz="4" w:space="0" w:color="auto"/>
              <w:left w:val="single" w:sz="4" w:space="0" w:color="auto"/>
              <w:bottom w:val="single" w:sz="4" w:space="0" w:color="auto"/>
              <w:right w:val="single" w:sz="4" w:space="0" w:color="auto"/>
            </w:tcBorders>
          </w:tcPr>
          <w:p w14:paraId="425A2D43" w14:textId="3953CA52" w:rsidR="00D84B32" w:rsidRPr="00D80C6C" w:rsidRDefault="00502AA3" w:rsidP="00760DDF">
            <w:pPr>
              <w:jc w:val="center"/>
              <w:rPr>
                <w:rFonts w:cs="Arial"/>
                <w:bCs/>
                <w:iCs/>
                <w:sz w:val="22"/>
                <w:szCs w:val="22"/>
              </w:rPr>
            </w:pPr>
            <w:r>
              <w:rPr>
                <w:rFonts w:cs="Arial"/>
                <w:bCs/>
                <w:iCs/>
                <w:sz w:val="22"/>
                <w:szCs w:val="22"/>
              </w:rPr>
              <w:t>12</w:t>
            </w:r>
          </w:p>
        </w:tc>
        <w:tc>
          <w:tcPr>
            <w:tcW w:w="5386" w:type="dxa"/>
            <w:tcBorders>
              <w:top w:val="single" w:sz="4" w:space="0" w:color="auto"/>
              <w:left w:val="single" w:sz="4" w:space="0" w:color="auto"/>
              <w:bottom w:val="single" w:sz="4" w:space="0" w:color="auto"/>
              <w:right w:val="single" w:sz="4" w:space="0" w:color="auto"/>
            </w:tcBorders>
          </w:tcPr>
          <w:p w14:paraId="3F5A8813" w14:textId="77777777" w:rsidR="00502AA3" w:rsidRPr="00502AA3" w:rsidRDefault="00502AA3" w:rsidP="00502AA3">
            <w:pPr>
              <w:contextualSpacing/>
              <w:jc w:val="both"/>
              <w:rPr>
                <w:rFonts w:cs="Arial"/>
                <w:bCs/>
                <w:iCs/>
                <w:sz w:val="22"/>
                <w:szCs w:val="22"/>
                <w:u w:val="single"/>
              </w:rPr>
            </w:pPr>
            <w:r w:rsidRPr="00502AA3">
              <w:rPr>
                <w:rFonts w:cs="Arial"/>
                <w:bCs/>
                <w:iCs/>
                <w:sz w:val="22"/>
                <w:szCs w:val="22"/>
                <w:u w:val="single"/>
              </w:rPr>
              <w:t>Progress moderately exceeded expectation</w:t>
            </w:r>
          </w:p>
          <w:p w14:paraId="0F232336" w14:textId="77777777" w:rsidR="00502AA3" w:rsidRPr="00502AA3" w:rsidRDefault="00502AA3" w:rsidP="00502AA3">
            <w:pPr>
              <w:contextualSpacing/>
              <w:jc w:val="both"/>
              <w:rPr>
                <w:rFonts w:cs="Arial"/>
                <w:bCs/>
                <w:iCs/>
                <w:sz w:val="22"/>
                <w:szCs w:val="22"/>
                <w:u w:val="single"/>
              </w:rPr>
            </w:pPr>
          </w:p>
          <w:p w14:paraId="1887323E" w14:textId="6A806A39" w:rsidR="00D84B32" w:rsidRPr="00D80C6C" w:rsidRDefault="00502AA3" w:rsidP="00502AA3">
            <w:pPr>
              <w:contextualSpacing/>
              <w:jc w:val="both"/>
              <w:rPr>
                <w:rFonts w:cs="Arial"/>
                <w:bCs/>
                <w:iCs/>
                <w:sz w:val="22"/>
                <w:szCs w:val="22"/>
              </w:rPr>
            </w:pPr>
            <w:r>
              <w:rPr>
                <w:rFonts w:cs="Arial"/>
                <w:bCs/>
                <w:iCs/>
                <w:sz w:val="22"/>
                <w:szCs w:val="22"/>
              </w:rPr>
              <w:t>15</w:t>
            </w:r>
            <w:r w:rsidRPr="00502AA3">
              <w:rPr>
                <w:rFonts w:cs="Arial"/>
                <w:bCs/>
                <w:iCs/>
                <w:sz w:val="22"/>
                <w:szCs w:val="22"/>
              </w:rPr>
              <w:t xml:space="preserve"> </w:t>
            </w:r>
            <w:r>
              <w:rPr>
                <w:rFonts w:cs="Arial"/>
                <w:bCs/>
                <w:iCs/>
                <w:sz w:val="22"/>
                <w:szCs w:val="22"/>
              </w:rPr>
              <w:t xml:space="preserve">female participants in </w:t>
            </w:r>
            <w:r w:rsidRPr="00502AA3">
              <w:rPr>
                <w:rFonts w:cs="Arial"/>
                <w:bCs/>
                <w:iCs/>
                <w:sz w:val="22"/>
                <w:szCs w:val="22"/>
              </w:rPr>
              <w:t>Human Resource Exchanges</w:t>
            </w:r>
          </w:p>
        </w:tc>
      </w:tr>
      <w:tr w:rsidR="00692CEB" w:rsidRPr="00D80C6C" w14:paraId="111D4320" w14:textId="77777777" w:rsidTr="7F7619C6">
        <w:tc>
          <w:tcPr>
            <w:tcW w:w="1427" w:type="dxa"/>
            <w:tcBorders>
              <w:top w:val="single" w:sz="4" w:space="0" w:color="auto"/>
              <w:left w:val="single" w:sz="4" w:space="0" w:color="auto"/>
              <w:bottom w:val="single" w:sz="4" w:space="0" w:color="auto"/>
              <w:right w:val="single" w:sz="4" w:space="0" w:color="auto"/>
            </w:tcBorders>
          </w:tcPr>
          <w:p w14:paraId="1D97AD5C" w14:textId="5DE33D6C" w:rsidR="00692CEB" w:rsidRDefault="00692CEB">
            <w:pPr>
              <w:jc w:val="both"/>
              <w:rPr>
                <w:rFonts w:cs="Arial"/>
                <w:bCs/>
                <w:iCs/>
                <w:sz w:val="22"/>
                <w:szCs w:val="22"/>
              </w:rPr>
            </w:pPr>
            <w:proofErr w:type="gramStart"/>
            <w:r>
              <w:rPr>
                <w:rFonts w:cs="Arial"/>
                <w:bCs/>
                <w:iCs/>
                <w:sz w:val="22"/>
                <w:szCs w:val="22"/>
              </w:rPr>
              <w:t>3.5</w:t>
            </w:r>
            <w:r w:rsidR="00A322AE">
              <w:rPr>
                <w:rFonts w:cs="Arial"/>
                <w:bCs/>
                <w:iCs/>
                <w:sz w:val="22"/>
                <w:szCs w:val="22"/>
              </w:rPr>
              <w:t xml:space="preserve"> </w:t>
            </w:r>
            <w:r w:rsidR="00972D00">
              <w:t xml:space="preserve"> </w:t>
            </w:r>
            <w:r w:rsidR="00972D00" w:rsidRPr="00972D00">
              <w:rPr>
                <w:rFonts w:cs="Arial"/>
                <w:bCs/>
                <w:iCs/>
                <w:sz w:val="22"/>
                <w:szCs w:val="22"/>
              </w:rPr>
              <w:t>Number</w:t>
            </w:r>
            <w:proofErr w:type="gramEnd"/>
            <w:r w:rsidR="00972D00" w:rsidRPr="00972D00">
              <w:rPr>
                <w:rFonts w:cs="Arial"/>
                <w:bCs/>
                <w:iCs/>
                <w:sz w:val="22"/>
                <w:szCs w:val="22"/>
              </w:rPr>
              <w:t xml:space="preserve"> of CETP Funder Strategy meetings held and number of participants</w:t>
            </w:r>
          </w:p>
        </w:tc>
        <w:tc>
          <w:tcPr>
            <w:tcW w:w="2254" w:type="dxa"/>
            <w:tcBorders>
              <w:top w:val="single" w:sz="4" w:space="0" w:color="auto"/>
              <w:left w:val="single" w:sz="4" w:space="0" w:color="auto"/>
              <w:bottom w:val="single" w:sz="4" w:space="0" w:color="auto"/>
              <w:right w:val="single" w:sz="4" w:space="0" w:color="auto"/>
            </w:tcBorders>
          </w:tcPr>
          <w:p w14:paraId="42DE8F25" w14:textId="77777777" w:rsidR="00692CEB" w:rsidRDefault="00502AA3" w:rsidP="00760DDF">
            <w:pPr>
              <w:jc w:val="center"/>
              <w:rPr>
                <w:rFonts w:cs="Arial"/>
                <w:bCs/>
                <w:iCs/>
                <w:sz w:val="22"/>
                <w:szCs w:val="22"/>
              </w:rPr>
            </w:pPr>
            <w:r>
              <w:rPr>
                <w:rFonts w:cs="Arial"/>
                <w:bCs/>
                <w:iCs/>
                <w:sz w:val="22"/>
                <w:szCs w:val="22"/>
              </w:rPr>
              <w:t>4</w:t>
            </w:r>
            <w:r w:rsidR="008C51FE">
              <w:rPr>
                <w:rFonts w:cs="Arial"/>
                <w:bCs/>
                <w:iCs/>
                <w:sz w:val="22"/>
                <w:szCs w:val="22"/>
              </w:rPr>
              <w:t xml:space="preserve"> meetings</w:t>
            </w:r>
          </w:p>
          <w:p w14:paraId="5EE25F0A" w14:textId="7A298C87" w:rsidR="008C51FE" w:rsidRPr="00D80C6C" w:rsidRDefault="008C51FE" w:rsidP="00760DDF">
            <w:pPr>
              <w:jc w:val="center"/>
              <w:rPr>
                <w:rFonts w:cs="Arial"/>
                <w:bCs/>
                <w:iCs/>
                <w:sz w:val="22"/>
                <w:szCs w:val="22"/>
              </w:rPr>
            </w:pPr>
            <w:r>
              <w:rPr>
                <w:rFonts w:cs="Arial"/>
                <w:bCs/>
                <w:iCs/>
                <w:sz w:val="22"/>
                <w:szCs w:val="22"/>
              </w:rPr>
              <w:t xml:space="preserve">93 </w:t>
            </w:r>
            <w:r w:rsidR="00AA64A2">
              <w:rPr>
                <w:rFonts w:cs="Arial"/>
                <w:bCs/>
                <w:iCs/>
                <w:sz w:val="22"/>
                <w:szCs w:val="22"/>
              </w:rPr>
              <w:t>participants</w:t>
            </w:r>
          </w:p>
        </w:tc>
        <w:tc>
          <w:tcPr>
            <w:tcW w:w="5386" w:type="dxa"/>
            <w:tcBorders>
              <w:top w:val="single" w:sz="4" w:space="0" w:color="auto"/>
              <w:left w:val="single" w:sz="4" w:space="0" w:color="auto"/>
              <w:bottom w:val="single" w:sz="4" w:space="0" w:color="auto"/>
              <w:right w:val="single" w:sz="4" w:space="0" w:color="auto"/>
            </w:tcBorders>
          </w:tcPr>
          <w:p w14:paraId="4A1AC0CB" w14:textId="73E73273" w:rsidR="00B70890" w:rsidRDefault="00B70890" w:rsidP="00B70890">
            <w:pPr>
              <w:contextualSpacing/>
              <w:jc w:val="both"/>
              <w:rPr>
                <w:rFonts w:cs="Arial"/>
                <w:bCs/>
                <w:iCs/>
                <w:sz w:val="22"/>
                <w:szCs w:val="22"/>
                <w:u w:val="single"/>
              </w:rPr>
            </w:pPr>
            <w:r w:rsidRPr="00B70890">
              <w:rPr>
                <w:rFonts w:cs="Arial"/>
                <w:bCs/>
                <w:iCs/>
                <w:sz w:val="22"/>
                <w:szCs w:val="22"/>
                <w:u w:val="single"/>
              </w:rPr>
              <w:t xml:space="preserve">Progress </w:t>
            </w:r>
            <w:r w:rsidR="0068136E">
              <w:rPr>
                <w:rFonts w:cs="Arial"/>
                <w:bCs/>
                <w:iCs/>
                <w:sz w:val="22"/>
                <w:szCs w:val="22"/>
                <w:u w:val="single"/>
              </w:rPr>
              <w:t>substantially</w:t>
            </w:r>
            <w:r w:rsidR="0068136E" w:rsidRPr="00B70890">
              <w:rPr>
                <w:rFonts w:cs="Arial"/>
                <w:bCs/>
                <w:iCs/>
                <w:sz w:val="22"/>
                <w:szCs w:val="22"/>
                <w:u w:val="single"/>
              </w:rPr>
              <w:t xml:space="preserve"> </w:t>
            </w:r>
            <w:r w:rsidRPr="00B70890">
              <w:rPr>
                <w:rFonts w:cs="Arial"/>
                <w:bCs/>
                <w:iCs/>
                <w:sz w:val="22"/>
                <w:szCs w:val="22"/>
                <w:u w:val="single"/>
              </w:rPr>
              <w:t>exceeded expectation</w:t>
            </w:r>
          </w:p>
          <w:p w14:paraId="6DCEF5B0" w14:textId="77777777" w:rsidR="00AA64A2" w:rsidRDefault="00AA64A2" w:rsidP="00B70890">
            <w:pPr>
              <w:contextualSpacing/>
              <w:jc w:val="both"/>
              <w:rPr>
                <w:rFonts w:cs="Arial"/>
                <w:bCs/>
                <w:iCs/>
                <w:sz w:val="22"/>
                <w:szCs w:val="22"/>
                <w:u w:val="single"/>
              </w:rPr>
            </w:pPr>
          </w:p>
          <w:p w14:paraId="191D0C02" w14:textId="323B8EDF" w:rsidR="00AA64A2" w:rsidRPr="00BE3FD2" w:rsidRDefault="00AA64A2" w:rsidP="00B70890">
            <w:pPr>
              <w:contextualSpacing/>
              <w:jc w:val="both"/>
              <w:rPr>
                <w:rFonts w:cs="Arial"/>
                <w:bCs/>
                <w:iCs/>
                <w:sz w:val="22"/>
                <w:szCs w:val="22"/>
              </w:rPr>
            </w:pPr>
            <w:r w:rsidRPr="00BE3FD2">
              <w:rPr>
                <w:rFonts w:cs="Arial"/>
                <w:bCs/>
                <w:iCs/>
                <w:sz w:val="22"/>
                <w:szCs w:val="22"/>
              </w:rPr>
              <w:t>5 CETP funders meetings held with 144 participants</w:t>
            </w:r>
          </w:p>
          <w:p w14:paraId="7F630043" w14:textId="77777777" w:rsidR="00B70890" w:rsidRPr="00B70890" w:rsidRDefault="00B70890" w:rsidP="00B70890">
            <w:pPr>
              <w:contextualSpacing/>
              <w:jc w:val="both"/>
              <w:rPr>
                <w:rFonts w:cs="Arial"/>
                <w:bCs/>
                <w:iCs/>
                <w:sz w:val="22"/>
                <w:szCs w:val="22"/>
              </w:rPr>
            </w:pPr>
          </w:p>
          <w:p w14:paraId="2D64DA73" w14:textId="1CD5E701" w:rsidR="00692CEB" w:rsidRPr="00D80C6C" w:rsidRDefault="00692CEB" w:rsidP="00B70890">
            <w:pPr>
              <w:contextualSpacing/>
              <w:jc w:val="both"/>
              <w:rPr>
                <w:rFonts w:cs="Arial"/>
                <w:bCs/>
                <w:iCs/>
                <w:sz w:val="22"/>
                <w:szCs w:val="22"/>
              </w:rPr>
            </w:pPr>
          </w:p>
        </w:tc>
      </w:tr>
    </w:tbl>
    <w:p w14:paraId="2EFE3995" w14:textId="77777777" w:rsidR="004A367B" w:rsidRDefault="004A367B" w:rsidP="004D5FD5">
      <w:pPr>
        <w:jc w:val="both"/>
        <w:rPr>
          <w:rFonts w:cs="Arial"/>
          <w:sz w:val="22"/>
          <w:szCs w:val="22"/>
        </w:rPr>
      </w:pPr>
    </w:p>
    <w:p w14:paraId="36AA5292" w14:textId="77777777" w:rsidR="0070781E" w:rsidRDefault="0070781E" w:rsidP="004D5FD5">
      <w:pPr>
        <w:jc w:val="both"/>
        <w:rPr>
          <w:rFonts w:cs="Arial"/>
          <w:sz w:val="22"/>
          <w:szCs w:val="22"/>
        </w:rPr>
      </w:pPr>
    </w:p>
    <w:p w14:paraId="7A36A692" w14:textId="77777777" w:rsidR="0070781E" w:rsidRPr="00D80C6C" w:rsidRDefault="0070781E" w:rsidP="0070781E">
      <w:pPr>
        <w:jc w:val="both"/>
        <w:rPr>
          <w:rFonts w:cs="Arial"/>
          <w:b/>
          <w:bCs/>
          <w:i/>
          <w:iCs/>
          <w:sz w:val="22"/>
          <w:szCs w:val="22"/>
        </w:rPr>
      </w:pPr>
      <w:r w:rsidRPr="3A221014">
        <w:rPr>
          <w:b/>
          <w:bCs/>
          <w:i/>
          <w:iCs/>
          <w:sz w:val="28"/>
          <w:szCs w:val="28"/>
        </w:rPr>
        <w:t>Output summary and supporting narrative for the score</w:t>
      </w:r>
      <w:r w:rsidRPr="3A221014">
        <w:rPr>
          <w:rFonts w:cs="Arial"/>
          <w:b/>
          <w:bCs/>
          <w:i/>
          <w:iCs/>
          <w:sz w:val="22"/>
          <w:szCs w:val="22"/>
        </w:rPr>
        <w:t xml:space="preserve"> </w:t>
      </w:r>
      <w:r w:rsidRPr="3A221014">
        <w:rPr>
          <w:rFonts w:cs="Arial"/>
          <w:i/>
          <w:iCs/>
          <w:sz w:val="22"/>
          <w:szCs w:val="22"/>
        </w:rPr>
        <w:t>[max 1/2 page]</w:t>
      </w:r>
    </w:p>
    <w:p w14:paraId="1DA11CBD" w14:textId="77777777" w:rsidR="0070781E" w:rsidRDefault="0070781E" w:rsidP="0070781E"/>
    <w:p w14:paraId="020BC9BA" w14:textId="77777777" w:rsidR="00675D86" w:rsidRPr="002F62C0" w:rsidRDefault="00DE68DC" w:rsidP="004D5FD5">
      <w:pPr>
        <w:jc w:val="both"/>
        <w:rPr>
          <w:rFonts w:cs="Arial"/>
          <w:sz w:val="20"/>
          <w:szCs w:val="20"/>
        </w:rPr>
      </w:pPr>
      <w:r w:rsidRPr="002F62C0">
        <w:rPr>
          <w:rFonts w:cs="Arial"/>
          <w:sz w:val="20"/>
          <w:szCs w:val="20"/>
        </w:rPr>
        <w:t xml:space="preserve">This output is focussed on the development </w:t>
      </w:r>
      <w:r w:rsidR="0004490F" w:rsidRPr="002F62C0">
        <w:rPr>
          <w:rFonts w:cs="Arial"/>
          <w:sz w:val="20"/>
          <w:szCs w:val="20"/>
        </w:rPr>
        <w:t xml:space="preserve">and formalisation </w:t>
      </w:r>
      <w:r w:rsidRPr="002F62C0">
        <w:rPr>
          <w:rFonts w:cs="Arial"/>
          <w:sz w:val="20"/>
          <w:szCs w:val="20"/>
        </w:rPr>
        <w:t>of partnerships with key</w:t>
      </w:r>
      <w:r w:rsidR="0004490F" w:rsidRPr="002F62C0">
        <w:rPr>
          <w:rFonts w:cs="Arial"/>
          <w:sz w:val="20"/>
          <w:szCs w:val="20"/>
        </w:rPr>
        <w:t xml:space="preserve"> national and multilateral partners to ensure that </w:t>
      </w:r>
      <w:r w:rsidR="00F62F5D" w:rsidRPr="002F62C0">
        <w:rPr>
          <w:rFonts w:cs="Arial"/>
          <w:sz w:val="20"/>
          <w:szCs w:val="20"/>
        </w:rPr>
        <w:t xml:space="preserve">the organisations within target countries who </w:t>
      </w:r>
      <w:r w:rsidR="00D0406F" w:rsidRPr="002F62C0">
        <w:rPr>
          <w:rFonts w:cs="Arial"/>
          <w:sz w:val="20"/>
          <w:szCs w:val="20"/>
        </w:rPr>
        <w:t xml:space="preserve">both require assistance and have the power to influence decisions related to </w:t>
      </w:r>
      <w:r w:rsidR="00E448D0" w:rsidRPr="002F62C0">
        <w:rPr>
          <w:rFonts w:cs="Arial"/>
          <w:sz w:val="20"/>
          <w:szCs w:val="20"/>
        </w:rPr>
        <w:t xml:space="preserve">advancing national energy transitions are effectively engaged and supported by the Programme, including through the </w:t>
      </w:r>
      <w:r w:rsidR="00570ED6" w:rsidRPr="002F62C0">
        <w:rPr>
          <w:rFonts w:cs="Arial"/>
          <w:sz w:val="20"/>
          <w:szCs w:val="20"/>
        </w:rPr>
        <w:t>opportunity for human resource excha</w:t>
      </w:r>
      <w:r w:rsidR="00675D86" w:rsidRPr="002F62C0">
        <w:rPr>
          <w:rFonts w:cs="Arial"/>
          <w:sz w:val="20"/>
          <w:szCs w:val="20"/>
        </w:rPr>
        <w:t>n</w:t>
      </w:r>
      <w:r w:rsidR="00570ED6" w:rsidRPr="002F62C0">
        <w:rPr>
          <w:rFonts w:cs="Arial"/>
          <w:sz w:val="20"/>
          <w:szCs w:val="20"/>
        </w:rPr>
        <w:t xml:space="preserve">ges supported by the programme. It also encompasses the </w:t>
      </w:r>
      <w:r w:rsidR="00675D86" w:rsidRPr="002F62C0">
        <w:rPr>
          <w:rFonts w:cs="Arial"/>
          <w:sz w:val="20"/>
          <w:szCs w:val="20"/>
        </w:rPr>
        <w:t xml:space="preserve">engagement of funder of the programme. </w:t>
      </w:r>
    </w:p>
    <w:p w14:paraId="4301E485" w14:textId="77777777" w:rsidR="00675D86" w:rsidRPr="002F62C0" w:rsidRDefault="00675D86" w:rsidP="004D5FD5">
      <w:pPr>
        <w:jc w:val="both"/>
        <w:rPr>
          <w:rFonts w:cs="Arial"/>
          <w:sz w:val="20"/>
          <w:szCs w:val="20"/>
        </w:rPr>
      </w:pPr>
    </w:p>
    <w:p w14:paraId="772537FA" w14:textId="79AF39FB" w:rsidR="0070781E" w:rsidRPr="002F62C0" w:rsidRDefault="00675D86" w:rsidP="004D5FD5">
      <w:pPr>
        <w:jc w:val="both"/>
        <w:rPr>
          <w:rFonts w:cs="Arial"/>
          <w:sz w:val="20"/>
          <w:szCs w:val="20"/>
        </w:rPr>
      </w:pPr>
      <w:r w:rsidRPr="7F7619C6">
        <w:rPr>
          <w:rFonts w:cs="Arial"/>
          <w:sz w:val="20"/>
          <w:szCs w:val="20"/>
        </w:rPr>
        <w:t xml:space="preserve">In 2024, </w:t>
      </w:r>
      <w:r w:rsidR="002F62C0" w:rsidRPr="7F7619C6">
        <w:rPr>
          <w:rFonts w:cs="Arial"/>
          <w:sz w:val="20"/>
          <w:szCs w:val="20"/>
        </w:rPr>
        <w:t xml:space="preserve">the programme has continued to </w:t>
      </w:r>
      <w:r w:rsidR="00746671" w:rsidRPr="7F7619C6">
        <w:rPr>
          <w:rFonts w:cs="Arial"/>
          <w:sz w:val="20"/>
          <w:szCs w:val="20"/>
        </w:rPr>
        <w:t xml:space="preserve">increase its reach and engagement with partner organisations within target countries and through </w:t>
      </w:r>
      <w:r w:rsidR="00C22AC0" w:rsidRPr="7F7619C6">
        <w:rPr>
          <w:rFonts w:cs="Arial"/>
          <w:sz w:val="20"/>
          <w:szCs w:val="20"/>
        </w:rPr>
        <w:t xml:space="preserve">relevant </w:t>
      </w:r>
      <w:r w:rsidR="00746671" w:rsidRPr="7F7619C6">
        <w:rPr>
          <w:rFonts w:cs="Arial"/>
          <w:sz w:val="20"/>
          <w:szCs w:val="20"/>
        </w:rPr>
        <w:t>regional</w:t>
      </w:r>
      <w:r w:rsidR="00C22AC0" w:rsidRPr="7F7619C6">
        <w:rPr>
          <w:rFonts w:cs="Arial"/>
          <w:sz w:val="20"/>
          <w:szCs w:val="20"/>
        </w:rPr>
        <w:t xml:space="preserve"> and </w:t>
      </w:r>
      <w:r w:rsidR="00F2752B" w:rsidRPr="7F7619C6">
        <w:rPr>
          <w:rFonts w:cs="Arial"/>
          <w:sz w:val="20"/>
          <w:szCs w:val="20"/>
        </w:rPr>
        <w:t>multilateral organisations to support work on national energy transitions. The programme has also continue</w:t>
      </w:r>
      <w:r w:rsidR="007E33B3" w:rsidRPr="7F7619C6">
        <w:rPr>
          <w:rFonts w:cs="Arial"/>
          <w:sz w:val="20"/>
          <w:szCs w:val="20"/>
        </w:rPr>
        <w:t>d</w:t>
      </w:r>
      <w:r w:rsidR="00F2752B" w:rsidRPr="7F7619C6">
        <w:rPr>
          <w:rFonts w:cs="Arial"/>
          <w:sz w:val="20"/>
          <w:szCs w:val="20"/>
        </w:rPr>
        <w:t xml:space="preserve"> to formalise relationships with key </w:t>
      </w:r>
      <w:r w:rsidR="00777492" w:rsidRPr="7F7619C6">
        <w:rPr>
          <w:rFonts w:cs="Arial"/>
          <w:sz w:val="20"/>
          <w:szCs w:val="20"/>
        </w:rPr>
        <w:t xml:space="preserve">countries </w:t>
      </w:r>
      <w:r w:rsidR="0063379B" w:rsidRPr="7F7619C6">
        <w:rPr>
          <w:rFonts w:cs="Arial"/>
          <w:sz w:val="20"/>
          <w:szCs w:val="20"/>
        </w:rPr>
        <w:t xml:space="preserve">through memorandums of understanding </w:t>
      </w:r>
      <w:r w:rsidR="007E33B3" w:rsidRPr="7F7619C6">
        <w:rPr>
          <w:rFonts w:cs="Arial"/>
          <w:sz w:val="20"/>
          <w:szCs w:val="20"/>
        </w:rPr>
        <w:t xml:space="preserve">that </w:t>
      </w:r>
      <w:r w:rsidR="00454F33" w:rsidRPr="7F7619C6">
        <w:rPr>
          <w:rFonts w:cs="Arial"/>
          <w:sz w:val="20"/>
          <w:szCs w:val="20"/>
        </w:rPr>
        <w:t xml:space="preserve">have helped ensure that work programmes remain needs-driven and relevant for target countries as well as </w:t>
      </w:r>
      <w:r w:rsidR="00524554" w:rsidRPr="7F7619C6">
        <w:rPr>
          <w:rFonts w:cs="Arial"/>
          <w:sz w:val="20"/>
          <w:szCs w:val="20"/>
        </w:rPr>
        <w:t>providing a long</w:t>
      </w:r>
      <w:r w:rsidR="00A70812" w:rsidRPr="7F7619C6">
        <w:rPr>
          <w:rFonts w:cs="Arial"/>
          <w:sz w:val="20"/>
          <w:szCs w:val="20"/>
        </w:rPr>
        <w:t>er</w:t>
      </w:r>
      <w:r w:rsidR="00524554" w:rsidRPr="7F7619C6">
        <w:rPr>
          <w:rFonts w:cs="Arial"/>
          <w:sz w:val="20"/>
          <w:szCs w:val="20"/>
        </w:rPr>
        <w:t xml:space="preserve">-term perspective on </w:t>
      </w:r>
      <w:r w:rsidR="00A70812" w:rsidRPr="7F7619C6">
        <w:rPr>
          <w:rFonts w:cs="Arial"/>
          <w:sz w:val="20"/>
          <w:szCs w:val="20"/>
        </w:rPr>
        <w:t>country priorities. The number of countries</w:t>
      </w:r>
      <w:r w:rsidR="003946DF" w:rsidRPr="7F7619C6">
        <w:rPr>
          <w:rFonts w:cs="Arial"/>
          <w:sz w:val="20"/>
          <w:szCs w:val="20"/>
        </w:rPr>
        <w:t xml:space="preserve"> with such MOUs marginally missed </w:t>
      </w:r>
      <w:r w:rsidR="00B4030A" w:rsidRPr="7F7619C6">
        <w:rPr>
          <w:rFonts w:cs="Arial"/>
          <w:sz w:val="20"/>
          <w:szCs w:val="20"/>
        </w:rPr>
        <w:t xml:space="preserve">the milestone, but discussions are ongoing with </w:t>
      </w:r>
      <w:proofErr w:type="gramStart"/>
      <w:r w:rsidR="00B4030A" w:rsidRPr="7F7619C6">
        <w:rPr>
          <w:rFonts w:cs="Arial"/>
          <w:sz w:val="20"/>
          <w:szCs w:val="20"/>
        </w:rPr>
        <w:t>a number of</w:t>
      </w:r>
      <w:proofErr w:type="gramEnd"/>
      <w:r w:rsidR="00B4030A" w:rsidRPr="7F7619C6">
        <w:rPr>
          <w:rFonts w:cs="Arial"/>
          <w:sz w:val="20"/>
          <w:szCs w:val="20"/>
        </w:rPr>
        <w:t xml:space="preserve"> potential part</w:t>
      </w:r>
      <w:r w:rsidR="000C2610" w:rsidRPr="7F7619C6">
        <w:rPr>
          <w:rFonts w:cs="Arial"/>
          <w:sz w:val="20"/>
          <w:szCs w:val="20"/>
        </w:rPr>
        <w:t xml:space="preserve">ner countries. </w:t>
      </w:r>
      <w:r w:rsidR="00B4030A" w:rsidRPr="7F7619C6">
        <w:rPr>
          <w:rFonts w:cs="Arial"/>
          <w:sz w:val="20"/>
          <w:szCs w:val="20"/>
        </w:rPr>
        <w:t xml:space="preserve"> </w:t>
      </w:r>
      <w:r w:rsidR="00A70812" w:rsidRPr="7F7619C6">
        <w:rPr>
          <w:rFonts w:cs="Arial"/>
          <w:sz w:val="20"/>
          <w:szCs w:val="20"/>
        </w:rPr>
        <w:t xml:space="preserve"> </w:t>
      </w:r>
      <w:r w:rsidR="00746671" w:rsidRPr="7F7619C6">
        <w:rPr>
          <w:rFonts w:cs="Arial"/>
          <w:sz w:val="20"/>
          <w:szCs w:val="20"/>
        </w:rPr>
        <w:t xml:space="preserve"> </w:t>
      </w:r>
      <w:r w:rsidR="00DE68DC" w:rsidRPr="7F7619C6">
        <w:rPr>
          <w:rFonts w:cs="Arial"/>
          <w:sz w:val="20"/>
          <w:szCs w:val="20"/>
        </w:rPr>
        <w:t xml:space="preserve"> </w:t>
      </w:r>
    </w:p>
    <w:p w14:paraId="2CEDA8E9" w14:textId="77777777" w:rsidR="0070781E" w:rsidRPr="002F62C0" w:rsidRDefault="0070781E" w:rsidP="004D5FD5">
      <w:pPr>
        <w:jc w:val="both"/>
        <w:rPr>
          <w:rFonts w:cs="Arial"/>
          <w:sz w:val="20"/>
          <w:szCs w:val="20"/>
        </w:rPr>
      </w:pPr>
    </w:p>
    <w:p w14:paraId="0BEB67FF" w14:textId="1B223FE1" w:rsidR="0070781E" w:rsidRDefault="00A70812" w:rsidP="004D5FD5">
      <w:pPr>
        <w:jc w:val="both"/>
        <w:rPr>
          <w:rFonts w:cs="Arial"/>
          <w:sz w:val="20"/>
          <w:szCs w:val="20"/>
        </w:rPr>
      </w:pPr>
      <w:r>
        <w:rPr>
          <w:rFonts w:cs="Arial"/>
          <w:sz w:val="20"/>
          <w:szCs w:val="20"/>
        </w:rPr>
        <w:t>The IEA have also exceeded</w:t>
      </w:r>
      <w:r w:rsidR="000C2610">
        <w:rPr>
          <w:rFonts w:cs="Arial"/>
          <w:sz w:val="20"/>
          <w:szCs w:val="20"/>
        </w:rPr>
        <w:t xml:space="preserve"> their target for formal gatherings of the </w:t>
      </w:r>
      <w:r w:rsidR="00303B33">
        <w:rPr>
          <w:rFonts w:cs="Arial"/>
          <w:sz w:val="20"/>
          <w:szCs w:val="20"/>
        </w:rPr>
        <w:t xml:space="preserve">Funders Group allowing additional opportunities for funders to engage with and steer the work of the </w:t>
      </w:r>
      <w:r w:rsidR="00226531">
        <w:rPr>
          <w:rFonts w:cs="Arial"/>
          <w:sz w:val="20"/>
          <w:szCs w:val="20"/>
        </w:rPr>
        <w:t>programme.</w:t>
      </w:r>
      <w:r>
        <w:rPr>
          <w:rFonts w:cs="Arial"/>
          <w:sz w:val="20"/>
          <w:szCs w:val="20"/>
        </w:rPr>
        <w:t xml:space="preserve"> </w:t>
      </w:r>
    </w:p>
    <w:p w14:paraId="2728D2B3" w14:textId="77777777" w:rsidR="005C4514" w:rsidRDefault="005C4514" w:rsidP="004D5FD5">
      <w:pPr>
        <w:jc w:val="both"/>
        <w:rPr>
          <w:rFonts w:cs="Arial"/>
          <w:sz w:val="20"/>
          <w:szCs w:val="20"/>
        </w:rPr>
      </w:pPr>
    </w:p>
    <w:p w14:paraId="07F51924" w14:textId="77777777" w:rsidR="005C4514" w:rsidRPr="00D80C6C" w:rsidRDefault="005C4514" w:rsidP="005C4514">
      <w:pPr>
        <w:jc w:val="both"/>
        <w:rPr>
          <w:rFonts w:cs="Arial"/>
          <w:i/>
          <w:iCs/>
          <w:sz w:val="22"/>
          <w:szCs w:val="22"/>
        </w:rPr>
      </w:pPr>
      <w:r w:rsidRPr="3A221014">
        <w:rPr>
          <w:b/>
          <w:bCs/>
          <w:i/>
          <w:iCs/>
          <w:sz w:val="28"/>
          <w:szCs w:val="28"/>
        </w:rPr>
        <w:lastRenderedPageBreak/>
        <w:t xml:space="preserve">Changes to this output, and any planned changes </w:t>
      </w:r>
      <w:proofErr w:type="gramStart"/>
      <w:r w:rsidRPr="3A221014">
        <w:rPr>
          <w:b/>
          <w:bCs/>
          <w:i/>
          <w:iCs/>
          <w:sz w:val="28"/>
          <w:szCs w:val="28"/>
        </w:rPr>
        <w:t>as a result of</w:t>
      </w:r>
      <w:proofErr w:type="gramEnd"/>
      <w:r w:rsidRPr="3A221014">
        <w:rPr>
          <w:b/>
          <w:bCs/>
          <w:i/>
          <w:iCs/>
          <w:sz w:val="28"/>
          <w:szCs w:val="28"/>
        </w:rPr>
        <w:t xml:space="preserve"> this review</w:t>
      </w:r>
      <w:r w:rsidRPr="3A221014">
        <w:rPr>
          <w:rFonts w:cs="Arial"/>
          <w:b/>
          <w:bCs/>
          <w:i/>
          <w:iCs/>
          <w:sz w:val="22"/>
          <w:szCs w:val="22"/>
        </w:rPr>
        <w:t xml:space="preserve"> </w:t>
      </w:r>
      <w:r w:rsidRPr="3A221014">
        <w:rPr>
          <w:rFonts w:cs="Arial"/>
          <w:i/>
          <w:iCs/>
          <w:sz w:val="22"/>
          <w:szCs w:val="22"/>
        </w:rPr>
        <w:t>[1 paragraph]</w:t>
      </w:r>
    </w:p>
    <w:p w14:paraId="60D23711" w14:textId="77777777" w:rsidR="005C4514" w:rsidRPr="00D80C6C" w:rsidRDefault="005C4514" w:rsidP="005C4514">
      <w:pPr>
        <w:jc w:val="both"/>
        <w:rPr>
          <w:rFonts w:cs="Arial"/>
          <w:sz w:val="22"/>
          <w:szCs w:val="22"/>
        </w:rPr>
      </w:pPr>
    </w:p>
    <w:p w14:paraId="7B9781D5" w14:textId="481D7092" w:rsidR="005C4514" w:rsidRPr="008F29B8" w:rsidRDefault="005C4514" w:rsidP="005C4514">
      <w:pPr>
        <w:jc w:val="both"/>
        <w:rPr>
          <w:rFonts w:cs="Arial"/>
          <w:sz w:val="20"/>
          <w:szCs w:val="20"/>
        </w:rPr>
      </w:pPr>
      <w:r w:rsidRPr="008F29B8">
        <w:rPr>
          <w:rFonts w:cs="Arial"/>
          <w:sz w:val="20"/>
          <w:szCs w:val="20"/>
        </w:rPr>
        <w:t xml:space="preserve">As the first year of this current tranche of support for the programme, there have been no changes to the output </w:t>
      </w:r>
      <w:proofErr w:type="gramStart"/>
      <w:r w:rsidRPr="008F29B8">
        <w:rPr>
          <w:rFonts w:cs="Arial"/>
          <w:sz w:val="20"/>
          <w:szCs w:val="20"/>
        </w:rPr>
        <w:t>during the course of</w:t>
      </w:r>
      <w:proofErr w:type="gramEnd"/>
      <w:r w:rsidRPr="008F29B8">
        <w:rPr>
          <w:rFonts w:cs="Arial"/>
          <w:sz w:val="20"/>
          <w:szCs w:val="20"/>
        </w:rPr>
        <w:t xml:space="preserve"> the year. We will keep all outputs under review, particularly where milestones have been significantly over-achieved, to ensure that cumulative output milestones remain stretching for the programme</w:t>
      </w:r>
      <w:r w:rsidR="0004341F">
        <w:rPr>
          <w:rFonts w:cs="Arial"/>
          <w:sz w:val="20"/>
          <w:szCs w:val="20"/>
        </w:rPr>
        <w:t xml:space="preserve">, but to date </w:t>
      </w:r>
      <w:r w:rsidR="00C879B7">
        <w:rPr>
          <w:rFonts w:cs="Arial"/>
          <w:sz w:val="20"/>
          <w:szCs w:val="20"/>
        </w:rPr>
        <w:t xml:space="preserve">milestones have been set at an appropriate </w:t>
      </w:r>
      <w:r w:rsidR="00442F43">
        <w:rPr>
          <w:rFonts w:cs="Arial"/>
          <w:sz w:val="20"/>
          <w:szCs w:val="20"/>
        </w:rPr>
        <w:t xml:space="preserve">level. </w:t>
      </w:r>
    </w:p>
    <w:p w14:paraId="695F4C0A" w14:textId="77777777" w:rsidR="005C4514" w:rsidRPr="002F62C0" w:rsidRDefault="005C4514" w:rsidP="004D5FD5">
      <w:pPr>
        <w:jc w:val="both"/>
        <w:rPr>
          <w:rFonts w:cs="Arial"/>
          <w:sz w:val="20"/>
          <w:szCs w:val="20"/>
        </w:rPr>
      </w:pPr>
    </w:p>
    <w:p w14:paraId="59BBF0AA" w14:textId="77777777" w:rsidR="00442F43" w:rsidRDefault="00442F43" w:rsidP="00442F43">
      <w:pPr>
        <w:jc w:val="both"/>
        <w:rPr>
          <w:rFonts w:cs="Arial"/>
          <w:sz w:val="22"/>
          <w:szCs w:val="22"/>
        </w:rPr>
      </w:pPr>
      <w:r w:rsidRPr="00953846">
        <w:rPr>
          <w:b/>
          <w:bCs/>
          <w:i/>
          <w:iCs/>
          <w:sz w:val="28"/>
          <w:szCs w:val="28"/>
        </w:rPr>
        <w:t>Progress on recommendations from the previous AR, lessons learned this year, and recommendations for the year ahead</w:t>
      </w:r>
      <w:r w:rsidRPr="00953846">
        <w:rPr>
          <w:rFonts w:cs="Arial"/>
          <w:b/>
          <w:bCs/>
        </w:rPr>
        <w:t xml:space="preserve"> </w:t>
      </w:r>
      <w:r w:rsidRPr="00D80C6C">
        <w:rPr>
          <w:rFonts w:cs="Arial"/>
          <w:sz w:val="22"/>
          <w:szCs w:val="22"/>
        </w:rPr>
        <w:t>[1-2 paragraphs]</w:t>
      </w:r>
    </w:p>
    <w:p w14:paraId="1A0C9CED" w14:textId="77777777" w:rsidR="00442F43" w:rsidRDefault="00442F43" w:rsidP="00442F43">
      <w:pPr>
        <w:jc w:val="both"/>
        <w:rPr>
          <w:rFonts w:cs="Arial"/>
          <w:sz w:val="22"/>
          <w:szCs w:val="22"/>
        </w:rPr>
      </w:pPr>
    </w:p>
    <w:p w14:paraId="70ED018B" w14:textId="77777777" w:rsidR="00442F43" w:rsidRPr="00DE68DC" w:rsidRDefault="00442F43" w:rsidP="00442F43">
      <w:pPr>
        <w:jc w:val="both"/>
        <w:rPr>
          <w:rFonts w:cs="Arial"/>
          <w:bCs/>
          <w:sz w:val="20"/>
          <w:szCs w:val="20"/>
        </w:rPr>
      </w:pPr>
      <w:r w:rsidRPr="00DE68DC">
        <w:rPr>
          <w:rFonts w:cs="Arial"/>
          <w:bCs/>
          <w:sz w:val="20"/>
          <w:szCs w:val="20"/>
        </w:rPr>
        <w:t>As the first year of this current tranche of support for the programme there are no outstanding recommendations, with recommendations from the last year of the first tranche of support feeding directly into the subsequent business case.</w:t>
      </w:r>
    </w:p>
    <w:p w14:paraId="4F611C58" w14:textId="77777777" w:rsidR="00442F43" w:rsidRPr="00DE68DC" w:rsidRDefault="00442F43" w:rsidP="00442F43">
      <w:pPr>
        <w:jc w:val="both"/>
        <w:rPr>
          <w:rFonts w:cs="Arial"/>
          <w:bCs/>
          <w:sz w:val="20"/>
          <w:szCs w:val="20"/>
        </w:rPr>
      </w:pPr>
    </w:p>
    <w:p w14:paraId="5B8936B5" w14:textId="77777777" w:rsidR="00442F43" w:rsidRPr="00DE68DC" w:rsidRDefault="00442F43" w:rsidP="00442F43">
      <w:pPr>
        <w:jc w:val="both"/>
        <w:rPr>
          <w:rFonts w:cs="Arial"/>
          <w:bCs/>
          <w:i/>
          <w:iCs/>
          <w:sz w:val="20"/>
          <w:szCs w:val="20"/>
        </w:rPr>
      </w:pPr>
      <w:r w:rsidRPr="00DE68DC">
        <w:rPr>
          <w:rFonts w:cs="Arial"/>
          <w:bCs/>
          <w:i/>
          <w:iCs/>
          <w:sz w:val="20"/>
          <w:szCs w:val="20"/>
        </w:rPr>
        <w:t>Recommendations</w:t>
      </w:r>
    </w:p>
    <w:p w14:paraId="3A049652" w14:textId="77777777" w:rsidR="00442F43" w:rsidRPr="00DE68DC" w:rsidRDefault="00442F43" w:rsidP="00442F43">
      <w:pPr>
        <w:jc w:val="both"/>
        <w:rPr>
          <w:rFonts w:cs="Arial"/>
          <w:bCs/>
          <w:sz w:val="20"/>
          <w:szCs w:val="20"/>
        </w:rPr>
      </w:pPr>
    </w:p>
    <w:p w14:paraId="0715C315" w14:textId="27A85F28" w:rsidR="00442F43" w:rsidRPr="00DE68DC" w:rsidRDefault="00442F43" w:rsidP="00442F43">
      <w:pPr>
        <w:pStyle w:val="ListParagraph"/>
        <w:numPr>
          <w:ilvl w:val="0"/>
          <w:numId w:val="20"/>
        </w:numPr>
        <w:jc w:val="both"/>
        <w:rPr>
          <w:rFonts w:cs="Arial"/>
          <w:bCs/>
          <w:sz w:val="20"/>
        </w:rPr>
      </w:pPr>
      <w:r w:rsidRPr="00DE68DC">
        <w:rPr>
          <w:rFonts w:cs="Arial"/>
          <w:bCs/>
          <w:sz w:val="20"/>
        </w:rPr>
        <w:t xml:space="preserve">DESNZ to consider </w:t>
      </w:r>
      <w:r>
        <w:rPr>
          <w:rFonts w:cs="Arial"/>
          <w:bCs/>
          <w:sz w:val="20"/>
        </w:rPr>
        <w:t xml:space="preserve">decreasing </w:t>
      </w:r>
      <w:r w:rsidRPr="00DE68DC">
        <w:rPr>
          <w:rFonts w:cs="Arial"/>
          <w:bCs/>
          <w:sz w:val="20"/>
        </w:rPr>
        <w:t xml:space="preserve">weighting of this output given </w:t>
      </w:r>
      <w:r>
        <w:rPr>
          <w:rFonts w:cs="Arial"/>
          <w:bCs/>
          <w:sz w:val="20"/>
        </w:rPr>
        <w:t xml:space="preserve">balance of </w:t>
      </w:r>
      <w:r w:rsidR="00AF6A60">
        <w:rPr>
          <w:rFonts w:cs="Arial"/>
          <w:bCs/>
          <w:sz w:val="20"/>
        </w:rPr>
        <w:t>activity across the three output areas</w:t>
      </w:r>
      <w:r w:rsidRPr="00DE68DC">
        <w:rPr>
          <w:rFonts w:cs="Arial"/>
          <w:bCs/>
          <w:sz w:val="20"/>
        </w:rPr>
        <w:t>.</w:t>
      </w:r>
    </w:p>
    <w:p w14:paraId="6563EC84" w14:textId="72C05636" w:rsidR="00442F43" w:rsidRPr="00DE68DC" w:rsidRDefault="00442F43" w:rsidP="00442F43">
      <w:pPr>
        <w:pStyle w:val="ListParagraph"/>
        <w:numPr>
          <w:ilvl w:val="0"/>
          <w:numId w:val="20"/>
        </w:numPr>
        <w:jc w:val="both"/>
        <w:rPr>
          <w:rFonts w:cs="Arial"/>
          <w:sz w:val="20"/>
        </w:rPr>
      </w:pPr>
      <w:r w:rsidRPr="00DE68DC">
        <w:rPr>
          <w:rFonts w:cs="Arial"/>
          <w:bCs/>
          <w:sz w:val="20"/>
        </w:rPr>
        <w:t>DE</w:t>
      </w:r>
      <w:r w:rsidR="00AF6A60">
        <w:rPr>
          <w:rFonts w:cs="Arial"/>
          <w:bCs/>
          <w:sz w:val="20"/>
        </w:rPr>
        <w:t>S</w:t>
      </w:r>
      <w:r w:rsidRPr="00DE68DC">
        <w:rPr>
          <w:rFonts w:cs="Arial"/>
          <w:bCs/>
          <w:sz w:val="20"/>
        </w:rPr>
        <w:t xml:space="preserve">NZ and IEA to keep the </w:t>
      </w:r>
      <w:proofErr w:type="spellStart"/>
      <w:r w:rsidRPr="00DE68DC">
        <w:rPr>
          <w:rFonts w:cs="Arial"/>
          <w:bCs/>
          <w:sz w:val="20"/>
        </w:rPr>
        <w:t>logframe</w:t>
      </w:r>
      <w:proofErr w:type="spellEnd"/>
      <w:r w:rsidRPr="00DE68DC">
        <w:rPr>
          <w:rFonts w:cs="Arial"/>
          <w:bCs/>
          <w:sz w:val="20"/>
        </w:rPr>
        <w:t xml:space="preserve"> under review to ensure that output indicators remain relevant and that milestones are ambitious but realistic and retain stretch</w:t>
      </w:r>
    </w:p>
    <w:p w14:paraId="1425219E" w14:textId="77777777" w:rsidR="0070781E" w:rsidRDefault="0070781E" w:rsidP="004D5FD5">
      <w:pPr>
        <w:jc w:val="both"/>
        <w:rPr>
          <w:rFonts w:cs="Arial"/>
          <w:sz w:val="22"/>
          <w:szCs w:val="22"/>
        </w:rPr>
      </w:pPr>
    </w:p>
    <w:p w14:paraId="7FE0B62F" w14:textId="77777777" w:rsidR="0070781E" w:rsidRDefault="0070781E" w:rsidP="004D5FD5">
      <w:pPr>
        <w:jc w:val="both"/>
        <w:rPr>
          <w:rFonts w:cs="Arial"/>
          <w:sz w:val="22"/>
          <w:szCs w:val="22"/>
        </w:rPr>
      </w:pPr>
    </w:p>
    <w:tbl>
      <w:tblPr>
        <w:tblStyle w:val="TableGrid"/>
        <w:tblW w:w="0" w:type="auto"/>
        <w:tblLook w:val="04A0" w:firstRow="1" w:lastRow="0" w:firstColumn="1" w:lastColumn="0" w:noHBand="0" w:noVBand="1"/>
      </w:tblPr>
      <w:tblGrid>
        <w:gridCol w:w="9016"/>
      </w:tblGrid>
      <w:tr w:rsidR="00CB2873" w14:paraId="625A7711" w14:textId="77777777" w:rsidTr="527A8EFF">
        <w:tc>
          <w:tcPr>
            <w:tcW w:w="9016" w:type="dxa"/>
            <w:shd w:val="clear" w:color="auto" w:fill="DEEAF6" w:themeFill="accent5" w:themeFillTint="33"/>
          </w:tcPr>
          <w:p w14:paraId="78474CCE" w14:textId="26B27B9C" w:rsidR="00CB2873" w:rsidRDefault="2C7057B1" w:rsidP="004D5FD5">
            <w:pPr>
              <w:jc w:val="both"/>
            </w:pPr>
            <w:bookmarkStart w:id="15" w:name="_Toc257797710"/>
            <w:r w:rsidRPr="527A8EFF">
              <w:rPr>
                <w:rStyle w:val="Heading1Char"/>
                <w:rFonts w:ascii="Arial" w:hAnsi="Arial" w:cs="Arial"/>
                <w:b/>
                <w:bCs/>
                <w:color w:val="auto"/>
              </w:rPr>
              <w:t>Section D: Pro</w:t>
            </w:r>
            <w:r w:rsidR="001330CE" w:rsidRPr="527A8EFF">
              <w:rPr>
                <w:rStyle w:val="Heading1Char"/>
                <w:rFonts w:ascii="Arial" w:hAnsi="Arial" w:cs="Arial"/>
                <w:b/>
                <w:bCs/>
                <w:color w:val="auto"/>
              </w:rPr>
              <w:t xml:space="preserve">gramme </w:t>
            </w:r>
            <w:r w:rsidRPr="527A8EFF">
              <w:rPr>
                <w:rStyle w:val="Heading1Char"/>
                <w:rFonts w:ascii="Arial" w:hAnsi="Arial" w:cs="Arial"/>
                <w:b/>
                <w:bCs/>
                <w:color w:val="auto"/>
              </w:rPr>
              <w:t>performance not captured by outputs</w:t>
            </w:r>
            <w:bookmarkEnd w:id="15"/>
            <w:r>
              <w:t xml:space="preserve"> [½ page]</w:t>
            </w:r>
          </w:p>
        </w:tc>
      </w:tr>
    </w:tbl>
    <w:p w14:paraId="358B70D4" w14:textId="77777777" w:rsidR="00CB2873" w:rsidRPr="00D80C6C" w:rsidRDefault="00CB2873" w:rsidP="004D5FD5">
      <w:pPr>
        <w:jc w:val="both"/>
        <w:rPr>
          <w:rFonts w:cs="Arial"/>
          <w:sz w:val="22"/>
          <w:szCs w:val="22"/>
        </w:rPr>
      </w:pPr>
    </w:p>
    <w:p w14:paraId="3B757549" w14:textId="5AB6C5A8" w:rsidR="00B43F78" w:rsidRDefault="00B43F78" w:rsidP="00B43F78">
      <w:pPr>
        <w:rPr>
          <w:sz w:val="20"/>
          <w:szCs w:val="22"/>
        </w:rPr>
      </w:pPr>
      <w:r w:rsidRPr="00742718">
        <w:rPr>
          <w:sz w:val="20"/>
          <w:szCs w:val="22"/>
        </w:rPr>
        <w:t>With the emerging economies participating in the programme responsible for an ever-growing proportion of global energy demand and crucial for addressing global climate objectives, their effective engagement with the IEA as the global energy authority is a key objective for the UK.</w:t>
      </w:r>
      <w:r w:rsidR="00AC41A6">
        <w:rPr>
          <w:sz w:val="20"/>
          <w:szCs w:val="22"/>
        </w:rPr>
        <w:t xml:space="preserve"> As a result of the enhanced levels of engagement and assistance that </w:t>
      </w:r>
      <w:r w:rsidR="00560526">
        <w:rPr>
          <w:sz w:val="20"/>
          <w:szCs w:val="22"/>
        </w:rPr>
        <w:t xml:space="preserve">CETP has delivered greatly enhanced relationship between target countries and the IEA, to the extent that both India and Brazil have announced their intention to seek full membership of the IEA  </w:t>
      </w:r>
      <w:r w:rsidRPr="00742718">
        <w:rPr>
          <w:sz w:val="20"/>
          <w:szCs w:val="22"/>
        </w:rPr>
        <w:t xml:space="preserve">The CETP continues to help countries implement measures that support the adoption and implementation of measures that help raise climate ambition through their Nationally Determined Contributions (NDC) under the Paris Agreement and long-term goals, including the net zero/carbon neutrality targets adopted by some target countries, and strategies. In addition, Russia’s invasion of Ukraine has emphasised the need to reduce dependency on fossil fuels by accelerating the clean energy transition as the most effective means of enhancing global energy security whilst meeting our climate objectives. Helping target countries to accelerate their transition will also help reduce dependency on Russian energy and limit Russia’s ability to deploy energy as a weapon to fund their </w:t>
      </w:r>
      <w:r w:rsidR="00BB7792">
        <w:rPr>
          <w:sz w:val="20"/>
          <w:szCs w:val="22"/>
        </w:rPr>
        <w:t xml:space="preserve">ongoing </w:t>
      </w:r>
      <w:r w:rsidRPr="00742718">
        <w:rPr>
          <w:sz w:val="20"/>
          <w:szCs w:val="22"/>
        </w:rPr>
        <w:t>aggression.</w:t>
      </w:r>
    </w:p>
    <w:p w14:paraId="29903E05" w14:textId="77777777" w:rsidR="009F70F0" w:rsidRDefault="009F70F0" w:rsidP="00B43F78">
      <w:pPr>
        <w:rPr>
          <w:sz w:val="20"/>
          <w:szCs w:val="22"/>
        </w:rPr>
      </w:pPr>
    </w:p>
    <w:p w14:paraId="562C74B2" w14:textId="6329F463" w:rsidR="009F70F0" w:rsidRPr="00742718" w:rsidRDefault="009F70F0" w:rsidP="00B43F78">
      <w:pPr>
        <w:rPr>
          <w:sz w:val="20"/>
          <w:szCs w:val="22"/>
        </w:rPr>
      </w:pPr>
      <w:r>
        <w:rPr>
          <w:sz w:val="20"/>
          <w:szCs w:val="22"/>
        </w:rPr>
        <w:t xml:space="preserve">The programme has also helped </w:t>
      </w:r>
      <w:r w:rsidR="00FC4E93">
        <w:rPr>
          <w:sz w:val="20"/>
          <w:szCs w:val="22"/>
        </w:rPr>
        <w:t>support G20</w:t>
      </w:r>
      <w:r w:rsidR="001C380A">
        <w:rPr>
          <w:sz w:val="20"/>
          <w:szCs w:val="22"/>
        </w:rPr>
        <w:t xml:space="preserve"> Presi</w:t>
      </w:r>
      <w:r w:rsidR="002F238A">
        <w:rPr>
          <w:sz w:val="20"/>
          <w:szCs w:val="22"/>
        </w:rPr>
        <w:t>d</w:t>
      </w:r>
      <w:r w:rsidR="001C380A">
        <w:rPr>
          <w:sz w:val="20"/>
          <w:szCs w:val="22"/>
        </w:rPr>
        <w:t>ent</w:t>
      </w:r>
      <w:r w:rsidR="002F238A">
        <w:rPr>
          <w:sz w:val="20"/>
          <w:szCs w:val="22"/>
        </w:rPr>
        <w:t>s</w:t>
      </w:r>
      <w:r w:rsidR="001C380A">
        <w:rPr>
          <w:sz w:val="20"/>
          <w:szCs w:val="22"/>
        </w:rPr>
        <w:t xml:space="preserve"> from emerging economies develop and deliver their energy transition priorities and </w:t>
      </w:r>
      <w:r w:rsidR="002F238A">
        <w:rPr>
          <w:sz w:val="20"/>
          <w:szCs w:val="22"/>
        </w:rPr>
        <w:t xml:space="preserve">objectives. This has created a virtuous circle </w:t>
      </w:r>
      <w:proofErr w:type="gramStart"/>
      <w:r w:rsidR="002F238A">
        <w:rPr>
          <w:sz w:val="20"/>
          <w:szCs w:val="22"/>
        </w:rPr>
        <w:t>where by</w:t>
      </w:r>
      <w:proofErr w:type="gramEnd"/>
      <w:r w:rsidR="002F238A">
        <w:rPr>
          <w:sz w:val="20"/>
          <w:szCs w:val="22"/>
        </w:rPr>
        <w:t xml:space="preserve"> the CETP delivery has strengthened confidence in the IEA as a delivery partner, leading to the IEA being a key partner for Indonesia, India, Brazil and South Africa’s upcoming Presidency, with successful G20 engagement then leading to a closer relationship generating further engagement and influence for the CETP </w:t>
      </w:r>
      <w:r w:rsidR="00EC1C62">
        <w:rPr>
          <w:sz w:val="20"/>
          <w:szCs w:val="22"/>
        </w:rPr>
        <w:t xml:space="preserve">post G20. </w:t>
      </w:r>
    </w:p>
    <w:p w14:paraId="4571D24D" w14:textId="77777777" w:rsidR="00B43F78" w:rsidRPr="00742718" w:rsidRDefault="00B43F78" w:rsidP="00B43F78">
      <w:pPr>
        <w:rPr>
          <w:sz w:val="20"/>
          <w:szCs w:val="22"/>
        </w:rPr>
      </w:pPr>
    </w:p>
    <w:p w14:paraId="6C0C0F31" w14:textId="4E3BB2E3" w:rsidR="00AF6A60" w:rsidRPr="00A74F33" w:rsidRDefault="00B43F78" w:rsidP="00EC1C62">
      <w:pPr>
        <w:rPr>
          <w:rFonts w:cs="Arial"/>
          <w:color w:val="FF0000"/>
          <w:sz w:val="22"/>
          <w:szCs w:val="22"/>
        </w:rPr>
      </w:pPr>
      <w:r w:rsidRPr="00742718">
        <w:rPr>
          <w:sz w:val="20"/>
          <w:szCs w:val="22"/>
        </w:rPr>
        <w:t>A wider benefit of the CETP programme has been the benefits that have accrued to the wider IEA membership, including the UK, in terms of a better understanding of energy systems and policy in the target countries. Knowledge of global clean energy transition challenges and opportunities has improved thanks to the enhanced availability of global energy data and statistics, delivered through first-hand co-operation with local institutions in emerging economies and human resource exchanges. The greater sharing of lessons from around the world has also enhanced overall understanding of the global energy landscape, strengthened the evidence base for IEA analysis</w:t>
      </w:r>
      <w:r w:rsidR="00EC1C62">
        <w:rPr>
          <w:sz w:val="20"/>
          <w:szCs w:val="22"/>
        </w:rPr>
        <w:t>.</w:t>
      </w:r>
    </w:p>
    <w:p w14:paraId="1B63C618" w14:textId="4396A74F" w:rsidR="003D222C" w:rsidRPr="00A74F33" w:rsidRDefault="003D222C" w:rsidP="004D5FD5">
      <w:pPr>
        <w:jc w:val="both"/>
        <w:rPr>
          <w:rFonts w:cs="Arial"/>
          <w:color w:val="FF0000"/>
          <w:sz w:val="22"/>
          <w:szCs w:val="22"/>
        </w:rPr>
      </w:pPr>
    </w:p>
    <w:tbl>
      <w:tblPr>
        <w:tblStyle w:val="TableGrid"/>
        <w:tblW w:w="0" w:type="auto"/>
        <w:tblLook w:val="04A0" w:firstRow="1" w:lastRow="0" w:firstColumn="1" w:lastColumn="0" w:noHBand="0" w:noVBand="1"/>
      </w:tblPr>
      <w:tblGrid>
        <w:gridCol w:w="9016"/>
      </w:tblGrid>
      <w:tr w:rsidR="00CB2873" w14:paraId="406A1DDB" w14:textId="77777777" w:rsidTr="527A8EFF">
        <w:tc>
          <w:tcPr>
            <w:tcW w:w="9016" w:type="dxa"/>
            <w:shd w:val="clear" w:color="auto" w:fill="DEEAF6" w:themeFill="accent5" w:themeFillTint="33"/>
          </w:tcPr>
          <w:p w14:paraId="5F18405D" w14:textId="73A3D813" w:rsidR="00CB2873" w:rsidRDefault="2C7057B1" w:rsidP="004D5FD5">
            <w:pPr>
              <w:jc w:val="both"/>
            </w:pPr>
            <w:bookmarkStart w:id="16" w:name="_Toc1033953850"/>
            <w:r w:rsidRPr="527A8EFF">
              <w:rPr>
                <w:rStyle w:val="Heading1Char"/>
                <w:rFonts w:ascii="Arial" w:hAnsi="Arial" w:cs="Arial"/>
                <w:b/>
                <w:bCs/>
                <w:color w:val="auto"/>
              </w:rPr>
              <w:lastRenderedPageBreak/>
              <w:t>Section E: Risk</w:t>
            </w:r>
            <w:bookmarkEnd w:id="16"/>
            <w:r>
              <w:t xml:space="preserve"> [1 – 1 ½ pages]</w:t>
            </w:r>
          </w:p>
        </w:tc>
      </w:tr>
    </w:tbl>
    <w:p w14:paraId="7D07A5C2" w14:textId="77777777" w:rsidR="003D222C" w:rsidRPr="00D80C6C" w:rsidRDefault="003D222C" w:rsidP="004D5FD5">
      <w:pPr>
        <w:jc w:val="both"/>
        <w:rPr>
          <w:rFonts w:cs="Arial"/>
          <w:b/>
          <w:bCs/>
          <w:sz w:val="22"/>
          <w:szCs w:val="22"/>
        </w:rPr>
      </w:pPr>
    </w:p>
    <w:p w14:paraId="7CBD3830" w14:textId="77777777" w:rsidR="00B74143" w:rsidRPr="00D80C6C" w:rsidRDefault="00B74143" w:rsidP="527A8EFF">
      <w:pPr>
        <w:contextualSpacing/>
        <w:jc w:val="both"/>
        <w:rPr>
          <w:rFonts w:cs="Arial"/>
          <w:b/>
          <w:bCs/>
          <w:sz w:val="22"/>
          <w:szCs w:val="22"/>
        </w:rPr>
      </w:pPr>
      <w:bookmarkStart w:id="17" w:name="_Toc1589569323"/>
      <w:r w:rsidRPr="527A8EFF">
        <w:rPr>
          <w:rStyle w:val="Heading2Char"/>
        </w:rPr>
        <w:t>Overall risk rating</w:t>
      </w:r>
      <w:bookmarkEnd w:id="17"/>
      <w:r w:rsidRPr="527A8EFF">
        <w:rPr>
          <w:rFonts w:cs="Arial"/>
          <w:b/>
          <w:bCs/>
          <w:sz w:val="22"/>
          <w:szCs w:val="22"/>
        </w:rPr>
        <w:t xml:space="preserve">:  </w:t>
      </w:r>
    </w:p>
    <w:p w14:paraId="026FB9FF" w14:textId="77777777" w:rsidR="00D0302B" w:rsidRDefault="00D0302B" w:rsidP="004D5FD5">
      <w:pPr>
        <w:contextualSpacing/>
        <w:jc w:val="both"/>
        <w:rPr>
          <w:rFonts w:cs="Arial"/>
          <w:sz w:val="22"/>
          <w:szCs w:val="22"/>
        </w:rPr>
      </w:pPr>
    </w:p>
    <w:p w14:paraId="02219256" w14:textId="7973931F" w:rsidR="00B74143" w:rsidRPr="00285C57" w:rsidRDefault="00B74143" w:rsidP="004D5FD5">
      <w:pPr>
        <w:contextualSpacing/>
        <w:jc w:val="both"/>
        <w:rPr>
          <w:rFonts w:cs="Arial"/>
          <w:b/>
          <w:bCs/>
          <w:sz w:val="22"/>
          <w:szCs w:val="22"/>
        </w:rPr>
      </w:pPr>
      <w:r w:rsidRPr="00285C57">
        <w:rPr>
          <w:rFonts w:cs="Arial"/>
          <w:b/>
          <w:bCs/>
          <w:sz w:val="22"/>
          <w:szCs w:val="22"/>
        </w:rPr>
        <w:t>Moderate</w:t>
      </w:r>
    </w:p>
    <w:p w14:paraId="5CF79B52" w14:textId="77777777" w:rsidR="00B74143" w:rsidRPr="00A74F33" w:rsidRDefault="00B74143" w:rsidP="004D5FD5">
      <w:pPr>
        <w:ind w:left="426" w:hanging="426"/>
        <w:contextualSpacing/>
        <w:jc w:val="both"/>
        <w:rPr>
          <w:rFonts w:cs="Arial"/>
          <w:color w:val="FF0000"/>
          <w:sz w:val="22"/>
          <w:szCs w:val="22"/>
        </w:rPr>
      </w:pPr>
    </w:p>
    <w:p w14:paraId="5F4DD760" w14:textId="1F038BE8" w:rsidR="00425E65" w:rsidRDefault="00542ED5" w:rsidP="00542ED5">
      <w:pPr>
        <w:contextualSpacing/>
        <w:rPr>
          <w:rFonts w:cs="Arial"/>
          <w:sz w:val="20"/>
          <w:szCs w:val="20"/>
        </w:rPr>
      </w:pPr>
      <w:r w:rsidRPr="00742718">
        <w:rPr>
          <w:rFonts w:cs="Arial"/>
          <w:sz w:val="20"/>
          <w:szCs w:val="20"/>
        </w:rPr>
        <w:t>The programme risks remain broadly aligned to those highlighted in the original business case</w:t>
      </w:r>
      <w:r w:rsidR="00425E65">
        <w:rPr>
          <w:rFonts w:cs="Arial"/>
          <w:sz w:val="20"/>
          <w:szCs w:val="20"/>
        </w:rPr>
        <w:t>.</w:t>
      </w:r>
    </w:p>
    <w:p w14:paraId="6854251E" w14:textId="616AD3F4" w:rsidR="00542ED5" w:rsidRDefault="00542ED5" w:rsidP="00136A58">
      <w:pPr>
        <w:contextualSpacing/>
        <w:rPr>
          <w:rFonts w:cs="Arial"/>
          <w:color w:val="FF0000"/>
          <w:sz w:val="22"/>
          <w:szCs w:val="22"/>
        </w:rPr>
      </w:pPr>
      <w:r w:rsidRPr="00742718">
        <w:rPr>
          <w:rFonts w:cs="Arial"/>
          <w:sz w:val="20"/>
          <w:szCs w:val="20"/>
        </w:rPr>
        <w:t xml:space="preserve"> </w:t>
      </w:r>
    </w:p>
    <w:p w14:paraId="55743C55" w14:textId="77777777" w:rsidR="00B74143" w:rsidRPr="00D80C6C" w:rsidRDefault="00B74143" w:rsidP="004D5FD5">
      <w:pPr>
        <w:jc w:val="both"/>
        <w:rPr>
          <w:rFonts w:cs="Arial"/>
          <w:sz w:val="22"/>
          <w:szCs w:val="22"/>
        </w:rPr>
      </w:pPr>
      <w:bookmarkStart w:id="18" w:name="_Toc1864488277"/>
      <w:r w:rsidRPr="527A8EFF">
        <w:rPr>
          <w:rStyle w:val="Heading2Char"/>
        </w:rPr>
        <w:t>Overview of risk management</w:t>
      </w:r>
      <w:bookmarkEnd w:id="18"/>
      <w:r w:rsidRPr="527A8EFF">
        <w:rPr>
          <w:rFonts w:cs="Arial"/>
          <w:sz w:val="22"/>
          <w:szCs w:val="22"/>
        </w:rPr>
        <w:t xml:space="preserve"> [max ½ page]</w:t>
      </w:r>
    </w:p>
    <w:p w14:paraId="673B755F" w14:textId="77777777" w:rsidR="00B74143" w:rsidRDefault="00B74143" w:rsidP="004D5FD5">
      <w:pPr>
        <w:jc w:val="both"/>
        <w:rPr>
          <w:rFonts w:cs="Arial"/>
          <w:sz w:val="22"/>
          <w:szCs w:val="22"/>
        </w:rPr>
      </w:pPr>
    </w:p>
    <w:p w14:paraId="76DA6C1C" w14:textId="20A59AE3" w:rsidR="00AD1CF5" w:rsidRPr="00742718" w:rsidRDefault="00AD1CF5" w:rsidP="00AD1CF5">
      <w:pPr>
        <w:rPr>
          <w:rFonts w:cs="Arial"/>
          <w:sz w:val="20"/>
          <w:szCs w:val="20"/>
        </w:rPr>
      </w:pPr>
      <w:r w:rsidRPr="00742718">
        <w:rPr>
          <w:rFonts w:cs="Arial"/>
          <w:sz w:val="20"/>
          <w:szCs w:val="20"/>
        </w:rPr>
        <w:t xml:space="preserve">The programme risks remain broadly aligned to those highlighted in the original business case and these have been effectively mitigated to date by the IEA as CETP has developed and received high levels of support from target countries, including through changes of administration in some countries, undertaken effective targeting of institutions in country to work with, and the developed long-standing relationships with key stakeholders to help ensure capacity developed is retained and supported. Funders of the programme, including </w:t>
      </w:r>
      <w:r w:rsidR="00F96FAD">
        <w:rPr>
          <w:rFonts w:cs="Arial"/>
          <w:sz w:val="20"/>
          <w:szCs w:val="20"/>
        </w:rPr>
        <w:t>the UK</w:t>
      </w:r>
      <w:r w:rsidRPr="00742718">
        <w:rPr>
          <w:rFonts w:cs="Arial"/>
          <w:sz w:val="20"/>
          <w:szCs w:val="20"/>
        </w:rPr>
        <w:t xml:space="preserve">, have been given visibility and credit throughout, including at high profile events such as the Clean Energy Transitions Summit attended by all target countries.  </w:t>
      </w:r>
    </w:p>
    <w:p w14:paraId="347254C0" w14:textId="77777777" w:rsidR="00AD1CF5" w:rsidRPr="00742718" w:rsidRDefault="00AD1CF5" w:rsidP="00AD1CF5">
      <w:pPr>
        <w:rPr>
          <w:rFonts w:cs="Arial"/>
          <w:sz w:val="20"/>
          <w:szCs w:val="20"/>
        </w:rPr>
      </w:pPr>
    </w:p>
    <w:p w14:paraId="5EF3A674" w14:textId="565565E5" w:rsidR="00174D01" w:rsidRDefault="00174D01" w:rsidP="00174D01">
      <w:pPr>
        <w:rPr>
          <w:rFonts w:cs="Arial"/>
          <w:sz w:val="20"/>
          <w:szCs w:val="20"/>
        </w:rPr>
      </w:pPr>
      <w:r w:rsidRPr="7F7619C6">
        <w:rPr>
          <w:rFonts w:cs="Arial"/>
          <w:sz w:val="20"/>
          <w:szCs w:val="20"/>
        </w:rPr>
        <w:t xml:space="preserve">The principal additional risk to the programme over the mid-term is securing sufficient funding to meet demand generated by the programme. We have seen the US withdraw its (modest) funding </w:t>
      </w:r>
      <w:proofErr w:type="gramStart"/>
      <w:r w:rsidRPr="7F7619C6">
        <w:rPr>
          <w:rFonts w:cs="Arial"/>
          <w:sz w:val="20"/>
          <w:szCs w:val="20"/>
        </w:rPr>
        <w:t>as a result of</w:t>
      </w:r>
      <w:proofErr w:type="gramEnd"/>
      <w:r w:rsidRPr="7F7619C6">
        <w:rPr>
          <w:rFonts w:cs="Arial"/>
          <w:sz w:val="20"/>
          <w:szCs w:val="20"/>
        </w:rPr>
        <w:t xml:space="preserve"> the change in administration and downward pressure on ODA spend across </w:t>
      </w:r>
      <w:proofErr w:type="gramStart"/>
      <w:r w:rsidRPr="7F7619C6">
        <w:rPr>
          <w:rFonts w:cs="Arial"/>
          <w:sz w:val="20"/>
          <w:szCs w:val="20"/>
        </w:rPr>
        <w:t>a number of</w:t>
      </w:r>
      <w:proofErr w:type="gramEnd"/>
      <w:r w:rsidRPr="7F7619C6">
        <w:rPr>
          <w:rFonts w:cs="Arial"/>
          <w:sz w:val="20"/>
          <w:szCs w:val="20"/>
        </w:rPr>
        <w:t xml:space="preserve"> countries, including the UK, will </w:t>
      </w:r>
      <w:proofErr w:type="gramStart"/>
      <w:r w:rsidRPr="7F7619C6">
        <w:rPr>
          <w:rFonts w:cs="Arial"/>
          <w:sz w:val="20"/>
          <w:szCs w:val="20"/>
        </w:rPr>
        <w:t>potentially  make</w:t>
      </w:r>
      <w:proofErr w:type="gramEnd"/>
      <w:r w:rsidRPr="7F7619C6">
        <w:rPr>
          <w:rFonts w:cs="Arial"/>
          <w:sz w:val="20"/>
          <w:szCs w:val="20"/>
        </w:rPr>
        <w:t xml:space="preserve"> future funding more difficult, </w:t>
      </w:r>
      <w:r w:rsidR="00285C57" w:rsidRPr="7F7619C6">
        <w:rPr>
          <w:rFonts w:cs="Arial"/>
          <w:sz w:val="20"/>
          <w:szCs w:val="20"/>
        </w:rPr>
        <w:t>emphasising</w:t>
      </w:r>
      <w:r w:rsidRPr="7F7619C6">
        <w:rPr>
          <w:rFonts w:cs="Arial"/>
          <w:sz w:val="20"/>
          <w:szCs w:val="20"/>
        </w:rPr>
        <w:t xml:space="preserve"> the need for CETP and the IEA to continue demonstrate a strong track record of delivery.   </w:t>
      </w:r>
    </w:p>
    <w:p w14:paraId="444591C6" w14:textId="77777777" w:rsidR="00174D01" w:rsidRPr="00742718" w:rsidRDefault="00174D01" w:rsidP="00174D01">
      <w:pPr>
        <w:rPr>
          <w:rFonts w:cs="Arial"/>
          <w:color w:val="FF0000"/>
          <w:sz w:val="20"/>
          <w:szCs w:val="20"/>
        </w:rPr>
      </w:pPr>
    </w:p>
    <w:p w14:paraId="46280255" w14:textId="270F1412" w:rsidR="00174D01" w:rsidRPr="00742718" w:rsidRDefault="00174D01" w:rsidP="7F7619C6">
      <w:pPr>
        <w:rPr>
          <w:rFonts w:cs="Arial"/>
          <w:sz w:val="20"/>
          <w:szCs w:val="20"/>
        </w:rPr>
      </w:pPr>
      <w:r w:rsidRPr="7F7619C6">
        <w:rPr>
          <w:rFonts w:cs="Arial"/>
          <w:sz w:val="20"/>
          <w:szCs w:val="20"/>
        </w:rPr>
        <w:t xml:space="preserve">As part of the OECD family, the IEA also has in place a sound compliance and ethical framework which has been adopted by the OECD Member countries, including the United Kingdom. This framework includes not only an obligation on IEA staff to report any instances of </w:t>
      </w:r>
      <w:proofErr w:type="gramStart"/>
      <w:r w:rsidRPr="7F7619C6">
        <w:rPr>
          <w:rFonts w:cs="Arial"/>
          <w:sz w:val="20"/>
          <w:szCs w:val="20"/>
        </w:rPr>
        <w:t>misconduct, but</w:t>
      </w:r>
      <w:proofErr w:type="gramEnd"/>
      <w:r w:rsidRPr="7F7619C6">
        <w:rPr>
          <w:rFonts w:cs="Arial"/>
          <w:sz w:val="20"/>
          <w:szCs w:val="20"/>
        </w:rPr>
        <w:t xml:space="preserve"> also provides clear procedures for reporting instances of misconduct and includes principles to safeguard any staff who come forward. Within the OECD, there is an OECD risk management framework under which annual reporting is given to Members of the OECD in Council (including the UK). All relevant risks are included and managed through the OECD Risk Register, which is updated semi-annually, overseen by an internal Risk Steering Group and various OECD Committees and is shared annually with OECD Members in the Budget Committee and OECD Council.</w:t>
      </w:r>
      <w:r w:rsidR="2299AA8C" w:rsidRPr="7F7619C6">
        <w:rPr>
          <w:rFonts w:cs="Arial"/>
          <w:sz w:val="20"/>
          <w:szCs w:val="20"/>
        </w:rPr>
        <w:t xml:space="preserve"> </w:t>
      </w:r>
    </w:p>
    <w:p w14:paraId="361E7357" w14:textId="5188FE77" w:rsidR="00174D01" w:rsidRPr="00742718" w:rsidRDefault="00174D01" w:rsidP="7F7619C6">
      <w:pPr>
        <w:rPr>
          <w:rFonts w:cs="Arial"/>
          <w:sz w:val="20"/>
          <w:szCs w:val="20"/>
        </w:rPr>
      </w:pPr>
    </w:p>
    <w:p w14:paraId="3BF62668" w14:textId="15676F8A" w:rsidR="00174D01" w:rsidRPr="00742718" w:rsidRDefault="1A1B5776" w:rsidP="00174D01">
      <w:pPr>
        <w:rPr>
          <w:rFonts w:cs="Arial"/>
          <w:sz w:val="20"/>
          <w:szCs w:val="20"/>
        </w:rPr>
      </w:pPr>
      <w:r w:rsidRPr="7F7619C6">
        <w:rPr>
          <w:rFonts w:cs="Arial"/>
          <w:sz w:val="20"/>
          <w:szCs w:val="20"/>
        </w:rPr>
        <w:t>This is</w:t>
      </w:r>
      <w:r w:rsidR="1E2EFB5B" w:rsidRPr="7F7619C6">
        <w:rPr>
          <w:rFonts w:cs="Arial"/>
          <w:sz w:val="20"/>
          <w:szCs w:val="20"/>
        </w:rPr>
        <w:t xml:space="preserve"> </w:t>
      </w:r>
      <w:r w:rsidRPr="7F7619C6">
        <w:rPr>
          <w:rFonts w:cs="Arial"/>
          <w:sz w:val="20"/>
          <w:szCs w:val="20"/>
        </w:rPr>
        <w:t>in</w:t>
      </w:r>
      <w:r w:rsidR="4BE9EE3B" w:rsidRPr="7F7619C6">
        <w:rPr>
          <w:rFonts w:cs="Arial"/>
          <w:sz w:val="20"/>
          <w:szCs w:val="20"/>
        </w:rPr>
        <w:t xml:space="preserve"> </w:t>
      </w:r>
      <w:r w:rsidRPr="7F7619C6">
        <w:rPr>
          <w:rFonts w:cs="Arial"/>
          <w:sz w:val="20"/>
          <w:szCs w:val="20"/>
        </w:rPr>
        <w:t>addition to regul</w:t>
      </w:r>
      <w:r w:rsidR="1D9FB9D1" w:rsidRPr="7F7619C6">
        <w:rPr>
          <w:rFonts w:cs="Arial"/>
          <w:sz w:val="20"/>
          <w:szCs w:val="20"/>
        </w:rPr>
        <w:t>a</w:t>
      </w:r>
      <w:r w:rsidRPr="7F7619C6">
        <w:rPr>
          <w:rFonts w:cs="Arial"/>
          <w:sz w:val="20"/>
          <w:szCs w:val="20"/>
        </w:rPr>
        <w:t xml:space="preserve">r risk monitoring through the internal governance structures of the programme </w:t>
      </w:r>
      <w:r w:rsidR="3997215B" w:rsidRPr="7F7619C6">
        <w:rPr>
          <w:rFonts w:cs="Arial"/>
          <w:sz w:val="20"/>
          <w:szCs w:val="20"/>
        </w:rPr>
        <w:t xml:space="preserve">within the IEA and with the funders.  </w:t>
      </w:r>
    </w:p>
    <w:p w14:paraId="6D2C3693" w14:textId="77777777" w:rsidR="00174D01" w:rsidRPr="00742718" w:rsidRDefault="00174D01" w:rsidP="00174D01">
      <w:pPr>
        <w:rPr>
          <w:rFonts w:cs="Arial"/>
          <w:sz w:val="20"/>
          <w:szCs w:val="20"/>
        </w:rPr>
      </w:pPr>
    </w:p>
    <w:p w14:paraId="6553C2DF" w14:textId="77777777" w:rsidR="00B74143" w:rsidRPr="00D80C6C" w:rsidRDefault="00B74143" w:rsidP="004D5FD5">
      <w:pPr>
        <w:pStyle w:val="Heading2"/>
        <w:jc w:val="both"/>
      </w:pPr>
      <w:bookmarkStart w:id="19" w:name="_Toc1844927462"/>
      <w:r>
        <w:t>Current risks</w:t>
      </w:r>
      <w:bookmarkEnd w:id="19"/>
    </w:p>
    <w:p w14:paraId="12EC31B8" w14:textId="77777777" w:rsidR="007C0605" w:rsidRDefault="007C0605" w:rsidP="004D5FD5">
      <w:pPr>
        <w:contextualSpacing/>
        <w:jc w:val="both"/>
        <w:rPr>
          <w:rFonts w:cs="Arial"/>
          <w:sz w:val="22"/>
          <w:szCs w:val="22"/>
        </w:rPr>
      </w:pPr>
    </w:p>
    <w:p w14:paraId="267E161F" w14:textId="77777777" w:rsidR="00136A58" w:rsidRDefault="00136A58" w:rsidP="00136A58">
      <w:pPr>
        <w:contextualSpacing/>
        <w:rPr>
          <w:rFonts w:cs="Arial"/>
          <w:sz w:val="20"/>
          <w:szCs w:val="20"/>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5"/>
        <w:gridCol w:w="4820"/>
        <w:gridCol w:w="2355"/>
      </w:tblGrid>
      <w:tr w:rsidR="00136A58" w:rsidRPr="00206EC5" w14:paraId="4717FC34" w14:textId="77777777" w:rsidTr="008A7AEE">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A6A6A6"/>
            <w:hideMark/>
          </w:tcPr>
          <w:p w14:paraId="4E235F34" w14:textId="77777777" w:rsidR="00136A58" w:rsidRPr="00206EC5" w:rsidRDefault="00136A58" w:rsidP="008A7AEE">
            <w:pPr>
              <w:textAlignment w:val="baseline"/>
              <w:rPr>
                <w:rFonts w:ascii="Segoe UI" w:hAnsi="Segoe UI" w:cs="Segoe UI"/>
                <w:sz w:val="18"/>
                <w:szCs w:val="18"/>
                <w:lang w:eastAsia="en-GB"/>
              </w:rPr>
            </w:pPr>
            <w:r w:rsidRPr="00206EC5">
              <w:rPr>
                <w:rFonts w:ascii="Calibri" w:hAnsi="Calibri" w:cs="Calibri"/>
                <w:b/>
                <w:bCs/>
                <w:sz w:val="20"/>
                <w:szCs w:val="20"/>
                <w:lang w:eastAsia="en-GB"/>
              </w:rPr>
              <w:t>Description</w:t>
            </w:r>
            <w:r w:rsidRPr="00206EC5">
              <w:rPr>
                <w:rFonts w:ascii="Calibri" w:hAnsi="Calibri" w:cs="Calibri"/>
                <w:sz w:val="20"/>
                <w:szCs w:val="20"/>
                <w:lang w:eastAsia="en-GB"/>
              </w:rPr>
              <w:t> </w:t>
            </w:r>
          </w:p>
        </w:tc>
        <w:tc>
          <w:tcPr>
            <w:tcW w:w="4820" w:type="dxa"/>
            <w:tcBorders>
              <w:top w:val="single" w:sz="6" w:space="0" w:color="auto"/>
              <w:left w:val="single" w:sz="6" w:space="0" w:color="auto"/>
              <w:bottom w:val="single" w:sz="6" w:space="0" w:color="auto"/>
              <w:right w:val="single" w:sz="6" w:space="0" w:color="auto"/>
            </w:tcBorders>
            <w:shd w:val="clear" w:color="auto" w:fill="A6A6A6"/>
            <w:hideMark/>
          </w:tcPr>
          <w:p w14:paraId="3E0833B8" w14:textId="77777777" w:rsidR="00136A58" w:rsidRPr="00206EC5" w:rsidRDefault="00136A58" w:rsidP="008A7AEE">
            <w:pPr>
              <w:textAlignment w:val="baseline"/>
              <w:rPr>
                <w:rFonts w:ascii="Segoe UI" w:hAnsi="Segoe UI" w:cs="Segoe UI"/>
                <w:sz w:val="18"/>
                <w:szCs w:val="18"/>
                <w:lang w:eastAsia="en-GB"/>
              </w:rPr>
            </w:pPr>
            <w:r w:rsidRPr="00206EC5">
              <w:rPr>
                <w:rFonts w:ascii="Calibri" w:hAnsi="Calibri" w:cs="Calibri"/>
                <w:b/>
                <w:bCs/>
                <w:sz w:val="20"/>
                <w:szCs w:val="20"/>
                <w:lang w:eastAsia="en-GB"/>
              </w:rPr>
              <w:t>Mitigation</w:t>
            </w:r>
            <w:r w:rsidRPr="00206EC5">
              <w:rPr>
                <w:rFonts w:ascii="Calibri" w:hAnsi="Calibri" w:cs="Calibri"/>
                <w:sz w:val="20"/>
                <w:szCs w:val="20"/>
                <w:lang w:eastAsia="en-GB"/>
              </w:rPr>
              <w:t> </w:t>
            </w:r>
          </w:p>
        </w:tc>
        <w:tc>
          <w:tcPr>
            <w:tcW w:w="2355" w:type="dxa"/>
            <w:tcBorders>
              <w:top w:val="single" w:sz="6" w:space="0" w:color="auto"/>
              <w:left w:val="single" w:sz="6" w:space="0" w:color="auto"/>
              <w:bottom w:val="single" w:sz="6" w:space="0" w:color="auto"/>
              <w:right w:val="single" w:sz="6" w:space="0" w:color="auto"/>
            </w:tcBorders>
            <w:shd w:val="clear" w:color="auto" w:fill="A6A6A6"/>
          </w:tcPr>
          <w:p w14:paraId="5BB4EDE9" w14:textId="77777777" w:rsidR="00136A58" w:rsidRPr="00206EC5" w:rsidRDefault="00136A58" w:rsidP="008A7AEE">
            <w:pPr>
              <w:textAlignment w:val="baseline"/>
              <w:rPr>
                <w:rFonts w:ascii="Calibri" w:hAnsi="Calibri" w:cs="Calibri"/>
                <w:b/>
                <w:bCs/>
                <w:sz w:val="20"/>
                <w:szCs w:val="20"/>
                <w:lang w:eastAsia="en-GB"/>
              </w:rPr>
            </w:pPr>
            <w:r>
              <w:rPr>
                <w:rFonts w:ascii="Calibri" w:hAnsi="Calibri" w:cs="Calibri"/>
                <w:b/>
                <w:bCs/>
                <w:sz w:val="20"/>
                <w:szCs w:val="20"/>
                <w:lang w:eastAsia="en-GB"/>
              </w:rPr>
              <w:t>Residual risk</w:t>
            </w:r>
          </w:p>
        </w:tc>
      </w:tr>
      <w:tr w:rsidR="00136A58" w:rsidRPr="00C378FB" w14:paraId="6C36E781" w14:textId="77777777" w:rsidTr="008A7AEE">
        <w:trPr>
          <w:trHeight w:val="300"/>
        </w:trPr>
        <w:tc>
          <w:tcPr>
            <w:tcW w:w="1835" w:type="dxa"/>
            <w:tcBorders>
              <w:top w:val="single" w:sz="6" w:space="0" w:color="auto"/>
              <w:left w:val="single" w:sz="6" w:space="0" w:color="auto"/>
              <w:bottom w:val="single" w:sz="6" w:space="0" w:color="auto"/>
              <w:right w:val="single" w:sz="6" w:space="0" w:color="auto"/>
            </w:tcBorders>
            <w:hideMark/>
          </w:tcPr>
          <w:p w14:paraId="1D70A256" w14:textId="77777777" w:rsidR="00136A58" w:rsidRPr="00206EC5" w:rsidRDefault="00136A58" w:rsidP="008A7AEE">
            <w:pPr>
              <w:textAlignment w:val="baseline"/>
              <w:rPr>
                <w:rFonts w:cs="Arial"/>
                <w:sz w:val="20"/>
                <w:szCs w:val="20"/>
                <w:lang w:eastAsia="en-GB"/>
              </w:rPr>
            </w:pPr>
            <w:r w:rsidRPr="00206EC5">
              <w:rPr>
                <w:rFonts w:cs="Arial"/>
                <w:b/>
                <w:bCs/>
                <w:sz w:val="20"/>
                <w:szCs w:val="20"/>
                <w:lang w:eastAsia="en-GB"/>
              </w:rPr>
              <w:t>Results Risk</w:t>
            </w:r>
            <w:r w:rsidRPr="00206EC5">
              <w:rPr>
                <w:rFonts w:cs="Arial"/>
                <w:sz w:val="20"/>
                <w:szCs w:val="20"/>
                <w:lang w:eastAsia="en-GB"/>
              </w:rPr>
              <w:t xml:space="preserve"> IEA technical assistance activities do not create long-lasting institutional expertise with a risk that the capacity created is lost without being passed on as individuals move into new roles and organisations.</w:t>
            </w:r>
            <w:r w:rsidRPr="00206EC5">
              <w:rPr>
                <w:rFonts w:cs="Arial"/>
                <w:sz w:val="20"/>
                <w:szCs w:val="20"/>
                <w:lang w:eastAsia="en-GB"/>
              </w:rPr>
              <w:tab/>
              <w:t> </w:t>
            </w:r>
          </w:p>
        </w:tc>
        <w:tc>
          <w:tcPr>
            <w:tcW w:w="4820" w:type="dxa"/>
            <w:tcBorders>
              <w:top w:val="single" w:sz="6" w:space="0" w:color="auto"/>
              <w:left w:val="single" w:sz="6" w:space="0" w:color="auto"/>
              <w:bottom w:val="single" w:sz="6" w:space="0" w:color="auto"/>
              <w:right w:val="single" w:sz="6" w:space="0" w:color="auto"/>
            </w:tcBorders>
            <w:hideMark/>
          </w:tcPr>
          <w:p w14:paraId="051078F7" w14:textId="77777777" w:rsidR="00136A58" w:rsidRDefault="00136A58" w:rsidP="008A7AEE">
            <w:pPr>
              <w:textAlignment w:val="baseline"/>
              <w:rPr>
                <w:rFonts w:cs="Arial"/>
                <w:sz w:val="20"/>
                <w:szCs w:val="20"/>
                <w:lang w:eastAsia="en-GB"/>
              </w:rPr>
            </w:pPr>
            <w:r w:rsidRPr="00206EC5">
              <w:rPr>
                <w:rFonts w:cs="Arial"/>
                <w:sz w:val="20"/>
                <w:szCs w:val="20"/>
                <w:lang w:eastAsia="en-GB"/>
              </w:rPr>
              <w:t>Th</w:t>
            </w:r>
            <w:r>
              <w:rPr>
                <w:rFonts w:cs="Arial"/>
                <w:sz w:val="20"/>
                <w:szCs w:val="20"/>
                <w:lang w:eastAsia="en-GB"/>
              </w:rPr>
              <w:t>is</w:t>
            </w:r>
            <w:r w:rsidRPr="00206EC5">
              <w:rPr>
                <w:rFonts w:cs="Arial"/>
                <w:sz w:val="20"/>
                <w:szCs w:val="20"/>
                <w:lang w:eastAsia="en-GB"/>
              </w:rPr>
              <w:t xml:space="preserve"> second phase of CETP will run over three years to help to mitigate this risk, with expectation of a continuing programme to allow replenishment of expertise.  </w:t>
            </w:r>
          </w:p>
          <w:p w14:paraId="2D780D09" w14:textId="77777777" w:rsidR="006B32D1" w:rsidRPr="00206EC5" w:rsidRDefault="006B32D1" w:rsidP="008A7AEE">
            <w:pPr>
              <w:textAlignment w:val="baseline"/>
              <w:rPr>
                <w:rFonts w:cs="Arial"/>
                <w:sz w:val="20"/>
                <w:szCs w:val="20"/>
                <w:lang w:eastAsia="en-GB"/>
              </w:rPr>
            </w:pPr>
          </w:p>
          <w:p w14:paraId="63FD464A" w14:textId="77777777" w:rsidR="00136A58" w:rsidRDefault="00136A58" w:rsidP="008A7AEE">
            <w:pPr>
              <w:textAlignment w:val="baseline"/>
              <w:rPr>
                <w:rFonts w:cs="Arial"/>
                <w:sz w:val="20"/>
                <w:szCs w:val="20"/>
                <w:lang w:eastAsia="en-GB"/>
              </w:rPr>
            </w:pPr>
            <w:r w:rsidRPr="00206EC5">
              <w:rPr>
                <w:rFonts w:cs="Arial"/>
                <w:sz w:val="20"/>
                <w:szCs w:val="20"/>
                <w:lang w:eastAsia="en-GB"/>
              </w:rPr>
              <w:t>The IEA will also mitigate this risk by identifying and working with appropriate national organisations to build lasting relationships. </w:t>
            </w:r>
          </w:p>
          <w:p w14:paraId="1084986B" w14:textId="77777777" w:rsidR="006B32D1" w:rsidRPr="00206EC5" w:rsidRDefault="006B32D1" w:rsidP="008A7AEE">
            <w:pPr>
              <w:textAlignment w:val="baseline"/>
              <w:rPr>
                <w:rFonts w:cs="Arial"/>
                <w:sz w:val="20"/>
                <w:szCs w:val="20"/>
                <w:lang w:eastAsia="en-GB"/>
              </w:rPr>
            </w:pPr>
          </w:p>
          <w:p w14:paraId="067E6552" w14:textId="77777777" w:rsidR="00136A58" w:rsidRPr="00206EC5" w:rsidRDefault="00136A58" w:rsidP="008A7AEE">
            <w:pPr>
              <w:textAlignment w:val="baseline"/>
              <w:rPr>
                <w:rFonts w:cs="Arial"/>
                <w:sz w:val="20"/>
                <w:szCs w:val="20"/>
                <w:lang w:eastAsia="en-GB"/>
              </w:rPr>
            </w:pPr>
            <w:r w:rsidRPr="00206EC5">
              <w:rPr>
                <w:rFonts w:cs="Arial"/>
                <w:sz w:val="20"/>
                <w:szCs w:val="20"/>
                <w:lang w:eastAsia="en-GB"/>
              </w:rPr>
              <w:t>IEA will also emphasise the important role of good knowledge management in building organisational capacity. </w:t>
            </w:r>
          </w:p>
        </w:tc>
        <w:tc>
          <w:tcPr>
            <w:tcW w:w="2355" w:type="dxa"/>
            <w:tcBorders>
              <w:top w:val="single" w:sz="6" w:space="0" w:color="auto"/>
              <w:left w:val="single" w:sz="6" w:space="0" w:color="auto"/>
              <w:bottom w:val="single" w:sz="6" w:space="0" w:color="auto"/>
              <w:right w:val="single" w:sz="6" w:space="0" w:color="auto"/>
            </w:tcBorders>
            <w:shd w:val="clear" w:color="auto" w:fill="00B050"/>
          </w:tcPr>
          <w:p w14:paraId="3A01A580" w14:textId="78887651" w:rsidR="00136A58" w:rsidRPr="00C378FB" w:rsidRDefault="00553DAA" w:rsidP="009958A1">
            <w:pPr>
              <w:jc w:val="center"/>
              <w:textAlignment w:val="baseline"/>
              <w:rPr>
                <w:rFonts w:cs="Arial"/>
                <w:sz w:val="20"/>
                <w:szCs w:val="20"/>
                <w:lang w:eastAsia="en-GB"/>
              </w:rPr>
            </w:pPr>
            <w:r>
              <w:rPr>
                <w:rFonts w:cs="Arial"/>
                <w:sz w:val="20"/>
                <w:szCs w:val="20"/>
                <w:lang w:eastAsia="en-GB"/>
              </w:rPr>
              <w:t>Minor</w:t>
            </w:r>
          </w:p>
        </w:tc>
      </w:tr>
      <w:tr w:rsidR="00136A58" w:rsidRPr="00C378FB" w14:paraId="719B009A" w14:textId="77777777" w:rsidTr="008A7AEE">
        <w:trPr>
          <w:trHeight w:val="300"/>
        </w:trPr>
        <w:tc>
          <w:tcPr>
            <w:tcW w:w="1835" w:type="dxa"/>
            <w:tcBorders>
              <w:top w:val="single" w:sz="6" w:space="0" w:color="auto"/>
              <w:left w:val="single" w:sz="6" w:space="0" w:color="auto"/>
              <w:bottom w:val="single" w:sz="6" w:space="0" w:color="auto"/>
              <w:right w:val="single" w:sz="6" w:space="0" w:color="auto"/>
            </w:tcBorders>
            <w:hideMark/>
          </w:tcPr>
          <w:p w14:paraId="115C2F0F" w14:textId="77777777" w:rsidR="00136A58" w:rsidRPr="00206EC5" w:rsidRDefault="00136A58" w:rsidP="008A7AEE">
            <w:pPr>
              <w:textAlignment w:val="baseline"/>
              <w:rPr>
                <w:rFonts w:cs="Arial"/>
                <w:sz w:val="20"/>
                <w:szCs w:val="20"/>
                <w:lang w:eastAsia="en-GB"/>
              </w:rPr>
            </w:pPr>
            <w:r w:rsidRPr="00206EC5">
              <w:rPr>
                <w:rFonts w:cs="Arial"/>
                <w:b/>
                <w:bCs/>
                <w:sz w:val="20"/>
                <w:szCs w:val="20"/>
                <w:lang w:eastAsia="en-GB"/>
              </w:rPr>
              <w:t>Results Risk</w:t>
            </w:r>
            <w:r w:rsidRPr="00206EC5">
              <w:rPr>
                <w:rFonts w:cs="Arial"/>
                <w:sz w:val="20"/>
                <w:szCs w:val="20"/>
                <w:lang w:eastAsia="en-GB"/>
              </w:rPr>
              <w:t xml:space="preserve"> IEA is unable to target the </w:t>
            </w:r>
            <w:r w:rsidRPr="00206EC5">
              <w:rPr>
                <w:rFonts w:cs="Arial"/>
                <w:sz w:val="20"/>
                <w:szCs w:val="20"/>
                <w:lang w:eastAsia="en-GB"/>
              </w:rPr>
              <w:lastRenderedPageBreak/>
              <w:t>appropriate individuals and institutions participating in meetings, exchanges, training events, workshops, and overall activities </w:t>
            </w:r>
          </w:p>
        </w:tc>
        <w:tc>
          <w:tcPr>
            <w:tcW w:w="4820" w:type="dxa"/>
            <w:tcBorders>
              <w:top w:val="single" w:sz="6" w:space="0" w:color="auto"/>
              <w:left w:val="single" w:sz="6" w:space="0" w:color="auto"/>
              <w:bottom w:val="single" w:sz="6" w:space="0" w:color="auto"/>
              <w:right w:val="single" w:sz="6" w:space="0" w:color="auto"/>
            </w:tcBorders>
            <w:hideMark/>
          </w:tcPr>
          <w:p w14:paraId="18861B35" w14:textId="77777777" w:rsidR="00136A58" w:rsidRDefault="00136A58" w:rsidP="008A7AEE">
            <w:pPr>
              <w:textAlignment w:val="baseline"/>
              <w:rPr>
                <w:rFonts w:cs="Arial"/>
                <w:sz w:val="20"/>
                <w:szCs w:val="20"/>
                <w:lang w:eastAsia="en-GB"/>
              </w:rPr>
            </w:pPr>
            <w:r w:rsidRPr="00206EC5">
              <w:rPr>
                <w:rFonts w:cs="Arial"/>
                <w:sz w:val="20"/>
                <w:szCs w:val="20"/>
                <w:lang w:eastAsia="en-GB"/>
              </w:rPr>
              <w:lastRenderedPageBreak/>
              <w:t xml:space="preserve">The IEA has a long history of effective engagement with emerging economies, and in-depth experience </w:t>
            </w:r>
            <w:r w:rsidRPr="00206EC5">
              <w:rPr>
                <w:rFonts w:cs="Arial"/>
                <w:sz w:val="20"/>
                <w:szCs w:val="20"/>
                <w:lang w:eastAsia="en-GB"/>
              </w:rPr>
              <w:lastRenderedPageBreak/>
              <w:t>identifying partner institutions and individuals in targeted countries and access to the highest levels of government.  </w:t>
            </w:r>
          </w:p>
          <w:p w14:paraId="14C9013F" w14:textId="77777777" w:rsidR="006B32D1" w:rsidRPr="00206EC5" w:rsidRDefault="006B32D1" w:rsidP="008A7AEE">
            <w:pPr>
              <w:textAlignment w:val="baseline"/>
              <w:rPr>
                <w:rFonts w:cs="Arial"/>
                <w:sz w:val="20"/>
                <w:szCs w:val="20"/>
                <w:lang w:eastAsia="en-GB"/>
              </w:rPr>
            </w:pPr>
          </w:p>
          <w:p w14:paraId="6BCE820A" w14:textId="77777777" w:rsidR="00136A58" w:rsidRDefault="00136A58" w:rsidP="008A7AEE">
            <w:pPr>
              <w:textAlignment w:val="baseline"/>
              <w:rPr>
                <w:rFonts w:cs="Arial"/>
                <w:sz w:val="20"/>
                <w:szCs w:val="20"/>
                <w:lang w:eastAsia="en-GB"/>
              </w:rPr>
            </w:pPr>
            <w:r w:rsidRPr="00206EC5">
              <w:rPr>
                <w:rFonts w:cs="Arial"/>
                <w:sz w:val="20"/>
                <w:szCs w:val="20"/>
                <w:lang w:eastAsia="en-GB"/>
              </w:rPr>
              <w:t>Each technical team implementing CETP activities with the IEA has a sound understanding of the institutional landscape relevant for its activities, while the IEA country desk officers have a sound understanding of overall institutional and policy issues, as well as knowledge of levers for high-level political engagement.  </w:t>
            </w:r>
          </w:p>
          <w:p w14:paraId="33FB0837" w14:textId="77777777" w:rsidR="006B32D1" w:rsidRPr="00206EC5" w:rsidRDefault="006B32D1" w:rsidP="008A7AEE">
            <w:pPr>
              <w:textAlignment w:val="baseline"/>
              <w:rPr>
                <w:rFonts w:cs="Arial"/>
                <w:sz w:val="20"/>
                <w:szCs w:val="20"/>
                <w:lang w:eastAsia="en-GB"/>
              </w:rPr>
            </w:pPr>
          </w:p>
          <w:p w14:paraId="6C5FA5E7" w14:textId="77777777" w:rsidR="00136A58" w:rsidRPr="00206EC5" w:rsidRDefault="00136A58" w:rsidP="008A7AEE">
            <w:pPr>
              <w:textAlignment w:val="baseline"/>
              <w:rPr>
                <w:rFonts w:cs="Arial"/>
                <w:sz w:val="20"/>
                <w:szCs w:val="20"/>
                <w:lang w:eastAsia="en-GB"/>
              </w:rPr>
            </w:pPr>
            <w:r w:rsidRPr="00206EC5">
              <w:rPr>
                <w:rFonts w:cs="Arial"/>
                <w:sz w:val="20"/>
                <w:szCs w:val="20"/>
                <w:lang w:eastAsia="en-GB"/>
              </w:rPr>
              <w:t>As the amount and scope of work with target countries increases through the CETP, the Agency will continue to build on previous experiences and relationships developed to ensure it appropriately targets key entities working on each work stream. </w:t>
            </w:r>
          </w:p>
          <w:p w14:paraId="2C6C7AE4" w14:textId="77777777" w:rsidR="00136A58" w:rsidRPr="00206EC5" w:rsidRDefault="00136A58" w:rsidP="008A7AEE">
            <w:pPr>
              <w:textAlignment w:val="baseline"/>
              <w:rPr>
                <w:rFonts w:cs="Arial"/>
                <w:sz w:val="20"/>
                <w:szCs w:val="20"/>
                <w:lang w:eastAsia="en-GB"/>
              </w:rPr>
            </w:pPr>
            <w:r w:rsidRPr="00206EC5">
              <w:rPr>
                <w:rFonts w:cs="Arial"/>
                <w:sz w:val="20"/>
                <w:szCs w:val="20"/>
                <w:lang w:eastAsia="en-GB"/>
              </w:rPr>
              <w:t>In addition, the IEA engages with other experienced institutions (including donors as well as other multilateral or bilateral agencies) to ensure its targeting is correct and aligned to needs, capabilities, roles, and responsibilities of each participating institution. For instance, on methane technical assistance, the IEA has worked with UNEP’s International Methane Emissions Observatory (IMEO) and the Climate and Clean Air Coalition (CCAC) to share experience on where capacity-building can be best targeted and who to prioritise engagement with. </w:t>
            </w:r>
          </w:p>
        </w:tc>
        <w:tc>
          <w:tcPr>
            <w:tcW w:w="2355" w:type="dxa"/>
            <w:tcBorders>
              <w:top w:val="single" w:sz="6" w:space="0" w:color="auto"/>
              <w:left w:val="single" w:sz="6" w:space="0" w:color="auto"/>
              <w:bottom w:val="single" w:sz="6" w:space="0" w:color="auto"/>
              <w:right w:val="single" w:sz="6" w:space="0" w:color="auto"/>
            </w:tcBorders>
            <w:shd w:val="clear" w:color="auto" w:fill="00B050"/>
          </w:tcPr>
          <w:p w14:paraId="58B34CED" w14:textId="7F0637AF" w:rsidR="00136A58" w:rsidRPr="00C378FB" w:rsidRDefault="00553DAA" w:rsidP="009958A1">
            <w:pPr>
              <w:jc w:val="center"/>
              <w:textAlignment w:val="baseline"/>
              <w:rPr>
                <w:rFonts w:cs="Arial"/>
                <w:sz w:val="20"/>
                <w:szCs w:val="20"/>
                <w:lang w:eastAsia="en-GB"/>
              </w:rPr>
            </w:pPr>
            <w:r>
              <w:rPr>
                <w:rFonts w:cs="Arial"/>
                <w:sz w:val="20"/>
                <w:szCs w:val="20"/>
                <w:lang w:eastAsia="en-GB"/>
              </w:rPr>
              <w:lastRenderedPageBreak/>
              <w:t>Minor</w:t>
            </w:r>
          </w:p>
        </w:tc>
      </w:tr>
      <w:tr w:rsidR="00136A58" w:rsidRPr="00C378FB" w14:paraId="1FC727EA" w14:textId="77777777" w:rsidTr="008A7AEE">
        <w:trPr>
          <w:trHeight w:val="300"/>
        </w:trPr>
        <w:tc>
          <w:tcPr>
            <w:tcW w:w="1835" w:type="dxa"/>
            <w:tcBorders>
              <w:top w:val="single" w:sz="6" w:space="0" w:color="auto"/>
              <w:left w:val="single" w:sz="6" w:space="0" w:color="auto"/>
              <w:bottom w:val="single" w:sz="6" w:space="0" w:color="auto"/>
              <w:right w:val="single" w:sz="6" w:space="0" w:color="auto"/>
            </w:tcBorders>
            <w:hideMark/>
          </w:tcPr>
          <w:p w14:paraId="62731259" w14:textId="77777777" w:rsidR="00136A58" w:rsidRPr="00206EC5" w:rsidRDefault="00136A58" w:rsidP="008A7AEE">
            <w:pPr>
              <w:textAlignment w:val="baseline"/>
              <w:rPr>
                <w:rFonts w:cs="Arial"/>
                <w:sz w:val="20"/>
                <w:szCs w:val="20"/>
                <w:lang w:eastAsia="en-GB"/>
              </w:rPr>
            </w:pPr>
            <w:r w:rsidRPr="00206EC5">
              <w:rPr>
                <w:rFonts w:cs="Arial"/>
                <w:b/>
                <w:bCs/>
                <w:sz w:val="20"/>
                <w:szCs w:val="20"/>
                <w:lang w:eastAsia="en-GB"/>
              </w:rPr>
              <w:t>Results Risk</w:t>
            </w:r>
            <w:r w:rsidRPr="00206EC5">
              <w:rPr>
                <w:rFonts w:cs="Arial"/>
                <w:sz w:val="20"/>
                <w:szCs w:val="20"/>
                <w:lang w:eastAsia="en-GB"/>
              </w:rPr>
              <w:t xml:space="preserve"> - Programme of work fails to get buy-in from targeted emerging economies, these are not responsive to CETP-led engagements, and they do not change policies and </w:t>
            </w:r>
            <w:proofErr w:type="gramStart"/>
            <w:r w:rsidRPr="00206EC5">
              <w:rPr>
                <w:rFonts w:cs="Arial"/>
                <w:sz w:val="20"/>
                <w:szCs w:val="20"/>
                <w:lang w:eastAsia="en-GB"/>
              </w:rPr>
              <w:t>take action</w:t>
            </w:r>
            <w:proofErr w:type="gramEnd"/>
            <w:r w:rsidRPr="00206EC5">
              <w:rPr>
                <w:rFonts w:cs="Arial"/>
                <w:sz w:val="20"/>
                <w:szCs w:val="20"/>
                <w:lang w:eastAsia="en-GB"/>
              </w:rPr>
              <w:t xml:space="preserve"> as a result </w:t>
            </w:r>
          </w:p>
        </w:tc>
        <w:tc>
          <w:tcPr>
            <w:tcW w:w="4820" w:type="dxa"/>
            <w:tcBorders>
              <w:top w:val="single" w:sz="6" w:space="0" w:color="auto"/>
              <w:left w:val="single" w:sz="6" w:space="0" w:color="auto"/>
              <w:bottom w:val="single" w:sz="6" w:space="0" w:color="auto"/>
              <w:right w:val="single" w:sz="6" w:space="0" w:color="auto"/>
            </w:tcBorders>
            <w:hideMark/>
          </w:tcPr>
          <w:p w14:paraId="7393CAA7" w14:textId="77777777" w:rsidR="00136A58" w:rsidRPr="00206EC5" w:rsidRDefault="00136A58" w:rsidP="008A7AEE">
            <w:pPr>
              <w:textAlignment w:val="baseline"/>
              <w:rPr>
                <w:rFonts w:cs="Arial"/>
                <w:sz w:val="20"/>
                <w:szCs w:val="20"/>
                <w:lang w:eastAsia="en-GB"/>
              </w:rPr>
            </w:pPr>
            <w:r w:rsidRPr="00206EC5">
              <w:rPr>
                <w:rFonts w:cs="Arial"/>
                <w:sz w:val="20"/>
                <w:szCs w:val="20"/>
                <w:lang w:eastAsia="en-GB"/>
              </w:rPr>
              <w:t xml:space="preserve">The programme </w:t>
            </w:r>
            <w:proofErr w:type="gramStart"/>
            <w:r w:rsidRPr="00206EC5">
              <w:rPr>
                <w:rFonts w:cs="Arial"/>
                <w:sz w:val="20"/>
                <w:szCs w:val="20"/>
                <w:lang w:eastAsia="en-GB"/>
              </w:rPr>
              <w:t>is needs</w:t>
            </w:r>
            <w:proofErr w:type="gramEnd"/>
            <w:r w:rsidRPr="00206EC5">
              <w:rPr>
                <w:rFonts w:cs="Arial"/>
                <w:sz w:val="20"/>
                <w:szCs w:val="20"/>
                <w:lang w:eastAsia="en-GB"/>
              </w:rPr>
              <w:t xml:space="preserve"> driven and programmes of work are developed in partnership with target countries to ensure alignment with national priorities. </w:t>
            </w:r>
          </w:p>
          <w:p w14:paraId="6833D8C5" w14:textId="77777777" w:rsidR="00725093" w:rsidRDefault="00725093" w:rsidP="008A7AEE">
            <w:pPr>
              <w:textAlignment w:val="baseline"/>
              <w:rPr>
                <w:rFonts w:cs="Arial"/>
                <w:sz w:val="20"/>
                <w:szCs w:val="20"/>
                <w:lang w:eastAsia="en-GB"/>
              </w:rPr>
            </w:pPr>
          </w:p>
          <w:p w14:paraId="07D25F35" w14:textId="280FE7F7" w:rsidR="00136A58" w:rsidRDefault="00136A58" w:rsidP="008A7AEE">
            <w:pPr>
              <w:textAlignment w:val="baseline"/>
              <w:rPr>
                <w:rFonts w:cs="Arial"/>
                <w:sz w:val="20"/>
                <w:szCs w:val="20"/>
                <w:lang w:eastAsia="en-GB"/>
              </w:rPr>
            </w:pPr>
            <w:r w:rsidRPr="00206EC5">
              <w:rPr>
                <w:rFonts w:cs="Arial"/>
                <w:sz w:val="20"/>
                <w:szCs w:val="20"/>
                <w:lang w:eastAsia="en-GB"/>
              </w:rPr>
              <w:t>Experience has shown considerable buy in from highest levels of government in most target countries. Funding of an overall-programme in Phase 2 – as opposed to country-specific or thematic activity – provides more flexibility to re-allocate funding if, for example, changes in administration lead to changed attitudes to the Programme.  </w:t>
            </w:r>
          </w:p>
          <w:p w14:paraId="27875A76" w14:textId="77777777" w:rsidR="006B32D1" w:rsidRPr="00206EC5" w:rsidRDefault="006B32D1" w:rsidP="008A7AEE">
            <w:pPr>
              <w:textAlignment w:val="baseline"/>
              <w:rPr>
                <w:rFonts w:cs="Arial"/>
                <w:sz w:val="20"/>
                <w:szCs w:val="20"/>
                <w:lang w:eastAsia="en-GB"/>
              </w:rPr>
            </w:pPr>
          </w:p>
          <w:p w14:paraId="2C9B3585" w14:textId="77777777" w:rsidR="00136A58" w:rsidRDefault="00136A58" w:rsidP="008A7AEE">
            <w:pPr>
              <w:textAlignment w:val="baseline"/>
              <w:rPr>
                <w:rFonts w:cs="Arial"/>
                <w:sz w:val="20"/>
                <w:szCs w:val="20"/>
                <w:lang w:eastAsia="en-GB"/>
              </w:rPr>
            </w:pPr>
            <w:r w:rsidRPr="00206EC5">
              <w:rPr>
                <w:rFonts w:cs="Arial"/>
                <w:sz w:val="20"/>
                <w:szCs w:val="20"/>
                <w:lang w:eastAsia="en-GB"/>
              </w:rPr>
              <w:t>The IEA is a global leader in energy data, policy, and technology analysis, and has strong, pre-existing relationships with key influencers in the key emerging economies targeted by the intervention.  </w:t>
            </w:r>
          </w:p>
          <w:p w14:paraId="137BC0E6" w14:textId="77777777" w:rsidR="00725093" w:rsidRPr="00206EC5" w:rsidRDefault="00725093" w:rsidP="008A7AEE">
            <w:pPr>
              <w:textAlignment w:val="baseline"/>
              <w:rPr>
                <w:rFonts w:cs="Arial"/>
                <w:sz w:val="20"/>
                <w:szCs w:val="20"/>
                <w:lang w:eastAsia="en-GB"/>
              </w:rPr>
            </w:pPr>
          </w:p>
          <w:p w14:paraId="5960EACF" w14:textId="77777777" w:rsidR="00136A58" w:rsidRPr="00206EC5" w:rsidRDefault="00136A58" w:rsidP="008A7AEE">
            <w:pPr>
              <w:textAlignment w:val="baseline"/>
              <w:rPr>
                <w:rFonts w:cs="Arial"/>
                <w:sz w:val="20"/>
                <w:szCs w:val="20"/>
                <w:lang w:eastAsia="en-GB"/>
              </w:rPr>
            </w:pPr>
            <w:r w:rsidRPr="00206EC5">
              <w:rPr>
                <w:rFonts w:cs="Arial"/>
                <w:sz w:val="20"/>
                <w:szCs w:val="20"/>
                <w:lang w:eastAsia="en-GB"/>
              </w:rPr>
              <w:t>These relationships, including through the IEA’s Association process, provide the IEA with a sound understanding of country needs and priorities; capacity to identify appropriate stakeholders; a level of trust and comfort among experts and policymakers; and an expressed demand signal for more IEA help.  </w:t>
            </w:r>
          </w:p>
          <w:p w14:paraId="761CE994" w14:textId="77777777" w:rsidR="00136A58" w:rsidRDefault="00136A58" w:rsidP="008A7AEE">
            <w:pPr>
              <w:textAlignment w:val="baseline"/>
              <w:rPr>
                <w:rFonts w:cs="Arial"/>
                <w:sz w:val="20"/>
                <w:szCs w:val="20"/>
                <w:lang w:eastAsia="en-GB"/>
              </w:rPr>
            </w:pPr>
            <w:r w:rsidRPr="00206EC5">
              <w:rPr>
                <w:rFonts w:cs="Arial"/>
                <w:sz w:val="20"/>
                <w:szCs w:val="20"/>
                <w:lang w:eastAsia="en-GB"/>
              </w:rPr>
              <w:t>Country buy-in and involvement of the right people in country will be a key factor considered when selecting which activities to pursue.  </w:t>
            </w:r>
          </w:p>
          <w:p w14:paraId="7A28DEF5" w14:textId="77777777" w:rsidR="00725093" w:rsidRPr="00206EC5" w:rsidRDefault="00725093" w:rsidP="008A7AEE">
            <w:pPr>
              <w:textAlignment w:val="baseline"/>
              <w:rPr>
                <w:rFonts w:cs="Arial"/>
                <w:sz w:val="20"/>
                <w:szCs w:val="20"/>
                <w:lang w:eastAsia="en-GB"/>
              </w:rPr>
            </w:pPr>
          </w:p>
          <w:p w14:paraId="4E39BF90" w14:textId="77777777" w:rsidR="00136A58" w:rsidRPr="00206EC5" w:rsidRDefault="00136A58" w:rsidP="008A7AEE">
            <w:pPr>
              <w:textAlignment w:val="baseline"/>
              <w:rPr>
                <w:rFonts w:cs="Arial"/>
                <w:sz w:val="20"/>
                <w:szCs w:val="20"/>
                <w:lang w:eastAsia="en-GB"/>
              </w:rPr>
            </w:pPr>
            <w:r w:rsidRPr="00206EC5">
              <w:rPr>
                <w:rFonts w:cs="Arial"/>
                <w:sz w:val="20"/>
                <w:szCs w:val="20"/>
                <w:lang w:eastAsia="en-GB"/>
              </w:rPr>
              <w:t xml:space="preserve">The IEA will ensure outputs are targeted/tailored, practical and supported to maximise take-up. This includes, for example, working with IMEO on their Methane Alert and Response System (MARS), so that data can be used from the satellite system to ensure support is targeted where detections are identified. </w:t>
            </w:r>
            <w:r w:rsidRPr="00206EC5">
              <w:rPr>
                <w:rFonts w:cs="Arial"/>
                <w:sz w:val="20"/>
                <w:szCs w:val="20"/>
                <w:lang w:eastAsia="en-GB"/>
              </w:rPr>
              <w:lastRenderedPageBreak/>
              <w:t>This means taking an evidence-based approach to capacity building and providing strategic input on how to bring additional countries into the programme.</w:t>
            </w:r>
            <w:r w:rsidRPr="00206EC5">
              <w:rPr>
                <w:rFonts w:cs="Arial"/>
                <w:color w:val="D13438"/>
                <w:sz w:val="20"/>
                <w:szCs w:val="20"/>
                <w:u w:val="single"/>
                <w:shd w:val="clear" w:color="auto" w:fill="FFFFFF"/>
                <w:lang w:eastAsia="en-GB"/>
              </w:rPr>
              <w:t> </w:t>
            </w:r>
            <w:r w:rsidRPr="00206EC5">
              <w:rPr>
                <w:rFonts w:cs="Arial"/>
                <w:color w:val="D13438"/>
                <w:sz w:val="20"/>
                <w:szCs w:val="20"/>
                <w:lang w:eastAsia="en-GB"/>
              </w:rPr>
              <w:t> </w:t>
            </w:r>
          </w:p>
        </w:tc>
        <w:tc>
          <w:tcPr>
            <w:tcW w:w="2355" w:type="dxa"/>
            <w:tcBorders>
              <w:top w:val="single" w:sz="6" w:space="0" w:color="auto"/>
              <w:left w:val="single" w:sz="6" w:space="0" w:color="auto"/>
              <w:bottom w:val="single" w:sz="6" w:space="0" w:color="auto"/>
              <w:right w:val="single" w:sz="6" w:space="0" w:color="auto"/>
            </w:tcBorders>
            <w:shd w:val="clear" w:color="auto" w:fill="00B050"/>
          </w:tcPr>
          <w:p w14:paraId="1876C744" w14:textId="6C047CEF" w:rsidR="00136A58" w:rsidRPr="00C378FB" w:rsidRDefault="00553DAA" w:rsidP="009958A1">
            <w:pPr>
              <w:jc w:val="center"/>
              <w:textAlignment w:val="baseline"/>
              <w:rPr>
                <w:rFonts w:cs="Arial"/>
                <w:sz w:val="20"/>
                <w:szCs w:val="20"/>
                <w:lang w:eastAsia="en-GB"/>
              </w:rPr>
            </w:pPr>
            <w:r>
              <w:rPr>
                <w:rFonts w:cs="Arial"/>
                <w:sz w:val="20"/>
                <w:szCs w:val="20"/>
                <w:lang w:eastAsia="en-GB"/>
              </w:rPr>
              <w:lastRenderedPageBreak/>
              <w:t>Minor</w:t>
            </w:r>
          </w:p>
        </w:tc>
      </w:tr>
      <w:tr w:rsidR="00136A58" w:rsidRPr="00C378FB" w14:paraId="262F97DB" w14:textId="77777777" w:rsidTr="008A7AEE">
        <w:trPr>
          <w:trHeight w:val="300"/>
        </w:trPr>
        <w:tc>
          <w:tcPr>
            <w:tcW w:w="1835" w:type="dxa"/>
            <w:tcBorders>
              <w:top w:val="single" w:sz="6" w:space="0" w:color="auto"/>
              <w:left w:val="single" w:sz="6" w:space="0" w:color="auto"/>
              <w:bottom w:val="single" w:sz="6" w:space="0" w:color="auto"/>
              <w:right w:val="single" w:sz="6" w:space="0" w:color="auto"/>
            </w:tcBorders>
            <w:hideMark/>
          </w:tcPr>
          <w:p w14:paraId="3652F5EE" w14:textId="77777777" w:rsidR="00136A58" w:rsidRPr="00206EC5" w:rsidRDefault="00136A58" w:rsidP="008A7AEE">
            <w:pPr>
              <w:textAlignment w:val="baseline"/>
              <w:rPr>
                <w:rFonts w:cs="Arial"/>
                <w:sz w:val="20"/>
                <w:szCs w:val="20"/>
                <w:lang w:eastAsia="en-GB"/>
              </w:rPr>
            </w:pPr>
            <w:r w:rsidRPr="00206EC5">
              <w:rPr>
                <w:rFonts w:cs="Arial"/>
                <w:b/>
                <w:bCs/>
                <w:sz w:val="20"/>
                <w:szCs w:val="20"/>
                <w:lang w:eastAsia="en-GB"/>
              </w:rPr>
              <w:t>Results Risk</w:t>
            </w:r>
            <w:r w:rsidRPr="00206EC5">
              <w:rPr>
                <w:rFonts w:cs="Arial"/>
                <w:sz w:val="20"/>
                <w:szCs w:val="20"/>
                <w:lang w:eastAsia="en-GB"/>
              </w:rPr>
              <w:t xml:space="preserve"> - Difficulty of measuring and assessing the programmes full impact given nature of funding and identifying and attributing tangible impacts of technical assistance programmes </w:t>
            </w:r>
          </w:p>
        </w:tc>
        <w:tc>
          <w:tcPr>
            <w:tcW w:w="4820" w:type="dxa"/>
            <w:tcBorders>
              <w:top w:val="single" w:sz="6" w:space="0" w:color="auto"/>
              <w:left w:val="single" w:sz="6" w:space="0" w:color="auto"/>
              <w:bottom w:val="single" w:sz="6" w:space="0" w:color="auto"/>
              <w:right w:val="single" w:sz="6" w:space="0" w:color="auto"/>
            </w:tcBorders>
            <w:hideMark/>
          </w:tcPr>
          <w:p w14:paraId="27B16E99" w14:textId="77777777" w:rsidR="00136A58" w:rsidRPr="00206EC5" w:rsidRDefault="00136A58" w:rsidP="008A7AEE">
            <w:pPr>
              <w:textAlignment w:val="baseline"/>
              <w:rPr>
                <w:rFonts w:cs="Arial"/>
                <w:sz w:val="20"/>
                <w:szCs w:val="20"/>
                <w:lang w:eastAsia="en-GB"/>
              </w:rPr>
            </w:pPr>
            <w:r w:rsidRPr="00206EC5">
              <w:rPr>
                <w:rFonts w:cs="Arial"/>
                <w:sz w:val="20"/>
                <w:szCs w:val="20"/>
                <w:lang w:eastAsia="en-GB"/>
              </w:rPr>
              <w:t>Phase 2 of CETP will have a strong focus on identifying and sharing real-world impacts of activity. </w:t>
            </w:r>
          </w:p>
          <w:p w14:paraId="5CECB3D4" w14:textId="77777777" w:rsidR="00136A58" w:rsidRDefault="00136A58" w:rsidP="008A7AEE">
            <w:pPr>
              <w:textAlignment w:val="baseline"/>
              <w:rPr>
                <w:rFonts w:cs="Arial"/>
                <w:sz w:val="20"/>
                <w:szCs w:val="20"/>
                <w:lang w:eastAsia="en-GB"/>
              </w:rPr>
            </w:pPr>
            <w:r w:rsidRPr="00206EC5">
              <w:rPr>
                <w:rFonts w:cs="Arial"/>
                <w:sz w:val="20"/>
                <w:szCs w:val="20"/>
                <w:lang w:eastAsia="en-GB"/>
              </w:rPr>
              <w:t>We will continue to develop and utilise a methodology for assessing programme’s transformational change under KPI-15 </w:t>
            </w:r>
          </w:p>
          <w:p w14:paraId="37D902A1" w14:textId="77777777" w:rsidR="00725093" w:rsidRPr="00206EC5" w:rsidRDefault="00725093" w:rsidP="008A7AEE">
            <w:pPr>
              <w:textAlignment w:val="baseline"/>
              <w:rPr>
                <w:rFonts w:cs="Arial"/>
                <w:sz w:val="20"/>
                <w:szCs w:val="20"/>
                <w:lang w:eastAsia="en-GB"/>
              </w:rPr>
            </w:pPr>
          </w:p>
          <w:p w14:paraId="7FBBBA75" w14:textId="77777777" w:rsidR="00136A58" w:rsidRDefault="00136A58" w:rsidP="008A7AEE">
            <w:pPr>
              <w:textAlignment w:val="baseline"/>
              <w:rPr>
                <w:rFonts w:cs="Arial"/>
                <w:sz w:val="20"/>
                <w:szCs w:val="20"/>
                <w:lang w:eastAsia="en-GB"/>
              </w:rPr>
            </w:pPr>
            <w:r w:rsidRPr="00206EC5">
              <w:rPr>
                <w:rFonts w:cs="Arial"/>
                <w:sz w:val="20"/>
                <w:szCs w:val="20"/>
                <w:lang w:eastAsia="en-GB"/>
              </w:rPr>
              <w:t>The reporting methodology and results framework will draw on best practice for assessing technical assistance programmes. Working with the IEA to collect data to report ICF TA KPIs 1, 2.1, 2.2, 3 and 5 should help to demonstrate impact and mitigate this risk. </w:t>
            </w:r>
          </w:p>
          <w:p w14:paraId="7F19E1C2" w14:textId="77777777" w:rsidR="00725093" w:rsidRPr="00206EC5" w:rsidRDefault="00725093" w:rsidP="008A7AEE">
            <w:pPr>
              <w:textAlignment w:val="baseline"/>
              <w:rPr>
                <w:rFonts w:cs="Arial"/>
                <w:sz w:val="20"/>
                <w:szCs w:val="20"/>
                <w:lang w:eastAsia="en-GB"/>
              </w:rPr>
            </w:pPr>
          </w:p>
          <w:p w14:paraId="5FED10AA" w14:textId="77777777" w:rsidR="00136A58" w:rsidRPr="00206EC5" w:rsidRDefault="00136A58" w:rsidP="008A7AEE">
            <w:pPr>
              <w:textAlignment w:val="baseline"/>
              <w:rPr>
                <w:rFonts w:cs="Arial"/>
                <w:sz w:val="20"/>
                <w:szCs w:val="20"/>
                <w:lang w:eastAsia="en-GB"/>
              </w:rPr>
            </w:pPr>
            <w:r w:rsidRPr="00206EC5">
              <w:rPr>
                <w:rFonts w:cs="Arial"/>
                <w:sz w:val="20"/>
                <w:szCs w:val="20"/>
                <w:lang w:eastAsia="en-GB"/>
              </w:rPr>
              <w:t>An evaluation of the programme will be undertaken by the IEA Secretariat under the direction of the Funders Strategic Co-ordination Group. </w:t>
            </w:r>
          </w:p>
          <w:p w14:paraId="24A534D5" w14:textId="77777777" w:rsidR="00136A58" w:rsidRPr="00206EC5" w:rsidRDefault="00136A58" w:rsidP="008A7AEE">
            <w:pPr>
              <w:textAlignment w:val="baseline"/>
              <w:rPr>
                <w:rFonts w:cs="Arial"/>
                <w:sz w:val="20"/>
                <w:szCs w:val="20"/>
                <w:lang w:eastAsia="en-GB"/>
              </w:rPr>
            </w:pPr>
            <w:r w:rsidRPr="00206EC5">
              <w:rPr>
                <w:rFonts w:cs="Arial"/>
                <w:sz w:val="20"/>
                <w:szCs w:val="20"/>
                <w:lang w:eastAsia="en-GB"/>
              </w:rPr>
              <w:t> </w:t>
            </w:r>
          </w:p>
        </w:tc>
        <w:tc>
          <w:tcPr>
            <w:tcW w:w="2355" w:type="dxa"/>
            <w:tcBorders>
              <w:top w:val="single" w:sz="6" w:space="0" w:color="auto"/>
              <w:left w:val="single" w:sz="6" w:space="0" w:color="auto"/>
              <w:bottom w:val="single" w:sz="6" w:space="0" w:color="auto"/>
              <w:right w:val="single" w:sz="6" w:space="0" w:color="auto"/>
            </w:tcBorders>
            <w:shd w:val="clear" w:color="auto" w:fill="00B050"/>
          </w:tcPr>
          <w:p w14:paraId="70E89882" w14:textId="0B890E3F" w:rsidR="00136A58" w:rsidRPr="00C378FB" w:rsidRDefault="00553DAA" w:rsidP="009958A1">
            <w:pPr>
              <w:jc w:val="center"/>
              <w:textAlignment w:val="baseline"/>
              <w:rPr>
                <w:rFonts w:cs="Arial"/>
                <w:sz w:val="20"/>
                <w:szCs w:val="20"/>
                <w:lang w:eastAsia="en-GB"/>
              </w:rPr>
            </w:pPr>
            <w:r>
              <w:rPr>
                <w:rFonts w:cs="Arial"/>
                <w:sz w:val="20"/>
                <w:szCs w:val="20"/>
                <w:lang w:eastAsia="en-GB"/>
              </w:rPr>
              <w:t>Minor</w:t>
            </w:r>
          </w:p>
        </w:tc>
      </w:tr>
      <w:tr w:rsidR="00136A58" w:rsidRPr="00C378FB" w14:paraId="15AE83A4" w14:textId="77777777" w:rsidTr="008A7AEE">
        <w:trPr>
          <w:trHeight w:val="300"/>
        </w:trPr>
        <w:tc>
          <w:tcPr>
            <w:tcW w:w="1835" w:type="dxa"/>
            <w:tcBorders>
              <w:top w:val="single" w:sz="6" w:space="0" w:color="auto"/>
              <w:left w:val="single" w:sz="6" w:space="0" w:color="auto"/>
              <w:bottom w:val="single" w:sz="6" w:space="0" w:color="auto"/>
              <w:right w:val="single" w:sz="6" w:space="0" w:color="auto"/>
            </w:tcBorders>
            <w:hideMark/>
          </w:tcPr>
          <w:p w14:paraId="0AE1844E" w14:textId="77777777" w:rsidR="00136A58" w:rsidRPr="00206EC5" w:rsidRDefault="00136A58" w:rsidP="008A7AEE">
            <w:pPr>
              <w:textAlignment w:val="baseline"/>
              <w:rPr>
                <w:rFonts w:cs="Arial"/>
                <w:sz w:val="20"/>
                <w:szCs w:val="20"/>
                <w:lang w:eastAsia="en-GB"/>
              </w:rPr>
            </w:pPr>
            <w:r w:rsidRPr="00206EC5">
              <w:rPr>
                <w:rFonts w:cs="Arial"/>
                <w:b/>
                <w:bCs/>
                <w:sz w:val="20"/>
                <w:szCs w:val="20"/>
                <w:lang w:eastAsia="en-GB"/>
              </w:rPr>
              <w:t xml:space="preserve">Commercial Risk </w:t>
            </w:r>
            <w:r w:rsidRPr="00206EC5">
              <w:rPr>
                <w:rFonts w:cs="Arial"/>
                <w:sz w:val="20"/>
                <w:szCs w:val="20"/>
                <w:lang w:eastAsia="en-GB"/>
              </w:rPr>
              <w:t>– IEA does not have ability to absorb and deploy increased amounts of funding effectively </w:t>
            </w:r>
          </w:p>
        </w:tc>
        <w:tc>
          <w:tcPr>
            <w:tcW w:w="4820" w:type="dxa"/>
            <w:tcBorders>
              <w:top w:val="single" w:sz="6" w:space="0" w:color="auto"/>
              <w:left w:val="single" w:sz="6" w:space="0" w:color="auto"/>
              <w:bottom w:val="single" w:sz="6" w:space="0" w:color="auto"/>
              <w:right w:val="single" w:sz="6" w:space="0" w:color="auto"/>
            </w:tcBorders>
            <w:hideMark/>
          </w:tcPr>
          <w:p w14:paraId="089D4C5A" w14:textId="0D77A986" w:rsidR="00136A58" w:rsidRDefault="00136A58" w:rsidP="008A7AEE">
            <w:pPr>
              <w:textAlignment w:val="baseline"/>
              <w:rPr>
                <w:rFonts w:cs="Arial"/>
                <w:sz w:val="20"/>
                <w:szCs w:val="20"/>
                <w:lang w:eastAsia="en-GB"/>
              </w:rPr>
            </w:pPr>
            <w:r w:rsidRPr="00206EC5">
              <w:rPr>
                <w:rFonts w:cs="Arial"/>
                <w:sz w:val="20"/>
                <w:szCs w:val="20"/>
                <w:lang w:eastAsia="en-GB"/>
              </w:rPr>
              <w:t>Governance Structures and annual work-programming cycle and reporting allow for oversight of resource deployment effectiveness. </w:t>
            </w:r>
          </w:p>
          <w:p w14:paraId="63279EF2" w14:textId="77777777" w:rsidR="00AB63CB" w:rsidRPr="00206EC5" w:rsidRDefault="00AB63CB" w:rsidP="008A7AEE">
            <w:pPr>
              <w:textAlignment w:val="baseline"/>
              <w:rPr>
                <w:rFonts w:cs="Arial"/>
                <w:sz w:val="20"/>
                <w:szCs w:val="20"/>
                <w:lang w:eastAsia="en-GB"/>
              </w:rPr>
            </w:pPr>
          </w:p>
          <w:p w14:paraId="1586CC06" w14:textId="0034CF32" w:rsidR="00136A58" w:rsidRPr="00206EC5" w:rsidRDefault="00136A58" w:rsidP="008A7AEE">
            <w:pPr>
              <w:textAlignment w:val="baseline"/>
              <w:rPr>
                <w:rFonts w:cs="Arial"/>
                <w:sz w:val="20"/>
                <w:szCs w:val="20"/>
                <w:lang w:eastAsia="en-GB"/>
              </w:rPr>
            </w:pPr>
            <w:r w:rsidRPr="00206EC5">
              <w:rPr>
                <w:rFonts w:cs="Arial"/>
                <w:sz w:val="20"/>
                <w:szCs w:val="20"/>
                <w:lang w:eastAsia="en-GB"/>
              </w:rPr>
              <w:t>CETP</w:t>
            </w:r>
            <w:r w:rsidR="00AB63CB">
              <w:rPr>
                <w:rFonts w:cs="Arial"/>
                <w:sz w:val="20"/>
                <w:szCs w:val="20"/>
                <w:lang w:eastAsia="en-GB"/>
              </w:rPr>
              <w:t xml:space="preserve"> has</w:t>
            </w:r>
            <w:r w:rsidRPr="00206EC5">
              <w:rPr>
                <w:rFonts w:cs="Arial"/>
                <w:sz w:val="20"/>
                <w:szCs w:val="20"/>
                <w:lang w:eastAsia="en-GB"/>
              </w:rPr>
              <w:t xml:space="preserve"> demonstrated ability to scale up programme from standing start to deliver effective results within the increasing funding envelope.   </w:t>
            </w:r>
          </w:p>
        </w:tc>
        <w:tc>
          <w:tcPr>
            <w:tcW w:w="2355" w:type="dxa"/>
            <w:tcBorders>
              <w:top w:val="single" w:sz="6" w:space="0" w:color="auto"/>
              <w:left w:val="single" w:sz="6" w:space="0" w:color="auto"/>
              <w:bottom w:val="single" w:sz="6" w:space="0" w:color="auto"/>
              <w:right w:val="single" w:sz="6" w:space="0" w:color="auto"/>
            </w:tcBorders>
            <w:shd w:val="clear" w:color="auto" w:fill="00B050"/>
          </w:tcPr>
          <w:p w14:paraId="6F4DC5EA" w14:textId="549773BD" w:rsidR="00136A58" w:rsidRPr="00C378FB" w:rsidRDefault="00553DAA" w:rsidP="009958A1">
            <w:pPr>
              <w:jc w:val="center"/>
              <w:textAlignment w:val="baseline"/>
              <w:rPr>
                <w:rFonts w:cs="Arial"/>
                <w:sz w:val="20"/>
                <w:szCs w:val="20"/>
                <w:lang w:eastAsia="en-GB"/>
              </w:rPr>
            </w:pPr>
            <w:r>
              <w:rPr>
                <w:rFonts w:cs="Arial"/>
                <w:sz w:val="20"/>
                <w:szCs w:val="20"/>
                <w:lang w:eastAsia="en-GB"/>
              </w:rPr>
              <w:t>Minor</w:t>
            </w:r>
          </w:p>
        </w:tc>
      </w:tr>
      <w:tr w:rsidR="00136A58" w:rsidRPr="00C378FB" w14:paraId="4981FE8A" w14:textId="77777777" w:rsidTr="008A7AEE">
        <w:trPr>
          <w:trHeight w:val="300"/>
        </w:trPr>
        <w:tc>
          <w:tcPr>
            <w:tcW w:w="1835" w:type="dxa"/>
            <w:tcBorders>
              <w:top w:val="single" w:sz="6" w:space="0" w:color="auto"/>
              <w:left w:val="single" w:sz="6" w:space="0" w:color="auto"/>
              <w:bottom w:val="single" w:sz="6" w:space="0" w:color="auto"/>
              <w:right w:val="single" w:sz="6" w:space="0" w:color="auto"/>
            </w:tcBorders>
            <w:hideMark/>
          </w:tcPr>
          <w:p w14:paraId="62FCF821" w14:textId="77777777" w:rsidR="00136A58" w:rsidRPr="00206EC5" w:rsidRDefault="00136A58" w:rsidP="008A7AEE">
            <w:pPr>
              <w:textAlignment w:val="baseline"/>
              <w:rPr>
                <w:rFonts w:cs="Arial"/>
                <w:sz w:val="20"/>
                <w:szCs w:val="20"/>
                <w:lang w:eastAsia="en-GB"/>
              </w:rPr>
            </w:pPr>
            <w:r w:rsidRPr="00206EC5">
              <w:rPr>
                <w:rFonts w:cs="Arial"/>
                <w:b/>
                <w:bCs/>
                <w:sz w:val="20"/>
                <w:szCs w:val="20"/>
                <w:lang w:eastAsia="en-GB"/>
              </w:rPr>
              <w:t>Management Risk</w:t>
            </w:r>
            <w:r w:rsidRPr="00206EC5">
              <w:rPr>
                <w:rFonts w:cs="Arial"/>
                <w:sz w:val="20"/>
                <w:szCs w:val="20"/>
                <w:lang w:eastAsia="en-GB"/>
              </w:rPr>
              <w:t xml:space="preserve"> – lack of strong governance constrains ability to ensure supported activity to continues to offer VFM  </w:t>
            </w:r>
          </w:p>
        </w:tc>
        <w:tc>
          <w:tcPr>
            <w:tcW w:w="4820" w:type="dxa"/>
            <w:tcBorders>
              <w:top w:val="single" w:sz="6" w:space="0" w:color="auto"/>
              <w:left w:val="single" w:sz="6" w:space="0" w:color="auto"/>
              <w:bottom w:val="single" w:sz="6" w:space="0" w:color="auto"/>
              <w:right w:val="single" w:sz="6" w:space="0" w:color="auto"/>
            </w:tcBorders>
            <w:hideMark/>
          </w:tcPr>
          <w:p w14:paraId="1DC7E3C1" w14:textId="77777777" w:rsidR="00136A58" w:rsidRDefault="00136A58" w:rsidP="008A7AEE">
            <w:pPr>
              <w:textAlignment w:val="baseline"/>
              <w:rPr>
                <w:rFonts w:cs="Arial"/>
                <w:sz w:val="20"/>
                <w:szCs w:val="20"/>
                <w:lang w:eastAsia="en-GB"/>
              </w:rPr>
            </w:pPr>
            <w:r w:rsidRPr="00206EC5">
              <w:rPr>
                <w:rFonts w:cs="Arial"/>
                <w:sz w:val="20"/>
                <w:szCs w:val="20"/>
                <w:lang w:eastAsia="en-GB"/>
              </w:rPr>
              <w:t>The IEA has established a clear governance structure to allow donors to work with the IEA Secretariat on the design, implementation, timings and evaluation of the programme. </w:t>
            </w:r>
          </w:p>
          <w:p w14:paraId="6B115ACB" w14:textId="77777777" w:rsidR="0007618A" w:rsidRPr="00206EC5" w:rsidRDefault="0007618A" w:rsidP="008A7AEE">
            <w:pPr>
              <w:textAlignment w:val="baseline"/>
              <w:rPr>
                <w:rFonts w:cs="Arial"/>
                <w:sz w:val="20"/>
                <w:szCs w:val="20"/>
                <w:lang w:eastAsia="en-GB"/>
              </w:rPr>
            </w:pPr>
          </w:p>
          <w:p w14:paraId="18792DD2" w14:textId="77777777" w:rsidR="00136A58" w:rsidRPr="00206EC5" w:rsidRDefault="00136A58" w:rsidP="008A7AEE">
            <w:pPr>
              <w:textAlignment w:val="baseline"/>
              <w:rPr>
                <w:rFonts w:cs="Arial"/>
                <w:sz w:val="20"/>
                <w:szCs w:val="20"/>
                <w:lang w:eastAsia="en-GB"/>
              </w:rPr>
            </w:pPr>
            <w:r w:rsidRPr="00206EC5">
              <w:rPr>
                <w:rFonts w:cs="Arial"/>
                <w:sz w:val="20"/>
                <w:szCs w:val="20"/>
                <w:lang w:eastAsia="en-GB"/>
              </w:rPr>
              <w:t>This provides an opportunity for the UK to provide feedback and guidance to the IEA on the operation of the programme and the need to address any shortfalls against agreed objective, outcome and output milestones. </w:t>
            </w:r>
          </w:p>
        </w:tc>
        <w:tc>
          <w:tcPr>
            <w:tcW w:w="2355" w:type="dxa"/>
            <w:tcBorders>
              <w:top w:val="single" w:sz="6" w:space="0" w:color="auto"/>
              <w:left w:val="single" w:sz="6" w:space="0" w:color="auto"/>
              <w:bottom w:val="single" w:sz="6" w:space="0" w:color="auto"/>
              <w:right w:val="single" w:sz="6" w:space="0" w:color="auto"/>
            </w:tcBorders>
            <w:shd w:val="clear" w:color="auto" w:fill="00B050"/>
          </w:tcPr>
          <w:p w14:paraId="7BDF886F" w14:textId="2A1D982B" w:rsidR="00136A58" w:rsidRPr="00C378FB" w:rsidRDefault="00553DAA" w:rsidP="009958A1">
            <w:pPr>
              <w:jc w:val="center"/>
              <w:textAlignment w:val="baseline"/>
              <w:rPr>
                <w:rFonts w:cs="Arial"/>
                <w:sz w:val="20"/>
                <w:szCs w:val="20"/>
                <w:lang w:eastAsia="en-GB"/>
              </w:rPr>
            </w:pPr>
            <w:r>
              <w:rPr>
                <w:rFonts w:cs="Arial"/>
                <w:sz w:val="20"/>
                <w:szCs w:val="20"/>
                <w:lang w:eastAsia="en-GB"/>
              </w:rPr>
              <w:t>Minor</w:t>
            </w:r>
          </w:p>
        </w:tc>
      </w:tr>
      <w:tr w:rsidR="00136A58" w:rsidRPr="00C378FB" w14:paraId="74A45898" w14:textId="77777777" w:rsidTr="008A7AEE">
        <w:trPr>
          <w:trHeight w:val="300"/>
        </w:trPr>
        <w:tc>
          <w:tcPr>
            <w:tcW w:w="1835" w:type="dxa"/>
            <w:tcBorders>
              <w:top w:val="single" w:sz="6" w:space="0" w:color="auto"/>
              <w:left w:val="single" w:sz="6" w:space="0" w:color="auto"/>
              <w:bottom w:val="single" w:sz="6" w:space="0" w:color="auto"/>
              <w:right w:val="single" w:sz="6" w:space="0" w:color="auto"/>
            </w:tcBorders>
            <w:hideMark/>
          </w:tcPr>
          <w:p w14:paraId="1B0EC37C" w14:textId="77777777" w:rsidR="00136A58" w:rsidRPr="00206EC5" w:rsidRDefault="00136A58" w:rsidP="008A7AEE">
            <w:pPr>
              <w:textAlignment w:val="baseline"/>
              <w:rPr>
                <w:rFonts w:cs="Arial"/>
                <w:sz w:val="20"/>
                <w:szCs w:val="20"/>
                <w:lang w:eastAsia="en-GB"/>
              </w:rPr>
            </w:pPr>
            <w:r w:rsidRPr="00206EC5">
              <w:rPr>
                <w:rFonts w:cs="Arial"/>
                <w:b/>
                <w:bCs/>
                <w:sz w:val="20"/>
                <w:szCs w:val="20"/>
                <w:lang w:eastAsia="en-GB"/>
              </w:rPr>
              <w:t>Management Risk</w:t>
            </w:r>
            <w:r w:rsidRPr="00206EC5">
              <w:rPr>
                <w:rFonts w:cs="Arial"/>
                <w:sz w:val="20"/>
                <w:szCs w:val="20"/>
                <w:lang w:eastAsia="en-GB"/>
              </w:rPr>
              <w:t xml:space="preserve"> - UK receives only limited credit for funding the work. </w:t>
            </w:r>
          </w:p>
        </w:tc>
        <w:tc>
          <w:tcPr>
            <w:tcW w:w="4820" w:type="dxa"/>
            <w:tcBorders>
              <w:top w:val="single" w:sz="6" w:space="0" w:color="auto"/>
              <w:left w:val="single" w:sz="6" w:space="0" w:color="auto"/>
              <w:bottom w:val="single" w:sz="6" w:space="0" w:color="auto"/>
              <w:right w:val="single" w:sz="6" w:space="0" w:color="auto"/>
            </w:tcBorders>
            <w:hideMark/>
          </w:tcPr>
          <w:p w14:paraId="206E2D3D" w14:textId="77777777" w:rsidR="00136A58" w:rsidRDefault="00136A58" w:rsidP="008A7AEE">
            <w:pPr>
              <w:textAlignment w:val="baseline"/>
              <w:rPr>
                <w:rFonts w:cs="Arial"/>
                <w:sz w:val="20"/>
                <w:szCs w:val="20"/>
                <w:lang w:eastAsia="en-GB"/>
              </w:rPr>
            </w:pPr>
            <w:r w:rsidRPr="00206EC5">
              <w:rPr>
                <w:rFonts w:cs="Arial"/>
                <w:sz w:val="20"/>
                <w:szCs w:val="20"/>
                <w:lang w:eastAsia="en-GB"/>
              </w:rPr>
              <w:t>Phase 2 will see the development of a stronger CETP “Brand” that will highlight the work of Programme, clearly identify deliverables, and credit funders for support.  </w:t>
            </w:r>
          </w:p>
          <w:p w14:paraId="20E95165" w14:textId="77777777" w:rsidR="009958A1" w:rsidRPr="00206EC5" w:rsidRDefault="009958A1" w:rsidP="008A7AEE">
            <w:pPr>
              <w:textAlignment w:val="baseline"/>
              <w:rPr>
                <w:rFonts w:cs="Arial"/>
                <w:sz w:val="20"/>
                <w:szCs w:val="20"/>
                <w:lang w:eastAsia="en-GB"/>
              </w:rPr>
            </w:pPr>
          </w:p>
          <w:p w14:paraId="10E0ED14" w14:textId="02374765" w:rsidR="00136A58" w:rsidRDefault="00136A58" w:rsidP="008A7AEE">
            <w:pPr>
              <w:textAlignment w:val="baseline"/>
              <w:rPr>
                <w:rFonts w:cs="Arial"/>
                <w:sz w:val="20"/>
                <w:szCs w:val="20"/>
                <w:lang w:eastAsia="en-GB"/>
              </w:rPr>
            </w:pPr>
            <w:r w:rsidRPr="00206EC5">
              <w:rPr>
                <w:rFonts w:cs="Arial"/>
                <w:sz w:val="20"/>
                <w:szCs w:val="20"/>
                <w:lang w:eastAsia="en-GB"/>
              </w:rPr>
              <w:t xml:space="preserve">The IEA is committed to giving the UK full credit in line with its status as a leading partner supporting the intervention.  The IEA media and communications team </w:t>
            </w:r>
            <w:r w:rsidR="009958A1">
              <w:rPr>
                <w:rFonts w:cs="Arial"/>
                <w:sz w:val="20"/>
                <w:szCs w:val="20"/>
                <w:lang w:eastAsia="en-GB"/>
              </w:rPr>
              <w:t>have</w:t>
            </w:r>
            <w:r w:rsidRPr="00206EC5">
              <w:rPr>
                <w:rFonts w:cs="Arial"/>
                <w:sz w:val="20"/>
                <w:szCs w:val="20"/>
                <w:lang w:eastAsia="en-GB"/>
              </w:rPr>
              <w:t xml:space="preserve"> be</w:t>
            </w:r>
            <w:r w:rsidR="009958A1">
              <w:rPr>
                <w:rFonts w:cs="Arial"/>
                <w:sz w:val="20"/>
                <w:szCs w:val="20"/>
                <w:lang w:eastAsia="en-GB"/>
              </w:rPr>
              <w:t>en</w:t>
            </w:r>
            <w:r w:rsidRPr="00206EC5">
              <w:rPr>
                <w:rFonts w:cs="Arial"/>
                <w:sz w:val="20"/>
                <w:szCs w:val="20"/>
                <w:lang w:eastAsia="en-GB"/>
              </w:rPr>
              <w:t xml:space="preserve"> engaged from the start of the intervention to design a strong communications programme around the intervention, including opportunities at events / workshops to highlight the UK’s contribution.  </w:t>
            </w:r>
          </w:p>
          <w:p w14:paraId="056FDC58" w14:textId="77777777" w:rsidR="008A6076" w:rsidRPr="00206EC5" w:rsidRDefault="008A6076" w:rsidP="008A7AEE">
            <w:pPr>
              <w:textAlignment w:val="baseline"/>
              <w:rPr>
                <w:rFonts w:cs="Arial"/>
                <w:sz w:val="20"/>
                <w:szCs w:val="20"/>
                <w:lang w:eastAsia="en-GB"/>
              </w:rPr>
            </w:pPr>
          </w:p>
          <w:p w14:paraId="69A4E99F" w14:textId="728EDA72" w:rsidR="00136A58" w:rsidRPr="00206EC5" w:rsidRDefault="00136A58" w:rsidP="008A6076">
            <w:pPr>
              <w:textAlignment w:val="baseline"/>
              <w:rPr>
                <w:rFonts w:cs="Arial"/>
                <w:sz w:val="20"/>
                <w:szCs w:val="20"/>
                <w:lang w:eastAsia="en-GB"/>
              </w:rPr>
            </w:pPr>
            <w:r w:rsidRPr="00206EC5">
              <w:rPr>
                <w:rFonts w:cs="Arial"/>
                <w:sz w:val="20"/>
                <w:szCs w:val="20"/>
                <w:lang w:eastAsia="en-GB"/>
              </w:rPr>
              <w:t>We also work through the FCDO network to leverage opportunities to highlight to governments and other in-country stakeholders the UK’s leading contribution. </w:t>
            </w:r>
          </w:p>
        </w:tc>
        <w:tc>
          <w:tcPr>
            <w:tcW w:w="2355" w:type="dxa"/>
            <w:tcBorders>
              <w:top w:val="single" w:sz="6" w:space="0" w:color="auto"/>
              <w:left w:val="single" w:sz="6" w:space="0" w:color="auto"/>
              <w:bottom w:val="single" w:sz="6" w:space="0" w:color="auto"/>
              <w:right w:val="single" w:sz="6" w:space="0" w:color="auto"/>
            </w:tcBorders>
            <w:shd w:val="clear" w:color="auto" w:fill="00B050"/>
          </w:tcPr>
          <w:p w14:paraId="76A35FEF" w14:textId="60F51FFD" w:rsidR="00136A58" w:rsidRPr="00C378FB" w:rsidRDefault="00553DAA" w:rsidP="009958A1">
            <w:pPr>
              <w:jc w:val="center"/>
              <w:textAlignment w:val="baseline"/>
              <w:rPr>
                <w:rFonts w:cs="Arial"/>
                <w:sz w:val="20"/>
                <w:szCs w:val="20"/>
                <w:lang w:eastAsia="en-GB"/>
              </w:rPr>
            </w:pPr>
            <w:r>
              <w:rPr>
                <w:rFonts w:cs="Arial"/>
                <w:sz w:val="20"/>
                <w:szCs w:val="20"/>
                <w:lang w:eastAsia="en-GB"/>
              </w:rPr>
              <w:t>Minor</w:t>
            </w:r>
          </w:p>
        </w:tc>
      </w:tr>
    </w:tbl>
    <w:p w14:paraId="5FE7BA53" w14:textId="77777777" w:rsidR="00136A58" w:rsidRPr="00742718" w:rsidRDefault="00136A58" w:rsidP="00136A58">
      <w:pPr>
        <w:contextualSpacing/>
        <w:rPr>
          <w:rFonts w:cs="Arial"/>
          <w:sz w:val="20"/>
          <w:szCs w:val="20"/>
        </w:rPr>
      </w:pPr>
    </w:p>
    <w:p w14:paraId="68B30AF7" w14:textId="77777777" w:rsidR="00D0302B" w:rsidRDefault="00D0302B" w:rsidP="004D5FD5">
      <w:pPr>
        <w:contextualSpacing/>
        <w:jc w:val="both"/>
        <w:rPr>
          <w:rStyle w:val="Heading2Char"/>
        </w:rPr>
      </w:pPr>
    </w:p>
    <w:p w14:paraId="35CB9A45" w14:textId="66370B22" w:rsidR="00B74143" w:rsidRDefault="00B74143" w:rsidP="004D5FD5">
      <w:pPr>
        <w:contextualSpacing/>
        <w:jc w:val="both"/>
        <w:rPr>
          <w:rFonts w:cs="Arial"/>
          <w:sz w:val="22"/>
          <w:szCs w:val="22"/>
        </w:rPr>
      </w:pPr>
      <w:bookmarkStart w:id="20" w:name="_Toc253138847"/>
      <w:r w:rsidRPr="527A8EFF">
        <w:rPr>
          <w:rStyle w:val="Heading2Char"/>
        </w:rPr>
        <w:t>Outstanding actions from risk assessment</w:t>
      </w:r>
      <w:bookmarkEnd w:id="20"/>
      <w:r w:rsidRPr="527A8EFF">
        <w:rPr>
          <w:rFonts w:cs="Arial"/>
          <w:b/>
          <w:bCs/>
          <w:sz w:val="22"/>
          <w:szCs w:val="22"/>
        </w:rPr>
        <w:t xml:space="preserve"> </w:t>
      </w:r>
      <w:r w:rsidRPr="527A8EFF">
        <w:rPr>
          <w:rFonts w:cs="Arial"/>
          <w:sz w:val="22"/>
          <w:szCs w:val="22"/>
        </w:rPr>
        <w:t>[max 1 paragraph]</w:t>
      </w:r>
    </w:p>
    <w:p w14:paraId="65C52113" w14:textId="77777777" w:rsidR="00AD1CF5" w:rsidRDefault="00AD1CF5" w:rsidP="004D5FD5">
      <w:pPr>
        <w:contextualSpacing/>
        <w:jc w:val="both"/>
        <w:rPr>
          <w:rFonts w:cs="Arial"/>
          <w:sz w:val="22"/>
          <w:szCs w:val="22"/>
        </w:rPr>
      </w:pPr>
    </w:p>
    <w:p w14:paraId="55A90F78" w14:textId="598ACDDC" w:rsidR="00AD1CF5" w:rsidRPr="00D80C6C" w:rsidRDefault="00972258" w:rsidP="004D5FD5">
      <w:pPr>
        <w:contextualSpacing/>
        <w:jc w:val="both"/>
        <w:rPr>
          <w:rFonts w:cs="Arial"/>
          <w:sz w:val="22"/>
          <w:szCs w:val="22"/>
        </w:rPr>
      </w:pPr>
      <w:r w:rsidRPr="00972258">
        <w:rPr>
          <w:rFonts w:cs="Arial"/>
          <w:sz w:val="22"/>
          <w:szCs w:val="22"/>
        </w:rPr>
        <w:t>No outstanding actions from the previous review.</w:t>
      </w:r>
    </w:p>
    <w:p w14:paraId="4ED4E9FA" w14:textId="59210279" w:rsidR="00CB2873" w:rsidRDefault="00CB2873" w:rsidP="004D5FD5">
      <w:pPr>
        <w:jc w:val="both"/>
        <w:rPr>
          <w:rFonts w:cs="Arial"/>
          <w:bCs/>
          <w:sz w:val="22"/>
          <w:szCs w:val="22"/>
        </w:rPr>
      </w:pPr>
    </w:p>
    <w:tbl>
      <w:tblPr>
        <w:tblStyle w:val="TableGrid"/>
        <w:tblW w:w="0" w:type="auto"/>
        <w:tblLook w:val="04A0" w:firstRow="1" w:lastRow="0" w:firstColumn="1" w:lastColumn="0" w:noHBand="0" w:noVBand="1"/>
      </w:tblPr>
      <w:tblGrid>
        <w:gridCol w:w="9016"/>
      </w:tblGrid>
      <w:tr w:rsidR="00CB2873" w14:paraId="3775346F" w14:textId="77777777" w:rsidTr="527A8EFF">
        <w:tc>
          <w:tcPr>
            <w:tcW w:w="9016" w:type="dxa"/>
            <w:shd w:val="clear" w:color="auto" w:fill="DEEAF6" w:themeFill="accent5" w:themeFillTint="33"/>
          </w:tcPr>
          <w:p w14:paraId="64B9656F" w14:textId="64F099F0" w:rsidR="00CB2873" w:rsidRDefault="2C7057B1" w:rsidP="004D5FD5">
            <w:pPr>
              <w:jc w:val="both"/>
            </w:pPr>
            <w:bookmarkStart w:id="21" w:name="_Toc1274493754"/>
            <w:r w:rsidRPr="527A8EFF">
              <w:rPr>
                <w:rStyle w:val="Heading1Char"/>
                <w:rFonts w:ascii="Arial" w:hAnsi="Arial" w:cs="Arial"/>
                <w:b/>
                <w:bCs/>
                <w:color w:val="auto"/>
              </w:rPr>
              <w:lastRenderedPageBreak/>
              <w:t xml:space="preserve">Section F: Programme management: delivery, </w:t>
            </w:r>
            <w:proofErr w:type="spellStart"/>
            <w:r w:rsidRPr="527A8EFF">
              <w:rPr>
                <w:rStyle w:val="Heading1Char"/>
                <w:rFonts w:ascii="Arial" w:hAnsi="Arial" w:cs="Arial"/>
                <w:b/>
                <w:bCs/>
                <w:color w:val="auto"/>
              </w:rPr>
              <w:t>VfM</w:t>
            </w:r>
            <w:proofErr w:type="spellEnd"/>
            <w:r w:rsidRPr="527A8EFF">
              <w:rPr>
                <w:rStyle w:val="Heading1Char"/>
                <w:rFonts w:ascii="Arial" w:hAnsi="Arial" w:cs="Arial"/>
                <w:b/>
                <w:bCs/>
                <w:color w:val="auto"/>
              </w:rPr>
              <w:t>, commercial and financial performance</w:t>
            </w:r>
            <w:bookmarkEnd w:id="21"/>
            <w:r>
              <w:t xml:space="preserve"> [1 - 1 ½ pages]</w:t>
            </w:r>
          </w:p>
        </w:tc>
      </w:tr>
    </w:tbl>
    <w:p w14:paraId="6268AFF3" w14:textId="7623B8C4" w:rsidR="00CB2873" w:rsidRDefault="00CB2873" w:rsidP="004D5FD5">
      <w:pPr>
        <w:jc w:val="both"/>
        <w:rPr>
          <w:rFonts w:cs="Arial"/>
          <w:bCs/>
          <w:sz w:val="22"/>
          <w:szCs w:val="22"/>
        </w:rPr>
      </w:pPr>
    </w:p>
    <w:p w14:paraId="3B873EA5" w14:textId="09A9576F" w:rsidR="003D222C" w:rsidRPr="00D80C6C" w:rsidRDefault="003D222C" w:rsidP="004D5FD5">
      <w:pPr>
        <w:jc w:val="both"/>
        <w:rPr>
          <w:rFonts w:cs="Arial"/>
          <w:b/>
          <w:bCs/>
          <w:sz w:val="22"/>
          <w:szCs w:val="22"/>
        </w:rPr>
      </w:pPr>
      <w:bookmarkStart w:id="22" w:name="_Toc2008939545"/>
      <w:r w:rsidRPr="527A8EFF">
        <w:rPr>
          <w:rStyle w:val="Heading2Char"/>
        </w:rPr>
        <w:t>Summa</w:t>
      </w:r>
      <w:r w:rsidR="00272DF1" w:rsidRPr="527A8EFF">
        <w:rPr>
          <w:rStyle w:val="Heading2Char"/>
        </w:rPr>
        <w:t>ry of</w:t>
      </w:r>
      <w:r w:rsidRPr="527A8EFF">
        <w:rPr>
          <w:rStyle w:val="Heading2Char"/>
        </w:rPr>
        <w:t xml:space="preserve"> the performance of partners and </w:t>
      </w:r>
      <w:r w:rsidR="00BF633B" w:rsidRPr="527A8EFF">
        <w:rPr>
          <w:rStyle w:val="Heading2Char"/>
        </w:rPr>
        <w:t>DESNZ</w:t>
      </w:r>
      <w:r w:rsidRPr="527A8EFF">
        <w:rPr>
          <w:rStyle w:val="Heading2Char"/>
        </w:rPr>
        <w:t xml:space="preserve">, notably on commercial and financial issues, and including consideration of </w:t>
      </w:r>
      <w:proofErr w:type="spellStart"/>
      <w:r w:rsidRPr="527A8EFF">
        <w:rPr>
          <w:rStyle w:val="Heading2Char"/>
        </w:rPr>
        <w:t>VfM</w:t>
      </w:r>
      <w:proofErr w:type="spellEnd"/>
      <w:r w:rsidRPr="527A8EFF">
        <w:rPr>
          <w:rStyle w:val="Heading2Char"/>
        </w:rPr>
        <w:t>.</w:t>
      </w:r>
      <w:bookmarkEnd w:id="22"/>
      <w:r w:rsidRPr="527A8EFF">
        <w:rPr>
          <w:rFonts w:cs="Arial"/>
          <w:b/>
          <w:bCs/>
          <w:sz w:val="22"/>
          <w:szCs w:val="22"/>
        </w:rPr>
        <w:t xml:space="preserve"> </w:t>
      </w:r>
      <w:r w:rsidRPr="527A8EFF">
        <w:rPr>
          <w:rFonts w:cs="Arial"/>
          <w:sz w:val="22"/>
          <w:szCs w:val="22"/>
        </w:rPr>
        <w:t>[max 1 page]</w:t>
      </w:r>
    </w:p>
    <w:p w14:paraId="2C3EF177" w14:textId="77777777" w:rsidR="00D0302B" w:rsidRDefault="00D0302B" w:rsidP="004D5FD5">
      <w:pPr>
        <w:jc w:val="both"/>
        <w:rPr>
          <w:rFonts w:cs="Arial"/>
          <w:bCs/>
          <w:sz w:val="22"/>
          <w:szCs w:val="22"/>
        </w:rPr>
      </w:pPr>
    </w:p>
    <w:p w14:paraId="55C9268B" w14:textId="1D478BCB" w:rsidR="00C665DD" w:rsidRPr="00900400" w:rsidRDefault="00C665DD" w:rsidP="00C665DD">
      <w:pPr>
        <w:jc w:val="both"/>
        <w:rPr>
          <w:rFonts w:cs="Arial"/>
          <w:bCs/>
          <w:sz w:val="20"/>
          <w:szCs w:val="20"/>
        </w:rPr>
      </w:pPr>
      <w:r w:rsidRPr="00900400">
        <w:rPr>
          <w:rFonts w:cs="Arial"/>
          <w:bCs/>
          <w:sz w:val="20"/>
          <w:szCs w:val="20"/>
        </w:rPr>
        <w:t xml:space="preserve">The key partnerships are with the IEA as the delivery partner for the CETP, target countries and other funders of the programme. </w:t>
      </w:r>
      <w:r w:rsidR="00702AD4" w:rsidRPr="00900400">
        <w:rPr>
          <w:rFonts w:cs="Arial"/>
          <w:bCs/>
          <w:sz w:val="20"/>
          <w:szCs w:val="20"/>
        </w:rPr>
        <w:t>There has been s</w:t>
      </w:r>
      <w:r w:rsidRPr="00900400">
        <w:rPr>
          <w:rFonts w:cs="Arial"/>
          <w:bCs/>
          <w:sz w:val="20"/>
          <w:szCs w:val="20"/>
        </w:rPr>
        <w:t xml:space="preserve">trong and collaborative working relationship between the IEA, </w:t>
      </w:r>
      <w:r w:rsidR="00F83538" w:rsidRPr="00900400">
        <w:rPr>
          <w:rFonts w:cs="Arial"/>
          <w:bCs/>
          <w:sz w:val="20"/>
          <w:szCs w:val="20"/>
        </w:rPr>
        <w:t xml:space="preserve">DESNZ </w:t>
      </w:r>
      <w:r w:rsidRPr="00900400">
        <w:rPr>
          <w:rFonts w:cs="Arial"/>
          <w:bCs/>
          <w:sz w:val="20"/>
          <w:szCs w:val="20"/>
        </w:rPr>
        <w:t xml:space="preserve">and the other funders of the programme through regular bi-lateral discussions, strategy workshops, bi-lateral engagement both with the central team and in-country representatives. </w:t>
      </w:r>
    </w:p>
    <w:p w14:paraId="20D8875A" w14:textId="77777777" w:rsidR="00C665DD" w:rsidRPr="00900400" w:rsidRDefault="00C665DD" w:rsidP="00C665DD">
      <w:pPr>
        <w:jc w:val="both"/>
        <w:rPr>
          <w:rFonts w:cs="Arial"/>
          <w:bCs/>
          <w:sz w:val="20"/>
          <w:szCs w:val="20"/>
        </w:rPr>
      </w:pPr>
    </w:p>
    <w:p w14:paraId="2DCD4DE8" w14:textId="77777777" w:rsidR="00C665DD" w:rsidRPr="00900400" w:rsidRDefault="00C665DD" w:rsidP="00C665DD">
      <w:pPr>
        <w:jc w:val="both"/>
        <w:rPr>
          <w:rFonts w:cs="Arial"/>
          <w:bCs/>
          <w:sz w:val="20"/>
          <w:szCs w:val="20"/>
        </w:rPr>
      </w:pPr>
      <w:r w:rsidRPr="00900400">
        <w:rPr>
          <w:rFonts w:cs="Arial"/>
          <w:bCs/>
          <w:sz w:val="20"/>
          <w:szCs w:val="20"/>
        </w:rPr>
        <w:t>The programme has also offered the opportunity for UK participation in CETP virtual workshops and training that has given visibility to UK support for the programme and the opportunity to showcase UK policy and commercial experience. Regular engagement with funders has also allowed for effective co-ordination with funder’s bi-lateral programmes to avoid duplication of effort.</w:t>
      </w:r>
    </w:p>
    <w:p w14:paraId="38327853" w14:textId="77777777" w:rsidR="00C665DD" w:rsidRPr="00900400" w:rsidRDefault="00C665DD" w:rsidP="00C665DD">
      <w:pPr>
        <w:jc w:val="both"/>
        <w:rPr>
          <w:rFonts w:cs="Arial"/>
          <w:bCs/>
          <w:sz w:val="20"/>
          <w:szCs w:val="20"/>
        </w:rPr>
      </w:pPr>
    </w:p>
    <w:p w14:paraId="033EE717" w14:textId="7D8CA717" w:rsidR="00C665DD" w:rsidRPr="00900400" w:rsidRDefault="00C665DD" w:rsidP="00C665DD">
      <w:pPr>
        <w:jc w:val="both"/>
        <w:rPr>
          <w:rFonts w:cs="Arial"/>
          <w:bCs/>
          <w:sz w:val="20"/>
          <w:szCs w:val="20"/>
        </w:rPr>
      </w:pPr>
      <w:r w:rsidRPr="00900400">
        <w:rPr>
          <w:rFonts w:cs="Arial"/>
          <w:bCs/>
          <w:sz w:val="20"/>
          <w:szCs w:val="20"/>
        </w:rPr>
        <w:t xml:space="preserve">The CETP leverages the existing world-leading expertise and resources of the IEA to deliver these outputs rather than delivering through external contractors with additional resources to support the programme recruited through agreed IEA/OECD recruitment procedures. Staff costs remain in line with expectations. </w:t>
      </w:r>
    </w:p>
    <w:p w14:paraId="1F341627" w14:textId="77777777" w:rsidR="00C665DD" w:rsidRPr="00900400" w:rsidRDefault="00C665DD" w:rsidP="00C665DD">
      <w:pPr>
        <w:jc w:val="both"/>
        <w:rPr>
          <w:rFonts w:cs="Arial"/>
          <w:bCs/>
          <w:sz w:val="20"/>
          <w:szCs w:val="20"/>
        </w:rPr>
      </w:pPr>
    </w:p>
    <w:p w14:paraId="2C42A3DF" w14:textId="77777777" w:rsidR="00C665DD" w:rsidRPr="00900400" w:rsidRDefault="00C665DD" w:rsidP="00C665DD">
      <w:pPr>
        <w:jc w:val="both"/>
        <w:rPr>
          <w:rFonts w:cs="Arial"/>
          <w:bCs/>
          <w:sz w:val="20"/>
          <w:szCs w:val="20"/>
        </w:rPr>
      </w:pPr>
      <w:r w:rsidRPr="00900400">
        <w:rPr>
          <w:rFonts w:cs="Arial"/>
          <w:bCs/>
          <w:sz w:val="20"/>
          <w:szCs w:val="20"/>
        </w:rPr>
        <w:t xml:space="preserve">The CETP is co-ordinated through the CETP Funders Strategy Group and bilateral discussions with countries supporting the programme. The Funders Group provides a forum for countries to engage in strategic conversations about CETP’s objectives, development and implementation, as well as helping ensure that the IEA’s efforts complement other bi-lateral and multi-lateral collaborations. </w:t>
      </w:r>
    </w:p>
    <w:p w14:paraId="13957A5B" w14:textId="77777777" w:rsidR="00C665DD" w:rsidRPr="00900400" w:rsidRDefault="00C665DD" w:rsidP="00C665DD">
      <w:pPr>
        <w:jc w:val="both"/>
        <w:rPr>
          <w:rFonts w:cs="Arial"/>
          <w:bCs/>
          <w:sz w:val="20"/>
          <w:szCs w:val="20"/>
        </w:rPr>
      </w:pPr>
    </w:p>
    <w:p w14:paraId="6883AE74" w14:textId="46AA96C2" w:rsidR="00C665DD" w:rsidRPr="00900400" w:rsidRDefault="00C665DD" w:rsidP="00C665DD">
      <w:pPr>
        <w:jc w:val="both"/>
        <w:rPr>
          <w:rFonts w:cs="Arial"/>
          <w:bCs/>
          <w:sz w:val="20"/>
          <w:szCs w:val="20"/>
        </w:rPr>
      </w:pPr>
      <w:r w:rsidRPr="00900400">
        <w:rPr>
          <w:rFonts w:cs="Arial"/>
          <w:bCs/>
          <w:sz w:val="20"/>
          <w:szCs w:val="20"/>
        </w:rPr>
        <w:t xml:space="preserve">Within the IEA, the CETP’s </w:t>
      </w:r>
      <w:r w:rsidR="00AF5A13" w:rsidRPr="00900400">
        <w:rPr>
          <w:rFonts w:cs="Arial"/>
          <w:bCs/>
          <w:sz w:val="20"/>
          <w:szCs w:val="20"/>
        </w:rPr>
        <w:t>current governance</w:t>
      </w:r>
      <w:r w:rsidRPr="00900400">
        <w:rPr>
          <w:rFonts w:cs="Arial"/>
          <w:bCs/>
          <w:sz w:val="20"/>
          <w:szCs w:val="20"/>
        </w:rPr>
        <w:t xml:space="preserve"> structure is spread across the IEA Secretariat, and co-ordinates </w:t>
      </w:r>
      <w:proofErr w:type="gramStart"/>
      <w:r w:rsidRPr="00900400">
        <w:rPr>
          <w:rFonts w:cs="Arial"/>
          <w:bCs/>
          <w:sz w:val="20"/>
          <w:szCs w:val="20"/>
        </w:rPr>
        <w:t>a number of</w:t>
      </w:r>
      <w:proofErr w:type="gramEnd"/>
      <w:r w:rsidRPr="00900400">
        <w:rPr>
          <w:rFonts w:cs="Arial"/>
          <w:bCs/>
          <w:sz w:val="20"/>
          <w:szCs w:val="20"/>
        </w:rPr>
        <w:t xml:space="preserve"> inter-related projects and cross-sectoral initiatives led by different IEA divisions and units. The work of the CETP is guided by an internal steering group, a central co-ordination team and the senior management, which together ensure an efficient use of time and resources. IEA senior staff from across the Agency participate in the Steering Group which ensures co-ordination among areas of work, projects, and cross-sectoral initiatives led by different IEA divisions and teams. The Steering Group also advises senior management on the allocation of resources for the different CETP workstreams.  </w:t>
      </w:r>
    </w:p>
    <w:p w14:paraId="1EC8773A" w14:textId="77777777" w:rsidR="00C665DD" w:rsidRPr="00900400" w:rsidRDefault="00C665DD" w:rsidP="00C665DD">
      <w:pPr>
        <w:jc w:val="both"/>
        <w:rPr>
          <w:rFonts w:cs="Arial"/>
          <w:bCs/>
          <w:sz w:val="20"/>
          <w:szCs w:val="20"/>
        </w:rPr>
      </w:pPr>
    </w:p>
    <w:p w14:paraId="0B92B2CE" w14:textId="77777777" w:rsidR="00C665DD" w:rsidRPr="00900400" w:rsidRDefault="00C665DD" w:rsidP="00C665DD">
      <w:pPr>
        <w:jc w:val="both"/>
        <w:rPr>
          <w:rFonts w:cs="Arial"/>
          <w:bCs/>
          <w:sz w:val="20"/>
          <w:szCs w:val="20"/>
        </w:rPr>
      </w:pPr>
      <w:r w:rsidRPr="00900400">
        <w:rPr>
          <w:rFonts w:cs="Arial"/>
          <w:bCs/>
          <w:sz w:val="20"/>
          <w:szCs w:val="20"/>
        </w:rPr>
        <w:t xml:space="preserve">The central co-ordination team leads the CETP work and </w:t>
      </w:r>
      <w:proofErr w:type="gramStart"/>
      <w:r w:rsidRPr="00900400">
        <w:rPr>
          <w:rFonts w:cs="Arial"/>
          <w:bCs/>
          <w:sz w:val="20"/>
          <w:szCs w:val="20"/>
        </w:rPr>
        <w:t>is located in</w:t>
      </w:r>
      <w:proofErr w:type="gramEnd"/>
      <w:r w:rsidRPr="00900400">
        <w:rPr>
          <w:rFonts w:cs="Arial"/>
          <w:bCs/>
          <w:sz w:val="20"/>
          <w:szCs w:val="20"/>
        </w:rPr>
        <w:t xml:space="preserve"> the IEA’s Strategic Initiatives Office. It is responsible for overall quality control and strategic management, fundraising, dissemination, information sharing, reporting and co-ordination within the IEA and with Funders. </w:t>
      </w:r>
    </w:p>
    <w:p w14:paraId="15E24E4C" w14:textId="77777777" w:rsidR="00C665DD" w:rsidRPr="00900400" w:rsidRDefault="00C665DD" w:rsidP="00C665DD">
      <w:pPr>
        <w:jc w:val="both"/>
        <w:rPr>
          <w:rFonts w:cs="Arial"/>
          <w:bCs/>
          <w:sz w:val="20"/>
          <w:szCs w:val="20"/>
        </w:rPr>
      </w:pPr>
    </w:p>
    <w:p w14:paraId="103219D4" w14:textId="5813E5B9" w:rsidR="00C665DD" w:rsidRPr="00900400" w:rsidRDefault="00C665DD" w:rsidP="00C665DD">
      <w:pPr>
        <w:jc w:val="both"/>
        <w:rPr>
          <w:rFonts w:cs="Arial"/>
          <w:bCs/>
          <w:sz w:val="20"/>
          <w:szCs w:val="20"/>
        </w:rPr>
      </w:pPr>
      <w:r w:rsidRPr="00900400">
        <w:rPr>
          <w:rFonts w:cs="Arial"/>
          <w:bCs/>
          <w:sz w:val="20"/>
          <w:szCs w:val="20"/>
        </w:rPr>
        <w:t>The IEA’s financial management of the CETP is in line with expectations in the l business case and consistent with OECD procedures, regulations and controls. Financial forecasting has been timely and accurate and narrative reporting in the form of the Programme’s Annual Report has been comprehensive, well-structured and delivered to projected timelines</w:t>
      </w:r>
      <w:r w:rsidR="00FC6153" w:rsidRPr="00900400">
        <w:rPr>
          <w:rFonts w:cs="Arial"/>
          <w:bCs/>
          <w:sz w:val="20"/>
          <w:szCs w:val="20"/>
        </w:rPr>
        <w:t xml:space="preserve"> including delivery of the results framework and UK-specific </w:t>
      </w:r>
      <w:proofErr w:type="spellStart"/>
      <w:r w:rsidR="00FC6153" w:rsidRPr="00900400">
        <w:rPr>
          <w:rFonts w:cs="Arial"/>
          <w:bCs/>
          <w:sz w:val="20"/>
          <w:szCs w:val="20"/>
        </w:rPr>
        <w:t>logframe</w:t>
      </w:r>
      <w:proofErr w:type="spellEnd"/>
      <w:r w:rsidRPr="00900400">
        <w:rPr>
          <w:rFonts w:cs="Arial"/>
          <w:bCs/>
          <w:sz w:val="20"/>
          <w:szCs w:val="20"/>
        </w:rPr>
        <w:t xml:space="preserve">. </w:t>
      </w:r>
    </w:p>
    <w:p w14:paraId="6D15A491" w14:textId="77777777" w:rsidR="00C665DD" w:rsidRPr="00900400" w:rsidRDefault="00C665DD" w:rsidP="00C665DD">
      <w:pPr>
        <w:jc w:val="both"/>
        <w:rPr>
          <w:rFonts w:cs="Arial"/>
          <w:bCs/>
          <w:sz w:val="20"/>
          <w:szCs w:val="20"/>
        </w:rPr>
      </w:pPr>
    </w:p>
    <w:p w14:paraId="7257449C" w14:textId="00739323" w:rsidR="00C665DD" w:rsidRPr="00900400" w:rsidRDefault="00C665DD" w:rsidP="00C665DD">
      <w:pPr>
        <w:jc w:val="both"/>
        <w:rPr>
          <w:rFonts w:cs="Arial"/>
          <w:bCs/>
          <w:sz w:val="20"/>
          <w:szCs w:val="20"/>
        </w:rPr>
      </w:pPr>
      <w:r w:rsidRPr="00900400">
        <w:rPr>
          <w:rFonts w:cs="Arial"/>
          <w:bCs/>
          <w:sz w:val="20"/>
          <w:szCs w:val="20"/>
        </w:rPr>
        <w:t xml:space="preserve">Risks to the programme are addressed through dialogue both bi-laterally and through the Funder Group whilst the IEA carry out regular monitoring an evaluation activity to assess the impact of programme deliverables. This includes feedback from target countries through high-level and technical-level engagement, and this input continues to guide development of the programme in dialogue with </w:t>
      </w:r>
      <w:r w:rsidR="00752D53" w:rsidRPr="00900400">
        <w:rPr>
          <w:rFonts w:cs="Arial"/>
          <w:bCs/>
          <w:sz w:val="20"/>
          <w:szCs w:val="20"/>
        </w:rPr>
        <w:t xml:space="preserve">DESNZ </w:t>
      </w:r>
      <w:r w:rsidRPr="00900400">
        <w:rPr>
          <w:rFonts w:cs="Arial"/>
          <w:bCs/>
          <w:sz w:val="20"/>
          <w:szCs w:val="20"/>
        </w:rPr>
        <w:t xml:space="preserve">and other funders to ensure that CETP remains needs-driven. </w:t>
      </w:r>
    </w:p>
    <w:p w14:paraId="18F01148" w14:textId="77777777" w:rsidR="00C665DD" w:rsidRPr="00900400" w:rsidRDefault="00C665DD" w:rsidP="00C665DD">
      <w:pPr>
        <w:jc w:val="both"/>
        <w:rPr>
          <w:rFonts w:cs="Arial"/>
          <w:bCs/>
          <w:sz w:val="22"/>
          <w:szCs w:val="22"/>
        </w:rPr>
      </w:pPr>
    </w:p>
    <w:p w14:paraId="6FAD55DD" w14:textId="77777777" w:rsidR="00C665DD" w:rsidRPr="00900400" w:rsidRDefault="00C665DD" w:rsidP="00C665DD">
      <w:pPr>
        <w:jc w:val="both"/>
        <w:rPr>
          <w:rFonts w:cs="Arial"/>
          <w:bCs/>
          <w:sz w:val="22"/>
          <w:szCs w:val="22"/>
        </w:rPr>
      </w:pPr>
    </w:p>
    <w:p w14:paraId="67C40422" w14:textId="77777777" w:rsidR="00C665DD" w:rsidRPr="00900400" w:rsidRDefault="00C665DD" w:rsidP="00C665DD">
      <w:pPr>
        <w:jc w:val="both"/>
        <w:rPr>
          <w:rFonts w:cs="Arial"/>
          <w:bCs/>
          <w:sz w:val="20"/>
          <w:szCs w:val="20"/>
          <w:u w:val="single"/>
        </w:rPr>
      </w:pPr>
      <w:r w:rsidRPr="00900400">
        <w:rPr>
          <w:rFonts w:cs="Arial"/>
          <w:bCs/>
          <w:sz w:val="20"/>
          <w:szCs w:val="20"/>
          <w:u w:val="single"/>
        </w:rPr>
        <w:t>Assessment against the 4Es</w:t>
      </w:r>
    </w:p>
    <w:p w14:paraId="65DF6823" w14:textId="77777777" w:rsidR="00C665DD" w:rsidRPr="00900400" w:rsidRDefault="00C665DD" w:rsidP="00C665DD">
      <w:pPr>
        <w:jc w:val="both"/>
        <w:rPr>
          <w:rFonts w:cs="Arial"/>
          <w:bCs/>
          <w:sz w:val="20"/>
          <w:szCs w:val="20"/>
        </w:rPr>
      </w:pPr>
    </w:p>
    <w:p w14:paraId="46AAF41C" w14:textId="77777777" w:rsidR="00C665DD" w:rsidRPr="00900400" w:rsidRDefault="00C665DD" w:rsidP="00C665DD">
      <w:pPr>
        <w:jc w:val="both"/>
        <w:rPr>
          <w:rFonts w:cs="Arial"/>
          <w:bCs/>
          <w:sz w:val="20"/>
          <w:szCs w:val="20"/>
        </w:rPr>
      </w:pPr>
      <w:r w:rsidRPr="00900400">
        <w:rPr>
          <w:rFonts w:cs="Arial"/>
          <w:bCs/>
          <w:sz w:val="20"/>
          <w:szCs w:val="20"/>
        </w:rPr>
        <w:t xml:space="preserve">It is difficult to undertake quantitative assessments of value for money for investment in technical assistance activities or estimate quantitative expected results (e.g., GHG saved) due to challenges in identifying causal links and the interplay with other policies and programmes and in many cases long </w:t>
      </w:r>
      <w:r w:rsidRPr="00900400">
        <w:rPr>
          <w:rFonts w:cs="Arial"/>
          <w:bCs/>
          <w:sz w:val="20"/>
          <w:szCs w:val="20"/>
        </w:rPr>
        <w:lastRenderedPageBreak/>
        <w:t xml:space="preserve">lead-times in achieving intended impacts. Value for Money Is therefore assessed through consideration of the 4Es: Equity, Economy, Efficiency and Effectiveness  </w:t>
      </w:r>
    </w:p>
    <w:p w14:paraId="2763B781" w14:textId="77777777" w:rsidR="00C665DD" w:rsidRPr="00900400" w:rsidRDefault="00C665DD" w:rsidP="00C665DD">
      <w:pPr>
        <w:jc w:val="both"/>
        <w:rPr>
          <w:rFonts w:cs="Arial"/>
          <w:bCs/>
          <w:sz w:val="20"/>
          <w:szCs w:val="20"/>
        </w:rPr>
      </w:pPr>
    </w:p>
    <w:p w14:paraId="3783A7D4" w14:textId="77777777" w:rsidR="00C665DD" w:rsidRPr="00900400" w:rsidRDefault="00C665DD" w:rsidP="00C665DD">
      <w:pPr>
        <w:jc w:val="both"/>
        <w:rPr>
          <w:rFonts w:cs="Arial"/>
          <w:bCs/>
          <w:sz w:val="20"/>
          <w:szCs w:val="20"/>
        </w:rPr>
      </w:pPr>
      <w:r w:rsidRPr="00900400">
        <w:rPr>
          <w:rFonts w:cs="Arial"/>
          <w:bCs/>
          <w:sz w:val="20"/>
          <w:szCs w:val="20"/>
        </w:rPr>
        <w:t>Equity</w:t>
      </w:r>
    </w:p>
    <w:p w14:paraId="50CA534B" w14:textId="77777777" w:rsidR="00C665DD" w:rsidRPr="00900400" w:rsidRDefault="00C665DD" w:rsidP="00C665DD">
      <w:pPr>
        <w:jc w:val="both"/>
        <w:rPr>
          <w:rFonts w:cs="Arial"/>
          <w:bCs/>
          <w:sz w:val="20"/>
          <w:szCs w:val="20"/>
        </w:rPr>
      </w:pPr>
    </w:p>
    <w:p w14:paraId="7CEA57EF" w14:textId="77777777" w:rsidR="00C665DD" w:rsidRPr="00900400" w:rsidRDefault="00C665DD" w:rsidP="00C665DD">
      <w:pPr>
        <w:jc w:val="both"/>
        <w:rPr>
          <w:rFonts w:cs="Arial"/>
          <w:bCs/>
          <w:sz w:val="20"/>
          <w:szCs w:val="20"/>
        </w:rPr>
      </w:pPr>
      <w:r w:rsidRPr="00900400">
        <w:rPr>
          <w:rFonts w:cs="Arial"/>
          <w:bCs/>
          <w:sz w:val="20"/>
          <w:szCs w:val="20"/>
        </w:rPr>
        <w:t>The impacts of climate change are likely to have a disproportionate impact on women and vulnerable communities so mitigating the impacts through accelerating the clean energy transition and expanding access to reliable, affordable and sustainable energy – key objectives of the CETP - are likely to be positive for gender equality and vulnerable consumers in target countries. Whilst the benefits of the programme are not directly received by these communities, the support to government and other institutions in the target countries, can help secure clean growth transitions that can both increase the deployment of clean technologies but also create new jobs and economic growth.</w:t>
      </w:r>
    </w:p>
    <w:p w14:paraId="453C570C" w14:textId="77777777" w:rsidR="00C665DD" w:rsidRPr="00900400" w:rsidRDefault="00C665DD" w:rsidP="00C665DD">
      <w:pPr>
        <w:jc w:val="both"/>
        <w:rPr>
          <w:rFonts w:cs="Arial"/>
          <w:bCs/>
          <w:sz w:val="20"/>
          <w:szCs w:val="20"/>
        </w:rPr>
      </w:pPr>
    </w:p>
    <w:p w14:paraId="36E43E80" w14:textId="7B655608" w:rsidR="00C665DD" w:rsidRPr="00900400" w:rsidRDefault="00C665DD" w:rsidP="00C665DD">
      <w:pPr>
        <w:jc w:val="both"/>
        <w:rPr>
          <w:rFonts w:cs="Arial"/>
          <w:bCs/>
          <w:sz w:val="20"/>
          <w:szCs w:val="20"/>
        </w:rPr>
      </w:pPr>
      <w:r w:rsidRPr="00900400">
        <w:rPr>
          <w:rFonts w:cs="Arial"/>
          <w:bCs/>
          <w:sz w:val="20"/>
          <w:szCs w:val="20"/>
        </w:rPr>
        <w:t xml:space="preserve">Within the programme itself there is a focus on increasing the participation of women in the training and capacity-building events that form a key part of the programme and the outcome milestones for number and proportion of women participating have </w:t>
      </w:r>
      <w:r w:rsidR="000917DF" w:rsidRPr="00900400">
        <w:rPr>
          <w:rFonts w:cs="Arial"/>
          <w:bCs/>
          <w:sz w:val="20"/>
          <w:szCs w:val="20"/>
        </w:rPr>
        <w:t xml:space="preserve">largely been exceeded in 2024 including a record for the </w:t>
      </w:r>
      <w:proofErr w:type="spellStart"/>
      <w:r w:rsidR="000917DF" w:rsidRPr="00900400">
        <w:rPr>
          <w:rFonts w:cs="Arial"/>
          <w:bCs/>
          <w:sz w:val="20"/>
          <w:szCs w:val="20"/>
        </w:rPr>
        <w:t>progarmm</w:t>
      </w:r>
      <w:r w:rsidR="00900400" w:rsidRPr="00900400">
        <w:rPr>
          <w:rFonts w:cs="Arial"/>
          <w:bCs/>
          <w:sz w:val="20"/>
          <w:szCs w:val="20"/>
        </w:rPr>
        <w:t>e</w:t>
      </w:r>
      <w:proofErr w:type="spellEnd"/>
      <w:r w:rsidR="00900400" w:rsidRPr="00900400">
        <w:rPr>
          <w:rFonts w:cs="Arial"/>
          <w:bCs/>
          <w:sz w:val="20"/>
          <w:szCs w:val="20"/>
        </w:rPr>
        <w:t xml:space="preserve"> with women accounted for 48.7% of attendees at capacity building and training events delivered to CETP priority countries</w:t>
      </w:r>
      <w:r w:rsidRPr="00900400">
        <w:rPr>
          <w:rFonts w:cs="Arial"/>
          <w:bCs/>
          <w:sz w:val="20"/>
          <w:szCs w:val="20"/>
        </w:rPr>
        <w:t xml:space="preserve">  </w:t>
      </w:r>
    </w:p>
    <w:p w14:paraId="6D3E97DA" w14:textId="77777777" w:rsidR="00C665DD" w:rsidRPr="00752D53" w:rsidRDefault="00C665DD" w:rsidP="00C665DD">
      <w:pPr>
        <w:jc w:val="both"/>
        <w:rPr>
          <w:rFonts w:cs="Arial"/>
          <w:bCs/>
          <w:color w:val="FF0000"/>
          <w:sz w:val="20"/>
          <w:szCs w:val="20"/>
        </w:rPr>
      </w:pPr>
    </w:p>
    <w:p w14:paraId="155480DB" w14:textId="77777777" w:rsidR="00C665DD" w:rsidRPr="000E0E81" w:rsidRDefault="00C665DD" w:rsidP="00C665DD">
      <w:pPr>
        <w:jc w:val="both"/>
        <w:rPr>
          <w:rFonts w:cs="Arial"/>
          <w:bCs/>
          <w:sz w:val="20"/>
          <w:szCs w:val="20"/>
        </w:rPr>
      </w:pPr>
      <w:r w:rsidRPr="000E0E81">
        <w:rPr>
          <w:rFonts w:cs="Arial"/>
          <w:bCs/>
          <w:sz w:val="20"/>
          <w:szCs w:val="20"/>
        </w:rPr>
        <w:t>Economy</w:t>
      </w:r>
    </w:p>
    <w:p w14:paraId="65E0125F" w14:textId="77777777" w:rsidR="00C665DD" w:rsidRPr="000E0E81" w:rsidRDefault="00C665DD" w:rsidP="00C665DD">
      <w:pPr>
        <w:jc w:val="both"/>
        <w:rPr>
          <w:rFonts w:cs="Arial"/>
          <w:bCs/>
          <w:sz w:val="20"/>
          <w:szCs w:val="20"/>
        </w:rPr>
      </w:pPr>
    </w:p>
    <w:p w14:paraId="602DA4EB" w14:textId="77777777" w:rsidR="00C665DD" w:rsidRPr="000E0E81" w:rsidRDefault="00C665DD" w:rsidP="00C665DD">
      <w:pPr>
        <w:jc w:val="both"/>
        <w:rPr>
          <w:rFonts w:cs="Arial"/>
          <w:bCs/>
          <w:sz w:val="20"/>
          <w:szCs w:val="20"/>
        </w:rPr>
      </w:pPr>
      <w:r w:rsidRPr="000E0E81">
        <w:rPr>
          <w:rFonts w:cs="Arial"/>
          <w:bCs/>
          <w:sz w:val="20"/>
          <w:szCs w:val="20"/>
        </w:rPr>
        <w:t>Economy refers to whether our delivery partner is buying inputs – e.g., staff, consultants, travel. Accommodation - that are used to produce outputs at the appropriate quality and at the right price.</w:t>
      </w:r>
    </w:p>
    <w:p w14:paraId="521CC67A" w14:textId="77777777" w:rsidR="00C665DD" w:rsidRPr="000E0E81" w:rsidRDefault="00C665DD" w:rsidP="00C665DD">
      <w:pPr>
        <w:jc w:val="both"/>
        <w:rPr>
          <w:rFonts w:cs="Arial"/>
          <w:bCs/>
          <w:sz w:val="20"/>
          <w:szCs w:val="20"/>
        </w:rPr>
      </w:pPr>
    </w:p>
    <w:p w14:paraId="34F720DF" w14:textId="77777777" w:rsidR="00C665DD" w:rsidRPr="000E0E81" w:rsidRDefault="00C665DD" w:rsidP="00C665DD">
      <w:pPr>
        <w:jc w:val="both"/>
        <w:rPr>
          <w:rFonts w:cs="Arial"/>
          <w:bCs/>
          <w:sz w:val="20"/>
          <w:szCs w:val="20"/>
        </w:rPr>
      </w:pPr>
      <w:proofErr w:type="gramStart"/>
      <w:r w:rsidRPr="000E0E81">
        <w:rPr>
          <w:rFonts w:cs="Arial"/>
          <w:bCs/>
          <w:sz w:val="20"/>
          <w:szCs w:val="20"/>
        </w:rPr>
        <w:t>To a large extent the CETP builds</w:t>
      </w:r>
      <w:proofErr w:type="gramEnd"/>
      <w:r w:rsidRPr="000E0E81">
        <w:rPr>
          <w:rFonts w:cs="Arial"/>
          <w:bCs/>
          <w:sz w:val="20"/>
          <w:szCs w:val="20"/>
        </w:rPr>
        <w:t xml:space="preserve"> on and leverages the IEA’s existing expertise and resources built up through long-standing investment by the UK and others through assessed and voluntary contributions to support the work of the IEA, though additional resource continues to be recruited and deployed to scale up engagement under the CETP in line with agreed IEA/OECD recruitment procedures. Outputs delivered to date, and through the period under review, have been of high quality, subject to expert peer review in the case of analysis, and well received with high satisfaction rates.  </w:t>
      </w:r>
    </w:p>
    <w:p w14:paraId="07B4C9BB" w14:textId="77777777" w:rsidR="00C665DD" w:rsidRPr="000E0E81" w:rsidRDefault="00C665DD" w:rsidP="00C665DD">
      <w:pPr>
        <w:jc w:val="both"/>
        <w:rPr>
          <w:rFonts w:cs="Arial"/>
          <w:bCs/>
          <w:sz w:val="20"/>
          <w:szCs w:val="20"/>
        </w:rPr>
      </w:pPr>
    </w:p>
    <w:p w14:paraId="3DABBFAF" w14:textId="3EFE8E6C" w:rsidR="00C665DD" w:rsidRPr="000E0E81" w:rsidRDefault="00C665DD" w:rsidP="00C665DD">
      <w:pPr>
        <w:jc w:val="both"/>
        <w:rPr>
          <w:rFonts w:cs="Arial"/>
          <w:bCs/>
          <w:sz w:val="20"/>
          <w:szCs w:val="20"/>
        </w:rPr>
      </w:pPr>
      <w:r w:rsidRPr="000E0E81">
        <w:rPr>
          <w:rFonts w:cs="Arial"/>
          <w:bCs/>
          <w:sz w:val="20"/>
          <w:szCs w:val="20"/>
        </w:rPr>
        <w:t>The IEA/OECD charges a fee for administration of voluntary contributions. This is broadly comparable with what other delivery partners charge</w:t>
      </w:r>
      <w:r w:rsidR="000E0E81">
        <w:rPr>
          <w:rFonts w:cs="Arial"/>
          <w:bCs/>
          <w:sz w:val="20"/>
          <w:szCs w:val="20"/>
        </w:rPr>
        <w:t xml:space="preserve">. </w:t>
      </w:r>
      <w:r w:rsidRPr="000E0E81">
        <w:rPr>
          <w:rFonts w:cs="Arial"/>
          <w:bCs/>
          <w:sz w:val="20"/>
          <w:szCs w:val="20"/>
        </w:rPr>
        <w:t>The IEA has significant experience in using an open and competitive process for procuring a</w:t>
      </w:r>
      <w:r w:rsidR="000E0E81">
        <w:rPr>
          <w:rFonts w:cs="Arial"/>
          <w:bCs/>
          <w:sz w:val="20"/>
          <w:szCs w:val="20"/>
        </w:rPr>
        <w:t>ny a</w:t>
      </w:r>
      <w:r w:rsidRPr="000E0E81">
        <w:rPr>
          <w:rFonts w:cs="Arial"/>
          <w:bCs/>
          <w:sz w:val="20"/>
          <w:szCs w:val="20"/>
        </w:rPr>
        <w:t xml:space="preserve">dditional external expertise </w:t>
      </w:r>
      <w:r w:rsidR="000E0E81">
        <w:rPr>
          <w:rFonts w:cs="Arial"/>
          <w:bCs/>
          <w:sz w:val="20"/>
          <w:szCs w:val="20"/>
        </w:rPr>
        <w:t xml:space="preserve">needed </w:t>
      </w:r>
      <w:proofErr w:type="gramStart"/>
      <w:r w:rsidRPr="000E0E81">
        <w:rPr>
          <w:rFonts w:cs="Arial"/>
          <w:bCs/>
          <w:sz w:val="20"/>
          <w:szCs w:val="20"/>
        </w:rPr>
        <w:t>in order to</w:t>
      </w:r>
      <w:proofErr w:type="gramEnd"/>
      <w:r w:rsidRPr="000E0E81">
        <w:rPr>
          <w:rFonts w:cs="Arial"/>
          <w:bCs/>
          <w:sz w:val="20"/>
          <w:szCs w:val="20"/>
        </w:rPr>
        <w:t xml:space="preserve"> get high quality inputs </w:t>
      </w:r>
    </w:p>
    <w:p w14:paraId="00E5719F" w14:textId="77777777" w:rsidR="00C665DD" w:rsidRPr="00752D53" w:rsidRDefault="00C665DD" w:rsidP="00C665DD">
      <w:pPr>
        <w:jc w:val="both"/>
        <w:rPr>
          <w:rFonts w:cs="Arial"/>
          <w:bCs/>
          <w:color w:val="FF0000"/>
          <w:sz w:val="20"/>
          <w:szCs w:val="20"/>
        </w:rPr>
      </w:pPr>
    </w:p>
    <w:p w14:paraId="7D449A74" w14:textId="77777777" w:rsidR="00C665DD" w:rsidRPr="00004EA4" w:rsidRDefault="00C665DD" w:rsidP="00C665DD">
      <w:pPr>
        <w:jc w:val="both"/>
        <w:rPr>
          <w:rFonts w:cs="Arial"/>
          <w:bCs/>
          <w:sz w:val="20"/>
          <w:szCs w:val="20"/>
        </w:rPr>
      </w:pPr>
      <w:r w:rsidRPr="00004EA4">
        <w:rPr>
          <w:rFonts w:cs="Arial"/>
          <w:bCs/>
          <w:sz w:val="20"/>
          <w:szCs w:val="20"/>
        </w:rPr>
        <w:t>Efficiency</w:t>
      </w:r>
    </w:p>
    <w:p w14:paraId="4BE64F19" w14:textId="77777777" w:rsidR="00C665DD" w:rsidRPr="00004EA4" w:rsidRDefault="00C665DD" w:rsidP="00C665DD">
      <w:pPr>
        <w:jc w:val="both"/>
        <w:rPr>
          <w:rFonts w:cs="Arial"/>
          <w:bCs/>
          <w:sz w:val="20"/>
          <w:szCs w:val="20"/>
        </w:rPr>
      </w:pPr>
    </w:p>
    <w:p w14:paraId="5D755A4E" w14:textId="77777777" w:rsidR="00C665DD" w:rsidRPr="00004EA4" w:rsidRDefault="00C665DD" w:rsidP="00C665DD">
      <w:pPr>
        <w:jc w:val="both"/>
        <w:rPr>
          <w:rFonts w:cs="Arial"/>
          <w:bCs/>
          <w:sz w:val="20"/>
          <w:szCs w:val="20"/>
        </w:rPr>
      </w:pPr>
      <w:r w:rsidRPr="00004EA4">
        <w:rPr>
          <w:rFonts w:cs="Arial"/>
          <w:bCs/>
          <w:sz w:val="20"/>
          <w:szCs w:val="20"/>
        </w:rPr>
        <w:t xml:space="preserve">Efficiency refers to how well our inputs are converted into outputs. </w:t>
      </w:r>
    </w:p>
    <w:p w14:paraId="7A165593" w14:textId="77777777" w:rsidR="00C665DD" w:rsidRPr="00004EA4" w:rsidRDefault="00C665DD" w:rsidP="00C665DD">
      <w:pPr>
        <w:jc w:val="both"/>
        <w:rPr>
          <w:rFonts w:cs="Arial"/>
          <w:bCs/>
          <w:sz w:val="20"/>
          <w:szCs w:val="20"/>
        </w:rPr>
      </w:pPr>
    </w:p>
    <w:p w14:paraId="45DDD02E" w14:textId="4364285A" w:rsidR="00C665DD" w:rsidRPr="00004EA4" w:rsidRDefault="00C665DD" w:rsidP="00C665DD">
      <w:pPr>
        <w:jc w:val="both"/>
        <w:rPr>
          <w:rFonts w:cs="Arial"/>
          <w:bCs/>
          <w:sz w:val="20"/>
          <w:szCs w:val="20"/>
        </w:rPr>
      </w:pPr>
      <w:r w:rsidRPr="00004EA4">
        <w:rPr>
          <w:rFonts w:cs="Arial"/>
          <w:bCs/>
          <w:sz w:val="20"/>
          <w:szCs w:val="20"/>
        </w:rPr>
        <w:t>This has been assessed principally with reference to the track—record of delivery of the programme</w:t>
      </w:r>
      <w:r w:rsidR="006E129E" w:rsidRPr="00004EA4">
        <w:rPr>
          <w:rFonts w:cs="Arial"/>
          <w:bCs/>
          <w:sz w:val="20"/>
          <w:szCs w:val="20"/>
        </w:rPr>
        <w:t xml:space="preserve"> as recorded </w:t>
      </w:r>
      <w:r w:rsidR="00142284" w:rsidRPr="00004EA4">
        <w:rPr>
          <w:rFonts w:cs="Arial"/>
          <w:bCs/>
          <w:sz w:val="20"/>
          <w:szCs w:val="20"/>
        </w:rPr>
        <w:t>through outcomes and impacts.</w:t>
      </w:r>
      <w:r w:rsidRPr="00004EA4">
        <w:rPr>
          <w:rFonts w:cs="Arial"/>
          <w:bCs/>
          <w:sz w:val="20"/>
          <w:szCs w:val="20"/>
        </w:rPr>
        <w:t xml:space="preserve"> </w:t>
      </w:r>
    </w:p>
    <w:p w14:paraId="69883E37" w14:textId="77777777" w:rsidR="00C665DD" w:rsidRPr="00004EA4" w:rsidRDefault="00C665DD" w:rsidP="00C665DD">
      <w:pPr>
        <w:jc w:val="both"/>
        <w:rPr>
          <w:rFonts w:cs="Arial"/>
          <w:bCs/>
          <w:sz w:val="20"/>
          <w:szCs w:val="20"/>
        </w:rPr>
      </w:pPr>
    </w:p>
    <w:p w14:paraId="666F1DA5" w14:textId="104C3C71" w:rsidR="0020620A" w:rsidRPr="00004EA4" w:rsidRDefault="00C665DD" w:rsidP="0020620A">
      <w:pPr>
        <w:jc w:val="both"/>
        <w:rPr>
          <w:rFonts w:cs="Arial"/>
          <w:bCs/>
          <w:sz w:val="20"/>
          <w:szCs w:val="20"/>
        </w:rPr>
      </w:pPr>
      <w:r w:rsidRPr="00004EA4">
        <w:rPr>
          <w:rFonts w:cs="Arial"/>
          <w:bCs/>
          <w:sz w:val="20"/>
          <w:szCs w:val="20"/>
        </w:rPr>
        <w:t xml:space="preserve">Outputs from CETP </w:t>
      </w:r>
      <w:r w:rsidR="00142284" w:rsidRPr="00004EA4">
        <w:rPr>
          <w:rFonts w:cs="Arial"/>
          <w:bCs/>
          <w:sz w:val="20"/>
          <w:szCs w:val="20"/>
        </w:rPr>
        <w:t xml:space="preserve">has </w:t>
      </w:r>
      <w:r w:rsidRPr="00004EA4">
        <w:rPr>
          <w:rFonts w:cs="Arial"/>
          <w:bCs/>
          <w:sz w:val="20"/>
          <w:szCs w:val="20"/>
        </w:rPr>
        <w:t xml:space="preserve">included activity </w:t>
      </w:r>
      <w:r w:rsidR="0020620A" w:rsidRPr="00004EA4">
        <w:rPr>
          <w:rFonts w:cs="Arial"/>
          <w:bCs/>
          <w:sz w:val="20"/>
          <w:szCs w:val="20"/>
        </w:rPr>
        <w:t>with partner countries organised around the newly launched</w:t>
      </w:r>
    </w:p>
    <w:p w14:paraId="4FD142FE" w14:textId="31AD5467" w:rsidR="0020620A" w:rsidRPr="00004EA4" w:rsidRDefault="0020620A" w:rsidP="0020620A">
      <w:pPr>
        <w:jc w:val="both"/>
        <w:rPr>
          <w:rFonts w:cs="Arial"/>
          <w:bCs/>
          <w:sz w:val="20"/>
          <w:szCs w:val="20"/>
        </w:rPr>
      </w:pPr>
      <w:r w:rsidRPr="00004EA4">
        <w:rPr>
          <w:rFonts w:cs="Arial"/>
          <w:bCs/>
          <w:sz w:val="20"/>
          <w:szCs w:val="20"/>
        </w:rPr>
        <w:t>“CETP Offerings”, which provide an intuitive and comprehensive approach for the IEA and the</w:t>
      </w:r>
    </w:p>
    <w:p w14:paraId="2AC7A517" w14:textId="630E395D" w:rsidR="00C665DD" w:rsidRPr="00004EA4" w:rsidRDefault="0020620A" w:rsidP="0020620A">
      <w:pPr>
        <w:jc w:val="both"/>
        <w:rPr>
          <w:rFonts w:cs="Arial"/>
          <w:bCs/>
          <w:sz w:val="20"/>
          <w:szCs w:val="20"/>
        </w:rPr>
      </w:pPr>
      <w:r w:rsidRPr="00004EA4">
        <w:rPr>
          <w:rFonts w:cs="Arial"/>
          <w:bCs/>
          <w:sz w:val="20"/>
          <w:szCs w:val="20"/>
        </w:rPr>
        <w:t>partner country to work together to drive system-wide change. The CETP Offering is divided into five categories, with partnership engagement following a logical progression from activities within modelling and analysis efforts, through policy development, training and capacity building, implementation and access to finance, to tracking and verification of outputs and results. Activities across the range of services are underpinned by the IEA's strong communication and engagement capabilities and global data and statistics.</w:t>
      </w:r>
    </w:p>
    <w:p w14:paraId="4815266B" w14:textId="77777777" w:rsidR="00C665DD" w:rsidRPr="00004EA4" w:rsidRDefault="00C665DD" w:rsidP="00C665DD">
      <w:pPr>
        <w:jc w:val="both"/>
        <w:rPr>
          <w:rFonts w:cs="Arial"/>
          <w:bCs/>
          <w:sz w:val="20"/>
          <w:szCs w:val="20"/>
        </w:rPr>
      </w:pPr>
    </w:p>
    <w:p w14:paraId="6E6FA026" w14:textId="7E6AD771" w:rsidR="00C665DD" w:rsidRPr="00004EA4" w:rsidRDefault="00C665DD" w:rsidP="00C665DD">
      <w:pPr>
        <w:jc w:val="both"/>
        <w:rPr>
          <w:rFonts w:cs="Arial"/>
          <w:bCs/>
          <w:sz w:val="20"/>
          <w:szCs w:val="20"/>
        </w:rPr>
      </w:pPr>
      <w:r w:rsidRPr="00004EA4">
        <w:rPr>
          <w:rFonts w:cs="Arial"/>
          <w:bCs/>
          <w:sz w:val="20"/>
          <w:szCs w:val="20"/>
        </w:rPr>
        <w:t xml:space="preserve">Throughout </w:t>
      </w:r>
      <w:r w:rsidR="00F944F6" w:rsidRPr="00004EA4">
        <w:rPr>
          <w:rFonts w:cs="Arial"/>
          <w:bCs/>
          <w:sz w:val="20"/>
          <w:szCs w:val="20"/>
        </w:rPr>
        <w:t>2024</w:t>
      </w:r>
      <w:r w:rsidRPr="00004EA4">
        <w:rPr>
          <w:rFonts w:cs="Arial"/>
          <w:bCs/>
          <w:sz w:val="20"/>
          <w:szCs w:val="20"/>
        </w:rPr>
        <w:t xml:space="preserve">, the level of activity largely achieved or surpassed output milestones in the </w:t>
      </w:r>
      <w:proofErr w:type="spellStart"/>
      <w:r w:rsidRPr="00004EA4">
        <w:rPr>
          <w:rFonts w:cs="Arial"/>
          <w:bCs/>
          <w:sz w:val="20"/>
          <w:szCs w:val="20"/>
        </w:rPr>
        <w:t>logframe</w:t>
      </w:r>
      <w:proofErr w:type="spellEnd"/>
      <w:r w:rsidRPr="00004EA4">
        <w:rPr>
          <w:rFonts w:cs="Arial"/>
          <w:bCs/>
          <w:sz w:val="20"/>
          <w:szCs w:val="20"/>
        </w:rPr>
        <w:t xml:space="preserve"> and</w:t>
      </w:r>
      <w:r w:rsidR="00F944F6" w:rsidRPr="00004EA4">
        <w:rPr>
          <w:rFonts w:cs="Arial"/>
          <w:bCs/>
          <w:sz w:val="20"/>
          <w:szCs w:val="20"/>
        </w:rPr>
        <w:t xml:space="preserve"> met</w:t>
      </w:r>
      <w:r w:rsidRPr="00004EA4">
        <w:rPr>
          <w:rFonts w:cs="Arial"/>
          <w:bCs/>
          <w:sz w:val="20"/>
          <w:szCs w:val="20"/>
        </w:rPr>
        <w:t xml:space="preserve"> expectations of what would be delivered in terms of both the breadth and depth of activity with target countries. Outputs have been robust and of high quality and, in the case of training and capacity building events, have recorded very high satisfaction rates from participants. </w:t>
      </w:r>
    </w:p>
    <w:p w14:paraId="4B5FC45F" w14:textId="77777777" w:rsidR="00C665DD" w:rsidRPr="00004EA4" w:rsidRDefault="00C665DD" w:rsidP="00C665DD">
      <w:pPr>
        <w:jc w:val="both"/>
        <w:rPr>
          <w:rFonts w:cs="Arial"/>
          <w:bCs/>
          <w:sz w:val="20"/>
          <w:szCs w:val="20"/>
        </w:rPr>
      </w:pPr>
    </w:p>
    <w:p w14:paraId="33FD4003" w14:textId="77777777" w:rsidR="00C665DD" w:rsidRPr="00004EA4" w:rsidRDefault="00C665DD" w:rsidP="00C665DD">
      <w:pPr>
        <w:jc w:val="both"/>
        <w:rPr>
          <w:rFonts w:cs="Arial"/>
          <w:bCs/>
          <w:sz w:val="20"/>
          <w:szCs w:val="20"/>
        </w:rPr>
      </w:pPr>
      <w:r w:rsidRPr="00004EA4">
        <w:rPr>
          <w:rFonts w:cs="Arial"/>
          <w:bCs/>
          <w:sz w:val="20"/>
          <w:szCs w:val="20"/>
        </w:rPr>
        <w:t>Effectiveness</w:t>
      </w:r>
    </w:p>
    <w:p w14:paraId="158D8238" w14:textId="77777777" w:rsidR="00C665DD" w:rsidRPr="00004EA4" w:rsidRDefault="00C665DD" w:rsidP="00C665DD">
      <w:pPr>
        <w:jc w:val="both"/>
        <w:rPr>
          <w:rFonts w:cs="Arial"/>
          <w:bCs/>
          <w:sz w:val="20"/>
          <w:szCs w:val="20"/>
        </w:rPr>
      </w:pPr>
    </w:p>
    <w:p w14:paraId="70C94AA0" w14:textId="77777777" w:rsidR="00C665DD" w:rsidRPr="00004EA4" w:rsidRDefault="00C665DD" w:rsidP="00C665DD">
      <w:pPr>
        <w:jc w:val="both"/>
        <w:rPr>
          <w:rFonts w:cs="Arial"/>
          <w:bCs/>
          <w:sz w:val="20"/>
          <w:szCs w:val="20"/>
        </w:rPr>
      </w:pPr>
      <w:r w:rsidRPr="00004EA4">
        <w:rPr>
          <w:rFonts w:cs="Arial"/>
          <w:bCs/>
          <w:sz w:val="20"/>
          <w:szCs w:val="20"/>
        </w:rPr>
        <w:t>Effectiveness refers to how well the outputs (that are under the direct control of the delivery partner) achieve the outcomes (over which there is less control). It is important that the outputs help build the right conditions in target countries to deliver transformational outcomes.</w:t>
      </w:r>
    </w:p>
    <w:p w14:paraId="7540C360" w14:textId="77777777" w:rsidR="00C665DD" w:rsidRPr="00004EA4" w:rsidRDefault="00C665DD" w:rsidP="00C665DD">
      <w:pPr>
        <w:jc w:val="both"/>
        <w:rPr>
          <w:rFonts w:cs="Arial"/>
          <w:bCs/>
          <w:sz w:val="20"/>
          <w:szCs w:val="20"/>
        </w:rPr>
      </w:pPr>
    </w:p>
    <w:p w14:paraId="4A959AE2" w14:textId="50941F67" w:rsidR="00C665DD" w:rsidRDefault="00C665DD" w:rsidP="00C665DD">
      <w:pPr>
        <w:jc w:val="both"/>
        <w:rPr>
          <w:rFonts w:cs="Arial"/>
          <w:bCs/>
          <w:sz w:val="20"/>
          <w:szCs w:val="20"/>
        </w:rPr>
      </w:pPr>
      <w:r w:rsidRPr="00004EA4">
        <w:rPr>
          <w:rFonts w:cs="Arial"/>
          <w:bCs/>
          <w:sz w:val="20"/>
          <w:szCs w:val="20"/>
        </w:rPr>
        <w:t xml:space="preserve">The IEA has devoted significant effort, engaging very closely with both funders and target countries to develop programmes of work that are driven by, and effectively meet, the needs, expectations and priorities of target countries in accelerating their own clean energy transition. This has involved regular engagement with high level decision-makers to secure the buy in for individual demand-driven technical programmes. This buy-in, combined with the high quality of the outputs, and the IEAs standing as an independent authority on the global energy system, gives CETP the maximum chance of having long-lasting and significant impacts with increasing evidence that the programme is having transformational impacts.  </w:t>
      </w:r>
    </w:p>
    <w:p w14:paraId="7FD7AC9F" w14:textId="77777777" w:rsidR="0016455E" w:rsidRDefault="0016455E" w:rsidP="00C665DD">
      <w:pPr>
        <w:jc w:val="both"/>
        <w:rPr>
          <w:rFonts w:cs="Arial"/>
          <w:bCs/>
          <w:sz w:val="20"/>
          <w:szCs w:val="20"/>
        </w:rPr>
      </w:pPr>
    </w:p>
    <w:p w14:paraId="0590DA57" w14:textId="5630995C" w:rsidR="0016455E" w:rsidRPr="00004EA4" w:rsidRDefault="0016455E" w:rsidP="00C665DD">
      <w:pPr>
        <w:jc w:val="both"/>
        <w:rPr>
          <w:rFonts w:cs="Arial"/>
          <w:bCs/>
          <w:sz w:val="20"/>
          <w:szCs w:val="20"/>
        </w:rPr>
      </w:pPr>
      <w:r w:rsidRPr="0016455E">
        <w:rPr>
          <w:rFonts w:cs="Arial"/>
          <w:bCs/>
          <w:sz w:val="20"/>
          <w:szCs w:val="20"/>
        </w:rPr>
        <w:t xml:space="preserve">Overall, the CETP continues to deliver value-for-money.  </w:t>
      </w:r>
    </w:p>
    <w:p w14:paraId="513962B5" w14:textId="77777777" w:rsidR="00C665DD" w:rsidRPr="00007CB9" w:rsidRDefault="00C665DD" w:rsidP="00C665DD">
      <w:pPr>
        <w:jc w:val="both"/>
        <w:rPr>
          <w:rFonts w:cs="Arial"/>
          <w:bCs/>
          <w:color w:val="FF0000"/>
          <w:sz w:val="22"/>
          <w:szCs w:val="22"/>
        </w:rPr>
      </w:pPr>
    </w:p>
    <w:p w14:paraId="4F23DEC2" w14:textId="154631BC" w:rsidR="3F76CE01" w:rsidRPr="005E3663" w:rsidRDefault="00892627" w:rsidP="00054DE7">
      <w:pPr>
        <w:jc w:val="both"/>
        <w:rPr>
          <w:rFonts w:eastAsia="Arial" w:cs="Arial"/>
          <w:color w:val="000000" w:themeColor="text1"/>
          <w:sz w:val="20"/>
          <w:szCs w:val="20"/>
        </w:rPr>
      </w:pPr>
      <w:r w:rsidRPr="005F46FD">
        <w:rPr>
          <w:rFonts w:cs="Arial"/>
          <w:sz w:val="20"/>
          <w:szCs w:val="20"/>
        </w:rPr>
        <w:t xml:space="preserve"> Paris Alignment </w:t>
      </w:r>
      <w:r w:rsidR="3F76CE01" w:rsidRPr="005E3663">
        <w:rPr>
          <w:rFonts w:eastAsia="Arial" w:cs="Arial"/>
          <w:color w:val="000000" w:themeColor="text1"/>
          <w:sz w:val="20"/>
          <w:szCs w:val="20"/>
        </w:rPr>
        <w:t xml:space="preserve">Compliance table </w:t>
      </w:r>
    </w:p>
    <w:p w14:paraId="647AC3FD" w14:textId="77777777" w:rsidR="005F46FD" w:rsidRDefault="005F46FD" w:rsidP="662399CC">
      <w:pPr>
        <w:tabs>
          <w:tab w:val="right" w:leader="dot" w:pos="9710"/>
        </w:tabs>
        <w:contextualSpacing/>
        <w:jc w:val="both"/>
        <w:rPr>
          <w:rFonts w:eastAsia="Arial" w:cs="Arial"/>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508"/>
        <w:gridCol w:w="4508"/>
      </w:tblGrid>
      <w:tr w:rsidR="24958D28" w:rsidRPr="005E3663" w14:paraId="36D3E058" w14:textId="77777777" w:rsidTr="5CDBA64A">
        <w:trPr>
          <w:trHeight w:val="300"/>
        </w:trPr>
        <w:tc>
          <w:tcPr>
            <w:tcW w:w="4508"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3A09DD08" w14:textId="578BBF12" w:rsidR="24958D28" w:rsidRPr="005E3663" w:rsidRDefault="24958D28" w:rsidP="662399CC">
            <w:pPr>
              <w:spacing w:line="276" w:lineRule="auto"/>
              <w:rPr>
                <w:rFonts w:eastAsia="Arial" w:cs="Arial"/>
                <w:color w:val="212121"/>
                <w:sz w:val="20"/>
                <w:szCs w:val="20"/>
              </w:rPr>
            </w:pPr>
            <w:r w:rsidRPr="005E3663">
              <w:rPr>
                <w:rFonts w:eastAsia="Arial" w:cs="Arial"/>
                <w:b/>
                <w:bCs/>
                <w:color w:val="212121"/>
                <w:sz w:val="20"/>
                <w:szCs w:val="20"/>
              </w:rPr>
              <w:t>Paris alignment pillar</w:t>
            </w:r>
          </w:p>
        </w:tc>
        <w:tc>
          <w:tcPr>
            <w:tcW w:w="4508"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5BAE3890" w14:textId="4ABF44DD" w:rsidR="24958D28" w:rsidRPr="005E3663" w:rsidRDefault="24958D28" w:rsidP="662399CC">
            <w:pPr>
              <w:spacing w:line="276" w:lineRule="auto"/>
              <w:rPr>
                <w:rFonts w:eastAsia="Arial" w:cs="Arial"/>
                <w:color w:val="212121"/>
                <w:sz w:val="20"/>
                <w:szCs w:val="20"/>
              </w:rPr>
            </w:pPr>
            <w:r w:rsidRPr="005E3663">
              <w:rPr>
                <w:rFonts w:eastAsia="Arial" w:cs="Arial"/>
                <w:b/>
                <w:bCs/>
                <w:color w:val="212121"/>
                <w:sz w:val="20"/>
                <w:szCs w:val="20"/>
              </w:rPr>
              <w:t>Description of activity</w:t>
            </w:r>
          </w:p>
        </w:tc>
      </w:tr>
      <w:tr w:rsidR="24958D28" w:rsidRPr="005E3663" w14:paraId="74634EF1" w14:textId="77777777" w:rsidTr="5CDBA64A">
        <w:trPr>
          <w:trHeight w:val="300"/>
        </w:trPr>
        <w:tc>
          <w:tcPr>
            <w:tcW w:w="4508"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74026F1A" w14:textId="628C2CE7" w:rsidR="24958D28" w:rsidRPr="005E3663" w:rsidRDefault="24958D28" w:rsidP="662399CC">
            <w:pPr>
              <w:spacing w:line="276" w:lineRule="auto"/>
              <w:rPr>
                <w:rFonts w:eastAsia="Arial" w:cs="Arial"/>
                <w:color w:val="212121"/>
                <w:sz w:val="20"/>
                <w:szCs w:val="20"/>
              </w:rPr>
            </w:pPr>
            <w:r w:rsidRPr="005E3663">
              <w:rPr>
                <w:rFonts w:eastAsia="Arial" w:cs="Arial"/>
                <w:color w:val="212121"/>
                <w:sz w:val="20"/>
                <w:szCs w:val="20"/>
              </w:rPr>
              <w:t>How have you taken a proportional approach to climate and environment risk assurance?</w:t>
            </w:r>
          </w:p>
        </w:tc>
        <w:tc>
          <w:tcPr>
            <w:tcW w:w="4508"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206AEC96" w14:textId="0797F51A" w:rsidR="24958D28" w:rsidRPr="005E3663" w:rsidRDefault="005E3663" w:rsidP="662399CC">
            <w:pPr>
              <w:spacing w:line="276" w:lineRule="auto"/>
              <w:rPr>
                <w:rFonts w:eastAsia="Arial" w:cs="Arial"/>
                <w:color w:val="212121"/>
                <w:sz w:val="20"/>
                <w:szCs w:val="20"/>
              </w:rPr>
            </w:pPr>
            <w:r>
              <w:rPr>
                <w:rFonts w:eastAsia="Arial" w:cs="Arial"/>
                <w:color w:val="212121"/>
                <w:sz w:val="20"/>
                <w:szCs w:val="20"/>
              </w:rPr>
              <w:t>Yes - a</w:t>
            </w:r>
            <w:r w:rsidR="005F46FD" w:rsidRPr="005E3663">
              <w:rPr>
                <w:rFonts w:eastAsia="Arial" w:cs="Arial"/>
                <w:color w:val="212121"/>
                <w:sz w:val="20"/>
                <w:szCs w:val="20"/>
              </w:rPr>
              <w:t xml:space="preserve"> Climate and Environment Risk Assessment </w:t>
            </w:r>
            <w:r w:rsidRPr="005E3663">
              <w:rPr>
                <w:rFonts w:eastAsia="Arial" w:cs="Arial"/>
                <w:color w:val="212121"/>
                <w:sz w:val="20"/>
                <w:szCs w:val="20"/>
              </w:rPr>
              <w:t xml:space="preserve">was undertaken as part of the business case </w:t>
            </w:r>
            <w:r w:rsidR="005378DE">
              <w:rPr>
                <w:rFonts w:eastAsia="Arial" w:cs="Arial"/>
                <w:color w:val="212121"/>
                <w:sz w:val="20"/>
                <w:szCs w:val="20"/>
              </w:rPr>
              <w:t>which concluded that the programme was low risk.</w:t>
            </w:r>
          </w:p>
        </w:tc>
      </w:tr>
      <w:tr w:rsidR="24958D28" w:rsidRPr="005E3663" w14:paraId="24F160CD" w14:textId="77777777" w:rsidTr="5CDBA64A">
        <w:trPr>
          <w:trHeight w:val="300"/>
        </w:trPr>
        <w:tc>
          <w:tcPr>
            <w:tcW w:w="4508"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37F94F6E" w14:textId="4E36E106" w:rsidR="24958D28" w:rsidRPr="005E3663" w:rsidRDefault="24958D28" w:rsidP="662399CC">
            <w:pPr>
              <w:spacing w:line="276" w:lineRule="auto"/>
              <w:rPr>
                <w:rFonts w:eastAsia="Arial" w:cs="Arial"/>
                <w:color w:val="212121"/>
                <w:sz w:val="20"/>
                <w:szCs w:val="20"/>
              </w:rPr>
            </w:pPr>
            <w:r w:rsidRPr="005E3663">
              <w:rPr>
                <w:rFonts w:eastAsia="Arial" w:cs="Arial"/>
                <w:color w:val="212121"/>
                <w:sz w:val="20"/>
                <w:szCs w:val="20"/>
              </w:rPr>
              <w:t>How have you taken a proportional approach to using shadow carbon pricing?</w:t>
            </w:r>
          </w:p>
        </w:tc>
        <w:tc>
          <w:tcPr>
            <w:tcW w:w="4508"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1043457E" w14:textId="2E29C16A" w:rsidR="24958D28" w:rsidRPr="005E3663" w:rsidRDefault="24958D28" w:rsidP="662399CC">
            <w:pPr>
              <w:spacing w:line="276" w:lineRule="auto"/>
              <w:rPr>
                <w:rFonts w:eastAsia="Arial" w:cs="Arial"/>
                <w:color w:val="212121"/>
                <w:sz w:val="20"/>
                <w:szCs w:val="20"/>
              </w:rPr>
            </w:pPr>
            <w:r w:rsidRPr="005E3663">
              <w:rPr>
                <w:rFonts w:eastAsia="Arial" w:cs="Arial"/>
                <w:color w:val="212121"/>
                <w:sz w:val="20"/>
                <w:szCs w:val="20"/>
              </w:rPr>
              <w:t xml:space="preserve"> </w:t>
            </w:r>
            <w:r w:rsidR="001241E8">
              <w:rPr>
                <w:rFonts w:eastAsia="Arial" w:cs="Arial"/>
                <w:color w:val="212121"/>
                <w:sz w:val="20"/>
                <w:szCs w:val="20"/>
              </w:rPr>
              <w:t>Yes – as a technical assistance programme</w:t>
            </w:r>
            <w:r w:rsidR="009F6008">
              <w:rPr>
                <w:rFonts w:eastAsia="Arial" w:cs="Arial"/>
                <w:color w:val="212121"/>
                <w:sz w:val="20"/>
                <w:szCs w:val="20"/>
              </w:rPr>
              <w:t>, it Is not required to undertake shadow carbon pricing</w:t>
            </w:r>
            <w:r w:rsidR="001241E8">
              <w:rPr>
                <w:rFonts w:eastAsia="Arial" w:cs="Arial"/>
                <w:color w:val="212121"/>
                <w:sz w:val="20"/>
                <w:szCs w:val="20"/>
              </w:rPr>
              <w:t xml:space="preserve"> </w:t>
            </w:r>
          </w:p>
        </w:tc>
      </w:tr>
      <w:tr w:rsidR="24958D28" w:rsidRPr="005E3663" w14:paraId="3A0589D5" w14:textId="77777777" w:rsidTr="5CDBA64A">
        <w:trPr>
          <w:trHeight w:val="300"/>
        </w:trPr>
        <w:tc>
          <w:tcPr>
            <w:tcW w:w="4508"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51F4163E" w14:textId="6044FA6D" w:rsidR="24958D28" w:rsidRPr="005E3663" w:rsidRDefault="24958D28" w:rsidP="662399CC">
            <w:pPr>
              <w:spacing w:line="276" w:lineRule="auto"/>
              <w:rPr>
                <w:rFonts w:eastAsia="Arial" w:cs="Arial"/>
                <w:color w:val="212121"/>
                <w:sz w:val="20"/>
                <w:szCs w:val="20"/>
              </w:rPr>
            </w:pPr>
            <w:r w:rsidRPr="005E3663">
              <w:rPr>
                <w:rFonts w:eastAsia="Arial" w:cs="Arial"/>
                <w:color w:val="212121"/>
                <w:sz w:val="20"/>
                <w:szCs w:val="20"/>
              </w:rPr>
              <w:t>Does the programme adhere to HMG’s fossil fuel policy?</w:t>
            </w:r>
          </w:p>
        </w:tc>
        <w:tc>
          <w:tcPr>
            <w:tcW w:w="4508"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4D99C99B" w14:textId="30AF88D8" w:rsidR="24958D28" w:rsidRPr="005E3663" w:rsidRDefault="24958D28" w:rsidP="662399CC">
            <w:pPr>
              <w:spacing w:line="276" w:lineRule="auto"/>
              <w:rPr>
                <w:rFonts w:eastAsia="Arial" w:cs="Arial"/>
                <w:color w:val="212121"/>
                <w:sz w:val="20"/>
                <w:szCs w:val="20"/>
              </w:rPr>
            </w:pPr>
            <w:r w:rsidRPr="005E3663">
              <w:rPr>
                <w:rFonts w:eastAsia="Arial" w:cs="Arial"/>
                <w:color w:val="212121"/>
                <w:sz w:val="20"/>
                <w:szCs w:val="20"/>
              </w:rPr>
              <w:t xml:space="preserve"> </w:t>
            </w:r>
            <w:r w:rsidR="005E3663">
              <w:rPr>
                <w:rFonts w:eastAsia="Arial" w:cs="Arial"/>
                <w:color w:val="212121"/>
                <w:sz w:val="20"/>
                <w:szCs w:val="20"/>
              </w:rPr>
              <w:t xml:space="preserve">Yes </w:t>
            </w:r>
            <w:r w:rsidR="00BB378D">
              <w:rPr>
                <w:rFonts w:eastAsia="Arial" w:cs="Arial"/>
                <w:color w:val="212121"/>
                <w:sz w:val="20"/>
                <w:szCs w:val="20"/>
              </w:rPr>
              <w:t>–</w:t>
            </w:r>
            <w:r w:rsidR="005E3663">
              <w:rPr>
                <w:rFonts w:eastAsia="Arial" w:cs="Arial"/>
                <w:color w:val="212121"/>
                <w:sz w:val="20"/>
                <w:szCs w:val="20"/>
              </w:rPr>
              <w:t xml:space="preserve"> </w:t>
            </w:r>
            <w:r w:rsidR="00BB378D">
              <w:rPr>
                <w:rFonts w:eastAsia="Arial" w:cs="Arial"/>
                <w:color w:val="212121"/>
                <w:sz w:val="20"/>
                <w:szCs w:val="20"/>
              </w:rPr>
              <w:t xml:space="preserve">this is a technical assistance </w:t>
            </w:r>
            <w:r w:rsidR="00E41FBD">
              <w:rPr>
                <w:rFonts w:eastAsia="Arial" w:cs="Arial"/>
                <w:color w:val="212121"/>
                <w:sz w:val="20"/>
                <w:szCs w:val="20"/>
              </w:rPr>
              <w:t>programme</w:t>
            </w:r>
            <w:r w:rsidR="00BB378D">
              <w:rPr>
                <w:rFonts w:eastAsia="Arial" w:cs="Arial"/>
                <w:color w:val="212121"/>
                <w:sz w:val="20"/>
                <w:szCs w:val="20"/>
              </w:rPr>
              <w:t xml:space="preserve"> that supports</w:t>
            </w:r>
            <w:r w:rsidR="00E41FBD">
              <w:rPr>
                <w:rFonts w:eastAsia="Arial" w:cs="Arial"/>
                <w:color w:val="212121"/>
                <w:sz w:val="20"/>
                <w:szCs w:val="20"/>
              </w:rPr>
              <w:t xml:space="preserve"> </w:t>
            </w:r>
            <w:r w:rsidR="00BB378D">
              <w:rPr>
                <w:rFonts w:eastAsia="Arial" w:cs="Arial"/>
                <w:color w:val="212121"/>
                <w:sz w:val="20"/>
                <w:szCs w:val="20"/>
              </w:rPr>
              <w:t>th</w:t>
            </w:r>
            <w:r w:rsidR="00E41FBD">
              <w:rPr>
                <w:rFonts w:eastAsia="Arial" w:cs="Arial"/>
                <w:color w:val="212121"/>
                <w:sz w:val="20"/>
                <w:szCs w:val="20"/>
              </w:rPr>
              <w:t xml:space="preserve">e </w:t>
            </w:r>
            <w:r w:rsidR="00BB378D">
              <w:rPr>
                <w:rFonts w:eastAsia="Arial" w:cs="Arial"/>
                <w:color w:val="212121"/>
                <w:sz w:val="20"/>
                <w:szCs w:val="20"/>
              </w:rPr>
              <w:t>transition away from fossil fuels and does not support investment in fossil fuel exploitation</w:t>
            </w:r>
            <w:r w:rsidR="00E41FBD">
              <w:rPr>
                <w:rFonts w:eastAsia="Arial" w:cs="Arial"/>
                <w:color w:val="212121"/>
                <w:sz w:val="20"/>
                <w:szCs w:val="20"/>
              </w:rPr>
              <w:t>.</w:t>
            </w:r>
          </w:p>
        </w:tc>
      </w:tr>
      <w:tr w:rsidR="24958D28" w:rsidRPr="005E3663" w14:paraId="5AFB0C88" w14:textId="77777777" w:rsidTr="5CDBA64A">
        <w:trPr>
          <w:trHeight w:val="990"/>
        </w:trPr>
        <w:tc>
          <w:tcPr>
            <w:tcW w:w="4508"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046BB519" w14:textId="0AF09318" w:rsidR="24958D28" w:rsidRPr="005E3663" w:rsidRDefault="24958D28" w:rsidP="662399CC">
            <w:pPr>
              <w:spacing w:line="276" w:lineRule="auto"/>
              <w:rPr>
                <w:rFonts w:eastAsia="Arial" w:cs="Arial"/>
                <w:color w:val="212121"/>
                <w:sz w:val="20"/>
                <w:szCs w:val="20"/>
              </w:rPr>
            </w:pPr>
            <w:r w:rsidRPr="005E3663">
              <w:rPr>
                <w:rFonts w:eastAsia="Arial" w:cs="Arial"/>
                <w:color w:val="212121"/>
                <w:sz w:val="20"/>
                <w:szCs w:val="20"/>
              </w:rPr>
              <w:t>Are you ensuring the programme does not undermine impacted countries climate plans?</w:t>
            </w:r>
          </w:p>
        </w:tc>
        <w:tc>
          <w:tcPr>
            <w:tcW w:w="4508"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6B3574C7" w14:textId="5EA1F263" w:rsidR="24958D28" w:rsidRPr="005E3663" w:rsidRDefault="00E41FBD" w:rsidP="662399CC">
            <w:pPr>
              <w:spacing w:line="276" w:lineRule="auto"/>
              <w:rPr>
                <w:rFonts w:eastAsia="Arial" w:cs="Arial"/>
                <w:color w:val="212121"/>
                <w:sz w:val="20"/>
                <w:szCs w:val="20"/>
              </w:rPr>
            </w:pPr>
            <w:r>
              <w:rPr>
                <w:rFonts w:eastAsia="Arial" w:cs="Arial"/>
                <w:color w:val="212121"/>
                <w:sz w:val="20"/>
                <w:szCs w:val="20"/>
              </w:rPr>
              <w:t xml:space="preserve">Yes – The programme provides </w:t>
            </w:r>
            <w:r w:rsidR="00B86B53">
              <w:rPr>
                <w:rFonts w:eastAsia="Arial" w:cs="Arial"/>
                <w:color w:val="212121"/>
                <w:sz w:val="20"/>
                <w:szCs w:val="20"/>
              </w:rPr>
              <w:t>technical assist</w:t>
            </w:r>
            <w:r w:rsidR="00F405AF">
              <w:rPr>
                <w:rFonts w:eastAsia="Arial" w:cs="Arial"/>
                <w:color w:val="212121"/>
                <w:sz w:val="20"/>
                <w:szCs w:val="20"/>
              </w:rPr>
              <w:t>a</w:t>
            </w:r>
            <w:r w:rsidR="00B86B53">
              <w:rPr>
                <w:rFonts w:eastAsia="Arial" w:cs="Arial"/>
                <w:color w:val="212121"/>
                <w:sz w:val="20"/>
                <w:szCs w:val="20"/>
              </w:rPr>
              <w:t>nce</w:t>
            </w:r>
            <w:r w:rsidR="00F405AF">
              <w:rPr>
                <w:rFonts w:eastAsia="Arial" w:cs="Arial"/>
                <w:color w:val="212121"/>
                <w:sz w:val="20"/>
                <w:szCs w:val="20"/>
              </w:rPr>
              <w:t xml:space="preserve"> </w:t>
            </w:r>
            <w:r w:rsidR="00B86B53">
              <w:rPr>
                <w:rFonts w:eastAsia="Arial" w:cs="Arial"/>
                <w:color w:val="212121"/>
                <w:sz w:val="20"/>
                <w:szCs w:val="20"/>
              </w:rPr>
              <w:t>to support countri</w:t>
            </w:r>
            <w:r w:rsidR="00F405AF">
              <w:rPr>
                <w:rFonts w:eastAsia="Arial" w:cs="Arial"/>
                <w:color w:val="212121"/>
                <w:sz w:val="20"/>
                <w:szCs w:val="20"/>
              </w:rPr>
              <w:t>es to a</w:t>
            </w:r>
            <w:r w:rsidR="00B86B53">
              <w:rPr>
                <w:rFonts w:eastAsia="Arial" w:cs="Arial"/>
                <w:color w:val="212121"/>
                <w:sz w:val="20"/>
                <w:szCs w:val="20"/>
              </w:rPr>
              <w:t>ccelerate the</w:t>
            </w:r>
            <w:r w:rsidR="00F405AF">
              <w:rPr>
                <w:rFonts w:eastAsia="Arial" w:cs="Arial"/>
                <w:color w:val="212121"/>
                <w:sz w:val="20"/>
                <w:szCs w:val="20"/>
              </w:rPr>
              <w:t>ir national</w:t>
            </w:r>
            <w:r w:rsidR="00B86B53">
              <w:rPr>
                <w:rFonts w:eastAsia="Arial" w:cs="Arial"/>
                <w:color w:val="212121"/>
                <w:sz w:val="20"/>
                <w:szCs w:val="20"/>
              </w:rPr>
              <w:t xml:space="preserve"> clean energy transition</w:t>
            </w:r>
            <w:r w:rsidR="00F405AF">
              <w:rPr>
                <w:rFonts w:eastAsia="Arial" w:cs="Arial"/>
                <w:color w:val="212121"/>
                <w:sz w:val="20"/>
                <w:szCs w:val="20"/>
              </w:rPr>
              <w:t>, including development and delivery of energy-related aspects of Nationally-</w:t>
            </w:r>
            <w:r w:rsidR="00E6602C">
              <w:rPr>
                <w:rFonts w:eastAsia="Arial" w:cs="Arial"/>
                <w:color w:val="212121"/>
                <w:sz w:val="20"/>
                <w:szCs w:val="20"/>
              </w:rPr>
              <w:t>D</w:t>
            </w:r>
            <w:r w:rsidR="00F405AF">
              <w:rPr>
                <w:rFonts w:eastAsia="Arial" w:cs="Arial"/>
                <w:color w:val="212121"/>
                <w:sz w:val="20"/>
                <w:szCs w:val="20"/>
              </w:rPr>
              <w:t>etermined</w:t>
            </w:r>
            <w:r w:rsidR="00E6602C">
              <w:rPr>
                <w:rFonts w:eastAsia="Arial" w:cs="Arial"/>
                <w:color w:val="212121"/>
                <w:sz w:val="20"/>
                <w:szCs w:val="20"/>
              </w:rPr>
              <w:t xml:space="preserve"> Contributions</w:t>
            </w:r>
            <w:r w:rsidR="00F405AF">
              <w:rPr>
                <w:rFonts w:eastAsia="Arial" w:cs="Arial"/>
                <w:color w:val="212121"/>
                <w:sz w:val="20"/>
                <w:szCs w:val="20"/>
              </w:rPr>
              <w:t xml:space="preserve"> </w:t>
            </w:r>
            <w:r w:rsidR="00B86B53">
              <w:rPr>
                <w:rFonts w:eastAsia="Arial" w:cs="Arial"/>
                <w:color w:val="212121"/>
                <w:sz w:val="20"/>
                <w:szCs w:val="20"/>
              </w:rPr>
              <w:t xml:space="preserve"> </w:t>
            </w:r>
          </w:p>
        </w:tc>
      </w:tr>
    </w:tbl>
    <w:p w14:paraId="54553C26" w14:textId="50981ECF" w:rsidR="24958D28" w:rsidRPr="005E3663" w:rsidRDefault="24958D28" w:rsidP="24958D28">
      <w:pPr>
        <w:jc w:val="both"/>
        <w:rPr>
          <w:rFonts w:cs="Arial"/>
          <w:sz w:val="20"/>
          <w:szCs w:val="20"/>
        </w:rPr>
      </w:pPr>
    </w:p>
    <w:p w14:paraId="31875769" w14:textId="07D42045" w:rsidR="24958D28" w:rsidRDefault="24958D28" w:rsidP="24958D28">
      <w:pPr>
        <w:jc w:val="both"/>
        <w:rPr>
          <w:rFonts w:cs="Arial"/>
          <w:sz w:val="22"/>
          <w:szCs w:val="22"/>
        </w:rPr>
      </w:pPr>
    </w:p>
    <w:tbl>
      <w:tblPr>
        <w:tblStyle w:val="TableGrid"/>
        <w:tblW w:w="0" w:type="auto"/>
        <w:tblInd w:w="-5" w:type="dxa"/>
        <w:tblLook w:val="04A0" w:firstRow="1" w:lastRow="0" w:firstColumn="1" w:lastColumn="0" w:noHBand="0" w:noVBand="1"/>
      </w:tblPr>
      <w:tblGrid>
        <w:gridCol w:w="4508"/>
        <w:gridCol w:w="2268"/>
      </w:tblGrid>
      <w:tr w:rsidR="003D222C" w:rsidRPr="00D80C6C" w14:paraId="237FE329" w14:textId="77777777" w:rsidTr="00995F8D">
        <w:tc>
          <w:tcPr>
            <w:tcW w:w="450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1FF5132" w14:textId="77777777" w:rsidR="003D222C" w:rsidRPr="00D80C6C" w:rsidRDefault="003D222C" w:rsidP="004D5FD5">
            <w:pPr>
              <w:jc w:val="both"/>
              <w:rPr>
                <w:rFonts w:cs="Arial"/>
                <w:sz w:val="22"/>
                <w:szCs w:val="22"/>
              </w:rPr>
            </w:pPr>
            <w:r w:rsidRPr="00D80C6C">
              <w:rPr>
                <w:rFonts w:cs="Arial"/>
                <w:sz w:val="22"/>
                <w:szCs w:val="22"/>
              </w:rPr>
              <w:t>Date of last narrative financial report</w:t>
            </w:r>
          </w:p>
        </w:tc>
        <w:tc>
          <w:tcPr>
            <w:tcW w:w="2268" w:type="dxa"/>
            <w:tcBorders>
              <w:top w:val="single" w:sz="4" w:space="0" w:color="auto"/>
              <w:left w:val="single" w:sz="4" w:space="0" w:color="auto"/>
              <w:bottom w:val="single" w:sz="4" w:space="0" w:color="auto"/>
              <w:right w:val="single" w:sz="4" w:space="0" w:color="auto"/>
            </w:tcBorders>
          </w:tcPr>
          <w:p w14:paraId="2ADAB5DF" w14:textId="336128F3" w:rsidR="003D222C" w:rsidRPr="00D80C6C" w:rsidRDefault="00E6602C" w:rsidP="004D5FD5">
            <w:pPr>
              <w:jc w:val="both"/>
              <w:rPr>
                <w:rFonts w:cs="Arial"/>
                <w:sz w:val="22"/>
                <w:szCs w:val="22"/>
              </w:rPr>
            </w:pPr>
            <w:r>
              <w:rPr>
                <w:rFonts w:cs="Arial"/>
                <w:sz w:val="22"/>
                <w:szCs w:val="22"/>
              </w:rPr>
              <w:t>31 March 2025</w:t>
            </w:r>
          </w:p>
        </w:tc>
      </w:tr>
      <w:tr w:rsidR="003D222C" w:rsidRPr="00D80C6C" w14:paraId="1FE89B21" w14:textId="77777777" w:rsidTr="00995F8D">
        <w:tc>
          <w:tcPr>
            <w:tcW w:w="450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C3A69BE" w14:textId="77777777" w:rsidR="003D222C" w:rsidRPr="00D80C6C" w:rsidRDefault="003D222C" w:rsidP="004D5FD5">
            <w:pPr>
              <w:jc w:val="both"/>
              <w:rPr>
                <w:rFonts w:cs="Arial"/>
                <w:sz w:val="22"/>
                <w:szCs w:val="22"/>
              </w:rPr>
            </w:pPr>
            <w:r w:rsidRPr="00D80C6C">
              <w:rPr>
                <w:rFonts w:cs="Arial"/>
                <w:sz w:val="22"/>
                <w:szCs w:val="22"/>
              </w:rPr>
              <w:t>Date of last audited annual statement</w:t>
            </w:r>
          </w:p>
        </w:tc>
        <w:tc>
          <w:tcPr>
            <w:tcW w:w="2268" w:type="dxa"/>
            <w:tcBorders>
              <w:top w:val="single" w:sz="4" w:space="0" w:color="auto"/>
              <w:left w:val="single" w:sz="4" w:space="0" w:color="auto"/>
              <w:bottom w:val="single" w:sz="4" w:space="0" w:color="auto"/>
              <w:right w:val="single" w:sz="4" w:space="0" w:color="auto"/>
            </w:tcBorders>
          </w:tcPr>
          <w:p w14:paraId="67F793A9" w14:textId="77777777" w:rsidR="003D222C" w:rsidRPr="00D80C6C" w:rsidRDefault="003D222C" w:rsidP="004D5FD5">
            <w:pPr>
              <w:jc w:val="both"/>
              <w:rPr>
                <w:rFonts w:cs="Arial"/>
                <w:sz w:val="22"/>
                <w:szCs w:val="22"/>
              </w:rPr>
            </w:pPr>
          </w:p>
        </w:tc>
      </w:tr>
    </w:tbl>
    <w:p w14:paraId="39940792" w14:textId="77777777" w:rsidR="003D222C" w:rsidRPr="00D80C6C" w:rsidRDefault="003D222C" w:rsidP="004D5FD5">
      <w:pPr>
        <w:spacing w:after="160" w:line="259" w:lineRule="auto"/>
        <w:jc w:val="both"/>
        <w:rPr>
          <w:rFonts w:cs="Arial"/>
          <w:sz w:val="22"/>
          <w:szCs w:val="22"/>
        </w:rPr>
      </w:pPr>
    </w:p>
    <w:p w14:paraId="7EF349EC" w14:textId="77777777" w:rsidR="003D222C" w:rsidRPr="00D80C6C" w:rsidRDefault="003D222C" w:rsidP="004D5FD5">
      <w:pPr>
        <w:spacing w:after="160" w:line="259" w:lineRule="auto"/>
        <w:jc w:val="both"/>
        <w:rPr>
          <w:rFonts w:cs="Arial"/>
          <w:sz w:val="22"/>
          <w:szCs w:val="22"/>
        </w:rPr>
      </w:pPr>
    </w:p>
    <w:p w14:paraId="4AB97E44" w14:textId="77777777" w:rsidR="003D222C" w:rsidRPr="00D80C6C" w:rsidRDefault="003D222C" w:rsidP="004D5FD5">
      <w:pPr>
        <w:jc w:val="both"/>
        <w:rPr>
          <w:rFonts w:cs="Arial"/>
          <w:sz w:val="22"/>
          <w:szCs w:val="22"/>
        </w:rPr>
      </w:pPr>
    </w:p>
    <w:sectPr w:rsidR="003D222C" w:rsidRPr="00D80C6C" w:rsidSect="001C6CE4">
      <w:headerReference w:type="default" r:id="rId25"/>
      <w:footerReference w:type="default" r:id="rId26"/>
      <w:headerReference w:type="first" r:id="rId27"/>
      <w:footerReference w:type="first" r:id="rId28"/>
      <w:pgSz w:w="11906" w:h="16838"/>
      <w:pgMar w:top="709" w:right="1440" w:bottom="709"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32E32" w14:textId="77777777" w:rsidR="0094154F" w:rsidRDefault="0094154F" w:rsidP="003D222C">
      <w:r>
        <w:separator/>
      </w:r>
    </w:p>
  </w:endnote>
  <w:endnote w:type="continuationSeparator" w:id="0">
    <w:p w14:paraId="3734F612" w14:textId="77777777" w:rsidR="0094154F" w:rsidRDefault="0094154F" w:rsidP="003D222C">
      <w:r>
        <w:continuationSeparator/>
      </w:r>
    </w:p>
  </w:endnote>
  <w:endnote w:type="continuationNotice" w:id="1">
    <w:p w14:paraId="39B9A88D" w14:textId="77777777" w:rsidR="0094154F" w:rsidRDefault="00941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779427"/>
      <w:docPartObj>
        <w:docPartGallery w:val="Page Numbers (Bottom of Page)"/>
        <w:docPartUnique/>
      </w:docPartObj>
    </w:sdtPr>
    <w:sdtEndPr>
      <w:rPr>
        <w:noProof/>
      </w:rPr>
    </w:sdtEndPr>
    <w:sdtContent>
      <w:p w14:paraId="6505D46B" w14:textId="26A3B61B" w:rsidR="00920D19" w:rsidRDefault="00920D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872792" w14:textId="77777777" w:rsidR="00920D19" w:rsidRDefault="00920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DCA5" w14:textId="77777777" w:rsidR="00090217" w:rsidRDefault="00090217" w:rsidP="00090217">
    <w:pPr>
      <w:pStyle w:val="BEISDate"/>
    </w:pPr>
    <w:r>
      <w:t>Month 20XX</w:t>
    </w:r>
  </w:p>
  <w:p w14:paraId="4E83EFA8" w14:textId="77777777" w:rsidR="00090217" w:rsidRDefault="00090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8CEE9" w14:textId="77777777" w:rsidR="0094154F" w:rsidRDefault="0094154F" w:rsidP="003D222C">
      <w:r>
        <w:separator/>
      </w:r>
    </w:p>
  </w:footnote>
  <w:footnote w:type="continuationSeparator" w:id="0">
    <w:p w14:paraId="2F826C6F" w14:textId="77777777" w:rsidR="0094154F" w:rsidRDefault="0094154F" w:rsidP="003D222C">
      <w:r>
        <w:continuationSeparator/>
      </w:r>
    </w:p>
  </w:footnote>
  <w:footnote w:type="continuationNotice" w:id="1">
    <w:p w14:paraId="7F17C327" w14:textId="77777777" w:rsidR="0094154F" w:rsidRDefault="009415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ECE93" w14:textId="1DFD52CA" w:rsidR="00164467" w:rsidRPr="00B00598" w:rsidRDefault="00164467" w:rsidP="00164467">
    <w:pPr>
      <w:pStyle w:val="Header"/>
      <w:pBdr>
        <w:bottom w:val="single" w:sz="2" w:space="3" w:color="2B7EE2"/>
      </w:pBdr>
      <w:rPr>
        <w:color w:val="041E42"/>
        <w:sz w:val="22"/>
      </w:rPr>
    </w:pPr>
    <w:r w:rsidRPr="00B00598">
      <w:rPr>
        <w:color w:val="041E42"/>
        <w:sz w:val="22"/>
      </w:rPr>
      <w:t>Document title goes here</w:t>
    </w:r>
    <w:r w:rsidR="003B21B0">
      <w:rPr>
        <w:color w:val="041E42"/>
        <w:sz w:val="22"/>
      </w:rPr>
      <w:t>.</w:t>
    </w:r>
  </w:p>
  <w:p w14:paraId="0FC91CB9" w14:textId="77777777" w:rsidR="00164467" w:rsidRDefault="001644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A78C" w14:textId="2ECCA5CD" w:rsidR="00C67FEB" w:rsidRDefault="00E64702">
    <w:pPr>
      <w:pStyle w:val="Header"/>
    </w:pPr>
    <w:r>
      <w:rPr>
        <w:noProof/>
      </w:rPr>
      <w:drawing>
        <wp:inline distT="0" distB="0" distL="0" distR="0" wp14:anchorId="653BEA8C" wp14:editId="2F7827DB">
          <wp:extent cx="2131029" cy="936702"/>
          <wp:effectExtent l="0" t="0" r="0" b="0"/>
          <wp:docPr id="1165208529" name="Picture 116520852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208529"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7930" cy="9441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CDC1"/>
    <w:multiLevelType w:val="hybridMultilevel"/>
    <w:tmpl w:val="FFFFFFFF"/>
    <w:lvl w:ilvl="0" w:tplc="1660B43A">
      <w:start w:val="1"/>
      <w:numFmt w:val="bullet"/>
      <w:lvlText w:val=""/>
      <w:lvlJc w:val="left"/>
      <w:pPr>
        <w:ind w:left="720" w:hanging="360"/>
      </w:pPr>
      <w:rPr>
        <w:rFonts w:ascii="Symbol" w:hAnsi="Symbol" w:hint="default"/>
      </w:rPr>
    </w:lvl>
    <w:lvl w:ilvl="1" w:tplc="91005948">
      <w:start w:val="1"/>
      <w:numFmt w:val="bullet"/>
      <w:lvlText w:val="o"/>
      <w:lvlJc w:val="left"/>
      <w:pPr>
        <w:ind w:left="1009" w:hanging="363"/>
      </w:pPr>
      <w:rPr>
        <w:rFonts w:ascii="Courier New" w:hAnsi="Courier New" w:hint="default"/>
      </w:rPr>
    </w:lvl>
    <w:lvl w:ilvl="2" w:tplc="8F6A8264">
      <w:start w:val="1"/>
      <w:numFmt w:val="bullet"/>
      <w:lvlText w:val=""/>
      <w:lvlJc w:val="left"/>
      <w:pPr>
        <w:ind w:left="2160" w:hanging="360"/>
      </w:pPr>
      <w:rPr>
        <w:rFonts w:ascii="Wingdings" w:hAnsi="Wingdings" w:hint="default"/>
      </w:rPr>
    </w:lvl>
    <w:lvl w:ilvl="3" w:tplc="C33C9152">
      <w:start w:val="1"/>
      <w:numFmt w:val="bullet"/>
      <w:lvlText w:val=""/>
      <w:lvlJc w:val="left"/>
      <w:pPr>
        <w:ind w:left="2880" w:hanging="360"/>
      </w:pPr>
      <w:rPr>
        <w:rFonts w:ascii="Symbol" w:hAnsi="Symbol" w:hint="default"/>
      </w:rPr>
    </w:lvl>
    <w:lvl w:ilvl="4" w:tplc="91001D70">
      <w:start w:val="1"/>
      <w:numFmt w:val="bullet"/>
      <w:lvlText w:val="o"/>
      <w:lvlJc w:val="left"/>
      <w:pPr>
        <w:ind w:left="3600" w:hanging="360"/>
      </w:pPr>
      <w:rPr>
        <w:rFonts w:ascii="Courier New" w:hAnsi="Courier New" w:hint="default"/>
      </w:rPr>
    </w:lvl>
    <w:lvl w:ilvl="5" w:tplc="A634C5A2">
      <w:start w:val="1"/>
      <w:numFmt w:val="bullet"/>
      <w:lvlText w:val=""/>
      <w:lvlJc w:val="left"/>
      <w:pPr>
        <w:ind w:left="4320" w:hanging="360"/>
      </w:pPr>
      <w:rPr>
        <w:rFonts w:ascii="Wingdings" w:hAnsi="Wingdings" w:hint="default"/>
      </w:rPr>
    </w:lvl>
    <w:lvl w:ilvl="6" w:tplc="78E8C1B6">
      <w:start w:val="1"/>
      <w:numFmt w:val="bullet"/>
      <w:lvlText w:val=""/>
      <w:lvlJc w:val="left"/>
      <w:pPr>
        <w:ind w:left="5040" w:hanging="360"/>
      </w:pPr>
      <w:rPr>
        <w:rFonts w:ascii="Symbol" w:hAnsi="Symbol" w:hint="default"/>
      </w:rPr>
    </w:lvl>
    <w:lvl w:ilvl="7" w:tplc="F3245FA2">
      <w:start w:val="1"/>
      <w:numFmt w:val="bullet"/>
      <w:lvlText w:val="o"/>
      <w:lvlJc w:val="left"/>
      <w:pPr>
        <w:ind w:left="5760" w:hanging="360"/>
      </w:pPr>
      <w:rPr>
        <w:rFonts w:ascii="Courier New" w:hAnsi="Courier New" w:hint="default"/>
      </w:rPr>
    </w:lvl>
    <w:lvl w:ilvl="8" w:tplc="3FFADDC4">
      <w:start w:val="1"/>
      <w:numFmt w:val="bullet"/>
      <w:lvlText w:val=""/>
      <w:lvlJc w:val="left"/>
      <w:pPr>
        <w:ind w:left="6480" w:hanging="360"/>
      </w:pPr>
      <w:rPr>
        <w:rFonts w:ascii="Wingdings" w:hAnsi="Wingdings" w:hint="default"/>
      </w:rPr>
    </w:lvl>
  </w:abstractNum>
  <w:abstractNum w:abstractNumId="1" w15:restartNumberingAfterBreak="0">
    <w:nsid w:val="123D2261"/>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AC35234"/>
    <w:multiLevelType w:val="hybridMultilevel"/>
    <w:tmpl w:val="C9B84288"/>
    <w:lvl w:ilvl="0" w:tplc="D63693FC">
      <w:start w:val="1"/>
      <w:numFmt w:val="bullet"/>
      <w:lvlText w:val="-"/>
      <w:lvlJc w:val="left"/>
      <w:pPr>
        <w:ind w:left="108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D862167"/>
    <w:multiLevelType w:val="multilevel"/>
    <w:tmpl w:val="FFFFFFFF"/>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4" w15:restartNumberingAfterBreak="0">
    <w:nsid w:val="21B13E5F"/>
    <w:multiLevelType w:val="hybridMultilevel"/>
    <w:tmpl w:val="1EDE7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356490D"/>
    <w:multiLevelType w:val="hybridMultilevel"/>
    <w:tmpl w:val="90A452C8"/>
    <w:lvl w:ilvl="0" w:tplc="D63693FC">
      <w:start w:val="1"/>
      <w:numFmt w:val="bullet"/>
      <w:lvlText w:val="-"/>
      <w:lvlJc w:val="left"/>
      <w:pPr>
        <w:ind w:left="108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87063C7"/>
    <w:multiLevelType w:val="multilevel"/>
    <w:tmpl w:val="FFFFFFFF"/>
    <w:lvl w:ilvl="0">
      <w:start w:val="3"/>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7" w15:restartNumberingAfterBreak="0">
    <w:nsid w:val="2C12A8B1"/>
    <w:multiLevelType w:val="hybridMultilevel"/>
    <w:tmpl w:val="FFFFFFFF"/>
    <w:lvl w:ilvl="0" w:tplc="ADA042A8">
      <w:start w:val="1"/>
      <w:numFmt w:val="bullet"/>
      <w:lvlText w:val=""/>
      <w:lvlJc w:val="left"/>
      <w:pPr>
        <w:ind w:left="855" w:hanging="360"/>
      </w:pPr>
      <w:rPr>
        <w:rFonts w:ascii="Symbol" w:hAnsi="Symbol" w:hint="default"/>
      </w:rPr>
    </w:lvl>
    <w:lvl w:ilvl="1" w:tplc="B3D8DE5C">
      <w:start w:val="1"/>
      <w:numFmt w:val="bullet"/>
      <w:lvlText w:val="o"/>
      <w:lvlJc w:val="left"/>
      <w:pPr>
        <w:ind w:left="1440" w:hanging="360"/>
      </w:pPr>
      <w:rPr>
        <w:rFonts w:ascii="Courier New" w:hAnsi="Courier New" w:hint="default"/>
      </w:rPr>
    </w:lvl>
    <w:lvl w:ilvl="2" w:tplc="EB966FB2">
      <w:start w:val="1"/>
      <w:numFmt w:val="bullet"/>
      <w:lvlText w:val=""/>
      <w:lvlJc w:val="left"/>
      <w:pPr>
        <w:ind w:left="2160" w:hanging="360"/>
      </w:pPr>
      <w:rPr>
        <w:rFonts w:ascii="Wingdings" w:hAnsi="Wingdings" w:hint="default"/>
      </w:rPr>
    </w:lvl>
    <w:lvl w:ilvl="3" w:tplc="8A26432C">
      <w:start w:val="1"/>
      <w:numFmt w:val="bullet"/>
      <w:lvlText w:val=""/>
      <w:lvlJc w:val="left"/>
      <w:pPr>
        <w:ind w:left="2880" w:hanging="360"/>
      </w:pPr>
      <w:rPr>
        <w:rFonts w:ascii="Symbol" w:hAnsi="Symbol" w:hint="default"/>
      </w:rPr>
    </w:lvl>
    <w:lvl w:ilvl="4" w:tplc="663A5348">
      <w:start w:val="1"/>
      <w:numFmt w:val="bullet"/>
      <w:lvlText w:val="o"/>
      <w:lvlJc w:val="left"/>
      <w:pPr>
        <w:ind w:left="3600" w:hanging="360"/>
      </w:pPr>
      <w:rPr>
        <w:rFonts w:ascii="Courier New" w:hAnsi="Courier New" w:hint="default"/>
      </w:rPr>
    </w:lvl>
    <w:lvl w:ilvl="5" w:tplc="6C0EDF9E">
      <w:start w:val="1"/>
      <w:numFmt w:val="bullet"/>
      <w:lvlText w:val=""/>
      <w:lvlJc w:val="left"/>
      <w:pPr>
        <w:ind w:left="4320" w:hanging="360"/>
      </w:pPr>
      <w:rPr>
        <w:rFonts w:ascii="Wingdings" w:hAnsi="Wingdings" w:hint="default"/>
      </w:rPr>
    </w:lvl>
    <w:lvl w:ilvl="6" w:tplc="3ACADAFC">
      <w:start w:val="1"/>
      <w:numFmt w:val="bullet"/>
      <w:lvlText w:val=""/>
      <w:lvlJc w:val="left"/>
      <w:pPr>
        <w:ind w:left="5040" w:hanging="360"/>
      </w:pPr>
      <w:rPr>
        <w:rFonts w:ascii="Symbol" w:hAnsi="Symbol" w:hint="default"/>
      </w:rPr>
    </w:lvl>
    <w:lvl w:ilvl="7" w:tplc="93B0552C">
      <w:start w:val="1"/>
      <w:numFmt w:val="bullet"/>
      <w:lvlText w:val="o"/>
      <w:lvlJc w:val="left"/>
      <w:pPr>
        <w:ind w:left="5760" w:hanging="360"/>
      </w:pPr>
      <w:rPr>
        <w:rFonts w:ascii="Courier New" w:hAnsi="Courier New" w:hint="default"/>
      </w:rPr>
    </w:lvl>
    <w:lvl w:ilvl="8" w:tplc="F61657F4">
      <w:start w:val="1"/>
      <w:numFmt w:val="bullet"/>
      <w:lvlText w:val=""/>
      <w:lvlJc w:val="left"/>
      <w:pPr>
        <w:ind w:left="6480" w:hanging="360"/>
      </w:pPr>
      <w:rPr>
        <w:rFonts w:ascii="Wingdings" w:hAnsi="Wingdings" w:hint="default"/>
      </w:rPr>
    </w:lvl>
  </w:abstractNum>
  <w:abstractNum w:abstractNumId="8" w15:restartNumberingAfterBreak="0">
    <w:nsid w:val="31774C53"/>
    <w:multiLevelType w:val="multilevel"/>
    <w:tmpl w:val="FFFFFFFF"/>
    <w:lvl w:ilvl="0">
      <w:start w:val="4"/>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9" w15:restartNumberingAfterBreak="0">
    <w:nsid w:val="345426D5"/>
    <w:multiLevelType w:val="hybridMultilevel"/>
    <w:tmpl w:val="0ABA0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107FBA"/>
    <w:multiLevelType w:val="hybridMultilevel"/>
    <w:tmpl w:val="BD563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8C445E"/>
    <w:multiLevelType w:val="multilevel"/>
    <w:tmpl w:val="FFFFFFFF"/>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10B1514"/>
    <w:multiLevelType w:val="multilevel"/>
    <w:tmpl w:val="FFFFFFFF"/>
    <w:lvl w:ilvl="0">
      <w:start w:val="2"/>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3" w15:restartNumberingAfterBreak="0">
    <w:nsid w:val="42046341"/>
    <w:multiLevelType w:val="hybridMultilevel"/>
    <w:tmpl w:val="126E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A9E51D"/>
    <w:multiLevelType w:val="multilevel"/>
    <w:tmpl w:val="FFFFFFFF"/>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4467EE2"/>
    <w:multiLevelType w:val="hybridMultilevel"/>
    <w:tmpl w:val="148C98AA"/>
    <w:lvl w:ilvl="0" w:tplc="D63693FC">
      <w:start w:val="1"/>
      <w:numFmt w:val="bullet"/>
      <w:lvlText w:val="-"/>
      <w:lvlJc w:val="left"/>
      <w:pPr>
        <w:ind w:left="1080" w:hanging="360"/>
      </w:pPr>
      <w:rPr>
        <w:rFonts w:ascii="Courier New" w:hAnsi="Courier New" w:hint="default"/>
      </w:rPr>
    </w:lvl>
    <w:lvl w:ilvl="1" w:tplc="D63693FC">
      <w:start w:val="1"/>
      <w:numFmt w:val="bullet"/>
      <w:lvlText w:val="-"/>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6F97A37"/>
    <w:multiLevelType w:val="hybridMultilevel"/>
    <w:tmpl w:val="B3068798"/>
    <w:lvl w:ilvl="0" w:tplc="D63693FC">
      <w:start w:val="1"/>
      <w:numFmt w:val="bullet"/>
      <w:lvlText w:val="-"/>
      <w:lvlJc w:val="left"/>
      <w:pPr>
        <w:ind w:left="108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2001B62"/>
    <w:multiLevelType w:val="hybridMultilevel"/>
    <w:tmpl w:val="735AD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C8E66B"/>
    <w:multiLevelType w:val="multilevel"/>
    <w:tmpl w:val="FFFFFFFF"/>
    <w:lvl w:ilvl="0">
      <w:start w:val="4"/>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0B659C7"/>
    <w:multiLevelType w:val="hybridMultilevel"/>
    <w:tmpl w:val="FFFFFFFF"/>
    <w:lvl w:ilvl="0" w:tplc="5852A780">
      <w:start w:val="1"/>
      <w:numFmt w:val="bullet"/>
      <w:lvlText w:val=""/>
      <w:lvlJc w:val="left"/>
      <w:pPr>
        <w:ind w:left="720" w:hanging="360"/>
      </w:pPr>
      <w:rPr>
        <w:rFonts w:ascii="Symbol" w:hAnsi="Symbol" w:hint="default"/>
      </w:rPr>
    </w:lvl>
    <w:lvl w:ilvl="1" w:tplc="83469120">
      <w:start w:val="1"/>
      <w:numFmt w:val="bullet"/>
      <w:lvlText w:val="o"/>
      <w:lvlJc w:val="left"/>
      <w:pPr>
        <w:ind w:left="1009" w:hanging="363"/>
      </w:pPr>
      <w:rPr>
        <w:rFonts w:ascii="Courier New" w:hAnsi="Courier New" w:hint="default"/>
      </w:rPr>
    </w:lvl>
    <w:lvl w:ilvl="2" w:tplc="09E026D8">
      <w:start w:val="1"/>
      <w:numFmt w:val="bullet"/>
      <w:lvlText w:val=""/>
      <w:lvlJc w:val="left"/>
      <w:pPr>
        <w:ind w:left="2160" w:hanging="360"/>
      </w:pPr>
      <w:rPr>
        <w:rFonts w:ascii="Wingdings" w:hAnsi="Wingdings" w:hint="default"/>
      </w:rPr>
    </w:lvl>
    <w:lvl w:ilvl="3" w:tplc="A26A6ADA">
      <w:start w:val="1"/>
      <w:numFmt w:val="bullet"/>
      <w:lvlText w:val=""/>
      <w:lvlJc w:val="left"/>
      <w:pPr>
        <w:ind w:left="2880" w:hanging="360"/>
      </w:pPr>
      <w:rPr>
        <w:rFonts w:ascii="Symbol" w:hAnsi="Symbol" w:hint="default"/>
      </w:rPr>
    </w:lvl>
    <w:lvl w:ilvl="4" w:tplc="A2865FF8">
      <w:start w:val="1"/>
      <w:numFmt w:val="bullet"/>
      <w:lvlText w:val="o"/>
      <w:lvlJc w:val="left"/>
      <w:pPr>
        <w:ind w:left="3600" w:hanging="360"/>
      </w:pPr>
      <w:rPr>
        <w:rFonts w:ascii="Courier New" w:hAnsi="Courier New" w:hint="default"/>
      </w:rPr>
    </w:lvl>
    <w:lvl w:ilvl="5" w:tplc="47060242">
      <w:start w:val="1"/>
      <w:numFmt w:val="bullet"/>
      <w:lvlText w:val=""/>
      <w:lvlJc w:val="left"/>
      <w:pPr>
        <w:ind w:left="4320" w:hanging="360"/>
      </w:pPr>
      <w:rPr>
        <w:rFonts w:ascii="Wingdings" w:hAnsi="Wingdings" w:hint="default"/>
      </w:rPr>
    </w:lvl>
    <w:lvl w:ilvl="6" w:tplc="F97E15C2">
      <w:start w:val="1"/>
      <w:numFmt w:val="bullet"/>
      <w:lvlText w:val=""/>
      <w:lvlJc w:val="left"/>
      <w:pPr>
        <w:ind w:left="5040" w:hanging="360"/>
      </w:pPr>
      <w:rPr>
        <w:rFonts w:ascii="Symbol" w:hAnsi="Symbol" w:hint="default"/>
      </w:rPr>
    </w:lvl>
    <w:lvl w:ilvl="7" w:tplc="2280FEEC">
      <w:start w:val="1"/>
      <w:numFmt w:val="bullet"/>
      <w:lvlText w:val="o"/>
      <w:lvlJc w:val="left"/>
      <w:pPr>
        <w:ind w:left="5760" w:hanging="360"/>
      </w:pPr>
      <w:rPr>
        <w:rFonts w:ascii="Courier New" w:hAnsi="Courier New" w:hint="default"/>
      </w:rPr>
    </w:lvl>
    <w:lvl w:ilvl="8" w:tplc="2B76BFF8">
      <w:start w:val="1"/>
      <w:numFmt w:val="bullet"/>
      <w:lvlText w:val=""/>
      <w:lvlJc w:val="left"/>
      <w:pPr>
        <w:ind w:left="6480" w:hanging="360"/>
      </w:pPr>
      <w:rPr>
        <w:rFonts w:ascii="Wingdings" w:hAnsi="Wingdings" w:hint="default"/>
      </w:rPr>
    </w:lvl>
  </w:abstractNum>
  <w:abstractNum w:abstractNumId="20" w15:restartNumberingAfterBreak="0">
    <w:nsid w:val="7346855F"/>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4897BFB"/>
    <w:multiLevelType w:val="hybridMultilevel"/>
    <w:tmpl w:val="22C8A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397702">
    <w:abstractNumId w:val="0"/>
  </w:num>
  <w:num w:numId="2" w16cid:durableId="1315063852">
    <w:abstractNumId w:val="7"/>
  </w:num>
  <w:num w:numId="3" w16cid:durableId="910627168">
    <w:abstractNumId w:val="18"/>
  </w:num>
  <w:num w:numId="4" w16cid:durableId="1441491218">
    <w:abstractNumId w:val="11"/>
  </w:num>
  <w:num w:numId="5" w16cid:durableId="1547137026">
    <w:abstractNumId w:val="14"/>
  </w:num>
  <w:num w:numId="6" w16cid:durableId="1776631928">
    <w:abstractNumId w:val="1"/>
  </w:num>
  <w:num w:numId="7" w16cid:durableId="1851338002">
    <w:abstractNumId w:val="19"/>
  </w:num>
  <w:num w:numId="8" w16cid:durableId="1602643484">
    <w:abstractNumId w:val="8"/>
  </w:num>
  <w:num w:numId="9" w16cid:durableId="476263862">
    <w:abstractNumId w:val="6"/>
  </w:num>
  <w:num w:numId="10" w16cid:durableId="497574361">
    <w:abstractNumId w:val="12"/>
  </w:num>
  <w:num w:numId="11" w16cid:durableId="1510872749">
    <w:abstractNumId w:val="3"/>
  </w:num>
  <w:num w:numId="12" w16cid:durableId="1598714425">
    <w:abstractNumId w:val="20"/>
  </w:num>
  <w:num w:numId="13" w16cid:durableId="1048920116">
    <w:abstractNumId w:val="4"/>
  </w:num>
  <w:num w:numId="14" w16cid:durableId="714812672">
    <w:abstractNumId w:val="17"/>
  </w:num>
  <w:num w:numId="15" w16cid:durableId="748505300">
    <w:abstractNumId w:val="9"/>
  </w:num>
  <w:num w:numId="16" w16cid:durableId="1302731980">
    <w:abstractNumId w:val="16"/>
  </w:num>
  <w:num w:numId="17" w16cid:durableId="554388160">
    <w:abstractNumId w:val="5"/>
  </w:num>
  <w:num w:numId="18" w16cid:durableId="1329014394">
    <w:abstractNumId w:val="2"/>
  </w:num>
  <w:num w:numId="19" w16cid:durableId="611786646">
    <w:abstractNumId w:val="15"/>
  </w:num>
  <w:num w:numId="20" w16cid:durableId="1083912373">
    <w:abstractNumId w:val="13"/>
  </w:num>
  <w:num w:numId="21" w16cid:durableId="1737167799">
    <w:abstractNumId w:val="10"/>
  </w:num>
  <w:num w:numId="22" w16cid:durableId="9952307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2C"/>
    <w:rsid w:val="0000238C"/>
    <w:rsid w:val="00004515"/>
    <w:rsid w:val="00004EA4"/>
    <w:rsid w:val="00007CB9"/>
    <w:rsid w:val="00012100"/>
    <w:rsid w:val="00017A21"/>
    <w:rsid w:val="000208A6"/>
    <w:rsid w:val="0002157B"/>
    <w:rsid w:val="00023069"/>
    <w:rsid w:val="000235CD"/>
    <w:rsid w:val="00023F83"/>
    <w:rsid w:val="00024E16"/>
    <w:rsid w:val="00031487"/>
    <w:rsid w:val="00042519"/>
    <w:rsid w:val="00042595"/>
    <w:rsid w:val="000425EB"/>
    <w:rsid w:val="00042CDC"/>
    <w:rsid w:val="00042E0B"/>
    <w:rsid w:val="0004341F"/>
    <w:rsid w:val="0004490F"/>
    <w:rsid w:val="00044D2B"/>
    <w:rsid w:val="00053A60"/>
    <w:rsid w:val="00053BB3"/>
    <w:rsid w:val="00054DE7"/>
    <w:rsid w:val="000630C0"/>
    <w:rsid w:val="00071640"/>
    <w:rsid w:val="0007618A"/>
    <w:rsid w:val="00080399"/>
    <w:rsid w:val="00080C85"/>
    <w:rsid w:val="00080D95"/>
    <w:rsid w:val="0008189F"/>
    <w:rsid w:val="00083E43"/>
    <w:rsid w:val="00087D12"/>
    <w:rsid w:val="00090217"/>
    <w:rsid w:val="000917DF"/>
    <w:rsid w:val="0009259F"/>
    <w:rsid w:val="000957BA"/>
    <w:rsid w:val="00096598"/>
    <w:rsid w:val="000976C7"/>
    <w:rsid w:val="000A4120"/>
    <w:rsid w:val="000A5D80"/>
    <w:rsid w:val="000B07E4"/>
    <w:rsid w:val="000B5A29"/>
    <w:rsid w:val="000C2610"/>
    <w:rsid w:val="000C2765"/>
    <w:rsid w:val="000D14B2"/>
    <w:rsid w:val="000D37E9"/>
    <w:rsid w:val="000D47D2"/>
    <w:rsid w:val="000D56AE"/>
    <w:rsid w:val="000D5A26"/>
    <w:rsid w:val="000D74D0"/>
    <w:rsid w:val="000E0E81"/>
    <w:rsid w:val="000E70A2"/>
    <w:rsid w:val="000F19B0"/>
    <w:rsid w:val="000F41D9"/>
    <w:rsid w:val="001012DB"/>
    <w:rsid w:val="00106EED"/>
    <w:rsid w:val="00112E33"/>
    <w:rsid w:val="00114D34"/>
    <w:rsid w:val="00116D0F"/>
    <w:rsid w:val="001241E8"/>
    <w:rsid w:val="00125931"/>
    <w:rsid w:val="001265B0"/>
    <w:rsid w:val="0013079A"/>
    <w:rsid w:val="0013302F"/>
    <w:rsid w:val="001330CE"/>
    <w:rsid w:val="00133326"/>
    <w:rsid w:val="00134C86"/>
    <w:rsid w:val="001356EA"/>
    <w:rsid w:val="00136A58"/>
    <w:rsid w:val="00142284"/>
    <w:rsid w:val="00142D59"/>
    <w:rsid w:val="00151338"/>
    <w:rsid w:val="00152714"/>
    <w:rsid w:val="001527A7"/>
    <w:rsid w:val="00154BAB"/>
    <w:rsid w:val="0016149B"/>
    <w:rsid w:val="00163381"/>
    <w:rsid w:val="00164467"/>
    <w:rsid w:val="0016455E"/>
    <w:rsid w:val="00165BDC"/>
    <w:rsid w:val="00172753"/>
    <w:rsid w:val="00172CAA"/>
    <w:rsid w:val="0017473A"/>
    <w:rsid w:val="00174D01"/>
    <w:rsid w:val="001757F1"/>
    <w:rsid w:val="0018285E"/>
    <w:rsid w:val="00196F42"/>
    <w:rsid w:val="001A1D1B"/>
    <w:rsid w:val="001A4AA4"/>
    <w:rsid w:val="001B12D9"/>
    <w:rsid w:val="001B14BA"/>
    <w:rsid w:val="001B2832"/>
    <w:rsid w:val="001B2A94"/>
    <w:rsid w:val="001C380A"/>
    <w:rsid w:val="001C6CE4"/>
    <w:rsid w:val="001C7810"/>
    <w:rsid w:val="001C7B32"/>
    <w:rsid w:val="001D25F4"/>
    <w:rsid w:val="001D4CDB"/>
    <w:rsid w:val="001E3D07"/>
    <w:rsid w:val="001E4F16"/>
    <w:rsid w:val="001E6E88"/>
    <w:rsid w:val="001F0C7B"/>
    <w:rsid w:val="001F2F19"/>
    <w:rsid w:val="001F4B4F"/>
    <w:rsid w:val="00201EE4"/>
    <w:rsid w:val="00205F68"/>
    <w:rsid w:val="0020620A"/>
    <w:rsid w:val="002111CE"/>
    <w:rsid w:val="0022056D"/>
    <w:rsid w:val="00221A62"/>
    <w:rsid w:val="00225D4D"/>
    <w:rsid w:val="00226531"/>
    <w:rsid w:val="00230B3B"/>
    <w:rsid w:val="00234902"/>
    <w:rsid w:val="00240237"/>
    <w:rsid w:val="002408B0"/>
    <w:rsid w:val="0024598E"/>
    <w:rsid w:val="0025055E"/>
    <w:rsid w:val="00262184"/>
    <w:rsid w:val="00265CB3"/>
    <w:rsid w:val="00271005"/>
    <w:rsid w:val="00272DAF"/>
    <w:rsid w:val="00272DF1"/>
    <w:rsid w:val="00274F9A"/>
    <w:rsid w:val="00275237"/>
    <w:rsid w:val="002763E6"/>
    <w:rsid w:val="00276517"/>
    <w:rsid w:val="002765E9"/>
    <w:rsid w:val="00277AD2"/>
    <w:rsid w:val="00277DDE"/>
    <w:rsid w:val="00281BC4"/>
    <w:rsid w:val="00285C57"/>
    <w:rsid w:val="00285E32"/>
    <w:rsid w:val="00292068"/>
    <w:rsid w:val="00292560"/>
    <w:rsid w:val="0029494A"/>
    <w:rsid w:val="002965A6"/>
    <w:rsid w:val="002A1F80"/>
    <w:rsid w:val="002A6E60"/>
    <w:rsid w:val="002B11DA"/>
    <w:rsid w:val="002B4954"/>
    <w:rsid w:val="002C1DB3"/>
    <w:rsid w:val="002C51D2"/>
    <w:rsid w:val="002C7238"/>
    <w:rsid w:val="002D09A5"/>
    <w:rsid w:val="002D09EC"/>
    <w:rsid w:val="002D227C"/>
    <w:rsid w:val="002D5062"/>
    <w:rsid w:val="002E2CB4"/>
    <w:rsid w:val="002E34F8"/>
    <w:rsid w:val="002E3EA6"/>
    <w:rsid w:val="002E47F9"/>
    <w:rsid w:val="002E7988"/>
    <w:rsid w:val="002F238A"/>
    <w:rsid w:val="002F62C0"/>
    <w:rsid w:val="002F7768"/>
    <w:rsid w:val="0030176F"/>
    <w:rsid w:val="00301907"/>
    <w:rsid w:val="00303B33"/>
    <w:rsid w:val="00314C6B"/>
    <w:rsid w:val="00317176"/>
    <w:rsid w:val="00321EB1"/>
    <w:rsid w:val="003220EB"/>
    <w:rsid w:val="00324D05"/>
    <w:rsid w:val="00330B59"/>
    <w:rsid w:val="00333638"/>
    <w:rsid w:val="00333657"/>
    <w:rsid w:val="00333725"/>
    <w:rsid w:val="00336D92"/>
    <w:rsid w:val="00341B21"/>
    <w:rsid w:val="0034333A"/>
    <w:rsid w:val="00346ABA"/>
    <w:rsid w:val="00351576"/>
    <w:rsid w:val="003548CD"/>
    <w:rsid w:val="003604A1"/>
    <w:rsid w:val="003703C9"/>
    <w:rsid w:val="00376877"/>
    <w:rsid w:val="003771FF"/>
    <w:rsid w:val="00382E5D"/>
    <w:rsid w:val="003839D2"/>
    <w:rsid w:val="00386DFC"/>
    <w:rsid w:val="0038778D"/>
    <w:rsid w:val="0039458C"/>
    <w:rsid w:val="003946DF"/>
    <w:rsid w:val="003953D8"/>
    <w:rsid w:val="00397BEF"/>
    <w:rsid w:val="003A1454"/>
    <w:rsid w:val="003A4191"/>
    <w:rsid w:val="003A5F0C"/>
    <w:rsid w:val="003B0E1B"/>
    <w:rsid w:val="003B21B0"/>
    <w:rsid w:val="003B2D27"/>
    <w:rsid w:val="003B681F"/>
    <w:rsid w:val="003C071B"/>
    <w:rsid w:val="003C1077"/>
    <w:rsid w:val="003C36D6"/>
    <w:rsid w:val="003D222C"/>
    <w:rsid w:val="003E2B32"/>
    <w:rsid w:val="003E37BB"/>
    <w:rsid w:val="003E6789"/>
    <w:rsid w:val="003F3586"/>
    <w:rsid w:val="003F6641"/>
    <w:rsid w:val="00401217"/>
    <w:rsid w:val="00402699"/>
    <w:rsid w:val="0040589C"/>
    <w:rsid w:val="00413E1E"/>
    <w:rsid w:val="0041782D"/>
    <w:rsid w:val="0042520A"/>
    <w:rsid w:val="00425E65"/>
    <w:rsid w:val="004265F5"/>
    <w:rsid w:val="004270CA"/>
    <w:rsid w:val="00427F4A"/>
    <w:rsid w:val="004319A3"/>
    <w:rsid w:val="00431FA3"/>
    <w:rsid w:val="004372FC"/>
    <w:rsid w:val="0043792C"/>
    <w:rsid w:val="00442F43"/>
    <w:rsid w:val="004467DE"/>
    <w:rsid w:val="00451FC3"/>
    <w:rsid w:val="00454F33"/>
    <w:rsid w:val="00455EAD"/>
    <w:rsid w:val="00456541"/>
    <w:rsid w:val="00460BF4"/>
    <w:rsid w:val="00463B74"/>
    <w:rsid w:val="00465E32"/>
    <w:rsid w:val="004674E7"/>
    <w:rsid w:val="00471F23"/>
    <w:rsid w:val="00472DAC"/>
    <w:rsid w:val="0048093A"/>
    <w:rsid w:val="00482A5E"/>
    <w:rsid w:val="00494DDF"/>
    <w:rsid w:val="00495286"/>
    <w:rsid w:val="00497D69"/>
    <w:rsid w:val="004A367B"/>
    <w:rsid w:val="004A4817"/>
    <w:rsid w:val="004A60B8"/>
    <w:rsid w:val="004A7090"/>
    <w:rsid w:val="004B6B16"/>
    <w:rsid w:val="004C134B"/>
    <w:rsid w:val="004C6F04"/>
    <w:rsid w:val="004C7115"/>
    <w:rsid w:val="004D060F"/>
    <w:rsid w:val="004D2202"/>
    <w:rsid w:val="004D2FC0"/>
    <w:rsid w:val="004D3CCC"/>
    <w:rsid w:val="004D5FD0"/>
    <w:rsid w:val="004D5FD5"/>
    <w:rsid w:val="004E106C"/>
    <w:rsid w:val="004E5579"/>
    <w:rsid w:val="004E58C7"/>
    <w:rsid w:val="004E5D8A"/>
    <w:rsid w:val="004E6541"/>
    <w:rsid w:val="004F62F8"/>
    <w:rsid w:val="005015A8"/>
    <w:rsid w:val="00502AA3"/>
    <w:rsid w:val="00504998"/>
    <w:rsid w:val="00506BA7"/>
    <w:rsid w:val="00511364"/>
    <w:rsid w:val="005150E9"/>
    <w:rsid w:val="00516AE5"/>
    <w:rsid w:val="00520EA4"/>
    <w:rsid w:val="00523527"/>
    <w:rsid w:val="00524554"/>
    <w:rsid w:val="0052670D"/>
    <w:rsid w:val="005378DE"/>
    <w:rsid w:val="00542ED5"/>
    <w:rsid w:val="00545149"/>
    <w:rsid w:val="00546684"/>
    <w:rsid w:val="00547D1F"/>
    <w:rsid w:val="005506F0"/>
    <w:rsid w:val="00551B61"/>
    <w:rsid w:val="00553DAA"/>
    <w:rsid w:val="00560526"/>
    <w:rsid w:val="00565CFB"/>
    <w:rsid w:val="0056692D"/>
    <w:rsid w:val="00566BF0"/>
    <w:rsid w:val="00570ED6"/>
    <w:rsid w:val="005724CF"/>
    <w:rsid w:val="0057533F"/>
    <w:rsid w:val="00592745"/>
    <w:rsid w:val="00592E39"/>
    <w:rsid w:val="005938E9"/>
    <w:rsid w:val="005939B1"/>
    <w:rsid w:val="00594299"/>
    <w:rsid w:val="005956F6"/>
    <w:rsid w:val="00596FD4"/>
    <w:rsid w:val="005A226C"/>
    <w:rsid w:val="005A273A"/>
    <w:rsid w:val="005A72B9"/>
    <w:rsid w:val="005A7460"/>
    <w:rsid w:val="005A7D73"/>
    <w:rsid w:val="005A7E49"/>
    <w:rsid w:val="005B0586"/>
    <w:rsid w:val="005B191D"/>
    <w:rsid w:val="005B2472"/>
    <w:rsid w:val="005B3EE8"/>
    <w:rsid w:val="005C0081"/>
    <w:rsid w:val="005C2CD1"/>
    <w:rsid w:val="005C33CD"/>
    <w:rsid w:val="005C3E6D"/>
    <w:rsid w:val="005C4514"/>
    <w:rsid w:val="005C7E58"/>
    <w:rsid w:val="005D0D30"/>
    <w:rsid w:val="005D13F9"/>
    <w:rsid w:val="005D34A2"/>
    <w:rsid w:val="005D69F8"/>
    <w:rsid w:val="005E3663"/>
    <w:rsid w:val="005E4CFD"/>
    <w:rsid w:val="005E7765"/>
    <w:rsid w:val="005F02BC"/>
    <w:rsid w:val="005F2FB9"/>
    <w:rsid w:val="005F46FD"/>
    <w:rsid w:val="005F732F"/>
    <w:rsid w:val="00602756"/>
    <w:rsid w:val="006053AE"/>
    <w:rsid w:val="00611197"/>
    <w:rsid w:val="00612E9D"/>
    <w:rsid w:val="00614870"/>
    <w:rsid w:val="00621165"/>
    <w:rsid w:val="00624CEF"/>
    <w:rsid w:val="00630533"/>
    <w:rsid w:val="00633718"/>
    <w:rsid w:val="0063379B"/>
    <w:rsid w:val="0063799D"/>
    <w:rsid w:val="00641CED"/>
    <w:rsid w:val="0064238D"/>
    <w:rsid w:val="00643946"/>
    <w:rsid w:val="006443AF"/>
    <w:rsid w:val="00647976"/>
    <w:rsid w:val="0066024F"/>
    <w:rsid w:val="00661DB2"/>
    <w:rsid w:val="00670978"/>
    <w:rsid w:val="00675D86"/>
    <w:rsid w:val="00677C9F"/>
    <w:rsid w:val="0068136E"/>
    <w:rsid w:val="00682382"/>
    <w:rsid w:val="00684787"/>
    <w:rsid w:val="00684D59"/>
    <w:rsid w:val="00690170"/>
    <w:rsid w:val="00691842"/>
    <w:rsid w:val="00692CEB"/>
    <w:rsid w:val="00693916"/>
    <w:rsid w:val="006A2798"/>
    <w:rsid w:val="006A6E7D"/>
    <w:rsid w:val="006A79E4"/>
    <w:rsid w:val="006B32D1"/>
    <w:rsid w:val="006C063C"/>
    <w:rsid w:val="006C516E"/>
    <w:rsid w:val="006C6CC0"/>
    <w:rsid w:val="006C6DAB"/>
    <w:rsid w:val="006D190D"/>
    <w:rsid w:val="006D3D53"/>
    <w:rsid w:val="006D62BB"/>
    <w:rsid w:val="006D77C8"/>
    <w:rsid w:val="006DF0B8"/>
    <w:rsid w:val="006E129E"/>
    <w:rsid w:val="006E3A30"/>
    <w:rsid w:val="006E7132"/>
    <w:rsid w:val="006F18C6"/>
    <w:rsid w:val="00702AD4"/>
    <w:rsid w:val="0070781E"/>
    <w:rsid w:val="007127B3"/>
    <w:rsid w:val="007235DD"/>
    <w:rsid w:val="00725093"/>
    <w:rsid w:val="00731ED7"/>
    <w:rsid w:val="00734B0D"/>
    <w:rsid w:val="00735E7A"/>
    <w:rsid w:val="00740805"/>
    <w:rsid w:val="00742D60"/>
    <w:rsid w:val="00744C85"/>
    <w:rsid w:val="007450F5"/>
    <w:rsid w:val="00746671"/>
    <w:rsid w:val="007475BA"/>
    <w:rsid w:val="00750F3E"/>
    <w:rsid w:val="00752D53"/>
    <w:rsid w:val="007530EA"/>
    <w:rsid w:val="00753571"/>
    <w:rsid w:val="007548C5"/>
    <w:rsid w:val="00756424"/>
    <w:rsid w:val="007606B3"/>
    <w:rsid w:val="00760DDF"/>
    <w:rsid w:val="00763186"/>
    <w:rsid w:val="007632E2"/>
    <w:rsid w:val="00763744"/>
    <w:rsid w:val="00764C96"/>
    <w:rsid w:val="00765353"/>
    <w:rsid w:val="00767FF9"/>
    <w:rsid w:val="007721D1"/>
    <w:rsid w:val="00772C3A"/>
    <w:rsid w:val="00774FE6"/>
    <w:rsid w:val="00775B79"/>
    <w:rsid w:val="00777492"/>
    <w:rsid w:val="0077756C"/>
    <w:rsid w:val="00787B27"/>
    <w:rsid w:val="00792B52"/>
    <w:rsid w:val="007951BA"/>
    <w:rsid w:val="007A3325"/>
    <w:rsid w:val="007A5593"/>
    <w:rsid w:val="007B1BC1"/>
    <w:rsid w:val="007B2380"/>
    <w:rsid w:val="007B5B9B"/>
    <w:rsid w:val="007C0605"/>
    <w:rsid w:val="007C16AC"/>
    <w:rsid w:val="007C1877"/>
    <w:rsid w:val="007C4183"/>
    <w:rsid w:val="007C5A2D"/>
    <w:rsid w:val="007C6CE4"/>
    <w:rsid w:val="007D0FB0"/>
    <w:rsid w:val="007D1D64"/>
    <w:rsid w:val="007D6095"/>
    <w:rsid w:val="007D6C3D"/>
    <w:rsid w:val="007E3326"/>
    <w:rsid w:val="007E33B3"/>
    <w:rsid w:val="007E3F3C"/>
    <w:rsid w:val="007E677F"/>
    <w:rsid w:val="00807A14"/>
    <w:rsid w:val="00811A69"/>
    <w:rsid w:val="008232CD"/>
    <w:rsid w:val="00825F4F"/>
    <w:rsid w:val="00826C33"/>
    <w:rsid w:val="00830D08"/>
    <w:rsid w:val="00831358"/>
    <w:rsid w:val="00833E39"/>
    <w:rsid w:val="00841D56"/>
    <w:rsid w:val="00842C58"/>
    <w:rsid w:val="00843A63"/>
    <w:rsid w:val="008448DA"/>
    <w:rsid w:val="00844E1E"/>
    <w:rsid w:val="00851D17"/>
    <w:rsid w:val="00852202"/>
    <w:rsid w:val="008529C5"/>
    <w:rsid w:val="00854487"/>
    <w:rsid w:val="008545EA"/>
    <w:rsid w:val="00863243"/>
    <w:rsid w:val="0086548F"/>
    <w:rsid w:val="00865A3E"/>
    <w:rsid w:val="00865B2F"/>
    <w:rsid w:val="00871CE7"/>
    <w:rsid w:val="00872F0F"/>
    <w:rsid w:val="00875EEF"/>
    <w:rsid w:val="00876BEE"/>
    <w:rsid w:val="00885BB9"/>
    <w:rsid w:val="00890A23"/>
    <w:rsid w:val="00890E9F"/>
    <w:rsid w:val="00892459"/>
    <w:rsid w:val="00892627"/>
    <w:rsid w:val="00894DAE"/>
    <w:rsid w:val="0089618B"/>
    <w:rsid w:val="008A6076"/>
    <w:rsid w:val="008A7AEE"/>
    <w:rsid w:val="008B1D52"/>
    <w:rsid w:val="008C1833"/>
    <w:rsid w:val="008C1E01"/>
    <w:rsid w:val="008C25BD"/>
    <w:rsid w:val="008C3035"/>
    <w:rsid w:val="008C51FE"/>
    <w:rsid w:val="008C7043"/>
    <w:rsid w:val="008D05E5"/>
    <w:rsid w:val="008D3049"/>
    <w:rsid w:val="008D3D77"/>
    <w:rsid w:val="008E7842"/>
    <w:rsid w:val="008F24AA"/>
    <w:rsid w:val="008F29B8"/>
    <w:rsid w:val="008F2FE2"/>
    <w:rsid w:val="008F3CA1"/>
    <w:rsid w:val="008F4360"/>
    <w:rsid w:val="008F56A7"/>
    <w:rsid w:val="008F57B0"/>
    <w:rsid w:val="008F5D38"/>
    <w:rsid w:val="008F7BBE"/>
    <w:rsid w:val="00900400"/>
    <w:rsid w:val="00906A6B"/>
    <w:rsid w:val="00912C03"/>
    <w:rsid w:val="00912C58"/>
    <w:rsid w:val="00914989"/>
    <w:rsid w:val="00920D19"/>
    <w:rsid w:val="009218DF"/>
    <w:rsid w:val="009351E1"/>
    <w:rsid w:val="0094154F"/>
    <w:rsid w:val="00944256"/>
    <w:rsid w:val="00945233"/>
    <w:rsid w:val="00950BC6"/>
    <w:rsid w:val="00953846"/>
    <w:rsid w:val="00964968"/>
    <w:rsid w:val="00966FE4"/>
    <w:rsid w:val="00972258"/>
    <w:rsid w:val="00972D00"/>
    <w:rsid w:val="00975DCB"/>
    <w:rsid w:val="00980883"/>
    <w:rsid w:val="0098153F"/>
    <w:rsid w:val="00984441"/>
    <w:rsid w:val="009952DF"/>
    <w:rsid w:val="009958A1"/>
    <w:rsid w:val="00995F8D"/>
    <w:rsid w:val="009A2822"/>
    <w:rsid w:val="009A5B7B"/>
    <w:rsid w:val="009A5DC8"/>
    <w:rsid w:val="009A7D7F"/>
    <w:rsid w:val="009B1315"/>
    <w:rsid w:val="009C04FC"/>
    <w:rsid w:val="009C398B"/>
    <w:rsid w:val="009D203F"/>
    <w:rsid w:val="009D28E4"/>
    <w:rsid w:val="009E0664"/>
    <w:rsid w:val="009E1EAF"/>
    <w:rsid w:val="009E3F6E"/>
    <w:rsid w:val="009E520E"/>
    <w:rsid w:val="009F0E6A"/>
    <w:rsid w:val="009F2B05"/>
    <w:rsid w:val="009F3C86"/>
    <w:rsid w:val="009F6008"/>
    <w:rsid w:val="009F70F0"/>
    <w:rsid w:val="00A00F6B"/>
    <w:rsid w:val="00A04016"/>
    <w:rsid w:val="00A10BDB"/>
    <w:rsid w:val="00A2116E"/>
    <w:rsid w:val="00A219E8"/>
    <w:rsid w:val="00A25255"/>
    <w:rsid w:val="00A26A74"/>
    <w:rsid w:val="00A272BF"/>
    <w:rsid w:val="00A322AE"/>
    <w:rsid w:val="00A33398"/>
    <w:rsid w:val="00A41585"/>
    <w:rsid w:val="00A5180E"/>
    <w:rsid w:val="00A52859"/>
    <w:rsid w:val="00A55810"/>
    <w:rsid w:val="00A62D44"/>
    <w:rsid w:val="00A70812"/>
    <w:rsid w:val="00A70DA9"/>
    <w:rsid w:val="00A7122A"/>
    <w:rsid w:val="00A712B0"/>
    <w:rsid w:val="00A714E8"/>
    <w:rsid w:val="00A74F33"/>
    <w:rsid w:val="00A77681"/>
    <w:rsid w:val="00A86616"/>
    <w:rsid w:val="00A87B8B"/>
    <w:rsid w:val="00A90165"/>
    <w:rsid w:val="00A907EF"/>
    <w:rsid w:val="00A90DDD"/>
    <w:rsid w:val="00A91545"/>
    <w:rsid w:val="00A92073"/>
    <w:rsid w:val="00A95D0D"/>
    <w:rsid w:val="00AA64A2"/>
    <w:rsid w:val="00AA718D"/>
    <w:rsid w:val="00AB63CB"/>
    <w:rsid w:val="00AC0A5F"/>
    <w:rsid w:val="00AC11A5"/>
    <w:rsid w:val="00AC41A6"/>
    <w:rsid w:val="00AC6014"/>
    <w:rsid w:val="00AD1CF5"/>
    <w:rsid w:val="00AD26E9"/>
    <w:rsid w:val="00AD2E36"/>
    <w:rsid w:val="00AD3F22"/>
    <w:rsid w:val="00AD50F1"/>
    <w:rsid w:val="00AE31EC"/>
    <w:rsid w:val="00AE4FF6"/>
    <w:rsid w:val="00AF1FFA"/>
    <w:rsid w:val="00AF532B"/>
    <w:rsid w:val="00AF5A13"/>
    <w:rsid w:val="00AF6A60"/>
    <w:rsid w:val="00B04B8C"/>
    <w:rsid w:val="00B04CCE"/>
    <w:rsid w:val="00B0504E"/>
    <w:rsid w:val="00B063C1"/>
    <w:rsid w:val="00B06671"/>
    <w:rsid w:val="00B23823"/>
    <w:rsid w:val="00B24FB5"/>
    <w:rsid w:val="00B31A88"/>
    <w:rsid w:val="00B335D0"/>
    <w:rsid w:val="00B34ADF"/>
    <w:rsid w:val="00B34EB5"/>
    <w:rsid w:val="00B35DBF"/>
    <w:rsid w:val="00B36D62"/>
    <w:rsid w:val="00B4030A"/>
    <w:rsid w:val="00B43F78"/>
    <w:rsid w:val="00B443EC"/>
    <w:rsid w:val="00B448EA"/>
    <w:rsid w:val="00B55F49"/>
    <w:rsid w:val="00B5728A"/>
    <w:rsid w:val="00B60C14"/>
    <w:rsid w:val="00B63E5C"/>
    <w:rsid w:val="00B70890"/>
    <w:rsid w:val="00B74143"/>
    <w:rsid w:val="00B75FD7"/>
    <w:rsid w:val="00B85F75"/>
    <w:rsid w:val="00B86160"/>
    <w:rsid w:val="00B86B53"/>
    <w:rsid w:val="00B8720F"/>
    <w:rsid w:val="00BB008B"/>
    <w:rsid w:val="00BB1765"/>
    <w:rsid w:val="00BB378D"/>
    <w:rsid w:val="00BB4FF2"/>
    <w:rsid w:val="00BB5FB0"/>
    <w:rsid w:val="00BB709F"/>
    <w:rsid w:val="00BB7792"/>
    <w:rsid w:val="00BC0DB6"/>
    <w:rsid w:val="00BC14BA"/>
    <w:rsid w:val="00BC5958"/>
    <w:rsid w:val="00BD3921"/>
    <w:rsid w:val="00BD5DE7"/>
    <w:rsid w:val="00BE3FD2"/>
    <w:rsid w:val="00BE77A2"/>
    <w:rsid w:val="00BF2A09"/>
    <w:rsid w:val="00BF5A99"/>
    <w:rsid w:val="00BF633B"/>
    <w:rsid w:val="00BF7186"/>
    <w:rsid w:val="00C02966"/>
    <w:rsid w:val="00C14B26"/>
    <w:rsid w:val="00C16B0B"/>
    <w:rsid w:val="00C22604"/>
    <w:rsid w:val="00C22AC0"/>
    <w:rsid w:val="00C22C27"/>
    <w:rsid w:val="00C26225"/>
    <w:rsid w:val="00C279F9"/>
    <w:rsid w:val="00C343B5"/>
    <w:rsid w:val="00C34E5E"/>
    <w:rsid w:val="00C35B82"/>
    <w:rsid w:val="00C41C86"/>
    <w:rsid w:val="00C4359E"/>
    <w:rsid w:val="00C5016C"/>
    <w:rsid w:val="00C503E2"/>
    <w:rsid w:val="00C541D2"/>
    <w:rsid w:val="00C54643"/>
    <w:rsid w:val="00C626EF"/>
    <w:rsid w:val="00C63238"/>
    <w:rsid w:val="00C64A62"/>
    <w:rsid w:val="00C665DD"/>
    <w:rsid w:val="00C67496"/>
    <w:rsid w:val="00C67FEB"/>
    <w:rsid w:val="00C75C81"/>
    <w:rsid w:val="00C87667"/>
    <w:rsid w:val="00C879B7"/>
    <w:rsid w:val="00C87DE6"/>
    <w:rsid w:val="00C92DF7"/>
    <w:rsid w:val="00CA2397"/>
    <w:rsid w:val="00CA2A46"/>
    <w:rsid w:val="00CB1465"/>
    <w:rsid w:val="00CB2147"/>
    <w:rsid w:val="00CB2873"/>
    <w:rsid w:val="00CB2D92"/>
    <w:rsid w:val="00CB30D1"/>
    <w:rsid w:val="00CB4ACE"/>
    <w:rsid w:val="00CC1102"/>
    <w:rsid w:val="00CD1CE9"/>
    <w:rsid w:val="00CD281A"/>
    <w:rsid w:val="00CD6DC6"/>
    <w:rsid w:val="00CE16B1"/>
    <w:rsid w:val="00CE1C67"/>
    <w:rsid w:val="00CE2951"/>
    <w:rsid w:val="00CE4634"/>
    <w:rsid w:val="00CE6B27"/>
    <w:rsid w:val="00CE7CC3"/>
    <w:rsid w:val="00CF05FB"/>
    <w:rsid w:val="00CF2784"/>
    <w:rsid w:val="00CF53E2"/>
    <w:rsid w:val="00D0183B"/>
    <w:rsid w:val="00D024B7"/>
    <w:rsid w:val="00D0302B"/>
    <w:rsid w:val="00D0406F"/>
    <w:rsid w:val="00D06FCB"/>
    <w:rsid w:val="00D15936"/>
    <w:rsid w:val="00D16B49"/>
    <w:rsid w:val="00D21D15"/>
    <w:rsid w:val="00D24C69"/>
    <w:rsid w:val="00D358E8"/>
    <w:rsid w:val="00D404AC"/>
    <w:rsid w:val="00D56259"/>
    <w:rsid w:val="00D56ED4"/>
    <w:rsid w:val="00D61B29"/>
    <w:rsid w:val="00D649ED"/>
    <w:rsid w:val="00D73C2E"/>
    <w:rsid w:val="00D73C4B"/>
    <w:rsid w:val="00D7442D"/>
    <w:rsid w:val="00D76DDD"/>
    <w:rsid w:val="00D76EE0"/>
    <w:rsid w:val="00D80C6C"/>
    <w:rsid w:val="00D83757"/>
    <w:rsid w:val="00D84B32"/>
    <w:rsid w:val="00D91A1B"/>
    <w:rsid w:val="00D9595A"/>
    <w:rsid w:val="00D975E5"/>
    <w:rsid w:val="00DA0813"/>
    <w:rsid w:val="00DA1CDD"/>
    <w:rsid w:val="00DA6B40"/>
    <w:rsid w:val="00DB3B57"/>
    <w:rsid w:val="00DB46AE"/>
    <w:rsid w:val="00DB4AAF"/>
    <w:rsid w:val="00DC66C8"/>
    <w:rsid w:val="00DD1F35"/>
    <w:rsid w:val="00DD2ADD"/>
    <w:rsid w:val="00DD3100"/>
    <w:rsid w:val="00DD3C9E"/>
    <w:rsid w:val="00DE352C"/>
    <w:rsid w:val="00DE5151"/>
    <w:rsid w:val="00DE6632"/>
    <w:rsid w:val="00DE68DC"/>
    <w:rsid w:val="00DF096F"/>
    <w:rsid w:val="00DF691B"/>
    <w:rsid w:val="00DF6AF2"/>
    <w:rsid w:val="00DF7330"/>
    <w:rsid w:val="00DF7370"/>
    <w:rsid w:val="00E02281"/>
    <w:rsid w:val="00E05553"/>
    <w:rsid w:val="00E120B8"/>
    <w:rsid w:val="00E17364"/>
    <w:rsid w:val="00E329AE"/>
    <w:rsid w:val="00E34730"/>
    <w:rsid w:val="00E36B38"/>
    <w:rsid w:val="00E4158C"/>
    <w:rsid w:val="00E41E18"/>
    <w:rsid w:val="00E41FBD"/>
    <w:rsid w:val="00E448D0"/>
    <w:rsid w:val="00E4748F"/>
    <w:rsid w:val="00E52F06"/>
    <w:rsid w:val="00E530E5"/>
    <w:rsid w:val="00E54C13"/>
    <w:rsid w:val="00E57953"/>
    <w:rsid w:val="00E57DDD"/>
    <w:rsid w:val="00E6044C"/>
    <w:rsid w:val="00E611F0"/>
    <w:rsid w:val="00E64702"/>
    <w:rsid w:val="00E6602C"/>
    <w:rsid w:val="00E71562"/>
    <w:rsid w:val="00E738D3"/>
    <w:rsid w:val="00E74E68"/>
    <w:rsid w:val="00E81763"/>
    <w:rsid w:val="00E837B0"/>
    <w:rsid w:val="00E849B6"/>
    <w:rsid w:val="00EA0B4D"/>
    <w:rsid w:val="00EA7F20"/>
    <w:rsid w:val="00EC1C62"/>
    <w:rsid w:val="00EC1E4B"/>
    <w:rsid w:val="00EC3672"/>
    <w:rsid w:val="00ED2F58"/>
    <w:rsid w:val="00ED313F"/>
    <w:rsid w:val="00ED5FD4"/>
    <w:rsid w:val="00ED6730"/>
    <w:rsid w:val="00ED6A35"/>
    <w:rsid w:val="00EE58EC"/>
    <w:rsid w:val="00EE6525"/>
    <w:rsid w:val="00EF0FB8"/>
    <w:rsid w:val="00EF17CF"/>
    <w:rsid w:val="00EF6089"/>
    <w:rsid w:val="00F013F9"/>
    <w:rsid w:val="00F165EB"/>
    <w:rsid w:val="00F20B2C"/>
    <w:rsid w:val="00F2127D"/>
    <w:rsid w:val="00F23D38"/>
    <w:rsid w:val="00F2752B"/>
    <w:rsid w:val="00F366CC"/>
    <w:rsid w:val="00F405AF"/>
    <w:rsid w:val="00F42024"/>
    <w:rsid w:val="00F432C1"/>
    <w:rsid w:val="00F5568E"/>
    <w:rsid w:val="00F62F5D"/>
    <w:rsid w:val="00F65BAF"/>
    <w:rsid w:val="00F700FA"/>
    <w:rsid w:val="00F70C23"/>
    <w:rsid w:val="00F74F48"/>
    <w:rsid w:val="00F77C6E"/>
    <w:rsid w:val="00F80661"/>
    <w:rsid w:val="00F820F5"/>
    <w:rsid w:val="00F83538"/>
    <w:rsid w:val="00F878F8"/>
    <w:rsid w:val="00F91A66"/>
    <w:rsid w:val="00F944F6"/>
    <w:rsid w:val="00F96FAD"/>
    <w:rsid w:val="00FA2E41"/>
    <w:rsid w:val="00FA6CE5"/>
    <w:rsid w:val="00FA7EEE"/>
    <w:rsid w:val="00FB2415"/>
    <w:rsid w:val="00FB4942"/>
    <w:rsid w:val="00FC01EA"/>
    <w:rsid w:val="00FC16A6"/>
    <w:rsid w:val="00FC3238"/>
    <w:rsid w:val="00FC4E93"/>
    <w:rsid w:val="00FC6153"/>
    <w:rsid w:val="00FD1328"/>
    <w:rsid w:val="00FD4CDB"/>
    <w:rsid w:val="00FE0B59"/>
    <w:rsid w:val="00FE2105"/>
    <w:rsid w:val="00FE26D6"/>
    <w:rsid w:val="00FF5C7C"/>
    <w:rsid w:val="00FF6230"/>
    <w:rsid w:val="00FF680D"/>
    <w:rsid w:val="012D6252"/>
    <w:rsid w:val="016E7A31"/>
    <w:rsid w:val="021F6885"/>
    <w:rsid w:val="051A619F"/>
    <w:rsid w:val="05BB6BED"/>
    <w:rsid w:val="065A4F6F"/>
    <w:rsid w:val="068E9F29"/>
    <w:rsid w:val="07837BB0"/>
    <w:rsid w:val="091EBCA9"/>
    <w:rsid w:val="09D0BBA3"/>
    <w:rsid w:val="09F058FE"/>
    <w:rsid w:val="0D6D4005"/>
    <w:rsid w:val="10F069FC"/>
    <w:rsid w:val="12CAE514"/>
    <w:rsid w:val="159F08A2"/>
    <w:rsid w:val="17620490"/>
    <w:rsid w:val="19806FB8"/>
    <w:rsid w:val="1A1B5776"/>
    <w:rsid w:val="1A2A1670"/>
    <w:rsid w:val="1AAE7830"/>
    <w:rsid w:val="1B8498AC"/>
    <w:rsid w:val="1BFD2033"/>
    <w:rsid w:val="1C77204A"/>
    <w:rsid w:val="1D5A238D"/>
    <w:rsid w:val="1D5E912B"/>
    <w:rsid w:val="1D9FB9D1"/>
    <w:rsid w:val="1DD220F4"/>
    <w:rsid w:val="1E2EFB5B"/>
    <w:rsid w:val="1E36C0A8"/>
    <w:rsid w:val="1E9D5455"/>
    <w:rsid w:val="1FB97C04"/>
    <w:rsid w:val="20262009"/>
    <w:rsid w:val="203DE22F"/>
    <w:rsid w:val="2299AA8C"/>
    <w:rsid w:val="22BFEBB5"/>
    <w:rsid w:val="2411DAE5"/>
    <w:rsid w:val="24958D28"/>
    <w:rsid w:val="25FB4F85"/>
    <w:rsid w:val="2640796A"/>
    <w:rsid w:val="26A80248"/>
    <w:rsid w:val="26CD3EE9"/>
    <w:rsid w:val="275E4D21"/>
    <w:rsid w:val="28430F59"/>
    <w:rsid w:val="29955768"/>
    <w:rsid w:val="29D37326"/>
    <w:rsid w:val="2A7BF0F7"/>
    <w:rsid w:val="2ACD23B6"/>
    <w:rsid w:val="2AE653C0"/>
    <w:rsid w:val="2C7057B1"/>
    <w:rsid w:val="2EFD9F29"/>
    <w:rsid w:val="2F66FEA2"/>
    <w:rsid w:val="2F941329"/>
    <w:rsid w:val="30193D0A"/>
    <w:rsid w:val="308C0147"/>
    <w:rsid w:val="31BCA3C4"/>
    <w:rsid w:val="32B5BD6A"/>
    <w:rsid w:val="33280CA8"/>
    <w:rsid w:val="34DEC6BC"/>
    <w:rsid w:val="36F37DDB"/>
    <w:rsid w:val="3815F719"/>
    <w:rsid w:val="384FA242"/>
    <w:rsid w:val="3997215B"/>
    <w:rsid w:val="3A221014"/>
    <w:rsid w:val="3A9220D7"/>
    <w:rsid w:val="3AB42498"/>
    <w:rsid w:val="3CE3B429"/>
    <w:rsid w:val="3F76CE01"/>
    <w:rsid w:val="40DEAC1E"/>
    <w:rsid w:val="41EAB593"/>
    <w:rsid w:val="4368349A"/>
    <w:rsid w:val="45F3D031"/>
    <w:rsid w:val="4630108C"/>
    <w:rsid w:val="46916135"/>
    <w:rsid w:val="475D5E36"/>
    <w:rsid w:val="4AFE0161"/>
    <w:rsid w:val="4BE9EE3B"/>
    <w:rsid w:val="4C7585EB"/>
    <w:rsid w:val="4CA8CC7F"/>
    <w:rsid w:val="4D3E039B"/>
    <w:rsid w:val="4DDB44A0"/>
    <w:rsid w:val="4F1B1973"/>
    <w:rsid w:val="4FB023D7"/>
    <w:rsid w:val="5078E434"/>
    <w:rsid w:val="515F97D8"/>
    <w:rsid w:val="527A8EFF"/>
    <w:rsid w:val="550DB37F"/>
    <w:rsid w:val="55756A93"/>
    <w:rsid w:val="57150FCB"/>
    <w:rsid w:val="59736221"/>
    <w:rsid w:val="5AA7F347"/>
    <w:rsid w:val="5C5F5A40"/>
    <w:rsid w:val="5CC37258"/>
    <w:rsid w:val="5CDBA64A"/>
    <w:rsid w:val="5DBDE8FB"/>
    <w:rsid w:val="5FC957AC"/>
    <w:rsid w:val="6005886E"/>
    <w:rsid w:val="60877C8B"/>
    <w:rsid w:val="662399CC"/>
    <w:rsid w:val="67D1E42F"/>
    <w:rsid w:val="6987ADCF"/>
    <w:rsid w:val="6AB455DC"/>
    <w:rsid w:val="6B7E4601"/>
    <w:rsid w:val="6C1DC8B9"/>
    <w:rsid w:val="6C9E107D"/>
    <w:rsid w:val="6CA9D6E8"/>
    <w:rsid w:val="6D277352"/>
    <w:rsid w:val="73EC9FDE"/>
    <w:rsid w:val="77007C24"/>
    <w:rsid w:val="789BD016"/>
    <w:rsid w:val="7C054946"/>
    <w:rsid w:val="7F7619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48CA"/>
  <w15:chartTrackingRefBased/>
  <w15:docId w15:val="{8752A314-3803-4AD0-987B-D47A113A0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0781E"/>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1B14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3D222C"/>
    <w:pPr>
      <w:spacing w:before="240"/>
      <w:outlineLvl w:val="1"/>
    </w:pPr>
    <w:rPr>
      <w:b/>
      <w:i/>
      <w:kern w:val="28"/>
      <w:sz w:val="28"/>
      <w:szCs w:val="28"/>
    </w:rPr>
  </w:style>
  <w:style w:type="paragraph" w:styleId="Heading3">
    <w:name w:val="heading 3"/>
    <w:basedOn w:val="Normal"/>
    <w:next w:val="Normal"/>
    <w:link w:val="Heading3Char"/>
    <w:uiPriority w:val="9"/>
    <w:unhideWhenUsed/>
    <w:qFormat/>
    <w:rsid w:val="0095384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2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22C"/>
    <w:rPr>
      <w:rFonts w:ascii="Segoe UI" w:hAnsi="Segoe UI" w:cs="Segoe UI"/>
      <w:sz w:val="18"/>
      <w:szCs w:val="18"/>
    </w:rPr>
  </w:style>
  <w:style w:type="character" w:customStyle="1" w:styleId="Heading2Char">
    <w:name w:val="Heading 2 Char"/>
    <w:basedOn w:val="DefaultParagraphFont"/>
    <w:link w:val="Heading2"/>
    <w:rsid w:val="003D222C"/>
    <w:rPr>
      <w:rFonts w:ascii="Arial" w:eastAsia="Times New Roman" w:hAnsi="Arial" w:cs="Times New Roman"/>
      <w:b/>
      <w:i/>
      <w:kern w:val="28"/>
      <w:sz w:val="28"/>
      <w:szCs w:val="28"/>
    </w:rPr>
  </w:style>
  <w:style w:type="paragraph" w:styleId="ListParagraph">
    <w:name w:val="List Paragraph"/>
    <w:aliases w:val="Recommendatio,Párrafo de lista,Recommendation,OBC Bullet,Dot pt,F5 List Paragraph,List Paragraph1,No Spacing1,List Paragraph Char Char Char,Indicator Text,Colorful List - Accent 11,Numbered Para 1,Bullet 1,Bullet Points,List Paragraph2,L"/>
    <w:basedOn w:val="Normal"/>
    <w:link w:val="ListParagraphChar"/>
    <w:uiPriority w:val="34"/>
    <w:qFormat/>
    <w:rsid w:val="003D222C"/>
    <w:pPr>
      <w:spacing w:after="240"/>
      <w:ind w:left="720"/>
      <w:contextualSpacing/>
    </w:pPr>
    <w:rPr>
      <w:szCs w:val="20"/>
      <w:lang w:eastAsia="en-GB"/>
    </w:rPr>
  </w:style>
  <w:style w:type="character" w:customStyle="1" w:styleId="ListParagraphChar">
    <w:name w:val="List Paragraph Char"/>
    <w:aliases w:val="Recommendatio Char,Párrafo de lista Char,Recommendation Char,OBC Bullet Char,Dot pt Char,F5 List Paragraph Char,List Paragraph1 Char,No Spacing1 Char,List Paragraph Char Char Char Char,Indicator Text Char,Numbered Para 1 Char,L Char"/>
    <w:basedOn w:val="DefaultParagraphFont"/>
    <w:link w:val="ListParagraph"/>
    <w:uiPriority w:val="34"/>
    <w:qFormat/>
    <w:locked/>
    <w:rsid w:val="003D222C"/>
    <w:rPr>
      <w:rFonts w:ascii="Arial" w:eastAsia="Times New Roman" w:hAnsi="Arial" w:cs="Times New Roman"/>
      <w:sz w:val="24"/>
      <w:szCs w:val="20"/>
      <w:lang w:eastAsia="en-GB"/>
    </w:rPr>
  </w:style>
  <w:style w:type="table" w:styleId="TableGrid">
    <w:name w:val="Table Grid"/>
    <w:basedOn w:val="TableNormal"/>
    <w:rsid w:val="003D222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222C"/>
    <w:rPr>
      <w:color w:val="0563C1" w:themeColor="hyperlink"/>
      <w:u w:val="single"/>
    </w:rPr>
  </w:style>
  <w:style w:type="paragraph" w:styleId="Header">
    <w:name w:val="header"/>
    <w:basedOn w:val="Normal"/>
    <w:link w:val="HeaderChar"/>
    <w:uiPriority w:val="99"/>
    <w:unhideWhenUsed/>
    <w:rsid w:val="003D222C"/>
    <w:pPr>
      <w:tabs>
        <w:tab w:val="center" w:pos="4513"/>
        <w:tab w:val="right" w:pos="9026"/>
      </w:tabs>
    </w:pPr>
  </w:style>
  <w:style w:type="character" w:customStyle="1" w:styleId="HeaderChar">
    <w:name w:val="Header Char"/>
    <w:basedOn w:val="DefaultParagraphFont"/>
    <w:link w:val="Header"/>
    <w:uiPriority w:val="99"/>
    <w:rsid w:val="003D222C"/>
    <w:rPr>
      <w:rFonts w:ascii="Arial" w:eastAsia="Times New Roman" w:hAnsi="Arial" w:cs="Times New Roman"/>
      <w:sz w:val="24"/>
      <w:szCs w:val="24"/>
    </w:rPr>
  </w:style>
  <w:style w:type="paragraph" w:styleId="Footer">
    <w:name w:val="footer"/>
    <w:basedOn w:val="Normal"/>
    <w:link w:val="FooterChar"/>
    <w:uiPriority w:val="99"/>
    <w:unhideWhenUsed/>
    <w:rsid w:val="001A4AA4"/>
    <w:pPr>
      <w:tabs>
        <w:tab w:val="center" w:pos="4513"/>
        <w:tab w:val="right" w:pos="9026"/>
      </w:tabs>
    </w:pPr>
  </w:style>
  <w:style w:type="character" w:customStyle="1" w:styleId="FooterChar">
    <w:name w:val="Footer Char"/>
    <w:basedOn w:val="DefaultParagraphFont"/>
    <w:link w:val="Footer"/>
    <w:uiPriority w:val="99"/>
    <w:rsid w:val="001A4AA4"/>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386DFC"/>
    <w:rPr>
      <w:color w:val="605E5C"/>
      <w:shd w:val="clear" w:color="auto" w:fill="E1DFDD"/>
    </w:rPr>
  </w:style>
  <w:style w:type="character" w:styleId="FollowedHyperlink">
    <w:name w:val="FollowedHyperlink"/>
    <w:basedOn w:val="DefaultParagraphFont"/>
    <w:uiPriority w:val="99"/>
    <w:semiHidden/>
    <w:unhideWhenUsed/>
    <w:rsid w:val="001356EA"/>
    <w:rPr>
      <w:color w:val="954F72" w:themeColor="followedHyperlink"/>
      <w:u w:val="single"/>
    </w:rPr>
  </w:style>
  <w:style w:type="paragraph" w:styleId="Revision">
    <w:name w:val="Revision"/>
    <w:hidden/>
    <w:uiPriority w:val="99"/>
    <w:semiHidden/>
    <w:rsid w:val="00FE0B59"/>
    <w:pPr>
      <w:spacing w:after="0" w:line="240" w:lineRule="auto"/>
    </w:pPr>
    <w:rPr>
      <w:rFonts w:ascii="Arial" w:eastAsia="Times New Roman" w:hAnsi="Arial" w:cs="Times New Roman"/>
      <w:sz w:val="24"/>
      <w:szCs w:val="24"/>
    </w:rPr>
  </w:style>
  <w:style w:type="paragraph" w:customStyle="1" w:styleId="BEISTitle">
    <w:name w:val="BEIS Title"/>
    <w:basedOn w:val="Normal"/>
    <w:next w:val="Normal"/>
    <w:rsid w:val="00885BB9"/>
    <w:pPr>
      <w:spacing w:after="240" w:line="320" w:lineRule="atLeast"/>
    </w:pPr>
    <w:rPr>
      <w:rFonts w:eastAsiaTheme="minorHAnsi" w:cstheme="minorBidi"/>
      <w:color w:val="041E42"/>
      <w:sz w:val="76"/>
      <w:szCs w:val="22"/>
    </w:rPr>
  </w:style>
  <w:style w:type="paragraph" w:customStyle="1" w:styleId="BEISDate">
    <w:name w:val="BEIS Date"/>
    <w:basedOn w:val="Normal"/>
    <w:rsid w:val="00090217"/>
    <w:pPr>
      <w:spacing w:line="320" w:lineRule="atLeast"/>
    </w:pPr>
    <w:rPr>
      <w:rFonts w:eastAsiaTheme="minorHAnsi" w:cstheme="minorBidi"/>
      <w:color w:val="868686"/>
      <w:sz w:val="28"/>
      <w:szCs w:val="22"/>
    </w:rPr>
  </w:style>
  <w:style w:type="character" w:customStyle="1" w:styleId="Heading1Char">
    <w:name w:val="Heading 1 Char"/>
    <w:basedOn w:val="DefaultParagraphFont"/>
    <w:link w:val="Heading1"/>
    <w:uiPriority w:val="9"/>
    <w:rsid w:val="001B14B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B14BA"/>
    <w:pPr>
      <w:spacing w:line="259" w:lineRule="auto"/>
      <w:outlineLvl w:val="9"/>
    </w:pPr>
    <w:rPr>
      <w:lang w:val="en-US"/>
    </w:rPr>
  </w:style>
  <w:style w:type="paragraph" w:styleId="TOC2">
    <w:name w:val="toc 2"/>
    <w:basedOn w:val="Normal"/>
    <w:next w:val="Normal"/>
    <w:autoRedefine/>
    <w:uiPriority w:val="39"/>
    <w:unhideWhenUsed/>
    <w:rsid w:val="001B14BA"/>
    <w:pPr>
      <w:spacing w:after="100"/>
      <w:ind w:left="240"/>
    </w:pPr>
  </w:style>
  <w:style w:type="paragraph" w:styleId="TOC1">
    <w:name w:val="toc 1"/>
    <w:basedOn w:val="Normal"/>
    <w:next w:val="Normal"/>
    <w:autoRedefine/>
    <w:uiPriority w:val="39"/>
    <w:unhideWhenUsed/>
    <w:rsid w:val="006C516E"/>
    <w:pPr>
      <w:spacing w:after="100"/>
    </w:pPr>
  </w:style>
  <w:style w:type="character" w:customStyle="1" w:styleId="Heading3Char">
    <w:name w:val="Heading 3 Char"/>
    <w:basedOn w:val="DefaultParagraphFont"/>
    <w:link w:val="Heading3"/>
    <w:uiPriority w:val="9"/>
    <w:rsid w:val="00953846"/>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953846"/>
    <w:pPr>
      <w:spacing w:after="100"/>
      <w:ind w:left="480"/>
    </w:pPr>
  </w:style>
  <w:style w:type="character" w:styleId="CommentReference">
    <w:name w:val="annotation reference"/>
    <w:basedOn w:val="DefaultParagraphFont"/>
    <w:uiPriority w:val="99"/>
    <w:semiHidden/>
    <w:unhideWhenUsed/>
    <w:rsid w:val="00497D69"/>
    <w:rPr>
      <w:sz w:val="16"/>
      <w:szCs w:val="16"/>
    </w:rPr>
  </w:style>
  <w:style w:type="paragraph" w:styleId="CommentText">
    <w:name w:val="annotation text"/>
    <w:basedOn w:val="Normal"/>
    <w:link w:val="CommentTextChar"/>
    <w:uiPriority w:val="99"/>
    <w:unhideWhenUsed/>
    <w:rsid w:val="00497D69"/>
    <w:rPr>
      <w:sz w:val="20"/>
      <w:szCs w:val="20"/>
    </w:rPr>
  </w:style>
  <w:style w:type="character" w:customStyle="1" w:styleId="CommentTextChar">
    <w:name w:val="Comment Text Char"/>
    <w:basedOn w:val="DefaultParagraphFont"/>
    <w:link w:val="CommentText"/>
    <w:uiPriority w:val="99"/>
    <w:rsid w:val="00497D6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97D69"/>
    <w:rPr>
      <w:b/>
      <w:bCs/>
    </w:rPr>
  </w:style>
  <w:style w:type="character" w:customStyle="1" w:styleId="CommentSubjectChar">
    <w:name w:val="Comment Subject Char"/>
    <w:basedOn w:val="CommentTextChar"/>
    <w:link w:val="CommentSubject"/>
    <w:uiPriority w:val="99"/>
    <w:semiHidden/>
    <w:rsid w:val="00497D69"/>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338843">
      <w:bodyDiv w:val="1"/>
      <w:marLeft w:val="0"/>
      <w:marRight w:val="0"/>
      <w:marTop w:val="0"/>
      <w:marBottom w:val="0"/>
      <w:divBdr>
        <w:top w:val="none" w:sz="0" w:space="0" w:color="auto"/>
        <w:left w:val="none" w:sz="0" w:space="0" w:color="auto"/>
        <w:bottom w:val="none" w:sz="0" w:space="0" w:color="auto"/>
        <w:right w:val="none" w:sz="0" w:space="0" w:color="auto"/>
      </w:divBdr>
      <w:divsChild>
        <w:div w:id="39475970">
          <w:marLeft w:val="0"/>
          <w:marRight w:val="0"/>
          <w:marTop w:val="0"/>
          <w:marBottom w:val="0"/>
          <w:divBdr>
            <w:top w:val="none" w:sz="0" w:space="0" w:color="auto"/>
            <w:left w:val="none" w:sz="0" w:space="0" w:color="auto"/>
            <w:bottom w:val="none" w:sz="0" w:space="0" w:color="auto"/>
            <w:right w:val="none" w:sz="0" w:space="0" w:color="auto"/>
          </w:divBdr>
        </w:div>
        <w:div w:id="168567630">
          <w:marLeft w:val="0"/>
          <w:marRight w:val="0"/>
          <w:marTop w:val="0"/>
          <w:marBottom w:val="0"/>
          <w:divBdr>
            <w:top w:val="none" w:sz="0" w:space="0" w:color="auto"/>
            <w:left w:val="none" w:sz="0" w:space="0" w:color="auto"/>
            <w:bottom w:val="none" w:sz="0" w:space="0" w:color="auto"/>
            <w:right w:val="none" w:sz="0" w:space="0" w:color="auto"/>
          </w:divBdr>
        </w:div>
        <w:div w:id="234702573">
          <w:marLeft w:val="0"/>
          <w:marRight w:val="0"/>
          <w:marTop w:val="0"/>
          <w:marBottom w:val="0"/>
          <w:divBdr>
            <w:top w:val="none" w:sz="0" w:space="0" w:color="auto"/>
            <w:left w:val="none" w:sz="0" w:space="0" w:color="auto"/>
            <w:bottom w:val="none" w:sz="0" w:space="0" w:color="auto"/>
            <w:right w:val="none" w:sz="0" w:space="0" w:color="auto"/>
          </w:divBdr>
        </w:div>
      </w:divsChild>
    </w:div>
    <w:div w:id="446824940">
      <w:bodyDiv w:val="1"/>
      <w:marLeft w:val="0"/>
      <w:marRight w:val="0"/>
      <w:marTop w:val="0"/>
      <w:marBottom w:val="0"/>
      <w:divBdr>
        <w:top w:val="none" w:sz="0" w:space="0" w:color="auto"/>
        <w:left w:val="none" w:sz="0" w:space="0" w:color="auto"/>
        <w:bottom w:val="none" w:sz="0" w:space="0" w:color="auto"/>
        <w:right w:val="none" w:sz="0" w:space="0" w:color="auto"/>
      </w:divBdr>
      <w:divsChild>
        <w:div w:id="241530377">
          <w:marLeft w:val="0"/>
          <w:marRight w:val="0"/>
          <w:marTop w:val="0"/>
          <w:marBottom w:val="0"/>
          <w:divBdr>
            <w:top w:val="none" w:sz="0" w:space="0" w:color="auto"/>
            <w:left w:val="none" w:sz="0" w:space="0" w:color="auto"/>
            <w:bottom w:val="none" w:sz="0" w:space="0" w:color="auto"/>
            <w:right w:val="none" w:sz="0" w:space="0" w:color="auto"/>
          </w:divBdr>
        </w:div>
        <w:div w:id="314843631">
          <w:marLeft w:val="0"/>
          <w:marRight w:val="0"/>
          <w:marTop w:val="0"/>
          <w:marBottom w:val="0"/>
          <w:divBdr>
            <w:top w:val="none" w:sz="0" w:space="0" w:color="auto"/>
            <w:left w:val="none" w:sz="0" w:space="0" w:color="auto"/>
            <w:bottom w:val="none" w:sz="0" w:space="0" w:color="auto"/>
            <w:right w:val="none" w:sz="0" w:space="0" w:color="auto"/>
          </w:divBdr>
        </w:div>
        <w:div w:id="332800393">
          <w:marLeft w:val="0"/>
          <w:marRight w:val="0"/>
          <w:marTop w:val="0"/>
          <w:marBottom w:val="0"/>
          <w:divBdr>
            <w:top w:val="none" w:sz="0" w:space="0" w:color="auto"/>
            <w:left w:val="none" w:sz="0" w:space="0" w:color="auto"/>
            <w:bottom w:val="none" w:sz="0" w:space="0" w:color="auto"/>
            <w:right w:val="none" w:sz="0" w:space="0" w:color="auto"/>
          </w:divBdr>
        </w:div>
        <w:div w:id="701906105">
          <w:marLeft w:val="0"/>
          <w:marRight w:val="0"/>
          <w:marTop w:val="0"/>
          <w:marBottom w:val="0"/>
          <w:divBdr>
            <w:top w:val="none" w:sz="0" w:space="0" w:color="auto"/>
            <w:left w:val="none" w:sz="0" w:space="0" w:color="auto"/>
            <w:bottom w:val="none" w:sz="0" w:space="0" w:color="auto"/>
            <w:right w:val="none" w:sz="0" w:space="0" w:color="auto"/>
          </w:divBdr>
        </w:div>
        <w:div w:id="1311519319">
          <w:marLeft w:val="0"/>
          <w:marRight w:val="0"/>
          <w:marTop w:val="0"/>
          <w:marBottom w:val="0"/>
          <w:divBdr>
            <w:top w:val="none" w:sz="0" w:space="0" w:color="auto"/>
            <w:left w:val="none" w:sz="0" w:space="0" w:color="auto"/>
            <w:bottom w:val="none" w:sz="0" w:space="0" w:color="auto"/>
            <w:right w:val="none" w:sz="0" w:space="0" w:color="auto"/>
          </w:divBdr>
        </w:div>
        <w:div w:id="1421633958">
          <w:marLeft w:val="0"/>
          <w:marRight w:val="0"/>
          <w:marTop w:val="0"/>
          <w:marBottom w:val="0"/>
          <w:divBdr>
            <w:top w:val="none" w:sz="0" w:space="0" w:color="auto"/>
            <w:left w:val="none" w:sz="0" w:space="0" w:color="auto"/>
            <w:bottom w:val="none" w:sz="0" w:space="0" w:color="auto"/>
            <w:right w:val="none" w:sz="0" w:space="0" w:color="auto"/>
          </w:divBdr>
        </w:div>
        <w:div w:id="1456145368">
          <w:marLeft w:val="0"/>
          <w:marRight w:val="0"/>
          <w:marTop w:val="0"/>
          <w:marBottom w:val="0"/>
          <w:divBdr>
            <w:top w:val="none" w:sz="0" w:space="0" w:color="auto"/>
            <w:left w:val="none" w:sz="0" w:space="0" w:color="auto"/>
            <w:bottom w:val="none" w:sz="0" w:space="0" w:color="auto"/>
            <w:right w:val="none" w:sz="0" w:space="0" w:color="auto"/>
          </w:divBdr>
        </w:div>
        <w:div w:id="1629774060">
          <w:marLeft w:val="0"/>
          <w:marRight w:val="0"/>
          <w:marTop w:val="0"/>
          <w:marBottom w:val="0"/>
          <w:divBdr>
            <w:top w:val="none" w:sz="0" w:space="0" w:color="auto"/>
            <w:left w:val="none" w:sz="0" w:space="0" w:color="auto"/>
            <w:bottom w:val="none" w:sz="0" w:space="0" w:color="auto"/>
            <w:right w:val="none" w:sz="0" w:space="0" w:color="auto"/>
          </w:divBdr>
        </w:div>
        <w:div w:id="1718897118">
          <w:marLeft w:val="0"/>
          <w:marRight w:val="0"/>
          <w:marTop w:val="0"/>
          <w:marBottom w:val="0"/>
          <w:divBdr>
            <w:top w:val="none" w:sz="0" w:space="0" w:color="auto"/>
            <w:left w:val="none" w:sz="0" w:space="0" w:color="auto"/>
            <w:bottom w:val="none" w:sz="0" w:space="0" w:color="auto"/>
            <w:right w:val="none" w:sz="0" w:space="0" w:color="auto"/>
          </w:divBdr>
        </w:div>
        <w:div w:id="1818523208">
          <w:marLeft w:val="0"/>
          <w:marRight w:val="0"/>
          <w:marTop w:val="0"/>
          <w:marBottom w:val="0"/>
          <w:divBdr>
            <w:top w:val="none" w:sz="0" w:space="0" w:color="auto"/>
            <w:left w:val="none" w:sz="0" w:space="0" w:color="auto"/>
            <w:bottom w:val="none" w:sz="0" w:space="0" w:color="auto"/>
            <w:right w:val="none" w:sz="0" w:space="0" w:color="auto"/>
          </w:divBdr>
        </w:div>
        <w:div w:id="1941177829">
          <w:marLeft w:val="0"/>
          <w:marRight w:val="0"/>
          <w:marTop w:val="0"/>
          <w:marBottom w:val="0"/>
          <w:divBdr>
            <w:top w:val="none" w:sz="0" w:space="0" w:color="auto"/>
            <w:left w:val="none" w:sz="0" w:space="0" w:color="auto"/>
            <w:bottom w:val="none" w:sz="0" w:space="0" w:color="auto"/>
            <w:right w:val="none" w:sz="0" w:space="0" w:color="auto"/>
          </w:divBdr>
        </w:div>
      </w:divsChild>
    </w:div>
    <w:div w:id="785318402">
      <w:bodyDiv w:val="1"/>
      <w:marLeft w:val="0"/>
      <w:marRight w:val="0"/>
      <w:marTop w:val="0"/>
      <w:marBottom w:val="0"/>
      <w:divBdr>
        <w:top w:val="none" w:sz="0" w:space="0" w:color="auto"/>
        <w:left w:val="none" w:sz="0" w:space="0" w:color="auto"/>
        <w:bottom w:val="none" w:sz="0" w:space="0" w:color="auto"/>
        <w:right w:val="none" w:sz="0" w:space="0" w:color="auto"/>
      </w:divBdr>
    </w:div>
    <w:div w:id="87138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ationalarchives.gov.uk/doc/open-government-licence/version/3/" TargetMode="External"/><Relationship Id="rId18" Type="http://schemas.openxmlformats.org/officeDocument/2006/relationships/hyperlink" Target="https://beisgov.sharepoint.com/sites/ICF/_layouts/15/Doc.aspx?sourcedoc=%7B0F4AD15F-A76F-4C58-87E6-755095010ABE%7D&amp;file=ICF%20Operating%20Manual%203rd%20Edition.docx&amp;action=default&amp;mobileredirect=true&amp;DefaultItemOpen=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beisgov.sharepoint.com/:b:/r/sites/beis/201/Portfolio/Learning%20and%20Development/DFID%20Smart%20Guides%20%26%20Rules/Design/Smart%20Guide_Logical%20Framework.pdf?csf=1&amp;web=1&amp;e=DCh2M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ur02.safelinks.protection.outlook.com/?url=https%3A%2F%2Fbeisgov.sharepoint.com%2Fsites%2FICF%2F_layouts%2F15%2FDoc.aspx%3Fsourcedoc%3D%257B0F4AD15F-A76F-4C58-87E6-755095010ABE%257D%26file%3DICF%2520Operating%2520Manual%25203rd%2520Edition.docx%26action%3Ddefault%26mobileredirect%3Dtrue%26DefaultItemOpen%3D1&amp;data=02%7C01%7CRenee.Livesey%40beis.gov.uk%7Cb17f235a94de48fe58b808d83498469a%7Ccbac700502c143ebb497e6492d1b2dd8%7C0%7C0%7C637317175903006439&amp;sdata=7HeJHH7Bw%2BK3cdC%2BDrMh8X32gI%2BsUBreykH3V6ZxqxE%3D&amp;reserved=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02.safelinks.protection.outlook.com/ap/w-59584e83/?url=https%3A%2F%2Fbeisgov.sharepoint.com%2F%3Aw%3A%2Fr%2Fsites%2FICF%2F_layouts%2F15%2FDoc.aspx%3Fsourcedoc%3D%257BBFEB48D9-EB41-4E7C-A045-8774B2A2E68E%257D%26file%3DBEIS%2520Quality%2520Assurance%2520of%2520Results%2520Reporting%2520and%2520Results%2520Note%2520template.docx%26action%3Ddefault%26mobileredirect%3Dtrue%26DefaultItemOpen%3D1&amp;data=02%7C01%7CRenee.Livesey%40beis.gov.uk%7Cb17f235a94de48fe58b808d83498469a%7Ccbac700502c143ebb497e6492d1b2dd8%7C0%7C0%7C637317175903006439&amp;sdata=KZydjbChR2UqnT9zxDB%2BWpyv%2FYu4iFOxFOxKC%2FoqxfE%3D&amp;reserved=0" TargetMode="External"/><Relationship Id="rId20" Type="http://schemas.openxmlformats.org/officeDocument/2006/relationships/hyperlink" Target="https://beisgov.sharepoint.com/:b:/r/sites/beis/201/Portfolio/Learning%20and%20Development/DFID%20Smart%20Guides%20%26%20Rules/Delivery/Smart%20Guide_Monitoring%20Reviewing%20and%20Scoring%20Programmes.pdf?csf=1&amp;web=1&amp;e=i4Xoh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beisgov.sharepoint.com/:w:/r/sites/ICF/_layouts/15/Doc.aspx?sourcedoc=%7B07ED1F3A-4B6F-4C03-B539-39C65BEDD03B%7D&amp;file=BEIS%20ICF%20Programme%20IATI-Identifiers%20.docx&amp;action=default&amp;mobileredirect=true" TargetMode="External"/><Relationship Id="rId5" Type="http://schemas.openxmlformats.org/officeDocument/2006/relationships/customXml" Target="../customXml/item5.xml"/><Relationship Id="rId15" Type="http://schemas.openxmlformats.org/officeDocument/2006/relationships/hyperlink" Target="mailto:ODA-Transparency@beis.gov.uk" TargetMode="External"/><Relationship Id="rId23" Type="http://schemas.openxmlformats.org/officeDocument/2006/relationships/hyperlink" Target="mailto:William.Smithers@energysecurity.gov.uk"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beisgov.sharepoint.com/:w:/r/sites/ICF/_layouts/15/Doc.aspx?sourcedoc=%7BD04FAB5F-B453-4C31-9007-ECDE16E926BB%7D&amp;file=Annual%20Review%20Guidance%20Document.docx&amp;action=default&amp;mobileredirect=true&amp;DefaultItemOpen=1&amp;cid=d112481a-5a8c-4e60-a5c3-816a28b545f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si@nationalarchives.gsi.gov.uk" TargetMode="External"/><Relationship Id="rId22" Type="http://schemas.openxmlformats.org/officeDocument/2006/relationships/hyperlink" Target="https://devtracker.fcdo.gov.uk/department"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gacyData xmlns="aaacb922-5235-4a66-b188-303b9b46fbd7">{
  "Name": "BEIS Annual Review Template April 2020.docx",
  "Title": "Annual Review Template_April 2020",
  "External": "",
  "Document Notes": "",
  "Security Classification": "OFFICIAL",
  "Handling Instructions": "",
  "Descriptor": "",
  "Government Body": "BEIS",
  "Business Unit": "BEIS:Energy, Transformation and Clean Growth:International (Climate and Energy):International Climate Finance",
  "Retention Label": "Corp PPP Review",
  "Date Opened": "2020-04-17T10:35:13.0000000Z",
  "Date Closed": "",
  "National Caveat": "",
  "Previous Location": "",
  "Previous Id": "",
  "Legacy Document Type": "",
  "Legacy Fileplan Target": "",
  "Legacy Numeric Class": "",
  "Legacy Folder Type": "",
  "Legacy Record Folder Identifier": "",
  "Legacy Copyright": "",
  "Legacy Last Modified Date": "",
  "Legacy Modifier": "",
  "Legacy Folder": "",
  "Legacy Content Type": "",
  "Legacy Expiry Review Date": "",
  "Legacy Last Action Date": "",
  "Legacy Protective Marking": "",
  "Legacy Tags": "",
  "Legacy References From Other Items": "",
  "Legacy Status on Transfer": "",
  "Legacy Date Closed": "",
  "Legacy Record Category Identifier": "",
  "Legacy Disposition as of Date": "",
  "Legacy Home Location": "",
  "Legacy Current Location": "",
  "Legacy Date File Received": "",
  "Legacy Date File Requested": "",
  "Legacy Date File Returned": "",
  "Legacy Minister": "",
  "Legacy MP": "",
  "Legacy Folder Notes": "",
  "Legacy Physical Item Location": "",
  "Legacy Request Type": "",
  "Legacy Descriptor": "",
  "Legacy Folder Document ID": "",
  "Legacy Document ID": "",
  "Legacy References To Other Items": "",
  "Legacy Custodian": "",
  "Legacy Additional Authors": "",
  "Legacy Document Link": "",
  "Legacy Folder Link": "",
  "Legacy Physical Format": false,
  "Content Type": "Document",
  "Previous Retention Policy": "",
  "Legacy Case Reference Number": "",
  "Created": "2020-04-17T10:35:16.0000000Z",
  "Document Modified By": "i:0#.f|membership|william.smithers@beis.gov.uk",
  "Document Created By": "i:0#.f|membership|william.smithers@beis.gov.uk",
  "Document ID Value": "2QFN7KK647Q6-169810503-3609",
  "Modified": "2020-06-12T15:11:14.0000000Z",
  "Original Location": "/sites/beis/201/Portfolio/Project Monitoring and Delivery/Annual Reviews/BEIS Annual Review Template April 2020.docx"
}</LegacyData>
    <Retention_x0020_Label xmlns="a8f60570-4bd3-4f2b-950b-a996de8ab151">Corp PPP Review</Retention_x0020_Label>
    <Government_x0020_Body xmlns="b413c3fd-5a3b-4239-b985-69032e371c04">BEIS</Government_x0020_Body>
    <Date_x0020_Opened xmlns="b413c3fd-5a3b-4239-b985-69032e371c04">2020-04-17T10:35:13+00:00</Date_x0020_Opened>
    <Descriptor xmlns="0063f72e-ace3-48fb-9c1f-5b513408b31f">LOCSEN</Descriptor>
    <Security_x0020_Classification xmlns="0063f72e-ace3-48fb-9c1f-5b513408b31f">OFFICIAL</Security_x0020_Classification>
    <Date_x0020_Closed xmlns="b413c3fd-5a3b-4239-b985-69032e371c04" xsi:nil="true"/>
    <_dlc_DocId xmlns="5b28aca4-1a3f-4435-8455-199cb477ca9d">XJ34MJF2VFNZ-1026832069-13298</_dlc_DocId>
    <TaxCatchAll xmlns="5b28aca4-1a3f-4435-8455-199cb477ca9d">
      <Value>11</Value>
    </TaxCatchAll>
    <m975189f4ba442ecbf67d4147307b177 xmlns="5b28aca4-1a3f-4435-8455-199cb477ca9d">
      <Terms xmlns="http://schemas.microsoft.com/office/infopath/2007/PartnerControls">
        <TermInfo xmlns="http://schemas.microsoft.com/office/infopath/2007/PartnerControls">
          <TermName xmlns="http://schemas.microsoft.com/office/infopath/2007/PartnerControls">International Climate Finance</TermName>
          <TermId xmlns="http://schemas.microsoft.com/office/infopath/2007/PartnerControls">25a07eec-082c-4868-be05-2bef48a6767e</TermId>
        </TermInfo>
      </Terms>
    </m975189f4ba442ecbf67d4147307b177>
    <_dlc_DocIdUrl xmlns="5b28aca4-1a3f-4435-8455-199cb477ca9d">
      <Url>https://beisgov.sharepoint.com/sites/powercampaign/_layouts/15/DocIdRedir.aspx?ID=XJ34MJF2VFNZ-1026832069-13298</Url>
      <Description>XJ34MJF2VFNZ-1026832069-13298</Description>
    </_dlc_DocIdUrl>
    <SharedWithUsers xmlns="5b28aca4-1a3f-4435-8455-199cb477ca9d">
      <UserInfo>
        <DisplayName>zz_Bray, Callum (BEIS)</DisplayName>
        <AccountId>1135</AccountId>
        <AccountType/>
      </UserInfo>
      <UserInfo>
        <DisplayName>zz_Lugt, Ellie (International - Climate and Energy)</DisplayName>
        <AccountId>1134</AccountId>
        <AccountType/>
      </UserInfo>
      <UserInfo>
        <DisplayName>White, James (DSIT)</DisplayName>
        <AccountId>1136</AccountId>
        <AccountType/>
      </UserInfo>
      <UserInfo>
        <DisplayName>zz_Walter, Poppy (NZBI - Domestic)</DisplayName>
        <AccountId>1489</AccountId>
        <AccountType/>
      </UserInfo>
      <UserInfo>
        <DisplayName>zz_Robinson, Giulia (International - Climate and Energy)</DisplayName>
        <AccountId>1436</AccountId>
        <AccountType/>
      </UserInfo>
      <UserInfo>
        <DisplayName>Hughes, Catriona (Business Sectors - Infrastructure &amp; Materials)</DisplayName>
        <AccountId>1191</AccountId>
        <AccountType/>
      </UserInfo>
      <UserInfo>
        <DisplayName>zz_White, Alastair (NZSI - International Net Zero)</DisplayName>
        <AccountId>1268</AccountId>
        <AccountType/>
      </UserInfo>
      <UserInfo>
        <DisplayName>zz_Andrews, Sophie (International - Climate and Energy)</DisplayName>
        <AccountId>1433</AccountId>
        <AccountType/>
      </UserInfo>
      <UserInfo>
        <DisplayName>Patrick, Niall (Energy Security)</DisplayName>
        <AccountId>534</AccountId>
        <AccountType/>
      </UserInfo>
      <UserInfo>
        <DisplayName>zz_Stathakopoulou, Christina (NZSI - International Net Zero)</DisplayName>
        <AccountId>1518</AccountId>
        <AccountType/>
      </UserInfo>
      <UserInfo>
        <DisplayName>zz_Sardeson, Lottie (Intl Climate Finance - Investments)</DisplayName>
        <AccountId>282</AccountId>
        <AccountType/>
      </UserInfo>
      <UserInfo>
        <DisplayName>zz_Donegan, Brendan (Energy Security)</DisplayName>
        <AccountId>539</AccountId>
        <AccountType/>
      </UserInfo>
      <UserInfo>
        <DisplayName>zz_Gibbs, Douglas (Intl Climate Finance - Investments)</DisplayName>
        <AccountId>13</AccountId>
        <AccountType/>
      </UserInfo>
      <UserInfo>
        <DisplayName>zz_Mills, Sarah (Intl Climate Finance - Investments)</DisplayName>
        <AccountId>66</AccountId>
        <AccountType/>
      </UserInfo>
      <UserInfo>
        <DisplayName>Farmer, Will (Energy Security)</DisplayName>
        <AccountId>142</AccountId>
        <AccountType/>
      </UserInfo>
      <UserInfo>
        <DisplayName>Ahmed, Tajbee (Energy Security)</DisplayName>
        <AccountId>219</AccountId>
        <AccountType/>
      </UserInfo>
      <UserInfo>
        <DisplayName>zz_Evans, Sian (Intl Climate Finance - Partnerships)</DisplayName>
        <AccountId>104</AccountId>
        <AccountType/>
      </UserInfo>
      <UserInfo>
        <DisplayName>Davis, Owen (Energy Security)</DisplayName>
        <AccountId>245</AccountId>
        <AccountType/>
      </UserInfo>
      <UserInfo>
        <DisplayName>Paton, Ellen (Energy Security)</DisplayName>
        <AccountId>37</AccountId>
        <AccountType/>
      </UserInfo>
      <UserInfo>
        <DisplayName>zz_Kasliwal, Pritika (Intl Climate Finance - Partnerships)</DisplayName>
        <AccountId>81</AccountId>
        <AccountType/>
      </UserInfo>
      <UserInfo>
        <DisplayName>Hirschhausen, Lara (Energy Security)</DisplayName>
        <AccountId>218</AccountId>
        <AccountType/>
      </UserInfo>
      <UserInfo>
        <DisplayName>zz_Le Quesne, Felicity (NZSI - International Forests Hub)</DisplayName>
        <AccountId>72</AccountId>
        <AccountType/>
      </UserInfo>
      <UserInfo>
        <DisplayName>zz_Ashworth, Francesca (Science, Research &amp; Innovation)</DisplayName>
        <AccountId>2123</AccountId>
        <AccountType/>
      </UserInfo>
      <UserInfo>
        <DisplayName>zz_Tomlinson, Luke (Intl Climate Finance - Investments)</DisplayName>
        <AccountId>123</AccountId>
        <AccountType/>
      </UserInfo>
      <UserInfo>
        <DisplayName>zz_Schuler, Nina (International - Climate and Energy)</DisplayName>
        <AccountId>2097</AccountId>
        <AccountType/>
      </UserInfo>
      <UserInfo>
        <DisplayName>Olubodun, Lekan (NZSI - International Net Zero)</DisplayName>
        <AccountId>162</AccountId>
        <AccountType/>
      </UserInfo>
      <UserInfo>
        <DisplayName>Augustin, Sidney (DSIT)</DisplayName>
        <AccountId>267</AccountId>
        <AccountType/>
      </UserInfo>
      <UserInfo>
        <DisplayName>zz_Liehr, Estefania (Intl Climate Finance - Investments)</DisplayName>
        <AccountId>87</AccountId>
        <AccountType/>
      </UserInfo>
      <UserInfo>
        <DisplayName>veronica.robledo</DisplayName>
        <AccountId>1977</AccountId>
        <AccountType/>
      </UserInfo>
      <UserInfo>
        <DisplayName>lina.penuela@fcdo.gov.uk</DisplayName>
        <AccountId>1971</AccountId>
        <AccountType/>
      </UserInfo>
      <UserInfo>
        <DisplayName>natalia.rodriguez</DisplayName>
        <AccountId>1978</AccountId>
        <AccountType/>
      </UserInfo>
      <UserInfo>
        <DisplayName>Veronica Robledo (Sensitive)</DisplayName>
        <AccountId>607</AccountId>
        <AccountType/>
      </UserInfo>
      <UserInfo>
        <DisplayName>Lina Penuela (Sensitive)</DisplayName>
        <AccountId>608</AccountId>
        <AccountType/>
      </UserInfo>
      <UserInfo>
        <DisplayName>Natalia Rodriguez (Sensitive)</DisplayName>
        <AccountId>606</AccountId>
        <AccountType/>
      </UserInfo>
      <UserInfo>
        <DisplayName>Caravani, Alice (Energy Security)</DisplayName>
        <AccountId>187</AccountId>
        <AccountType/>
      </UserInfo>
      <UserInfo>
        <DisplayName>zz_Unadkat, Kavi (International - Climate and Energy)</DisplayName>
        <AccountId>2318</AccountId>
        <AccountType/>
      </UserInfo>
      <UserInfo>
        <DisplayName>zz_Rose, Ginny (International - Climate and Energy)</DisplayName>
        <AccountId>5308</AccountId>
        <AccountType/>
      </UserInfo>
      <UserInfo>
        <DisplayName>Baillie, Jack (NZSI - International Net Zero)</DisplayName>
        <AccountId>5028</AccountId>
        <AccountType/>
      </UserInfo>
      <UserInfo>
        <DisplayName>Al-Sibassi, Eman (Energy Security)</DisplayName>
        <AccountId>723</AccountId>
        <AccountType/>
      </UserInfo>
      <UserInfo>
        <DisplayName>zz_Enevoldsen, Chloe (NZSI - International Net Zero)</DisplayName>
        <AccountId>5447</AccountId>
        <AccountType/>
      </UserInfo>
      <UserInfo>
        <DisplayName>zz_Carro, Inigo (BEIS)</DisplayName>
        <AccountId>5241</AccountId>
        <AccountType/>
      </UserInfo>
      <UserInfo>
        <DisplayName>zz_Kennedy, Ruth (Intl Climate Finance - Investments)</DisplayName>
        <AccountId>54</AccountId>
        <AccountType/>
      </UserInfo>
      <UserInfo>
        <DisplayName>zz_Pettem, Sarah (Intl Climate Finance - Portfolio)</DisplayName>
        <AccountId>190</AccountId>
        <AccountType/>
      </UserInfo>
      <UserInfo>
        <DisplayName>zz_Hodgetts, George (NZSI - International Net Zero)</DisplayName>
        <AccountId>101</AccountId>
        <AccountType/>
      </UserInfo>
      <UserInfo>
        <DisplayName>zz_Keene, Alexander (Topps - National Security &amp; International)</DisplayName>
        <AccountId>5053</AccountId>
        <AccountType/>
      </UserInfo>
      <UserInfo>
        <DisplayName>Hillson, Isabelle (Energy Security)</DisplayName>
        <AccountId>2927</AccountId>
        <AccountType/>
      </UserInfo>
      <UserInfo>
        <DisplayName>Smithers, William (Energy Security)</DisplayName>
        <AccountId>15</AccountId>
        <AccountType/>
      </UserInfo>
      <UserInfo>
        <DisplayName>Bunte, Svenja (Energy Security)</DisplayName>
        <AccountId>5357</AccountId>
        <AccountType/>
      </UserInfo>
      <UserInfo>
        <DisplayName>Jones3, Philip (Energy Security)</DisplayName>
        <AccountId>8101</AccountId>
        <AccountType/>
      </UserInfo>
      <UserInfo>
        <DisplayName>Sarah Pettem</DisplayName>
        <AccountId>7821</AccountId>
        <AccountType/>
      </UserInfo>
      <UserInfo>
        <DisplayName>Boustead, Rebecca (Energy Security)</DisplayName>
        <AccountId>3176</AccountId>
        <AccountType/>
      </UserInfo>
      <UserInfo>
        <DisplayName>Evans, Rachael (Energy Security)</DisplayName>
        <AccountId>8412</AccountId>
        <AccountType/>
      </UserInfo>
      <UserInfo>
        <DisplayName>LeNagard, Clementine (Energy Security)</DisplayName>
        <AccountId>8741</AccountId>
        <AccountType/>
      </UserInfo>
      <UserInfo>
        <DisplayName>zz_Birkett, Joe (Energy Security)</DisplayName>
        <AccountId>8537</AccountId>
        <AccountType/>
      </UserInfo>
      <UserInfo>
        <DisplayName>Poletti, Monica (Energy Security)</DisplayName>
        <AccountId>8373</AccountId>
        <AccountType/>
      </UserInfo>
      <UserInfo>
        <DisplayName>Flanagan, Thomas (Energy Supply - Energy Affordability)</DisplayName>
        <AccountId>8834</AccountId>
        <AccountType/>
      </UserInfo>
      <UserInfo>
        <DisplayName>Evans, Jacob (Energy Security)</DisplayName>
        <AccountId>8531</AccountId>
        <AccountType/>
      </UserInfo>
      <UserInfo>
        <DisplayName>Wong2, Matthew (Energy Security)</DisplayName>
        <AccountId>8545</AccountId>
        <AccountType/>
      </UserInfo>
      <UserInfo>
        <DisplayName>zz_Haddad, Marie (Energy Security)</DisplayName>
        <AccountId>8530</AccountId>
        <AccountType/>
      </UserInfo>
      <UserInfo>
        <DisplayName>zz_Carroll, Sabrina (Energy Security)</DisplayName>
        <AccountId>8195</AccountId>
        <AccountType/>
      </UserInfo>
      <UserInfo>
        <DisplayName>Norman-Rhodes, Alex (Energy Security)</DisplayName>
        <AccountId>8102</AccountId>
        <AccountType/>
      </UserInfo>
      <UserInfo>
        <DisplayName>Connolly, Michael (Energy Security)</DisplayName>
        <AccountId>8895</AccountId>
        <AccountType/>
      </UserInfo>
      <UserInfo>
        <DisplayName>zz_Salt, Fred (NZSI - International Net Zero )</DisplayName>
        <AccountId>8544</AccountId>
        <AccountType/>
      </UserInfo>
      <UserInfo>
        <DisplayName>Parris, Francesca (Energy Security)</DisplayName>
        <AccountId>3785</AccountId>
        <AccountType/>
      </UserInfo>
      <UserInfo>
        <DisplayName>Sanyal, Sean (Energy Security)</DisplayName>
        <AccountId>8539</AccountId>
        <AccountType/>
      </UserInfo>
      <UserInfo>
        <DisplayName>Bertrand, Jeromine (Energy Security)</DisplayName>
        <AccountId>80</AccountId>
        <AccountType/>
      </UserInfo>
      <UserInfo>
        <DisplayName>Apine, Alina (Energy Security)</DisplayName>
        <AccountId>4968</AccountId>
        <AccountType/>
      </UserInfo>
      <UserInfo>
        <DisplayName>Hampton-Ball, Simon (Energy Security)</DisplayName>
        <AccountId>53</AccountId>
        <AccountType/>
      </UserInfo>
      <UserInfo>
        <DisplayName>zz_Wastie, Tayah (Energy Security)</DisplayName>
        <AccountId>8372</AccountId>
        <AccountType/>
      </UserInfo>
      <UserInfo>
        <DisplayName>zz_Rodriguez, Poppy (Energy Security)</DisplayName>
        <AccountId>9126</AccountId>
        <AccountType/>
      </UserInfo>
      <UserInfo>
        <DisplayName>Livesey, Renee (Energy Security)</DisplayName>
        <AccountId>306</AccountId>
        <AccountType/>
      </UserInfo>
      <UserInfo>
        <DisplayName>Shipley, Chris (Energy Security)</DisplayName>
        <AccountId>68</AccountId>
        <AccountType/>
      </UserInfo>
      <UserInfo>
        <DisplayName>Bennett, Victoria (Energy Security)</DisplayName>
        <AccountId>9902</AccountId>
        <AccountType/>
      </UserInfo>
      <UserInfo>
        <DisplayName>Stringer, Fiona (Energy Security)</DisplayName>
        <AccountId>99</AccountId>
        <AccountType/>
      </UserInfo>
      <UserInfo>
        <DisplayName>Situ, Victoria (Energy Security)</DisplayName>
        <AccountId>183</AccountId>
        <AccountType/>
      </UserInfo>
      <UserInfo>
        <DisplayName>Mohammadpour, Parmida (Energy Security)</DisplayName>
        <AccountId>9464</AccountId>
        <AccountType/>
      </UserInfo>
      <UserInfo>
        <DisplayName>Walker, Joe (Energy Security)</DisplayName>
        <AccountId>10364</AccountId>
        <AccountType/>
      </UserInfo>
      <UserInfo>
        <DisplayName>Raichoora, Ravi (Energy Security)</DisplayName>
        <AccountId>10201</AccountId>
        <AccountType/>
      </UserInfo>
      <UserInfo>
        <DisplayName>Firth, Rosalind (Energy Security)</DisplayName>
        <AccountId>11555</AccountId>
        <AccountType/>
      </UserInfo>
      <UserInfo>
        <DisplayName>Catton, Ryan (Energy Security)</DisplayName>
        <AccountId>10905</AccountId>
        <AccountType/>
      </UserInfo>
      <UserInfo>
        <DisplayName>Biddle, Harry (Topps - Analysis Directorate)</DisplayName>
        <AccountId>10842</AccountId>
        <AccountType/>
      </UserInfo>
    </SharedWithUsers>
    <lcf76f155ced4ddcb4097134ff3c332f xmlns="19c35881-1946-4d14-9111-eb0c9f6f92d5">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54C3EB26AF9C447B106C5BC6056A95F" ma:contentTypeVersion="25" ma:contentTypeDescription="Create a new document." ma:contentTypeScope="" ma:versionID="292122ed650151b5d3d811cd50954cd4">
  <xsd:schema xmlns:xsd="http://www.w3.org/2001/XMLSchema" xmlns:xs="http://www.w3.org/2001/XMLSchema" xmlns:p="http://schemas.microsoft.com/office/2006/metadata/properties" xmlns:ns2="0063f72e-ace3-48fb-9c1f-5b513408b31f" xmlns:ns3="5b28aca4-1a3f-4435-8455-199cb477ca9d" xmlns:ns4="b413c3fd-5a3b-4239-b985-69032e371c04" xmlns:ns5="a8f60570-4bd3-4f2b-950b-a996de8ab151" xmlns:ns6="aaacb922-5235-4a66-b188-303b9b46fbd7" xmlns:ns7="19c35881-1946-4d14-9111-eb0c9f6f92d5" targetNamespace="http://schemas.microsoft.com/office/2006/metadata/properties" ma:root="true" ma:fieldsID="78c960540e86ba120329f1b4f5743b06" ns2:_="" ns3:_="" ns4:_="" ns5:_="" ns6:_="" ns7:_="">
    <xsd:import namespace="0063f72e-ace3-48fb-9c1f-5b513408b31f"/>
    <xsd:import namespace="5b28aca4-1a3f-4435-8455-199cb477ca9d"/>
    <xsd:import namespace="b413c3fd-5a3b-4239-b985-69032e371c04"/>
    <xsd:import namespace="a8f60570-4bd3-4f2b-950b-a996de8ab151"/>
    <xsd:import namespace="aaacb922-5235-4a66-b188-303b9b46fbd7"/>
    <xsd:import namespace="19c35881-1946-4d14-9111-eb0c9f6f92d5"/>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3:_dlc_DocId" minOccurs="0"/>
                <xsd:element ref="ns3:_dlc_DocIdUrl" minOccurs="0"/>
                <xsd:element ref="ns3:_dlc_DocIdPersistId" minOccurs="0"/>
                <xsd:element ref="ns3:SharedWithUsers" minOccurs="0"/>
                <xsd:element ref="ns3:SharedWithDetails" minOccurs="0"/>
                <xsd:element ref="ns7:MediaServiceAutoKeyPoints" minOccurs="0"/>
                <xsd:element ref="ns7:MediaServiceKeyPoints" minOccurs="0"/>
                <xsd:element ref="ns7:MediaServiceAutoTags" minOccurs="0"/>
                <xsd:element ref="ns7:MediaServiceGenerationTime" minOccurs="0"/>
                <xsd:element ref="ns7:MediaServiceEventHashCode" minOccurs="0"/>
                <xsd:element ref="ns7:MediaServiceDateTaken" minOccurs="0"/>
                <xsd:element ref="ns7:MediaLengthInSeconds" minOccurs="0"/>
                <xsd:element ref="ns7:MediaServiceOCR" minOccurs="0"/>
                <xsd:element ref="ns7:lcf76f155ced4ddcb4097134ff3c332f" minOccurs="0"/>
                <xsd:element ref="ns7:MediaServiceObjectDetectorVersions" minOccurs="0"/>
                <xsd:element ref="ns7:MediaServiceSearchProperties"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5b28aca4-1a3f-4435-8455-199cb477ca9d"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International (Climate and Energy)|fe0bc9c3-22ea-482b-b56e-0bdc7b001e8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706cf431-b970-47fd-b8dc-2fb934c43845}" ma:internalName="TaxCatchAll" ma:showField="CatchAllData" ma:web="5b28aca4-1a3f-4435-8455-199cb477ca9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06cf431-b970-47fd-b8dc-2fb934c43845}" ma:internalName="TaxCatchAllLabel" ma:readOnly="true" ma:showField="CatchAllDataLabel" ma:web="5b28aca4-1a3f-4435-8455-199cb477ca9d">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35881-1946-4d14-9111-eb0c9f6f92d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OCR" ma:index="33" nillable="true" ma:displayName="Extracted Text" ma:internalName="MediaServiceOCR"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Location" ma:index="3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948BD2-19FB-4A1A-9F04-1E661C4B97AC}">
  <ds:schemaRefs>
    <ds:schemaRef ds:uri="http://schemas.microsoft.com/sharepoint/events"/>
  </ds:schemaRefs>
</ds:datastoreItem>
</file>

<file path=customXml/itemProps2.xml><?xml version="1.0" encoding="utf-8"?>
<ds:datastoreItem xmlns:ds="http://schemas.openxmlformats.org/officeDocument/2006/customXml" ds:itemID="{5E470627-5072-4164-B9A0-A8C60A90D51C}">
  <ds:schemaRefs>
    <ds:schemaRef ds:uri="http://schemas.openxmlformats.org/officeDocument/2006/bibliography"/>
  </ds:schemaRefs>
</ds:datastoreItem>
</file>

<file path=customXml/itemProps3.xml><?xml version="1.0" encoding="utf-8"?>
<ds:datastoreItem xmlns:ds="http://schemas.openxmlformats.org/officeDocument/2006/customXml" ds:itemID="{28542131-BD40-42FA-BF1D-325659C74395}">
  <ds:schemaRefs>
    <ds:schemaRef ds:uri="http://schemas.microsoft.com/sharepoint/v3/contenttype/forms"/>
  </ds:schemaRefs>
</ds:datastoreItem>
</file>

<file path=customXml/itemProps4.xml><?xml version="1.0" encoding="utf-8"?>
<ds:datastoreItem xmlns:ds="http://schemas.openxmlformats.org/officeDocument/2006/customXml" ds:itemID="{02FCA949-4A17-4A58-8CB4-38E906E85F6A}">
  <ds:schemaRefs>
    <ds:schemaRef ds:uri="http://schemas.microsoft.com/office/2006/metadata/properties"/>
    <ds:schemaRef ds:uri="http://schemas.microsoft.com/office/infopath/2007/PartnerControls"/>
    <ds:schemaRef ds:uri="aaacb922-5235-4a66-b188-303b9b46fbd7"/>
    <ds:schemaRef ds:uri="a8f60570-4bd3-4f2b-950b-a996de8ab151"/>
    <ds:schemaRef ds:uri="b413c3fd-5a3b-4239-b985-69032e371c04"/>
    <ds:schemaRef ds:uri="0063f72e-ace3-48fb-9c1f-5b513408b31f"/>
    <ds:schemaRef ds:uri="5b28aca4-1a3f-4435-8455-199cb477ca9d"/>
    <ds:schemaRef ds:uri="19c35881-1946-4d14-9111-eb0c9f6f92d5"/>
  </ds:schemaRefs>
</ds:datastoreItem>
</file>

<file path=customXml/itemProps5.xml><?xml version="1.0" encoding="utf-8"?>
<ds:datastoreItem xmlns:ds="http://schemas.openxmlformats.org/officeDocument/2006/customXml" ds:itemID="{F3E4C259-0B7A-4D53-9428-33C103DDB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3f72e-ace3-48fb-9c1f-5b513408b31f"/>
    <ds:schemaRef ds:uri="5b28aca4-1a3f-4435-8455-199cb477ca9d"/>
    <ds:schemaRef ds:uri="b413c3fd-5a3b-4239-b985-69032e371c04"/>
    <ds:schemaRef ds:uri="a8f60570-4bd3-4f2b-950b-a996de8ab151"/>
    <ds:schemaRef ds:uri="aaacb922-5235-4a66-b188-303b9b46fbd7"/>
    <ds:schemaRef ds:uri="19c35881-1946-4d14-9111-eb0c9f6f9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a62f585-b40f-4ab9-bafe-39150f03d124}" enabled="1" method="Standard" siteId="{cbac7005-02c1-43eb-b497-e6492d1b2dd8}" removed="0"/>
</clbl:labelList>
</file>

<file path=docProps/app.xml><?xml version="1.0" encoding="utf-8"?>
<Properties xmlns="http://schemas.openxmlformats.org/officeDocument/2006/extended-properties" xmlns:vt="http://schemas.openxmlformats.org/officeDocument/2006/docPropsVTypes">
  <Template>Normal</Template>
  <TotalTime>1</TotalTime>
  <Pages>25</Pages>
  <Words>10403</Words>
  <Characters>60654</Characters>
  <Application>Microsoft Office Word</Application>
  <DocSecurity>4</DocSecurity>
  <Lines>1895</Lines>
  <Paragraphs>1029</Paragraphs>
  <ScaleCrop>false</ScaleCrop>
  <Company/>
  <LinksUpToDate>false</LinksUpToDate>
  <CharactersWithSpaces>70028</CharactersWithSpaces>
  <SharedDoc>false</SharedDoc>
  <HLinks>
    <vt:vector size="198" baseType="variant">
      <vt:variant>
        <vt:i4>6029360</vt:i4>
      </vt:variant>
      <vt:variant>
        <vt:i4>162</vt:i4>
      </vt:variant>
      <vt:variant>
        <vt:i4>0</vt:i4>
      </vt:variant>
      <vt:variant>
        <vt:i4>5</vt:i4>
      </vt:variant>
      <vt:variant>
        <vt:lpwstr>https://beisgov.sharepoint.com/:w:/r/sites/ICF/_layouts/15/Doc.aspx?sourcedoc=%7B07ED1F3A-4B6F-4C03-B539-39C65BEDD03B%7D&amp;file=BEIS%20ICF%20Programme%20IATI-Identifiers%20.docx&amp;action=default&amp;mobileredirect=true</vt:lpwstr>
      </vt:variant>
      <vt:variant>
        <vt:lpwstr/>
      </vt:variant>
      <vt:variant>
        <vt:i4>3932177</vt:i4>
      </vt:variant>
      <vt:variant>
        <vt:i4>159</vt:i4>
      </vt:variant>
      <vt:variant>
        <vt:i4>0</vt:i4>
      </vt:variant>
      <vt:variant>
        <vt:i4>5</vt:i4>
      </vt:variant>
      <vt:variant>
        <vt:lpwstr>mailto:William.Smithers@energysecurity.gov.uk</vt:lpwstr>
      </vt:variant>
      <vt:variant>
        <vt:lpwstr/>
      </vt:variant>
      <vt:variant>
        <vt:i4>1769562</vt:i4>
      </vt:variant>
      <vt:variant>
        <vt:i4>156</vt:i4>
      </vt:variant>
      <vt:variant>
        <vt:i4>0</vt:i4>
      </vt:variant>
      <vt:variant>
        <vt:i4>5</vt:i4>
      </vt:variant>
      <vt:variant>
        <vt:lpwstr>https://devtracker.fcdo.gov.uk/department</vt:lpwstr>
      </vt:variant>
      <vt:variant>
        <vt:lpwstr/>
      </vt:variant>
      <vt:variant>
        <vt:i4>3276892</vt:i4>
      </vt:variant>
      <vt:variant>
        <vt:i4>153</vt:i4>
      </vt:variant>
      <vt:variant>
        <vt:i4>0</vt:i4>
      </vt:variant>
      <vt:variant>
        <vt:i4>5</vt:i4>
      </vt:variant>
      <vt:variant>
        <vt:lpwstr>https://beisgov.sharepoint.com/:b:/r/sites/beis/201/Portfolio/Learning and Development/DFID Smart Guides %26 Rules/Design/Smart Guide_Logical Framework.pdf?csf=1&amp;web=1&amp;e=DCh2Ms</vt:lpwstr>
      </vt:variant>
      <vt:variant>
        <vt:lpwstr/>
      </vt:variant>
      <vt:variant>
        <vt:i4>7995473</vt:i4>
      </vt:variant>
      <vt:variant>
        <vt:i4>150</vt:i4>
      </vt:variant>
      <vt:variant>
        <vt:i4>0</vt:i4>
      </vt:variant>
      <vt:variant>
        <vt:i4>5</vt:i4>
      </vt:variant>
      <vt:variant>
        <vt:lpwstr>https://beisgov.sharepoint.com/:b:/r/sites/beis/201/Portfolio/Learning and Development/DFID Smart Guides %26 Rules/Delivery/Smart Guide_Monitoring Reviewing and Scoring Programmes.pdf?csf=1&amp;web=1&amp;e=i4Xohj</vt:lpwstr>
      </vt:variant>
      <vt:variant>
        <vt:lpwstr/>
      </vt:variant>
      <vt:variant>
        <vt:i4>4718692</vt:i4>
      </vt:variant>
      <vt:variant>
        <vt:i4>147</vt:i4>
      </vt:variant>
      <vt:variant>
        <vt:i4>0</vt:i4>
      </vt:variant>
      <vt:variant>
        <vt:i4>5</vt:i4>
      </vt:variant>
      <vt:variant>
        <vt:lpwstr>https://beisgov.sharepoint.com/:w:/r/sites/ICF/_layouts/15/Doc.aspx?sourcedoc=%7BD04FAB5F-B453-4C31-9007-ECDE16E926BB%7D&amp;file=Annual%20Review%20Guidance%20Document.docx&amp;action=default&amp;mobileredirect=true&amp;DefaultItemOpen=1&amp;cid=d112481a-5a8c-4e60-a5c3-816a28b545f2</vt:lpwstr>
      </vt:variant>
      <vt:variant>
        <vt:lpwstr/>
      </vt:variant>
      <vt:variant>
        <vt:i4>393321</vt:i4>
      </vt:variant>
      <vt:variant>
        <vt:i4>144</vt:i4>
      </vt:variant>
      <vt:variant>
        <vt:i4>0</vt:i4>
      </vt:variant>
      <vt:variant>
        <vt:i4>5</vt:i4>
      </vt:variant>
      <vt:variant>
        <vt:lpwstr>https://beisgov.sharepoint.com/sites/ICF/_layouts/15/Doc.aspx?sourcedoc=%7B0F4AD15F-A76F-4C58-87E6-755095010ABE%7D&amp;file=ICF%20Operating%20Manual%203rd%20Edition.docx&amp;action=default&amp;mobileredirect=true&amp;DefaultItemOpen=1</vt:lpwstr>
      </vt:variant>
      <vt:variant>
        <vt:lpwstr/>
      </vt:variant>
      <vt:variant>
        <vt:i4>5046395</vt:i4>
      </vt:variant>
      <vt:variant>
        <vt:i4>141</vt:i4>
      </vt:variant>
      <vt:variant>
        <vt:i4>0</vt:i4>
      </vt:variant>
      <vt:variant>
        <vt:i4>5</vt:i4>
      </vt:variant>
      <vt:variant>
        <vt:lpwstr>https://eur02.safelinks.protection.outlook.com/?url=https%3A%2F%2Fbeisgov.sharepoint.com%2Fsites%2FICF%2F_layouts%2F15%2FDoc.aspx%3Fsourcedoc%3D%257B0F4AD15F-A76F-4C58-87E6-755095010ABE%257D%26file%3DICF%2520Operating%2520Manual%25203rd%2520Edition.docx%26action%3Ddefault%26mobileredirect%3Dtrue%26DefaultItemOpen%3D1&amp;data=02%7C01%7CRenee.Livesey%40beis.gov.uk%7Cb17f235a94de48fe58b808d83498469a%7Ccbac700502c143ebb497e6492d1b2dd8%7C0%7C0%7C637317175903006439&amp;sdata=7HeJHH7Bw%2BK3cdC%2BDrMh8X32gI%2BsUBreykH3V6ZxqxE%3D&amp;reserved=0</vt:lpwstr>
      </vt:variant>
      <vt:variant>
        <vt:lpwstr/>
      </vt:variant>
      <vt:variant>
        <vt:i4>917543</vt:i4>
      </vt:variant>
      <vt:variant>
        <vt:i4>138</vt:i4>
      </vt:variant>
      <vt:variant>
        <vt:i4>0</vt:i4>
      </vt:variant>
      <vt:variant>
        <vt:i4>5</vt:i4>
      </vt:variant>
      <vt:variant>
        <vt:lpwstr>https://eur02.safelinks.protection.outlook.com/ap/w-59584e83/?url=https%3A%2F%2Fbeisgov.sharepoint.com%2F%3Aw%3A%2Fr%2Fsites%2FICF%2F_layouts%2F15%2FDoc.aspx%3Fsourcedoc%3D%257BBFEB48D9-EB41-4E7C-A045-8774B2A2E68E%257D%26file%3DBEIS%2520Quality%2520Assurance%2520of%2520Results%2520Reporting%2520and%2520Results%2520Note%2520template.docx%26action%3Ddefault%26mobileredirect%3Dtrue%26DefaultItemOpen%3D1&amp;data=02%7C01%7CRenee.Livesey%40beis.gov.uk%7Cb17f235a94de48fe58b808d83498469a%7Ccbac700502c143ebb497e6492d1b2dd8%7C0%7C0%7C637317175903006439&amp;sdata=KZydjbChR2UqnT9zxDB%2BWpyv%2FYu4iFOxFOxKC%2FoqxfE%3D&amp;reserved=0</vt:lpwstr>
      </vt:variant>
      <vt:variant>
        <vt:lpwstr/>
      </vt:variant>
      <vt:variant>
        <vt:i4>2883590</vt:i4>
      </vt:variant>
      <vt:variant>
        <vt:i4>131</vt:i4>
      </vt:variant>
      <vt:variant>
        <vt:i4>0</vt:i4>
      </vt:variant>
      <vt:variant>
        <vt:i4>5</vt:i4>
      </vt:variant>
      <vt:variant>
        <vt:lpwstr/>
      </vt:variant>
      <vt:variant>
        <vt:lpwstr>_Toc2008939545</vt:lpwstr>
      </vt:variant>
      <vt:variant>
        <vt:i4>2818052</vt:i4>
      </vt:variant>
      <vt:variant>
        <vt:i4>125</vt:i4>
      </vt:variant>
      <vt:variant>
        <vt:i4>0</vt:i4>
      </vt:variant>
      <vt:variant>
        <vt:i4>5</vt:i4>
      </vt:variant>
      <vt:variant>
        <vt:lpwstr/>
      </vt:variant>
      <vt:variant>
        <vt:lpwstr>_Toc1274493754</vt:lpwstr>
      </vt:variant>
      <vt:variant>
        <vt:i4>2031674</vt:i4>
      </vt:variant>
      <vt:variant>
        <vt:i4>119</vt:i4>
      </vt:variant>
      <vt:variant>
        <vt:i4>0</vt:i4>
      </vt:variant>
      <vt:variant>
        <vt:i4>5</vt:i4>
      </vt:variant>
      <vt:variant>
        <vt:lpwstr/>
      </vt:variant>
      <vt:variant>
        <vt:lpwstr>_Toc253138847</vt:lpwstr>
      </vt:variant>
      <vt:variant>
        <vt:i4>3080205</vt:i4>
      </vt:variant>
      <vt:variant>
        <vt:i4>113</vt:i4>
      </vt:variant>
      <vt:variant>
        <vt:i4>0</vt:i4>
      </vt:variant>
      <vt:variant>
        <vt:i4>5</vt:i4>
      </vt:variant>
      <vt:variant>
        <vt:lpwstr/>
      </vt:variant>
      <vt:variant>
        <vt:lpwstr>_Toc1844927462</vt:lpwstr>
      </vt:variant>
      <vt:variant>
        <vt:i4>2490380</vt:i4>
      </vt:variant>
      <vt:variant>
        <vt:i4>107</vt:i4>
      </vt:variant>
      <vt:variant>
        <vt:i4>0</vt:i4>
      </vt:variant>
      <vt:variant>
        <vt:i4>5</vt:i4>
      </vt:variant>
      <vt:variant>
        <vt:lpwstr/>
      </vt:variant>
      <vt:variant>
        <vt:lpwstr>_Toc1864488277</vt:lpwstr>
      </vt:variant>
      <vt:variant>
        <vt:i4>2949127</vt:i4>
      </vt:variant>
      <vt:variant>
        <vt:i4>101</vt:i4>
      </vt:variant>
      <vt:variant>
        <vt:i4>0</vt:i4>
      </vt:variant>
      <vt:variant>
        <vt:i4>5</vt:i4>
      </vt:variant>
      <vt:variant>
        <vt:lpwstr/>
      </vt:variant>
      <vt:variant>
        <vt:lpwstr>_Toc1589569323</vt:lpwstr>
      </vt:variant>
      <vt:variant>
        <vt:i4>2686989</vt:i4>
      </vt:variant>
      <vt:variant>
        <vt:i4>95</vt:i4>
      </vt:variant>
      <vt:variant>
        <vt:i4>0</vt:i4>
      </vt:variant>
      <vt:variant>
        <vt:i4>5</vt:i4>
      </vt:variant>
      <vt:variant>
        <vt:lpwstr/>
      </vt:variant>
      <vt:variant>
        <vt:lpwstr>_Toc1033953850</vt:lpwstr>
      </vt:variant>
      <vt:variant>
        <vt:i4>1245243</vt:i4>
      </vt:variant>
      <vt:variant>
        <vt:i4>89</vt:i4>
      </vt:variant>
      <vt:variant>
        <vt:i4>0</vt:i4>
      </vt:variant>
      <vt:variant>
        <vt:i4>5</vt:i4>
      </vt:variant>
      <vt:variant>
        <vt:lpwstr/>
      </vt:variant>
      <vt:variant>
        <vt:lpwstr>_Toc257797710</vt:lpwstr>
      </vt:variant>
      <vt:variant>
        <vt:i4>2555910</vt:i4>
      </vt:variant>
      <vt:variant>
        <vt:i4>83</vt:i4>
      </vt:variant>
      <vt:variant>
        <vt:i4>0</vt:i4>
      </vt:variant>
      <vt:variant>
        <vt:i4>5</vt:i4>
      </vt:variant>
      <vt:variant>
        <vt:lpwstr/>
      </vt:variant>
      <vt:variant>
        <vt:lpwstr>_Toc1248670558</vt:lpwstr>
      </vt:variant>
      <vt:variant>
        <vt:i4>1900592</vt:i4>
      </vt:variant>
      <vt:variant>
        <vt:i4>77</vt:i4>
      </vt:variant>
      <vt:variant>
        <vt:i4>0</vt:i4>
      </vt:variant>
      <vt:variant>
        <vt:i4>5</vt:i4>
      </vt:variant>
      <vt:variant>
        <vt:lpwstr/>
      </vt:variant>
      <vt:variant>
        <vt:lpwstr>_Toc68620101</vt:lpwstr>
      </vt:variant>
      <vt:variant>
        <vt:i4>2621441</vt:i4>
      </vt:variant>
      <vt:variant>
        <vt:i4>71</vt:i4>
      </vt:variant>
      <vt:variant>
        <vt:i4>0</vt:i4>
      </vt:variant>
      <vt:variant>
        <vt:i4>5</vt:i4>
      </vt:variant>
      <vt:variant>
        <vt:lpwstr/>
      </vt:variant>
      <vt:variant>
        <vt:lpwstr>_Toc1076303970</vt:lpwstr>
      </vt:variant>
      <vt:variant>
        <vt:i4>1507382</vt:i4>
      </vt:variant>
      <vt:variant>
        <vt:i4>65</vt:i4>
      </vt:variant>
      <vt:variant>
        <vt:i4>0</vt:i4>
      </vt:variant>
      <vt:variant>
        <vt:i4>5</vt:i4>
      </vt:variant>
      <vt:variant>
        <vt:lpwstr/>
      </vt:variant>
      <vt:variant>
        <vt:lpwstr>_Toc796839481</vt:lpwstr>
      </vt:variant>
      <vt:variant>
        <vt:i4>2752515</vt:i4>
      </vt:variant>
      <vt:variant>
        <vt:i4>59</vt:i4>
      </vt:variant>
      <vt:variant>
        <vt:i4>0</vt:i4>
      </vt:variant>
      <vt:variant>
        <vt:i4>5</vt:i4>
      </vt:variant>
      <vt:variant>
        <vt:lpwstr/>
      </vt:variant>
      <vt:variant>
        <vt:lpwstr>_Toc1427550952</vt:lpwstr>
      </vt:variant>
      <vt:variant>
        <vt:i4>1179707</vt:i4>
      </vt:variant>
      <vt:variant>
        <vt:i4>53</vt:i4>
      </vt:variant>
      <vt:variant>
        <vt:i4>0</vt:i4>
      </vt:variant>
      <vt:variant>
        <vt:i4>5</vt:i4>
      </vt:variant>
      <vt:variant>
        <vt:lpwstr/>
      </vt:variant>
      <vt:variant>
        <vt:lpwstr>_Toc395759822</vt:lpwstr>
      </vt:variant>
      <vt:variant>
        <vt:i4>2097157</vt:i4>
      </vt:variant>
      <vt:variant>
        <vt:i4>47</vt:i4>
      </vt:variant>
      <vt:variant>
        <vt:i4>0</vt:i4>
      </vt:variant>
      <vt:variant>
        <vt:i4>5</vt:i4>
      </vt:variant>
      <vt:variant>
        <vt:lpwstr/>
      </vt:variant>
      <vt:variant>
        <vt:lpwstr>_Toc1197078254</vt:lpwstr>
      </vt:variant>
      <vt:variant>
        <vt:i4>1572917</vt:i4>
      </vt:variant>
      <vt:variant>
        <vt:i4>41</vt:i4>
      </vt:variant>
      <vt:variant>
        <vt:i4>0</vt:i4>
      </vt:variant>
      <vt:variant>
        <vt:i4>5</vt:i4>
      </vt:variant>
      <vt:variant>
        <vt:lpwstr/>
      </vt:variant>
      <vt:variant>
        <vt:lpwstr>_Toc650340794</vt:lpwstr>
      </vt:variant>
      <vt:variant>
        <vt:i4>2424833</vt:i4>
      </vt:variant>
      <vt:variant>
        <vt:i4>35</vt:i4>
      </vt:variant>
      <vt:variant>
        <vt:i4>0</vt:i4>
      </vt:variant>
      <vt:variant>
        <vt:i4>5</vt:i4>
      </vt:variant>
      <vt:variant>
        <vt:lpwstr/>
      </vt:variant>
      <vt:variant>
        <vt:lpwstr>_Toc1298170689</vt:lpwstr>
      </vt:variant>
      <vt:variant>
        <vt:i4>1966143</vt:i4>
      </vt:variant>
      <vt:variant>
        <vt:i4>29</vt:i4>
      </vt:variant>
      <vt:variant>
        <vt:i4>0</vt:i4>
      </vt:variant>
      <vt:variant>
        <vt:i4>5</vt:i4>
      </vt:variant>
      <vt:variant>
        <vt:lpwstr/>
      </vt:variant>
      <vt:variant>
        <vt:lpwstr>_Toc685053927</vt:lpwstr>
      </vt:variant>
      <vt:variant>
        <vt:i4>2228234</vt:i4>
      </vt:variant>
      <vt:variant>
        <vt:i4>23</vt:i4>
      </vt:variant>
      <vt:variant>
        <vt:i4>0</vt:i4>
      </vt:variant>
      <vt:variant>
        <vt:i4>5</vt:i4>
      </vt:variant>
      <vt:variant>
        <vt:lpwstr/>
      </vt:variant>
      <vt:variant>
        <vt:lpwstr>_Toc1066357791</vt:lpwstr>
      </vt:variant>
      <vt:variant>
        <vt:i4>2883599</vt:i4>
      </vt:variant>
      <vt:variant>
        <vt:i4>17</vt:i4>
      </vt:variant>
      <vt:variant>
        <vt:i4>0</vt:i4>
      </vt:variant>
      <vt:variant>
        <vt:i4>5</vt:i4>
      </vt:variant>
      <vt:variant>
        <vt:lpwstr/>
      </vt:variant>
      <vt:variant>
        <vt:lpwstr>_Toc1588744456</vt:lpwstr>
      </vt:variant>
      <vt:variant>
        <vt:i4>1769534</vt:i4>
      </vt:variant>
      <vt:variant>
        <vt:i4>11</vt:i4>
      </vt:variant>
      <vt:variant>
        <vt:i4>0</vt:i4>
      </vt:variant>
      <vt:variant>
        <vt:i4>5</vt:i4>
      </vt:variant>
      <vt:variant>
        <vt:lpwstr/>
      </vt:variant>
      <vt:variant>
        <vt:lpwstr>_Toc985939141</vt:lpwstr>
      </vt:variant>
      <vt:variant>
        <vt:i4>6226030</vt:i4>
      </vt:variant>
      <vt:variant>
        <vt:i4>6</vt:i4>
      </vt:variant>
      <vt:variant>
        <vt:i4>0</vt:i4>
      </vt:variant>
      <vt:variant>
        <vt:i4>5</vt:i4>
      </vt:variant>
      <vt:variant>
        <vt:lpwstr>mailto:ODA-Transparency@beis.gov.uk</vt:lpwstr>
      </vt:variant>
      <vt:variant>
        <vt:lpwstr/>
      </vt:variant>
      <vt:variant>
        <vt:i4>3670022</vt:i4>
      </vt:variant>
      <vt:variant>
        <vt:i4>3</vt:i4>
      </vt:variant>
      <vt:variant>
        <vt:i4>0</vt:i4>
      </vt:variant>
      <vt:variant>
        <vt:i4>5</vt:i4>
      </vt:variant>
      <vt:variant>
        <vt:lpwstr>mailto:psi@nationalarchives.gsi.gov.uk</vt:lpwstr>
      </vt:variant>
      <vt:variant>
        <vt:lpwstr/>
      </vt:variant>
      <vt:variant>
        <vt:i4>5505106</vt:i4>
      </vt:variant>
      <vt:variant>
        <vt:i4>0</vt:i4>
      </vt:variant>
      <vt:variant>
        <vt:i4>0</vt:i4>
      </vt:variant>
      <vt:variant>
        <vt:i4>5</vt:i4>
      </vt:variant>
      <vt:variant>
        <vt:lpwstr>http://nationalarchives.gov.uk/doc/open-government-licence/version/3/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Smithers, William (Intl Climate Finance: Portfolio)</dc:creator>
  <cp:keywords/>
  <dc:description/>
  <cp:lastModifiedBy>Mangheni, Edwin (Energy Security)</cp:lastModifiedBy>
  <cp:revision>2</cp:revision>
  <dcterms:created xsi:type="dcterms:W3CDTF">2026-03-12T11:25:00Z</dcterms:created>
  <dcterms:modified xsi:type="dcterms:W3CDTF">2026-03-12T11:25:00Z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2020-07-31T08:26:31Z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cddeefbe-1e4c-49e9-8a2d-000074bea76d</vt:lpwstr>
  </property>
  <property fmtid="{D5CDD505-2E9C-101B-9397-08002B2CF9AE}" pid="8" name="MSIP_Label_ba62f585-b40f-4ab9-bafe-39150f03d124_ContentBits">
    <vt:lpwstr>0</vt:lpwstr>
  </property>
  <property fmtid="{D5CDD505-2E9C-101B-9397-08002B2CF9AE}" pid="9" name="Business Document Type">
    <vt:lpwstr>Annual review</vt:lpwstr>
  </property>
  <property fmtid="{D5CDD505-2E9C-101B-9397-08002B2CF9AE}" pid="10" name="Business Unit">
    <vt:lpwstr>11;#International Climate Finance|25a07eec-082c-4868-be05-2bef48a6767e</vt:lpwstr>
  </property>
  <property fmtid="{D5CDD505-2E9C-101B-9397-08002B2CF9AE}" pid="11" name="MSIP_Label_e4c996da-17fa-4fc5-8989-2758fb4cf86b_ActionId">
    <vt:lpwstr>919708a4-416e-499e-8edc-0000a189eb48</vt:lpwstr>
  </property>
  <property fmtid="{D5CDD505-2E9C-101B-9397-08002B2CF9AE}" pid="12" name="MSIP_Label_e4c996da-17fa-4fc5-8989-2758fb4cf86b_SiteId">
    <vt:lpwstr>cdf709af-1a18-4c74-bd93-6d14a64d73b3</vt:lpwstr>
  </property>
  <property fmtid="{D5CDD505-2E9C-101B-9397-08002B2CF9AE}" pid="13" name="MSIP_Label_e4c996da-17fa-4fc5-8989-2758fb4cf86b_ContentBits">
    <vt:lpwstr>1</vt:lpwstr>
  </property>
  <property fmtid="{D5CDD505-2E9C-101B-9397-08002B2CF9AE}" pid="14" name="ContentTypeId">
    <vt:lpwstr>0x010100F54C3EB26AF9C447B106C5BC6056A95F</vt:lpwstr>
  </property>
  <property fmtid="{D5CDD505-2E9C-101B-9397-08002B2CF9AE}" pid="15" name="MSIP_Label_e4c996da-17fa-4fc5-8989-2758fb4cf86b_Enabled">
    <vt:lpwstr>true</vt:lpwstr>
  </property>
  <property fmtid="{D5CDD505-2E9C-101B-9397-08002B2CF9AE}" pid="16" name="MSIP_Label_e4c996da-17fa-4fc5-8989-2758fb4cf86b_Name">
    <vt:lpwstr>OFFICIAL</vt:lpwstr>
  </property>
  <property fmtid="{D5CDD505-2E9C-101B-9397-08002B2CF9AE}" pid="17" name="MSIP_Label_e4c996da-17fa-4fc5-8989-2758fb4cf86b_SetDate">
    <vt:lpwstr>2020-03-30T16:49:07Z</vt:lpwstr>
  </property>
  <property fmtid="{D5CDD505-2E9C-101B-9397-08002B2CF9AE}" pid="18" name="MSIP_Label_e4c996da-17fa-4fc5-8989-2758fb4cf86b_Method">
    <vt:lpwstr>Standard</vt:lpwstr>
  </property>
  <property fmtid="{D5CDD505-2E9C-101B-9397-08002B2CF9AE}" pid="19" name="MediaServiceImageTags">
    <vt:lpwstr/>
  </property>
  <property fmtid="{D5CDD505-2E9C-101B-9397-08002B2CF9AE}" pid="20" name="_dlc_DocIdItemGuid">
    <vt:lpwstr>6091eb2a-944c-4f35-89b6-256c1e95d377</vt:lpwstr>
  </property>
  <property fmtid="{D5CDD505-2E9C-101B-9397-08002B2CF9AE}" pid="21" name="Business_x0020_Unit">
    <vt:lpwstr>11;#International Climate Finance|25a07eec-082c-4868-be05-2bef48a6767e</vt:lpwstr>
  </property>
</Properties>
</file>