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C0E8" w14:textId="77777777" w:rsidR="00C67FEB" w:rsidRDefault="00C67FEB" w:rsidP="003D222C">
      <w:pPr>
        <w:rPr>
          <w:sz w:val="22"/>
          <w:szCs w:val="22"/>
          <w:u w:val="single"/>
        </w:rPr>
      </w:pPr>
    </w:p>
    <w:p w14:paraId="38EC76C4" w14:textId="77777777" w:rsidR="00885BB9" w:rsidRDefault="00885BB9" w:rsidP="00885BB9">
      <w:pPr>
        <w:pStyle w:val="BEISTitle"/>
      </w:pPr>
    </w:p>
    <w:p w14:paraId="0A34EE9B" w14:textId="77777777" w:rsidR="00885BB9" w:rsidRDefault="00885BB9" w:rsidP="00885BB9">
      <w:pPr>
        <w:pStyle w:val="BEISTitle"/>
      </w:pPr>
    </w:p>
    <w:p w14:paraId="76C49B04" w14:textId="77777777" w:rsidR="00885BB9" w:rsidRDefault="00885BB9" w:rsidP="00885BB9">
      <w:pPr>
        <w:pStyle w:val="BEISTitle"/>
      </w:pPr>
    </w:p>
    <w:p w14:paraId="7C7FEA78" w14:textId="77777777" w:rsidR="00885BB9" w:rsidRDefault="00885BB9" w:rsidP="00885BB9">
      <w:pPr>
        <w:pStyle w:val="BEISTitle"/>
      </w:pPr>
    </w:p>
    <w:p w14:paraId="64C9A776" w14:textId="77777777" w:rsidR="00D80C6C" w:rsidRDefault="00D80C6C" w:rsidP="00885BB9">
      <w:pPr>
        <w:pStyle w:val="BEISTitle"/>
      </w:pPr>
    </w:p>
    <w:p w14:paraId="6C63CC07" w14:textId="1FA71FAD" w:rsidR="00964968" w:rsidRDefault="004429CF" w:rsidP="00964968">
      <w:pPr>
        <w:pStyle w:val="BEISTitle"/>
      </w:pPr>
      <w:r>
        <w:t>Climate Investment Funds</w:t>
      </w:r>
      <w:r w:rsidR="00964968">
        <w:t xml:space="preserve"> Annual Review </w:t>
      </w:r>
      <w:r>
        <w:t>2025</w:t>
      </w:r>
    </w:p>
    <w:p w14:paraId="624DAC73" w14:textId="3BC335B7" w:rsidR="00C67FEB" w:rsidRDefault="00C67FEB">
      <w:pPr>
        <w:spacing w:after="160" w:line="259" w:lineRule="auto"/>
        <w:rPr>
          <w:sz w:val="22"/>
          <w:szCs w:val="22"/>
          <w:u w:val="single"/>
        </w:rPr>
      </w:pPr>
    </w:p>
    <w:p w14:paraId="4AF08E4A" w14:textId="20AFDEDA" w:rsidR="007D1D64" w:rsidRDefault="007D1D64">
      <w:pPr>
        <w:spacing w:after="160" w:line="259" w:lineRule="auto"/>
        <w:rPr>
          <w:sz w:val="22"/>
          <w:szCs w:val="22"/>
        </w:rPr>
      </w:pPr>
    </w:p>
    <w:p w14:paraId="160505CC" w14:textId="77777777" w:rsidR="007D1D64" w:rsidRPr="007D1D64" w:rsidRDefault="007D1D64">
      <w:pPr>
        <w:spacing w:after="160" w:line="259" w:lineRule="auto"/>
        <w:rPr>
          <w:sz w:val="22"/>
          <w:szCs w:val="22"/>
        </w:rPr>
      </w:pPr>
    </w:p>
    <w:p w14:paraId="6ED798D0" w14:textId="77777777" w:rsidR="00090217" w:rsidRDefault="00090217" w:rsidP="003D222C">
      <w:pPr>
        <w:rPr>
          <w:sz w:val="22"/>
          <w:szCs w:val="22"/>
          <w:u w:val="single"/>
        </w:rPr>
      </w:pPr>
    </w:p>
    <w:p w14:paraId="1F841114" w14:textId="027A752E" w:rsidR="007D1D64" w:rsidRDefault="007D1D64" w:rsidP="007D1D64">
      <w:pPr>
        <w:spacing w:after="160" w:line="259" w:lineRule="auto"/>
        <w:rPr>
          <w:sz w:val="22"/>
          <w:szCs w:val="22"/>
        </w:rPr>
      </w:pPr>
    </w:p>
    <w:p w14:paraId="744BC35C" w14:textId="77777777" w:rsidR="007D1D64" w:rsidRDefault="007D1D64">
      <w:pPr>
        <w:spacing w:after="160" w:line="259" w:lineRule="auto"/>
        <w:rPr>
          <w:sz w:val="22"/>
          <w:szCs w:val="22"/>
        </w:rPr>
      </w:pPr>
    </w:p>
    <w:p w14:paraId="2EEE1272" w14:textId="0FA2D180" w:rsidR="007D1D64" w:rsidRDefault="007D1D64">
      <w:pPr>
        <w:spacing w:after="160" w:line="259" w:lineRule="auto"/>
        <w:rPr>
          <w:sz w:val="22"/>
          <w:szCs w:val="22"/>
        </w:rPr>
      </w:pPr>
      <w:r>
        <w:rPr>
          <w:sz w:val="22"/>
          <w:szCs w:val="22"/>
        </w:rPr>
        <w:br w:type="page"/>
      </w:r>
    </w:p>
    <w:p w14:paraId="1FB1C90B" w14:textId="21AF7FBD" w:rsidR="007D1D64" w:rsidRDefault="007D1D64" w:rsidP="007D1D64">
      <w:pPr>
        <w:spacing w:after="160" w:line="259" w:lineRule="auto"/>
        <w:rPr>
          <w:sz w:val="22"/>
          <w:szCs w:val="22"/>
        </w:rPr>
      </w:pPr>
    </w:p>
    <w:p w14:paraId="6FC09FA9" w14:textId="77777777" w:rsidR="007D1D64" w:rsidRPr="007D1D64" w:rsidRDefault="007D1D64" w:rsidP="007D1D64">
      <w:pPr>
        <w:spacing w:after="160" w:line="259" w:lineRule="auto"/>
        <w:rPr>
          <w:sz w:val="22"/>
          <w:szCs w:val="22"/>
        </w:rPr>
      </w:pPr>
    </w:p>
    <w:p w14:paraId="40B4FF2C" w14:textId="77777777" w:rsidR="00112E33" w:rsidRDefault="00112E33" w:rsidP="007D1D64">
      <w:pPr>
        <w:spacing w:after="160" w:line="259" w:lineRule="auto"/>
        <w:rPr>
          <w:sz w:val="22"/>
          <w:szCs w:val="22"/>
        </w:rPr>
      </w:pPr>
    </w:p>
    <w:p w14:paraId="01A42860" w14:textId="77777777" w:rsidR="00112E33" w:rsidRDefault="00112E33" w:rsidP="007D1D64">
      <w:pPr>
        <w:spacing w:after="160" w:line="259" w:lineRule="auto"/>
        <w:rPr>
          <w:sz w:val="22"/>
          <w:szCs w:val="22"/>
        </w:rPr>
      </w:pPr>
    </w:p>
    <w:p w14:paraId="4A8FCC2A" w14:textId="77777777" w:rsidR="00112E33" w:rsidRDefault="00112E33" w:rsidP="007D1D64">
      <w:pPr>
        <w:spacing w:after="160" w:line="259" w:lineRule="auto"/>
        <w:rPr>
          <w:sz w:val="22"/>
          <w:szCs w:val="22"/>
        </w:rPr>
      </w:pPr>
    </w:p>
    <w:p w14:paraId="31553A3C" w14:textId="77777777" w:rsidR="00112E33" w:rsidRDefault="00112E33" w:rsidP="007D1D64">
      <w:pPr>
        <w:spacing w:after="160" w:line="259" w:lineRule="auto"/>
        <w:rPr>
          <w:sz w:val="22"/>
          <w:szCs w:val="22"/>
        </w:rPr>
      </w:pPr>
    </w:p>
    <w:p w14:paraId="1E72DB9D" w14:textId="77777777" w:rsidR="00112E33" w:rsidRDefault="00112E33" w:rsidP="007D1D64">
      <w:pPr>
        <w:spacing w:after="160" w:line="259" w:lineRule="auto"/>
        <w:rPr>
          <w:sz w:val="22"/>
          <w:szCs w:val="22"/>
        </w:rPr>
      </w:pPr>
    </w:p>
    <w:p w14:paraId="716930C2" w14:textId="77777777" w:rsidR="00112E33" w:rsidRDefault="00112E33" w:rsidP="007D1D64">
      <w:pPr>
        <w:spacing w:after="160" w:line="259" w:lineRule="auto"/>
        <w:rPr>
          <w:sz w:val="22"/>
          <w:szCs w:val="22"/>
        </w:rPr>
      </w:pPr>
    </w:p>
    <w:p w14:paraId="3ABDAEFF" w14:textId="77777777" w:rsidR="00112E33" w:rsidRDefault="00112E33" w:rsidP="007D1D64">
      <w:pPr>
        <w:spacing w:after="160" w:line="259" w:lineRule="auto"/>
        <w:rPr>
          <w:sz w:val="22"/>
          <w:szCs w:val="22"/>
        </w:rPr>
      </w:pPr>
    </w:p>
    <w:p w14:paraId="0884299F" w14:textId="77777777" w:rsidR="00112E33" w:rsidRDefault="00112E33" w:rsidP="007D1D64">
      <w:pPr>
        <w:spacing w:after="160" w:line="259" w:lineRule="auto"/>
        <w:rPr>
          <w:sz w:val="22"/>
          <w:szCs w:val="22"/>
        </w:rPr>
      </w:pPr>
    </w:p>
    <w:p w14:paraId="3BF57744" w14:textId="77777777" w:rsidR="00112E33" w:rsidRDefault="00112E33" w:rsidP="007D1D64">
      <w:pPr>
        <w:spacing w:after="160" w:line="259" w:lineRule="auto"/>
        <w:rPr>
          <w:sz w:val="22"/>
          <w:szCs w:val="22"/>
        </w:rPr>
      </w:pPr>
    </w:p>
    <w:p w14:paraId="70B1D846" w14:textId="77777777" w:rsidR="00112E33" w:rsidRDefault="00112E33" w:rsidP="007D1D64">
      <w:pPr>
        <w:spacing w:after="160" w:line="259" w:lineRule="auto"/>
        <w:rPr>
          <w:sz w:val="22"/>
          <w:szCs w:val="22"/>
        </w:rPr>
      </w:pPr>
    </w:p>
    <w:p w14:paraId="5C64FB7B" w14:textId="77777777" w:rsidR="00112E33" w:rsidRDefault="00112E33" w:rsidP="007D1D64">
      <w:pPr>
        <w:spacing w:after="160" w:line="259" w:lineRule="auto"/>
        <w:rPr>
          <w:sz w:val="22"/>
          <w:szCs w:val="22"/>
        </w:rPr>
      </w:pPr>
    </w:p>
    <w:p w14:paraId="7997CC66" w14:textId="77777777" w:rsidR="00112E33" w:rsidRDefault="00112E33" w:rsidP="007D1D64">
      <w:pPr>
        <w:spacing w:after="160" w:line="259" w:lineRule="auto"/>
        <w:rPr>
          <w:sz w:val="22"/>
          <w:szCs w:val="22"/>
        </w:rPr>
      </w:pPr>
    </w:p>
    <w:p w14:paraId="629D0223" w14:textId="77777777" w:rsidR="00112E33" w:rsidRDefault="00112E33" w:rsidP="007D1D64">
      <w:pPr>
        <w:spacing w:after="160" w:line="259" w:lineRule="auto"/>
        <w:rPr>
          <w:sz w:val="22"/>
          <w:szCs w:val="22"/>
        </w:rPr>
      </w:pPr>
    </w:p>
    <w:p w14:paraId="7B71C4CA" w14:textId="77777777" w:rsidR="00112E33" w:rsidRDefault="00112E33" w:rsidP="007D1D64">
      <w:pPr>
        <w:spacing w:after="160" w:line="259" w:lineRule="auto"/>
        <w:rPr>
          <w:sz w:val="22"/>
          <w:szCs w:val="22"/>
        </w:rPr>
      </w:pPr>
    </w:p>
    <w:p w14:paraId="0CB89A50" w14:textId="77777777" w:rsidR="00112E33" w:rsidRDefault="00112E33" w:rsidP="007D1D64">
      <w:pPr>
        <w:spacing w:after="160" w:line="259" w:lineRule="auto"/>
        <w:rPr>
          <w:sz w:val="22"/>
          <w:szCs w:val="22"/>
        </w:rPr>
      </w:pPr>
    </w:p>
    <w:p w14:paraId="4B8E6647" w14:textId="77777777" w:rsidR="00112E33" w:rsidRDefault="00112E33" w:rsidP="007D1D64">
      <w:pPr>
        <w:spacing w:after="160" w:line="259" w:lineRule="auto"/>
        <w:rPr>
          <w:sz w:val="22"/>
          <w:szCs w:val="22"/>
        </w:rPr>
      </w:pPr>
    </w:p>
    <w:p w14:paraId="7C0186E9" w14:textId="77777777" w:rsidR="00112E33" w:rsidRDefault="00112E33" w:rsidP="007D1D64">
      <w:pPr>
        <w:spacing w:after="160" w:line="259" w:lineRule="auto"/>
        <w:rPr>
          <w:sz w:val="22"/>
          <w:szCs w:val="22"/>
        </w:rPr>
      </w:pPr>
    </w:p>
    <w:p w14:paraId="0E213DCA" w14:textId="77777777" w:rsidR="00112E33" w:rsidRDefault="00112E33" w:rsidP="007D1D64">
      <w:pPr>
        <w:spacing w:after="160" w:line="259" w:lineRule="auto"/>
        <w:rPr>
          <w:sz w:val="22"/>
          <w:szCs w:val="22"/>
        </w:rPr>
      </w:pPr>
    </w:p>
    <w:p w14:paraId="7F45EBE4" w14:textId="77777777" w:rsidR="00112E33" w:rsidRDefault="00112E33" w:rsidP="007D1D64">
      <w:pPr>
        <w:spacing w:after="160" w:line="259" w:lineRule="auto"/>
        <w:rPr>
          <w:sz w:val="22"/>
          <w:szCs w:val="22"/>
        </w:rPr>
      </w:pPr>
    </w:p>
    <w:p w14:paraId="5F38EC95" w14:textId="77777777" w:rsidR="00112E33" w:rsidRDefault="00112E33" w:rsidP="007D1D64">
      <w:pPr>
        <w:spacing w:after="160" w:line="259" w:lineRule="auto"/>
        <w:rPr>
          <w:sz w:val="22"/>
          <w:szCs w:val="22"/>
        </w:rPr>
      </w:pPr>
    </w:p>
    <w:p w14:paraId="0FDC2684" w14:textId="77777777" w:rsidR="00112E33" w:rsidRDefault="00112E33" w:rsidP="007D1D64">
      <w:pPr>
        <w:spacing w:after="160" w:line="259" w:lineRule="auto"/>
        <w:rPr>
          <w:sz w:val="22"/>
          <w:szCs w:val="22"/>
        </w:rPr>
      </w:pPr>
    </w:p>
    <w:p w14:paraId="1E5D0624" w14:textId="77777777" w:rsidR="00112E33" w:rsidRDefault="00112E33" w:rsidP="007D1D64">
      <w:pPr>
        <w:spacing w:after="160" w:line="259" w:lineRule="auto"/>
        <w:rPr>
          <w:sz w:val="22"/>
          <w:szCs w:val="22"/>
        </w:rPr>
      </w:pPr>
    </w:p>
    <w:p w14:paraId="59AFB796" w14:textId="6367C0D1" w:rsidR="00112E33" w:rsidRDefault="00112E33" w:rsidP="007D1D64">
      <w:pPr>
        <w:spacing w:after="160" w:line="259" w:lineRule="auto"/>
        <w:rPr>
          <w:sz w:val="22"/>
          <w:szCs w:val="22"/>
        </w:rPr>
      </w:pPr>
      <w:r>
        <w:rPr>
          <w:noProof/>
        </w:rPr>
        <w:drawing>
          <wp:inline distT="0" distB="0" distL="0" distR="0" wp14:anchorId="6721D763" wp14:editId="1850EFF9">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4BBA0357" w14:textId="78B3CC3A" w:rsidR="007D1D64" w:rsidRPr="007D1D64" w:rsidRDefault="007D1D64" w:rsidP="007D1D64">
      <w:pPr>
        <w:spacing w:after="160" w:line="259" w:lineRule="auto"/>
        <w:rPr>
          <w:sz w:val="22"/>
          <w:szCs w:val="22"/>
        </w:rPr>
      </w:pPr>
      <w:r w:rsidRPr="007D1D64">
        <w:rPr>
          <w:sz w:val="22"/>
          <w:szCs w:val="22"/>
        </w:rPr>
        <w:t>© Crown copyright 20</w:t>
      </w:r>
      <w:r w:rsidR="004429CF">
        <w:rPr>
          <w:sz w:val="22"/>
          <w:szCs w:val="22"/>
        </w:rPr>
        <w:t>26</w:t>
      </w:r>
    </w:p>
    <w:p w14:paraId="3A1EFEA4" w14:textId="779BDFEB" w:rsidR="007D1D64" w:rsidRPr="007D1D64" w:rsidRDefault="007D1D64" w:rsidP="007D1D64">
      <w:pPr>
        <w:spacing w:after="160" w:line="259" w:lineRule="auto"/>
        <w:rPr>
          <w:sz w:val="22"/>
          <w:szCs w:val="22"/>
        </w:rPr>
      </w:pPr>
      <w:r w:rsidRPr="007D1D64">
        <w:rPr>
          <w:sz w:val="22"/>
          <w:szCs w:val="22"/>
        </w:rPr>
        <w:t xml:space="preserve">This publication is licensed under the terms of the Open Government Licence v3.0 except where otherwise stated. To view this licence, visit </w:t>
      </w:r>
      <w:hyperlink r:id="rId13" w:history="1">
        <w:r w:rsidRPr="00D56ED4">
          <w:rPr>
            <w:rStyle w:val="Hyperlink"/>
            <w:sz w:val="22"/>
            <w:szCs w:val="22"/>
          </w:rPr>
          <w:t>nationalarchives.gov.uk/doc/open-government-licence/version/3</w:t>
        </w:r>
      </w:hyperlink>
      <w:r w:rsidRPr="007D1D64">
        <w:rPr>
          <w:sz w:val="22"/>
          <w:szCs w:val="22"/>
        </w:rPr>
        <w:t xml:space="preserve"> or write to the Information Policy Team, The National Archives, Kew, London TW9 4DU, or email: </w:t>
      </w:r>
      <w:hyperlink r:id="rId14" w:history="1">
        <w:r w:rsidR="009E1EAF" w:rsidRPr="00236685">
          <w:rPr>
            <w:rStyle w:val="Hyperlink"/>
            <w:sz w:val="22"/>
            <w:szCs w:val="22"/>
          </w:rPr>
          <w:t>psi@nationalarchives.gsi.gov.uk</w:t>
        </w:r>
      </w:hyperlink>
      <w:r w:rsidRPr="007D1D64">
        <w:rPr>
          <w:sz w:val="22"/>
          <w:szCs w:val="22"/>
        </w:rPr>
        <w:t>.</w:t>
      </w:r>
      <w:r w:rsidR="009E1EAF">
        <w:rPr>
          <w:sz w:val="22"/>
          <w:szCs w:val="22"/>
        </w:rPr>
        <w:t xml:space="preserve"> </w:t>
      </w:r>
    </w:p>
    <w:p w14:paraId="521BB1D8" w14:textId="77777777" w:rsidR="007D1D64" w:rsidRPr="007D1D64" w:rsidRDefault="007D1D64" w:rsidP="007D1D64">
      <w:pPr>
        <w:spacing w:after="160" w:line="259" w:lineRule="auto"/>
        <w:rPr>
          <w:sz w:val="22"/>
          <w:szCs w:val="22"/>
        </w:rPr>
      </w:pPr>
      <w:r w:rsidRPr="007D1D64">
        <w:rPr>
          <w:sz w:val="22"/>
          <w:szCs w:val="22"/>
        </w:rPr>
        <w:t>Where we have identified any third-party copyright information you will need to obtain permission from the copyright holders concerned.</w:t>
      </w:r>
    </w:p>
    <w:p w14:paraId="0B828443" w14:textId="77777777" w:rsidR="007D1D64" w:rsidRPr="007D1D64" w:rsidRDefault="007D1D64" w:rsidP="007D1D64">
      <w:pPr>
        <w:spacing w:after="160" w:line="259" w:lineRule="auto"/>
        <w:rPr>
          <w:sz w:val="22"/>
          <w:szCs w:val="22"/>
        </w:rPr>
      </w:pPr>
      <w:r w:rsidRPr="007D1D64">
        <w:rPr>
          <w:sz w:val="22"/>
          <w:szCs w:val="22"/>
        </w:rPr>
        <w:t xml:space="preserve">Any enquiries regarding this publication should be sent to us at: </w:t>
      </w:r>
    </w:p>
    <w:p w14:paraId="6B266A93" w14:textId="77777777" w:rsidR="00773FD7" w:rsidRDefault="00773FD7">
      <w:pPr>
        <w:spacing w:after="160" w:line="254" w:lineRule="auto"/>
      </w:pPr>
      <w:hyperlink r:id="rId15" w:history="1">
        <w:r>
          <w:rPr>
            <w:rStyle w:val="Hyperlink"/>
            <w:sz w:val="22"/>
            <w:szCs w:val="22"/>
          </w:rPr>
          <w:t>ODA-Transparency@beis.gov.uk</w:t>
        </w:r>
      </w:hyperlink>
    </w:p>
    <w:sdt>
      <w:sdtPr>
        <w:rPr>
          <w:rFonts w:ascii="Arial" w:eastAsia="Times New Roman" w:hAnsi="Arial" w:cs="Times New Roman"/>
          <w:color w:val="auto"/>
          <w:sz w:val="24"/>
          <w:szCs w:val="24"/>
          <w:lang w:val="en-GB"/>
        </w:rPr>
        <w:id w:val="744424984"/>
        <w:docPartObj>
          <w:docPartGallery w:val="Table of Contents"/>
          <w:docPartUnique/>
        </w:docPartObj>
      </w:sdtPr>
      <w:sdtContent>
        <w:p w14:paraId="52C8021F" w14:textId="7479CA6B" w:rsidR="001B14BA" w:rsidRDefault="001B14BA">
          <w:pPr>
            <w:pStyle w:val="TOCHeading"/>
            <w:rPr>
              <w:rFonts w:ascii="Arial" w:hAnsi="Arial" w:cs="Arial"/>
              <w:color w:val="002060"/>
              <w:sz w:val="76"/>
              <w:szCs w:val="76"/>
            </w:rPr>
          </w:pPr>
          <w:r w:rsidRPr="527A8EFF">
            <w:rPr>
              <w:rFonts w:ascii="Arial" w:hAnsi="Arial" w:cs="Arial"/>
              <w:color w:val="002060"/>
              <w:sz w:val="76"/>
              <w:szCs w:val="76"/>
            </w:rPr>
            <w:t>Contents</w:t>
          </w:r>
        </w:p>
        <w:p w14:paraId="7F576620" w14:textId="77777777" w:rsidR="0030176F" w:rsidRPr="0030176F" w:rsidRDefault="0030176F" w:rsidP="0030176F">
          <w:pPr>
            <w:rPr>
              <w:lang w:val="en-US"/>
            </w:rPr>
          </w:pPr>
        </w:p>
        <w:p w14:paraId="4A531AFB" w14:textId="7964F4C0" w:rsidR="159F08A2" w:rsidRDefault="159F08A2" w:rsidP="159F08A2">
          <w:pPr>
            <w:pStyle w:val="TOC1"/>
            <w:tabs>
              <w:tab w:val="right" w:leader="dot" w:pos="9016"/>
            </w:tabs>
            <w:rPr>
              <w:rFonts w:cs="Arial"/>
              <w:b/>
              <w:bCs/>
              <w:noProof/>
              <w:lang w:eastAsia="en-GB"/>
            </w:rPr>
          </w:pPr>
        </w:p>
        <w:p w14:paraId="225CE3A1" w14:textId="5772C6B6" w:rsidR="00A615D9" w:rsidRDefault="00023069">
          <w:pPr>
            <w:pStyle w:val="TOC1"/>
            <w:tabs>
              <w:tab w:val="right" w:leader="dot" w:pos="9016"/>
            </w:tabs>
            <w:rPr>
              <w:rFonts w:asciiTheme="minorHAnsi" w:eastAsiaTheme="minorEastAsia" w:hAnsiTheme="minorHAnsi" w:cstheme="minorBidi"/>
              <w:noProof/>
              <w:kern w:val="2"/>
              <w:lang w:eastAsia="en-GB"/>
              <w14:ligatures w14:val="standardContextual"/>
            </w:rPr>
          </w:pPr>
          <w:r>
            <w:fldChar w:fldCharType="begin"/>
          </w:r>
          <w:r w:rsidR="001B14BA">
            <w:instrText>TOC \o "1-3" \z \u \h</w:instrText>
          </w:r>
          <w:r>
            <w:fldChar w:fldCharType="separate"/>
          </w:r>
          <w:hyperlink w:anchor="_Toc224897450" w:history="1">
            <w:r w:rsidR="00A615D9" w:rsidRPr="00314E1C">
              <w:rPr>
                <w:rStyle w:val="Hyperlink"/>
                <w:rFonts w:cs="Arial"/>
                <w:b/>
                <w:bCs/>
                <w:noProof/>
                <w:lang w:eastAsia="en-GB"/>
              </w:rPr>
              <w:t>Section A: Summary and overview</w:t>
            </w:r>
            <w:r w:rsidR="00A615D9">
              <w:rPr>
                <w:noProof/>
                <w:webHidden/>
              </w:rPr>
              <w:tab/>
            </w:r>
            <w:r w:rsidR="00A615D9">
              <w:rPr>
                <w:noProof/>
                <w:webHidden/>
              </w:rPr>
              <w:fldChar w:fldCharType="begin"/>
            </w:r>
            <w:r w:rsidR="00A615D9">
              <w:rPr>
                <w:noProof/>
                <w:webHidden/>
              </w:rPr>
              <w:instrText xml:space="preserve"> PAGEREF _Toc224897450 \h </w:instrText>
            </w:r>
            <w:r w:rsidR="00A615D9">
              <w:rPr>
                <w:noProof/>
                <w:webHidden/>
              </w:rPr>
            </w:r>
            <w:r w:rsidR="00A615D9">
              <w:rPr>
                <w:noProof/>
                <w:webHidden/>
              </w:rPr>
              <w:fldChar w:fldCharType="separate"/>
            </w:r>
            <w:r w:rsidR="00A615D9">
              <w:rPr>
                <w:noProof/>
                <w:webHidden/>
              </w:rPr>
              <w:t>4</w:t>
            </w:r>
            <w:r w:rsidR="00A615D9">
              <w:rPr>
                <w:noProof/>
                <w:webHidden/>
              </w:rPr>
              <w:fldChar w:fldCharType="end"/>
            </w:r>
          </w:hyperlink>
        </w:p>
        <w:p w14:paraId="6095681C" w14:textId="0E6D8D60" w:rsidR="00A615D9" w:rsidRDefault="00A615D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897451" w:history="1">
            <w:r w:rsidRPr="00314E1C">
              <w:rPr>
                <w:rStyle w:val="Hyperlink"/>
                <w:noProof/>
              </w:rPr>
              <w:t>Description of programme</w:t>
            </w:r>
            <w:r>
              <w:rPr>
                <w:noProof/>
                <w:webHidden/>
              </w:rPr>
              <w:tab/>
            </w:r>
            <w:r>
              <w:rPr>
                <w:noProof/>
                <w:webHidden/>
              </w:rPr>
              <w:fldChar w:fldCharType="begin"/>
            </w:r>
            <w:r>
              <w:rPr>
                <w:noProof/>
                <w:webHidden/>
              </w:rPr>
              <w:instrText xml:space="preserve"> PAGEREF _Toc224897451 \h </w:instrText>
            </w:r>
            <w:r>
              <w:rPr>
                <w:noProof/>
                <w:webHidden/>
              </w:rPr>
            </w:r>
            <w:r>
              <w:rPr>
                <w:noProof/>
                <w:webHidden/>
              </w:rPr>
              <w:fldChar w:fldCharType="separate"/>
            </w:r>
            <w:r>
              <w:rPr>
                <w:noProof/>
                <w:webHidden/>
              </w:rPr>
              <w:t>4</w:t>
            </w:r>
            <w:r>
              <w:rPr>
                <w:noProof/>
                <w:webHidden/>
              </w:rPr>
              <w:fldChar w:fldCharType="end"/>
            </w:r>
          </w:hyperlink>
        </w:p>
        <w:p w14:paraId="5EC7E518" w14:textId="62071938" w:rsidR="00A615D9" w:rsidRDefault="00A615D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897452" w:history="1">
            <w:r w:rsidRPr="00314E1C">
              <w:rPr>
                <w:rStyle w:val="Hyperlink"/>
                <w:noProof/>
              </w:rPr>
              <w:t>Summary of progress and supporting narrative for the overall score</w:t>
            </w:r>
            <w:r>
              <w:rPr>
                <w:noProof/>
                <w:webHidden/>
              </w:rPr>
              <w:tab/>
            </w:r>
            <w:r>
              <w:rPr>
                <w:noProof/>
                <w:webHidden/>
              </w:rPr>
              <w:fldChar w:fldCharType="begin"/>
            </w:r>
            <w:r>
              <w:rPr>
                <w:noProof/>
                <w:webHidden/>
              </w:rPr>
              <w:instrText xml:space="preserve"> PAGEREF _Toc224897452 \h </w:instrText>
            </w:r>
            <w:r>
              <w:rPr>
                <w:noProof/>
                <w:webHidden/>
              </w:rPr>
            </w:r>
            <w:r>
              <w:rPr>
                <w:noProof/>
                <w:webHidden/>
              </w:rPr>
              <w:fldChar w:fldCharType="separate"/>
            </w:r>
            <w:r>
              <w:rPr>
                <w:noProof/>
                <w:webHidden/>
              </w:rPr>
              <w:t>6</w:t>
            </w:r>
            <w:r>
              <w:rPr>
                <w:noProof/>
                <w:webHidden/>
              </w:rPr>
              <w:fldChar w:fldCharType="end"/>
            </w:r>
          </w:hyperlink>
        </w:p>
        <w:p w14:paraId="35ACAB47" w14:textId="764BD521" w:rsidR="00A615D9" w:rsidRDefault="00A615D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897453" w:history="1">
            <w:r w:rsidRPr="00314E1C">
              <w:rPr>
                <w:rStyle w:val="Hyperlink"/>
                <w:noProof/>
              </w:rPr>
              <w:t>Progress against recommendations from the last review</w:t>
            </w:r>
            <w:r>
              <w:rPr>
                <w:noProof/>
                <w:webHidden/>
              </w:rPr>
              <w:tab/>
            </w:r>
            <w:r>
              <w:rPr>
                <w:noProof/>
                <w:webHidden/>
              </w:rPr>
              <w:fldChar w:fldCharType="begin"/>
            </w:r>
            <w:r>
              <w:rPr>
                <w:noProof/>
                <w:webHidden/>
              </w:rPr>
              <w:instrText xml:space="preserve"> PAGEREF _Toc224897453 \h </w:instrText>
            </w:r>
            <w:r>
              <w:rPr>
                <w:noProof/>
                <w:webHidden/>
              </w:rPr>
            </w:r>
            <w:r>
              <w:rPr>
                <w:noProof/>
                <w:webHidden/>
              </w:rPr>
              <w:fldChar w:fldCharType="separate"/>
            </w:r>
            <w:r>
              <w:rPr>
                <w:noProof/>
                <w:webHidden/>
              </w:rPr>
              <w:t>7</w:t>
            </w:r>
            <w:r>
              <w:rPr>
                <w:noProof/>
                <w:webHidden/>
              </w:rPr>
              <w:fldChar w:fldCharType="end"/>
            </w:r>
          </w:hyperlink>
        </w:p>
        <w:p w14:paraId="3C33894D" w14:textId="6272FA94" w:rsidR="00A615D9" w:rsidRDefault="00A615D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897454" w:history="1">
            <w:r w:rsidRPr="00314E1C">
              <w:rPr>
                <w:rStyle w:val="Hyperlink"/>
                <w:bCs/>
                <w:iCs/>
                <w:noProof/>
              </w:rPr>
              <w:t>Recommendations for the year ahead</w:t>
            </w:r>
            <w:r>
              <w:rPr>
                <w:noProof/>
                <w:webHidden/>
              </w:rPr>
              <w:tab/>
            </w:r>
            <w:r>
              <w:rPr>
                <w:noProof/>
                <w:webHidden/>
              </w:rPr>
              <w:fldChar w:fldCharType="begin"/>
            </w:r>
            <w:r>
              <w:rPr>
                <w:noProof/>
                <w:webHidden/>
              </w:rPr>
              <w:instrText xml:space="preserve"> PAGEREF _Toc224897454 \h </w:instrText>
            </w:r>
            <w:r>
              <w:rPr>
                <w:noProof/>
                <w:webHidden/>
              </w:rPr>
            </w:r>
            <w:r>
              <w:rPr>
                <w:noProof/>
                <w:webHidden/>
              </w:rPr>
              <w:fldChar w:fldCharType="separate"/>
            </w:r>
            <w:r>
              <w:rPr>
                <w:noProof/>
                <w:webHidden/>
              </w:rPr>
              <w:t>9</w:t>
            </w:r>
            <w:r>
              <w:rPr>
                <w:noProof/>
                <w:webHidden/>
              </w:rPr>
              <w:fldChar w:fldCharType="end"/>
            </w:r>
          </w:hyperlink>
        </w:p>
        <w:p w14:paraId="202725E4" w14:textId="6254D7B9" w:rsidR="00A615D9" w:rsidRDefault="00A615D9">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4897455" w:history="1">
            <w:r w:rsidRPr="00314E1C">
              <w:rPr>
                <w:rStyle w:val="Hyperlink"/>
                <w:rFonts w:cs="Arial"/>
                <w:b/>
                <w:bCs/>
                <w:noProof/>
                <w:lang w:eastAsia="en-GB"/>
              </w:rPr>
              <w:t>Section B: Theory of change and progress towards outcomes</w:t>
            </w:r>
            <w:r>
              <w:rPr>
                <w:noProof/>
                <w:webHidden/>
              </w:rPr>
              <w:tab/>
            </w:r>
            <w:r>
              <w:rPr>
                <w:noProof/>
                <w:webHidden/>
              </w:rPr>
              <w:fldChar w:fldCharType="begin"/>
            </w:r>
            <w:r>
              <w:rPr>
                <w:noProof/>
                <w:webHidden/>
              </w:rPr>
              <w:instrText xml:space="preserve"> PAGEREF _Toc224897455 \h </w:instrText>
            </w:r>
            <w:r>
              <w:rPr>
                <w:noProof/>
                <w:webHidden/>
              </w:rPr>
            </w:r>
            <w:r>
              <w:rPr>
                <w:noProof/>
                <w:webHidden/>
              </w:rPr>
              <w:fldChar w:fldCharType="separate"/>
            </w:r>
            <w:r>
              <w:rPr>
                <w:noProof/>
                <w:webHidden/>
              </w:rPr>
              <w:t>10</w:t>
            </w:r>
            <w:r>
              <w:rPr>
                <w:noProof/>
                <w:webHidden/>
              </w:rPr>
              <w:fldChar w:fldCharType="end"/>
            </w:r>
          </w:hyperlink>
        </w:p>
        <w:p w14:paraId="18E56A48" w14:textId="431D642E" w:rsidR="00A615D9" w:rsidRDefault="00A615D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897456" w:history="1">
            <w:r w:rsidRPr="00314E1C">
              <w:rPr>
                <w:rStyle w:val="Hyperlink"/>
                <w:rFonts w:eastAsia="Arial"/>
                <w:noProof/>
              </w:rPr>
              <w:t>Summarise the programme’s theory of change, including any changes to outcome and impact Indicator from the original business case.</w:t>
            </w:r>
            <w:r>
              <w:rPr>
                <w:noProof/>
                <w:webHidden/>
              </w:rPr>
              <w:tab/>
            </w:r>
            <w:r>
              <w:rPr>
                <w:noProof/>
                <w:webHidden/>
              </w:rPr>
              <w:fldChar w:fldCharType="begin"/>
            </w:r>
            <w:r>
              <w:rPr>
                <w:noProof/>
                <w:webHidden/>
              </w:rPr>
              <w:instrText xml:space="preserve"> PAGEREF _Toc224897456 \h </w:instrText>
            </w:r>
            <w:r>
              <w:rPr>
                <w:noProof/>
                <w:webHidden/>
              </w:rPr>
            </w:r>
            <w:r>
              <w:rPr>
                <w:noProof/>
                <w:webHidden/>
              </w:rPr>
              <w:fldChar w:fldCharType="separate"/>
            </w:r>
            <w:r>
              <w:rPr>
                <w:noProof/>
                <w:webHidden/>
              </w:rPr>
              <w:t>10</w:t>
            </w:r>
            <w:r>
              <w:rPr>
                <w:noProof/>
                <w:webHidden/>
              </w:rPr>
              <w:fldChar w:fldCharType="end"/>
            </w:r>
          </w:hyperlink>
        </w:p>
        <w:p w14:paraId="342B0674" w14:textId="61CDECDB" w:rsidR="00A615D9" w:rsidRDefault="00A615D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897457" w:history="1">
            <w:r w:rsidRPr="00314E1C">
              <w:rPr>
                <w:rStyle w:val="Hyperlink"/>
                <w:rFonts w:eastAsia="Arial"/>
                <w:noProof/>
              </w:rPr>
              <w:t>Describe where the programme is on/off track to contribute to the expected outcomes and impact. What action is planned in the year ahead?</w:t>
            </w:r>
            <w:r>
              <w:rPr>
                <w:noProof/>
                <w:webHidden/>
              </w:rPr>
              <w:tab/>
            </w:r>
            <w:r>
              <w:rPr>
                <w:noProof/>
                <w:webHidden/>
              </w:rPr>
              <w:fldChar w:fldCharType="begin"/>
            </w:r>
            <w:r>
              <w:rPr>
                <w:noProof/>
                <w:webHidden/>
              </w:rPr>
              <w:instrText xml:space="preserve"> PAGEREF _Toc224897457 \h </w:instrText>
            </w:r>
            <w:r>
              <w:rPr>
                <w:noProof/>
                <w:webHidden/>
              </w:rPr>
            </w:r>
            <w:r>
              <w:rPr>
                <w:noProof/>
                <w:webHidden/>
              </w:rPr>
              <w:fldChar w:fldCharType="separate"/>
            </w:r>
            <w:r>
              <w:rPr>
                <w:noProof/>
                <w:webHidden/>
              </w:rPr>
              <w:t>11</w:t>
            </w:r>
            <w:r>
              <w:rPr>
                <w:noProof/>
                <w:webHidden/>
              </w:rPr>
              <w:fldChar w:fldCharType="end"/>
            </w:r>
          </w:hyperlink>
        </w:p>
        <w:p w14:paraId="71A34FC1" w14:textId="2BD69980" w:rsidR="00A615D9" w:rsidRDefault="00A615D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897458" w:history="1">
            <w:r w:rsidRPr="00314E1C">
              <w:rPr>
                <w:rStyle w:val="Hyperlink"/>
                <w:rFonts w:eastAsia="Arial"/>
                <w:noProof/>
              </w:rPr>
              <w:t>Has the Logframe been updated since the last review?</w:t>
            </w:r>
            <w:r>
              <w:rPr>
                <w:noProof/>
                <w:webHidden/>
              </w:rPr>
              <w:tab/>
            </w:r>
            <w:r>
              <w:rPr>
                <w:noProof/>
                <w:webHidden/>
              </w:rPr>
              <w:fldChar w:fldCharType="begin"/>
            </w:r>
            <w:r>
              <w:rPr>
                <w:noProof/>
                <w:webHidden/>
              </w:rPr>
              <w:instrText xml:space="preserve"> PAGEREF _Toc224897458 \h </w:instrText>
            </w:r>
            <w:r>
              <w:rPr>
                <w:noProof/>
                <w:webHidden/>
              </w:rPr>
            </w:r>
            <w:r>
              <w:rPr>
                <w:noProof/>
                <w:webHidden/>
              </w:rPr>
              <w:fldChar w:fldCharType="separate"/>
            </w:r>
            <w:r>
              <w:rPr>
                <w:noProof/>
                <w:webHidden/>
              </w:rPr>
              <w:t>13</w:t>
            </w:r>
            <w:r>
              <w:rPr>
                <w:noProof/>
                <w:webHidden/>
              </w:rPr>
              <w:fldChar w:fldCharType="end"/>
            </w:r>
          </w:hyperlink>
        </w:p>
        <w:p w14:paraId="2137811F" w14:textId="341015F1" w:rsidR="00A615D9" w:rsidRDefault="00A615D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897459" w:history="1">
            <w:r w:rsidRPr="00314E1C">
              <w:rPr>
                <w:rStyle w:val="Hyperlink"/>
                <w:rFonts w:eastAsia="Arial"/>
                <w:noProof/>
              </w:rPr>
              <w:t>Justify whether the Programme should continue, based on its own merits and in the context of the wider portfolio.</w:t>
            </w:r>
            <w:r>
              <w:rPr>
                <w:noProof/>
                <w:webHidden/>
              </w:rPr>
              <w:tab/>
            </w:r>
            <w:r>
              <w:rPr>
                <w:noProof/>
                <w:webHidden/>
              </w:rPr>
              <w:fldChar w:fldCharType="begin"/>
            </w:r>
            <w:r>
              <w:rPr>
                <w:noProof/>
                <w:webHidden/>
              </w:rPr>
              <w:instrText xml:space="preserve"> PAGEREF _Toc224897459 \h </w:instrText>
            </w:r>
            <w:r>
              <w:rPr>
                <w:noProof/>
                <w:webHidden/>
              </w:rPr>
            </w:r>
            <w:r>
              <w:rPr>
                <w:noProof/>
                <w:webHidden/>
              </w:rPr>
              <w:fldChar w:fldCharType="separate"/>
            </w:r>
            <w:r>
              <w:rPr>
                <w:noProof/>
                <w:webHidden/>
              </w:rPr>
              <w:t>14</w:t>
            </w:r>
            <w:r>
              <w:rPr>
                <w:noProof/>
                <w:webHidden/>
              </w:rPr>
              <w:fldChar w:fldCharType="end"/>
            </w:r>
          </w:hyperlink>
        </w:p>
        <w:p w14:paraId="69614C37" w14:textId="274FF870" w:rsidR="00A615D9" w:rsidRDefault="00A615D9">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4897460" w:history="1">
            <w:r w:rsidRPr="00314E1C">
              <w:rPr>
                <w:rStyle w:val="Hyperlink"/>
                <w:rFonts w:cs="Arial"/>
                <w:b/>
                <w:bCs/>
                <w:noProof/>
                <w:lang w:eastAsia="en-GB"/>
              </w:rPr>
              <w:t>Section C: Output scoring</w:t>
            </w:r>
            <w:r>
              <w:rPr>
                <w:noProof/>
                <w:webHidden/>
              </w:rPr>
              <w:tab/>
            </w:r>
            <w:r>
              <w:rPr>
                <w:noProof/>
                <w:webHidden/>
              </w:rPr>
              <w:fldChar w:fldCharType="begin"/>
            </w:r>
            <w:r>
              <w:rPr>
                <w:noProof/>
                <w:webHidden/>
              </w:rPr>
              <w:instrText xml:space="preserve"> PAGEREF _Toc224897460 \h </w:instrText>
            </w:r>
            <w:r>
              <w:rPr>
                <w:noProof/>
                <w:webHidden/>
              </w:rPr>
            </w:r>
            <w:r>
              <w:rPr>
                <w:noProof/>
                <w:webHidden/>
              </w:rPr>
              <w:fldChar w:fldCharType="separate"/>
            </w:r>
            <w:r>
              <w:rPr>
                <w:noProof/>
                <w:webHidden/>
              </w:rPr>
              <w:t>14</w:t>
            </w:r>
            <w:r>
              <w:rPr>
                <w:noProof/>
                <w:webHidden/>
              </w:rPr>
              <w:fldChar w:fldCharType="end"/>
            </w:r>
          </w:hyperlink>
        </w:p>
        <w:p w14:paraId="54B5BE89" w14:textId="4A262679" w:rsidR="00A615D9" w:rsidRDefault="00A615D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897461" w:history="1">
            <w:r w:rsidRPr="00314E1C">
              <w:rPr>
                <w:rStyle w:val="Hyperlink"/>
                <w:noProof/>
              </w:rPr>
              <w:t xml:space="preserve">Output 1: </w:t>
            </w:r>
            <w:r w:rsidRPr="00314E1C">
              <w:rPr>
                <w:rStyle w:val="Hyperlink"/>
                <w:rFonts w:eastAsia="Arial"/>
                <w:noProof/>
              </w:rPr>
              <w:t>CIF increases its scale as a financial mechanism through public and private sources, whilst ensuring money flows efficiently to projects</w:t>
            </w:r>
            <w:r>
              <w:rPr>
                <w:noProof/>
                <w:webHidden/>
              </w:rPr>
              <w:tab/>
            </w:r>
            <w:r>
              <w:rPr>
                <w:noProof/>
                <w:webHidden/>
              </w:rPr>
              <w:fldChar w:fldCharType="begin"/>
            </w:r>
            <w:r>
              <w:rPr>
                <w:noProof/>
                <w:webHidden/>
              </w:rPr>
              <w:instrText xml:space="preserve"> PAGEREF _Toc224897461 \h </w:instrText>
            </w:r>
            <w:r>
              <w:rPr>
                <w:noProof/>
                <w:webHidden/>
              </w:rPr>
            </w:r>
            <w:r>
              <w:rPr>
                <w:noProof/>
                <w:webHidden/>
              </w:rPr>
              <w:fldChar w:fldCharType="separate"/>
            </w:r>
            <w:r>
              <w:rPr>
                <w:noProof/>
                <w:webHidden/>
              </w:rPr>
              <w:t>14</w:t>
            </w:r>
            <w:r>
              <w:rPr>
                <w:noProof/>
                <w:webHidden/>
              </w:rPr>
              <w:fldChar w:fldCharType="end"/>
            </w:r>
          </w:hyperlink>
        </w:p>
        <w:p w14:paraId="5B5B5E77" w14:textId="4D2E8C12" w:rsidR="00A615D9" w:rsidRDefault="00A615D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897462" w:history="1">
            <w:r w:rsidRPr="00314E1C">
              <w:rPr>
                <w:rStyle w:val="Hyperlink"/>
                <w:rFonts w:eastAsia="Arial"/>
                <w:noProof/>
              </w:rPr>
              <w:t>Output 2: CIF demonstrates progress on key strategic priorities which make it an effective part of the multilateral system.</w:t>
            </w:r>
            <w:r>
              <w:rPr>
                <w:noProof/>
                <w:webHidden/>
              </w:rPr>
              <w:tab/>
            </w:r>
            <w:r>
              <w:rPr>
                <w:noProof/>
                <w:webHidden/>
              </w:rPr>
              <w:fldChar w:fldCharType="begin"/>
            </w:r>
            <w:r>
              <w:rPr>
                <w:noProof/>
                <w:webHidden/>
              </w:rPr>
              <w:instrText xml:space="preserve"> PAGEREF _Toc224897462 \h </w:instrText>
            </w:r>
            <w:r>
              <w:rPr>
                <w:noProof/>
                <w:webHidden/>
              </w:rPr>
            </w:r>
            <w:r>
              <w:rPr>
                <w:noProof/>
                <w:webHidden/>
              </w:rPr>
              <w:fldChar w:fldCharType="separate"/>
            </w:r>
            <w:r>
              <w:rPr>
                <w:noProof/>
                <w:webHidden/>
              </w:rPr>
              <w:t>16</w:t>
            </w:r>
            <w:r>
              <w:rPr>
                <w:noProof/>
                <w:webHidden/>
              </w:rPr>
              <w:fldChar w:fldCharType="end"/>
            </w:r>
          </w:hyperlink>
        </w:p>
        <w:p w14:paraId="5B43ED1F" w14:textId="2A40199A" w:rsidR="00A615D9" w:rsidRDefault="00A615D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897463" w:history="1">
            <w:r w:rsidRPr="00314E1C">
              <w:rPr>
                <w:rStyle w:val="Hyperlink"/>
                <w:rFonts w:eastAsia="Arial"/>
                <w:noProof/>
              </w:rPr>
              <w:t>Output 3: Development of UK-sponsored CIF programmes</w:t>
            </w:r>
            <w:r>
              <w:rPr>
                <w:noProof/>
                <w:webHidden/>
              </w:rPr>
              <w:tab/>
            </w:r>
            <w:r>
              <w:rPr>
                <w:noProof/>
                <w:webHidden/>
              </w:rPr>
              <w:fldChar w:fldCharType="begin"/>
            </w:r>
            <w:r>
              <w:rPr>
                <w:noProof/>
                <w:webHidden/>
              </w:rPr>
              <w:instrText xml:space="preserve"> PAGEREF _Toc224897463 \h </w:instrText>
            </w:r>
            <w:r>
              <w:rPr>
                <w:noProof/>
                <w:webHidden/>
              </w:rPr>
            </w:r>
            <w:r>
              <w:rPr>
                <w:noProof/>
                <w:webHidden/>
              </w:rPr>
              <w:fldChar w:fldCharType="separate"/>
            </w:r>
            <w:r>
              <w:rPr>
                <w:noProof/>
                <w:webHidden/>
              </w:rPr>
              <w:t>19</w:t>
            </w:r>
            <w:r>
              <w:rPr>
                <w:noProof/>
                <w:webHidden/>
              </w:rPr>
              <w:fldChar w:fldCharType="end"/>
            </w:r>
          </w:hyperlink>
        </w:p>
        <w:p w14:paraId="57EC9BB2" w14:textId="6DE49C17" w:rsidR="00A615D9" w:rsidRDefault="00A615D9">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4897464" w:history="1">
            <w:r w:rsidRPr="00314E1C">
              <w:rPr>
                <w:rStyle w:val="Hyperlink"/>
                <w:rFonts w:cs="Arial"/>
                <w:b/>
                <w:bCs/>
                <w:noProof/>
                <w:lang w:eastAsia="en-GB"/>
              </w:rPr>
              <w:t>Section D: Programme performance not captured by outputs</w:t>
            </w:r>
            <w:r>
              <w:rPr>
                <w:noProof/>
                <w:webHidden/>
              </w:rPr>
              <w:tab/>
            </w:r>
            <w:r>
              <w:rPr>
                <w:noProof/>
                <w:webHidden/>
              </w:rPr>
              <w:fldChar w:fldCharType="begin"/>
            </w:r>
            <w:r>
              <w:rPr>
                <w:noProof/>
                <w:webHidden/>
              </w:rPr>
              <w:instrText xml:space="preserve"> PAGEREF _Toc224897464 \h </w:instrText>
            </w:r>
            <w:r>
              <w:rPr>
                <w:noProof/>
                <w:webHidden/>
              </w:rPr>
            </w:r>
            <w:r>
              <w:rPr>
                <w:noProof/>
                <w:webHidden/>
              </w:rPr>
              <w:fldChar w:fldCharType="separate"/>
            </w:r>
            <w:r>
              <w:rPr>
                <w:noProof/>
                <w:webHidden/>
              </w:rPr>
              <w:t>20</w:t>
            </w:r>
            <w:r>
              <w:rPr>
                <w:noProof/>
                <w:webHidden/>
              </w:rPr>
              <w:fldChar w:fldCharType="end"/>
            </w:r>
          </w:hyperlink>
        </w:p>
        <w:p w14:paraId="2B1DE8E9" w14:textId="54D4A425" w:rsidR="00A615D9" w:rsidRDefault="00A615D9">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4897465" w:history="1">
            <w:r w:rsidRPr="00314E1C">
              <w:rPr>
                <w:rStyle w:val="Hyperlink"/>
                <w:rFonts w:cs="Arial"/>
                <w:b/>
                <w:bCs/>
                <w:noProof/>
              </w:rPr>
              <w:t>Section E: Risk</w:t>
            </w:r>
            <w:r>
              <w:rPr>
                <w:noProof/>
                <w:webHidden/>
              </w:rPr>
              <w:tab/>
            </w:r>
            <w:r>
              <w:rPr>
                <w:noProof/>
                <w:webHidden/>
              </w:rPr>
              <w:fldChar w:fldCharType="begin"/>
            </w:r>
            <w:r>
              <w:rPr>
                <w:noProof/>
                <w:webHidden/>
              </w:rPr>
              <w:instrText xml:space="preserve"> PAGEREF _Toc224897465 \h </w:instrText>
            </w:r>
            <w:r>
              <w:rPr>
                <w:noProof/>
                <w:webHidden/>
              </w:rPr>
            </w:r>
            <w:r>
              <w:rPr>
                <w:noProof/>
                <w:webHidden/>
              </w:rPr>
              <w:fldChar w:fldCharType="separate"/>
            </w:r>
            <w:r>
              <w:rPr>
                <w:noProof/>
                <w:webHidden/>
              </w:rPr>
              <w:t>20</w:t>
            </w:r>
            <w:r>
              <w:rPr>
                <w:noProof/>
                <w:webHidden/>
              </w:rPr>
              <w:fldChar w:fldCharType="end"/>
            </w:r>
          </w:hyperlink>
        </w:p>
        <w:p w14:paraId="357D060A" w14:textId="1F209897" w:rsidR="00A615D9" w:rsidRDefault="00A615D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897466" w:history="1">
            <w:r w:rsidRPr="00314E1C">
              <w:rPr>
                <w:rStyle w:val="Hyperlink"/>
                <w:rFonts w:eastAsia="Arial" w:cs="Arial"/>
                <w:iCs/>
                <w:noProof/>
              </w:rPr>
              <w:t>Current risks</w:t>
            </w:r>
            <w:r>
              <w:rPr>
                <w:noProof/>
                <w:webHidden/>
              </w:rPr>
              <w:tab/>
            </w:r>
            <w:r>
              <w:rPr>
                <w:noProof/>
                <w:webHidden/>
              </w:rPr>
              <w:fldChar w:fldCharType="begin"/>
            </w:r>
            <w:r>
              <w:rPr>
                <w:noProof/>
                <w:webHidden/>
              </w:rPr>
              <w:instrText xml:space="preserve"> PAGEREF _Toc224897466 \h </w:instrText>
            </w:r>
            <w:r>
              <w:rPr>
                <w:noProof/>
                <w:webHidden/>
              </w:rPr>
            </w:r>
            <w:r>
              <w:rPr>
                <w:noProof/>
                <w:webHidden/>
              </w:rPr>
              <w:fldChar w:fldCharType="separate"/>
            </w:r>
            <w:r>
              <w:rPr>
                <w:noProof/>
                <w:webHidden/>
              </w:rPr>
              <w:t>21</w:t>
            </w:r>
            <w:r>
              <w:rPr>
                <w:noProof/>
                <w:webHidden/>
              </w:rPr>
              <w:fldChar w:fldCharType="end"/>
            </w:r>
          </w:hyperlink>
        </w:p>
        <w:p w14:paraId="185D8DD8" w14:textId="20BA4D96" w:rsidR="00A615D9" w:rsidRDefault="00A615D9">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4897467" w:history="1">
            <w:r w:rsidRPr="00314E1C">
              <w:rPr>
                <w:rStyle w:val="Hyperlink"/>
                <w:rFonts w:cs="Arial"/>
                <w:b/>
                <w:bCs/>
                <w:noProof/>
                <w:lang w:eastAsia="en-GB"/>
              </w:rPr>
              <w:t>Section F: Programme management: delivery, VfM, commercial and financial performance</w:t>
            </w:r>
            <w:r>
              <w:rPr>
                <w:noProof/>
                <w:webHidden/>
              </w:rPr>
              <w:tab/>
            </w:r>
            <w:r>
              <w:rPr>
                <w:noProof/>
                <w:webHidden/>
              </w:rPr>
              <w:fldChar w:fldCharType="begin"/>
            </w:r>
            <w:r>
              <w:rPr>
                <w:noProof/>
                <w:webHidden/>
              </w:rPr>
              <w:instrText xml:space="preserve"> PAGEREF _Toc224897467 \h </w:instrText>
            </w:r>
            <w:r>
              <w:rPr>
                <w:noProof/>
                <w:webHidden/>
              </w:rPr>
            </w:r>
            <w:r>
              <w:rPr>
                <w:noProof/>
                <w:webHidden/>
              </w:rPr>
              <w:fldChar w:fldCharType="separate"/>
            </w:r>
            <w:r>
              <w:rPr>
                <w:noProof/>
                <w:webHidden/>
              </w:rPr>
              <w:t>21</w:t>
            </w:r>
            <w:r>
              <w:rPr>
                <w:noProof/>
                <w:webHidden/>
              </w:rPr>
              <w:fldChar w:fldCharType="end"/>
            </w:r>
          </w:hyperlink>
        </w:p>
        <w:p w14:paraId="581753A3" w14:textId="5F598EAE" w:rsidR="00A615D9" w:rsidRDefault="00A615D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897468" w:history="1">
            <w:r w:rsidRPr="00314E1C">
              <w:rPr>
                <w:rStyle w:val="Hyperlink"/>
                <w:rFonts w:eastAsia="Arial"/>
                <w:noProof/>
              </w:rPr>
              <w:t>Summarise the performance of HMG and partners, notably on commercial and financial issues, and including consideration of VfM measures of economy and efficiency, effectiveness and equity.</w:t>
            </w:r>
            <w:r>
              <w:rPr>
                <w:noProof/>
                <w:webHidden/>
              </w:rPr>
              <w:tab/>
            </w:r>
            <w:r>
              <w:rPr>
                <w:noProof/>
                <w:webHidden/>
              </w:rPr>
              <w:fldChar w:fldCharType="begin"/>
            </w:r>
            <w:r>
              <w:rPr>
                <w:noProof/>
                <w:webHidden/>
              </w:rPr>
              <w:instrText xml:space="preserve"> PAGEREF _Toc224897468 \h </w:instrText>
            </w:r>
            <w:r>
              <w:rPr>
                <w:noProof/>
                <w:webHidden/>
              </w:rPr>
            </w:r>
            <w:r>
              <w:rPr>
                <w:noProof/>
                <w:webHidden/>
              </w:rPr>
              <w:fldChar w:fldCharType="separate"/>
            </w:r>
            <w:r>
              <w:rPr>
                <w:noProof/>
                <w:webHidden/>
              </w:rPr>
              <w:t>21</w:t>
            </w:r>
            <w:r>
              <w:rPr>
                <w:noProof/>
                <w:webHidden/>
              </w:rPr>
              <w:fldChar w:fldCharType="end"/>
            </w:r>
          </w:hyperlink>
        </w:p>
        <w:p w14:paraId="77DD96C1" w14:textId="11F06896" w:rsidR="00994EF6" w:rsidRDefault="00023069" w:rsidP="00994EF6">
          <w:pPr>
            <w:pStyle w:val="TOC2"/>
            <w:tabs>
              <w:tab w:val="right" w:leader="dot" w:pos="9015"/>
            </w:tabs>
          </w:pPr>
          <w:r>
            <w:fldChar w:fldCharType="end"/>
          </w:r>
        </w:p>
      </w:sdtContent>
    </w:sdt>
    <w:p w14:paraId="07D3ACBE" w14:textId="69A19BA9" w:rsidR="008D3049" w:rsidRPr="00994EF6" w:rsidRDefault="008D3049" w:rsidP="00994EF6">
      <w:pPr>
        <w:pStyle w:val="TOC2"/>
        <w:tabs>
          <w:tab w:val="right" w:leader="dot" w:pos="9015"/>
        </w:tabs>
        <w:rPr>
          <w:noProof/>
          <w:color w:val="0563C1" w:themeColor="hyperlink"/>
          <w:kern w:val="2"/>
          <w:u w:val="single"/>
          <w:lang w:eastAsia="en-GB"/>
          <w14:ligatures w14:val="standardContextual"/>
        </w:rPr>
      </w:pPr>
      <w:r>
        <w:rPr>
          <w:sz w:val="22"/>
          <w:szCs w:val="22"/>
        </w:rPr>
        <w:br w:type="page"/>
      </w:r>
    </w:p>
    <w:p w14:paraId="32718D3E" w14:textId="4C4B50DF" w:rsidR="004D2FC0" w:rsidRDefault="004D2FC0" w:rsidP="006C516E"/>
    <w:tbl>
      <w:tblPr>
        <w:tblStyle w:val="TableGrid"/>
        <w:tblW w:w="0" w:type="auto"/>
        <w:tblLook w:val="04A0" w:firstRow="1" w:lastRow="0" w:firstColumn="1" w:lastColumn="0" w:noHBand="0" w:noVBand="1"/>
      </w:tblPr>
      <w:tblGrid>
        <w:gridCol w:w="9016"/>
      </w:tblGrid>
      <w:tr w:rsidR="00495286" w14:paraId="65DE13A0" w14:textId="77777777" w:rsidTr="527A8EFF">
        <w:tc>
          <w:tcPr>
            <w:tcW w:w="9016" w:type="dxa"/>
            <w:shd w:val="clear" w:color="auto" w:fill="DEEAF6" w:themeFill="accent5" w:themeFillTint="33"/>
          </w:tcPr>
          <w:p w14:paraId="7DC76797" w14:textId="7C7BC8BF" w:rsidR="00495286" w:rsidRDefault="789BD016" w:rsidP="006C516E">
            <w:bookmarkStart w:id="0" w:name="_Toc224897450"/>
            <w:r w:rsidRPr="527A8EFF">
              <w:rPr>
                <w:rStyle w:val="Heading1Char"/>
                <w:rFonts w:ascii="Arial" w:hAnsi="Arial" w:cs="Arial"/>
                <w:b/>
                <w:bCs/>
                <w:color w:val="auto"/>
              </w:rPr>
              <w:t>Section A: Summary and overview</w:t>
            </w:r>
            <w:bookmarkEnd w:id="0"/>
          </w:p>
        </w:tc>
      </w:tr>
    </w:tbl>
    <w:p w14:paraId="006A5D19" w14:textId="77777777" w:rsidR="00495286" w:rsidRDefault="00495286" w:rsidP="006C516E"/>
    <w:tbl>
      <w:tblPr>
        <w:tblStyle w:val="TableGrid"/>
        <w:tblW w:w="0" w:type="auto"/>
        <w:tblLook w:val="04A0" w:firstRow="1" w:lastRow="0" w:firstColumn="1" w:lastColumn="0" w:noHBand="0" w:noVBand="1"/>
      </w:tblPr>
      <w:tblGrid>
        <w:gridCol w:w="3397"/>
        <w:gridCol w:w="2410"/>
        <w:gridCol w:w="3209"/>
      </w:tblGrid>
      <w:tr w:rsidR="004D2FC0" w:rsidRPr="003F6641" w14:paraId="2869ADA5" w14:textId="77777777" w:rsidTr="00FC16A6">
        <w:trPr>
          <w:trHeight w:val="407"/>
        </w:trPr>
        <w:tc>
          <w:tcPr>
            <w:tcW w:w="9016" w:type="dxa"/>
            <w:gridSpan w:val="3"/>
            <w:tcBorders>
              <w:top w:val="single" w:sz="4" w:space="0" w:color="auto"/>
              <w:left w:val="single" w:sz="4" w:space="0" w:color="auto"/>
              <w:bottom w:val="dotted" w:sz="2" w:space="0" w:color="000000" w:themeColor="text1"/>
              <w:right w:val="single" w:sz="4" w:space="0" w:color="auto"/>
            </w:tcBorders>
          </w:tcPr>
          <w:p w14:paraId="346F2EF8" w14:textId="666520A8" w:rsidR="004D2FC0" w:rsidRPr="003F6641" w:rsidRDefault="004D2FC0" w:rsidP="00FC16A6">
            <w:pPr>
              <w:rPr>
                <w:rFonts w:cs="Arial"/>
                <w:b/>
                <w:sz w:val="22"/>
                <w:szCs w:val="22"/>
              </w:rPr>
            </w:pPr>
            <w:r w:rsidRPr="003F6641">
              <w:rPr>
                <w:rFonts w:cs="Arial"/>
                <w:b/>
                <w:sz w:val="22"/>
                <w:szCs w:val="22"/>
              </w:rPr>
              <w:t xml:space="preserve">Title: </w:t>
            </w:r>
            <w:r w:rsidR="004429CF" w:rsidRPr="004429CF">
              <w:rPr>
                <w:rFonts w:cs="Arial"/>
                <w:bCs/>
                <w:sz w:val="22"/>
                <w:szCs w:val="22"/>
              </w:rPr>
              <w:t>Climate Investment Funds Annual Review 2025</w:t>
            </w:r>
          </w:p>
        </w:tc>
      </w:tr>
      <w:tr w:rsidR="004D2FC0" w:rsidRPr="003F6641" w14:paraId="109A3418" w14:textId="77777777" w:rsidTr="00FC16A6">
        <w:trPr>
          <w:trHeight w:val="413"/>
        </w:trPr>
        <w:tc>
          <w:tcPr>
            <w:tcW w:w="5807"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79376CB4" w14:textId="5B8D87C4" w:rsidR="004D2FC0" w:rsidRPr="003F6641" w:rsidRDefault="004D2FC0" w:rsidP="00FC16A6">
            <w:pPr>
              <w:rPr>
                <w:rFonts w:cs="Arial"/>
                <w:b/>
                <w:sz w:val="22"/>
                <w:szCs w:val="22"/>
              </w:rPr>
            </w:pPr>
            <w:r w:rsidRPr="003F6641">
              <w:rPr>
                <w:rFonts w:cs="Arial"/>
                <w:b/>
                <w:sz w:val="22"/>
                <w:szCs w:val="22"/>
              </w:rPr>
              <w:t xml:space="preserve">Programme Value £ (full life): </w:t>
            </w:r>
            <w:r w:rsidR="0050028A" w:rsidRPr="0050028A">
              <w:rPr>
                <w:rFonts w:cs="Arial"/>
                <w:bCs/>
                <w:sz w:val="22"/>
                <w:szCs w:val="22"/>
              </w:rPr>
              <w:t>£2697.9</w:t>
            </w:r>
            <w:r w:rsidR="0050028A">
              <w:rPr>
                <w:rFonts w:cs="Arial"/>
                <w:bCs/>
                <w:sz w:val="22"/>
                <w:szCs w:val="22"/>
              </w:rPr>
              <w:t>m</w:t>
            </w:r>
            <w:r w:rsidR="0050028A" w:rsidRPr="0050028A">
              <w:rPr>
                <w:rFonts w:cs="Arial"/>
                <w:bCs/>
                <w:sz w:val="22"/>
                <w:szCs w:val="22"/>
              </w:rPr>
              <w:t xml:space="preserve"> </w:t>
            </w:r>
            <w:r w:rsidR="0048444F" w:rsidRPr="0048444F">
              <w:rPr>
                <w:rFonts w:cs="Arial"/>
                <w:bCs/>
                <w:sz w:val="22"/>
                <w:szCs w:val="22"/>
              </w:rPr>
              <w:t>(</w:t>
            </w:r>
            <w:r w:rsidR="00C97705" w:rsidRPr="0048444F">
              <w:rPr>
                <w:rFonts w:cs="Arial"/>
                <w:bCs/>
                <w:sz w:val="22"/>
                <w:szCs w:val="22"/>
              </w:rPr>
              <w:t>DESN</w:t>
            </w:r>
            <w:r w:rsidR="0048444F" w:rsidRPr="0048444F">
              <w:rPr>
                <w:rFonts w:cs="Arial"/>
                <w:bCs/>
                <w:sz w:val="22"/>
                <w:szCs w:val="22"/>
              </w:rPr>
              <w:t>Z</w:t>
            </w:r>
            <w:r w:rsidR="0048444F">
              <w:rPr>
                <w:rFonts w:cs="Arial"/>
                <w:b/>
                <w:sz w:val="22"/>
                <w:szCs w:val="22"/>
              </w:rPr>
              <w:t xml:space="preserve"> </w:t>
            </w:r>
            <w:r w:rsidR="00A7765C" w:rsidRPr="00A7765C">
              <w:rPr>
                <w:rFonts w:cs="Arial"/>
                <w:bCs/>
                <w:sz w:val="22"/>
                <w:szCs w:val="22"/>
              </w:rPr>
              <w:t>£1,843.4m</w:t>
            </w:r>
            <w:r w:rsidR="0048444F">
              <w:rPr>
                <w:rFonts w:cs="Arial"/>
                <w:bCs/>
                <w:sz w:val="22"/>
                <w:szCs w:val="22"/>
              </w:rPr>
              <w:t xml:space="preserve"> FCDO </w:t>
            </w:r>
            <w:r w:rsidR="0048444F" w:rsidRPr="0048444F">
              <w:t>£854.5m</w:t>
            </w:r>
            <w:r w:rsidR="0048444F">
              <w:t>)</w:t>
            </w:r>
          </w:p>
        </w:tc>
        <w:tc>
          <w:tcPr>
            <w:tcW w:w="3209"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5E522675" w14:textId="29781DA1" w:rsidR="004D2FC0" w:rsidRPr="004429CF" w:rsidRDefault="004D2FC0" w:rsidP="00FC16A6">
            <w:pPr>
              <w:rPr>
                <w:rFonts w:cs="Arial"/>
                <w:bCs/>
                <w:sz w:val="22"/>
                <w:szCs w:val="22"/>
              </w:rPr>
            </w:pPr>
            <w:r w:rsidRPr="003F6641">
              <w:rPr>
                <w:rFonts w:cs="Arial"/>
                <w:b/>
                <w:sz w:val="22"/>
                <w:szCs w:val="22"/>
              </w:rPr>
              <w:t xml:space="preserve">Review date: </w:t>
            </w:r>
            <w:r w:rsidR="004429CF" w:rsidRPr="004429CF">
              <w:rPr>
                <w:rFonts w:eastAsia="Arial" w:cs="Arial"/>
                <w:sz w:val="22"/>
                <w:szCs w:val="22"/>
              </w:rPr>
              <w:t>(1 Jan 2025 to 31 December 2025)</w:t>
            </w:r>
          </w:p>
        </w:tc>
      </w:tr>
      <w:tr w:rsidR="004D2FC0" w:rsidRPr="003F6641" w14:paraId="4F6467CB" w14:textId="77777777" w:rsidTr="00FC16A6">
        <w:trPr>
          <w:trHeight w:val="300"/>
        </w:trPr>
        <w:tc>
          <w:tcPr>
            <w:tcW w:w="3397" w:type="dxa"/>
            <w:tcBorders>
              <w:top w:val="dotted" w:sz="2" w:space="0" w:color="000000" w:themeColor="text1"/>
              <w:left w:val="single" w:sz="4" w:space="0" w:color="auto"/>
              <w:bottom w:val="single" w:sz="4" w:space="0" w:color="auto"/>
              <w:right w:val="dotted" w:sz="2" w:space="0" w:color="000000" w:themeColor="text1"/>
            </w:tcBorders>
          </w:tcPr>
          <w:p w14:paraId="07FE2881" w14:textId="40B1E8C8" w:rsidR="004D2FC0" w:rsidRPr="004429CF" w:rsidRDefault="004D2FC0" w:rsidP="00FC16A6">
            <w:pPr>
              <w:rPr>
                <w:rFonts w:eastAsia="Arial" w:cs="Arial"/>
              </w:rPr>
            </w:pPr>
            <w:r w:rsidRPr="003F6641">
              <w:rPr>
                <w:rFonts w:cs="Arial"/>
                <w:b/>
                <w:sz w:val="22"/>
                <w:szCs w:val="22"/>
              </w:rPr>
              <w:t xml:space="preserve">Programme Code: </w:t>
            </w:r>
            <w:r w:rsidR="004429CF" w:rsidRPr="004429CF">
              <w:rPr>
                <w:rFonts w:eastAsia="Arial" w:cs="Arial"/>
                <w:sz w:val="22"/>
                <w:szCs w:val="22"/>
              </w:rPr>
              <w:t>GB-GOV-13-ICF-0004-CIF</w:t>
            </w:r>
          </w:p>
        </w:tc>
        <w:tc>
          <w:tcPr>
            <w:tcW w:w="2410"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3C649775" w14:textId="1D3E6B1D" w:rsidR="004D2FC0" w:rsidRPr="003F6641" w:rsidRDefault="004D2FC0" w:rsidP="00FC16A6">
            <w:pPr>
              <w:rPr>
                <w:rFonts w:cs="Arial"/>
                <w:b/>
                <w:sz w:val="22"/>
                <w:szCs w:val="22"/>
              </w:rPr>
            </w:pPr>
            <w:r w:rsidRPr="003F6641">
              <w:rPr>
                <w:rFonts w:cs="Arial"/>
                <w:b/>
                <w:sz w:val="22"/>
                <w:szCs w:val="22"/>
              </w:rPr>
              <w:t>Programme start date:</w:t>
            </w:r>
            <w:r w:rsidRPr="003F6641">
              <w:rPr>
                <w:rFonts w:cs="Arial"/>
                <w:sz w:val="22"/>
                <w:szCs w:val="22"/>
              </w:rPr>
              <w:t xml:space="preserve"> </w:t>
            </w:r>
            <w:r w:rsidR="004429CF" w:rsidRPr="004429CF">
              <w:rPr>
                <w:rFonts w:cs="Arial"/>
                <w:sz w:val="22"/>
                <w:szCs w:val="22"/>
              </w:rPr>
              <w:t>11/05/2009</w:t>
            </w:r>
          </w:p>
        </w:tc>
        <w:tc>
          <w:tcPr>
            <w:tcW w:w="3209" w:type="dxa"/>
            <w:tcBorders>
              <w:top w:val="dotted" w:sz="2" w:space="0" w:color="000000" w:themeColor="text1"/>
              <w:left w:val="dotted" w:sz="2" w:space="0" w:color="000000" w:themeColor="text1"/>
              <w:bottom w:val="single" w:sz="4" w:space="0" w:color="auto"/>
              <w:right w:val="single" w:sz="4" w:space="0" w:color="auto"/>
            </w:tcBorders>
            <w:hideMark/>
          </w:tcPr>
          <w:p w14:paraId="7A133EFD" w14:textId="56EDE1A5" w:rsidR="004D2FC0" w:rsidRPr="003F6641" w:rsidRDefault="004D2FC0" w:rsidP="00FC16A6">
            <w:pPr>
              <w:rPr>
                <w:rFonts w:cs="Arial"/>
                <w:b/>
                <w:sz w:val="22"/>
                <w:szCs w:val="22"/>
              </w:rPr>
            </w:pPr>
            <w:r w:rsidRPr="003F6641">
              <w:rPr>
                <w:rFonts w:cs="Arial"/>
                <w:b/>
                <w:sz w:val="22"/>
                <w:szCs w:val="22"/>
              </w:rPr>
              <w:t>Programme end date:</w:t>
            </w:r>
            <w:r w:rsidRPr="003F6641">
              <w:rPr>
                <w:rFonts w:cs="Arial"/>
                <w:sz w:val="22"/>
                <w:szCs w:val="22"/>
              </w:rPr>
              <w:t xml:space="preserve"> </w:t>
            </w:r>
            <w:r w:rsidR="004429CF">
              <w:rPr>
                <w:rFonts w:cs="Arial"/>
                <w:sz w:val="22"/>
                <w:szCs w:val="22"/>
              </w:rPr>
              <w:t>N/A</w:t>
            </w:r>
          </w:p>
        </w:tc>
      </w:tr>
    </w:tbl>
    <w:p w14:paraId="44D21F6A" w14:textId="77777777" w:rsidR="004D2FC0" w:rsidRPr="003F6641" w:rsidRDefault="004D2FC0" w:rsidP="004D2FC0">
      <w:pPr>
        <w:rPr>
          <w:rFonts w:cs="Arial"/>
          <w:b/>
          <w:sz w:val="22"/>
          <w:szCs w:val="22"/>
        </w:rPr>
      </w:pPr>
    </w:p>
    <w:tbl>
      <w:tblPr>
        <w:tblStyle w:val="TableGrid"/>
        <w:tblW w:w="5000" w:type="pct"/>
        <w:tblLayout w:type="fixed"/>
        <w:tblLook w:val="04A0" w:firstRow="1" w:lastRow="0" w:firstColumn="1" w:lastColumn="0" w:noHBand="0" w:noVBand="1"/>
      </w:tblPr>
      <w:tblGrid>
        <w:gridCol w:w="989"/>
        <w:gridCol w:w="729"/>
        <w:gridCol w:w="731"/>
        <w:gridCol w:w="731"/>
        <w:gridCol w:w="728"/>
        <w:gridCol w:w="730"/>
        <w:gridCol w:w="730"/>
        <w:gridCol w:w="730"/>
        <w:gridCol w:w="728"/>
        <w:gridCol w:w="730"/>
        <w:gridCol w:w="730"/>
        <w:gridCol w:w="730"/>
      </w:tblGrid>
      <w:tr w:rsidR="004429CF" w:rsidRPr="003F6641" w14:paraId="397F49F6" w14:textId="38053985" w:rsidTr="004429CF">
        <w:tc>
          <w:tcPr>
            <w:tcW w:w="54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0C093D" w14:textId="77777777" w:rsidR="004429CF" w:rsidRPr="000425EB" w:rsidRDefault="004429CF" w:rsidP="004429CF">
            <w:pPr>
              <w:rPr>
                <w:rFonts w:cs="Arial"/>
                <w:b/>
                <w:bCs/>
                <w:sz w:val="22"/>
                <w:szCs w:val="22"/>
              </w:rPr>
            </w:pPr>
            <w:r w:rsidRPr="000425EB">
              <w:rPr>
                <w:rFonts w:cs="Arial"/>
                <w:b/>
                <w:bCs/>
                <w:sz w:val="22"/>
                <w:szCs w:val="22"/>
              </w:rPr>
              <w:t>Year</w:t>
            </w:r>
          </w:p>
        </w:tc>
        <w:tc>
          <w:tcPr>
            <w:tcW w:w="404" w:type="pct"/>
          </w:tcPr>
          <w:p w14:paraId="3CEBAED3" w14:textId="4E31F1AE" w:rsidR="004429CF" w:rsidRPr="00861593" w:rsidRDefault="004429CF" w:rsidP="004429CF">
            <w:pPr>
              <w:rPr>
                <w:rFonts w:eastAsia="Arial" w:cs="Arial"/>
                <w:b/>
                <w:bCs/>
                <w:sz w:val="18"/>
                <w:szCs w:val="18"/>
              </w:rPr>
            </w:pPr>
            <w:r w:rsidRPr="00861593">
              <w:rPr>
                <w:rFonts w:eastAsia="Arial" w:cs="Arial"/>
                <w:b/>
                <w:bCs/>
                <w:sz w:val="18"/>
                <w:szCs w:val="18"/>
              </w:rPr>
              <w:t>2015</w:t>
            </w:r>
          </w:p>
        </w:tc>
        <w:tc>
          <w:tcPr>
            <w:tcW w:w="405" w:type="pct"/>
          </w:tcPr>
          <w:p w14:paraId="389EB8D5" w14:textId="6D1182BD" w:rsidR="004429CF" w:rsidRPr="00861593" w:rsidRDefault="004429CF" w:rsidP="004429CF">
            <w:pPr>
              <w:rPr>
                <w:rFonts w:eastAsia="Arial" w:cs="Arial"/>
                <w:b/>
                <w:bCs/>
                <w:sz w:val="18"/>
                <w:szCs w:val="18"/>
              </w:rPr>
            </w:pPr>
            <w:r w:rsidRPr="00861593">
              <w:rPr>
                <w:rFonts w:eastAsia="Arial" w:cs="Arial"/>
                <w:b/>
                <w:bCs/>
                <w:sz w:val="18"/>
                <w:szCs w:val="18"/>
              </w:rPr>
              <w:t>2016</w:t>
            </w:r>
          </w:p>
        </w:tc>
        <w:tc>
          <w:tcPr>
            <w:tcW w:w="405" w:type="pct"/>
          </w:tcPr>
          <w:p w14:paraId="3C259799" w14:textId="53D18764" w:rsidR="004429CF" w:rsidRPr="00861593" w:rsidRDefault="004429CF" w:rsidP="004429CF">
            <w:pPr>
              <w:rPr>
                <w:rFonts w:eastAsia="Arial" w:cs="Arial"/>
                <w:b/>
                <w:bCs/>
                <w:sz w:val="18"/>
                <w:szCs w:val="18"/>
              </w:rPr>
            </w:pPr>
            <w:r w:rsidRPr="00861593">
              <w:rPr>
                <w:rFonts w:eastAsia="Arial" w:cs="Arial"/>
                <w:b/>
                <w:bCs/>
                <w:sz w:val="18"/>
                <w:szCs w:val="18"/>
              </w:rPr>
              <w:t>2017</w:t>
            </w:r>
          </w:p>
        </w:tc>
        <w:tc>
          <w:tcPr>
            <w:tcW w:w="404" w:type="pct"/>
          </w:tcPr>
          <w:p w14:paraId="29E35E73" w14:textId="543A8ECA" w:rsidR="004429CF" w:rsidRPr="003F6641" w:rsidRDefault="004429CF" w:rsidP="004429CF">
            <w:pPr>
              <w:rPr>
                <w:rFonts w:cs="Arial"/>
                <w:b/>
                <w:sz w:val="22"/>
                <w:szCs w:val="22"/>
              </w:rPr>
            </w:pPr>
            <w:r w:rsidRPr="00861593">
              <w:rPr>
                <w:rFonts w:eastAsia="Arial" w:cs="Arial"/>
                <w:b/>
                <w:bCs/>
                <w:sz w:val="18"/>
                <w:szCs w:val="18"/>
              </w:rPr>
              <w:t>2018</w:t>
            </w:r>
          </w:p>
        </w:tc>
        <w:tc>
          <w:tcPr>
            <w:tcW w:w="405" w:type="pct"/>
          </w:tcPr>
          <w:p w14:paraId="12AB2AC3" w14:textId="240EB792" w:rsidR="004429CF" w:rsidRPr="003F6641" w:rsidRDefault="004429CF" w:rsidP="004429CF">
            <w:pPr>
              <w:rPr>
                <w:rFonts w:cs="Arial"/>
                <w:b/>
                <w:sz w:val="22"/>
                <w:szCs w:val="22"/>
              </w:rPr>
            </w:pPr>
            <w:r w:rsidRPr="00861593">
              <w:rPr>
                <w:rFonts w:eastAsia="Arial" w:cs="Arial"/>
                <w:b/>
                <w:bCs/>
                <w:sz w:val="18"/>
                <w:szCs w:val="18"/>
              </w:rPr>
              <w:t>2019</w:t>
            </w:r>
          </w:p>
        </w:tc>
        <w:tc>
          <w:tcPr>
            <w:tcW w:w="405" w:type="pct"/>
          </w:tcPr>
          <w:p w14:paraId="4B942B2B" w14:textId="63A519B4" w:rsidR="004429CF" w:rsidRPr="003F6641" w:rsidRDefault="004429CF" w:rsidP="004429CF">
            <w:pPr>
              <w:rPr>
                <w:rFonts w:cs="Arial"/>
                <w:b/>
                <w:sz w:val="22"/>
                <w:szCs w:val="22"/>
              </w:rPr>
            </w:pPr>
            <w:r w:rsidRPr="00861593">
              <w:rPr>
                <w:rFonts w:eastAsia="Arial" w:cs="Arial"/>
                <w:b/>
                <w:bCs/>
                <w:sz w:val="18"/>
                <w:szCs w:val="18"/>
              </w:rPr>
              <w:t>2020</w:t>
            </w:r>
          </w:p>
        </w:tc>
        <w:tc>
          <w:tcPr>
            <w:tcW w:w="405" w:type="pct"/>
          </w:tcPr>
          <w:p w14:paraId="0E48F088" w14:textId="4FD7FB09" w:rsidR="004429CF" w:rsidRPr="003F6641" w:rsidRDefault="004429CF" w:rsidP="004429CF">
            <w:pPr>
              <w:rPr>
                <w:rFonts w:cs="Arial"/>
                <w:b/>
                <w:sz w:val="22"/>
                <w:szCs w:val="22"/>
              </w:rPr>
            </w:pPr>
            <w:r w:rsidRPr="00861593">
              <w:rPr>
                <w:rFonts w:eastAsia="Arial" w:cs="Arial"/>
                <w:b/>
                <w:bCs/>
                <w:sz w:val="18"/>
                <w:szCs w:val="18"/>
              </w:rPr>
              <w:t>2021</w:t>
            </w:r>
          </w:p>
        </w:tc>
        <w:tc>
          <w:tcPr>
            <w:tcW w:w="404" w:type="pct"/>
          </w:tcPr>
          <w:p w14:paraId="1F405811" w14:textId="2BC670A5" w:rsidR="004429CF" w:rsidRPr="003F6641" w:rsidRDefault="004429CF" w:rsidP="004429CF">
            <w:pPr>
              <w:rPr>
                <w:rFonts w:cs="Arial"/>
                <w:b/>
                <w:sz w:val="22"/>
                <w:szCs w:val="22"/>
              </w:rPr>
            </w:pPr>
            <w:r w:rsidRPr="00861593">
              <w:rPr>
                <w:rFonts w:eastAsia="Arial" w:cs="Arial"/>
                <w:b/>
                <w:bCs/>
                <w:sz w:val="18"/>
                <w:szCs w:val="18"/>
              </w:rPr>
              <w:t xml:space="preserve">2022 </w:t>
            </w:r>
          </w:p>
        </w:tc>
        <w:tc>
          <w:tcPr>
            <w:tcW w:w="405" w:type="pct"/>
          </w:tcPr>
          <w:p w14:paraId="027F42AC" w14:textId="76DC44C0" w:rsidR="004429CF" w:rsidRPr="003F6641" w:rsidRDefault="004429CF" w:rsidP="004429CF">
            <w:pPr>
              <w:rPr>
                <w:rFonts w:cs="Arial"/>
                <w:b/>
                <w:sz w:val="22"/>
                <w:szCs w:val="22"/>
              </w:rPr>
            </w:pPr>
            <w:r w:rsidRPr="00861593">
              <w:rPr>
                <w:rFonts w:eastAsia="Arial" w:cs="Arial"/>
                <w:b/>
                <w:bCs/>
                <w:sz w:val="18"/>
                <w:szCs w:val="18"/>
              </w:rPr>
              <w:t>2023</w:t>
            </w:r>
          </w:p>
        </w:tc>
        <w:tc>
          <w:tcPr>
            <w:tcW w:w="405" w:type="pct"/>
          </w:tcPr>
          <w:p w14:paraId="672D6054" w14:textId="7B467FA5" w:rsidR="004429CF" w:rsidRPr="003F6641" w:rsidRDefault="004429CF" w:rsidP="004429CF">
            <w:pPr>
              <w:rPr>
                <w:rFonts w:cs="Arial"/>
                <w:b/>
                <w:sz w:val="22"/>
                <w:szCs w:val="22"/>
              </w:rPr>
            </w:pPr>
            <w:r w:rsidRPr="54FAF1BB">
              <w:rPr>
                <w:rFonts w:eastAsia="Arial" w:cs="Arial"/>
                <w:b/>
                <w:bCs/>
                <w:sz w:val="18"/>
                <w:szCs w:val="18"/>
              </w:rPr>
              <w:t>2024</w:t>
            </w:r>
          </w:p>
        </w:tc>
        <w:tc>
          <w:tcPr>
            <w:tcW w:w="405" w:type="pct"/>
          </w:tcPr>
          <w:p w14:paraId="52D557ED" w14:textId="2629C117" w:rsidR="004429CF" w:rsidRPr="003F6641" w:rsidRDefault="004429CF" w:rsidP="004429CF">
            <w:pPr>
              <w:rPr>
                <w:rFonts w:cs="Arial"/>
                <w:b/>
                <w:sz w:val="22"/>
                <w:szCs w:val="22"/>
              </w:rPr>
            </w:pPr>
            <w:r>
              <w:rPr>
                <w:rFonts w:eastAsia="Arial" w:cs="Arial"/>
                <w:b/>
                <w:bCs/>
                <w:sz w:val="18"/>
                <w:szCs w:val="18"/>
              </w:rPr>
              <w:t>2025</w:t>
            </w:r>
          </w:p>
        </w:tc>
      </w:tr>
      <w:tr w:rsidR="004429CF" w:rsidRPr="003F6641" w14:paraId="461D6177" w14:textId="2F001A0E" w:rsidTr="004429CF">
        <w:tc>
          <w:tcPr>
            <w:tcW w:w="54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454618" w14:textId="77777777" w:rsidR="004429CF" w:rsidRPr="000425EB" w:rsidRDefault="004429CF" w:rsidP="004429CF">
            <w:pPr>
              <w:rPr>
                <w:rFonts w:cs="Arial"/>
                <w:b/>
                <w:bCs/>
                <w:sz w:val="22"/>
                <w:szCs w:val="22"/>
              </w:rPr>
            </w:pPr>
            <w:r w:rsidRPr="000425EB">
              <w:rPr>
                <w:rFonts w:cs="Arial"/>
                <w:b/>
                <w:bCs/>
                <w:sz w:val="22"/>
                <w:szCs w:val="22"/>
              </w:rPr>
              <w:t>Overall Output Score</w:t>
            </w:r>
          </w:p>
        </w:tc>
        <w:tc>
          <w:tcPr>
            <w:tcW w:w="404" w:type="pct"/>
          </w:tcPr>
          <w:p w14:paraId="6A96500A" w14:textId="2843F58D" w:rsidR="004429CF" w:rsidRPr="00861593" w:rsidRDefault="004429CF" w:rsidP="004429CF">
            <w:pPr>
              <w:rPr>
                <w:rFonts w:eastAsia="Arial" w:cs="Arial"/>
                <w:b/>
                <w:bCs/>
                <w:sz w:val="18"/>
                <w:szCs w:val="18"/>
              </w:rPr>
            </w:pPr>
            <w:r w:rsidRPr="00861593">
              <w:rPr>
                <w:rFonts w:eastAsia="Arial" w:cs="Arial"/>
                <w:b/>
                <w:bCs/>
                <w:sz w:val="18"/>
                <w:szCs w:val="18"/>
              </w:rPr>
              <w:t>A</w:t>
            </w:r>
          </w:p>
        </w:tc>
        <w:tc>
          <w:tcPr>
            <w:tcW w:w="405" w:type="pct"/>
          </w:tcPr>
          <w:p w14:paraId="23898E7D" w14:textId="522FDD1E" w:rsidR="004429CF" w:rsidRPr="00861593" w:rsidRDefault="004429CF" w:rsidP="004429CF">
            <w:pPr>
              <w:rPr>
                <w:rFonts w:eastAsia="Arial" w:cs="Arial"/>
                <w:b/>
                <w:bCs/>
                <w:sz w:val="18"/>
                <w:szCs w:val="18"/>
              </w:rPr>
            </w:pPr>
            <w:r w:rsidRPr="00861593">
              <w:rPr>
                <w:rFonts w:eastAsia="Arial" w:cs="Arial"/>
                <w:b/>
                <w:bCs/>
                <w:sz w:val="18"/>
                <w:szCs w:val="18"/>
              </w:rPr>
              <w:t>A</w:t>
            </w:r>
          </w:p>
        </w:tc>
        <w:tc>
          <w:tcPr>
            <w:tcW w:w="405" w:type="pct"/>
          </w:tcPr>
          <w:p w14:paraId="6F2C18BD" w14:textId="114298E6" w:rsidR="004429CF" w:rsidRPr="00861593" w:rsidRDefault="004429CF" w:rsidP="004429CF">
            <w:pPr>
              <w:rPr>
                <w:rFonts w:eastAsia="Arial" w:cs="Arial"/>
                <w:b/>
                <w:bCs/>
                <w:sz w:val="18"/>
                <w:szCs w:val="18"/>
              </w:rPr>
            </w:pPr>
            <w:r w:rsidRPr="00861593">
              <w:rPr>
                <w:rFonts w:eastAsia="Arial" w:cs="Arial"/>
                <w:b/>
                <w:bCs/>
                <w:sz w:val="18"/>
                <w:szCs w:val="18"/>
              </w:rPr>
              <w:t>A+</w:t>
            </w:r>
          </w:p>
        </w:tc>
        <w:tc>
          <w:tcPr>
            <w:tcW w:w="404" w:type="pct"/>
          </w:tcPr>
          <w:p w14:paraId="1BC31294" w14:textId="310C07A7" w:rsidR="004429CF" w:rsidRPr="003F6641" w:rsidRDefault="004429CF" w:rsidP="004429CF">
            <w:pPr>
              <w:rPr>
                <w:rFonts w:cs="Arial"/>
                <w:b/>
                <w:sz w:val="22"/>
                <w:szCs w:val="22"/>
              </w:rPr>
            </w:pPr>
            <w:r w:rsidRPr="00861593">
              <w:rPr>
                <w:rFonts w:eastAsia="Arial" w:cs="Arial"/>
                <w:b/>
                <w:bCs/>
                <w:sz w:val="18"/>
                <w:szCs w:val="18"/>
              </w:rPr>
              <w:t>A+</w:t>
            </w:r>
          </w:p>
        </w:tc>
        <w:tc>
          <w:tcPr>
            <w:tcW w:w="405" w:type="pct"/>
          </w:tcPr>
          <w:p w14:paraId="25AC864B" w14:textId="5FCFFC97" w:rsidR="004429CF" w:rsidRPr="003F6641" w:rsidRDefault="004429CF" w:rsidP="004429CF">
            <w:pPr>
              <w:rPr>
                <w:rFonts w:cs="Arial"/>
                <w:b/>
                <w:sz w:val="22"/>
                <w:szCs w:val="22"/>
              </w:rPr>
            </w:pPr>
            <w:r w:rsidRPr="00861593">
              <w:rPr>
                <w:rFonts w:eastAsia="Arial" w:cs="Arial"/>
                <w:b/>
                <w:bCs/>
                <w:sz w:val="18"/>
                <w:szCs w:val="18"/>
              </w:rPr>
              <w:t>A+</w:t>
            </w:r>
          </w:p>
        </w:tc>
        <w:tc>
          <w:tcPr>
            <w:tcW w:w="405" w:type="pct"/>
          </w:tcPr>
          <w:p w14:paraId="66A8AC82" w14:textId="491A07AB" w:rsidR="004429CF" w:rsidRPr="003F6641" w:rsidRDefault="004429CF" w:rsidP="004429CF">
            <w:pPr>
              <w:rPr>
                <w:rFonts w:cs="Arial"/>
                <w:b/>
                <w:sz w:val="22"/>
                <w:szCs w:val="22"/>
              </w:rPr>
            </w:pPr>
            <w:r w:rsidRPr="00861593">
              <w:rPr>
                <w:rFonts w:eastAsia="Arial" w:cs="Arial"/>
                <w:b/>
                <w:bCs/>
                <w:sz w:val="18"/>
                <w:szCs w:val="18"/>
              </w:rPr>
              <w:t>A</w:t>
            </w:r>
          </w:p>
        </w:tc>
        <w:tc>
          <w:tcPr>
            <w:tcW w:w="405" w:type="pct"/>
          </w:tcPr>
          <w:p w14:paraId="6FEED915" w14:textId="06A50AA9" w:rsidR="004429CF" w:rsidRPr="003F6641" w:rsidRDefault="004429CF" w:rsidP="004429CF">
            <w:pPr>
              <w:rPr>
                <w:rFonts w:cs="Arial"/>
                <w:b/>
                <w:sz w:val="22"/>
                <w:szCs w:val="22"/>
              </w:rPr>
            </w:pPr>
            <w:r w:rsidRPr="00861593">
              <w:rPr>
                <w:rFonts w:eastAsia="Arial" w:cs="Arial"/>
                <w:b/>
                <w:bCs/>
                <w:sz w:val="18"/>
                <w:szCs w:val="18"/>
              </w:rPr>
              <w:t>A</w:t>
            </w:r>
          </w:p>
        </w:tc>
        <w:tc>
          <w:tcPr>
            <w:tcW w:w="404" w:type="pct"/>
          </w:tcPr>
          <w:p w14:paraId="390ADD03" w14:textId="04969937" w:rsidR="004429CF" w:rsidRPr="003F6641" w:rsidRDefault="004429CF" w:rsidP="004429CF">
            <w:pPr>
              <w:rPr>
                <w:rFonts w:cs="Arial"/>
                <w:b/>
                <w:sz w:val="22"/>
                <w:szCs w:val="22"/>
              </w:rPr>
            </w:pPr>
            <w:r w:rsidRPr="00861593">
              <w:rPr>
                <w:rFonts w:eastAsia="Arial" w:cs="Arial"/>
                <w:b/>
                <w:bCs/>
                <w:sz w:val="18"/>
                <w:szCs w:val="18"/>
              </w:rPr>
              <w:t>A</w:t>
            </w:r>
          </w:p>
        </w:tc>
        <w:tc>
          <w:tcPr>
            <w:tcW w:w="405" w:type="pct"/>
          </w:tcPr>
          <w:p w14:paraId="70CD8298" w14:textId="20807FB7" w:rsidR="004429CF" w:rsidRPr="003F6641" w:rsidRDefault="004429CF" w:rsidP="004429CF">
            <w:pPr>
              <w:rPr>
                <w:rFonts w:cs="Arial"/>
                <w:b/>
                <w:sz w:val="22"/>
                <w:szCs w:val="22"/>
              </w:rPr>
            </w:pPr>
            <w:r w:rsidRPr="00861593">
              <w:rPr>
                <w:rFonts w:eastAsia="Arial" w:cs="Arial"/>
                <w:b/>
                <w:bCs/>
                <w:sz w:val="18"/>
                <w:szCs w:val="18"/>
              </w:rPr>
              <w:t xml:space="preserve"> A</w:t>
            </w:r>
          </w:p>
        </w:tc>
        <w:tc>
          <w:tcPr>
            <w:tcW w:w="405" w:type="pct"/>
          </w:tcPr>
          <w:p w14:paraId="1717FE80" w14:textId="7CB053D0" w:rsidR="004429CF" w:rsidRPr="003F6641" w:rsidRDefault="004429CF" w:rsidP="004429CF">
            <w:pPr>
              <w:rPr>
                <w:rFonts w:cs="Arial"/>
                <w:b/>
                <w:sz w:val="22"/>
                <w:szCs w:val="22"/>
              </w:rPr>
            </w:pPr>
            <w:r w:rsidRPr="54FAF1BB">
              <w:rPr>
                <w:rFonts w:eastAsia="Arial" w:cs="Arial"/>
                <w:b/>
                <w:bCs/>
                <w:sz w:val="18"/>
                <w:szCs w:val="18"/>
              </w:rPr>
              <w:t>A</w:t>
            </w:r>
          </w:p>
        </w:tc>
        <w:tc>
          <w:tcPr>
            <w:tcW w:w="405" w:type="pct"/>
          </w:tcPr>
          <w:p w14:paraId="0E8B42F4" w14:textId="4E13E12C" w:rsidR="004429CF" w:rsidRPr="003F6641" w:rsidRDefault="004429CF" w:rsidP="004429CF">
            <w:pPr>
              <w:rPr>
                <w:rFonts w:cs="Arial"/>
                <w:b/>
                <w:sz w:val="22"/>
                <w:szCs w:val="22"/>
              </w:rPr>
            </w:pPr>
            <w:r>
              <w:rPr>
                <w:rFonts w:eastAsia="Arial" w:cs="Arial"/>
                <w:b/>
                <w:bCs/>
                <w:sz w:val="18"/>
                <w:szCs w:val="18"/>
              </w:rPr>
              <w:t>A</w:t>
            </w:r>
            <w:r w:rsidR="00BE176B">
              <w:rPr>
                <w:rFonts w:eastAsia="Arial" w:cs="Arial"/>
                <w:b/>
                <w:bCs/>
                <w:sz w:val="18"/>
                <w:szCs w:val="18"/>
              </w:rPr>
              <w:t>+</w:t>
            </w:r>
          </w:p>
        </w:tc>
      </w:tr>
      <w:tr w:rsidR="004429CF" w:rsidRPr="003F6641" w14:paraId="58491621" w14:textId="03A359E2" w:rsidTr="004429CF">
        <w:trPr>
          <w:trHeight w:val="309"/>
        </w:trPr>
        <w:tc>
          <w:tcPr>
            <w:tcW w:w="54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30DD62" w14:textId="77777777" w:rsidR="004429CF" w:rsidRPr="000425EB" w:rsidRDefault="004429CF" w:rsidP="004429CF">
            <w:pPr>
              <w:rPr>
                <w:rFonts w:cs="Arial"/>
                <w:b/>
                <w:bCs/>
                <w:sz w:val="22"/>
                <w:szCs w:val="22"/>
              </w:rPr>
            </w:pPr>
            <w:r w:rsidRPr="000425EB">
              <w:rPr>
                <w:rFonts w:cs="Arial"/>
                <w:b/>
                <w:bCs/>
                <w:sz w:val="22"/>
                <w:szCs w:val="22"/>
              </w:rPr>
              <w:t xml:space="preserve">Risk Rating </w:t>
            </w:r>
          </w:p>
        </w:tc>
        <w:tc>
          <w:tcPr>
            <w:tcW w:w="404" w:type="pct"/>
          </w:tcPr>
          <w:p w14:paraId="5A409734" w14:textId="42F07098" w:rsidR="004429CF" w:rsidRPr="00861593" w:rsidRDefault="004429CF" w:rsidP="004429CF">
            <w:pPr>
              <w:rPr>
                <w:rFonts w:eastAsia="Arial" w:cs="Arial"/>
                <w:b/>
                <w:bCs/>
                <w:sz w:val="18"/>
                <w:szCs w:val="18"/>
              </w:rPr>
            </w:pPr>
            <w:r w:rsidRPr="00861593">
              <w:rPr>
                <w:rFonts w:eastAsia="Arial" w:cs="Arial"/>
                <w:b/>
                <w:bCs/>
                <w:sz w:val="18"/>
                <w:szCs w:val="18"/>
              </w:rPr>
              <w:t>Med</w:t>
            </w:r>
          </w:p>
        </w:tc>
        <w:tc>
          <w:tcPr>
            <w:tcW w:w="405" w:type="pct"/>
          </w:tcPr>
          <w:p w14:paraId="7AF591A2" w14:textId="1D1C442C" w:rsidR="004429CF" w:rsidRPr="00861593" w:rsidRDefault="004429CF" w:rsidP="004429CF">
            <w:pPr>
              <w:rPr>
                <w:rFonts w:eastAsia="Arial" w:cs="Arial"/>
                <w:b/>
                <w:bCs/>
                <w:sz w:val="18"/>
                <w:szCs w:val="18"/>
              </w:rPr>
            </w:pPr>
            <w:r w:rsidRPr="00861593">
              <w:rPr>
                <w:rFonts w:eastAsia="Arial" w:cs="Arial"/>
                <w:b/>
                <w:bCs/>
                <w:sz w:val="18"/>
                <w:szCs w:val="18"/>
              </w:rPr>
              <w:t>Mod</w:t>
            </w:r>
          </w:p>
        </w:tc>
        <w:tc>
          <w:tcPr>
            <w:tcW w:w="405" w:type="pct"/>
          </w:tcPr>
          <w:p w14:paraId="39E0FBB2" w14:textId="6070145D" w:rsidR="004429CF" w:rsidRPr="00861593" w:rsidRDefault="004429CF" w:rsidP="004429CF">
            <w:pPr>
              <w:rPr>
                <w:rFonts w:eastAsia="Arial" w:cs="Arial"/>
                <w:b/>
                <w:bCs/>
                <w:sz w:val="18"/>
                <w:szCs w:val="18"/>
              </w:rPr>
            </w:pPr>
            <w:r w:rsidRPr="00861593">
              <w:rPr>
                <w:rFonts w:eastAsia="Arial" w:cs="Arial"/>
                <w:b/>
                <w:bCs/>
                <w:sz w:val="18"/>
                <w:szCs w:val="18"/>
              </w:rPr>
              <w:t>Mod</w:t>
            </w:r>
          </w:p>
        </w:tc>
        <w:tc>
          <w:tcPr>
            <w:tcW w:w="404" w:type="pct"/>
          </w:tcPr>
          <w:p w14:paraId="46256ACD" w14:textId="3368EFC7" w:rsidR="004429CF" w:rsidRPr="003F6641" w:rsidRDefault="004429CF" w:rsidP="004429CF">
            <w:pPr>
              <w:rPr>
                <w:rFonts w:cs="Arial"/>
                <w:b/>
                <w:sz w:val="22"/>
                <w:szCs w:val="22"/>
              </w:rPr>
            </w:pPr>
            <w:r w:rsidRPr="00861593">
              <w:rPr>
                <w:rFonts w:eastAsia="Arial" w:cs="Arial"/>
                <w:b/>
                <w:bCs/>
                <w:sz w:val="18"/>
                <w:szCs w:val="18"/>
              </w:rPr>
              <w:t>Mod</w:t>
            </w:r>
          </w:p>
        </w:tc>
        <w:tc>
          <w:tcPr>
            <w:tcW w:w="405" w:type="pct"/>
          </w:tcPr>
          <w:p w14:paraId="247F1C7B" w14:textId="69EF3FA1" w:rsidR="004429CF" w:rsidRPr="003F6641" w:rsidRDefault="004429CF" w:rsidP="004429CF">
            <w:pPr>
              <w:rPr>
                <w:rFonts w:cs="Arial"/>
                <w:b/>
                <w:sz w:val="22"/>
                <w:szCs w:val="22"/>
              </w:rPr>
            </w:pPr>
            <w:r w:rsidRPr="00861593">
              <w:rPr>
                <w:rFonts w:eastAsia="Arial" w:cs="Arial"/>
                <w:b/>
                <w:bCs/>
                <w:sz w:val="18"/>
                <w:szCs w:val="18"/>
              </w:rPr>
              <w:t>Mod</w:t>
            </w:r>
          </w:p>
        </w:tc>
        <w:tc>
          <w:tcPr>
            <w:tcW w:w="405" w:type="pct"/>
          </w:tcPr>
          <w:p w14:paraId="3B7464A3" w14:textId="1A68FBFA" w:rsidR="004429CF" w:rsidRPr="003F6641" w:rsidRDefault="004429CF" w:rsidP="004429CF">
            <w:pPr>
              <w:rPr>
                <w:rFonts w:cs="Arial"/>
                <w:b/>
                <w:sz w:val="22"/>
                <w:szCs w:val="22"/>
              </w:rPr>
            </w:pPr>
            <w:r w:rsidRPr="00861593">
              <w:rPr>
                <w:rFonts w:eastAsia="Arial" w:cs="Arial"/>
                <w:b/>
                <w:bCs/>
                <w:sz w:val="18"/>
                <w:szCs w:val="18"/>
              </w:rPr>
              <w:t>Mod</w:t>
            </w:r>
          </w:p>
        </w:tc>
        <w:tc>
          <w:tcPr>
            <w:tcW w:w="405" w:type="pct"/>
          </w:tcPr>
          <w:p w14:paraId="7B45A5C4" w14:textId="48975C4B" w:rsidR="004429CF" w:rsidRPr="003F6641" w:rsidRDefault="004429CF" w:rsidP="004429CF">
            <w:pPr>
              <w:rPr>
                <w:rFonts w:cs="Arial"/>
                <w:b/>
                <w:sz w:val="22"/>
                <w:szCs w:val="22"/>
              </w:rPr>
            </w:pPr>
            <w:r w:rsidRPr="00861593">
              <w:rPr>
                <w:rFonts w:eastAsia="Arial" w:cs="Arial"/>
                <w:b/>
                <w:bCs/>
                <w:sz w:val="18"/>
                <w:szCs w:val="18"/>
              </w:rPr>
              <w:t>Mod</w:t>
            </w:r>
          </w:p>
        </w:tc>
        <w:tc>
          <w:tcPr>
            <w:tcW w:w="404" w:type="pct"/>
          </w:tcPr>
          <w:p w14:paraId="39F54744" w14:textId="71BC851B" w:rsidR="004429CF" w:rsidRPr="003F6641" w:rsidRDefault="004429CF" w:rsidP="004429CF">
            <w:pPr>
              <w:rPr>
                <w:rFonts w:cs="Arial"/>
                <w:b/>
                <w:sz w:val="22"/>
                <w:szCs w:val="22"/>
              </w:rPr>
            </w:pPr>
            <w:r w:rsidRPr="00861593">
              <w:rPr>
                <w:rFonts w:eastAsia="Arial" w:cs="Arial"/>
                <w:b/>
                <w:bCs/>
                <w:sz w:val="18"/>
                <w:szCs w:val="18"/>
              </w:rPr>
              <w:t>Mod</w:t>
            </w:r>
          </w:p>
        </w:tc>
        <w:tc>
          <w:tcPr>
            <w:tcW w:w="405" w:type="pct"/>
          </w:tcPr>
          <w:p w14:paraId="11BBC74F" w14:textId="684B512C" w:rsidR="004429CF" w:rsidRPr="003F6641" w:rsidRDefault="004429CF" w:rsidP="004429CF">
            <w:pPr>
              <w:rPr>
                <w:rFonts w:cs="Arial"/>
                <w:b/>
                <w:sz w:val="22"/>
                <w:szCs w:val="22"/>
              </w:rPr>
            </w:pPr>
            <w:r w:rsidRPr="00861593">
              <w:rPr>
                <w:rFonts w:eastAsia="Arial" w:cs="Arial"/>
                <w:b/>
                <w:bCs/>
                <w:sz w:val="18"/>
                <w:szCs w:val="18"/>
              </w:rPr>
              <w:t>Mod</w:t>
            </w:r>
          </w:p>
        </w:tc>
        <w:tc>
          <w:tcPr>
            <w:tcW w:w="405" w:type="pct"/>
          </w:tcPr>
          <w:p w14:paraId="6BD9DFBD" w14:textId="2C75E246" w:rsidR="004429CF" w:rsidRPr="003F6641" w:rsidRDefault="004429CF" w:rsidP="004429CF">
            <w:pPr>
              <w:rPr>
                <w:rFonts w:cs="Arial"/>
                <w:b/>
                <w:sz w:val="22"/>
                <w:szCs w:val="22"/>
              </w:rPr>
            </w:pPr>
            <w:r w:rsidRPr="54FAF1BB">
              <w:rPr>
                <w:rFonts w:eastAsia="Arial" w:cs="Arial"/>
                <w:b/>
                <w:bCs/>
                <w:sz w:val="18"/>
                <w:szCs w:val="18"/>
              </w:rPr>
              <w:t>Mod</w:t>
            </w:r>
          </w:p>
        </w:tc>
        <w:tc>
          <w:tcPr>
            <w:tcW w:w="405" w:type="pct"/>
          </w:tcPr>
          <w:p w14:paraId="20693EC9" w14:textId="0B6EC3AB" w:rsidR="004429CF" w:rsidRPr="0075009F" w:rsidRDefault="0075009F" w:rsidP="004429CF">
            <w:pPr>
              <w:rPr>
                <w:rFonts w:cs="Arial"/>
                <w:b/>
                <w:sz w:val="18"/>
                <w:szCs w:val="18"/>
              </w:rPr>
            </w:pPr>
            <w:r w:rsidRPr="0075009F">
              <w:rPr>
                <w:rFonts w:cs="Arial"/>
                <w:b/>
                <w:sz w:val="18"/>
                <w:szCs w:val="18"/>
              </w:rPr>
              <w:t>Mod</w:t>
            </w:r>
          </w:p>
        </w:tc>
      </w:tr>
    </w:tbl>
    <w:p w14:paraId="06E2DA9D" w14:textId="77777777" w:rsidR="004D2FC0" w:rsidRPr="003F6641" w:rsidRDefault="004D2FC0" w:rsidP="004D2FC0">
      <w:pPr>
        <w:rPr>
          <w:rFonts w:cs="Arial"/>
          <w:b/>
          <w:sz w:val="22"/>
          <w:szCs w:val="22"/>
        </w:rPr>
      </w:pPr>
    </w:p>
    <w:tbl>
      <w:tblPr>
        <w:tblStyle w:val="TableGrid"/>
        <w:tblW w:w="0" w:type="auto"/>
        <w:tblInd w:w="-5" w:type="dxa"/>
        <w:tblLook w:val="04A0" w:firstRow="1" w:lastRow="0" w:firstColumn="1" w:lastColumn="0" w:noHBand="0" w:noVBand="1"/>
      </w:tblPr>
      <w:tblGrid>
        <w:gridCol w:w="3969"/>
        <w:gridCol w:w="5052"/>
      </w:tblGrid>
      <w:tr w:rsidR="004D2FC0" w:rsidRPr="003F6641" w14:paraId="4FEBD36E" w14:textId="77777777" w:rsidTr="00495286">
        <w:trPr>
          <w:trHeight w:val="355"/>
        </w:trPr>
        <w:tc>
          <w:tcPr>
            <w:tcW w:w="3969" w:type="dxa"/>
            <w:shd w:val="clear" w:color="auto" w:fill="DEEAF6" w:themeFill="accent5" w:themeFillTint="33"/>
            <w:hideMark/>
          </w:tcPr>
          <w:p w14:paraId="47E97EB8" w14:textId="77777777" w:rsidR="004D2FC0" w:rsidRPr="000425EB" w:rsidRDefault="004D2FC0" w:rsidP="00FC16A6">
            <w:pPr>
              <w:rPr>
                <w:rFonts w:cs="Arial"/>
                <w:b/>
                <w:sz w:val="22"/>
                <w:szCs w:val="22"/>
              </w:rPr>
            </w:pPr>
            <w:r w:rsidRPr="000425EB">
              <w:rPr>
                <w:rFonts w:cs="Arial"/>
                <w:b/>
                <w:sz w:val="22"/>
                <w:szCs w:val="22"/>
              </w:rPr>
              <w:t xml:space="preserve">Link to Business Case: </w:t>
            </w:r>
          </w:p>
        </w:tc>
        <w:tc>
          <w:tcPr>
            <w:tcW w:w="5052" w:type="dxa"/>
          </w:tcPr>
          <w:p w14:paraId="63AF2FD5" w14:textId="77777777" w:rsidR="004D2FC0" w:rsidRPr="003F6641" w:rsidRDefault="004D2FC0" w:rsidP="00FC16A6">
            <w:pPr>
              <w:rPr>
                <w:rFonts w:cs="Arial"/>
                <w:bCs/>
                <w:i/>
                <w:iCs/>
                <w:sz w:val="22"/>
                <w:szCs w:val="22"/>
              </w:rPr>
            </w:pPr>
            <w:proofErr w:type="spellStart"/>
            <w:r w:rsidRPr="003F6641">
              <w:rPr>
                <w:rFonts w:cs="Arial"/>
                <w:bCs/>
                <w:i/>
                <w:iCs/>
                <w:sz w:val="22"/>
                <w:szCs w:val="22"/>
              </w:rPr>
              <w:t>Devtracker</w:t>
            </w:r>
            <w:proofErr w:type="spellEnd"/>
            <w:r w:rsidRPr="003F6641">
              <w:rPr>
                <w:rFonts w:cs="Arial"/>
                <w:bCs/>
                <w:i/>
                <w:iCs/>
                <w:sz w:val="22"/>
                <w:szCs w:val="22"/>
              </w:rPr>
              <w:t xml:space="preserve"> Link – If not published, ensure it is published before or alongside the Annual Review</w:t>
            </w:r>
          </w:p>
          <w:p w14:paraId="52CAFA29" w14:textId="77777777" w:rsidR="004D2FC0" w:rsidRPr="003F6641" w:rsidRDefault="004D2FC0" w:rsidP="00FC16A6">
            <w:pPr>
              <w:rPr>
                <w:rFonts w:cs="Arial"/>
                <w:bCs/>
                <w:i/>
                <w:iCs/>
                <w:sz w:val="22"/>
                <w:szCs w:val="22"/>
              </w:rPr>
            </w:pPr>
          </w:p>
        </w:tc>
      </w:tr>
      <w:tr w:rsidR="004D2FC0" w:rsidRPr="003F6641" w14:paraId="728A7692" w14:textId="77777777" w:rsidTr="00495286">
        <w:trPr>
          <w:trHeight w:val="403"/>
        </w:trPr>
        <w:tc>
          <w:tcPr>
            <w:tcW w:w="3969" w:type="dxa"/>
            <w:shd w:val="clear" w:color="auto" w:fill="DEEAF6" w:themeFill="accent5" w:themeFillTint="33"/>
            <w:hideMark/>
          </w:tcPr>
          <w:p w14:paraId="251B0951" w14:textId="77777777" w:rsidR="004D2FC0" w:rsidRPr="000425EB" w:rsidRDefault="004D2FC0" w:rsidP="00FC16A6">
            <w:pPr>
              <w:rPr>
                <w:rFonts w:cs="Arial"/>
                <w:b/>
                <w:i/>
                <w:sz w:val="22"/>
                <w:szCs w:val="22"/>
              </w:rPr>
            </w:pPr>
            <w:r w:rsidRPr="000425EB">
              <w:rPr>
                <w:rFonts w:cs="Arial"/>
                <w:b/>
                <w:sz w:val="22"/>
                <w:szCs w:val="22"/>
              </w:rPr>
              <w:t xml:space="preserve">Link to </w:t>
            </w:r>
            <w:proofErr w:type="spellStart"/>
            <w:r w:rsidRPr="000425EB">
              <w:rPr>
                <w:rFonts w:cs="Arial"/>
                <w:b/>
                <w:sz w:val="22"/>
                <w:szCs w:val="22"/>
              </w:rPr>
              <w:t>Logframe</w:t>
            </w:r>
            <w:proofErr w:type="spellEnd"/>
            <w:r w:rsidRPr="000425EB">
              <w:rPr>
                <w:rFonts w:cs="Arial"/>
                <w:b/>
                <w:sz w:val="22"/>
                <w:szCs w:val="22"/>
              </w:rPr>
              <w:t xml:space="preserve">: </w:t>
            </w:r>
          </w:p>
        </w:tc>
        <w:tc>
          <w:tcPr>
            <w:tcW w:w="5052" w:type="dxa"/>
          </w:tcPr>
          <w:p w14:paraId="1941208D" w14:textId="77777777" w:rsidR="004D2FC0" w:rsidRPr="003F6641" w:rsidRDefault="004D2FC0" w:rsidP="00FC16A6">
            <w:pPr>
              <w:rPr>
                <w:rFonts w:cs="Arial"/>
                <w:bCs/>
                <w:i/>
                <w:iCs/>
                <w:sz w:val="22"/>
                <w:szCs w:val="22"/>
              </w:rPr>
            </w:pPr>
            <w:proofErr w:type="spellStart"/>
            <w:r w:rsidRPr="003F6641">
              <w:rPr>
                <w:rFonts w:cs="Arial"/>
                <w:bCs/>
                <w:i/>
                <w:iCs/>
                <w:sz w:val="22"/>
                <w:szCs w:val="22"/>
              </w:rPr>
              <w:t>Devtracker</w:t>
            </w:r>
            <w:proofErr w:type="spellEnd"/>
            <w:r w:rsidRPr="003F6641">
              <w:rPr>
                <w:rFonts w:cs="Arial"/>
                <w:bCs/>
                <w:i/>
                <w:iCs/>
                <w:sz w:val="22"/>
                <w:szCs w:val="22"/>
              </w:rPr>
              <w:t xml:space="preserve"> Link – If not published, ensure it is published before or alongside the Annual Review</w:t>
            </w:r>
          </w:p>
        </w:tc>
      </w:tr>
    </w:tbl>
    <w:p w14:paraId="5A54EF7F" w14:textId="77777777" w:rsidR="004D2FC0" w:rsidRPr="006C516E" w:rsidRDefault="004D2FC0" w:rsidP="006C516E"/>
    <w:p w14:paraId="7A642962" w14:textId="0F6519E1" w:rsidR="003D222C" w:rsidRPr="009E3F6E" w:rsidRDefault="003D222C" w:rsidP="004D5FD5">
      <w:pPr>
        <w:jc w:val="both"/>
      </w:pPr>
      <w:bookmarkStart w:id="1" w:name="_Toc224897451"/>
      <w:r w:rsidRPr="527A8EFF">
        <w:rPr>
          <w:rStyle w:val="Heading2Char"/>
        </w:rPr>
        <w:t>Description of programme</w:t>
      </w:r>
      <w:bookmarkEnd w:id="1"/>
      <w:r>
        <w:t xml:space="preserve"> </w:t>
      </w:r>
    </w:p>
    <w:p w14:paraId="6F9482AB" w14:textId="77777777" w:rsidR="003D222C" w:rsidRPr="00D80C6C" w:rsidRDefault="003D222C" w:rsidP="004D5FD5">
      <w:pPr>
        <w:jc w:val="both"/>
        <w:rPr>
          <w:rFonts w:cs="Arial"/>
          <w:b/>
          <w:sz w:val="22"/>
          <w:szCs w:val="22"/>
        </w:rPr>
      </w:pPr>
    </w:p>
    <w:p w14:paraId="0BAAE558" w14:textId="77777777" w:rsidR="000627EE" w:rsidRPr="00283C2B" w:rsidRDefault="000627EE" w:rsidP="000627EE">
      <w:pPr>
        <w:spacing w:line="276" w:lineRule="auto"/>
        <w:jc w:val="both"/>
        <w:rPr>
          <w:rFonts w:eastAsia="Arial" w:cs="Arial"/>
          <w:b/>
          <w:bCs/>
          <w:color w:val="000000" w:themeColor="text1"/>
          <w:sz w:val="22"/>
          <w:szCs w:val="22"/>
        </w:rPr>
      </w:pPr>
      <w:r w:rsidRPr="00283C2B">
        <w:rPr>
          <w:rFonts w:eastAsia="Arial" w:cs="Arial"/>
          <w:b/>
          <w:bCs/>
          <w:color w:val="000000" w:themeColor="text1"/>
          <w:sz w:val="22"/>
          <w:szCs w:val="22"/>
        </w:rPr>
        <w:t>Overall score and Risk rating</w:t>
      </w:r>
    </w:p>
    <w:p w14:paraId="362D16D8" w14:textId="5E771E70" w:rsidR="000627EE" w:rsidRPr="00283C2B" w:rsidRDefault="000627EE" w:rsidP="000627EE">
      <w:pPr>
        <w:spacing w:line="276" w:lineRule="auto"/>
        <w:jc w:val="both"/>
        <w:rPr>
          <w:rFonts w:eastAsia="Arial" w:cs="Arial"/>
          <w:color w:val="000000" w:themeColor="text1"/>
          <w:sz w:val="22"/>
          <w:szCs w:val="22"/>
        </w:rPr>
      </w:pPr>
      <w:r w:rsidRPr="00283C2B">
        <w:rPr>
          <w:rFonts w:eastAsia="Arial" w:cs="Arial"/>
          <w:color w:val="000000" w:themeColor="text1"/>
          <w:sz w:val="22"/>
          <w:szCs w:val="22"/>
        </w:rPr>
        <w:t>The overall score for the CIF Annual Review 25-26 is an A</w:t>
      </w:r>
      <w:r w:rsidR="007C68E9" w:rsidRPr="00283C2B">
        <w:rPr>
          <w:rFonts w:eastAsia="Arial" w:cs="Arial"/>
          <w:color w:val="000000" w:themeColor="text1"/>
          <w:sz w:val="22"/>
          <w:szCs w:val="22"/>
        </w:rPr>
        <w:t>+</w:t>
      </w:r>
      <w:r w:rsidRPr="00283C2B">
        <w:rPr>
          <w:rFonts w:eastAsia="Arial" w:cs="Arial"/>
          <w:color w:val="000000" w:themeColor="text1"/>
          <w:sz w:val="22"/>
          <w:szCs w:val="22"/>
        </w:rPr>
        <w:t>. CIF programmes continue to perform in line with or above our expectation. We assess the risk rating to be moderate</w:t>
      </w:r>
      <w:r w:rsidR="00A53ABB" w:rsidRPr="00283C2B">
        <w:rPr>
          <w:rFonts w:eastAsia="Arial" w:cs="Arial"/>
          <w:color w:val="000000" w:themeColor="text1"/>
          <w:sz w:val="22"/>
          <w:szCs w:val="22"/>
        </w:rPr>
        <w:t>,</w:t>
      </w:r>
      <w:r w:rsidRPr="00283C2B">
        <w:rPr>
          <w:rFonts w:eastAsia="Arial" w:cs="Arial"/>
          <w:color w:val="000000" w:themeColor="text1"/>
          <w:sz w:val="22"/>
          <w:szCs w:val="22"/>
        </w:rPr>
        <w:t xml:space="preserve"> </w:t>
      </w:r>
      <w:r w:rsidR="00EF6507" w:rsidRPr="00283C2B">
        <w:rPr>
          <w:rFonts w:eastAsia="Arial" w:cs="Arial"/>
          <w:color w:val="000000" w:themeColor="text1"/>
          <w:sz w:val="22"/>
          <w:szCs w:val="22"/>
        </w:rPr>
        <w:t>which is consistent with</w:t>
      </w:r>
      <w:r w:rsidRPr="00283C2B">
        <w:rPr>
          <w:rFonts w:eastAsia="Arial" w:cs="Arial"/>
          <w:color w:val="000000" w:themeColor="text1"/>
          <w:sz w:val="22"/>
          <w:szCs w:val="22"/>
        </w:rPr>
        <w:t xml:space="preserve"> the previous AR.</w:t>
      </w:r>
    </w:p>
    <w:p w14:paraId="7AD226F2" w14:textId="77777777" w:rsidR="000627EE" w:rsidRPr="00283C2B" w:rsidRDefault="000627EE" w:rsidP="000627EE">
      <w:pPr>
        <w:spacing w:line="276" w:lineRule="auto"/>
        <w:jc w:val="both"/>
        <w:rPr>
          <w:rFonts w:eastAsia="Arial" w:cs="Arial"/>
          <w:b/>
          <w:bCs/>
          <w:color w:val="000000" w:themeColor="text1"/>
          <w:sz w:val="22"/>
          <w:szCs w:val="22"/>
        </w:rPr>
      </w:pPr>
    </w:p>
    <w:p w14:paraId="3887B864" w14:textId="3DD0451E" w:rsidR="000627EE" w:rsidRPr="00283C2B" w:rsidRDefault="000627EE" w:rsidP="000627EE">
      <w:pPr>
        <w:spacing w:line="276" w:lineRule="auto"/>
        <w:jc w:val="both"/>
        <w:rPr>
          <w:rFonts w:eastAsia="Arial" w:cs="Arial"/>
          <w:color w:val="000000" w:themeColor="text1"/>
          <w:sz w:val="22"/>
          <w:szCs w:val="22"/>
        </w:rPr>
      </w:pPr>
      <w:r w:rsidRPr="00283C2B">
        <w:rPr>
          <w:rFonts w:eastAsia="Arial" w:cs="Arial"/>
          <w:b/>
          <w:bCs/>
          <w:color w:val="000000" w:themeColor="text1"/>
          <w:sz w:val="22"/>
          <w:szCs w:val="22"/>
        </w:rPr>
        <w:t>Description of programme</w:t>
      </w:r>
    </w:p>
    <w:p w14:paraId="49B9A985" w14:textId="77777777" w:rsidR="000627EE" w:rsidRPr="00283C2B" w:rsidRDefault="000627EE" w:rsidP="009F68FA">
      <w:pPr>
        <w:spacing w:line="276" w:lineRule="auto"/>
        <w:rPr>
          <w:rStyle w:val="normaltextrun"/>
          <w:rFonts w:eastAsia="Arial" w:cs="Arial"/>
          <w:color w:val="000000" w:themeColor="text1"/>
          <w:sz w:val="22"/>
          <w:szCs w:val="22"/>
        </w:rPr>
      </w:pPr>
      <w:r w:rsidRPr="00283C2B">
        <w:rPr>
          <w:rStyle w:val="normaltextrun"/>
          <w:rFonts w:eastAsia="Arial" w:cs="Arial"/>
          <w:color w:val="000000" w:themeColor="text1"/>
          <w:sz w:val="22"/>
          <w:szCs w:val="22"/>
        </w:rPr>
        <w:t xml:space="preserve">The </w:t>
      </w:r>
      <w:r w:rsidRPr="00283C2B">
        <w:rPr>
          <w:rStyle w:val="normaltextrun"/>
          <w:rFonts w:eastAsia="Arial" w:cs="Arial"/>
          <w:b/>
          <w:bCs/>
          <w:color w:val="000000" w:themeColor="text1"/>
          <w:sz w:val="22"/>
          <w:szCs w:val="22"/>
        </w:rPr>
        <w:t>Climate Investment Funds (CIF)</w:t>
      </w:r>
      <w:r w:rsidRPr="00283C2B">
        <w:rPr>
          <w:rStyle w:val="normaltextrun"/>
          <w:rFonts w:eastAsia="Arial" w:cs="Arial"/>
          <w:color w:val="000000" w:themeColor="text1"/>
          <w:sz w:val="22"/>
          <w:szCs w:val="22"/>
        </w:rPr>
        <w:t xml:space="preserve"> were created in 2008, to incentivise </w:t>
      </w:r>
      <w:r w:rsidRPr="00283C2B">
        <w:rPr>
          <w:rFonts w:eastAsia="Arial" w:cs="Arial"/>
          <w:color w:val="000000" w:themeColor="text1"/>
          <w:sz w:val="22"/>
          <w:szCs w:val="22"/>
        </w:rPr>
        <w:t>multilateral development banks (MDBs</w:t>
      </w:r>
      <w:r w:rsidRPr="00283C2B">
        <w:rPr>
          <w:rStyle w:val="FootnoteReference"/>
          <w:rFonts w:eastAsia="Arial" w:cs="Arial"/>
          <w:color w:val="000000" w:themeColor="text1"/>
          <w:sz w:val="22"/>
          <w:szCs w:val="22"/>
        </w:rPr>
        <w:footnoteReference w:id="2"/>
      </w:r>
      <w:r w:rsidRPr="00283C2B">
        <w:rPr>
          <w:rFonts w:eastAsia="Arial" w:cs="Arial"/>
          <w:color w:val="000000" w:themeColor="text1"/>
          <w:sz w:val="22"/>
          <w:szCs w:val="22"/>
        </w:rPr>
        <w:t xml:space="preserve">) to </w:t>
      </w:r>
      <w:r w:rsidRPr="00283C2B">
        <w:rPr>
          <w:rStyle w:val="normaltextrun"/>
          <w:rFonts w:eastAsia="Arial" w:cs="Arial"/>
          <w:color w:val="000000" w:themeColor="text1"/>
          <w:sz w:val="22"/>
          <w:szCs w:val="22"/>
        </w:rPr>
        <w:t xml:space="preserve">pilot new approaches to low carbon and climate resilient growth in developing countries. </w:t>
      </w:r>
      <w:r w:rsidRPr="00283C2B">
        <w:rPr>
          <w:rFonts w:eastAsia="Arial" w:cs="Arial"/>
          <w:color w:val="000000" w:themeColor="text1"/>
          <w:sz w:val="22"/>
          <w:szCs w:val="22"/>
        </w:rPr>
        <w:t xml:space="preserve">Established with an initial $8 billion of contributions from 14 contributor countries, including the UK, </w:t>
      </w:r>
      <w:r w:rsidRPr="00283C2B">
        <w:rPr>
          <w:rFonts w:eastAsia="Arial" w:cs="Arial"/>
          <w:sz w:val="22"/>
          <w:szCs w:val="22"/>
        </w:rPr>
        <w:t xml:space="preserve">the CIF have since financed nearly 450 projects in over 80 countries. CIF contains two sub-funds: </w:t>
      </w:r>
      <w:r w:rsidRPr="00283C2B">
        <w:rPr>
          <w:sz w:val="22"/>
          <w:szCs w:val="22"/>
        </w:rPr>
        <w:br/>
      </w:r>
    </w:p>
    <w:p w14:paraId="623B666A" w14:textId="1DE2E1AB" w:rsidR="000627EE" w:rsidRPr="00283C2B" w:rsidRDefault="000627EE" w:rsidP="00E55620">
      <w:pPr>
        <w:pStyle w:val="ListParagraph"/>
        <w:numPr>
          <w:ilvl w:val="0"/>
          <w:numId w:val="20"/>
        </w:numPr>
        <w:spacing w:line="276" w:lineRule="auto"/>
        <w:jc w:val="both"/>
        <w:rPr>
          <w:rFonts w:eastAsia="Arial" w:cs="Arial"/>
          <w:color w:val="000000" w:themeColor="text1"/>
          <w:sz w:val="22"/>
          <w:szCs w:val="22"/>
        </w:rPr>
      </w:pPr>
      <w:r w:rsidRPr="00283C2B">
        <w:rPr>
          <w:rFonts w:eastAsia="Arial" w:cs="Arial"/>
          <w:color w:val="000000" w:themeColor="text1"/>
          <w:sz w:val="22"/>
          <w:szCs w:val="22"/>
        </w:rPr>
        <w:t xml:space="preserve">The </w:t>
      </w:r>
      <w:r w:rsidRPr="00283C2B">
        <w:rPr>
          <w:rFonts w:eastAsia="Arial" w:cs="Arial"/>
          <w:b/>
          <w:color w:val="000000" w:themeColor="text1"/>
          <w:sz w:val="22"/>
          <w:szCs w:val="22"/>
        </w:rPr>
        <w:t>Clean Technology Fund (CTF</w:t>
      </w:r>
      <w:r w:rsidRPr="00283C2B">
        <w:rPr>
          <w:rFonts w:eastAsia="Arial" w:cs="Arial"/>
          <w:b/>
          <w:bCs/>
          <w:color w:val="000000" w:themeColor="text1"/>
          <w:sz w:val="22"/>
          <w:szCs w:val="22"/>
        </w:rPr>
        <w:t>)</w:t>
      </w:r>
      <w:r w:rsidRPr="00283C2B">
        <w:rPr>
          <w:rFonts w:eastAsia="Arial" w:cs="Arial"/>
          <w:color w:val="000000" w:themeColor="text1"/>
          <w:sz w:val="22"/>
          <w:szCs w:val="22"/>
        </w:rPr>
        <w:t xml:space="preserve"> supports middle income countries to demonstrate and deploy low carbon technologies at scale.</w:t>
      </w:r>
      <w:r w:rsidR="00DD48D9" w:rsidRPr="00283C2B">
        <w:rPr>
          <w:rFonts w:eastAsia="Arial" w:cs="Arial"/>
          <w:color w:val="000000" w:themeColor="text1"/>
          <w:sz w:val="22"/>
          <w:szCs w:val="22"/>
        </w:rPr>
        <w:t xml:space="preserve"> The CTF contains the Accelerating Coal Transition (ACT) and Industry </w:t>
      </w:r>
      <w:r w:rsidR="00E55620" w:rsidRPr="00283C2B">
        <w:rPr>
          <w:rFonts w:eastAsia="Arial" w:cs="Arial"/>
          <w:color w:val="000000" w:themeColor="text1"/>
          <w:sz w:val="22"/>
          <w:szCs w:val="22"/>
        </w:rPr>
        <w:t>Decarbonisation</w:t>
      </w:r>
      <w:r w:rsidR="00DD48D9" w:rsidRPr="00283C2B">
        <w:rPr>
          <w:rFonts w:eastAsia="Arial" w:cs="Arial"/>
          <w:color w:val="000000" w:themeColor="text1"/>
          <w:sz w:val="22"/>
          <w:szCs w:val="22"/>
        </w:rPr>
        <w:t xml:space="preserve"> </w:t>
      </w:r>
      <w:r w:rsidR="00E55620" w:rsidRPr="00283C2B">
        <w:rPr>
          <w:rFonts w:eastAsia="Arial" w:cs="Arial"/>
          <w:color w:val="000000" w:themeColor="text1"/>
          <w:sz w:val="22"/>
          <w:szCs w:val="22"/>
        </w:rPr>
        <w:t>(ID) Programmes</w:t>
      </w:r>
      <w:r w:rsidR="00DD48D9" w:rsidRPr="00283C2B">
        <w:rPr>
          <w:rFonts w:eastAsia="Arial" w:cs="Arial"/>
          <w:color w:val="000000" w:themeColor="text1"/>
          <w:sz w:val="22"/>
          <w:szCs w:val="22"/>
        </w:rPr>
        <w:t>.</w:t>
      </w:r>
      <w:r w:rsidR="00E55620" w:rsidRPr="00283C2B">
        <w:rPr>
          <w:rFonts w:eastAsia="Arial" w:cs="Arial"/>
          <w:color w:val="000000" w:themeColor="text1"/>
          <w:sz w:val="22"/>
          <w:szCs w:val="22"/>
        </w:rPr>
        <w:t xml:space="preserve"> </w:t>
      </w:r>
      <w:r w:rsidRPr="00283C2B">
        <w:rPr>
          <w:rFonts w:eastAsia="Arial" w:cs="Arial"/>
          <w:color w:val="000000" w:themeColor="text1"/>
          <w:sz w:val="22"/>
          <w:szCs w:val="22"/>
        </w:rPr>
        <w:t>The CTF also provides targeted funding ‘windows’ that support the private sector through its Dedicated Private Sector Programmes (DPSPs)</w:t>
      </w:r>
      <w:r w:rsidR="00AA5901" w:rsidRPr="00283C2B">
        <w:rPr>
          <w:rFonts w:eastAsia="Arial" w:cs="Arial"/>
          <w:color w:val="000000" w:themeColor="text1"/>
          <w:sz w:val="22"/>
          <w:szCs w:val="22"/>
        </w:rPr>
        <w:t xml:space="preserve"> and newer Enhanced Futures Window (EFW</w:t>
      </w:r>
      <w:r w:rsidRPr="00283C2B">
        <w:rPr>
          <w:rFonts w:eastAsia="Arial" w:cs="Arial"/>
          <w:color w:val="000000" w:themeColor="text1"/>
          <w:sz w:val="22"/>
          <w:szCs w:val="22"/>
        </w:rPr>
        <w:t>),</w:t>
      </w:r>
      <w:r w:rsidR="00DD48D9" w:rsidRPr="00283C2B">
        <w:rPr>
          <w:rFonts w:eastAsia="Arial" w:cs="Arial"/>
          <w:color w:val="000000" w:themeColor="text1"/>
          <w:sz w:val="22"/>
          <w:szCs w:val="22"/>
        </w:rPr>
        <w:t xml:space="preserve"> and</w:t>
      </w:r>
      <w:r w:rsidRPr="00283C2B">
        <w:rPr>
          <w:rFonts w:eastAsia="Arial" w:cs="Arial"/>
          <w:color w:val="000000" w:themeColor="text1"/>
          <w:sz w:val="22"/>
          <w:szCs w:val="22"/>
        </w:rPr>
        <w:t xml:space="preserve"> battery storage technology through its Global Energy Storage Programme (GESP)</w:t>
      </w:r>
      <w:r w:rsidR="00574BA6" w:rsidRPr="00283C2B">
        <w:rPr>
          <w:rFonts w:eastAsia="Arial" w:cs="Arial"/>
          <w:color w:val="000000" w:themeColor="text1"/>
          <w:sz w:val="22"/>
          <w:szCs w:val="22"/>
        </w:rPr>
        <w:t>.</w:t>
      </w:r>
    </w:p>
    <w:p w14:paraId="1BD4CDF2" w14:textId="0112A3C5" w:rsidR="000627EE" w:rsidRPr="00283C2B" w:rsidRDefault="000627EE" w:rsidP="000627EE">
      <w:pPr>
        <w:pStyle w:val="ListParagraph"/>
        <w:numPr>
          <w:ilvl w:val="0"/>
          <w:numId w:val="20"/>
        </w:numPr>
        <w:spacing w:line="276" w:lineRule="auto"/>
        <w:jc w:val="both"/>
        <w:rPr>
          <w:rFonts w:eastAsia="Arial" w:cs="Arial"/>
          <w:color w:val="000000" w:themeColor="text1"/>
          <w:sz w:val="22"/>
          <w:szCs w:val="22"/>
        </w:rPr>
      </w:pPr>
      <w:r w:rsidRPr="00283C2B">
        <w:rPr>
          <w:rFonts w:eastAsia="Arial" w:cs="Arial"/>
          <w:b/>
          <w:bCs/>
          <w:color w:val="000000" w:themeColor="text1"/>
          <w:sz w:val="22"/>
          <w:szCs w:val="22"/>
        </w:rPr>
        <w:t>The Strategic Climate Fund (SCF)</w:t>
      </w:r>
      <w:r w:rsidRPr="00283C2B">
        <w:rPr>
          <w:rFonts w:eastAsia="Arial" w:cs="Arial"/>
          <w:color w:val="000000" w:themeColor="text1"/>
          <w:sz w:val="22"/>
          <w:szCs w:val="22"/>
        </w:rPr>
        <w:t xml:space="preserve"> supports mainly lower income countries to advance resilience-and-nature-based climate solutions. The SCF comprises a blend of legacy, new, and technical assistance programmes. Its legacy initiatives include the Forest Investment Programme (FIP), which focuses on forestry, the Scaling Renewable Energy Programme (SREP), which promotes clean energy technology, and the Pilot Programme for Climate Resilience (PPCR), which addresses climate adaptation. The SCF also hosts some of the newer CIF programmes such as the Renewable Energy Integration (REI; shared jointly with the CTF), the Technical Assistance Facility (TAF, shared jointly with CTF), the Nature, People and Climate (NPC), and the newly launched ‘Accelerating Resilience Investments and Innovations for Sustainable Economies’ (ARISE) programme. </w:t>
      </w:r>
    </w:p>
    <w:p w14:paraId="4DED83CC" w14:textId="77777777" w:rsidR="000627EE" w:rsidRPr="00283C2B" w:rsidRDefault="000627EE" w:rsidP="009F68FA">
      <w:pPr>
        <w:spacing w:line="276" w:lineRule="auto"/>
        <w:jc w:val="both"/>
        <w:rPr>
          <w:rFonts w:eastAsia="Arial" w:cs="Arial"/>
          <w:sz w:val="22"/>
          <w:szCs w:val="22"/>
        </w:rPr>
      </w:pPr>
      <w:r w:rsidRPr="00283C2B">
        <w:rPr>
          <w:rFonts w:eastAsia="Arial" w:cs="Arial"/>
          <w:sz w:val="22"/>
          <w:szCs w:val="22"/>
        </w:rPr>
        <w:t xml:space="preserve">Through these programmes, the CIF works in partnership with MDBs, countries and governments, the private sector, civil society, and local communities to: </w:t>
      </w:r>
    </w:p>
    <w:p w14:paraId="2BE5FC82" w14:textId="77777777" w:rsidR="000627EE" w:rsidRPr="00283C2B" w:rsidRDefault="000627EE" w:rsidP="009F68FA">
      <w:pPr>
        <w:pStyle w:val="ListParagraph"/>
        <w:numPr>
          <w:ilvl w:val="0"/>
          <w:numId w:val="21"/>
        </w:numPr>
        <w:spacing w:after="0" w:line="276" w:lineRule="auto"/>
        <w:jc w:val="both"/>
        <w:rPr>
          <w:rFonts w:eastAsia="Arial" w:cs="Arial"/>
          <w:color w:val="000000" w:themeColor="text1"/>
          <w:sz w:val="22"/>
          <w:szCs w:val="22"/>
        </w:rPr>
      </w:pPr>
      <w:r w:rsidRPr="00283C2B">
        <w:rPr>
          <w:rFonts w:eastAsia="Arial" w:cs="Arial"/>
          <w:sz w:val="22"/>
          <w:szCs w:val="22"/>
        </w:rPr>
        <w:t xml:space="preserve">reduce financing costs, </w:t>
      </w:r>
    </w:p>
    <w:p w14:paraId="3114C113" w14:textId="77777777" w:rsidR="000627EE" w:rsidRPr="00283C2B" w:rsidRDefault="000627EE" w:rsidP="009F68FA">
      <w:pPr>
        <w:pStyle w:val="ListParagraph"/>
        <w:numPr>
          <w:ilvl w:val="0"/>
          <w:numId w:val="21"/>
        </w:numPr>
        <w:spacing w:after="0" w:line="276" w:lineRule="auto"/>
        <w:jc w:val="both"/>
        <w:rPr>
          <w:rFonts w:eastAsia="Arial" w:cs="Arial"/>
          <w:color w:val="000000" w:themeColor="text1"/>
          <w:sz w:val="22"/>
          <w:szCs w:val="22"/>
        </w:rPr>
      </w:pPr>
      <w:r w:rsidRPr="00283C2B">
        <w:rPr>
          <w:rFonts w:eastAsia="Arial" w:cs="Arial"/>
          <w:sz w:val="22"/>
          <w:szCs w:val="22"/>
        </w:rPr>
        <w:t xml:space="preserve">lower risks for investors, </w:t>
      </w:r>
    </w:p>
    <w:p w14:paraId="043FB213" w14:textId="77777777" w:rsidR="000627EE" w:rsidRPr="00283C2B" w:rsidRDefault="000627EE" w:rsidP="009F68FA">
      <w:pPr>
        <w:pStyle w:val="ListParagraph"/>
        <w:numPr>
          <w:ilvl w:val="0"/>
          <w:numId w:val="21"/>
        </w:numPr>
        <w:spacing w:after="0" w:line="276" w:lineRule="auto"/>
        <w:jc w:val="both"/>
        <w:rPr>
          <w:rFonts w:eastAsia="Arial" w:cs="Arial"/>
          <w:color w:val="000000" w:themeColor="text1"/>
          <w:sz w:val="22"/>
          <w:szCs w:val="22"/>
        </w:rPr>
      </w:pPr>
      <w:r w:rsidRPr="00283C2B">
        <w:rPr>
          <w:rFonts w:eastAsia="Arial" w:cs="Arial"/>
          <w:sz w:val="22"/>
          <w:szCs w:val="22"/>
        </w:rPr>
        <w:t xml:space="preserve">remove barriers to piloting new technologies, </w:t>
      </w:r>
    </w:p>
    <w:p w14:paraId="1A9F30E9" w14:textId="77777777" w:rsidR="000627EE" w:rsidRPr="00283C2B" w:rsidRDefault="000627EE" w:rsidP="009F68FA">
      <w:pPr>
        <w:pStyle w:val="ListParagraph"/>
        <w:numPr>
          <w:ilvl w:val="0"/>
          <w:numId w:val="21"/>
        </w:numPr>
        <w:spacing w:after="0" w:line="276" w:lineRule="auto"/>
        <w:jc w:val="both"/>
        <w:rPr>
          <w:rFonts w:eastAsia="Arial" w:cs="Arial"/>
          <w:color w:val="000000" w:themeColor="text1"/>
          <w:sz w:val="22"/>
          <w:szCs w:val="22"/>
        </w:rPr>
      </w:pPr>
      <w:r w:rsidRPr="00283C2B">
        <w:rPr>
          <w:rFonts w:eastAsia="Arial" w:cs="Arial"/>
          <w:sz w:val="22"/>
          <w:szCs w:val="22"/>
        </w:rPr>
        <w:t xml:space="preserve">scale up proven solutions, and </w:t>
      </w:r>
    </w:p>
    <w:p w14:paraId="68242259" w14:textId="77777777" w:rsidR="000627EE" w:rsidRPr="00283C2B" w:rsidRDefault="000627EE" w:rsidP="009F68FA">
      <w:pPr>
        <w:pStyle w:val="ListParagraph"/>
        <w:numPr>
          <w:ilvl w:val="0"/>
          <w:numId w:val="21"/>
        </w:numPr>
        <w:spacing w:after="0" w:line="276" w:lineRule="auto"/>
        <w:jc w:val="both"/>
        <w:rPr>
          <w:rFonts w:eastAsia="Arial" w:cs="Arial"/>
          <w:color w:val="000000" w:themeColor="text1"/>
          <w:sz w:val="22"/>
          <w:szCs w:val="22"/>
        </w:rPr>
      </w:pPr>
      <w:r w:rsidRPr="00283C2B">
        <w:rPr>
          <w:rFonts w:eastAsia="Arial" w:cs="Arial"/>
          <w:sz w:val="22"/>
          <w:szCs w:val="22"/>
        </w:rPr>
        <w:t xml:space="preserve">build sustainable markets for climate action. </w:t>
      </w:r>
    </w:p>
    <w:p w14:paraId="0927DC96" w14:textId="77777777" w:rsidR="000627EE" w:rsidRPr="00283C2B" w:rsidRDefault="000627EE" w:rsidP="009F68FA">
      <w:pPr>
        <w:jc w:val="both"/>
        <w:rPr>
          <w:rFonts w:eastAsia="Arial" w:cs="Arial"/>
          <w:sz w:val="22"/>
          <w:szCs w:val="22"/>
        </w:rPr>
      </w:pPr>
      <w:r w:rsidRPr="00283C2B">
        <w:rPr>
          <w:rFonts w:eastAsia="Arial" w:cs="Arial"/>
          <w:sz w:val="22"/>
          <w:szCs w:val="22"/>
        </w:rPr>
        <w:t>The programmes also contribute to at least ten of the Sustainable Development Goals, as shown below. Please note that the results presented have not been subject to any UK attribution or additionality adjustments and may therefore differ from those cited elsewhere in this review.</w:t>
      </w:r>
    </w:p>
    <w:p w14:paraId="78F0CDFE" w14:textId="77777777" w:rsidR="00C93067" w:rsidRPr="00283C2B" w:rsidRDefault="00C93067" w:rsidP="000627EE">
      <w:pPr>
        <w:rPr>
          <w:rFonts w:eastAsia="Arial" w:cs="Arial"/>
          <w:sz w:val="22"/>
          <w:szCs w:val="22"/>
        </w:rPr>
      </w:pPr>
    </w:p>
    <w:p w14:paraId="7122B37B" w14:textId="76B7E71A" w:rsidR="000627EE" w:rsidRPr="00283C2B" w:rsidRDefault="000627EE" w:rsidP="000627EE">
      <w:pPr>
        <w:rPr>
          <w:rFonts w:eastAsia="Arial" w:cs="Arial"/>
          <w:b/>
          <w:bCs/>
          <w:sz w:val="22"/>
          <w:szCs w:val="22"/>
        </w:rPr>
      </w:pPr>
      <w:r w:rsidRPr="00283C2B">
        <w:rPr>
          <w:rFonts w:eastAsia="Arial" w:cs="Arial"/>
          <w:b/>
          <w:bCs/>
          <w:sz w:val="22"/>
          <w:szCs w:val="22"/>
        </w:rPr>
        <w:t>CIF Sustainable Development Goals contribution</w:t>
      </w:r>
    </w:p>
    <w:p w14:paraId="0CBAD6C9" w14:textId="77777777" w:rsidR="000627EE" w:rsidRPr="000627EE" w:rsidRDefault="000627EE" w:rsidP="000627EE">
      <w:pPr>
        <w:rPr>
          <w:rFonts w:eastAsia="Arial" w:cs="Arial"/>
          <w:b/>
          <w:bCs/>
        </w:rPr>
      </w:pPr>
    </w:p>
    <w:p w14:paraId="2AF534B2" w14:textId="377C68E8" w:rsidR="000627EE" w:rsidRPr="000627EE" w:rsidRDefault="000627EE" w:rsidP="000627EE">
      <w:r w:rsidRPr="000627EE">
        <w:rPr>
          <w:rFonts w:cs="Arial"/>
          <w:noProof/>
        </w:rPr>
        <w:drawing>
          <wp:inline distT="0" distB="0" distL="0" distR="0" wp14:anchorId="01140C6E" wp14:editId="4A764D33">
            <wp:extent cx="5706110" cy="3448050"/>
            <wp:effectExtent l="0" t="0" r="8890" b="0"/>
            <wp:docPr id="1979663933" name="Picture 1" descr="A diagram of a circular structure with colorful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63933" name="Picture 1" descr="A diagram of a circular structure with colorful circles&#10;&#10;AI-generated content may be incorrect."/>
                    <pic:cNvPicPr/>
                  </pic:nvPicPr>
                  <pic:blipFill rotWithShape="1">
                    <a:blip r:embed="rId16"/>
                    <a:srcRect l="444" t="912" r="-1" b="1"/>
                    <a:stretch>
                      <a:fillRect/>
                    </a:stretch>
                  </pic:blipFill>
                  <pic:spPr bwMode="auto">
                    <a:xfrm>
                      <a:off x="0" y="0"/>
                      <a:ext cx="5706110" cy="3448050"/>
                    </a:xfrm>
                    <a:prstGeom prst="rect">
                      <a:avLst/>
                    </a:prstGeom>
                    <a:ln>
                      <a:noFill/>
                    </a:ln>
                    <a:extLst>
                      <a:ext uri="{53640926-AAD7-44D8-BBD7-CCE9431645EC}">
                        <a14:shadowObscured xmlns:a14="http://schemas.microsoft.com/office/drawing/2010/main"/>
                      </a:ext>
                    </a:extLst>
                  </pic:spPr>
                </pic:pic>
              </a:graphicData>
            </a:graphic>
          </wp:inline>
        </w:drawing>
      </w:r>
      <w:r w:rsidRPr="000627EE">
        <w:rPr>
          <w:rFonts w:cs="Arial"/>
        </w:rPr>
        <w:t xml:space="preserve"> </w:t>
      </w:r>
      <w:r w:rsidRPr="00077A1E">
        <w:rPr>
          <w:rFonts w:cs="Arial"/>
        </w:rPr>
        <w:br/>
        <w:t xml:space="preserve">Source: </w:t>
      </w:r>
      <w:hyperlink r:id="rId17" w:history="1">
        <w:r w:rsidRPr="002E2E7D">
          <w:rPr>
            <w:rStyle w:val="Hyperlink"/>
            <w:rFonts w:cs="Arial"/>
          </w:rPr>
          <w:t>CIF</w:t>
        </w:r>
      </w:hyperlink>
      <w:r>
        <w:rPr>
          <w:rFonts w:cs="Arial"/>
        </w:rPr>
        <w:t xml:space="preserve"> (2026)</w:t>
      </w:r>
    </w:p>
    <w:p w14:paraId="1BF350F4" w14:textId="77777777" w:rsidR="000627EE" w:rsidRPr="00861593" w:rsidRDefault="000627EE" w:rsidP="000627EE">
      <w:pPr>
        <w:spacing w:line="276" w:lineRule="auto"/>
        <w:jc w:val="both"/>
        <w:rPr>
          <w:rFonts w:eastAsia="Arial" w:cs="Arial"/>
          <w:color w:val="000000" w:themeColor="text1"/>
        </w:rPr>
      </w:pPr>
    </w:p>
    <w:p w14:paraId="607574A2" w14:textId="77777777" w:rsidR="000627EE" w:rsidRPr="00283C2B" w:rsidRDefault="000627EE" w:rsidP="000627EE">
      <w:pPr>
        <w:spacing w:line="276" w:lineRule="auto"/>
        <w:jc w:val="both"/>
        <w:rPr>
          <w:rFonts w:eastAsia="Arial" w:cs="Arial"/>
          <w:color w:val="000000" w:themeColor="text1"/>
          <w:sz w:val="22"/>
          <w:szCs w:val="22"/>
        </w:rPr>
      </w:pPr>
      <w:r w:rsidRPr="00283C2B">
        <w:rPr>
          <w:rFonts w:eastAsia="Arial" w:cs="Arial"/>
          <w:color w:val="000000" w:themeColor="text1"/>
          <w:sz w:val="22"/>
          <w:szCs w:val="22"/>
        </w:rPr>
        <w:t>To date the CIF have approved $7.7 billion of initial funding which is expected to mobilise over $70 billion</w:t>
      </w:r>
      <w:r w:rsidRPr="00283C2B">
        <w:rPr>
          <w:rStyle w:val="FootnoteReference"/>
          <w:rFonts w:eastAsia="Arial" w:cs="Arial"/>
          <w:color w:val="000000" w:themeColor="text1"/>
          <w:sz w:val="22"/>
          <w:szCs w:val="22"/>
        </w:rPr>
        <w:footnoteReference w:id="3"/>
      </w:r>
      <w:r w:rsidRPr="00283C2B">
        <w:rPr>
          <w:rFonts w:eastAsia="Arial" w:cs="Arial"/>
          <w:color w:val="000000" w:themeColor="text1"/>
          <w:sz w:val="22"/>
          <w:szCs w:val="22"/>
        </w:rPr>
        <w:t xml:space="preserve"> in co-financing with around $23bn from private sources to help climate change mitigation and adaptation projects in developing countries. This equates to a co-finance ratio of around 1:10.</w:t>
      </w:r>
    </w:p>
    <w:p w14:paraId="15085C72" w14:textId="77777777" w:rsidR="000627EE" w:rsidRPr="00283C2B" w:rsidRDefault="000627EE" w:rsidP="000627EE">
      <w:pPr>
        <w:spacing w:line="276" w:lineRule="auto"/>
        <w:jc w:val="both"/>
        <w:rPr>
          <w:rFonts w:eastAsia="Arial" w:cs="Arial"/>
          <w:color w:val="000000" w:themeColor="text1"/>
          <w:sz w:val="22"/>
          <w:szCs w:val="22"/>
        </w:rPr>
      </w:pPr>
    </w:p>
    <w:p w14:paraId="7CCF42F9" w14:textId="3E4E5C36" w:rsidR="000627EE" w:rsidRPr="00283C2B" w:rsidRDefault="000627EE" w:rsidP="000627EE">
      <w:pPr>
        <w:spacing w:line="276" w:lineRule="auto"/>
        <w:jc w:val="both"/>
        <w:rPr>
          <w:rFonts w:eastAsia="Arial" w:cs="Arial"/>
          <w:color w:val="000000" w:themeColor="text1"/>
          <w:sz w:val="22"/>
          <w:szCs w:val="22"/>
        </w:rPr>
      </w:pPr>
      <w:r w:rsidRPr="00283C2B">
        <w:rPr>
          <w:rFonts w:eastAsia="Arial" w:cs="Arial"/>
          <w:color w:val="000000" w:themeColor="text1"/>
          <w:sz w:val="22"/>
          <w:szCs w:val="22"/>
        </w:rPr>
        <w:t xml:space="preserve">To date the UK has provided approximately £2.7bn (US$3.6bn) to the CIF, 29% of overall donor contributions making it one of the largest contributors.  DESNZ funding has traditionally focused more on middle income countries through the CTF with FCDO funding focusing primarily on lower income countries through the SCF. As of 2021 DESNZ and FCDO had contributed £1,308.5m and £854.5m respectively. </w:t>
      </w:r>
      <w:r w:rsidR="34719A41" w:rsidRPr="00283C2B">
        <w:rPr>
          <w:rFonts w:eastAsia="Arial" w:cs="Arial"/>
          <w:color w:val="000000" w:themeColor="text1"/>
          <w:sz w:val="22"/>
          <w:szCs w:val="22"/>
        </w:rPr>
        <w:t>In 2021</w:t>
      </w:r>
      <w:r w:rsidRPr="00283C2B">
        <w:rPr>
          <w:rFonts w:eastAsia="Arial" w:cs="Arial"/>
          <w:color w:val="000000" w:themeColor="text1"/>
          <w:sz w:val="22"/>
          <w:szCs w:val="22"/>
        </w:rPr>
        <w:t xml:space="preserve"> DESNZ pledged an additional £500 million to support the new CIF programmes: contributing £200m for CIF Accelerating Coal Transitions (ACT), £150m for Renewable Energy Integration (REI), £65m for Nature People and Climate (NPC), £65m for Industrial Decarbonisation (ID) and earmarking a further £20m for the CIF REI programme. This brings the total DESNZ funding to approximately £1.8bn.    </w:t>
      </w:r>
    </w:p>
    <w:p w14:paraId="36494830" w14:textId="77777777" w:rsidR="000627EE" w:rsidRPr="00283C2B" w:rsidRDefault="000627EE" w:rsidP="000627EE">
      <w:pPr>
        <w:spacing w:line="276" w:lineRule="auto"/>
        <w:jc w:val="both"/>
        <w:rPr>
          <w:rFonts w:eastAsia="Arial" w:cs="Arial"/>
          <w:color w:val="000000" w:themeColor="text1"/>
          <w:sz w:val="22"/>
          <w:szCs w:val="22"/>
        </w:rPr>
      </w:pPr>
    </w:p>
    <w:p w14:paraId="260C58C9" w14:textId="745C3E46" w:rsidR="00C93067" w:rsidRPr="00283C2B" w:rsidRDefault="000627EE" w:rsidP="00BF5142">
      <w:pPr>
        <w:spacing w:line="276" w:lineRule="auto"/>
        <w:jc w:val="both"/>
        <w:rPr>
          <w:rFonts w:eastAsia="Arial" w:cs="Arial"/>
          <w:color w:val="000000" w:themeColor="text1"/>
          <w:sz w:val="22"/>
          <w:szCs w:val="22"/>
        </w:rPr>
      </w:pPr>
      <w:r w:rsidRPr="00283C2B">
        <w:rPr>
          <w:rFonts w:eastAsia="Arial" w:cs="Arial"/>
          <w:color w:val="000000" w:themeColor="text1"/>
          <w:sz w:val="22"/>
          <w:szCs w:val="22"/>
        </w:rPr>
        <w:t>These contributions underpin the quantitative results captured in this annual review from the Clean Technology Fund (CTF) and the Strategic Climate Fund (SCF). The new programmes are currently reported qualitatively under Output 3, and the reporting framework will be updated as quantitative results from these programmes become available.</w:t>
      </w:r>
    </w:p>
    <w:p w14:paraId="59ABD99D" w14:textId="77777777" w:rsidR="000627EE" w:rsidRPr="00283C2B" w:rsidRDefault="000627EE" w:rsidP="004D5FD5">
      <w:pPr>
        <w:jc w:val="both"/>
        <w:rPr>
          <w:sz w:val="22"/>
          <w:szCs w:val="22"/>
        </w:rPr>
      </w:pPr>
    </w:p>
    <w:p w14:paraId="36AC6569" w14:textId="1F35E719" w:rsidR="003D222C" w:rsidRPr="00A615D9" w:rsidRDefault="003D222C" w:rsidP="004D5FD5">
      <w:pPr>
        <w:jc w:val="both"/>
        <w:rPr>
          <w:sz w:val="22"/>
          <w:szCs w:val="22"/>
        </w:rPr>
      </w:pPr>
      <w:bookmarkStart w:id="3" w:name="_Toc224897452"/>
      <w:r w:rsidRPr="00283C2B">
        <w:rPr>
          <w:rStyle w:val="Heading2Char"/>
          <w:sz w:val="22"/>
          <w:szCs w:val="22"/>
        </w:rPr>
        <w:t>Summary of progress and supporting narrative for the overall score</w:t>
      </w:r>
      <w:bookmarkEnd w:id="3"/>
      <w:r w:rsidR="00A86616" w:rsidRPr="00283C2B">
        <w:rPr>
          <w:sz w:val="22"/>
          <w:szCs w:val="22"/>
        </w:rPr>
        <w:t xml:space="preserve"> </w:t>
      </w:r>
    </w:p>
    <w:p w14:paraId="2E00060D" w14:textId="77777777" w:rsidR="009E7B57" w:rsidRPr="00283C2B" w:rsidRDefault="009E7B57">
      <w:pPr>
        <w:spacing w:line="276" w:lineRule="auto"/>
        <w:jc w:val="both"/>
        <w:rPr>
          <w:sz w:val="22"/>
          <w:szCs w:val="22"/>
        </w:rPr>
      </w:pPr>
      <w:r w:rsidRPr="00283C2B">
        <w:rPr>
          <w:color w:val="000000"/>
          <w:sz w:val="22"/>
          <w:szCs w:val="22"/>
        </w:rPr>
        <w:t>As in 2024, 2025 saw the continuation and culmination of multi-year efforts by the CIF to agree and develop new strategic, financial modalities and governance milestones, as well as the approval of a range of new programme Investment Plans and projects across multiple programmes and geographies. A full list of achievements includes:</w:t>
      </w:r>
    </w:p>
    <w:p w14:paraId="40CC6681" w14:textId="77777777" w:rsidR="0035379C" w:rsidRPr="00283C2B" w:rsidRDefault="00BF5142" w:rsidP="0035379C">
      <w:pPr>
        <w:pStyle w:val="ListParagraph"/>
        <w:numPr>
          <w:ilvl w:val="0"/>
          <w:numId w:val="22"/>
        </w:numPr>
        <w:spacing w:after="0" w:line="276" w:lineRule="auto"/>
        <w:jc w:val="both"/>
        <w:rPr>
          <w:rFonts w:eastAsia="Arial" w:cs="Arial"/>
          <w:color w:val="000000" w:themeColor="text1"/>
          <w:sz w:val="22"/>
          <w:szCs w:val="22"/>
        </w:rPr>
      </w:pPr>
      <w:r w:rsidRPr="00283C2B">
        <w:rPr>
          <w:rFonts w:eastAsia="Arial" w:cs="Arial"/>
          <w:color w:val="000000" w:themeColor="text1"/>
          <w:sz w:val="22"/>
          <w:szCs w:val="22"/>
        </w:rPr>
        <w:t>January: The inaugural CCMM bond which raised $500m on the London Stock Exchange in January and was six times oversubscribed.</w:t>
      </w:r>
    </w:p>
    <w:p w14:paraId="2E0C1439" w14:textId="45B8C48E" w:rsidR="00037F8F" w:rsidRPr="00283C2B" w:rsidRDefault="00037F8F" w:rsidP="0035379C">
      <w:pPr>
        <w:pStyle w:val="ListParagraph"/>
        <w:numPr>
          <w:ilvl w:val="0"/>
          <w:numId w:val="22"/>
        </w:numPr>
        <w:spacing w:after="0" w:line="276" w:lineRule="auto"/>
        <w:jc w:val="both"/>
        <w:rPr>
          <w:rFonts w:eastAsia="Arial" w:cs="Arial"/>
          <w:color w:val="000000" w:themeColor="text1"/>
          <w:sz w:val="22"/>
          <w:szCs w:val="22"/>
        </w:rPr>
      </w:pPr>
      <w:r w:rsidRPr="00283C2B">
        <w:rPr>
          <w:color w:val="000000"/>
          <w:sz w:val="22"/>
          <w:szCs w:val="22"/>
        </w:rPr>
        <w:t>April: The commencement of the new CIF Deputy CEO, Matthieu Pegon</w:t>
      </w:r>
      <w:r w:rsidR="0090538B" w:rsidRPr="00283C2B">
        <w:rPr>
          <w:color w:val="000000"/>
          <w:sz w:val="22"/>
          <w:szCs w:val="22"/>
        </w:rPr>
        <w:t>.</w:t>
      </w:r>
    </w:p>
    <w:p w14:paraId="7A6AE30B" w14:textId="4498EFBE" w:rsidR="00BF5142" w:rsidRPr="00283C2B" w:rsidRDefault="00BF5142" w:rsidP="00BF5142">
      <w:pPr>
        <w:pStyle w:val="ListParagraph"/>
        <w:numPr>
          <w:ilvl w:val="0"/>
          <w:numId w:val="22"/>
        </w:numPr>
        <w:spacing w:after="0" w:line="276" w:lineRule="auto"/>
        <w:jc w:val="both"/>
        <w:rPr>
          <w:rFonts w:eastAsia="Arial" w:cs="Arial"/>
          <w:color w:val="000000" w:themeColor="text1"/>
          <w:sz w:val="22"/>
          <w:szCs w:val="22"/>
        </w:rPr>
      </w:pPr>
      <w:r w:rsidRPr="00283C2B">
        <w:rPr>
          <w:rFonts w:eastAsia="Arial" w:cs="Arial"/>
          <w:color w:val="000000" w:themeColor="text1"/>
          <w:sz w:val="22"/>
          <w:szCs w:val="22"/>
        </w:rPr>
        <w:t>June: The endorsement of Transformational Investment Plans (TIPs) and the Enhance</w:t>
      </w:r>
      <w:r w:rsidR="00935C52" w:rsidRPr="00283C2B">
        <w:rPr>
          <w:rFonts w:eastAsia="Arial" w:cs="Arial"/>
          <w:color w:val="000000" w:themeColor="text1"/>
          <w:sz w:val="22"/>
          <w:szCs w:val="22"/>
        </w:rPr>
        <w:t>d</w:t>
      </w:r>
      <w:r w:rsidRPr="00283C2B">
        <w:rPr>
          <w:rFonts w:eastAsia="Arial" w:cs="Arial"/>
          <w:color w:val="000000" w:themeColor="text1"/>
          <w:sz w:val="22"/>
          <w:szCs w:val="22"/>
        </w:rPr>
        <w:t xml:space="preserve"> Futures Window (EFW) by the TFC: an evolution of CIF’s programmatic </w:t>
      </w:r>
      <w:r w:rsidR="00AE1907" w:rsidRPr="00283C2B">
        <w:rPr>
          <w:rFonts w:eastAsia="Arial" w:cs="Arial"/>
          <w:color w:val="000000" w:themeColor="text1"/>
          <w:sz w:val="22"/>
          <w:szCs w:val="22"/>
        </w:rPr>
        <w:t xml:space="preserve">and private sector </w:t>
      </w:r>
      <w:r w:rsidRPr="00283C2B">
        <w:rPr>
          <w:rFonts w:eastAsia="Arial" w:cs="Arial"/>
          <w:color w:val="000000" w:themeColor="text1"/>
          <w:sz w:val="22"/>
          <w:szCs w:val="22"/>
        </w:rPr>
        <w:t>approach</w:t>
      </w:r>
      <w:r w:rsidR="002B7642" w:rsidRPr="00283C2B">
        <w:rPr>
          <w:rFonts w:eastAsia="Arial" w:cs="Arial"/>
          <w:color w:val="000000" w:themeColor="text1"/>
          <w:sz w:val="22"/>
          <w:szCs w:val="22"/>
        </w:rPr>
        <w:t>es</w:t>
      </w:r>
      <w:r w:rsidRPr="00283C2B">
        <w:rPr>
          <w:rFonts w:eastAsia="Arial" w:cs="Arial"/>
          <w:color w:val="000000" w:themeColor="text1"/>
          <w:sz w:val="22"/>
          <w:szCs w:val="22"/>
        </w:rPr>
        <w:t xml:space="preserve"> to accelerate systemic change in sectors like energy, industry, and land use.</w:t>
      </w:r>
    </w:p>
    <w:p w14:paraId="71952643" w14:textId="21B503B6" w:rsidR="00BF5142" w:rsidRDefault="00BF5142" w:rsidP="00BF5142">
      <w:pPr>
        <w:pStyle w:val="ListParagraph"/>
        <w:numPr>
          <w:ilvl w:val="0"/>
          <w:numId w:val="22"/>
        </w:numPr>
        <w:spacing w:after="0" w:line="276" w:lineRule="auto"/>
        <w:jc w:val="both"/>
        <w:rPr>
          <w:rFonts w:eastAsia="Arial" w:cs="Arial"/>
          <w:color w:val="000000" w:themeColor="text1"/>
          <w:sz w:val="22"/>
          <w:szCs w:val="22"/>
        </w:rPr>
      </w:pPr>
      <w:r w:rsidRPr="00283C2B">
        <w:rPr>
          <w:rFonts w:eastAsia="Arial" w:cs="Arial"/>
          <w:color w:val="000000" w:themeColor="text1"/>
          <w:sz w:val="22"/>
          <w:szCs w:val="22"/>
        </w:rPr>
        <w:t xml:space="preserve">June: The conclusion of the new CIF </w:t>
      </w:r>
      <w:r w:rsidR="0095326A" w:rsidRPr="00283C2B">
        <w:rPr>
          <w:rFonts w:eastAsia="Arial" w:cs="Arial"/>
          <w:color w:val="000000" w:themeColor="text1"/>
          <w:sz w:val="22"/>
          <w:szCs w:val="22"/>
        </w:rPr>
        <w:t>ID</w:t>
      </w:r>
      <w:r w:rsidRPr="00283C2B">
        <w:rPr>
          <w:rFonts w:eastAsia="Arial" w:cs="Arial"/>
          <w:color w:val="000000" w:themeColor="text1"/>
          <w:sz w:val="22"/>
          <w:szCs w:val="22"/>
        </w:rPr>
        <w:t xml:space="preserve"> Programme’s country selection process with seven countries selected (Brazil, Egypt, Mexico, Namibia, South Africa, Türkiye, and Uzbekistan).</w:t>
      </w:r>
    </w:p>
    <w:p w14:paraId="3204E466" w14:textId="2AB7B27D" w:rsidR="00D4528D" w:rsidRPr="002D4DA2" w:rsidRDefault="00D4528D" w:rsidP="00D4528D">
      <w:pPr>
        <w:pStyle w:val="ListParagraph"/>
        <w:numPr>
          <w:ilvl w:val="0"/>
          <w:numId w:val="22"/>
        </w:numPr>
        <w:spacing w:after="0" w:line="276" w:lineRule="auto"/>
        <w:jc w:val="both"/>
        <w:rPr>
          <w:rFonts w:eastAsia="Arial" w:cs="Arial"/>
          <w:color w:val="000000" w:themeColor="text1"/>
          <w:sz w:val="22"/>
          <w:szCs w:val="22"/>
        </w:rPr>
      </w:pPr>
      <w:r>
        <w:rPr>
          <w:rFonts w:eastAsia="Arial" w:cs="Arial"/>
          <w:color w:val="000000" w:themeColor="text1"/>
          <w:sz w:val="22"/>
          <w:szCs w:val="22"/>
        </w:rPr>
        <w:t xml:space="preserve">October: </w:t>
      </w:r>
      <w:r w:rsidRPr="00283C2B">
        <w:rPr>
          <w:rFonts w:eastAsia="Arial" w:cs="Arial"/>
          <w:color w:val="000000" w:themeColor="text1"/>
          <w:sz w:val="22"/>
          <w:szCs w:val="22"/>
        </w:rPr>
        <w:t>The approval of a new High Leverage Modality (HLM) which will use grant funding to encourage the use of high-impact financial instruments to leverage more private capital.</w:t>
      </w:r>
    </w:p>
    <w:p w14:paraId="01E9CF8E" w14:textId="21D10E6F" w:rsidR="00BF5142" w:rsidRPr="00283C2B" w:rsidRDefault="00BF5142" w:rsidP="00D4528D">
      <w:pPr>
        <w:pStyle w:val="ListParagraph"/>
        <w:spacing w:after="0" w:line="276" w:lineRule="auto"/>
        <w:ind w:left="1080"/>
        <w:jc w:val="both"/>
        <w:rPr>
          <w:rFonts w:eastAsia="Arial" w:cs="Arial"/>
          <w:color w:val="000000" w:themeColor="text1"/>
          <w:sz w:val="22"/>
          <w:szCs w:val="22"/>
        </w:rPr>
      </w:pPr>
      <w:r w:rsidRPr="00283C2B">
        <w:rPr>
          <w:rFonts w:eastAsia="Arial" w:cs="Arial"/>
          <w:color w:val="000000" w:themeColor="text1"/>
          <w:sz w:val="22"/>
          <w:szCs w:val="22"/>
        </w:rPr>
        <w:t>November: The launch of a new programme for climate resilience: CIF Accelerating Resilience Investments and Innovations for Sustainable Economies (ARISE). ARISE is the successor to the PPCR programme which a 2025 independent evaluation found</w:t>
      </w:r>
      <w:r w:rsidR="009A4AA7" w:rsidRPr="00283C2B">
        <w:rPr>
          <w:rFonts w:eastAsia="Arial" w:cs="Arial"/>
          <w:color w:val="000000" w:themeColor="text1"/>
          <w:sz w:val="22"/>
          <w:szCs w:val="22"/>
        </w:rPr>
        <w:t xml:space="preserve"> to have</w:t>
      </w:r>
      <w:r w:rsidRPr="00283C2B">
        <w:rPr>
          <w:rFonts w:eastAsia="Arial" w:cs="Arial"/>
          <w:color w:val="000000" w:themeColor="text1"/>
          <w:sz w:val="22"/>
          <w:szCs w:val="22"/>
        </w:rPr>
        <w:t xml:space="preserve"> successfully pioneered integrated, sustainable models for climate resilience, embedding </w:t>
      </w:r>
      <w:r w:rsidR="005805EB" w:rsidRPr="00283C2B">
        <w:rPr>
          <w:rFonts w:eastAsia="Arial" w:cs="Arial"/>
          <w:color w:val="000000" w:themeColor="text1"/>
          <w:sz w:val="22"/>
          <w:szCs w:val="22"/>
        </w:rPr>
        <w:t>them</w:t>
      </w:r>
      <w:r w:rsidRPr="00283C2B">
        <w:rPr>
          <w:rFonts w:eastAsia="Arial" w:cs="Arial"/>
          <w:color w:val="000000" w:themeColor="text1"/>
          <w:sz w:val="22"/>
          <w:szCs w:val="22"/>
        </w:rPr>
        <w:t xml:space="preserve"> in national systems and planning across 18 countries.</w:t>
      </w:r>
    </w:p>
    <w:p w14:paraId="01CC2DC4" w14:textId="77777777" w:rsidR="00BF5142" w:rsidRPr="00283C2B" w:rsidRDefault="00BF5142" w:rsidP="00BF5142">
      <w:pPr>
        <w:pStyle w:val="ListParagraph"/>
        <w:numPr>
          <w:ilvl w:val="0"/>
          <w:numId w:val="22"/>
        </w:numPr>
        <w:spacing w:after="0" w:line="276" w:lineRule="auto"/>
        <w:jc w:val="both"/>
        <w:rPr>
          <w:rFonts w:eastAsia="Arial" w:cs="Arial"/>
          <w:color w:val="000000" w:themeColor="text1"/>
          <w:sz w:val="22"/>
          <w:szCs w:val="22"/>
        </w:rPr>
      </w:pPr>
      <w:r w:rsidRPr="00283C2B">
        <w:rPr>
          <w:rFonts w:eastAsia="Arial" w:cs="Arial"/>
          <w:color w:val="000000" w:themeColor="text1"/>
          <w:sz w:val="22"/>
          <w:szCs w:val="22"/>
        </w:rPr>
        <w:t>December: The agreement of a new fallback mechanism within the TFC voting procedure allowing decisions to move forward with a double majority when all options for achieving consensus have been exhausted.</w:t>
      </w:r>
    </w:p>
    <w:p w14:paraId="11046E02" w14:textId="1CFD664B" w:rsidR="00BF5142" w:rsidRPr="00283C2B" w:rsidRDefault="00BF5142" w:rsidP="00BF5142">
      <w:pPr>
        <w:pStyle w:val="ListParagraph"/>
        <w:numPr>
          <w:ilvl w:val="0"/>
          <w:numId w:val="22"/>
        </w:numPr>
        <w:spacing w:after="0" w:line="276" w:lineRule="auto"/>
        <w:jc w:val="both"/>
        <w:rPr>
          <w:rFonts w:eastAsia="Arial" w:cs="Arial"/>
          <w:color w:val="000000" w:themeColor="text1"/>
          <w:sz w:val="22"/>
          <w:szCs w:val="22"/>
        </w:rPr>
      </w:pPr>
      <w:r w:rsidRPr="00283C2B">
        <w:rPr>
          <w:rFonts w:eastAsia="Arial" w:cs="Arial"/>
          <w:color w:val="000000" w:themeColor="text1"/>
          <w:sz w:val="22"/>
          <w:szCs w:val="22"/>
        </w:rPr>
        <w:t xml:space="preserve">December: The finalisation of a new DESNZ </w:t>
      </w:r>
      <w:proofErr w:type="spellStart"/>
      <w:r w:rsidR="00F47597" w:rsidRPr="00283C2B">
        <w:rPr>
          <w:rFonts w:eastAsia="Arial" w:cs="Arial"/>
          <w:color w:val="000000" w:themeColor="text1"/>
          <w:sz w:val="22"/>
          <w:szCs w:val="22"/>
        </w:rPr>
        <w:t>l</w:t>
      </w:r>
      <w:r w:rsidRPr="00283C2B">
        <w:rPr>
          <w:rFonts w:eastAsia="Arial" w:cs="Arial"/>
          <w:color w:val="000000" w:themeColor="text1"/>
          <w:sz w:val="22"/>
          <w:szCs w:val="22"/>
        </w:rPr>
        <w:t>ogframe</w:t>
      </w:r>
      <w:proofErr w:type="spellEnd"/>
      <w:r w:rsidRPr="00283C2B">
        <w:rPr>
          <w:rFonts w:eastAsia="Arial" w:cs="Arial"/>
          <w:color w:val="000000" w:themeColor="text1"/>
          <w:sz w:val="22"/>
          <w:szCs w:val="22"/>
        </w:rPr>
        <w:t xml:space="preserve"> for internal CIF monitoring, learning and evaluation processes, for use in the 2025/26 Annual Review. </w:t>
      </w:r>
    </w:p>
    <w:p w14:paraId="71FCF6DF" w14:textId="77777777" w:rsidR="00BF5142" w:rsidRPr="00283C2B" w:rsidRDefault="00BF5142" w:rsidP="00BF5142">
      <w:pPr>
        <w:pStyle w:val="ListParagraph"/>
        <w:spacing w:after="0" w:line="276" w:lineRule="auto"/>
        <w:ind w:left="1080"/>
        <w:jc w:val="both"/>
        <w:rPr>
          <w:rFonts w:eastAsia="Arial" w:cs="Arial"/>
          <w:color w:val="000000" w:themeColor="text1"/>
          <w:sz w:val="22"/>
          <w:szCs w:val="22"/>
        </w:rPr>
      </w:pPr>
    </w:p>
    <w:p w14:paraId="1097AB6A" w14:textId="15235AFF" w:rsidR="00BF5142" w:rsidRPr="00283C2B" w:rsidRDefault="00BF5142" w:rsidP="00BF5142">
      <w:pPr>
        <w:spacing w:line="276" w:lineRule="auto"/>
        <w:jc w:val="both"/>
        <w:rPr>
          <w:rFonts w:cs="Arial"/>
          <w:sz w:val="22"/>
          <w:szCs w:val="22"/>
        </w:rPr>
      </w:pPr>
      <w:r w:rsidRPr="00283C2B">
        <w:rPr>
          <w:rFonts w:cs="Arial"/>
          <w:sz w:val="22"/>
          <w:szCs w:val="22"/>
        </w:rPr>
        <w:t>The UK continues to play a leading role in shaping the strategic direction of the CIF. In 2025, the UK concluded its term as co-chair of the Joint Trust Fund Committees</w:t>
      </w:r>
      <w:r w:rsidR="003224EE" w:rsidRPr="00283C2B">
        <w:rPr>
          <w:rFonts w:cs="Arial"/>
          <w:sz w:val="22"/>
          <w:szCs w:val="22"/>
        </w:rPr>
        <w:t xml:space="preserve"> (TFCs)</w:t>
      </w:r>
      <w:r w:rsidRPr="00283C2B">
        <w:rPr>
          <w:rFonts w:cs="Arial"/>
          <w:sz w:val="22"/>
          <w:szCs w:val="22"/>
        </w:rPr>
        <w:t xml:space="preserve"> and was confirmed as co-chair of the CTF </w:t>
      </w:r>
      <w:r w:rsidR="003224EE" w:rsidRPr="00283C2B">
        <w:rPr>
          <w:rFonts w:cs="Arial"/>
          <w:sz w:val="22"/>
          <w:szCs w:val="22"/>
        </w:rPr>
        <w:t>TFC</w:t>
      </w:r>
      <w:r w:rsidRPr="00283C2B">
        <w:rPr>
          <w:rFonts w:cs="Arial"/>
          <w:sz w:val="22"/>
          <w:szCs w:val="22"/>
        </w:rPr>
        <w:t>. The UK maintains a</w:t>
      </w:r>
      <w:r w:rsidR="00BC2F97" w:rsidRPr="00283C2B">
        <w:rPr>
          <w:rFonts w:cs="Arial"/>
          <w:sz w:val="22"/>
          <w:szCs w:val="22"/>
        </w:rPr>
        <w:t xml:space="preserve"> seat on</w:t>
      </w:r>
      <w:r w:rsidR="00670FB1" w:rsidRPr="00283C2B">
        <w:rPr>
          <w:rFonts w:cs="Arial"/>
          <w:sz w:val="22"/>
          <w:szCs w:val="22"/>
        </w:rPr>
        <w:t xml:space="preserve"> </w:t>
      </w:r>
      <w:r w:rsidR="00A55C1E" w:rsidRPr="00283C2B">
        <w:rPr>
          <w:rFonts w:cs="Arial"/>
          <w:sz w:val="22"/>
          <w:szCs w:val="22"/>
        </w:rPr>
        <w:t>all</w:t>
      </w:r>
      <w:r w:rsidR="00CE5AAA" w:rsidRPr="00283C2B">
        <w:rPr>
          <w:rFonts w:cs="Arial"/>
          <w:sz w:val="22"/>
          <w:szCs w:val="22"/>
        </w:rPr>
        <w:t xml:space="preserve"> three TFCs</w:t>
      </w:r>
      <w:r w:rsidR="00B6582E" w:rsidRPr="00283C2B">
        <w:rPr>
          <w:rFonts w:cs="Arial"/>
          <w:sz w:val="22"/>
          <w:szCs w:val="22"/>
        </w:rPr>
        <w:t>, the</w:t>
      </w:r>
      <w:r w:rsidRPr="00283C2B">
        <w:rPr>
          <w:rFonts w:cs="Arial"/>
          <w:sz w:val="22"/>
          <w:szCs w:val="22"/>
        </w:rPr>
        <w:t xml:space="preserve"> CTF (DESNZ</w:t>
      </w:r>
      <w:r w:rsidR="00A540A4" w:rsidRPr="00283C2B">
        <w:rPr>
          <w:rFonts w:cs="Arial"/>
          <w:sz w:val="22"/>
          <w:szCs w:val="22"/>
        </w:rPr>
        <w:t xml:space="preserve"> lead</w:t>
      </w:r>
      <w:r w:rsidRPr="00283C2B">
        <w:rPr>
          <w:rFonts w:cs="Arial"/>
          <w:sz w:val="22"/>
          <w:szCs w:val="22"/>
        </w:rPr>
        <w:t>)</w:t>
      </w:r>
      <w:r w:rsidR="00670FB1" w:rsidRPr="00283C2B">
        <w:rPr>
          <w:rFonts w:cs="Arial"/>
          <w:sz w:val="22"/>
          <w:szCs w:val="22"/>
        </w:rPr>
        <w:t>,</w:t>
      </w:r>
      <w:r w:rsidRPr="00283C2B">
        <w:rPr>
          <w:rFonts w:cs="Arial"/>
          <w:sz w:val="22"/>
          <w:szCs w:val="22"/>
        </w:rPr>
        <w:t xml:space="preserve"> SCF (FCDO</w:t>
      </w:r>
      <w:r w:rsidR="00A540A4" w:rsidRPr="00283C2B">
        <w:rPr>
          <w:rFonts w:cs="Arial"/>
          <w:sz w:val="22"/>
          <w:szCs w:val="22"/>
        </w:rPr>
        <w:t xml:space="preserve"> lead</w:t>
      </w:r>
      <w:r w:rsidRPr="00283C2B">
        <w:rPr>
          <w:rFonts w:cs="Arial"/>
          <w:sz w:val="22"/>
          <w:szCs w:val="22"/>
        </w:rPr>
        <w:t>) and Joint (both</w:t>
      </w:r>
      <w:r w:rsidR="00A540A4" w:rsidRPr="00283C2B">
        <w:rPr>
          <w:rFonts w:cs="Arial"/>
          <w:sz w:val="22"/>
          <w:szCs w:val="22"/>
        </w:rPr>
        <w:t xml:space="preserve"> lead</w:t>
      </w:r>
      <w:r w:rsidRPr="00283C2B">
        <w:rPr>
          <w:rFonts w:cs="Arial"/>
          <w:sz w:val="22"/>
          <w:szCs w:val="22"/>
        </w:rPr>
        <w:t>), working collaboratively to develop joint positions and defer to the respective HMG department in areas where policy is owned by the other. HMG officials work closely with other CIF members to secure strong outcomes across strategic, programming, and governance decisions. This leadership is reflected in tangible outcomes such as the successful issuance of the inaugural CCMM bond on the London Stock Exchange—significantly oversubscribed—demonstrat</w:t>
      </w:r>
      <w:r w:rsidR="0067481E" w:rsidRPr="00283C2B">
        <w:rPr>
          <w:rFonts w:cs="Arial"/>
          <w:sz w:val="22"/>
          <w:szCs w:val="22"/>
        </w:rPr>
        <w:t>ing</w:t>
      </w:r>
      <w:r w:rsidRPr="00283C2B">
        <w:rPr>
          <w:rFonts w:cs="Arial"/>
          <w:sz w:val="22"/>
          <w:szCs w:val="22"/>
        </w:rPr>
        <w:t xml:space="preserve"> robust investor confidence in both the strength of the CIF portfolio and the City of London as a global green finance hub.</w:t>
      </w:r>
    </w:p>
    <w:p w14:paraId="5A41D680" w14:textId="77777777" w:rsidR="00BF5142" w:rsidRPr="00283C2B" w:rsidRDefault="00BF5142" w:rsidP="00BF5142">
      <w:pPr>
        <w:spacing w:line="276" w:lineRule="auto"/>
        <w:jc w:val="both"/>
        <w:rPr>
          <w:rFonts w:cs="Arial"/>
          <w:sz w:val="22"/>
          <w:szCs w:val="22"/>
        </w:rPr>
      </w:pPr>
    </w:p>
    <w:p w14:paraId="2597C03A" w14:textId="5D3D8D91" w:rsidR="00BF5142" w:rsidRPr="00283C2B" w:rsidRDefault="00BF5142" w:rsidP="00BF5142">
      <w:pPr>
        <w:spacing w:line="276" w:lineRule="auto"/>
        <w:jc w:val="both"/>
        <w:rPr>
          <w:rFonts w:cs="Arial"/>
          <w:sz w:val="22"/>
          <w:szCs w:val="22"/>
        </w:rPr>
      </w:pPr>
      <w:r w:rsidRPr="00283C2B">
        <w:rPr>
          <w:rFonts w:cs="Arial"/>
          <w:sz w:val="22"/>
          <w:szCs w:val="22"/>
        </w:rPr>
        <w:t>The UK has also been instrumental in advancing the High Leverage Modality</w:t>
      </w:r>
      <w:r w:rsidR="00F70BFC" w:rsidRPr="00283C2B">
        <w:rPr>
          <w:rFonts w:cs="Arial"/>
          <w:sz w:val="22"/>
          <w:szCs w:val="22"/>
        </w:rPr>
        <w:t xml:space="preserve"> (HLM)</w:t>
      </w:r>
      <w:r w:rsidRPr="00283C2B">
        <w:rPr>
          <w:rFonts w:cs="Arial"/>
          <w:sz w:val="22"/>
          <w:szCs w:val="22"/>
        </w:rPr>
        <w:t xml:space="preserve">, which is expected to be operational this year and will encourage MDBs to mobilise greater private co-financing using grant funding for high-impact financial instruments. In addition, the UK was one of two founding donors to the </w:t>
      </w:r>
      <w:r w:rsidR="002228AA" w:rsidRPr="00283C2B">
        <w:rPr>
          <w:rFonts w:cs="Arial"/>
          <w:sz w:val="22"/>
          <w:szCs w:val="22"/>
        </w:rPr>
        <w:t>ID</w:t>
      </w:r>
      <w:r w:rsidRPr="00283C2B">
        <w:rPr>
          <w:rFonts w:cs="Arial"/>
          <w:sz w:val="22"/>
          <w:szCs w:val="22"/>
        </w:rPr>
        <w:t xml:space="preserve"> Programme, which concluded its country selection process in June 2025.</w:t>
      </w:r>
    </w:p>
    <w:p w14:paraId="2F79072E" w14:textId="77777777" w:rsidR="00BF5142" w:rsidRPr="00283C2B" w:rsidRDefault="00BF5142" w:rsidP="00BF5142">
      <w:pPr>
        <w:spacing w:line="276" w:lineRule="auto"/>
        <w:jc w:val="both"/>
        <w:rPr>
          <w:rFonts w:eastAsia="Arial" w:cs="Arial"/>
          <w:color w:val="000000" w:themeColor="text1"/>
          <w:sz w:val="22"/>
          <w:szCs w:val="22"/>
        </w:rPr>
      </w:pPr>
    </w:p>
    <w:p w14:paraId="4A17FDBD" w14:textId="508E0589" w:rsidR="00BF5142" w:rsidRPr="00283C2B" w:rsidRDefault="00BF5142" w:rsidP="00BF5142">
      <w:pPr>
        <w:spacing w:line="276" w:lineRule="auto"/>
        <w:jc w:val="both"/>
        <w:rPr>
          <w:rFonts w:cs="Arial"/>
          <w:sz w:val="22"/>
          <w:szCs w:val="22"/>
        </w:rPr>
      </w:pPr>
      <w:r w:rsidRPr="00283C2B">
        <w:rPr>
          <w:rFonts w:eastAsia="Arial" w:cs="Arial"/>
          <w:color w:val="000000" w:themeColor="text1"/>
          <w:sz w:val="22"/>
          <w:szCs w:val="22"/>
        </w:rPr>
        <w:t xml:space="preserve">Overall, CIF programmes continue to meet or exceed our expectations. We assess the risk rating to </w:t>
      </w:r>
      <w:r w:rsidR="002228AA" w:rsidRPr="00283C2B">
        <w:rPr>
          <w:rFonts w:eastAsia="Arial" w:cs="Arial"/>
          <w:color w:val="000000" w:themeColor="text1"/>
          <w:sz w:val="22"/>
          <w:szCs w:val="22"/>
        </w:rPr>
        <w:t>be moderate, which is consistent with previous years.</w:t>
      </w:r>
    </w:p>
    <w:p w14:paraId="7B570BA3" w14:textId="77777777" w:rsidR="003D222C" w:rsidRPr="00D80C6C" w:rsidRDefault="003D222C" w:rsidP="004D5FD5">
      <w:pPr>
        <w:pStyle w:val="Heading2"/>
        <w:jc w:val="both"/>
      </w:pPr>
      <w:bookmarkStart w:id="4" w:name="_Toc224897453"/>
      <w:r>
        <w:t>Progress against recommendations from the last review</w:t>
      </w:r>
      <w:bookmarkEnd w:id="4"/>
    </w:p>
    <w:p w14:paraId="5FB912D4" w14:textId="77777777" w:rsidR="00BF5142" w:rsidRDefault="00BF5142" w:rsidP="004D5FD5">
      <w:pPr>
        <w:jc w:val="both"/>
        <w:rPr>
          <w:rStyle w:val="Heading2Char"/>
        </w:rPr>
      </w:pPr>
    </w:p>
    <w:tbl>
      <w:tblPr>
        <w:tblStyle w:val="TableGrid"/>
        <w:tblW w:w="5000" w:type="pct"/>
        <w:tblLayout w:type="fixed"/>
        <w:tblLook w:val="04A0" w:firstRow="1" w:lastRow="0" w:firstColumn="1" w:lastColumn="0" w:noHBand="0" w:noVBand="1"/>
      </w:tblPr>
      <w:tblGrid>
        <w:gridCol w:w="1980"/>
        <w:gridCol w:w="3686"/>
        <w:gridCol w:w="3350"/>
      </w:tblGrid>
      <w:tr w:rsidR="00BF5142" w:rsidRPr="00767095" w14:paraId="01B3715D" w14:textId="77777777" w:rsidTr="00767095">
        <w:tc>
          <w:tcPr>
            <w:tcW w:w="1098" w:type="pct"/>
            <w:shd w:val="clear" w:color="auto" w:fill="DEEAF6" w:themeFill="accent5" w:themeFillTint="33"/>
          </w:tcPr>
          <w:p w14:paraId="12D3B1D8" w14:textId="55BA50B1" w:rsidR="00BF5142" w:rsidRPr="00767095" w:rsidRDefault="00BF5142" w:rsidP="00F020F4">
            <w:pPr>
              <w:spacing w:line="256" w:lineRule="auto"/>
              <w:rPr>
                <w:rFonts w:eastAsia="Arial" w:cs="Arial"/>
                <w:b/>
                <w:bCs/>
                <w:color w:val="000000" w:themeColor="text1"/>
                <w:sz w:val="22"/>
                <w:szCs w:val="22"/>
              </w:rPr>
            </w:pPr>
            <w:r w:rsidRPr="00767095">
              <w:rPr>
                <w:rFonts w:eastAsia="Arial" w:cs="Arial"/>
                <w:b/>
                <w:bCs/>
                <w:color w:val="000000" w:themeColor="text1"/>
                <w:sz w:val="22"/>
                <w:szCs w:val="22"/>
              </w:rPr>
              <w:t xml:space="preserve">Grouping </w:t>
            </w:r>
          </w:p>
        </w:tc>
        <w:tc>
          <w:tcPr>
            <w:tcW w:w="2044" w:type="pct"/>
            <w:shd w:val="clear" w:color="auto" w:fill="DEEAF6" w:themeFill="accent5" w:themeFillTint="33"/>
          </w:tcPr>
          <w:p w14:paraId="5E5A732C" w14:textId="77777777" w:rsidR="00BF5142" w:rsidRPr="00767095" w:rsidRDefault="00BF5142" w:rsidP="00F020F4">
            <w:pPr>
              <w:spacing w:line="256" w:lineRule="auto"/>
              <w:rPr>
                <w:rFonts w:eastAsia="Arial" w:cs="Arial"/>
                <w:b/>
                <w:bCs/>
                <w:color w:val="000000" w:themeColor="text1"/>
                <w:sz w:val="22"/>
                <w:szCs w:val="22"/>
              </w:rPr>
            </w:pPr>
            <w:r w:rsidRPr="00767095">
              <w:rPr>
                <w:rFonts w:eastAsia="Arial" w:cs="Arial"/>
                <w:b/>
                <w:bCs/>
                <w:color w:val="000000" w:themeColor="text1"/>
                <w:sz w:val="22"/>
                <w:szCs w:val="22"/>
              </w:rPr>
              <w:t xml:space="preserve">Recommendation </w:t>
            </w:r>
          </w:p>
        </w:tc>
        <w:tc>
          <w:tcPr>
            <w:tcW w:w="1858" w:type="pct"/>
            <w:shd w:val="clear" w:color="auto" w:fill="DEEAF6" w:themeFill="accent5" w:themeFillTint="33"/>
          </w:tcPr>
          <w:p w14:paraId="4F0158AB" w14:textId="77777777" w:rsidR="00BF5142" w:rsidRPr="00767095" w:rsidRDefault="00BF5142" w:rsidP="00F020F4">
            <w:pPr>
              <w:spacing w:after="240"/>
              <w:rPr>
                <w:rFonts w:eastAsia="Arial" w:cs="Arial"/>
                <w:b/>
                <w:bCs/>
                <w:color w:val="000000" w:themeColor="text1"/>
                <w:sz w:val="22"/>
                <w:szCs w:val="22"/>
              </w:rPr>
            </w:pPr>
            <w:r w:rsidRPr="00767095">
              <w:rPr>
                <w:rFonts w:eastAsia="Arial" w:cs="Arial"/>
                <w:b/>
                <w:bCs/>
                <w:color w:val="000000" w:themeColor="text1"/>
                <w:sz w:val="22"/>
                <w:szCs w:val="22"/>
              </w:rPr>
              <w:t>Progress</w:t>
            </w:r>
          </w:p>
        </w:tc>
      </w:tr>
      <w:tr w:rsidR="00BF5142" w:rsidRPr="00767095" w14:paraId="4EDA0FE1" w14:textId="77777777" w:rsidTr="00767095">
        <w:tc>
          <w:tcPr>
            <w:tcW w:w="1098" w:type="pct"/>
            <w:vMerge w:val="restart"/>
          </w:tcPr>
          <w:p w14:paraId="5C10BD12" w14:textId="77777777" w:rsidR="00BF5142" w:rsidRPr="00767095" w:rsidRDefault="00BF5142" w:rsidP="00F020F4">
            <w:pPr>
              <w:spacing w:line="256" w:lineRule="auto"/>
              <w:rPr>
                <w:rFonts w:eastAsia="Arial" w:cs="Arial"/>
                <w:color w:val="000000" w:themeColor="text1"/>
                <w:sz w:val="22"/>
                <w:szCs w:val="22"/>
              </w:rPr>
            </w:pPr>
            <w:r w:rsidRPr="00767095">
              <w:rPr>
                <w:rFonts w:eastAsia="Arial" w:cs="Arial"/>
                <w:color w:val="000000" w:themeColor="text1"/>
                <w:sz w:val="22"/>
                <w:szCs w:val="22"/>
              </w:rPr>
              <w:t>New Programmes and Modalities</w:t>
            </w:r>
          </w:p>
        </w:tc>
        <w:tc>
          <w:tcPr>
            <w:tcW w:w="2044" w:type="pct"/>
          </w:tcPr>
          <w:p w14:paraId="093255E7" w14:textId="3C3681E4" w:rsidR="00BF5142" w:rsidRPr="00767095" w:rsidRDefault="00BF5142" w:rsidP="00767095">
            <w:pPr>
              <w:spacing w:line="276" w:lineRule="auto"/>
              <w:rPr>
                <w:rFonts w:eastAsia="Arial" w:cs="Arial"/>
                <w:color w:val="000000" w:themeColor="text1"/>
                <w:sz w:val="22"/>
                <w:szCs w:val="22"/>
              </w:rPr>
            </w:pPr>
            <w:r w:rsidRPr="00767095">
              <w:rPr>
                <w:rFonts w:eastAsia="Arial" w:cs="Arial"/>
                <w:color w:val="000000" w:themeColor="text1"/>
                <w:sz w:val="22"/>
                <w:szCs w:val="22"/>
              </w:rPr>
              <w:t xml:space="preserve">With the successful launch of the </w:t>
            </w:r>
            <w:r w:rsidR="00B6631A">
              <w:rPr>
                <w:rFonts w:eastAsia="Arial" w:cs="Arial"/>
                <w:color w:val="000000" w:themeColor="text1"/>
                <w:sz w:val="22"/>
                <w:szCs w:val="22"/>
              </w:rPr>
              <w:t>ID</w:t>
            </w:r>
            <w:r w:rsidRPr="00767095">
              <w:rPr>
                <w:rFonts w:eastAsia="Arial" w:cs="Arial"/>
                <w:color w:val="000000" w:themeColor="text1"/>
                <w:sz w:val="22"/>
                <w:szCs w:val="22"/>
              </w:rPr>
              <w:t xml:space="preserve"> </w:t>
            </w:r>
            <w:r w:rsidR="00B6631A">
              <w:rPr>
                <w:rFonts w:eastAsia="Arial" w:cs="Arial"/>
                <w:color w:val="000000" w:themeColor="text1"/>
                <w:sz w:val="22"/>
                <w:szCs w:val="22"/>
              </w:rPr>
              <w:t>P</w:t>
            </w:r>
            <w:r w:rsidRPr="00767095">
              <w:rPr>
                <w:rFonts w:eastAsia="Arial" w:cs="Arial"/>
                <w:color w:val="000000" w:themeColor="text1"/>
                <w:sz w:val="22"/>
                <w:szCs w:val="22"/>
              </w:rPr>
              <w:t xml:space="preserve">rogramme’s </w:t>
            </w:r>
            <w:r w:rsidR="00B6631A">
              <w:rPr>
                <w:rFonts w:eastAsia="Arial" w:cs="Arial"/>
                <w:color w:val="000000" w:themeColor="text1"/>
                <w:sz w:val="22"/>
                <w:szCs w:val="22"/>
              </w:rPr>
              <w:t>c</w:t>
            </w:r>
            <w:r w:rsidRPr="00767095">
              <w:rPr>
                <w:rFonts w:eastAsia="Arial" w:cs="Arial"/>
                <w:color w:val="000000" w:themeColor="text1"/>
                <w:sz w:val="22"/>
                <w:szCs w:val="22"/>
              </w:rPr>
              <w:t xml:space="preserve">ountry </w:t>
            </w:r>
            <w:r w:rsidR="00B6631A">
              <w:rPr>
                <w:rFonts w:eastAsia="Arial" w:cs="Arial"/>
                <w:color w:val="000000" w:themeColor="text1"/>
                <w:sz w:val="22"/>
                <w:szCs w:val="22"/>
              </w:rPr>
              <w:t>s</w:t>
            </w:r>
            <w:r w:rsidRPr="00767095">
              <w:rPr>
                <w:rFonts w:eastAsia="Arial" w:cs="Arial"/>
                <w:color w:val="000000" w:themeColor="text1"/>
                <w:sz w:val="22"/>
                <w:szCs w:val="22"/>
              </w:rPr>
              <w:t xml:space="preserve">election </w:t>
            </w:r>
            <w:r w:rsidR="00B6631A">
              <w:rPr>
                <w:rFonts w:eastAsia="Arial" w:cs="Arial"/>
                <w:color w:val="000000" w:themeColor="text1"/>
                <w:sz w:val="22"/>
                <w:szCs w:val="22"/>
              </w:rPr>
              <w:t>process</w:t>
            </w:r>
            <w:r w:rsidRPr="00767095">
              <w:rPr>
                <w:rFonts w:eastAsia="Arial" w:cs="Arial"/>
                <w:color w:val="000000" w:themeColor="text1"/>
                <w:sz w:val="22"/>
                <w:szCs w:val="22"/>
              </w:rPr>
              <w:t xml:space="preserve"> in October 2024 and the recipient country engagement exercise progressing at pace, we are on track to announce the successful candidates in Q2 - Q3 2025. We should continue to work with the CIF Secretariat to support this process and subsequently the development of the successful candidates’ Investment Plans in the next stage. </w:t>
            </w:r>
          </w:p>
        </w:tc>
        <w:tc>
          <w:tcPr>
            <w:tcW w:w="1858" w:type="pct"/>
          </w:tcPr>
          <w:p w14:paraId="6B163AC9" w14:textId="4B16DBBD" w:rsidR="00BF5142" w:rsidRPr="00767095" w:rsidRDefault="00BF5142" w:rsidP="00F020F4">
            <w:pPr>
              <w:spacing w:after="240"/>
              <w:rPr>
                <w:rFonts w:eastAsia="Arial" w:cs="Arial"/>
                <w:color w:val="000000" w:themeColor="text1"/>
                <w:sz w:val="22"/>
                <w:szCs w:val="22"/>
              </w:rPr>
            </w:pPr>
            <w:r w:rsidRPr="00AE1907">
              <w:rPr>
                <w:rFonts w:eastAsia="Arial" w:cs="Arial"/>
                <w:b/>
                <w:color w:val="000000" w:themeColor="text1"/>
                <w:sz w:val="22"/>
                <w:szCs w:val="22"/>
              </w:rPr>
              <w:t>Achieved.</w:t>
            </w:r>
            <w:r w:rsidRPr="00767095">
              <w:rPr>
                <w:rFonts w:eastAsia="Arial" w:cs="Arial"/>
                <w:color w:val="000000" w:themeColor="text1"/>
                <w:sz w:val="22"/>
                <w:szCs w:val="22"/>
              </w:rPr>
              <w:t xml:space="preserve"> The ID country selection process concluded in June with seven countries invited to develop investment plans. CIF Secretariat are engaging with recipient country governments and MDBs to discuss how to take this forward.</w:t>
            </w:r>
          </w:p>
        </w:tc>
      </w:tr>
      <w:tr w:rsidR="00BF5142" w:rsidRPr="00767095" w14:paraId="3AC1A404" w14:textId="77777777" w:rsidTr="00767095">
        <w:tc>
          <w:tcPr>
            <w:tcW w:w="1098" w:type="pct"/>
            <w:vMerge/>
          </w:tcPr>
          <w:p w14:paraId="1EA00315" w14:textId="77777777" w:rsidR="00BF5142" w:rsidRPr="00767095" w:rsidRDefault="00BF5142" w:rsidP="00F020F4">
            <w:pPr>
              <w:spacing w:line="256" w:lineRule="auto"/>
              <w:rPr>
                <w:rFonts w:eastAsia="Arial" w:cs="Arial"/>
                <w:b/>
                <w:bCs/>
                <w:color w:val="000000" w:themeColor="text1"/>
                <w:sz w:val="22"/>
                <w:szCs w:val="22"/>
              </w:rPr>
            </w:pPr>
          </w:p>
        </w:tc>
        <w:tc>
          <w:tcPr>
            <w:tcW w:w="2044" w:type="pct"/>
          </w:tcPr>
          <w:p w14:paraId="7BA2F605" w14:textId="77777777" w:rsidR="00BF5142" w:rsidRPr="00767095" w:rsidRDefault="00BF5142" w:rsidP="00767095">
            <w:pPr>
              <w:spacing w:line="276" w:lineRule="auto"/>
              <w:jc w:val="both"/>
              <w:rPr>
                <w:rFonts w:eastAsia="Arial" w:cs="Arial"/>
                <w:color w:val="000000" w:themeColor="text1"/>
                <w:sz w:val="22"/>
                <w:szCs w:val="22"/>
              </w:rPr>
            </w:pPr>
            <w:r w:rsidRPr="00767095">
              <w:rPr>
                <w:rFonts w:eastAsia="Arial" w:cs="Arial"/>
                <w:color w:val="000000" w:themeColor="text1"/>
                <w:sz w:val="22"/>
                <w:szCs w:val="22"/>
              </w:rPr>
              <w:t>Regarding the Climate Smart Urbanisation (CSU or ‘Smart Cities’) programme, given that both CIF Secretariat and TFC member capacity is already significantly stretched across the rest of the portfolio, and as no further donors have come forward with additional funding commitments, we should review the programme strategy and ensure that the UK’s £20m funding commitment made in the 2021 Business Case is being targeted to maximise value for money.</w:t>
            </w:r>
          </w:p>
        </w:tc>
        <w:tc>
          <w:tcPr>
            <w:tcW w:w="1858" w:type="pct"/>
          </w:tcPr>
          <w:p w14:paraId="35C52344" w14:textId="77777777" w:rsidR="00BF5142" w:rsidRPr="00767095" w:rsidRDefault="00BF5142" w:rsidP="00F020F4">
            <w:pPr>
              <w:spacing w:line="276" w:lineRule="auto"/>
              <w:jc w:val="both"/>
              <w:rPr>
                <w:rFonts w:eastAsia="Arial" w:cs="Arial"/>
                <w:color w:val="000000" w:themeColor="text1"/>
                <w:sz w:val="22"/>
                <w:szCs w:val="22"/>
              </w:rPr>
            </w:pPr>
            <w:r w:rsidRPr="00AE1907">
              <w:rPr>
                <w:rFonts w:eastAsia="Arial" w:cs="Arial"/>
                <w:b/>
                <w:color w:val="000000" w:themeColor="text1"/>
                <w:sz w:val="22"/>
                <w:szCs w:val="22"/>
              </w:rPr>
              <w:t>Achieved.</w:t>
            </w:r>
            <w:r w:rsidRPr="00767095">
              <w:rPr>
                <w:rFonts w:eastAsia="Arial" w:cs="Arial"/>
                <w:color w:val="000000" w:themeColor="text1"/>
                <w:sz w:val="22"/>
                <w:szCs w:val="22"/>
              </w:rPr>
              <w:t xml:space="preserve"> The CSU programme is currently on hold and the £20m UK contribution has been reallocated to REI. We will continue to champion sustainable urban development within CIF and explore options with the CIF Secretariat and likeminded donor countries for taking the programme forward.</w:t>
            </w:r>
          </w:p>
          <w:p w14:paraId="66E6AE82" w14:textId="77777777" w:rsidR="00BF5142" w:rsidRPr="00767095" w:rsidRDefault="00BF5142" w:rsidP="00F020F4">
            <w:pPr>
              <w:spacing w:after="240"/>
              <w:rPr>
                <w:rFonts w:eastAsia="Arial" w:cs="Arial"/>
                <w:b/>
                <w:bCs/>
                <w:color w:val="000000" w:themeColor="text1"/>
                <w:sz w:val="22"/>
                <w:szCs w:val="22"/>
              </w:rPr>
            </w:pPr>
          </w:p>
        </w:tc>
      </w:tr>
      <w:tr w:rsidR="00BF5142" w:rsidRPr="00767095" w14:paraId="1922D474" w14:textId="77777777" w:rsidTr="00767095">
        <w:tc>
          <w:tcPr>
            <w:tcW w:w="1098" w:type="pct"/>
            <w:vMerge/>
          </w:tcPr>
          <w:p w14:paraId="31BE11C9" w14:textId="77777777" w:rsidR="00BF5142" w:rsidRPr="00767095" w:rsidRDefault="00BF5142" w:rsidP="00F020F4">
            <w:pPr>
              <w:spacing w:line="256" w:lineRule="auto"/>
              <w:rPr>
                <w:rFonts w:eastAsia="Arial" w:cs="Arial"/>
                <w:b/>
                <w:bCs/>
                <w:color w:val="000000" w:themeColor="text1"/>
                <w:sz w:val="22"/>
                <w:szCs w:val="22"/>
              </w:rPr>
            </w:pPr>
          </w:p>
        </w:tc>
        <w:tc>
          <w:tcPr>
            <w:tcW w:w="2044" w:type="pct"/>
          </w:tcPr>
          <w:p w14:paraId="63BD07CF" w14:textId="36FAB368" w:rsidR="00BF5142" w:rsidRPr="00767095" w:rsidRDefault="00BF5142" w:rsidP="00767095">
            <w:pPr>
              <w:spacing w:line="276" w:lineRule="auto"/>
              <w:jc w:val="both"/>
              <w:rPr>
                <w:rFonts w:eastAsia="Arial" w:cs="Arial"/>
                <w:color w:val="000000" w:themeColor="text1"/>
                <w:sz w:val="22"/>
                <w:szCs w:val="22"/>
              </w:rPr>
            </w:pPr>
            <w:r w:rsidRPr="00767095">
              <w:rPr>
                <w:rFonts w:eastAsia="Arial" w:cs="Arial"/>
                <w:color w:val="000000" w:themeColor="text1"/>
                <w:sz w:val="22"/>
                <w:szCs w:val="22"/>
              </w:rPr>
              <w:t>Building on the Strategic Directions work led by the CIF Secretariat, with input from the UK, we should support the development of the ‘</w:t>
            </w:r>
            <w:proofErr w:type="spellStart"/>
            <w:r w:rsidRPr="00767095">
              <w:rPr>
                <w:rFonts w:eastAsia="Arial" w:cs="Arial"/>
                <w:color w:val="000000" w:themeColor="text1"/>
                <w:sz w:val="22"/>
                <w:szCs w:val="22"/>
              </w:rPr>
              <w:t>Trans</w:t>
            </w:r>
            <w:r w:rsidR="00343EF4">
              <w:rPr>
                <w:rFonts w:eastAsia="Arial" w:cs="Arial"/>
                <w:color w:val="000000" w:themeColor="text1"/>
                <w:sz w:val="22"/>
                <w:szCs w:val="22"/>
              </w:rPr>
              <w:t>fomational</w:t>
            </w:r>
            <w:proofErr w:type="spellEnd"/>
            <w:r w:rsidRPr="00767095">
              <w:rPr>
                <w:rFonts w:eastAsia="Arial" w:cs="Arial"/>
                <w:color w:val="000000" w:themeColor="text1"/>
                <w:sz w:val="22"/>
                <w:szCs w:val="22"/>
              </w:rPr>
              <w:t xml:space="preserve"> Investment Plans’ (TIPs) as the next step in the evolution of the CIF programme modal for maximised ambition and innovation in multi-government, regional-level investment planning.</w:t>
            </w:r>
          </w:p>
        </w:tc>
        <w:tc>
          <w:tcPr>
            <w:tcW w:w="1858" w:type="pct"/>
          </w:tcPr>
          <w:p w14:paraId="65E18E74" w14:textId="0D573609" w:rsidR="00BF5142" w:rsidRPr="00767095" w:rsidRDefault="00BF5142" w:rsidP="00F020F4">
            <w:pPr>
              <w:spacing w:line="276" w:lineRule="auto"/>
              <w:jc w:val="both"/>
              <w:rPr>
                <w:rFonts w:eastAsia="Arial" w:cs="Arial"/>
                <w:color w:val="000000" w:themeColor="text1"/>
                <w:sz w:val="22"/>
                <w:szCs w:val="22"/>
              </w:rPr>
            </w:pPr>
            <w:r w:rsidRPr="00AE6326">
              <w:rPr>
                <w:rFonts w:eastAsia="Arial" w:cs="Arial"/>
                <w:b/>
                <w:color w:val="000000" w:themeColor="text1"/>
                <w:sz w:val="22"/>
                <w:szCs w:val="22"/>
              </w:rPr>
              <w:t>Achieved.</w:t>
            </w:r>
            <w:r w:rsidRPr="00767095">
              <w:rPr>
                <w:rFonts w:eastAsia="Arial" w:cs="Arial"/>
                <w:color w:val="000000" w:themeColor="text1"/>
                <w:sz w:val="22"/>
                <w:szCs w:val="22"/>
              </w:rPr>
              <w:t xml:space="preserve"> The Strategic Directions Implementation Plan was endorsed by the TFC in February 2025. The CIF Secretariat will follow up with further guidance for donor and recipient countries, including the application process for new </w:t>
            </w:r>
            <w:r w:rsidR="00343EF4">
              <w:rPr>
                <w:rFonts w:eastAsia="Arial" w:cs="Arial"/>
                <w:color w:val="000000" w:themeColor="text1"/>
                <w:sz w:val="22"/>
                <w:szCs w:val="22"/>
              </w:rPr>
              <w:t>TIPs</w:t>
            </w:r>
            <w:r w:rsidRPr="00767095">
              <w:rPr>
                <w:rFonts w:eastAsia="Arial" w:cs="Arial"/>
                <w:color w:val="000000" w:themeColor="text1"/>
                <w:sz w:val="22"/>
                <w:szCs w:val="22"/>
              </w:rPr>
              <w:t xml:space="preserve"> this year.</w:t>
            </w:r>
          </w:p>
        </w:tc>
      </w:tr>
      <w:tr w:rsidR="00BF5142" w:rsidRPr="00767095" w14:paraId="47D97CCB" w14:textId="77777777" w:rsidTr="00767095">
        <w:tc>
          <w:tcPr>
            <w:tcW w:w="1098" w:type="pct"/>
            <w:vMerge w:val="restart"/>
          </w:tcPr>
          <w:p w14:paraId="683D3796" w14:textId="77777777" w:rsidR="00BF5142" w:rsidRPr="00767095" w:rsidRDefault="00BF5142" w:rsidP="00F020F4">
            <w:pPr>
              <w:spacing w:line="256" w:lineRule="auto"/>
              <w:rPr>
                <w:rFonts w:eastAsia="Arial" w:cs="Arial"/>
                <w:color w:val="000000" w:themeColor="text1"/>
                <w:sz w:val="22"/>
                <w:szCs w:val="22"/>
              </w:rPr>
            </w:pPr>
            <w:r w:rsidRPr="00767095">
              <w:rPr>
                <w:rFonts w:eastAsia="Arial" w:cs="Arial"/>
                <w:color w:val="000000" w:themeColor="text1"/>
                <w:sz w:val="22"/>
                <w:szCs w:val="22"/>
              </w:rPr>
              <w:t>HMG Future Reporting and Governance</w:t>
            </w:r>
          </w:p>
        </w:tc>
        <w:tc>
          <w:tcPr>
            <w:tcW w:w="2044" w:type="pct"/>
          </w:tcPr>
          <w:p w14:paraId="0F8A6058" w14:textId="77777777" w:rsidR="00BF5142" w:rsidRPr="00767095" w:rsidRDefault="00BF5142" w:rsidP="00767095">
            <w:pPr>
              <w:spacing w:line="276" w:lineRule="auto"/>
              <w:jc w:val="both"/>
              <w:rPr>
                <w:rFonts w:eastAsia="Arial" w:cs="Arial"/>
                <w:color w:val="000000" w:themeColor="text1"/>
                <w:sz w:val="22"/>
                <w:szCs w:val="22"/>
              </w:rPr>
            </w:pPr>
            <w:r w:rsidRPr="00767095">
              <w:rPr>
                <w:rFonts w:eastAsia="Arial" w:cs="Arial"/>
                <w:color w:val="000000" w:themeColor="text1"/>
                <w:sz w:val="22"/>
                <w:szCs w:val="22"/>
              </w:rPr>
              <w:t xml:space="preserve">As per good practice, the DESNZ-FCDO MoU should be refreshed and agreed to help confirm or clarify internal accountabilities and share UK responsibilities with the CIF. </w:t>
            </w:r>
          </w:p>
        </w:tc>
        <w:tc>
          <w:tcPr>
            <w:tcW w:w="1858" w:type="pct"/>
          </w:tcPr>
          <w:p w14:paraId="34621BA4" w14:textId="5EE8E380" w:rsidR="009E7B57" w:rsidRDefault="009E7B57">
            <w:pPr>
              <w:spacing w:line="276" w:lineRule="auto"/>
              <w:jc w:val="both"/>
            </w:pPr>
            <w:r>
              <w:rPr>
                <w:b/>
                <w:bCs/>
                <w:color w:val="000000"/>
                <w:sz w:val="22"/>
                <w:szCs w:val="22"/>
              </w:rPr>
              <w:t>In progress/ on Hold.</w:t>
            </w:r>
            <w:r>
              <w:rPr>
                <w:color w:val="000000"/>
                <w:sz w:val="22"/>
                <w:szCs w:val="22"/>
              </w:rPr>
              <w:t xml:space="preserve"> The MOU was agreed at a working level in November 2025 and is currently awaiting </w:t>
            </w:r>
            <w:r w:rsidR="00704C63">
              <w:rPr>
                <w:color w:val="000000"/>
                <w:sz w:val="22"/>
                <w:szCs w:val="22"/>
              </w:rPr>
              <w:t>SCS approval</w:t>
            </w:r>
            <w:r>
              <w:rPr>
                <w:color w:val="000000"/>
                <w:sz w:val="22"/>
                <w:szCs w:val="22"/>
              </w:rPr>
              <w:t xml:space="preserve">. DESNZ and FCDO will continue acting as a single, coordinated entity in representing UK positions. This includes agreeing unified policy priorities, maintaining consistent messaging, and using joint governance structures to ensure alignment and delivery within UK’s climate finance commitments. We expect this to be updated in line with re-freshening </w:t>
            </w:r>
            <w:proofErr w:type="spellStart"/>
            <w:r>
              <w:rPr>
                <w:color w:val="000000"/>
                <w:sz w:val="22"/>
                <w:szCs w:val="22"/>
              </w:rPr>
              <w:t>xHMG</w:t>
            </w:r>
            <w:proofErr w:type="spellEnd"/>
            <w:r>
              <w:rPr>
                <w:color w:val="000000"/>
                <w:sz w:val="22"/>
                <w:szCs w:val="22"/>
              </w:rPr>
              <w:t xml:space="preserve"> governance arrangements for ICF4.</w:t>
            </w:r>
          </w:p>
          <w:p w14:paraId="4A9EC432" w14:textId="23093C7C" w:rsidR="00BF5142" w:rsidRPr="00767095" w:rsidRDefault="00BF5142" w:rsidP="00F020F4">
            <w:pPr>
              <w:spacing w:line="276" w:lineRule="auto"/>
              <w:jc w:val="both"/>
              <w:rPr>
                <w:rFonts w:eastAsia="Arial" w:cs="Arial"/>
                <w:color w:val="000000" w:themeColor="text1"/>
                <w:sz w:val="22"/>
                <w:szCs w:val="22"/>
              </w:rPr>
            </w:pPr>
          </w:p>
        </w:tc>
      </w:tr>
      <w:tr w:rsidR="00BF5142" w:rsidRPr="00767095" w14:paraId="275EFA5A" w14:textId="77777777" w:rsidTr="00767095">
        <w:tc>
          <w:tcPr>
            <w:tcW w:w="1098" w:type="pct"/>
            <w:vMerge/>
          </w:tcPr>
          <w:p w14:paraId="7D954E49" w14:textId="77777777" w:rsidR="00BF5142" w:rsidRPr="00767095" w:rsidRDefault="00BF5142" w:rsidP="00F020F4">
            <w:pPr>
              <w:spacing w:line="256" w:lineRule="auto"/>
              <w:rPr>
                <w:rFonts w:eastAsia="Arial" w:cs="Arial"/>
                <w:b/>
                <w:bCs/>
                <w:color w:val="000000" w:themeColor="text1"/>
                <w:sz w:val="22"/>
                <w:szCs w:val="22"/>
              </w:rPr>
            </w:pPr>
          </w:p>
        </w:tc>
        <w:tc>
          <w:tcPr>
            <w:tcW w:w="2044" w:type="pct"/>
          </w:tcPr>
          <w:p w14:paraId="63E93EDA" w14:textId="77777777" w:rsidR="00BF5142" w:rsidRPr="00767095" w:rsidRDefault="00BF5142" w:rsidP="00767095">
            <w:pPr>
              <w:spacing w:line="276" w:lineRule="auto"/>
              <w:jc w:val="both"/>
              <w:rPr>
                <w:rFonts w:eastAsia="Arial" w:cs="Arial"/>
                <w:color w:val="000000" w:themeColor="text1"/>
                <w:sz w:val="22"/>
                <w:szCs w:val="22"/>
              </w:rPr>
            </w:pPr>
            <w:r w:rsidRPr="00767095">
              <w:rPr>
                <w:rFonts w:eastAsia="Arial" w:cs="Arial"/>
                <w:color w:val="000000" w:themeColor="text1"/>
                <w:sz w:val="22"/>
                <w:szCs w:val="22"/>
              </w:rPr>
              <w:t>The current envelope of finance reviewed in this annual review provided over the last 10 years by two UK departments is due to receive a PCR by early 2025. FCDO should seek to finalise the PCR by June 2025 and clarify their future role and responsibilities in relation to the CIF by the financial close of the programme in March 2026.</w:t>
            </w:r>
          </w:p>
        </w:tc>
        <w:tc>
          <w:tcPr>
            <w:tcW w:w="1858" w:type="pct"/>
          </w:tcPr>
          <w:p w14:paraId="061D269D" w14:textId="77777777" w:rsidR="00BF5142" w:rsidRPr="00767095" w:rsidRDefault="00BF5142" w:rsidP="00F020F4">
            <w:pPr>
              <w:spacing w:line="276" w:lineRule="auto"/>
              <w:jc w:val="both"/>
              <w:rPr>
                <w:rFonts w:eastAsia="Arial" w:cs="Arial"/>
                <w:bCs/>
                <w:color w:val="000000" w:themeColor="text1"/>
                <w:sz w:val="22"/>
                <w:szCs w:val="22"/>
              </w:rPr>
            </w:pPr>
            <w:r w:rsidRPr="005E6E0C">
              <w:rPr>
                <w:rFonts w:eastAsia="Arial" w:cs="Arial"/>
                <w:b/>
                <w:color w:val="000000" w:themeColor="text1"/>
                <w:sz w:val="22"/>
                <w:szCs w:val="22"/>
              </w:rPr>
              <w:t>In progress.</w:t>
            </w:r>
            <w:r w:rsidRPr="00767095">
              <w:rPr>
                <w:rFonts w:eastAsia="Arial" w:cs="Arial"/>
                <w:bCs/>
                <w:color w:val="000000" w:themeColor="text1"/>
                <w:sz w:val="22"/>
                <w:szCs w:val="22"/>
              </w:rPr>
              <w:t xml:space="preserve"> </w:t>
            </w:r>
            <w:r w:rsidRPr="00767095">
              <w:rPr>
                <w:rFonts w:eastAsia="Arial" w:cs="Arial"/>
                <w:color w:val="000000" w:themeColor="text1"/>
                <w:sz w:val="22"/>
                <w:szCs w:val="22"/>
              </w:rPr>
              <w:t>The FCDO PCR scoring process is now complete, and the full narrative report is scheduled for publication in March 2026.</w:t>
            </w:r>
          </w:p>
        </w:tc>
      </w:tr>
      <w:tr w:rsidR="00BF5142" w:rsidRPr="00767095" w14:paraId="36941D43" w14:textId="77777777" w:rsidTr="00767095">
        <w:tc>
          <w:tcPr>
            <w:tcW w:w="1098" w:type="pct"/>
            <w:vMerge/>
          </w:tcPr>
          <w:p w14:paraId="01B713B5" w14:textId="77777777" w:rsidR="00BF5142" w:rsidRPr="00767095" w:rsidRDefault="00BF5142" w:rsidP="00F020F4">
            <w:pPr>
              <w:spacing w:line="256" w:lineRule="auto"/>
              <w:rPr>
                <w:rFonts w:eastAsia="Arial" w:cs="Arial"/>
                <w:b/>
                <w:bCs/>
                <w:color w:val="000000" w:themeColor="text1"/>
                <w:sz w:val="22"/>
                <w:szCs w:val="22"/>
              </w:rPr>
            </w:pPr>
          </w:p>
        </w:tc>
        <w:tc>
          <w:tcPr>
            <w:tcW w:w="2044" w:type="pct"/>
          </w:tcPr>
          <w:p w14:paraId="677BC564" w14:textId="77777777" w:rsidR="00BF5142" w:rsidRPr="00767095" w:rsidRDefault="00BF5142" w:rsidP="00767095">
            <w:pPr>
              <w:spacing w:line="276" w:lineRule="auto"/>
              <w:jc w:val="both"/>
              <w:rPr>
                <w:rFonts w:eastAsia="Arial" w:cs="Arial"/>
                <w:color w:val="000000" w:themeColor="text1"/>
                <w:sz w:val="22"/>
                <w:szCs w:val="22"/>
              </w:rPr>
            </w:pPr>
            <w:r w:rsidRPr="00767095">
              <w:rPr>
                <w:rFonts w:eastAsia="Arial" w:cs="Arial"/>
                <w:color w:val="000000" w:themeColor="text1"/>
                <w:sz w:val="22"/>
                <w:szCs w:val="22"/>
              </w:rPr>
              <w:t xml:space="preserve">Given that the CIF has evolved significantly since HMG has last contributed to the CIF, is undertaking a greater number of activities and interventions, and is embarking on a new phase of work through the new programmes which include innovative financial mechanisms (such as CCMM) the revised MEL strategy, etc. HMG should conduct a systematic update of DESNZ’s </w:t>
            </w:r>
            <w:proofErr w:type="spellStart"/>
            <w:r w:rsidRPr="00767095">
              <w:rPr>
                <w:rFonts w:eastAsia="Arial" w:cs="Arial"/>
                <w:color w:val="000000" w:themeColor="text1"/>
                <w:sz w:val="22"/>
                <w:szCs w:val="22"/>
              </w:rPr>
              <w:t>Logframe</w:t>
            </w:r>
            <w:proofErr w:type="spellEnd"/>
            <w:r w:rsidRPr="00767095">
              <w:rPr>
                <w:rFonts w:eastAsia="Arial" w:cs="Arial"/>
                <w:color w:val="000000" w:themeColor="text1"/>
                <w:sz w:val="22"/>
                <w:szCs w:val="22"/>
              </w:rPr>
              <w:t xml:space="preserve"> for the CIF and ensure cohesion with the latest CIF </w:t>
            </w:r>
            <w:hyperlink r:id="rId18" w:anchor=":~:text=The%20CIF%20Theory%20of%20Change,climate%2Dresilient%20development%20pathways%2C%20in">
              <w:r w:rsidRPr="00767095">
                <w:rPr>
                  <w:rStyle w:val="Hyperlink"/>
                  <w:rFonts w:eastAsia="Arial" w:cs="Arial"/>
                  <w:sz w:val="22"/>
                  <w:szCs w:val="22"/>
                </w:rPr>
                <w:t>Theory of Change</w:t>
              </w:r>
            </w:hyperlink>
            <w:r w:rsidRPr="00767095">
              <w:rPr>
                <w:rFonts w:eastAsia="Arial" w:cs="Arial"/>
                <w:color w:val="000000" w:themeColor="text1"/>
                <w:sz w:val="22"/>
                <w:szCs w:val="22"/>
              </w:rPr>
              <w:t xml:space="preserve"> (published May 2022). This update should also address annual milestones, and the methodology used to calculate attribution and additionality. </w:t>
            </w:r>
          </w:p>
        </w:tc>
        <w:tc>
          <w:tcPr>
            <w:tcW w:w="1858" w:type="pct"/>
          </w:tcPr>
          <w:p w14:paraId="125087D7" w14:textId="015C83B8" w:rsidR="00BF5142" w:rsidRPr="00767095" w:rsidRDefault="00BF5142" w:rsidP="00F020F4">
            <w:pPr>
              <w:spacing w:line="276" w:lineRule="auto"/>
              <w:jc w:val="both"/>
              <w:rPr>
                <w:rFonts w:eastAsia="Arial" w:cs="Arial"/>
                <w:bCs/>
                <w:color w:val="000000" w:themeColor="text1"/>
                <w:sz w:val="22"/>
                <w:szCs w:val="22"/>
              </w:rPr>
            </w:pPr>
            <w:r w:rsidRPr="005E6E0C">
              <w:rPr>
                <w:rFonts w:eastAsia="Arial" w:cs="Arial"/>
                <w:b/>
                <w:color w:val="000000" w:themeColor="text1"/>
                <w:sz w:val="22"/>
                <w:szCs w:val="22"/>
              </w:rPr>
              <w:t>Achieved.</w:t>
            </w:r>
            <w:r w:rsidRPr="00767095">
              <w:rPr>
                <w:rFonts w:eastAsia="Arial" w:cs="Arial"/>
                <w:color w:val="000000" w:themeColor="text1"/>
                <w:sz w:val="22"/>
                <w:szCs w:val="22"/>
              </w:rPr>
              <w:t xml:space="preserve"> The new DESNZ CIF </w:t>
            </w:r>
            <w:proofErr w:type="spellStart"/>
            <w:r w:rsidRPr="00767095">
              <w:rPr>
                <w:rFonts w:eastAsia="Arial" w:cs="Arial"/>
                <w:color w:val="000000" w:themeColor="text1"/>
                <w:sz w:val="22"/>
                <w:szCs w:val="22"/>
              </w:rPr>
              <w:t>Logframe</w:t>
            </w:r>
            <w:proofErr w:type="spellEnd"/>
            <w:r w:rsidRPr="00767095">
              <w:rPr>
                <w:rFonts w:eastAsia="Arial" w:cs="Arial"/>
                <w:color w:val="000000" w:themeColor="text1"/>
                <w:sz w:val="22"/>
                <w:szCs w:val="22"/>
              </w:rPr>
              <w:t xml:space="preserve"> is fully operational for use with this CIF 2</w:t>
            </w:r>
            <w:r w:rsidR="000E7255">
              <w:rPr>
                <w:rFonts w:eastAsia="Arial" w:cs="Arial"/>
                <w:color w:val="000000" w:themeColor="text1"/>
                <w:sz w:val="22"/>
                <w:szCs w:val="22"/>
              </w:rPr>
              <w:t>025</w:t>
            </w:r>
            <w:r w:rsidRPr="00767095">
              <w:rPr>
                <w:rFonts w:eastAsia="Arial" w:cs="Arial"/>
                <w:color w:val="000000" w:themeColor="text1"/>
                <w:sz w:val="22"/>
                <w:szCs w:val="22"/>
              </w:rPr>
              <w:t xml:space="preserve"> Annual Review. We will continue to refine and update the reporting framework, </w:t>
            </w:r>
            <w:proofErr w:type="gramStart"/>
            <w:r w:rsidRPr="00767095">
              <w:rPr>
                <w:rFonts w:eastAsia="Arial" w:cs="Arial"/>
                <w:color w:val="000000" w:themeColor="text1"/>
                <w:sz w:val="22"/>
                <w:szCs w:val="22"/>
              </w:rPr>
              <w:t>in particular as</w:t>
            </w:r>
            <w:proofErr w:type="gramEnd"/>
            <w:r w:rsidRPr="00767095">
              <w:rPr>
                <w:rFonts w:eastAsia="Arial" w:cs="Arial"/>
                <w:color w:val="000000" w:themeColor="text1"/>
                <w:sz w:val="22"/>
                <w:szCs w:val="22"/>
              </w:rPr>
              <w:t xml:space="preserve"> quantitative results for the new programmes become available.</w:t>
            </w:r>
          </w:p>
          <w:p w14:paraId="36780CE9" w14:textId="77777777" w:rsidR="00BF5142" w:rsidRPr="00767095" w:rsidRDefault="00BF5142" w:rsidP="00F020F4">
            <w:pPr>
              <w:spacing w:after="240"/>
              <w:rPr>
                <w:rFonts w:eastAsia="Arial" w:cs="Arial"/>
                <w:b/>
                <w:bCs/>
                <w:color w:val="000000" w:themeColor="text1"/>
                <w:sz w:val="22"/>
                <w:szCs w:val="22"/>
              </w:rPr>
            </w:pPr>
          </w:p>
        </w:tc>
      </w:tr>
      <w:tr w:rsidR="00BF5142" w:rsidRPr="00767095" w14:paraId="7000AE9A" w14:textId="77777777" w:rsidTr="00767095">
        <w:tc>
          <w:tcPr>
            <w:tcW w:w="1098" w:type="pct"/>
            <w:vMerge/>
          </w:tcPr>
          <w:p w14:paraId="6B336C47" w14:textId="77777777" w:rsidR="00BF5142" w:rsidRPr="00767095" w:rsidRDefault="00BF5142" w:rsidP="00F020F4">
            <w:pPr>
              <w:spacing w:line="256" w:lineRule="auto"/>
              <w:rPr>
                <w:rFonts w:eastAsia="Arial" w:cs="Arial"/>
                <w:b/>
                <w:bCs/>
                <w:color w:val="000000" w:themeColor="text1"/>
                <w:sz w:val="22"/>
                <w:szCs w:val="22"/>
              </w:rPr>
            </w:pPr>
          </w:p>
        </w:tc>
        <w:tc>
          <w:tcPr>
            <w:tcW w:w="2044" w:type="pct"/>
          </w:tcPr>
          <w:p w14:paraId="2ECDD0F0" w14:textId="77777777" w:rsidR="00BF5142" w:rsidRPr="00767095" w:rsidRDefault="00BF5142" w:rsidP="00767095">
            <w:pPr>
              <w:spacing w:line="276" w:lineRule="auto"/>
              <w:jc w:val="both"/>
              <w:rPr>
                <w:rFonts w:eastAsia="Arial" w:cs="Arial"/>
                <w:color w:val="000000" w:themeColor="text1"/>
                <w:sz w:val="22"/>
                <w:szCs w:val="22"/>
              </w:rPr>
            </w:pPr>
            <w:r w:rsidRPr="00767095">
              <w:rPr>
                <w:rFonts w:eastAsia="Arial" w:cs="Arial"/>
                <w:color w:val="000000" w:themeColor="text1"/>
                <w:sz w:val="22"/>
                <w:szCs w:val="22"/>
              </w:rPr>
              <w:t>Noting that the proposed improvement of the CIF funding proposal and sub-project approval process has largely stalled since UK efforts to drive this forward in 2024 began, in 2025 the UK should continue to push for a re-engagement with this process to ensure a more sustainable and workable process for the UK policy and analyst teams, as well as to facilitate greater engagement with the approvals process on the part of other TFC members.</w:t>
            </w:r>
          </w:p>
        </w:tc>
        <w:tc>
          <w:tcPr>
            <w:tcW w:w="1858" w:type="pct"/>
          </w:tcPr>
          <w:p w14:paraId="28D54574" w14:textId="37E0E30C" w:rsidR="00BF5142" w:rsidRPr="00767095" w:rsidRDefault="00BF5142" w:rsidP="00F020F4">
            <w:pPr>
              <w:spacing w:line="276" w:lineRule="auto"/>
              <w:jc w:val="both"/>
              <w:rPr>
                <w:rFonts w:eastAsia="Arial" w:cs="Arial"/>
                <w:bCs/>
                <w:color w:val="000000" w:themeColor="text1"/>
                <w:sz w:val="22"/>
                <w:szCs w:val="22"/>
              </w:rPr>
            </w:pPr>
            <w:r w:rsidRPr="005E6E0C">
              <w:rPr>
                <w:rFonts w:eastAsia="Arial" w:cs="Arial"/>
                <w:b/>
                <w:color w:val="000000" w:themeColor="text1"/>
                <w:sz w:val="22"/>
                <w:szCs w:val="22"/>
              </w:rPr>
              <w:t xml:space="preserve">In progress. </w:t>
            </w:r>
            <w:r w:rsidRPr="00767095">
              <w:rPr>
                <w:rFonts w:eastAsia="Arial" w:cs="Arial"/>
                <w:bCs/>
                <w:color w:val="000000" w:themeColor="text1"/>
                <w:sz w:val="22"/>
                <w:szCs w:val="22"/>
              </w:rPr>
              <w:t>While variable approvals volumes continue to be an issue, the CIF Secretariat have extended the no-objection deadline country programme teams have to respond to MDB comments from two to five working days. MDBs have also agreed to a moratorium on approvals around CIF boards meetings. We will continue to monitor this closely.</w:t>
            </w:r>
          </w:p>
          <w:p w14:paraId="18D64ACF" w14:textId="77777777" w:rsidR="00BF5142" w:rsidRPr="00767095" w:rsidRDefault="00BF5142" w:rsidP="00F020F4">
            <w:pPr>
              <w:spacing w:after="240"/>
              <w:rPr>
                <w:rFonts w:eastAsia="Arial" w:cs="Arial"/>
                <w:b/>
                <w:bCs/>
                <w:color w:val="000000" w:themeColor="text1"/>
                <w:sz w:val="22"/>
                <w:szCs w:val="22"/>
              </w:rPr>
            </w:pPr>
          </w:p>
        </w:tc>
      </w:tr>
      <w:tr w:rsidR="00BF5142" w:rsidRPr="00767095" w14:paraId="164DF918" w14:textId="77777777" w:rsidTr="00767095">
        <w:trPr>
          <w:trHeight w:val="1285"/>
        </w:trPr>
        <w:tc>
          <w:tcPr>
            <w:tcW w:w="1098" w:type="pct"/>
          </w:tcPr>
          <w:p w14:paraId="65374E1E" w14:textId="77777777" w:rsidR="00BF5142" w:rsidRPr="00767095" w:rsidRDefault="00BF5142" w:rsidP="00F020F4">
            <w:pPr>
              <w:spacing w:line="256" w:lineRule="auto"/>
              <w:rPr>
                <w:rFonts w:eastAsia="Arial" w:cs="Arial"/>
                <w:bCs/>
                <w:color w:val="000000" w:themeColor="text1"/>
                <w:sz w:val="22"/>
                <w:szCs w:val="22"/>
              </w:rPr>
            </w:pPr>
            <w:r w:rsidRPr="00767095">
              <w:rPr>
                <w:rFonts w:eastAsia="Arial" w:cs="Arial"/>
                <w:bCs/>
                <w:color w:val="000000" w:themeColor="text1"/>
                <w:sz w:val="22"/>
                <w:szCs w:val="22"/>
              </w:rPr>
              <w:t>Operational</w:t>
            </w:r>
          </w:p>
        </w:tc>
        <w:tc>
          <w:tcPr>
            <w:tcW w:w="2044" w:type="pct"/>
          </w:tcPr>
          <w:p w14:paraId="15BCBEA0" w14:textId="77777777" w:rsidR="00BF5142" w:rsidRPr="00767095" w:rsidRDefault="00BF5142" w:rsidP="00767095">
            <w:pPr>
              <w:spacing w:line="276" w:lineRule="auto"/>
              <w:jc w:val="both"/>
              <w:rPr>
                <w:rFonts w:eastAsia="Arial" w:cs="Arial"/>
                <w:color w:val="000000" w:themeColor="text1"/>
                <w:sz w:val="22"/>
                <w:szCs w:val="22"/>
              </w:rPr>
            </w:pPr>
            <w:r w:rsidRPr="00767095">
              <w:rPr>
                <w:rStyle w:val="normaltextrun"/>
                <w:rFonts w:eastAsia="Arial" w:cs="Arial"/>
                <w:color w:val="000000" w:themeColor="text1"/>
                <w:sz w:val="22"/>
                <w:szCs w:val="22"/>
              </w:rPr>
              <w:t xml:space="preserve">HMG should work with the CIF SEC to prioritise the reprogramming of cancelled and unallocated funds in the CTF </w:t>
            </w:r>
            <w:proofErr w:type="gramStart"/>
            <w:r w:rsidRPr="00767095">
              <w:rPr>
                <w:rStyle w:val="normaltextrun"/>
                <w:rFonts w:eastAsia="Arial" w:cs="Arial"/>
                <w:color w:val="000000" w:themeColor="text1"/>
                <w:sz w:val="22"/>
                <w:szCs w:val="22"/>
              </w:rPr>
              <w:t>in order to</w:t>
            </w:r>
            <w:proofErr w:type="gramEnd"/>
            <w:r w:rsidRPr="00767095">
              <w:rPr>
                <w:rStyle w:val="normaltextrun"/>
                <w:rFonts w:eastAsia="Arial" w:cs="Arial"/>
                <w:color w:val="000000" w:themeColor="text1"/>
                <w:sz w:val="22"/>
                <w:szCs w:val="22"/>
              </w:rPr>
              <w:t xml:space="preserve"> ensure both efficiency and strong value for money, as well as continuing to encourage timely disbursement of funds. Success will be measured by the amounts of funding reallocated towards new projects/programmes. </w:t>
            </w:r>
          </w:p>
        </w:tc>
        <w:tc>
          <w:tcPr>
            <w:tcW w:w="1858" w:type="pct"/>
          </w:tcPr>
          <w:p w14:paraId="04E9BEEB" w14:textId="0561EB14" w:rsidR="00BF5142" w:rsidRPr="00767095" w:rsidRDefault="00BF5142" w:rsidP="00F020F4">
            <w:pPr>
              <w:spacing w:after="240"/>
              <w:jc w:val="both"/>
              <w:rPr>
                <w:rFonts w:eastAsia="Arial" w:cs="Arial"/>
                <w:color w:val="000000" w:themeColor="text1"/>
                <w:sz w:val="22"/>
                <w:szCs w:val="22"/>
              </w:rPr>
            </w:pPr>
            <w:r w:rsidRPr="005E6E0C">
              <w:rPr>
                <w:rFonts w:eastAsia="Arial" w:cs="Arial"/>
                <w:b/>
                <w:color w:val="000000" w:themeColor="text1"/>
                <w:sz w:val="22"/>
                <w:szCs w:val="22"/>
              </w:rPr>
              <w:t>In progress.</w:t>
            </w:r>
            <w:r w:rsidRPr="00767095">
              <w:rPr>
                <w:rFonts w:eastAsia="Arial" w:cs="Arial"/>
                <w:color w:val="000000" w:themeColor="text1"/>
                <w:sz w:val="22"/>
                <w:szCs w:val="22"/>
              </w:rPr>
              <w:t xml:space="preserve"> Work to prioritise the reprogramming of cancelled and unallocated funds is still ongoing. We have seen a significant improvement in disbursement rates this year and will continue to engage with MDB colleagues to ensure this trend continues.</w:t>
            </w:r>
            <w:r w:rsidR="00F47B95">
              <w:rPr>
                <w:rFonts w:eastAsia="Arial" w:cs="Arial"/>
                <w:color w:val="000000" w:themeColor="text1"/>
                <w:sz w:val="22"/>
                <w:szCs w:val="22"/>
              </w:rPr>
              <w:t xml:space="preserve"> This is</w:t>
            </w:r>
            <w:r w:rsidR="000D404B">
              <w:rPr>
                <w:rFonts w:eastAsia="Arial" w:cs="Arial"/>
                <w:color w:val="000000" w:themeColor="text1"/>
                <w:sz w:val="22"/>
                <w:szCs w:val="22"/>
              </w:rPr>
              <w:t>sue is</w:t>
            </w:r>
            <w:r w:rsidR="00F47B95">
              <w:rPr>
                <w:rFonts w:eastAsia="Arial" w:cs="Arial"/>
                <w:color w:val="000000" w:themeColor="text1"/>
                <w:sz w:val="22"/>
                <w:szCs w:val="22"/>
              </w:rPr>
              <w:t xml:space="preserve"> due to be discussed at the TFC meetings in March.</w:t>
            </w:r>
          </w:p>
        </w:tc>
      </w:tr>
    </w:tbl>
    <w:p w14:paraId="0FD22D7F" w14:textId="77777777" w:rsidR="00A330A3" w:rsidRDefault="00A330A3" w:rsidP="004D5FD5">
      <w:pPr>
        <w:jc w:val="both"/>
        <w:rPr>
          <w:rStyle w:val="Heading2Char"/>
        </w:rPr>
      </w:pPr>
    </w:p>
    <w:p w14:paraId="773A77CC" w14:textId="6237C01E" w:rsidR="00D0302B" w:rsidRPr="00283C2B" w:rsidRDefault="00767095" w:rsidP="00283C2B">
      <w:pPr>
        <w:pStyle w:val="Heading2"/>
        <w:rPr>
          <w:b w:val="0"/>
          <w:bCs/>
        </w:rPr>
      </w:pPr>
      <w:bookmarkStart w:id="5" w:name="_Toc224897454"/>
      <w:r w:rsidRPr="00283C2B">
        <w:rPr>
          <w:rStyle w:val="Heading2Char"/>
          <w:b/>
          <w:bCs/>
          <w:i/>
          <w:iCs/>
        </w:rPr>
        <w:t>R</w:t>
      </w:r>
      <w:r w:rsidR="003D222C" w:rsidRPr="00283C2B">
        <w:rPr>
          <w:rStyle w:val="Heading2Char"/>
          <w:b/>
          <w:bCs/>
          <w:i/>
          <w:iCs/>
        </w:rPr>
        <w:t>ecommendations for the year ahead</w:t>
      </w:r>
      <w:bookmarkEnd w:id="5"/>
    </w:p>
    <w:p w14:paraId="7F17C967" w14:textId="4E965DD7" w:rsidR="00CB2873" w:rsidRDefault="00CB2873" w:rsidP="004D5FD5">
      <w:pPr>
        <w:jc w:val="both"/>
      </w:pPr>
    </w:p>
    <w:tbl>
      <w:tblPr>
        <w:tblStyle w:val="TableGrid"/>
        <w:tblW w:w="5000" w:type="pct"/>
        <w:tblLayout w:type="fixed"/>
        <w:tblLook w:val="04A0" w:firstRow="1" w:lastRow="0" w:firstColumn="1" w:lastColumn="0" w:noHBand="0" w:noVBand="1"/>
      </w:tblPr>
      <w:tblGrid>
        <w:gridCol w:w="3114"/>
        <w:gridCol w:w="4252"/>
        <w:gridCol w:w="1650"/>
      </w:tblGrid>
      <w:tr w:rsidR="00767095" w:rsidRPr="00767095" w14:paraId="67AD4A3C" w14:textId="77777777" w:rsidTr="00FD2640">
        <w:tc>
          <w:tcPr>
            <w:tcW w:w="1727" w:type="pct"/>
            <w:shd w:val="clear" w:color="auto" w:fill="DEEAF6" w:themeFill="accent5" w:themeFillTint="33"/>
          </w:tcPr>
          <w:p w14:paraId="24A6E4B1" w14:textId="77777777" w:rsidR="00767095" w:rsidRPr="00767095" w:rsidRDefault="00767095" w:rsidP="00F020F4">
            <w:pPr>
              <w:spacing w:line="256" w:lineRule="auto"/>
              <w:rPr>
                <w:rFonts w:eastAsia="Arial" w:cs="Arial"/>
                <w:b/>
                <w:bCs/>
                <w:color w:val="000000" w:themeColor="text1"/>
                <w:sz w:val="22"/>
                <w:szCs w:val="22"/>
              </w:rPr>
            </w:pPr>
            <w:r w:rsidRPr="00767095">
              <w:rPr>
                <w:rFonts w:eastAsia="Arial" w:cs="Arial"/>
                <w:b/>
                <w:bCs/>
                <w:color w:val="000000" w:themeColor="text1"/>
                <w:sz w:val="22"/>
                <w:szCs w:val="22"/>
              </w:rPr>
              <w:t xml:space="preserve">Recommendation Grouping </w:t>
            </w:r>
          </w:p>
        </w:tc>
        <w:tc>
          <w:tcPr>
            <w:tcW w:w="2358" w:type="pct"/>
            <w:shd w:val="clear" w:color="auto" w:fill="DEEAF6" w:themeFill="accent5" w:themeFillTint="33"/>
          </w:tcPr>
          <w:p w14:paraId="31A01C17" w14:textId="77777777" w:rsidR="00767095" w:rsidRPr="00767095" w:rsidRDefault="00767095" w:rsidP="00F020F4">
            <w:pPr>
              <w:spacing w:line="256" w:lineRule="auto"/>
              <w:rPr>
                <w:rFonts w:eastAsia="Arial" w:cs="Arial"/>
                <w:b/>
                <w:bCs/>
                <w:color w:val="000000" w:themeColor="text1"/>
                <w:sz w:val="22"/>
                <w:szCs w:val="22"/>
              </w:rPr>
            </w:pPr>
            <w:r w:rsidRPr="00767095">
              <w:rPr>
                <w:rFonts w:eastAsia="Arial" w:cs="Arial"/>
                <w:b/>
                <w:bCs/>
                <w:color w:val="000000" w:themeColor="text1"/>
                <w:sz w:val="22"/>
                <w:szCs w:val="22"/>
              </w:rPr>
              <w:t xml:space="preserve">Recommendation </w:t>
            </w:r>
          </w:p>
        </w:tc>
        <w:tc>
          <w:tcPr>
            <w:tcW w:w="915" w:type="pct"/>
            <w:shd w:val="clear" w:color="auto" w:fill="DEEAF6" w:themeFill="accent5" w:themeFillTint="33"/>
          </w:tcPr>
          <w:p w14:paraId="66626443" w14:textId="77777777" w:rsidR="00767095" w:rsidRPr="00767095" w:rsidRDefault="00767095" w:rsidP="00F020F4">
            <w:pPr>
              <w:spacing w:after="240"/>
              <w:rPr>
                <w:rFonts w:eastAsia="Arial" w:cs="Arial"/>
                <w:b/>
                <w:bCs/>
                <w:color w:val="000000" w:themeColor="text1"/>
                <w:sz w:val="22"/>
                <w:szCs w:val="22"/>
              </w:rPr>
            </w:pPr>
            <w:r w:rsidRPr="00767095">
              <w:rPr>
                <w:rFonts w:eastAsia="Arial" w:cs="Arial"/>
                <w:b/>
                <w:bCs/>
                <w:color w:val="000000" w:themeColor="text1"/>
                <w:sz w:val="22"/>
                <w:szCs w:val="22"/>
              </w:rPr>
              <w:t>Deadline</w:t>
            </w:r>
          </w:p>
        </w:tc>
      </w:tr>
      <w:tr w:rsidR="00767095" w:rsidRPr="00767095" w14:paraId="208A2DED" w14:textId="77777777" w:rsidTr="00FD2640">
        <w:tc>
          <w:tcPr>
            <w:tcW w:w="1727" w:type="pct"/>
            <w:vMerge w:val="restart"/>
          </w:tcPr>
          <w:p w14:paraId="7E05CF36" w14:textId="77777777" w:rsidR="00767095" w:rsidRPr="00767095" w:rsidRDefault="00767095" w:rsidP="00F020F4">
            <w:pPr>
              <w:spacing w:line="256" w:lineRule="auto"/>
              <w:rPr>
                <w:rFonts w:eastAsia="Arial" w:cs="Arial"/>
                <w:color w:val="000000" w:themeColor="text1"/>
                <w:sz w:val="22"/>
                <w:szCs w:val="22"/>
              </w:rPr>
            </w:pPr>
            <w:r w:rsidRPr="00767095">
              <w:rPr>
                <w:rFonts w:eastAsia="Arial" w:cs="Arial"/>
                <w:color w:val="000000" w:themeColor="text1"/>
                <w:sz w:val="22"/>
                <w:szCs w:val="22"/>
              </w:rPr>
              <w:t>New programmes and modalities</w:t>
            </w:r>
          </w:p>
        </w:tc>
        <w:tc>
          <w:tcPr>
            <w:tcW w:w="2358" w:type="pct"/>
          </w:tcPr>
          <w:p w14:paraId="3FEB4EA4" w14:textId="564115FB" w:rsidR="00767095" w:rsidRPr="00767095" w:rsidRDefault="00767095" w:rsidP="00F020F4">
            <w:pPr>
              <w:spacing w:line="276" w:lineRule="auto"/>
              <w:jc w:val="both"/>
              <w:rPr>
                <w:rFonts w:eastAsia="Arial" w:cs="Arial"/>
                <w:color w:val="000000" w:themeColor="text1"/>
                <w:sz w:val="22"/>
                <w:szCs w:val="22"/>
              </w:rPr>
            </w:pPr>
            <w:r w:rsidRPr="00767095">
              <w:rPr>
                <w:rFonts w:eastAsia="Arial" w:cs="Arial"/>
                <w:color w:val="000000" w:themeColor="text1"/>
                <w:sz w:val="22"/>
                <w:szCs w:val="22"/>
              </w:rPr>
              <w:t>That the CIF Secretariat operationalise the High Leverage Modality (HLM) as a matter of priority. We will continue to use our influence to ensure detailed design and approvals process</w:t>
            </w:r>
            <w:r w:rsidR="00A330A3">
              <w:rPr>
                <w:rFonts w:eastAsia="Arial" w:cs="Arial"/>
                <w:color w:val="000000" w:themeColor="text1"/>
                <w:sz w:val="22"/>
                <w:szCs w:val="22"/>
              </w:rPr>
              <w:t>es</w:t>
            </w:r>
            <w:r w:rsidRPr="00767095">
              <w:rPr>
                <w:rFonts w:eastAsia="Arial" w:cs="Arial"/>
                <w:color w:val="000000" w:themeColor="text1"/>
                <w:sz w:val="22"/>
                <w:szCs w:val="22"/>
              </w:rPr>
              <w:t xml:space="preserve"> are finalised by the end of the year.</w:t>
            </w:r>
          </w:p>
        </w:tc>
        <w:tc>
          <w:tcPr>
            <w:tcW w:w="915" w:type="pct"/>
          </w:tcPr>
          <w:p w14:paraId="4134C584" w14:textId="77777777" w:rsidR="00767095" w:rsidRPr="00767095" w:rsidRDefault="00767095" w:rsidP="00F020F4">
            <w:pPr>
              <w:spacing w:after="240"/>
              <w:rPr>
                <w:rFonts w:eastAsia="Arial" w:cs="Arial"/>
                <w:color w:val="000000" w:themeColor="text1"/>
                <w:sz w:val="22"/>
                <w:szCs w:val="22"/>
              </w:rPr>
            </w:pPr>
            <w:r w:rsidRPr="00767095">
              <w:rPr>
                <w:rFonts w:eastAsia="Arial" w:cs="Arial"/>
                <w:color w:val="000000" w:themeColor="text1"/>
                <w:sz w:val="22"/>
                <w:szCs w:val="22"/>
              </w:rPr>
              <w:t>Q4 2026.</w:t>
            </w:r>
          </w:p>
        </w:tc>
      </w:tr>
      <w:tr w:rsidR="00767095" w:rsidRPr="00767095" w14:paraId="299D122C" w14:textId="77777777" w:rsidTr="00FD2640">
        <w:tc>
          <w:tcPr>
            <w:tcW w:w="1727" w:type="pct"/>
            <w:vMerge/>
          </w:tcPr>
          <w:p w14:paraId="70108FD2" w14:textId="77777777" w:rsidR="00767095" w:rsidRPr="00767095" w:rsidRDefault="00767095" w:rsidP="00F020F4">
            <w:pPr>
              <w:spacing w:line="256" w:lineRule="auto"/>
              <w:rPr>
                <w:rFonts w:eastAsia="Arial" w:cs="Arial"/>
                <w:b/>
                <w:bCs/>
                <w:color w:val="000000" w:themeColor="text1"/>
                <w:sz w:val="22"/>
                <w:szCs w:val="22"/>
              </w:rPr>
            </w:pPr>
          </w:p>
        </w:tc>
        <w:tc>
          <w:tcPr>
            <w:tcW w:w="2358" w:type="pct"/>
          </w:tcPr>
          <w:p w14:paraId="466A6A5E" w14:textId="3357A330" w:rsidR="00767095" w:rsidRPr="00767095" w:rsidRDefault="00767095" w:rsidP="00F020F4">
            <w:pPr>
              <w:spacing w:line="276" w:lineRule="auto"/>
              <w:jc w:val="both"/>
              <w:rPr>
                <w:rFonts w:eastAsia="Arial" w:cs="Arial"/>
                <w:color w:val="000000" w:themeColor="text1"/>
                <w:sz w:val="22"/>
                <w:szCs w:val="22"/>
              </w:rPr>
            </w:pPr>
            <w:r w:rsidRPr="00767095">
              <w:rPr>
                <w:rFonts w:eastAsia="Arial" w:cs="Arial"/>
                <w:color w:val="000000" w:themeColor="text1"/>
                <w:sz w:val="22"/>
                <w:szCs w:val="22"/>
              </w:rPr>
              <w:t xml:space="preserve">That the CIF Secretariat finalise the guidance for the new strategic directions as outlined in the Strategic Directions Implementation Plan, including a country application process for new </w:t>
            </w:r>
            <w:r w:rsidR="00CD0B62">
              <w:rPr>
                <w:rFonts w:eastAsia="Arial" w:cs="Arial"/>
                <w:color w:val="000000" w:themeColor="text1"/>
                <w:sz w:val="22"/>
                <w:szCs w:val="22"/>
              </w:rPr>
              <w:t>TIPs</w:t>
            </w:r>
            <w:r w:rsidRPr="00767095">
              <w:rPr>
                <w:rFonts w:eastAsia="Arial" w:cs="Arial"/>
                <w:color w:val="000000" w:themeColor="text1"/>
                <w:sz w:val="22"/>
                <w:szCs w:val="22"/>
              </w:rPr>
              <w:t xml:space="preserve"> for approval by the TFC.</w:t>
            </w:r>
          </w:p>
        </w:tc>
        <w:tc>
          <w:tcPr>
            <w:tcW w:w="915" w:type="pct"/>
          </w:tcPr>
          <w:p w14:paraId="7B7F7462" w14:textId="77777777" w:rsidR="00767095" w:rsidRPr="00767095" w:rsidRDefault="00767095" w:rsidP="00F020F4">
            <w:pPr>
              <w:spacing w:line="276" w:lineRule="auto"/>
              <w:jc w:val="both"/>
              <w:rPr>
                <w:rFonts w:eastAsia="Arial" w:cs="Arial"/>
                <w:color w:val="000000" w:themeColor="text1"/>
                <w:sz w:val="22"/>
                <w:szCs w:val="22"/>
              </w:rPr>
            </w:pPr>
            <w:r w:rsidRPr="00767095">
              <w:rPr>
                <w:rFonts w:eastAsia="Arial" w:cs="Arial"/>
                <w:color w:val="000000" w:themeColor="text1"/>
                <w:sz w:val="22"/>
                <w:szCs w:val="22"/>
              </w:rPr>
              <w:t>Q1 2026.</w:t>
            </w:r>
          </w:p>
          <w:p w14:paraId="63A0C471" w14:textId="77777777" w:rsidR="00767095" w:rsidRPr="00767095" w:rsidRDefault="00767095" w:rsidP="00F020F4">
            <w:pPr>
              <w:spacing w:after="240"/>
              <w:rPr>
                <w:rFonts w:eastAsia="Arial" w:cs="Arial"/>
                <w:b/>
                <w:bCs/>
                <w:color w:val="000000" w:themeColor="text1"/>
                <w:sz w:val="22"/>
                <w:szCs w:val="22"/>
              </w:rPr>
            </w:pPr>
          </w:p>
        </w:tc>
      </w:tr>
      <w:tr w:rsidR="00767095" w:rsidRPr="00767095" w14:paraId="0C2D6DA3" w14:textId="77777777" w:rsidTr="00FD2640">
        <w:tc>
          <w:tcPr>
            <w:tcW w:w="1727" w:type="pct"/>
            <w:vMerge/>
          </w:tcPr>
          <w:p w14:paraId="09CEE3C6" w14:textId="77777777" w:rsidR="00767095" w:rsidRPr="00767095" w:rsidRDefault="00767095" w:rsidP="00F020F4">
            <w:pPr>
              <w:spacing w:line="256" w:lineRule="auto"/>
              <w:rPr>
                <w:rFonts w:eastAsia="Arial" w:cs="Arial"/>
                <w:b/>
                <w:bCs/>
                <w:color w:val="000000" w:themeColor="text1"/>
                <w:sz w:val="22"/>
                <w:szCs w:val="22"/>
              </w:rPr>
            </w:pPr>
          </w:p>
        </w:tc>
        <w:tc>
          <w:tcPr>
            <w:tcW w:w="2358" w:type="pct"/>
          </w:tcPr>
          <w:p w14:paraId="6104E8D6" w14:textId="7170A5B9" w:rsidR="00767095" w:rsidRPr="00767095" w:rsidRDefault="00767095" w:rsidP="00F020F4">
            <w:pPr>
              <w:spacing w:line="276" w:lineRule="auto"/>
              <w:jc w:val="both"/>
              <w:rPr>
                <w:rFonts w:eastAsia="Arial" w:cs="Arial"/>
                <w:color w:val="000000" w:themeColor="text1"/>
                <w:sz w:val="22"/>
                <w:szCs w:val="22"/>
              </w:rPr>
            </w:pPr>
            <w:r w:rsidRPr="00767095">
              <w:rPr>
                <w:rFonts w:eastAsia="Arial" w:cs="Arial"/>
                <w:color w:val="000000" w:themeColor="text1"/>
                <w:sz w:val="22"/>
                <w:szCs w:val="22"/>
              </w:rPr>
              <w:t>That DESNZ and FCDO jointly explore allocating SCF reflows and unallocated PPCR funds to the ARISE programme. We are currently awaiting a proposal from the Trustee for how to take this forward.</w:t>
            </w:r>
          </w:p>
        </w:tc>
        <w:tc>
          <w:tcPr>
            <w:tcW w:w="915" w:type="pct"/>
          </w:tcPr>
          <w:p w14:paraId="146545A4" w14:textId="77777777" w:rsidR="00767095" w:rsidRPr="00767095" w:rsidRDefault="00767095" w:rsidP="00F020F4">
            <w:pPr>
              <w:spacing w:line="276" w:lineRule="auto"/>
              <w:jc w:val="both"/>
              <w:rPr>
                <w:rFonts w:eastAsia="Arial" w:cs="Arial"/>
                <w:color w:val="000000" w:themeColor="text1"/>
                <w:sz w:val="22"/>
                <w:szCs w:val="22"/>
              </w:rPr>
            </w:pPr>
            <w:r w:rsidRPr="00767095">
              <w:rPr>
                <w:rFonts w:eastAsia="Arial" w:cs="Arial"/>
                <w:color w:val="000000" w:themeColor="text1"/>
                <w:sz w:val="22"/>
                <w:szCs w:val="22"/>
              </w:rPr>
              <w:t>Q4 2026</w:t>
            </w:r>
          </w:p>
        </w:tc>
      </w:tr>
      <w:tr w:rsidR="00767095" w:rsidRPr="00767095" w14:paraId="1D791E67" w14:textId="77777777" w:rsidTr="00FD2640">
        <w:tc>
          <w:tcPr>
            <w:tcW w:w="1727" w:type="pct"/>
            <w:vMerge w:val="restart"/>
          </w:tcPr>
          <w:p w14:paraId="45D3BD83" w14:textId="77777777" w:rsidR="00767095" w:rsidRPr="00767095" w:rsidRDefault="00767095" w:rsidP="00F020F4">
            <w:pPr>
              <w:spacing w:line="256" w:lineRule="auto"/>
              <w:rPr>
                <w:rFonts w:eastAsia="Arial" w:cs="Arial"/>
                <w:color w:val="000000" w:themeColor="text1"/>
                <w:sz w:val="22"/>
                <w:szCs w:val="22"/>
              </w:rPr>
            </w:pPr>
            <w:r w:rsidRPr="00767095">
              <w:rPr>
                <w:rFonts w:eastAsia="Arial" w:cs="Arial"/>
                <w:color w:val="000000" w:themeColor="text1"/>
                <w:sz w:val="22"/>
                <w:szCs w:val="22"/>
              </w:rPr>
              <w:t>Governance</w:t>
            </w:r>
          </w:p>
        </w:tc>
        <w:tc>
          <w:tcPr>
            <w:tcW w:w="2358" w:type="pct"/>
          </w:tcPr>
          <w:p w14:paraId="671A2660" w14:textId="77777777" w:rsidR="00767095" w:rsidRPr="00767095" w:rsidRDefault="00767095" w:rsidP="00F020F4">
            <w:pPr>
              <w:spacing w:line="276" w:lineRule="auto"/>
              <w:jc w:val="both"/>
              <w:rPr>
                <w:rFonts w:eastAsia="Arial" w:cs="Arial"/>
                <w:color w:val="000000" w:themeColor="text1"/>
                <w:sz w:val="22"/>
                <w:szCs w:val="22"/>
              </w:rPr>
            </w:pPr>
            <w:r w:rsidRPr="00767095">
              <w:rPr>
                <w:rFonts w:eastAsia="Arial" w:cs="Arial"/>
                <w:color w:val="000000" w:themeColor="text1"/>
                <w:sz w:val="22"/>
                <w:szCs w:val="22"/>
              </w:rPr>
              <w:t>That the CIF Secretariat conclude Phase 1 of the Governance review and begin Phase 2.</w:t>
            </w:r>
          </w:p>
        </w:tc>
        <w:tc>
          <w:tcPr>
            <w:tcW w:w="915" w:type="pct"/>
          </w:tcPr>
          <w:p w14:paraId="713F1E45" w14:textId="77777777" w:rsidR="00767095" w:rsidRPr="00767095" w:rsidRDefault="00767095" w:rsidP="00F020F4">
            <w:pPr>
              <w:spacing w:line="276" w:lineRule="auto"/>
              <w:jc w:val="both"/>
              <w:rPr>
                <w:rFonts w:eastAsia="Arial" w:cs="Arial"/>
                <w:color w:val="000000" w:themeColor="text1"/>
                <w:sz w:val="22"/>
                <w:szCs w:val="22"/>
              </w:rPr>
            </w:pPr>
            <w:r w:rsidRPr="00767095">
              <w:rPr>
                <w:rFonts w:eastAsia="Arial" w:cs="Arial"/>
                <w:color w:val="000000" w:themeColor="text1"/>
                <w:sz w:val="22"/>
                <w:szCs w:val="22"/>
              </w:rPr>
              <w:t>Q2 2026.</w:t>
            </w:r>
          </w:p>
        </w:tc>
      </w:tr>
      <w:tr w:rsidR="00767095" w:rsidRPr="00767095" w14:paraId="1387CB36" w14:textId="77777777" w:rsidTr="00FD2640">
        <w:tc>
          <w:tcPr>
            <w:tcW w:w="1727" w:type="pct"/>
            <w:vMerge/>
          </w:tcPr>
          <w:p w14:paraId="4A900718" w14:textId="77777777" w:rsidR="00767095" w:rsidRPr="00767095" w:rsidRDefault="00767095" w:rsidP="00F020F4">
            <w:pPr>
              <w:spacing w:line="256" w:lineRule="auto"/>
              <w:rPr>
                <w:rFonts w:eastAsia="Arial" w:cs="Arial"/>
                <w:b/>
                <w:bCs/>
                <w:color w:val="000000" w:themeColor="text1"/>
                <w:sz w:val="22"/>
                <w:szCs w:val="22"/>
              </w:rPr>
            </w:pPr>
          </w:p>
        </w:tc>
        <w:tc>
          <w:tcPr>
            <w:tcW w:w="2358" w:type="pct"/>
          </w:tcPr>
          <w:p w14:paraId="126D0DF8" w14:textId="77777777" w:rsidR="00767095" w:rsidRPr="00767095" w:rsidRDefault="00767095" w:rsidP="00F020F4">
            <w:pPr>
              <w:spacing w:line="276" w:lineRule="auto"/>
              <w:jc w:val="both"/>
              <w:rPr>
                <w:rFonts w:eastAsia="Arial" w:cs="Arial"/>
                <w:color w:val="000000" w:themeColor="text1"/>
                <w:sz w:val="22"/>
                <w:szCs w:val="22"/>
              </w:rPr>
            </w:pPr>
            <w:r w:rsidRPr="00767095">
              <w:rPr>
                <w:rFonts w:eastAsia="Arial" w:cs="Arial"/>
                <w:color w:val="000000" w:themeColor="text1"/>
                <w:sz w:val="22"/>
                <w:szCs w:val="22"/>
              </w:rPr>
              <w:t>That the CIF Secretariat establish the new Standing Committees with oversight of governance and ethics, evaluation and learning, and finance and risk management.</w:t>
            </w:r>
          </w:p>
        </w:tc>
        <w:tc>
          <w:tcPr>
            <w:tcW w:w="915" w:type="pct"/>
          </w:tcPr>
          <w:p w14:paraId="7CBDAC4C" w14:textId="77777777" w:rsidR="00767095" w:rsidRPr="00767095" w:rsidRDefault="00767095" w:rsidP="00F020F4">
            <w:pPr>
              <w:spacing w:line="276" w:lineRule="auto"/>
              <w:jc w:val="both"/>
              <w:rPr>
                <w:rFonts w:eastAsia="Arial" w:cs="Arial"/>
                <w:bCs/>
                <w:color w:val="000000" w:themeColor="text1"/>
                <w:sz w:val="22"/>
                <w:szCs w:val="22"/>
              </w:rPr>
            </w:pPr>
            <w:r w:rsidRPr="00767095">
              <w:rPr>
                <w:rFonts w:eastAsia="Arial" w:cs="Arial"/>
                <w:bCs/>
                <w:color w:val="000000" w:themeColor="text1"/>
                <w:sz w:val="22"/>
                <w:szCs w:val="22"/>
              </w:rPr>
              <w:t>Q1 2026.</w:t>
            </w:r>
          </w:p>
        </w:tc>
      </w:tr>
      <w:tr w:rsidR="00FD2640" w:rsidRPr="00767095" w14:paraId="6409094B" w14:textId="77777777" w:rsidTr="00FD2640">
        <w:tc>
          <w:tcPr>
            <w:tcW w:w="1727" w:type="pct"/>
            <w:vMerge w:val="restart"/>
          </w:tcPr>
          <w:p w14:paraId="5B8B83CC" w14:textId="77777777" w:rsidR="00FD2640" w:rsidRPr="00767095" w:rsidRDefault="00FD2640" w:rsidP="00F020F4">
            <w:pPr>
              <w:spacing w:line="256" w:lineRule="auto"/>
              <w:rPr>
                <w:rFonts w:eastAsia="Arial" w:cs="Arial"/>
                <w:bCs/>
                <w:color w:val="000000" w:themeColor="text1"/>
                <w:sz w:val="22"/>
                <w:szCs w:val="22"/>
              </w:rPr>
            </w:pPr>
            <w:r w:rsidRPr="00767095">
              <w:rPr>
                <w:rFonts w:eastAsia="Arial" w:cs="Arial"/>
                <w:bCs/>
                <w:color w:val="000000" w:themeColor="text1"/>
                <w:sz w:val="22"/>
                <w:szCs w:val="22"/>
              </w:rPr>
              <w:t>Operational</w:t>
            </w:r>
          </w:p>
        </w:tc>
        <w:tc>
          <w:tcPr>
            <w:tcW w:w="2358" w:type="pct"/>
          </w:tcPr>
          <w:p w14:paraId="124C1742" w14:textId="2BE5441A" w:rsidR="00FD2640" w:rsidRPr="00194063" w:rsidRDefault="00FD2640" w:rsidP="00F020F4">
            <w:pPr>
              <w:spacing w:line="276" w:lineRule="auto"/>
              <w:jc w:val="both"/>
              <w:rPr>
                <w:rFonts w:eastAsia="Arial" w:cs="Arial"/>
                <w:color w:val="000000" w:themeColor="text1"/>
                <w:sz w:val="22"/>
                <w:szCs w:val="22"/>
                <w:highlight w:val="yellow"/>
              </w:rPr>
            </w:pPr>
            <w:r w:rsidRPr="00767095">
              <w:rPr>
                <w:rFonts w:eastAsia="Arial" w:cs="Arial"/>
                <w:color w:val="000000" w:themeColor="text1"/>
                <w:sz w:val="22"/>
                <w:szCs w:val="22"/>
              </w:rPr>
              <w:t>That officials build on the strong results on disbursement and IP project approval timelines by working with the CIF Secretariat to explore how to make further advances and reallocate funds from delayed or cancelled projects.</w:t>
            </w:r>
          </w:p>
        </w:tc>
        <w:tc>
          <w:tcPr>
            <w:tcW w:w="915" w:type="pct"/>
          </w:tcPr>
          <w:p w14:paraId="00875D0A" w14:textId="634782FB" w:rsidR="00FD2640" w:rsidRPr="00194063" w:rsidRDefault="00FD2640" w:rsidP="00F020F4">
            <w:pPr>
              <w:spacing w:after="240"/>
              <w:rPr>
                <w:rFonts w:eastAsia="Arial" w:cs="Arial"/>
                <w:color w:val="000000" w:themeColor="text1"/>
                <w:sz w:val="22"/>
                <w:szCs w:val="22"/>
                <w:highlight w:val="yellow"/>
              </w:rPr>
            </w:pPr>
            <w:r w:rsidRPr="00767095">
              <w:rPr>
                <w:rFonts w:eastAsia="Arial" w:cs="Arial"/>
                <w:color w:val="000000" w:themeColor="text1"/>
                <w:sz w:val="22"/>
                <w:szCs w:val="22"/>
              </w:rPr>
              <w:t>Q4 2026</w:t>
            </w:r>
          </w:p>
        </w:tc>
      </w:tr>
      <w:tr w:rsidR="00FD2640" w:rsidRPr="00767095" w14:paraId="1142BFDA" w14:textId="77777777" w:rsidTr="00FD2640">
        <w:tc>
          <w:tcPr>
            <w:tcW w:w="1727" w:type="pct"/>
            <w:vMerge/>
          </w:tcPr>
          <w:p w14:paraId="49B67915" w14:textId="77777777" w:rsidR="00FD2640" w:rsidRPr="00767095" w:rsidRDefault="00FD2640" w:rsidP="00F020F4">
            <w:pPr>
              <w:spacing w:line="256" w:lineRule="auto"/>
              <w:rPr>
                <w:rFonts w:eastAsia="Arial" w:cs="Arial"/>
                <w:bCs/>
                <w:color w:val="000000" w:themeColor="text1"/>
                <w:sz w:val="22"/>
                <w:szCs w:val="22"/>
              </w:rPr>
            </w:pPr>
          </w:p>
        </w:tc>
        <w:tc>
          <w:tcPr>
            <w:tcW w:w="2358" w:type="pct"/>
          </w:tcPr>
          <w:p w14:paraId="78500313" w14:textId="3AF48DC2" w:rsidR="00FD2640" w:rsidRPr="00767095" w:rsidRDefault="00FD2640" w:rsidP="00F020F4">
            <w:pPr>
              <w:spacing w:line="276" w:lineRule="auto"/>
              <w:jc w:val="both"/>
              <w:rPr>
                <w:rFonts w:eastAsia="Arial" w:cs="Arial"/>
                <w:color w:val="000000" w:themeColor="text1"/>
                <w:sz w:val="22"/>
                <w:szCs w:val="22"/>
              </w:rPr>
            </w:pPr>
            <w:r>
              <w:rPr>
                <w:rFonts w:eastAsia="Arial" w:cs="Arial"/>
                <w:color w:val="000000" w:themeColor="text1"/>
                <w:sz w:val="22"/>
                <w:szCs w:val="22"/>
              </w:rPr>
              <w:t xml:space="preserve">That DESNZ officials work to refine the </w:t>
            </w:r>
            <w:proofErr w:type="spellStart"/>
            <w:r>
              <w:rPr>
                <w:rFonts w:eastAsia="Arial" w:cs="Arial"/>
                <w:color w:val="000000" w:themeColor="text1"/>
                <w:sz w:val="22"/>
                <w:szCs w:val="22"/>
              </w:rPr>
              <w:t>logframe</w:t>
            </w:r>
            <w:proofErr w:type="spellEnd"/>
            <w:r>
              <w:rPr>
                <w:rFonts w:eastAsia="Arial" w:cs="Arial"/>
                <w:color w:val="000000" w:themeColor="text1"/>
                <w:sz w:val="22"/>
                <w:szCs w:val="22"/>
              </w:rPr>
              <w:t xml:space="preserve"> and reporting framework to make sure the output indicators adequately capture the Funds’ progress against our objectives. This should include exploring the addition on new GEDSI indicators, possibly aligned with </w:t>
            </w:r>
            <w:r w:rsidRPr="00770817">
              <w:rPr>
                <w:rFonts w:eastAsia="Arial" w:cs="Arial"/>
                <w:color w:val="000000" w:themeColor="text1"/>
                <w:sz w:val="22"/>
                <w:szCs w:val="22"/>
              </w:rPr>
              <w:t>OECD DAC criteria</w:t>
            </w:r>
            <w:r>
              <w:rPr>
                <w:rFonts w:eastAsia="Arial" w:cs="Arial"/>
                <w:color w:val="000000" w:themeColor="text1"/>
                <w:sz w:val="22"/>
                <w:szCs w:val="22"/>
              </w:rPr>
              <w:t>.</w:t>
            </w:r>
          </w:p>
        </w:tc>
        <w:tc>
          <w:tcPr>
            <w:tcW w:w="915" w:type="pct"/>
          </w:tcPr>
          <w:p w14:paraId="3092F80C" w14:textId="3CC4D719" w:rsidR="00FD2640" w:rsidRPr="00767095" w:rsidRDefault="00FD2640" w:rsidP="00F020F4">
            <w:pPr>
              <w:spacing w:after="240"/>
              <w:rPr>
                <w:rFonts w:eastAsia="Arial" w:cs="Arial"/>
                <w:color w:val="000000" w:themeColor="text1"/>
                <w:sz w:val="22"/>
                <w:szCs w:val="22"/>
              </w:rPr>
            </w:pPr>
            <w:r>
              <w:rPr>
                <w:rFonts w:eastAsia="Arial" w:cs="Arial"/>
                <w:color w:val="000000" w:themeColor="text1"/>
                <w:sz w:val="22"/>
                <w:szCs w:val="22"/>
              </w:rPr>
              <w:t>October 2026</w:t>
            </w:r>
          </w:p>
        </w:tc>
      </w:tr>
    </w:tbl>
    <w:p w14:paraId="2CDEA22E" w14:textId="512F4BD6" w:rsidR="4B48B2B6" w:rsidRDefault="4B48B2B6"/>
    <w:p w14:paraId="73A5F33C" w14:textId="77777777" w:rsidR="00767095" w:rsidRDefault="00767095" w:rsidP="004D5FD5">
      <w:pPr>
        <w:jc w:val="both"/>
      </w:pPr>
    </w:p>
    <w:p w14:paraId="539F0C43" w14:textId="77777777" w:rsidR="00767095" w:rsidRDefault="00767095" w:rsidP="004D5FD5">
      <w:pPr>
        <w:jc w:val="both"/>
      </w:pPr>
    </w:p>
    <w:tbl>
      <w:tblPr>
        <w:tblStyle w:val="TableGrid"/>
        <w:tblW w:w="0" w:type="auto"/>
        <w:tblLook w:val="04A0" w:firstRow="1" w:lastRow="0" w:firstColumn="1" w:lastColumn="0" w:noHBand="0" w:noVBand="1"/>
      </w:tblPr>
      <w:tblGrid>
        <w:gridCol w:w="9016"/>
      </w:tblGrid>
      <w:tr w:rsidR="00CB2873" w14:paraId="3D63871C" w14:textId="77777777" w:rsidTr="527A8EFF">
        <w:tc>
          <w:tcPr>
            <w:tcW w:w="9016" w:type="dxa"/>
            <w:shd w:val="clear" w:color="auto" w:fill="DEEAF6" w:themeFill="accent5" w:themeFillTint="33"/>
          </w:tcPr>
          <w:p w14:paraId="3A432808" w14:textId="3DB7B7E5" w:rsidR="00CB2873" w:rsidRDefault="00CB2873" w:rsidP="004D5FD5">
            <w:pPr>
              <w:jc w:val="both"/>
            </w:pPr>
            <w:bookmarkStart w:id="6" w:name="_Toc224897455"/>
            <w:bookmarkStart w:id="7" w:name="_Hlk110858960"/>
            <w:r w:rsidRPr="527A8EFF">
              <w:rPr>
                <w:rStyle w:val="Heading1Char"/>
                <w:rFonts w:ascii="Arial" w:hAnsi="Arial" w:cs="Arial"/>
                <w:b/>
                <w:bCs/>
                <w:color w:val="auto"/>
              </w:rPr>
              <w:t xml:space="preserve">Section B: Theory of </w:t>
            </w:r>
            <w:r w:rsidR="20262009" w:rsidRPr="527A8EFF">
              <w:rPr>
                <w:rStyle w:val="Heading1Char"/>
                <w:rFonts w:ascii="Arial" w:hAnsi="Arial" w:cs="Arial"/>
                <w:b/>
                <w:bCs/>
                <w:color w:val="auto"/>
              </w:rPr>
              <w:t>c</w:t>
            </w:r>
            <w:r w:rsidRPr="527A8EFF">
              <w:rPr>
                <w:rStyle w:val="Heading1Char"/>
                <w:rFonts w:ascii="Arial" w:hAnsi="Arial" w:cs="Arial"/>
                <w:b/>
                <w:bCs/>
                <w:color w:val="auto"/>
              </w:rPr>
              <w:t>hange and progress towards outcomes</w:t>
            </w:r>
            <w:bookmarkEnd w:id="6"/>
          </w:p>
        </w:tc>
      </w:tr>
    </w:tbl>
    <w:p w14:paraId="66F8F448" w14:textId="77777777" w:rsidR="00716156" w:rsidRPr="007A54FD" w:rsidRDefault="00716156" w:rsidP="00EB3BB4">
      <w:pPr>
        <w:pStyle w:val="Heading2"/>
        <w:rPr>
          <w:rFonts w:eastAsia="Arial"/>
        </w:rPr>
      </w:pPr>
      <w:bookmarkStart w:id="8" w:name="_Toc224897456"/>
      <w:bookmarkEnd w:id="7"/>
      <w:r w:rsidRPr="007A54FD">
        <w:rPr>
          <w:rFonts w:eastAsia="Arial"/>
        </w:rPr>
        <w:t>Summarise the programme’s theory of change, including any changes to outcome and impact Indicator from the original business case.</w:t>
      </w:r>
      <w:bookmarkEnd w:id="8"/>
    </w:p>
    <w:p w14:paraId="77C06331" w14:textId="77777777" w:rsidR="00716156" w:rsidRPr="007A54FD" w:rsidRDefault="00716156" w:rsidP="00716156">
      <w:pPr>
        <w:spacing w:line="276" w:lineRule="auto"/>
        <w:jc w:val="both"/>
        <w:rPr>
          <w:rFonts w:eastAsia="Arial" w:cs="Arial"/>
          <w:color w:val="000000" w:themeColor="text1"/>
        </w:rPr>
      </w:pPr>
    </w:p>
    <w:p w14:paraId="2AAA445D" w14:textId="5315D6FA" w:rsidR="00716156" w:rsidRPr="002B6C11" w:rsidRDefault="00716156" w:rsidP="00716156">
      <w:pPr>
        <w:spacing w:line="276" w:lineRule="auto"/>
        <w:jc w:val="both"/>
        <w:rPr>
          <w:rFonts w:eastAsia="Arial" w:cs="Arial"/>
          <w:color w:val="000000" w:themeColor="text1"/>
          <w:sz w:val="22"/>
          <w:szCs w:val="22"/>
        </w:rPr>
      </w:pPr>
      <w:r w:rsidRPr="002B6C11">
        <w:rPr>
          <w:rFonts w:eastAsia="Arial" w:cs="Arial"/>
          <w:color w:val="000000" w:themeColor="text1"/>
          <w:sz w:val="22"/>
          <w:szCs w:val="22"/>
        </w:rPr>
        <w:t xml:space="preserve">The current CIF </w:t>
      </w:r>
      <w:hyperlink r:id="rId19" w:anchor=":~:text=The%20CIF%20Theory%20of%20Change,climate%2Dresilient%20development%20pathways%2C%20in">
        <w:r w:rsidRPr="002B6C11">
          <w:rPr>
            <w:rStyle w:val="Hyperlink"/>
            <w:rFonts w:eastAsia="Arial" w:cs="Arial"/>
            <w:sz w:val="22"/>
            <w:szCs w:val="22"/>
          </w:rPr>
          <w:t>Theory of Change</w:t>
        </w:r>
      </w:hyperlink>
      <w:r w:rsidRPr="002B6C11">
        <w:rPr>
          <w:rFonts w:eastAsia="Arial" w:cs="Arial"/>
          <w:color w:val="000000" w:themeColor="text1"/>
          <w:sz w:val="22"/>
          <w:szCs w:val="22"/>
        </w:rPr>
        <w:t xml:space="preserve">  was approved in 2022.  The document sets out how ambitious, concessional climate finance, delivered through a country</w:t>
      </w:r>
      <w:r w:rsidRPr="002B6C11">
        <w:rPr>
          <w:rFonts w:eastAsia="Arial" w:cs="Arial"/>
          <w:color w:val="000000" w:themeColor="text1"/>
          <w:sz w:val="22"/>
          <w:szCs w:val="22"/>
        </w:rPr>
        <w:noBreakHyphen/>
        <w:t>led, programmatic and multi</w:t>
      </w:r>
      <w:r w:rsidRPr="002B6C11">
        <w:rPr>
          <w:rFonts w:eastAsia="Arial" w:cs="Arial"/>
          <w:color w:val="000000" w:themeColor="text1"/>
          <w:sz w:val="22"/>
          <w:szCs w:val="22"/>
        </w:rPr>
        <w:noBreakHyphen/>
        <w:t>MDB approach, can enable transformational, climate</w:t>
      </w:r>
      <w:r w:rsidRPr="002B6C11">
        <w:rPr>
          <w:rFonts w:eastAsia="Arial" w:cs="Arial"/>
          <w:color w:val="000000" w:themeColor="text1"/>
          <w:sz w:val="22"/>
          <w:szCs w:val="22"/>
        </w:rPr>
        <w:noBreakHyphen/>
      </w:r>
      <w:r w:rsidR="001B445D" w:rsidRPr="002B6C11">
        <w:rPr>
          <w:rFonts w:eastAsia="Arial" w:cs="Arial"/>
          <w:color w:val="000000" w:themeColor="text1"/>
          <w:sz w:val="22"/>
          <w:szCs w:val="22"/>
        </w:rPr>
        <w:t>resilient</w:t>
      </w:r>
      <w:r w:rsidRPr="002B6C11">
        <w:rPr>
          <w:rFonts w:eastAsia="Arial" w:cs="Arial"/>
          <w:color w:val="000000" w:themeColor="text1"/>
          <w:sz w:val="22"/>
          <w:szCs w:val="22"/>
        </w:rPr>
        <w:t xml:space="preserve"> development. CIF interventions combine large</w:t>
      </w:r>
      <w:r w:rsidRPr="002B6C11">
        <w:rPr>
          <w:rFonts w:eastAsia="Arial" w:cs="Arial"/>
          <w:color w:val="000000" w:themeColor="text1"/>
          <w:sz w:val="22"/>
          <w:szCs w:val="22"/>
        </w:rPr>
        <w:noBreakHyphen/>
        <w:t xml:space="preserve">scale investments, innovative financial instruments, policy support, technical assistance, engagement with country governments, </w:t>
      </w:r>
      <w:r w:rsidR="007162D8" w:rsidRPr="002B6C11">
        <w:rPr>
          <w:rFonts w:eastAsia="Arial" w:cs="Arial"/>
          <w:color w:val="000000" w:themeColor="text1"/>
          <w:sz w:val="22"/>
          <w:szCs w:val="22"/>
        </w:rPr>
        <w:t>as well as</w:t>
      </w:r>
      <w:r w:rsidRPr="002B6C11">
        <w:rPr>
          <w:rFonts w:eastAsia="Arial" w:cs="Arial"/>
          <w:color w:val="000000" w:themeColor="text1"/>
          <w:sz w:val="22"/>
          <w:szCs w:val="22"/>
        </w:rPr>
        <w:t xml:space="preserve"> mainstreaming gender and social</w:t>
      </w:r>
      <w:r w:rsidRPr="002B6C11">
        <w:rPr>
          <w:rFonts w:eastAsia="Arial" w:cs="Arial"/>
          <w:color w:val="000000" w:themeColor="text1"/>
          <w:sz w:val="22"/>
          <w:szCs w:val="22"/>
        </w:rPr>
        <w:noBreakHyphen/>
        <w:t xml:space="preserve">inclusion. By tackling structural barriers, such as weak coordination and suboptimal policy environments, CIF ensures interventions are sustainable and have lasting impact. </w:t>
      </w:r>
    </w:p>
    <w:p w14:paraId="610D7D79" w14:textId="77777777" w:rsidR="00716156" w:rsidRPr="002B6C11" w:rsidRDefault="00716156" w:rsidP="00716156">
      <w:pPr>
        <w:spacing w:line="276" w:lineRule="auto"/>
        <w:jc w:val="both"/>
        <w:rPr>
          <w:rFonts w:eastAsia="Arial" w:cs="Arial"/>
          <w:color w:val="000000" w:themeColor="text1"/>
          <w:sz w:val="22"/>
          <w:szCs w:val="22"/>
        </w:rPr>
      </w:pPr>
    </w:p>
    <w:p w14:paraId="49DD0F52" w14:textId="19607D59" w:rsidR="00716156" w:rsidRPr="002B6C11" w:rsidRDefault="00716156" w:rsidP="00716156">
      <w:pPr>
        <w:spacing w:line="276" w:lineRule="auto"/>
        <w:jc w:val="both"/>
        <w:rPr>
          <w:rFonts w:eastAsia="Arial" w:cs="Arial"/>
          <w:color w:val="000000" w:themeColor="text1"/>
          <w:sz w:val="22"/>
          <w:szCs w:val="22"/>
        </w:rPr>
      </w:pPr>
      <w:r w:rsidRPr="002B6C11">
        <w:rPr>
          <w:rFonts w:eastAsia="Arial" w:cs="Arial"/>
          <w:color w:val="000000" w:themeColor="text1"/>
          <w:sz w:val="22"/>
          <w:szCs w:val="22"/>
        </w:rPr>
        <w:t>Through investments across energy, land use, cities, industry, resilience and clean technology, CIF supports six core outcome areas: cleaner and more secure energy systems; sustainable land and resource management; strengthened livelihoods and inclusion; more competitive climate</w:t>
      </w:r>
      <w:r w:rsidR="20F1F427" w:rsidRPr="002B6C11">
        <w:rPr>
          <w:rFonts w:eastAsia="Arial" w:cs="Arial"/>
          <w:color w:val="000000" w:themeColor="text1"/>
          <w:sz w:val="22"/>
          <w:szCs w:val="22"/>
        </w:rPr>
        <w:t xml:space="preserve"> </w:t>
      </w:r>
      <w:r w:rsidRPr="002B6C11">
        <w:rPr>
          <w:rFonts w:eastAsia="Arial" w:cs="Arial"/>
          <w:color w:val="000000" w:themeColor="text1"/>
          <w:sz w:val="22"/>
          <w:szCs w:val="22"/>
        </w:rPr>
        <w:t xml:space="preserve">aligned markets; improved policy and regulatory environments; and successful piloting of innovative climate solutions. These outcomes collectively contribute to six </w:t>
      </w:r>
      <w:r w:rsidR="004644D3" w:rsidRPr="002B6C11">
        <w:rPr>
          <w:rFonts w:eastAsia="Arial" w:cs="Arial"/>
          <w:color w:val="000000" w:themeColor="text1"/>
          <w:sz w:val="22"/>
          <w:szCs w:val="22"/>
        </w:rPr>
        <w:t>long term</w:t>
      </w:r>
      <w:r w:rsidRPr="002B6C11">
        <w:rPr>
          <w:rFonts w:eastAsia="Arial" w:cs="Arial"/>
          <w:color w:val="000000" w:themeColor="text1"/>
          <w:sz w:val="22"/>
          <w:szCs w:val="22"/>
        </w:rPr>
        <w:t xml:space="preserve"> impacts: mitigation, resilience, systems transformation, social and economic development, financial transformation, and technological disruption. </w:t>
      </w:r>
      <w:r w:rsidR="00FD4816" w:rsidRPr="002B6C11">
        <w:rPr>
          <w:rFonts w:eastAsia="Arial" w:cs="Arial"/>
          <w:color w:val="000000" w:themeColor="text1"/>
          <w:sz w:val="22"/>
          <w:szCs w:val="22"/>
        </w:rPr>
        <w:t>Overall,</w:t>
      </w:r>
      <w:r w:rsidRPr="002B6C11">
        <w:rPr>
          <w:rFonts w:eastAsia="Arial" w:cs="Arial"/>
          <w:color w:val="000000" w:themeColor="text1"/>
          <w:sz w:val="22"/>
          <w:szCs w:val="22"/>
        </w:rPr>
        <w:t xml:space="preserve"> CIF aims to accelerate transformational change and scale climate finance to deliver net</w:t>
      </w:r>
      <w:r w:rsidR="275781E3" w:rsidRPr="002B6C11">
        <w:rPr>
          <w:rFonts w:eastAsia="Arial" w:cs="Arial"/>
          <w:color w:val="000000" w:themeColor="text1"/>
          <w:sz w:val="22"/>
          <w:szCs w:val="22"/>
        </w:rPr>
        <w:t xml:space="preserve"> </w:t>
      </w:r>
      <w:r w:rsidRPr="002B6C11">
        <w:rPr>
          <w:rFonts w:eastAsia="Arial" w:cs="Arial"/>
          <w:color w:val="000000" w:themeColor="text1"/>
          <w:sz w:val="22"/>
          <w:szCs w:val="22"/>
        </w:rPr>
        <w:t>zero and climate</w:t>
      </w:r>
      <w:r w:rsidR="31C22B32" w:rsidRPr="002B6C11">
        <w:rPr>
          <w:rFonts w:eastAsia="Arial" w:cs="Arial"/>
          <w:color w:val="000000" w:themeColor="text1"/>
          <w:sz w:val="22"/>
          <w:szCs w:val="22"/>
        </w:rPr>
        <w:t xml:space="preserve"> </w:t>
      </w:r>
      <w:r w:rsidRPr="002B6C11">
        <w:rPr>
          <w:rFonts w:eastAsia="Arial" w:cs="Arial"/>
          <w:color w:val="000000" w:themeColor="text1"/>
          <w:sz w:val="22"/>
          <w:szCs w:val="22"/>
        </w:rPr>
        <w:t>resilient development in a just, socially inclusive manner</w:t>
      </w:r>
      <w:r w:rsidR="00C47BD9" w:rsidRPr="002B6C11">
        <w:rPr>
          <w:rFonts w:eastAsia="Arial" w:cs="Arial"/>
          <w:color w:val="000000" w:themeColor="text1"/>
          <w:sz w:val="22"/>
          <w:szCs w:val="22"/>
        </w:rPr>
        <w:t>.</w:t>
      </w:r>
    </w:p>
    <w:p w14:paraId="1113FC10" w14:textId="7638C781" w:rsidR="00716156" w:rsidRPr="007A54FD" w:rsidRDefault="00716156" w:rsidP="002E47AC">
      <w:pPr>
        <w:pStyle w:val="Heading2"/>
        <w:rPr>
          <w:rFonts w:eastAsia="Arial"/>
        </w:rPr>
      </w:pPr>
      <w:bookmarkStart w:id="9" w:name="_Toc224897457"/>
      <w:r w:rsidRPr="007A54FD">
        <w:rPr>
          <w:rFonts w:eastAsia="Arial"/>
        </w:rPr>
        <w:t>Describe where the programme is on/off track to contribute to the expected outcomes and impact. What action is planned in the year ahead?</w:t>
      </w:r>
      <w:bookmarkEnd w:id="9"/>
    </w:p>
    <w:p w14:paraId="55304FB9" w14:textId="77777777" w:rsidR="00716156" w:rsidRPr="007A54FD" w:rsidRDefault="00716156" w:rsidP="00716156">
      <w:pPr>
        <w:spacing w:line="276" w:lineRule="auto"/>
        <w:jc w:val="both"/>
        <w:rPr>
          <w:rFonts w:eastAsia="Arial" w:cs="Arial"/>
          <w:color w:val="000000" w:themeColor="text1"/>
        </w:rPr>
      </w:pPr>
    </w:p>
    <w:p w14:paraId="5A492217" w14:textId="0D789257" w:rsidR="00716156" w:rsidRPr="0061010A" w:rsidRDefault="00716156" w:rsidP="00716156">
      <w:pPr>
        <w:spacing w:line="276" w:lineRule="auto"/>
        <w:jc w:val="both"/>
        <w:rPr>
          <w:rFonts w:eastAsia="Arial" w:cs="Arial"/>
          <w:color w:val="000000" w:themeColor="text1"/>
          <w:sz w:val="22"/>
          <w:szCs w:val="22"/>
        </w:rPr>
      </w:pPr>
      <w:r w:rsidRPr="002B6C11">
        <w:rPr>
          <w:rFonts w:eastAsia="Arial" w:cs="Arial"/>
          <w:color w:val="000000" w:themeColor="text1"/>
          <w:sz w:val="22"/>
          <w:szCs w:val="22"/>
          <w:lang w:val="en"/>
        </w:rPr>
        <w:t xml:space="preserve">As indicated above, the </w:t>
      </w:r>
      <w:proofErr w:type="spellStart"/>
      <w:r w:rsidRPr="002B6C11">
        <w:rPr>
          <w:rFonts w:eastAsia="Arial" w:cs="Arial"/>
          <w:color w:val="000000" w:themeColor="text1"/>
          <w:sz w:val="22"/>
          <w:szCs w:val="22"/>
          <w:lang w:val="en"/>
        </w:rPr>
        <w:t>logframe</w:t>
      </w:r>
      <w:proofErr w:type="spellEnd"/>
      <w:r w:rsidRPr="002B6C11">
        <w:rPr>
          <w:rFonts w:eastAsia="Arial" w:cs="Arial"/>
          <w:color w:val="000000" w:themeColor="text1"/>
          <w:sz w:val="22"/>
          <w:szCs w:val="22"/>
          <w:lang w:val="en"/>
        </w:rPr>
        <w:t xml:space="preserve"> impact is measured through the extent to which interventions are likely to have a transformational impact. The CIF KPI 15 score is 5, </w:t>
      </w:r>
      <w:r w:rsidR="003F01C3" w:rsidRPr="002B6C11">
        <w:rPr>
          <w:rFonts w:eastAsia="Arial" w:cs="Arial"/>
          <w:color w:val="000000" w:themeColor="text1"/>
          <w:sz w:val="22"/>
          <w:szCs w:val="22"/>
          <w:lang w:val="en"/>
        </w:rPr>
        <w:t xml:space="preserve">indicating </w:t>
      </w:r>
      <w:r w:rsidRPr="002B6C11">
        <w:rPr>
          <w:rFonts w:eastAsia="Arial" w:cs="Arial"/>
          <w:color w:val="000000" w:themeColor="text1"/>
          <w:sz w:val="22"/>
          <w:szCs w:val="22"/>
          <w:lang w:val="en"/>
        </w:rPr>
        <w:t xml:space="preserve">substantial evidence that transformational change is likely or already occurring. The score has been based on the performance of long-standing funds, including CTF, FIP, PPCR and SREP. Newer funds, including GESP, ACT, REI, NPC and Industry </w:t>
      </w:r>
      <w:proofErr w:type="spellStart"/>
      <w:proofErr w:type="gramStart"/>
      <w:r w:rsidRPr="002B6C11">
        <w:rPr>
          <w:rFonts w:eastAsia="Arial" w:cs="Arial"/>
          <w:color w:val="000000" w:themeColor="text1"/>
          <w:sz w:val="22"/>
          <w:szCs w:val="22"/>
          <w:lang w:val="en"/>
        </w:rPr>
        <w:t>Decarboni</w:t>
      </w:r>
      <w:r w:rsidR="002E47AC" w:rsidRPr="002B6C11">
        <w:rPr>
          <w:rFonts w:eastAsia="Arial" w:cs="Arial"/>
          <w:color w:val="000000" w:themeColor="text1"/>
          <w:sz w:val="22"/>
          <w:szCs w:val="22"/>
          <w:lang w:val="en"/>
        </w:rPr>
        <w:t>s</w:t>
      </w:r>
      <w:r w:rsidRPr="002B6C11">
        <w:rPr>
          <w:rFonts w:eastAsia="Arial" w:cs="Arial"/>
          <w:color w:val="000000" w:themeColor="text1"/>
          <w:sz w:val="22"/>
          <w:szCs w:val="22"/>
          <w:lang w:val="en"/>
        </w:rPr>
        <w:t>ation</w:t>
      </w:r>
      <w:proofErr w:type="spellEnd"/>
      <w:proofErr w:type="gramEnd"/>
      <w:r w:rsidRPr="002B6C11">
        <w:rPr>
          <w:rFonts w:eastAsia="Arial" w:cs="Arial"/>
          <w:color w:val="000000" w:themeColor="text1"/>
          <w:sz w:val="22"/>
          <w:szCs w:val="22"/>
          <w:lang w:val="en"/>
        </w:rPr>
        <w:t xml:space="preserve"> do not yet have enough evidence to assess and therefore have not contributed to the overall score. The evidence for this score comes primarily from independent evaluations, case studies and a local stakeholder engagement evaluation. The latest sources of evidence for CTF include a CIF-wide evaluation in 2019 and case studies in 2021. There have been more recent independent evaluations for SREP (2022), FIP (midterm, 2024) and PPCR (final, 2025).</w:t>
      </w:r>
      <w:r w:rsidRPr="002B6C11" w:rsidDel="32C6A7E0">
        <w:rPr>
          <w:rFonts w:eastAsia="Arial" w:cs="Arial"/>
          <w:color w:val="000000" w:themeColor="text1"/>
          <w:sz w:val="22"/>
          <w:szCs w:val="22"/>
          <w:lang w:val="en"/>
        </w:rPr>
        <w:t xml:space="preserve"> </w:t>
      </w:r>
      <w:r w:rsidRPr="002B6C11">
        <w:rPr>
          <w:rFonts w:eastAsia="Arial" w:cs="Arial"/>
          <w:color w:val="000000" w:themeColor="text1"/>
          <w:sz w:val="22"/>
          <w:szCs w:val="22"/>
          <w:lang w:val="en"/>
        </w:rPr>
        <w:t>Combined, these show substantial evidence that transformational change is already occurring in the CIF</w:t>
      </w:r>
      <w:r w:rsidR="0061010A">
        <w:rPr>
          <w:rFonts w:eastAsia="Arial" w:cs="Arial"/>
          <w:color w:val="000000" w:themeColor="text1"/>
          <w:sz w:val="22"/>
          <w:szCs w:val="22"/>
          <w:lang w:val="en"/>
        </w:rPr>
        <w:t>.</w:t>
      </w:r>
    </w:p>
    <w:p w14:paraId="42ADA931" w14:textId="77777777" w:rsidR="00716156" w:rsidRPr="00262D92" w:rsidRDefault="00716156" w:rsidP="00716156">
      <w:pPr>
        <w:spacing w:line="276" w:lineRule="auto"/>
        <w:jc w:val="both"/>
        <w:rPr>
          <w:rFonts w:eastAsia="Arial" w:cs="Arial"/>
          <w:i/>
          <w:color w:val="000000" w:themeColor="text1"/>
          <w:sz w:val="18"/>
          <w:szCs w:val="18"/>
        </w:rPr>
      </w:pPr>
    </w:p>
    <w:tbl>
      <w:tblPr>
        <w:tblW w:w="5000" w:type="pct"/>
        <w:tblLook w:val="04A0" w:firstRow="1" w:lastRow="0" w:firstColumn="1" w:lastColumn="0" w:noHBand="0" w:noVBand="1"/>
      </w:tblPr>
      <w:tblGrid>
        <w:gridCol w:w="772"/>
        <w:gridCol w:w="26"/>
        <w:gridCol w:w="1705"/>
        <w:gridCol w:w="1328"/>
        <w:gridCol w:w="1328"/>
        <w:gridCol w:w="3854"/>
      </w:tblGrid>
      <w:tr w:rsidR="00B4341F" w14:paraId="3DEB426F" w14:textId="77777777" w:rsidTr="008E65B7">
        <w:trPr>
          <w:trHeight w:val="1128"/>
        </w:trPr>
        <w:tc>
          <w:tcPr>
            <w:tcW w:w="438"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4098AA" w14:textId="77777777" w:rsidR="00716156" w:rsidRPr="00256346" w:rsidRDefault="00716156" w:rsidP="00F020F4">
            <w:pPr>
              <w:jc w:val="center"/>
              <w:rPr>
                <w:rFonts w:eastAsia="Arial" w:cs="Arial"/>
                <w:sz w:val="20"/>
                <w:szCs w:val="20"/>
              </w:rPr>
            </w:pPr>
            <w:r w:rsidRPr="00256346">
              <w:rPr>
                <w:rFonts w:eastAsia="Arial" w:cs="Arial"/>
                <w:b/>
                <w:sz w:val="20"/>
                <w:szCs w:val="20"/>
              </w:rPr>
              <w:t>Fund</w:t>
            </w:r>
            <w:r>
              <w:rPr>
                <w:rStyle w:val="FootnoteReference"/>
                <w:rFonts w:eastAsia="Arial" w:cs="Arial"/>
                <w:b/>
                <w:bCs/>
                <w:sz w:val="20"/>
                <w:szCs w:val="20"/>
              </w:rPr>
              <w:footnoteReference w:id="4"/>
            </w:r>
          </w:p>
        </w:tc>
        <w:tc>
          <w:tcPr>
            <w:tcW w:w="955" w:type="pct"/>
            <w:tcBorders>
              <w:top w:val="single" w:sz="6" w:space="0" w:color="000000" w:themeColor="text1"/>
              <w:left w:val="single" w:sz="4" w:space="0" w:color="auto"/>
              <w:bottom w:val="single" w:sz="6" w:space="0" w:color="000000" w:themeColor="text1"/>
              <w:right w:val="single" w:sz="6" w:space="0" w:color="000000" w:themeColor="text1"/>
            </w:tcBorders>
            <w:shd w:val="clear" w:color="auto" w:fill="DEEAF6" w:themeFill="accent5" w:themeFillTint="33"/>
            <w:vAlign w:val="center"/>
          </w:tcPr>
          <w:p w14:paraId="182D7FC3" w14:textId="77777777" w:rsidR="00716156" w:rsidRPr="00256346" w:rsidRDefault="00716156" w:rsidP="00F020F4">
            <w:pPr>
              <w:jc w:val="center"/>
              <w:rPr>
                <w:rFonts w:eastAsia="Arial" w:cs="Arial"/>
                <w:sz w:val="20"/>
                <w:szCs w:val="20"/>
              </w:rPr>
            </w:pPr>
            <w:r w:rsidRPr="00256346">
              <w:rPr>
                <w:rFonts w:eastAsia="Arial" w:cs="Arial"/>
                <w:b/>
                <w:sz w:val="20"/>
                <w:szCs w:val="20"/>
              </w:rPr>
              <w:t>Baseline reported in 2024 (cumulative achieved)</w:t>
            </w:r>
          </w:p>
        </w:tc>
        <w:tc>
          <w:tcPr>
            <w:tcW w:w="7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248B12B0" w14:textId="77777777" w:rsidR="00716156" w:rsidRPr="00F90A5C" w:rsidRDefault="00716156" w:rsidP="00F020F4">
            <w:pPr>
              <w:jc w:val="center"/>
              <w:rPr>
                <w:rFonts w:eastAsia="Arial" w:cs="Arial"/>
                <w:b/>
                <w:bCs/>
                <w:sz w:val="20"/>
                <w:szCs w:val="20"/>
              </w:rPr>
            </w:pPr>
            <w:r w:rsidRPr="00256346">
              <w:rPr>
                <w:rFonts w:eastAsia="Arial" w:cs="Arial"/>
                <w:b/>
                <w:bCs/>
                <w:sz w:val="20"/>
                <w:szCs w:val="20"/>
              </w:rPr>
              <w:t>2025 milestone (cumulative achieved)</w:t>
            </w:r>
          </w:p>
        </w:tc>
        <w:tc>
          <w:tcPr>
            <w:tcW w:w="7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tcPr>
          <w:p w14:paraId="0658C248" w14:textId="77777777" w:rsidR="00716156" w:rsidRPr="00256346" w:rsidRDefault="00716156" w:rsidP="00F020F4">
            <w:pPr>
              <w:jc w:val="center"/>
              <w:rPr>
                <w:rFonts w:eastAsia="Arial" w:cs="Arial"/>
                <w:b/>
                <w:sz w:val="20"/>
                <w:szCs w:val="20"/>
              </w:rPr>
            </w:pPr>
            <w:r w:rsidRPr="00256346">
              <w:rPr>
                <w:rFonts w:eastAsia="Arial" w:cs="Arial"/>
                <w:b/>
                <w:sz w:val="20"/>
                <w:szCs w:val="20"/>
              </w:rPr>
              <w:t xml:space="preserve">2025 </w:t>
            </w:r>
            <w:r>
              <w:rPr>
                <w:rFonts w:eastAsia="Arial" w:cs="Arial"/>
                <w:b/>
                <w:bCs/>
                <w:sz w:val="20"/>
                <w:szCs w:val="20"/>
              </w:rPr>
              <w:t xml:space="preserve">actual </w:t>
            </w:r>
            <w:r w:rsidRPr="00256346">
              <w:rPr>
                <w:rFonts w:eastAsia="Arial" w:cs="Arial"/>
                <w:b/>
                <w:sz w:val="20"/>
                <w:szCs w:val="20"/>
              </w:rPr>
              <w:t>(cumulative achieved)</w:t>
            </w:r>
          </w:p>
          <w:p w14:paraId="1621FD8E" w14:textId="77777777" w:rsidR="00716156" w:rsidRPr="00256346" w:rsidRDefault="00716156" w:rsidP="00F020F4">
            <w:pPr>
              <w:rPr>
                <w:rFonts w:eastAsia="Arial" w:cs="Arial"/>
                <w:sz w:val="20"/>
                <w:szCs w:val="20"/>
              </w:rPr>
            </w:pPr>
          </w:p>
        </w:tc>
        <w:tc>
          <w:tcPr>
            <w:tcW w:w="214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tcPr>
          <w:p w14:paraId="3108E94F" w14:textId="77777777" w:rsidR="00716156" w:rsidRPr="00256346" w:rsidRDefault="00716156" w:rsidP="00F020F4">
            <w:pPr>
              <w:jc w:val="center"/>
              <w:rPr>
                <w:rFonts w:eastAsia="Arial" w:cs="Arial"/>
                <w:sz w:val="20"/>
                <w:szCs w:val="20"/>
              </w:rPr>
            </w:pPr>
            <w:r w:rsidRPr="00256346">
              <w:rPr>
                <w:rFonts w:eastAsia="Arial" w:cs="Arial"/>
                <w:b/>
                <w:sz w:val="20"/>
                <w:szCs w:val="20"/>
              </w:rPr>
              <w:t xml:space="preserve">Expected lifetime </w:t>
            </w:r>
          </w:p>
        </w:tc>
      </w:tr>
      <w:tr w:rsidR="00716156" w14:paraId="1653D398" w14:textId="77777777" w:rsidTr="008E65B7">
        <w:trPr>
          <w:trHeight w:val="300"/>
        </w:trPr>
        <w:tc>
          <w:tcPr>
            <w:tcW w:w="139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56061C9" w14:textId="77777777" w:rsidR="00716156" w:rsidRPr="00F90A5C" w:rsidRDefault="00716156" w:rsidP="00F020F4">
            <w:pPr>
              <w:rPr>
                <w:rFonts w:eastAsia="Arial" w:cs="Arial"/>
                <w:sz w:val="20"/>
                <w:szCs w:val="20"/>
              </w:rPr>
            </w:pPr>
          </w:p>
        </w:tc>
        <w:tc>
          <w:tcPr>
            <w:tcW w:w="3606"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5D941E1B" w14:textId="77777777" w:rsidR="00716156" w:rsidRPr="00256346" w:rsidRDefault="00716156" w:rsidP="00F020F4">
            <w:pPr>
              <w:rPr>
                <w:rFonts w:eastAsia="Arial" w:cs="Arial"/>
                <w:sz w:val="20"/>
                <w:szCs w:val="20"/>
              </w:rPr>
            </w:pPr>
            <w:r w:rsidRPr="00256346">
              <w:rPr>
                <w:rFonts w:eastAsia="Arial" w:cs="Arial"/>
                <w:sz w:val="20"/>
                <w:szCs w:val="20"/>
              </w:rPr>
              <w:t xml:space="preserve">Indicator: GHG emissions reduced or avoided (MtC02e) </w:t>
            </w:r>
          </w:p>
        </w:tc>
      </w:tr>
      <w:tr w:rsidR="00B4341F" w14:paraId="7B4E5BD3" w14:textId="77777777" w:rsidTr="008E65B7">
        <w:trPr>
          <w:trHeight w:val="300"/>
        </w:trPr>
        <w:tc>
          <w:tcPr>
            <w:tcW w:w="438"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E92345" w14:textId="77777777" w:rsidR="00716156" w:rsidRPr="00256346" w:rsidRDefault="00716156" w:rsidP="00F020F4">
            <w:pPr>
              <w:jc w:val="center"/>
              <w:rPr>
                <w:rFonts w:eastAsia="Arial" w:cs="Arial"/>
                <w:sz w:val="20"/>
                <w:szCs w:val="20"/>
              </w:rPr>
            </w:pPr>
            <w:r w:rsidRPr="00256346">
              <w:rPr>
                <w:rFonts w:eastAsia="Arial" w:cs="Arial"/>
                <w:b/>
                <w:sz w:val="20"/>
                <w:szCs w:val="20"/>
              </w:rPr>
              <w:t>CTF</w:t>
            </w:r>
          </w:p>
        </w:tc>
        <w:tc>
          <w:tcPr>
            <w:tcW w:w="955" w:type="pct"/>
            <w:tcBorders>
              <w:top w:val="nil"/>
              <w:left w:val="single" w:sz="6" w:space="0" w:color="000000" w:themeColor="text1"/>
              <w:bottom w:val="single" w:sz="4" w:space="0" w:color="auto"/>
              <w:right w:val="single" w:sz="6" w:space="0" w:color="000000" w:themeColor="text1"/>
            </w:tcBorders>
            <w:vAlign w:val="center"/>
          </w:tcPr>
          <w:p w14:paraId="12FAD8A0" w14:textId="77777777" w:rsidR="00716156" w:rsidRPr="00256346" w:rsidRDefault="00716156" w:rsidP="00F020F4">
            <w:pPr>
              <w:jc w:val="right"/>
              <w:rPr>
                <w:rFonts w:eastAsia="Arial" w:cs="Arial"/>
                <w:sz w:val="20"/>
                <w:szCs w:val="20"/>
              </w:rPr>
            </w:pPr>
            <w:r w:rsidRPr="00256346">
              <w:rPr>
                <w:rFonts w:eastAsia="Arial" w:cs="Arial"/>
                <w:sz w:val="20"/>
                <w:szCs w:val="20"/>
              </w:rPr>
              <w:t xml:space="preserve">15.68 </w:t>
            </w:r>
          </w:p>
        </w:tc>
        <w:tc>
          <w:tcPr>
            <w:tcW w:w="729" w:type="pct"/>
            <w:tcBorders>
              <w:top w:val="nil"/>
              <w:left w:val="single" w:sz="6" w:space="0" w:color="000000" w:themeColor="text1"/>
              <w:bottom w:val="single" w:sz="4" w:space="0" w:color="auto"/>
              <w:right w:val="single" w:sz="6" w:space="0" w:color="000000" w:themeColor="text1"/>
            </w:tcBorders>
          </w:tcPr>
          <w:p w14:paraId="3C551B56" w14:textId="77777777" w:rsidR="00716156" w:rsidRDefault="00716156" w:rsidP="00F020F4">
            <w:pPr>
              <w:jc w:val="right"/>
              <w:rPr>
                <w:rFonts w:eastAsia="Arial" w:cs="Arial"/>
                <w:sz w:val="20"/>
                <w:szCs w:val="20"/>
              </w:rPr>
            </w:pPr>
            <w:r>
              <w:rPr>
                <w:rFonts w:eastAsia="Arial" w:cs="Arial"/>
                <w:sz w:val="20"/>
                <w:szCs w:val="20"/>
              </w:rPr>
              <w:t>18.1</w:t>
            </w:r>
          </w:p>
        </w:tc>
        <w:tc>
          <w:tcPr>
            <w:tcW w:w="729" w:type="pct"/>
            <w:tcBorders>
              <w:top w:val="nil"/>
              <w:left w:val="single" w:sz="6" w:space="0" w:color="000000" w:themeColor="text1"/>
              <w:bottom w:val="single" w:sz="4" w:space="0" w:color="auto"/>
              <w:right w:val="single" w:sz="6" w:space="0" w:color="000000" w:themeColor="text1"/>
            </w:tcBorders>
            <w:vAlign w:val="center"/>
          </w:tcPr>
          <w:p w14:paraId="28068856" w14:textId="77777777" w:rsidR="00716156" w:rsidRPr="00256346" w:rsidRDefault="00716156" w:rsidP="00F020F4">
            <w:pPr>
              <w:jc w:val="right"/>
              <w:rPr>
                <w:rFonts w:eastAsia="Arial" w:cs="Arial"/>
                <w:sz w:val="20"/>
                <w:szCs w:val="20"/>
              </w:rPr>
            </w:pPr>
            <w:r w:rsidRPr="00256346">
              <w:rPr>
                <w:rFonts w:eastAsia="Arial" w:cs="Arial"/>
                <w:sz w:val="20"/>
                <w:szCs w:val="20"/>
              </w:rPr>
              <w:t>18.6</w:t>
            </w:r>
          </w:p>
        </w:tc>
        <w:tc>
          <w:tcPr>
            <w:tcW w:w="2149" w:type="pct"/>
            <w:tcBorders>
              <w:top w:val="nil"/>
              <w:left w:val="single" w:sz="6" w:space="0" w:color="000000" w:themeColor="text1"/>
              <w:bottom w:val="single" w:sz="6" w:space="0" w:color="000000" w:themeColor="text1"/>
              <w:right w:val="single" w:sz="6" w:space="0" w:color="000000" w:themeColor="text1"/>
            </w:tcBorders>
            <w:vAlign w:val="center"/>
          </w:tcPr>
          <w:p w14:paraId="1DA919C5" w14:textId="77777777" w:rsidR="00716156" w:rsidRPr="00256346" w:rsidRDefault="00716156" w:rsidP="00F020F4">
            <w:pPr>
              <w:jc w:val="right"/>
              <w:rPr>
                <w:rFonts w:eastAsia="Arial" w:cs="Arial"/>
                <w:color w:val="000000" w:themeColor="text1"/>
                <w:sz w:val="20"/>
                <w:szCs w:val="20"/>
              </w:rPr>
            </w:pPr>
            <w:r w:rsidRPr="00256346">
              <w:rPr>
                <w:rFonts w:eastAsia="Arial" w:cs="Arial"/>
                <w:color w:val="000000" w:themeColor="text1"/>
                <w:sz w:val="20"/>
                <w:szCs w:val="20"/>
              </w:rPr>
              <w:t>161.51</w:t>
            </w:r>
          </w:p>
        </w:tc>
      </w:tr>
      <w:tr w:rsidR="00B4341F" w14:paraId="29C4627B" w14:textId="77777777" w:rsidTr="008E65B7">
        <w:trPr>
          <w:trHeight w:val="414"/>
        </w:trPr>
        <w:tc>
          <w:tcPr>
            <w:tcW w:w="438"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25B5E0" w14:textId="77777777" w:rsidR="00716156" w:rsidRPr="00256346" w:rsidRDefault="00716156" w:rsidP="00F020F4">
            <w:pPr>
              <w:jc w:val="center"/>
              <w:rPr>
                <w:rFonts w:eastAsia="Arial" w:cs="Arial"/>
                <w:sz w:val="20"/>
                <w:szCs w:val="20"/>
              </w:rPr>
            </w:pPr>
            <w:r w:rsidRPr="00256346">
              <w:rPr>
                <w:rFonts w:eastAsia="Arial" w:cs="Arial"/>
                <w:b/>
                <w:sz w:val="20"/>
                <w:szCs w:val="20"/>
              </w:rPr>
              <w:t>SREP</w:t>
            </w:r>
          </w:p>
        </w:tc>
        <w:tc>
          <w:tcPr>
            <w:tcW w:w="955" w:type="pct"/>
            <w:tcBorders>
              <w:top w:val="single" w:sz="4" w:space="0" w:color="auto"/>
              <w:left w:val="single" w:sz="6" w:space="0" w:color="000000" w:themeColor="text1"/>
              <w:bottom w:val="single" w:sz="4" w:space="0" w:color="auto"/>
              <w:right w:val="single" w:sz="6" w:space="0" w:color="000000" w:themeColor="text1"/>
            </w:tcBorders>
            <w:vAlign w:val="center"/>
          </w:tcPr>
          <w:p w14:paraId="29BF0E8B" w14:textId="77777777" w:rsidR="00716156" w:rsidRPr="00256346" w:rsidRDefault="00716156" w:rsidP="00F020F4">
            <w:pPr>
              <w:jc w:val="right"/>
              <w:rPr>
                <w:rFonts w:eastAsia="Arial" w:cs="Arial"/>
                <w:sz w:val="20"/>
                <w:szCs w:val="20"/>
              </w:rPr>
            </w:pPr>
            <w:r w:rsidRPr="00256346">
              <w:rPr>
                <w:rFonts w:eastAsia="Arial" w:cs="Arial"/>
                <w:sz w:val="20"/>
                <w:szCs w:val="20"/>
              </w:rPr>
              <w:t xml:space="preserve">0.19 </w:t>
            </w:r>
          </w:p>
        </w:tc>
        <w:tc>
          <w:tcPr>
            <w:tcW w:w="729" w:type="pct"/>
            <w:tcBorders>
              <w:top w:val="single" w:sz="4" w:space="0" w:color="auto"/>
              <w:left w:val="single" w:sz="6" w:space="0" w:color="000000" w:themeColor="text1"/>
              <w:bottom w:val="single" w:sz="6" w:space="0" w:color="000000" w:themeColor="text1"/>
              <w:right w:val="single" w:sz="6" w:space="0" w:color="000000" w:themeColor="text1"/>
            </w:tcBorders>
          </w:tcPr>
          <w:p w14:paraId="219DBEDE" w14:textId="77777777" w:rsidR="00716156" w:rsidRDefault="00716156" w:rsidP="00F020F4">
            <w:pPr>
              <w:jc w:val="right"/>
              <w:rPr>
                <w:rFonts w:eastAsia="Arial" w:cs="Arial"/>
                <w:sz w:val="20"/>
                <w:szCs w:val="20"/>
              </w:rPr>
            </w:pPr>
            <w:r>
              <w:rPr>
                <w:rFonts w:eastAsia="Arial" w:cs="Arial"/>
                <w:sz w:val="20"/>
                <w:szCs w:val="20"/>
              </w:rPr>
              <w:t>0.24</w:t>
            </w:r>
          </w:p>
        </w:tc>
        <w:tc>
          <w:tcPr>
            <w:tcW w:w="729" w:type="pct"/>
            <w:tcBorders>
              <w:top w:val="single" w:sz="4" w:space="0" w:color="auto"/>
              <w:left w:val="single" w:sz="6" w:space="0" w:color="000000" w:themeColor="text1"/>
              <w:bottom w:val="single" w:sz="6" w:space="0" w:color="000000" w:themeColor="text1"/>
              <w:right w:val="single" w:sz="6" w:space="0" w:color="000000" w:themeColor="text1"/>
            </w:tcBorders>
            <w:vAlign w:val="center"/>
          </w:tcPr>
          <w:p w14:paraId="3BB0125B" w14:textId="77777777" w:rsidR="00716156" w:rsidRPr="00256346" w:rsidRDefault="00716156" w:rsidP="00F020F4">
            <w:pPr>
              <w:jc w:val="right"/>
              <w:rPr>
                <w:rFonts w:eastAsia="Arial" w:cs="Arial"/>
                <w:sz w:val="20"/>
                <w:szCs w:val="20"/>
              </w:rPr>
            </w:pPr>
            <w:r w:rsidRPr="00256346">
              <w:rPr>
                <w:rFonts w:eastAsia="Arial" w:cs="Arial"/>
                <w:sz w:val="20"/>
                <w:szCs w:val="20"/>
              </w:rPr>
              <w:t>0.26</w:t>
            </w:r>
          </w:p>
        </w:tc>
        <w:tc>
          <w:tcPr>
            <w:tcW w:w="21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BD0060" w14:textId="77777777" w:rsidR="00716156" w:rsidRPr="00256346" w:rsidRDefault="00716156" w:rsidP="00F020F4">
            <w:pPr>
              <w:jc w:val="right"/>
              <w:rPr>
                <w:rFonts w:eastAsia="Arial" w:cs="Arial"/>
                <w:color w:val="000000" w:themeColor="text1"/>
                <w:sz w:val="20"/>
                <w:szCs w:val="20"/>
              </w:rPr>
            </w:pPr>
            <w:r w:rsidRPr="00256346">
              <w:rPr>
                <w:rFonts w:eastAsia="Arial" w:cs="Arial"/>
                <w:color w:val="000000" w:themeColor="text1"/>
                <w:sz w:val="20"/>
                <w:szCs w:val="20"/>
              </w:rPr>
              <w:t>23.43</w:t>
            </w:r>
          </w:p>
        </w:tc>
      </w:tr>
      <w:tr w:rsidR="00B4341F" w14:paraId="1E84582C" w14:textId="77777777" w:rsidTr="008E65B7">
        <w:trPr>
          <w:trHeight w:val="323"/>
        </w:trPr>
        <w:tc>
          <w:tcPr>
            <w:tcW w:w="438" w:type="pct"/>
            <w:gridSpan w:val="2"/>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6E02C90B" w14:textId="77777777" w:rsidR="00716156" w:rsidRPr="00256346" w:rsidRDefault="00716156" w:rsidP="00F020F4">
            <w:pPr>
              <w:jc w:val="center"/>
              <w:rPr>
                <w:rFonts w:eastAsia="Arial" w:cs="Arial"/>
                <w:b/>
                <w:sz w:val="20"/>
                <w:szCs w:val="20"/>
              </w:rPr>
            </w:pPr>
            <w:r w:rsidRPr="00256346">
              <w:rPr>
                <w:rFonts w:eastAsia="Arial" w:cs="Arial"/>
                <w:b/>
                <w:sz w:val="20"/>
                <w:szCs w:val="20"/>
              </w:rPr>
              <w:t>FIP</w:t>
            </w:r>
          </w:p>
        </w:tc>
        <w:tc>
          <w:tcPr>
            <w:tcW w:w="955" w:type="pct"/>
            <w:tcBorders>
              <w:top w:val="single" w:sz="4" w:space="0" w:color="auto"/>
              <w:left w:val="single" w:sz="6" w:space="0" w:color="000000" w:themeColor="text1"/>
              <w:bottom w:val="single" w:sz="4" w:space="0" w:color="auto"/>
              <w:right w:val="single" w:sz="6" w:space="0" w:color="000000" w:themeColor="text1"/>
            </w:tcBorders>
            <w:vAlign w:val="center"/>
          </w:tcPr>
          <w:p w14:paraId="7BE7AC52" w14:textId="77777777" w:rsidR="00716156" w:rsidRPr="00256346" w:rsidDel="001B3287" w:rsidRDefault="00716156" w:rsidP="00F020F4">
            <w:pPr>
              <w:jc w:val="right"/>
              <w:rPr>
                <w:rFonts w:eastAsia="Arial" w:cs="Arial"/>
                <w:sz w:val="20"/>
                <w:szCs w:val="20"/>
              </w:rPr>
            </w:pPr>
            <w:r w:rsidRPr="00256346">
              <w:rPr>
                <w:rFonts w:eastAsia="Arial" w:cs="Arial"/>
                <w:sz w:val="20"/>
                <w:szCs w:val="20"/>
              </w:rPr>
              <w:t xml:space="preserve">3.83 </w:t>
            </w:r>
          </w:p>
        </w:tc>
        <w:tc>
          <w:tcPr>
            <w:tcW w:w="729" w:type="pct"/>
            <w:tcBorders>
              <w:top w:val="single" w:sz="6" w:space="0" w:color="000000" w:themeColor="text1"/>
              <w:left w:val="single" w:sz="6" w:space="0" w:color="000000" w:themeColor="text1"/>
              <w:bottom w:val="single" w:sz="4" w:space="0" w:color="auto"/>
              <w:right w:val="single" w:sz="6" w:space="0" w:color="000000" w:themeColor="text1"/>
            </w:tcBorders>
          </w:tcPr>
          <w:p w14:paraId="01CAB36A" w14:textId="77777777" w:rsidR="00716156" w:rsidRDefault="00716156" w:rsidP="00F020F4">
            <w:pPr>
              <w:jc w:val="right"/>
              <w:rPr>
                <w:rFonts w:eastAsia="Arial" w:cs="Arial"/>
                <w:sz w:val="20"/>
                <w:szCs w:val="20"/>
              </w:rPr>
            </w:pPr>
            <w:r>
              <w:rPr>
                <w:rFonts w:eastAsia="Arial" w:cs="Arial"/>
                <w:sz w:val="20"/>
                <w:szCs w:val="20"/>
              </w:rPr>
              <w:t>3.9</w:t>
            </w:r>
          </w:p>
        </w:tc>
        <w:tc>
          <w:tcPr>
            <w:tcW w:w="729" w:type="pct"/>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58519318" w14:textId="77777777" w:rsidR="00716156" w:rsidRPr="00256346" w:rsidDel="00845752" w:rsidRDefault="00716156" w:rsidP="00F020F4">
            <w:pPr>
              <w:jc w:val="right"/>
              <w:rPr>
                <w:rFonts w:eastAsia="Arial" w:cs="Arial"/>
                <w:sz w:val="20"/>
                <w:szCs w:val="20"/>
              </w:rPr>
            </w:pPr>
            <w:r w:rsidRPr="00256346">
              <w:rPr>
                <w:rFonts w:eastAsia="Arial" w:cs="Arial"/>
                <w:sz w:val="20"/>
                <w:szCs w:val="20"/>
              </w:rPr>
              <w:t>6.18</w:t>
            </w:r>
          </w:p>
        </w:tc>
        <w:tc>
          <w:tcPr>
            <w:tcW w:w="2149" w:type="pct"/>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4C84D24B" w14:textId="77777777" w:rsidR="00716156" w:rsidRPr="00256346" w:rsidDel="00845752" w:rsidRDefault="00716156" w:rsidP="00F020F4">
            <w:pPr>
              <w:jc w:val="right"/>
              <w:rPr>
                <w:rFonts w:eastAsia="Arial" w:cs="Arial"/>
                <w:color w:val="000000" w:themeColor="text1"/>
                <w:sz w:val="20"/>
                <w:szCs w:val="20"/>
              </w:rPr>
            </w:pPr>
            <w:r w:rsidRPr="00256346">
              <w:rPr>
                <w:rFonts w:eastAsia="Arial" w:cs="Arial"/>
                <w:color w:val="000000" w:themeColor="text1"/>
                <w:sz w:val="20"/>
                <w:szCs w:val="20"/>
              </w:rPr>
              <w:t>21.70</w:t>
            </w:r>
          </w:p>
        </w:tc>
      </w:tr>
      <w:tr w:rsidR="00B4341F" w14:paraId="776B1116" w14:textId="77777777" w:rsidTr="008E65B7">
        <w:trPr>
          <w:trHeight w:val="323"/>
        </w:trPr>
        <w:tc>
          <w:tcPr>
            <w:tcW w:w="438" w:type="pct"/>
            <w:gridSpan w:val="2"/>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56374A0E" w14:textId="77777777" w:rsidR="00716156" w:rsidRPr="00256346" w:rsidRDefault="00716156" w:rsidP="00F020F4">
            <w:pPr>
              <w:jc w:val="center"/>
              <w:rPr>
                <w:rFonts w:eastAsia="Arial" w:cs="Arial"/>
                <w:b/>
                <w:sz w:val="20"/>
                <w:szCs w:val="20"/>
              </w:rPr>
            </w:pPr>
            <w:r w:rsidRPr="00256346">
              <w:rPr>
                <w:rFonts w:eastAsia="Arial" w:cs="Arial"/>
                <w:b/>
                <w:sz w:val="20"/>
                <w:szCs w:val="20"/>
              </w:rPr>
              <w:t>GESP</w:t>
            </w:r>
          </w:p>
        </w:tc>
        <w:tc>
          <w:tcPr>
            <w:tcW w:w="955" w:type="pct"/>
            <w:tcBorders>
              <w:top w:val="single" w:sz="4" w:space="0" w:color="auto"/>
              <w:left w:val="single" w:sz="6" w:space="0" w:color="000000" w:themeColor="text1"/>
              <w:bottom w:val="single" w:sz="4" w:space="0" w:color="auto"/>
              <w:right w:val="single" w:sz="6" w:space="0" w:color="000000" w:themeColor="text1"/>
            </w:tcBorders>
            <w:vAlign w:val="center"/>
          </w:tcPr>
          <w:p w14:paraId="2220CC29" w14:textId="77777777" w:rsidR="00716156" w:rsidRPr="00256346" w:rsidDel="00A85BE9" w:rsidRDefault="00716156" w:rsidP="00F020F4">
            <w:pPr>
              <w:jc w:val="right"/>
              <w:rPr>
                <w:rFonts w:eastAsia="Arial" w:cs="Arial"/>
                <w:sz w:val="20"/>
                <w:szCs w:val="20"/>
              </w:rPr>
            </w:pPr>
            <w:r>
              <w:rPr>
                <w:rFonts w:eastAsia="Arial" w:cs="Arial"/>
                <w:sz w:val="20"/>
                <w:szCs w:val="20"/>
              </w:rPr>
              <w:t>-</w:t>
            </w:r>
          </w:p>
        </w:tc>
        <w:tc>
          <w:tcPr>
            <w:tcW w:w="729" w:type="pct"/>
            <w:tcBorders>
              <w:top w:val="single" w:sz="6" w:space="0" w:color="000000" w:themeColor="text1"/>
              <w:left w:val="single" w:sz="6" w:space="0" w:color="000000" w:themeColor="text1"/>
              <w:bottom w:val="single" w:sz="4" w:space="0" w:color="auto"/>
              <w:right w:val="single" w:sz="6" w:space="0" w:color="000000" w:themeColor="text1"/>
            </w:tcBorders>
          </w:tcPr>
          <w:p w14:paraId="5F4508E6" w14:textId="77777777" w:rsidR="00716156" w:rsidRDefault="00716156" w:rsidP="00F020F4">
            <w:pPr>
              <w:pStyle w:val="ListParagraph"/>
              <w:spacing w:after="0"/>
              <w:jc w:val="right"/>
              <w:rPr>
                <w:rFonts w:eastAsia="Arial" w:cs="Arial"/>
                <w:sz w:val="20"/>
              </w:rPr>
            </w:pPr>
            <w:r>
              <w:rPr>
                <w:rFonts w:eastAsia="Arial" w:cs="Arial"/>
                <w:sz w:val="20"/>
              </w:rPr>
              <w:t>NR</w:t>
            </w:r>
          </w:p>
        </w:tc>
        <w:tc>
          <w:tcPr>
            <w:tcW w:w="729" w:type="pct"/>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76734EBF" w14:textId="77777777" w:rsidR="00716156" w:rsidRPr="00256346" w:rsidDel="00845752" w:rsidRDefault="00716156" w:rsidP="00F020F4">
            <w:pPr>
              <w:pStyle w:val="ListParagraph"/>
              <w:jc w:val="right"/>
              <w:rPr>
                <w:rFonts w:eastAsia="Arial" w:cs="Arial"/>
                <w:sz w:val="20"/>
              </w:rPr>
            </w:pPr>
            <w:r>
              <w:rPr>
                <w:rFonts w:eastAsia="Arial" w:cs="Arial"/>
                <w:sz w:val="20"/>
              </w:rPr>
              <w:t>-</w:t>
            </w:r>
          </w:p>
        </w:tc>
        <w:tc>
          <w:tcPr>
            <w:tcW w:w="2149" w:type="pct"/>
            <w:tcBorders>
              <w:top w:val="single" w:sz="6" w:space="0" w:color="000000" w:themeColor="text1"/>
              <w:left w:val="single" w:sz="6" w:space="0" w:color="000000" w:themeColor="text1"/>
              <w:bottom w:val="single" w:sz="4" w:space="0" w:color="auto"/>
              <w:right w:val="single" w:sz="6" w:space="0" w:color="000000" w:themeColor="text1"/>
            </w:tcBorders>
            <w:vAlign w:val="center"/>
          </w:tcPr>
          <w:p w14:paraId="40A0E481" w14:textId="77777777" w:rsidR="00716156" w:rsidRPr="00256346" w:rsidRDefault="00716156" w:rsidP="00F020F4">
            <w:pPr>
              <w:jc w:val="right"/>
              <w:rPr>
                <w:rFonts w:eastAsia="Arial" w:cs="Arial"/>
                <w:color w:val="000000" w:themeColor="text1"/>
                <w:sz w:val="20"/>
                <w:szCs w:val="20"/>
              </w:rPr>
            </w:pPr>
            <w:r w:rsidRPr="00256346">
              <w:rPr>
                <w:rFonts w:eastAsia="Arial" w:cs="Arial"/>
                <w:color w:val="000000" w:themeColor="text1"/>
                <w:sz w:val="20"/>
                <w:szCs w:val="20"/>
              </w:rPr>
              <w:t>17.53</w:t>
            </w:r>
          </w:p>
        </w:tc>
      </w:tr>
      <w:tr w:rsidR="00716156" w14:paraId="68FECFC9" w14:textId="77777777" w:rsidTr="008E65B7">
        <w:trPr>
          <w:trHeight w:val="300"/>
        </w:trPr>
        <w:tc>
          <w:tcPr>
            <w:tcW w:w="139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B6C3B" w14:textId="77777777" w:rsidR="00716156" w:rsidRPr="00F90A5C" w:rsidRDefault="00716156" w:rsidP="00F020F4">
            <w:pPr>
              <w:rPr>
                <w:rFonts w:eastAsia="Arial" w:cs="Arial"/>
                <w:color w:val="000000" w:themeColor="text1"/>
                <w:sz w:val="20"/>
                <w:szCs w:val="20"/>
              </w:rPr>
            </w:pPr>
          </w:p>
        </w:tc>
        <w:tc>
          <w:tcPr>
            <w:tcW w:w="360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3FB5C" w14:textId="77777777" w:rsidR="00716156" w:rsidRPr="00256346" w:rsidRDefault="00716156" w:rsidP="00F020F4">
            <w:pPr>
              <w:rPr>
                <w:rFonts w:eastAsia="Arial" w:cs="Arial"/>
                <w:sz w:val="20"/>
                <w:szCs w:val="20"/>
              </w:rPr>
            </w:pPr>
            <w:r w:rsidRPr="00256346">
              <w:rPr>
                <w:rFonts w:eastAsia="Arial" w:cs="Arial"/>
                <w:color w:val="000000" w:themeColor="text1"/>
                <w:sz w:val="20"/>
                <w:szCs w:val="20"/>
              </w:rPr>
              <w:t>Indicator: Clean Energy Installation (MW) </w:t>
            </w:r>
          </w:p>
        </w:tc>
      </w:tr>
      <w:tr w:rsidR="00BC7587" w14:paraId="3AB3FB6F" w14:textId="77777777" w:rsidTr="008E65B7">
        <w:trPr>
          <w:trHeight w:val="369"/>
        </w:trPr>
        <w:tc>
          <w:tcPr>
            <w:tcW w:w="413" w:type="pct"/>
            <w:tcBorders>
              <w:top w:val="single" w:sz="6" w:space="0" w:color="000000" w:themeColor="text1"/>
              <w:left w:val="single" w:sz="6" w:space="0" w:color="000000" w:themeColor="text1"/>
              <w:right w:val="single" w:sz="4" w:space="0" w:color="auto"/>
            </w:tcBorders>
            <w:vAlign w:val="center"/>
          </w:tcPr>
          <w:p w14:paraId="12764A48" w14:textId="77777777" w:rsidR="00716156" w:rsidRPr="00256346" w:rsidRDefault="00716156" w:rsidP="00F020F4">
            <w:pPr>
              <w:rPr>
                <w:rFonts w:eastAsia="Arial" w:cs="Arial"/>
                <w:b/>
                <w:color w:val="000000" w:themeColor="text1"/>
                <w:sz w:val="20"/>
                <w:szCs w:val="20"/>
              </w:rPr>
            </w:pPr>
            <w:r w:rsidRPr="00256346">
              <w:rPr>
                <w:rFonts w:eastAsia="Arial" w:cs="Arial"/>
                <w:b/>
                <w:color w:val="000000" w:themeColor="text1"/>
                <w:sz w:val="20"/>
                <w:szCs w:val="20"/>
              </w:rPr>
              <w:t>CTF</w:t>
            </w:r>
          </w:p>
        </w:tc>
        <w:tc>
          <w:tcPr>
            <w:tcW w:w="981" w:type="pct"/>
            <w:gridSpan w:val="2"/>
            <w:tcBorders>
              <w:top w:val="single" w:sz="4" w:space="0" w:color="auto"/>
              <w:left w:val="single" w:sz="4" w:space="0" w:color="auto"/>
              <w:bottom w:val="single" w:sz="4" w:space="0" w:color="auto"/>
              <w:right w:val="single" w:sz="4" w:space="0" w:color="auto"/>
            </w:tcBorders>
            <w:vAlign w:val="center"/>
          </w:tcPr>
          <w:p w14:paraId="5F0C7416" w14:textId="77777777" w:rsidR="00716156" w:rsidRPr="00256346" w:rsidRDefault="00716156" w:rsidP="00F020F4">
            <w:pPr>
              <w:jc w:val="right"/>
              <w:rPr>
                <w:rFonts w:eastAsia="Arial" w:cs="Arial"/>
                <w:color w:val="000000" w:themeColor="text1"/>
                <w:sz w:val="20"/>
                <w:szCs w:val="20"/>
              </w:rPr>
            </w:pPr>
            <w:r w:rsidRPr="00256346">
              <w:rPr>
                <w:rFonts w:eastAsia="Arial" w:cs="Arial"/>
                <w:color w:val="000000" w:themeColor="text1"/>
                <w:sz w:val="20"/>
                <w:szCs w:val="20"/>
              </w:rPr>
              <w:t>907</w:t>
            </w:r>
          </w:p>
        </w:tc>
        <w:tc>
          <w:tcPr>
            <w:tcW w:w="729" w:type="pct"/>
            <w:tcBorders>
              <w:top w:val="single" w:sz="4" w:space="0" w:color="auto"/>
              <w:left w:val="single" w:sz="4" w:space="0" w:color="auto"/>
              <w:bottom w:val="single" w:sz="4" w:space="0" w:color="auto"/>
              <w:right w:val="single" w:sz="4" w:space="0" w:color="auto"/>
            </w:tcBorders>
          </w:tcPr>
          <w:p w14:paraId="7BCE5837" w14:textId="77777777" w:rsidR="00716156" w:rsidRDefault="00716156" w:rsidP="00F020F4">
            <w:pPr>
              <w:jc w:val="right"/>
              <w:rPr>
                <w:rFonts w:eastAsia="Arial" w:cs="Arial"/>
                <w:color w:val="000000" w:themeColor="text1"/>
                <w:sz w:val="20"/>
                <w:szCs w:val="20"/>
              </w:rPr>
            </w:pPr>
            <w:r>
              <w:rPr>
                <w:rFonts w:eastAsia="Arial" w:cs="Arial"/>
                <w:color w:val="000000" w:themeColor="text1"/>
                <w:sz w:val="20"/>
                <w:szCs w:val="20"/>
              </w:rPr>
              <w:t>993</w:t>
            </w:r>
          </w:p>
        </w:tc>
        <w:tc>
          <w:tcPr>
            <w:tcW w:w="729" w:type="pct"/>
            <w:tcBorders>
              <w:top w:val="single" w:sz="4" w:space="0" w:color="auto"/>
              <w:left w:val="single" w:sz="4" w:space="0" w:color="auto"/>
              <w:bottom w:val="single" w:sz="4" w:space="0" w:color="auto"/>
              <w:right w:val="single" w:sz="4" w:space="0" w:color="auto"/>
            </w:tcBorders>
            <w:vAlign w:val="center"/>
          </w:tcPr>
          <w:p w14:paraId="361B2939" w14:textId="77777777" w:rsidR="00716156" w:rsidRPr="00256346" w:rsidRDefault="00716156" w:rsidP="00F020F4">
            <w:pPr>
              <w:jc w:val="right"/>
              <w:rPr>
                <w:rFonts w:eastAsia="Arial" w:cs="Arial"/>
                <w:color w:val="000000" w:themeColor="text1"/>
                <w:sz w:val="20"/>
                <w:szCs w:val="20"/>
              </w:rPr>
            </w:pPr>
            <w:r w:rsidRPr="00256346" w:rsidDel="00037980">
              <w:rPr>
                <w:rFonts w:eastAsia="Arial" w:cs="Arial"/>
                <w:color w:val="000000" w:themeColor="text1"/>
                <w:sz w:val="20"/>
                <w:szCs w:val="20"/>
              </w:rPr>
              <w:t>1,125</w:t>
            </w:r>
          </w:p>
        </w:tc>
        <w:tc>
          <w:tcPr>
            <w:tcW w:w="2149" w:type="pct"/>
            <w:tcBorders>
              <w:top w:val="single" w:sz="4" w:space="0" w:color="auto"/>
              <w:left w:val="single" w:sz="4" w:space="0" w:color="auto"/>
              <w:bottom w:val="single" w:sz="4" w:space="0" w:color="auto"/>
              <w:right w:val="single" w:sz="4" w:space="0" w:color="auto"/>
            </w:tcBorders>
            <w:vAlign w:val="center"/>
          </w:tcPr>
          <w:p w14:paraId="4B093145" w14:textId="77777777" w:rsidR="00716156" w:rsidRPr="00256346" w:rsidRDefault="00716156" w:rsidP="00F020F4">
            <w:pPr>
              <w:jc w:val="right"/>
              <w:rPr>
                <w:rFonts w:eastAsia="Arial" w:cs="Arial"/>
                <w:color w:val="000000" w:themeColor="text1"/>
                <w:sz w:val="20"/>
                <w:szCs w:val="20"/>
              </w:rPr>
            </w:pPr>
            <w:r w:rsidRPr="00256346">
              <w:rPr>
                <w:rFonts w:eastAsia="Arial" w:cs="Arial"/>
                <w:color w:val="000000" w:themeColor="text1"/>
                <w:sz w:val="20"/>
                <w:szCs w:val="20"/>
              </w:rPr>
              <w:t>2,534</w:t>
            </w:r>
          </w:p>
        </w:tc>
      </w:tr>
      <w:tr w:rsidR="00BC7587" w14:paraId="118E8ECF" w14:textId="77777777" w:rsidTr="008E65B7">
        <w:trPr>
          <w:trHeight w:val="369"/>
        </w:trPr>
        <w:tc>
          <w:tcPr>
            <w:tcW w:w="413" w:type="pct"/>
            <w:tcBorders>
              <w:top w:val="single" w:sz="6" w:space="0" w:color="000000" w:themeColor="text1"/>
              <w:left w:val="single" w:sz="6" w:space="0" w:color="000000" w:themeColor="text1"/>
              <w:right w:val="single" w:sz="4" w:space="0" w:color="auto"/>
            </w:tcBorders>
            <w:vAlign w:val="center"/>
          </w:tcPr>
          <w:p w14:paraId="25C1A339" w14:textId="77777777" w:rsidR="00716156" w:rsidRPr="00256346" w:rsidRDefault="00716156" w:rsidP="00F020F4">
            <w:pPr>
              <w:rPr>
                <w:rFonts w:eastAsia="Arial" w:cs="Arial"/>
                <w:b/>
                <w:color w:val="000000" w:themeColor="text1"/>
                <w:sz w:val="20"/>
                <w:szCs w:val="20"/>
              </w:rPr>
            </w:pPr>
            <w:r w:rsidRPr="00256346">
              <w:rPr>
                <w:rFonts w:eastAsia="Arial" w:cs="Arial"/>
                <w:b/>
                <w:color w:val="000000" w:themeColor="text1"/>
                <w:sz w:val="20"/>
                <w:szCs w:val="20"/>
              </w:rPr>
              <w:t>SREP</w:t>
            </w:r>
          </w:p>
        </w:tc>
        <w:tc>
          <w:tcPr>
            <w:tcW w:w="981" w:type="pct"/>
            <w:gridSpan w:val="2"/>
            <w:tcBorders>
              <w:top w:val="single" w:sz="4" w:space="0" w:color="auto"/>
              <w:left w:val="single" w:sz="4" w:space="0" w:color="auto"/>
              <w:bottom w:val="single" w:sz="4" w:space="0" w:color="auto"/>
              <w:right w:val="single" w:sz="4" w:space="0" w:color="auto"/>
            </w:tcBorders>
            <w:vAlign w:val="center"/>
          </w:tcPr>
          <w:p w14:paraId="109F89A4" w14:textId="77777777" w:rsidR="00716156" w:rsidRPr="00256346" w:rsidRDefault="00716156" w:rsidP="00F020F4">
            <w:pPr>
              <w:jc w:val="right"/>
              <w:rPr>
                <w:rFonts w:eastAsia="Arial" w:cs="Arial"/>
                <w:color w:val="000000" w:themeColor="text1"/>
                <w:sz w:val="20"/>
                <w:szCs w:val="20"/>
              </w:rPr>
            </w:pPr>
            <w:r w:rsidRPr="00256346">
              <w:rPr>
                <w:rFonts w:eastAsia="Arial" w:cs="Arial"/>
                <w:color w:val="000000" w:themeColor="text1"/>
                <w:sz w:val="20"/>
                <w:szCs w:val="20"/>
              </w:rPr>
              <w:t>102</w:t>
            </w:r>
          </w:p>
        </w:tc>
        <w:tc>
          <w:tcPr>
            <w:tcW w:w="729" w:type="pct"/>
            <w:tcBorders>
              <w:top w:val="single" w:sz="4" w:space="0" w:color="auto"/>
              <w:left w:val="single" w:sz="4" w:space="0" w:color="auto"/>
              <w:bottom w:val="single" w:sz="4" w:space="0" w:color="auto"/>
              <w:right w:val="single" w:sz="4" w:space="0" w:color="auto"/>
            </w:tcBorders>
          </w:tcPr>
          <w:p w14:paraId="53701A70" w14:textId="77777777" w:rsidR="00716156" w:rsidRDefault="00716156" w:rsidP="00F020F4">
            <w:pPr>
              <w:jc w:val="right"/>
              <w:rPr>
                <w:rFonts w:eastAsia="Arial" w:cs="Arial"/>
                <w:color w:val="000000" w:themeColor="text1"/>
                <w:sz w:val="20"/>
                <w:szCs w:val="20"/>
              </w:rPr>
            </w:pPr>
            <w:r>
              <w:rPr>
                <w:rFonts w:eastAsia="Arial" w:cs="Arial"/>
                <w:color w:val="000000" w:themeColor="text1"/>
                <w:sz w:val="20"/>
                <w:szCs w:val="20"/>
              </w:rPr>
              <w:t>112</w:t>
            </w:r>
          </w:p>
        </w:tc>
        <w:tc>
          <w:tcPr>
            <w:tcW w:w="729" w:type="pct"/>
            <w:tcBorders>
              <w:top w:val="single" w:sz="4" w:space="0" w:color="auto"/>
              <w:left w:val="single" w:sz="4" w:space="0" w:color="auto"/>
              <w:bottom w:val="single" w:sz="4" w:space="0" w:color="auto"/>
              <w:right w:val="single" w:sz="4" w:space="0" w:color="auto"/>
            </w:tcBorders>
            <w:vAlign w:val="center"/>
          </w:tcPr>
          <w:p w14:paraId="0EB32DEE" w14:textId="77777777" w:rsidR="00716156" w:rsidRPr="00256346" w:rsidRDefault="00716156" w:rsidP="00F020F4">
            <w:pPr>
              <w:jc w:val="right"/>
              <w:rPr>
                <w:rFonts w:eastAsia="Arial" w:cs="Arial"/>
                <w:color w:val="000000" w:themeColor="text1"/>
                <w:sz w:val="20"/>
                <w:szCs w:val="20"/>
              </w:rPr>
            </w:pPr>
            <w:r w:rsidRPr="00256346" w:rsidDel="00037980">
              <w:rPr>
                <w:rFonts w:eastAsia="Arial" w:cs="Arial"/>
                <w:color w:val="000000" w:themeColor="text1"/>
                <w:sz w:val="20"/>
                <w:szCs w:val="20"/>
              </w:rPr>
              <w:t>132</w:t>
            </w:r>
          </w:p>
        </w:tc>
        <w:tc>
          <w:tcPr>
            <w:tcW w:w="2149" w:type="pct"/>
            <w:tcBorders>
              <w:top w:val="single" w:sz="4" w:space="0" w:color="auto"/>
              <w:left w:val="single" w:sz="4" w:space="0" w:color="auto"/>
              <w:bottom w:val="single" w:sz="4" w:space="0" w:color="auto"/>
              <w:right w:val="single" w:sz="4" w:space="0" w:color="auto"/>
            </w:tcBorders>
            <w:vAlign w:val="center"/>
          </w:tcPr>
          <w:p w14:paraId="0AF5C4E0" w14:textId="77777777" w:rsidR="00716156" w:rsidRPr="00256346" w:rsidRDefault="00716156" w:rsidP="00F020F4">
            <w:pPr>
              <w:jc w:val="right"/>
              <w:rPr>
                <w:rFonts w:eastAsia="Arial" w:cs="Arial"/>
                <w:color w:val="000000" w:themeColor="text1"/>
                <w:sz w:val="20"/>
                <w:szCs w:val="20"/>
              </w:rPr>
            </w:pPr>
            <w:r w:rsidRPr="00256346">
              <w:rPr>
                <w:rFonts w:eastAsia="Arial" w:cs="Arial"/>
                <w:color w:val="000000" w:themeColor="text1"/>
                <w:sz w:val="20"/>
                <w:szCs w:val="20"/>
              </w:rPr>
              <w:t>353</w:t>
            </w:r>
          </w:p>
        </w:tc>
      </w:tr>
      <w:tr w:rsidR="00BC7587" w14:paraId="73364CAE" w14:textId="77777777" w:rsidTr="008E65B7">
        <w:trPr>
          <w:trHeight w:val="369"/>
        </w:trPr>
        <w:tc>
          <w:tcPr>
            <w:tcW w:w="413" w:type="pct"/>
            <w:tcBorders>
              <w:top w:val="single" w:sz="6" w:space="0" w:color="000000" w:themeColor="text1"/>
              <w:left w:val="single" w:sz="6" w:space="0" w:color="000000" w:themeColor="text1"/>
              <w:right w:val="single" w:sz="4" w:space="0" w:color="auto"/>
            </w:tcBorders>
            <w:vAlign w:val="center"/>
          </w:tcPr>
          <w:p w14:paraId="25094EFA" w14:textId="77777777" w:rsidR="00716156" w:rsidRPr="00256346" w:rsidRDefault="00716156" w:rsidP="00F020F4">
            <w:pPr>
              <w:rPr>
                <w:rFonts w:eastAsia="Arial" w:cs="Arial"/>
                <w:b/>
                <w:color w:val="000000" w:themeColor="text1"/>
                <w:sz w:val="20"/>
                <w:szCs w:val="20"/>
              </w:rPr>
            </w:pPr>
            <w:r w:rsidRPr="00256346">
              <w:rPr>
                <w:rFonts w:eastAsia="Arial" w:cs="Arial"/>
                <w:b/>
                <w:color w:val="000000" w:themeColor="text1"/>
                <w:sz w:val="20"/>
                <w:szCs w:val="20"/>
              </w:rPr>
              <w:t>GESP</w:t>
            </w:r>
          </w:p>
        </w:tc>
        <w:tc>
          <w:tcPr>
            <w:tcW w:w="981" w:type="pct"/>
            <w:gridSpan w:val="2"/>
            <w:tcBorders>
              <w:top w:val="single" w:sz="4" w:space="0" w:color="auto"/>
              <w:left w:val="single" w:sz="4" w:space="0" w:color="auto"/>
              <w:bottom w:val="single" w:sz="4" w:space="0" w:color="auto"/>
              <w:right w:val="single" w:sz="4" w:space="0" w:color="auto"/>
            </w:tcBorders>
            <w:vAlign w:val="center"/>
          </w:tcPr>
          <w:p w14:paraId="71279400" w14:textId="77777777" w:rsidR="00716156" w:rsidRPr="00256346" w:rsidRDefault="00716156" w:rsidP="00F020F4">
            <w:pPr>
              <w:jc w:val="right"/>
              <w:rPr>
                <w:rFonts w:eastAsia="Arial" w:cs="Arial"/>
                <w:color w:val="000000" w:themeColor="text1"/>
                <w:sz w:val="20"/>
                <w:szCs w:val="20"/>
              </w:rPr>
            </w:pPr>
            <w:r w:rsidRPr="00256346">
              <w:rPr>
                <w:rFonts w:eastAsia="Arial" w:cs="Arial"/>
                <w:color w:val="000000" w:themeColor="text1"/>
                <w:sz w:val="20"/>
                <w:szCs w:val="20"/>
              </w:rPr>
              <w:t>-</w:t>
            </w:r>
          </w:p>
        </w:tc>
        <w:tc>
          <w:tcPr>
            <w:tcW w:w="729" w:type="pct"/>
            <w:tcBorders>
              <w:top w:val="single" w:sz="4" w:space="0" w:color="auto"/>
              <w:left w:val="single" w:sz="4" w:space="0" w:color="auto"/>
              <w:bottom w:val="single" w:sz="4" w:space="0" w:color="auto"/>
              <w:right w:val="single" w:sz="4" w:space="0" w:color="auto"/>
            </w:tcBorders>
          </w:tcPr>
          <w:p w14:paraId="1665B345" w14:textId="77777777" w:rsidR="00716156" w:rsidRPr="00C733BD" w:rsidRDefault="00716156" w:rsidP="00F020F4">
            <w:pPr>
              <w:jc w:val="right"/>
              <w:rPr>
                <w:rFonts w:eastAsia="Arial" w:cs="Arial"/>
                <w:color w:val="000000" w:themeColor="text1"/>
                <w:sz w:val="20"/>
                <w:szCs w:val="20"/>
              </w:rPr>
            </w:pPr>
            <w:r w:rsidRPr="00C733BD">
              <w:rPr>
                <w:rFonts w:eastAsia="Arial" w:cs="Arial"/>
                <w:color w:val="000000" w:themeColor="text1"/>
                <w:sz w:val="20"/>
                <w:szCs w:val="20"/>
              </w:rPr>
              <w:t>-</w:t>
            </w:r>
          </w:p>
        </w:tc>
        <w:tc>
          <w:tcPr>
            <w:tcW w:w="729" w:type="pct"/>
            <w:tcBorders>
              <w:top w:val="single" w:sz="4" w:space="0" w:color="auto"/>
              <w:left w:val="single" w:sz="4" w:space="0" w:color="auto"/>
              <w:bottom w:val="single" w:sz="4" w:space="0" w:color="auto"/>
              <w:right w:val="single" w:sz="4" w:space="0" w:color="auto"/>
            </w:tcBorders>
            <w:vAlign w:val="center"/>
          </w:tcPr>
          <w:p w14:paraId="569B2DDD" w14:textId="77777777" w:rsidR="00716156" w:rsidRPr="00256346" w:rsidRDefault="00716156" w:rsidP="00F020F4">
            <w:pPr>
              <w:jc w:val="right"/>
              <w:rPr>
                <w:rFonts w:eastAsia="Arial" w:cs="Arial"/>
                <w:color w:val="000000" w:themeColor="text1"/>
                <w:sz w:val="20"/>
                <w:szCs w:val="20"/>
              </w:rPr>
            </w:pPr>
            <w:r w:rsidRPr="00256346">
              <w:rPr>
                <w:rFonts w:eastAsia="Arial" w:cs="Arial"/>
                <w:color w:val="000000" w:themeColor="text1"/>
                <w:sz w:val="20"/>
                <w:szCs w:val="20"/>
              </w:rPr>
              <w:t>-</w:t>
            </w:r>
          </w:p>
        </w:tc>
        <w:tc>
          <w:tcPr>
            <w:tcW w:w="2149" w:type="pct"/>
            <w:tcBorders>
              <w:top w:val="single" w:sz="4" w:space="0" w:color="auto"/>
              <w:left w:val="single" w:sz="4" w:space="0" w:color="auto"/>
              <w:bottom w:val="single" w:sz="4" w:space="0" w:color="auto"/>
              <w:right w:val="single" w:sz="4" w:space="0" w:color="auto"/>
            </w:tcBorders>
            <w:vAlign w:val="center"/>
          </w:tcPr>
          <w:p w14:paraId="1A3B6249" w14:textId="77777777" w:rsidR="00716156" w:rsidRPr="00256346" w:rsidRDefault="00716156" w:rsidP="00F020F4">
            <w:pPr>
              <w:jc w:val="right"/>
              <w:rPr>
                <w:rFonts w:eastAsia="Arial" w:cs="Arial"/>
                <w:color w:val="000000" w:themeColor="text1"/>
                <w:sz w:val="20"/>
                <w:szCs w:val="20"/>
              </w:rPr>
            </w:pPr>
            <w:r w:rsidRPr="00256346">
              <w:rPr>
                <w:rFonts w:eastAsia="Arial" w:cs="Arial"/>
                <w:color w:val="000000" w:themeColor="text1"/>
                <w:sz w:val="20"/>
                <w:szCs w:val="20"/>
              </w:rPr>
              <w:t>392</w:t>
            </w:r>
          </w:p>
        </w:tc>
      </w:tr>
      <w:tr w:rsidR="00716156" w14:paraId="0A4BD111" w14:textId="77777777" w:rsidTr="008E65B7">
        <w:trPr>
          <w:trHeight w:val="300"/>
        </w:trPr>
        <w:tc>
          <w:tcPr>
            <w:tcW w:w="139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2897F7" w14:textId="77777777" w:rsidR="00716156" w:rsidRPr="00F90A5C" w:rsidRDefault="00716156" w:rsidP="00F020F4">
            <w:pPr>
              <w:rPr>
                <w:rFonts w:eastAsia="Arial" w:cs="Arial"/>
                <w:sz w:val="20"/>
                <w:szCs w:val="20"/>
              </w:rPr>
            </w:pPr>
          </w:p>
        </w:tc>
        <w:tc>
          <w:tcPr>
            <w:tcW w:w="360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5A8FD0" w14:textId="77777777" w:rsidR="00716156" w:rsidRPr="00256346" w:rsidRDefault="00716156" w:rsidP="00F020F4">
            <w:pPr>
              <w:rPr>
                <w:rFonts w:eastAsia="Arial" w:cs="Arial"/>
                <w:sz w:val="20"/>
                <w:szCs w:val="20"/>
              </w:rPr>
            </w:pPr>
            <w:r w:rsidRPr="00256346">
              <w:rPr>
                <w:rFonts w:eastAsia="Arial" w:cs="Arial"/>
                <w:sz w:val="20"/>
                <w:szCs w:val="20"/>
              </w:rPr>
              <w:t>Indicator: Number of people supported to cope with the effects of climate change (millions)</w:t>
            </w:r>
          </w:p>
        </w:tc>
      </w:tr>
      <w:tr w:rsidR="00B4341F" w14:paraId="18780C5C" w14:textId="77777777" w:rsidTr="008E65B7">
        <w:trPr>
          <w:trHeight w:val="300"/>
        </w:trPr>
        <w:tc>
          <w:tcPr>
            <w:tcW w:w="438" w:type="pct"/>
            <w:gridSpan w:val="2"/>
            <w:tcBorders>
              <w:top w:val="single" w:sz="4" w:space="0" w:color="auto"/>
              <w:left w:val="single" w:sz="4" w:space="0" w:color="auto"/>
              <w:bottom w:val="single" w:sz="4" w:space="0" w:color="auto"/>
              <w:right w:val="single" w:sz="4" w:space="0" w:color="auto"/>
            </w:tcBorders>
            <w:vAlign w:val="center"/>
          </w:tcPr>
          <w:p w14:paraId="19A03CFD" w14:textId="77777777" w:rsidR="00716156" w:rsidRPr="00256346" w:rsidRDefault="00716156" w:rsidP="00F020F4">
            <w:pPr>
              <w:jc w:val="center"/>
              <w:rPr>
                <w:rFonts w:eastAsia="Arial" w:cs="Arial"/>
                <w:sz w:val="20"/>
                <w:szCs w:val="20"/>
              </w:rPr>
            </w:pPr>
            <w:r w:rsidRPr="00256346">
              <w:rPr>
                <w:rFonts w:eastAsia="Arial" w:cs="Arial"/>
                <w:b/>
                <w:sz w:val="20"/>
                <w:szCs w:val="20"/>
              </w:rPr>
              <w:t>PPCR</w:t>
            </w:r>
          </w:p>
        </w:tc>
        <w:tc>
          <w:tcPr>
            <w:tcW w:w="955" w:type="pct"/>
            <w:tcBorders>
              <w:top w:val="single" w:sz="4" w:space="0" w:color="auto"/>
              <w:left w:val="single" w:sz="4" w:space="0" w:color="auto"/>
              <w:bottom w:val="single" w:sz="4" w:space="0" w:color="auto"/>
              <w:right w:val="single" w:sz="4" w:space="0" w:color="auto"/>
            </w:tcBorders>
            <w:vAlign w:val="center"/>
          </w:tcPr>
          <w:p w14:paraId="335083A6" w14:textId="77777777" w:rsidR="00716156" w:rsidRPr="00256346" w:rsidRDefault="00716156" w:rsidP="00F020F4">
            <w:pPr>
              <w:jc w:val="right"/>
              <w:rPr>
                <w:rFonts w:eastAsia="Arial" w:cs="Arial"/>
                <w:sz w:val="20"/>
                <w:szCs w:val="20"/>
              </w:rPr>
            </w:pPr>
            <w:r w:rsidRPr="00256346">
              <w:rPr>
                <w:rFonts w:eastAsia="Arial" w:cs="Arial"/>
                <w:sz w:val="20"/>
                <w:szCs w:val="20"/>
              </w:rPr>
              <w:t xml:space="preserve">1.41 </w:t>
            </w:r>
          </w:p>
        </w:tc>
        <w:tc>
          <w:tcPr>
            <w:tcW w:w="729" w:type="pct"/>
            <w:tcBorders>
              <w:top w:val="single" w:sz="4" w:space="0" w:color="auto"/>
              <w:left w:val="single" w:sz="4" w:space="0" w:color="auto"/>
              <w:bottom w:val="single" w:sz="4" w:space="0" w:color="auto"/>
              <w:right w:val="single" w:sz="4" w:space="0" w:color="auto"/>
            </w:tcBorders>
          </w:tcPr>
          <w:p w14:paraId="32D74F4F" w14:textId="77777777" w:rsidR="00716156" w:rsidRDefault="00716156" w:rsidP="00F020F4">
            <w:pPr>
              <w:jc w:val="right"/>
              <w:rPr>
                <w:rFonts w:eastAsia="Arial" w:cs="Arial"/>
                <w:sz w:val="20"/>
                <w:szCs w:val="20"/>
              </w:rPr>
            </w:pPr>
            <w:r>
              <w:rPr>
                <w:rFonts w:eastAsia="Arial" w:cs="Arial"/>
                <w:sz w:val="20"/>
                <w:szCs w:val="20"/>
              </w:rPr>
              <w:t>1.47</w:t>
            </w:r>
          </w:p>
        </w:tc>
        <w:tc>
          <w:tcPr>
            <w:tcW w:w="729" w:type="pct"/>
            <w:tcBorders>
              <w:top w:val="single" w:sz="4" w:space="0" w:color="auto"/>
              <w:left w:val="single" w:sz="4" w:space="0" w:color="auto"/>
              <w:bottom w:val="single" w:sz="4" w:space="0" w:color="auto"/>
              <w:right w:val="single" w:sz="4" w:space="0" w:color="auto"/>
            </w:tcBorders>
            <w:vAlign w:val="center"/>
          </w:tcPr>
          <w:p w14:paraId="090A5D49" w14:textId="7675581C" w:rsidR="00716156" w:rsidRPr="008C1AD5" w:rsidRDefault="00716156" w:rsidP="00F020F4">
            <w:pPr>
              <w:jc w:val="right"/>
              <w:rPr>
                <w:rFonts w:eastAsia="Arial" w:cs="Arial"/>
                <w:sz w:val="20"/>
                <w:szCs w:val="20"/>
              </w:rPr>
            </w:pPr>
            <w:r w:rsidRPr="008C1AD5">
              <w:rPr>
                <w:rFonts w:eastAsia="Arial" w:cs="Arial"/>
                <w:sz w:val="20"/>
                <w:szCs w:val="20"/>
              </w:rPr>
              <w:t>1.5</w:t>
            </w:r>
            <w:r w:rsidR="00420DD4">
              <w:rPr>
                <w:rFonts w:eastAsia="Arial" w:cs="Arial"/>
                <w:sz w:val="20"/>
                <w:szCs w:val="20"/>
              </w:rPr>
              <w:t>4</w:t>
            </w:r>
          </w:p>
        </w:tc>
        <w:tc>
          <w:tcPr>
            <w:tcW w:w="2149" w:type="pct"/>
            <w:tcBorders>
              <w:top w:val="single" w:sz="4" w:space="0" w:color="auto"/>
              <w:left w:val="single" w:sz="4" w:space="0" w:color="auto"/>
              <w:bottom w:val="single" w:sz="4" w:space="0" w:color="auto"/>
              <w:right w:val="single" w:sz="4" w:space="0" w:color="auto"/>
            </w:tcBorders>
            <w:vAlign w:val="center"/>
          </w:tcPr>
          <w:p w14:paraId="6DA9719A" w14:textId="4DDAEA94" w:rsidR="00716156" w:rsidRPr="008C1AD5" w:rsidRDefault="00716156" w:rsidP="00F020F4">
            <w:pPr>
              <w:jc w:val="right"/>
              <w:rPr>
                <w:rFonts w:eastAsia="Arial" w:cs="Arial"/>
                <w:color w:val="000000" w:themeColor="text1"/>
                <w:sz w:val="20"/>
                <w:szCs w:val="20"/>
              </w:rPr>
            </w:pPr>
            <w:r w:rsidRPr="008C1AD5">
              <w:rPr>
                <w:rFonts w:eastAsia="Arial" w:cs="Arial"/>
                <w:color w:val="000000" w:themeColor="text1"/>
                <w:sz w:val="20"/>
                <w:szCs w:val="20"/>
              </w:rPr>
              <w:t>1.</w:t>
            </w:r>
            <w:r w:rsidR="005E4042">
              <w:rPr>
                <w:rFonts w:eastAsia="Arial" w:cs="Arial"/>
                <w:color w:val="000000" w:themeColor="text1"/>
                <w:sz w:val="20"/>
                <w:szCs w:val="20"/>
              </w:rPr>
              <w:t>6</w:t>
            </w:r>
            <w:r w:rsidR="000D6E64">
              <w:rPr>
                <w:rFonts w:eastAsia="Arial" w:cs="Arial"/>
                <w:color w:val="000000" w:themeColor="text1"/>
                <w:sz w:val="20"/>
                <w:szCs w:val="20"/>
              </w:rPr>
              <w:t>7</w:t>
            </w:r>
          </w:p>
        </w:tc>
      </w:tr>
      <w:tr w:rsidR="00B4341F" w14:paraId="646FFB8C" w14:textId="77777777" w:rsidTr="008E65B7">
        <w:trPr>
          <w:trHeight w:val="300"/>
        </w:trPr>
        <w:tc>
          <w:tcPr>
            <w:tcW w:w="438" w:type="pct"/>
            <w:gridSpan w:val="2"/>
            <w:tcBorders>
              <w:top w:val="single" w:sz="4" w:space="0" w:color="auto"/>
              <w:left w:val="single" w:sz="4" w:space="0" w:color="auto"/>
              <w:bottom w:val="single" w:sz="4" w:space="0" w:color="auto"/>
              <w:right w:val="single" w:sz="4" w:space="0" w:color="auto"/>
            </w:tcBorders>
            <w:vAlign w:val="center"/>
          </w:tcPr>
          <w:p w14:paraId="507ED467" w14:textId="77777777" w:rsidR="00716156" w:rsidRPr="00256346" w:rsidRDefault="00716156" w:rsidP="00F020F4">
            <w:pPr>
              <w:jc w:val="center"/>
              <w:rPr>
                <w:rFonts w:eastAsia="Arial" w:cs="Arial"/>
                <w:b/>
                <w:sz w:val="20"/>
                <w:szCs w:val="20"/>
              </w:rPr>
            </w:pPr>
            <w:r w:rsidRPr="00256346">
              <w:rPr>
                <w:rFonts w:eastAsia="Arial" w:cs="Arial"/>
                <w:b/>
                <w:sz w:val="20"/>
                <w:szCs w:val="20"/>
              </w:rPr>
              <w:t>FIP</w:t>
            </w:r>
          </w:p>
        </w:tc>
        <w:tc>
          <w:tcPr>
            <w:tcW w:w="955" w:type="pct"/>
            <w:tcBorders>
              <w:top w:val="single" w:sz="4" w:space="0" w:color="auto"/>
              <w:left w:val="single" w:sz="4" w:space="0" w:color="auto"/>
              <w:bottom w:val="single" w:sz="4" w:space="0" w:color="auto"/>
              <w:right w:val="single" w:sz="4" w:space="0" w:color="auto"/>
            </w:tcBorders>
            <w:vAlign w:val="center"/>
          </w:tcPr>
          <w:p w14:paraId="2CA748FD" w14:textId="77777777" w:rsidR="00716156" w:rsidRPr="00256346" w:rsidRDefault="00716156" w:rsidP="00F020F4">
            <w:pPr>
              <w:jc w:val="right"/>
              <w:rPr>
                <w:rFonts w:eastAsia="Arial" w:cs="Arial"/>
                <w:sz w:val="20"/>
                <w:szCs w:val="20"/>
              </w:rPr>
            </w:pPr>
            <w:r w:rsidRPr="00256346">
              <w:rPr>
                <w:rFonts w:eastAsia="Arial" w:cs="Arial"/>
                <w:sz w:val="20"/>
                <w:szCs w:val="20"/>
              </w:rPr>
              <w:t>0.43</w:t>
            </w:r>
          </w:p>
        </w:tc>
        <w:tc>
          <w:tcPr>
            <w:tcW w:w="729" w:type="pct"/>
            <w:tcBorders>
              <w:top w:val="single" w:sz="4" w:space="0" w:color="auto"/>
              <w:left w:val="single" w:sz="4" w:space="0" w:color="auto"/>
              <w:bottom w:val="single" w:sz="4" w:space="0" w:color="auto"/>
              <w:right w:val="single" w:sz="4" w:space="0" w:color="auto"/>
            </w:tcBorders>
          </w:tcPr>
          <w:p w14:paraId="28A7D606" w14:textId="77777777" w:rsidR="00716156" w:rsidRDefault="00716156" w:rsidP="00F020F4">
            <w:pPr>
              <w:jc w:val="right"/>
              <w:rPr>
                <w:rFonts w:eastAsia="Arial" w:cs="Arial"/>
                <w:sz w:val="20"/>
                <w:szCs w:val="20"/>
              </w:rPr>
            </w:pPr>
            <w:r>
              <w:rPr>
                <w:rFonts w:eastAsia="Arial" w:cs="Arial"/>
                <w:sz w:val="20"/>
                <w:szCs w:val="20"/>
              </w:rPr>
              <w:t>0.48</w:t>
            </w:r>
          </w:p>
        </w:tc>
        <w:tc>
          <w:tcPr>
            <w:tcW w:w="729" w:type="pct"/>
            <w:tcBorders>
              <w:top w:val="single" w:sz="4" w:space="0" w:color="auto"/>
              <w:left w:val="single" w:sz="4" w:space="0" w:color="auto"/>
              <w:bottom w:val="single" w:sz="4" w:space="0" w:color="auto"/>
              <w:right w:val="single" w:sz="4" w:space="0" w:color="auto"/>
            </w:tcBorders>
            <w:vAlign w:val="center"/>
          </w:tcPr>
          <w:p w14:paraId="49CA5BED" w14:textId="77777777" w:rsidR="00716156" w:rsidRPr="00256346" w:rsidRDefault="00716156" w:rsidP="00F020F4">
            <w:pPr>
              <w:jc w:val="right"/>
              <w:rPr>
                <w:rFonts w:eastAsia="Arial" w:cs="Arial"/>
                <w:sz w:val="20"/>
                <w:szCs w:val="20"/>
              </w:rPr>
            </w:pPr>
            <w:r w:rsidRPr="00256346">
              <w:rPr>
                <w:rFonts w:eastAsia="Arial" w:cs="Arial"/>
                <w:sz w:val="20"/>
                <w:szCs w:val="20"/>
              </w:rPr>
              <w:t>0.</w:t>
            </w:r>
            <w:r w:rsidRPr="00256346" w:rsidDel="006379AF">
              <w:rPr>
                <w:rFonts w:eastAsia="Arial" w:cs="Arial"/>
                <w:sz w:val="20"/>
                <w:szCs w:val="20"/>
              </w:rPr>
              <w:t>51</w:t>
            </w:r>
          </w:p>
        </w:tc>
        <w:tc>
          <w:tcPr>
            <w:tcW w:w="2149" w:type="pct"/>
            <w:tcBorders>
              <w:top w:val="single" w:sz="4" w:space="0" w:color="auto"/>
              <w:left w:val="single" w:sz="4" w:space="0" w:color="auto"/>
              <w:bottom w:val="single" w:sz="4" w:space="0" w:color="auto"/>
              <w:right w:val="single" w:sz="4" w:space="0" w:color="auto"/>
            </w:tcBorders>
            <w:vAlign w:val="center"/>
          </w:tcPr>
          <w:p w14:paraId="73357254" w14:textId="77777777" w:rsidR="00716156" w:rsidRPr="00256346" w:rsidRDefault="00716156" w:rsidP="00F020F4">
            <w:pPr>
              <w:jc w:val="right"/>
              <w:rPr>
                <w:rFonts w:eastAsia="Arial" w:cs="Arial"/>
                <w:color w:val="000000" w:themeColor="text1"/>
                <w:sz w:val="20"/>
                <w:szCs w:val="20"/>
              </w:rPr>
            </w:pPr>
            <w:r w:rsidRPr="00256346">
              <w:rPr>
                <w:rFonts w:eastAsia="Arial" w:cs="Arial"/>
                <w:color w:val="000000" w:themeColor="text1"/>
                <w:sz w:val="20"/>
                <w:szCs w:val="20"/>
              </w:rPr>
              <w:t>0.68</w:t>
            </w:r>
          </w:p>
        </w:tc>
      </w:tr>
      <w:tr w:rsidR="00716156" w14:paraId="7D9034FB" w14:textId="77777777" w:rsidTr="008E65B7">
        <w:trPr>
          <w:trHeight w:val="300"/>
        </w:trPr>
        <w:tc>
          <w:tcPr>
            <w:tcW w:w="139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20D97" w14:textId="77777777" w:rsidR="00716156" w:rsidRPr="00F90A5C" w:rsidRDefault="00716156" w:rsidP="00F020F4">
            <w:pPr>
              <w:rPr>
                <w:rFonts w:eastAsia="Arial" w:cs="Arial"/>
                <w:sz w:val="20"/>
                <w:szCs w:val="20"/>
              </w:rPr>
            </w:pPr>
          </w:p>
        </w:tc>
        <w:tc>
          <w:tcPr>
            <w:tcW w:w="360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A02AA1" w14:textId="77777777" w:rsidR="00716156" w:rsidRPr="00256346" w:rsidRDefault="00716156" w:rsidP="00F020F4">
            <w:pPr>
              <w:rPr>
                <w:rFonts w:eastAsia="Arial" w:cs="Arial"/>
                <w:sz w:val="20"/>
                <w:szCs w:val="20"/>
              </w:rPr>
            </w:pPr>
            <w:r w:rsidRPr="00256346">
              <w:rPr>
                <w:rFonts w:eastAsia="Arial" w:cs="Arial"/>
                <w:sz w:val="20"/>
                <w:szCs w:val="20"/>
              </w:rPr>
              <w:t>Indicator: Number of people with improved access to clean energy (millions)</w:t>
            </w:r>
          </w:p>
        </w:tc>
      </w:tr>
      <w:tr w:rsidR="00B4341F" w14:paraId="499F9D50" w14:textId="77777777" w:rsidTr="008E65B7">
        <w:trPr>
          <w:trHeight w:val="300"/>
        </w:trPr>
        <w:tc>
          <w:tcPr>
            <w:tcW w:w="438" w:type="pct"/>
            <w:gridSpan w:val="2"/>
            <w:tcBorders>
              <w:top w:val="single" w:sz="4" w:space="0" w:color="auto"/>
              <w:left w:val="single" w:sz="4" w:space="0" w:color="auto"/>
              <w:bottom w:val="single" w:sz="4" w:space="0" w:color="auto"/>
              <w:right w:val="single" w:sz="4" w:space="0" w:color="auto"/>
            </w:tcBorders>
            <w:vAlign w:val="center"/>
          </w:tcPr>
          <w:p w14:paraId="204D80DD" w14:textId="77777777" w:rsidR="00716156" w:rsidRPr="00256346" w:rsidRDefault="00716156" w:rsidP="00F020F4">
            <w:pPr>
              <w:jc w:val="center"/>
              <w:rPr>
                <w:rFonts w:eastAsia="Arial" w:cs="Arial"/>
                <w:b/>
                <w:sz w:val="20"/>
                <w:szCs w:val="20"/>
              </w:rPr>
            </w:pPr>
            <w:r w:rsidRPr="00256346">
              <w:rPr>
                <w:rFonts w:eastAsia="Arial" w:cs="Arial"/>
                <w:b/>
                <w:sz w:val="20"/>
                <w:szCs w:val="20"/>
              </w:rPr>
              <w:t>SREP</w:t>
            </w:r>
          </w:p>
        </w:tc>
        <w:tc>
          <w:tcPr>
            <w:tcW w:w="955" w:type="pct"/>
            <w:tcBorders>
              <w:top w:val="single" w:sz="4" w:space="0" w:color="auto"/>
              <w:left w:val="single" w:sz="4" w:space="0" w:color="auto"/>
              <w:bottom w:val="single" w:sz="4" w:space="0" w:color="auto"/>
              <w:right w:val="single" w:sz="4" w:space="0" w:color="auto"/>
            </w:tcBorders>
            <w:vAlign w:val="center"/>
          </w:tcPr>
          <w:p w14:paraId="5855658A" w14:textId="77777777" w:rsidR="00716156" w:rsidRPr="00256346" w:rsidRDefault="00716156" w:rsidP="00F020F4">
            <w:pPr>
              <w:jc w:val="right"/>
              <w:rPr>
                <w:rFonts w:eastAsia="Arial" w:cs="Arial"/>
                <w:sz w:val="20"/>
                <w:szCs w:val="20"/>
              </w:rPr>
            </w:pPr>
            <w:r w:rsidRPr="00256346">
              <w:rPr>
                <w:rFonts w:eastAsia="Arial" w:cs="Arial"/>
                <w:sz w:val="20"/>
                <w:szCs w:val="20"/>
              </w:rPr>
              <w:t>0.59</w:t>
            </w:r>
          </w:p>
        </w:tc>
        <w:tc>
          <w:tcPr>
            <w:tcW w:w="729" w:type="pct"/>
            <w:tcBorders>
              <w:top w:val="single" w:sz="4" w:space="0" w:color="auto"/>
              <w:left w:val="single" w:sz="4" w:space="0" w:color="auto"/>
              <w:bottom w:val="single" w:sz="4" w:space="0" w:color="auto"/>
              <w:right w:val="single" w:sz="4" w:space="0" w:color="auto"/>
            </w:tcBorders>
          </w:tcPr>
          <w:p w14:paraId="5F25555E" w14:textId="77777777" w:rsidR="00716156" w:rsidRDefault="00716156" w:rsidP="00F020F4">
            <w:pPr>
              <w:jc w:val="right"/>
              <w:rPr>
                <w:rFonts w:eastAsia="Arial" w:cs="Arial"/>
                <w:sz w:val="20"/>
                <w:szCs w:val="20"/>
              </w:rPr>
            </w:pPr>
            <w:r>
              <w:rPr>
                <w:rFonts w:eastAsia="Arial" w:cs="Arial"/>
                <w:sz w:val="20"/>
                <w:szCs w:val="20"/>
              </w:rPr>
              <w:t>0.65</w:t>
            </w:r>
          </w:p>
        </w:tc>
        <w:tc>
          <w:tcPr>
            <w:tcW w:w="729" w:type="pct"/>
            <w:tcBorders>
              <w:top w:val="single" w:sz="4" w:space="0" w:color="auto"/>
              <w:left w:val="single" w:sz="4" w:space="0" w:color="auto"/>
              <w:bottom w:val="single" w:sz="4" w:space="0" w:color="auto"/>
              <w:right w:val="single" w:sz="4" w:space="0" w:color="auto"/>
            </w:tcBorders>
            <w:vAlign w:val="center"/>
          </w:tcPr>
          <w:p w14:paraId="3648E91E" w14:textId="77777777" w:rsidR="00716156" w:rsidRPr="00256346" w:rsidRDefault="00716156" w:rsidP="00F020F4">
            <w:pPr>
              <w:jc w:val="right"/>
              <w:rPr>
                <w:rFonts w:eastAsia="Arial" w:cs="Arial"/>
                <w:sz w:val="20"/>
                <w:szCs w:val="20"/>
              </w:rPr>
            </w:pPr>
            <w:r w:rsidRPr="00256346">
              <w:rPr>
                <w:rFonts w:eastAsia="Arial" w:cs="Arial"/>
                <w:sz w:val="20"/>
                <w:szCs w:val="20"/>
              </w:rPr>
              <w:t>0.</w:t>
            </w:r>
            <w:r w:rsidRPr="00256346" w:rsidDel="00A242F3">
              <w:rPr>
                <w:rFonts w:eastAsia="Arial" w:cs="Arial"/>
                <w:sz w:val="20"/>
                <w:szCs w:val="20"/>
              </w:rPr>
              <w:t>74</w:t>
            </w:r>
          </w:p>
        </w:tc>
        <w:tc>
          <w:tcPr>
            <w:tcW w:w="2149" w:type="pct"/>
            <w:tcBorders>
              <w:top w:val="single" w:sz="4" w:space="0" w:color="auto"/>
              <w:left w:val="single" w:sz="4" w:space="0" w:color="auto"/>
              <w:bottom w:val="single" w:sz="4" w:space="0" w:color="auto"/>
              <w:right w:val="single" w:sz="4" w:space="0" w:color="auto"/>
            </w:tcBorders>
            <w:vAlign w:val="center"/>
          </w:tcPr>
          <w:p w14:paraId="2623E1F1" w14:textId="77777777" w:rsidR="00716156" w:rsidRPr="00256346" w:rsidRDefault="00716156" w:rsidP="00F020F4">
            <w:pPr>
              <w:jc w:val="right"/>
              <w:rPr>
                <w:rFonts w:eastAsia="Arial" w:cs="Arial"/>
                <w:color w:val="EE0000"/>
                <w:sz w:val="20"/>
                <w:szCs w:val="20"/>
              </w:rPr>
            </w:pPr>
            <w:r w:rsidRPr="00256346">
              <w:rPr>
                <w:rFonts w:eastAsia="Arial" w:cs="Arial"/>
                <w:color w:val="000000" w:themeColor="text1"/>
                <w:sz w:val="20"/>
                <w:szCs w:val="20"/>
              </w:rPr>
              <w:t>2.20</w:t>
            </w:r>
          </w:p>
        </w:tc>
      </w:tr>
      <w:tr w:rsidR="00716156" w:rsidRPr="00EE3BC0" w14:paraId="71D56319" w14:textId="77777777" w:rsidTr="008E65B7">
        <w:trPr>
          <w:trHeight w:val="300"/>
        </w:trPr>
        <w:tc>
          <w:tcPr>
            <w:tcW w:w="139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2D9D6" w14:textId="77777777" w:rsidR="00716156" w:rsidRPr="00F90A5C" w:rsidRDefault="00716156" w:rsidP="00F020F4">
            <w:pPr>
              <w:rPr>
                <w:rFonts w:eastAsia="Arial" w:cs="Arial"/>
                <w:sz w:val="20"/>
                <w:szCs w:val="20"/>
              </w:rPr>
            </w:pPr>
          </w:p>
        </w:tc>
        <w:tc>
          <w:tcPr>
            <w:tcW w:w="360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B9D10" w14:textId="77777777" w:rsidR="00716156" w:rsidRPr="00256346" w:rsidRDefault="00716156" w:rsidP="00F020F4">
            <w:pPr>
              <w:rPr>
                <w:rFonts w:eastAsia="Arial" w:cs="Arial"/>
                <w:sz w:val="20"/>
                <w:szCs w:val="20"/>
              </w:rPr>
            </w:pPr>
            <w:r w:rsidRPr="00256346">
              <w:rPr>
                <w:rFonts w:eastAsia="Arial" w:cs="Arial"/>
                <w:sz w:val="20"/>
                <w:szCs w:val="20"/>
              </w:rPr>
              <w:t>Indicator: Area under sustainable land management practices HA (millions)</w:t>
            </w:r>
          </w:p>
        </w:tc>
      </w:tr>
      <w:tr w:rsidR="00B4341F" w14:paraId="25B27E52" w14:textId="77777777" w:rsidTr="008E65B7">
        <w:trPr>
          <w:trHeight w:val="300"/>
        </w:trPr>
        <w:tc>
          <w:tcPr>
            <w:tcW w:w="438" w:type="pct"/>
            <w:gridSpan w:val="2"/>
            <w:tcBorders>
              <w:top w:val="single" w:sz="4" w:space="0" w:color="auto"/>
              <w:left w:val="single" w:sz="4" w:space="0" w:color="auto"/>
              <w:bottom w:val="single" w:sz="4" w:space="0" w:color="auto"/>
              <w:right w:val="single" w:sz="4" w:space="0" w:color="auto"/>
            </w:tcBorders>
            <w:vAlign w:val="center"/>
          </w:tcPr>
          <w:p w14:paraId="2247B2B1" w14:textId="77777777" w:rsidR="00716156" w:rsidRPr="00256346" w:rsidRDefault="00716156" w:rsidP="00F020F4">
            <w:pPr>
              <w:jc w:val="center"/>
              <w:rPr>
                <w:rFonts w:eastAsia="Arial" w:cs="Arial"/>
                <w:b/>
                <w:sz w:val="20"/>
                <w:szCs w:val="20"/>
              </w:rPr>
            </w:pPr>
            <w:r w:rsidRPr="00256346">
              <w:rPr>
                <w:rFonts w:eastAsia="Arial" w:cs="Arial"/>
                <w:b/>
                <w:sz w:val="20"/>
                <w:szCs w:val="20"/>
              </w:rPr>
              <w:t>PPCR</w:t>
            </w:r>
          </w:p>
        </w:tc>
        <w:tc>
          <w:tcPr>
            <w:tcW w:w="955" w:type="pct"/>
            <w:tcBorders>
              <w:top w:val="single" w:sz="4" w:space="0" w:color="auto"/>
              <w:left w:val="single" w:sz="4" w:space="0" w:color="auto"/>
              <w:bottom w:val="single" w:sz="4" w:space="0" w:color="auto"/>
              <w:right w:val="single" w:sz="4" w:space="0" w:color="auto"/>
            </w:tcBorders>
            <w:vAlign w:val="center"/>
          </w:tcPr>
          <w:p w14:paraId="339EE67A" w14:textId="77777777" w:rsidR="00716156" w:rsidRPr="00256346" w:rsidRDefault="00716156" w:rsidP="00F020F4">
            <w:pPr>
              <w:jc w:val="right"/>
              <w:rPr>
                <w:rFonts w:eastAsia="Arial" w:cs="Arial"/>
                <w:sz w:val="20"/>
                <w:szCs w:val="20"/>
              </w:rPr>
            </w:pPr>
            <w:r w:rsidRPr="00256346">
              <w:rPr>
                <w:rFonts w:eastAsia="Arial" w:cs="Arial"/>
                <w:sz w:val="20"/>
                <w:szCs w:val="20"/>
              </w:rPr>
              <w:t>0.03</w:t>
            </w:r>
            <w:r>
              <w:rPr>
                <w:rFonts w:eastAsia="Arial" w:cs="Arial"/>
                <w:sz w:val="20"/>
                <w:szCs w:val="20"/>
              </w:rPr>
              <w:t>4</w:t>
            </w:r>
          </w:p>
        </w:tc>
        <w:tc>
          <w:tcPr>
            <w:tcW w:w="729" w:type="pct"/>
            <w:tcBorders>
              <w:top w:val="single" w:sz="4" w:space="0" w:color="auto"/>
              <w:left w:val="single" w:sz="4" w:space="0" w:color="auto"/>
              <w:bottom w:val="single" w:sz="4" w:space="0" w:color="auto"/>
              <w:right w:val="single" w:sz="4" w:space="0" w:color="auto"/>
            </w:tcBorders>
          </w:tcPr>
          <w:p w14:paraId="71FC964E" w14:textId="77777777" w:rsidR="00716156" w:rsidRDefault="00716156" w:rsidP="00F020F4">
            <w:pPr>
              <w:jc w:val="right"/>
              <w:rPr>
                <w:rFonts w:eastAsia="Arial" w:cs="Arial"/>
                <w:sz w:val="20"/>
                <w:szCs w:val="20"/>
              </w:rPr>
            </w:pPr>
            <w:r>
              <w:rPr>
                <w:rFonts w:eastAsia="Arial" w:cs="Arial"/>
                <w:sz w:val="20"/>
                <w:szCs w:val="20"/>
              </w:rPr>
              <w:t>0.038</w:t>
            </w:r>
          </w:p>
        </w:tc>
        <w:tc>
          <w:tcPr>
            <w:tcW w:w="729" w:type="pct"/>
            <w:tcBorders>
              <w:top w:val="single" w:sz="4" w:space="0" w:color="auto"/>
              <w:left w:val="single" w:sz="4" w:space="0" w:color="auto"/>
              <w:bottom w:val="single" w:sz="4" w:space="0" w:color="auto"/>
              <w:right w:val="single" w:sz="4" w:space="0" w:color="auto"/>
            </w:tcBorders>
            <w:vAlign w:val="center"/>
          </w:tcPr>
          <w:p w14:paraId="021F3330" w14:textId="77777777" w:rsidR="00716156" w:rsidRPr="008C1AD5" w:rsidRDefault="00716156" w:rsidP="00F020F4">
            <w:pPr>
              <w:jc w:val="right"/>
              <w:rPr>
                <w:rFonts w:eastAsia="Arial" w:cs="Arial"/>
                <w:sz w:val="20"/>
                <w:szCs w:val="20"/>
              </w:rPr>
            </w:pPr>
            <w:r w:rsidRPr="008C1AD5">
              <w:rPr>
                <w:rFonts w:eastAsia="Arial" w:cs="Arial"/>
                <w:sz w:val="20"/>
                <w:szCs w:val="20"/>
              </w:rPr>
              <w:t>0.049</w:t>
            </w:r>
          </w:p>
        </w:tc>
        <w:tc>
          <w:tcPr>
            <w:tcW w:w="2149" w:type="pct"/>
            <w:tcBorders>
              <w:top w:val="single" w:sz="4" w:space="0" w:color="auto"/>
              <w:left w:val="single" w:sz="4" w:space="0" w:color="auto"/>
              <w:bottom w:val="single" w:sz="4" w:space="0" w:color="auto"/>
              <w:right w:val="single" w:sz="4" w:space="0" w:color="auto"/>
            </w:tcBorders>
            <w:vAlign w:val="center"/>
          </w:tcPr>
          <w:p w14:paraId="01FB6DDE" w14:textId="49BD1F14" w:rsidR="00716156" w:rsidRPr="008C1AD5" w:rsidRDefault="00716156" w:rsidP="00F020F4">
            <w:pPr>
              <w:jc w:val="right"/>
              <w:rPr>
                <w:rFonts w:eastAsia="Arial" w:cs="Arial"/>
                <w:sz w:val="20"/>
                <w:szCs w:val="20"/>
              </w:rPr>
            </w:pPr>
            <w:r w:rsidRPr="008C1AD5">
              <w:rPr>
                <w:rFonts w:eastAsia="Arial" w:cs="Arial"/>
                <w:sz w:val="20"/>
                <w:szCs w:val="20"/>
              </w:rPr>
              <w:t>0.03</w:t>
            </w:r>
            <w:r w:rsidR="00CD2BAE">
              <w:rPr>
                <w:rFonts w:eastAsia="Arial" w:cs="Arial"/>
                <w:sz w:val="20"/>
                <w:szCs w:val="20"/>
              </w:rPr>
              <w:t>3</w:t>
            </w:r>
          </w:p>
        </w:tc>
      </w:tr>
      <w:tr w:rsidR="00B4341F" w14:paraId="15527D52" w14:textId="77777777" w:rsidTr="008E65B7">
        <w:trPr>
          <w:trHeight w:val="300"/>
        </w:trPr>
        <w:tc>
          <w:tcPr>
            <w:tcW w:w="438" w:type="pct"/>
            <w:gridSpan w:val="2"/>
            <w:tcBorders>
              <w:top w:val="single" w:sz="4" w:space="0" w:color="auto"/>
              <w:left w:val="single" w:sz="4" w:space="0" w:color="auto"/>
              <w:bottom w:val="single" w:sz="4" w:space="0" w:color="auto"/>
              <w:right w:val="single" w:sz="4" w:space="0" w:color="auto"/>
            </w:tcBorders>
            <w:vAlign w:val="center"/>
          </w:tcPr>
          <w:p w14:paraId="4BA4E1C1" w14:textId="77777777" w:rsidR="00716156" w:rsidRPr="00256346" w:rsidRDefault="00716156" w:rsidP="00F020F4">
            <w:pPr>
              <w:jc w:val="center"/>
              <w:rPr>
                <w:rFonts w:eastAsia="Arial" w:cs="Arial"/>
                <w:b/>
                <w:sz w:val="20"/>
                <w:szCs w:val="20"/>
              </w:rPr>
            </w:pPr>
            <w:r w:rsidRPr="00256346">
              <w:rPr>
                <w:rFonts w:eastAsia="Arial" w:cs="Arial"/>
                <w:b/>
                <w:sz w:val="20"/>
                <w:szCs w:val="20"/>
              </w:rPr>
              <w:t>FIP</w:t>
            </w:r>
          </w:p>
        </w:tc>
        <w:tc>
          <w:tcPr>
            <w:tcW w:w="955" w:type="pct"/>
            <w:tcBorders>
              <w:top w:val="single" w:sz="4" w:space="0" w:color="auto"/>
              <w:left w:val="single" w:sz="4" w:space="0" w:color="auto"/>
              <w:bottom w:val="single" w:sz="4" w:space="0" w:color="auto"/>
              <w:right w:val="single" w:sz="4" w:space="0" w:color="auto"/>
            </w:tcBorders>
            <w:vAlign w:val="center"/>
          </w:tcPr>
          <w:p w14:paraId="0F7596BD" w14:textId="77777777" w:rsidR="00716156" w:rsidRPr="00256346" w:rsidRDefault="00716156" w:rsidP="00F020F4">
            <w:pPr>
              <w:jc w:val="right"/>
              <w:rPr>
                <w:rFonts w:eastAsia="Arial" w:cs="Arial"/>
                <w:sz w:val="20"/>
                <w:szCs w:val="20"/>
              </w:rPr>
            </w:pPr>
            <w:r w:rsidRPr="00256346">
              <w:rPr>
                <w:rFonts w:eastAsia="Arial" w:cs="Arial"/>
                <w:sz w:val="20"/>
                <w:szCs w:val="20"/>
              </w:rPr>
              <w:t>4.89</w:t>
            </w:r>
          </w:p>
        </w:tc>
        <w:tc>
          <w:tcPr>
            <w:tcW w:w="729" w:type="pct"/>
            <w:tcBorders>
              <w:top w:val="single" w:sz="4" w:space="0" w:color="auto"/>
              <w:left w:val="single" w:sz="4" w:space="0" w:color="auto"/>
              <w:bottom w:val="single" w:sz="4" w:space="0" w:color="auto"/>
              <w:right w:val="single" w:sz="4" w:space="0" w:color="auto"/>
            </w:tcBorders>
          </w:tcPr>
          <w:p w14:paraId="2D247A2C" w14:textId="77777777" w:rsidR="00716156" w:rsidRDefault="00716156" w:rsidP="00F020F4">
            <w:pPr>
              <w:jc w:val="right"/>
              <w:rPr>
                <w:rFonts w:eastAsia="Arial" w:cs="Arial"/>
                <w:sz w:val="20"/>
                <w:szCs w:val="20"/>
              </w:rPr>
            </w:pPr>
            <w:r>
              <w:rPr>
                <w:rFonts w:eastAsia="Arial" w:cs="Arial"/>
                <w:sz w:val="20"/>
                <w:szCs w:val="20"/>
              </w:rPr>
              <w:t>4.93</w:t>
            </w:r>
          </w:p>
        </w:tc>
        <w:tc>
          <w:tcPr>
            <w:tcW w:w="729" w:type="pct"/>
            <w:tcBorders>
              <w:top w:val="single" w:sz="4" w:space="0" w:color="auto"/>
              <w:left w:val="single" w:sz="4" w:space="0" w:color="auto"/>
              <w:bottom w:val="single" w:sz="4" w:space="0" w:color="auto"/>
              <w:right w:val="single" w:sz="4" w:space="0" w:color="auto"/>
            </w:tcBorders>
            <w:vAlign w:val="center"/>
          </w:tcPr>
          <w:p w14:paraId="6B6FB596" w14:textId="77777777" w:rsidR="00716156" w:rsidRPr="00256346" w:rsidRDefault="00716156" w:rsidP="00F020F4">
            <w:pPr>
              <w:jc w:val="right"/>
              <w:rPr>
                <w:rFonts w:eastAsia="Arial" w:cs="Arial"/>
                <w:sz w:val="20"/>
                <w:szCs w:val="20"/>
              </w:rPr>
            </w:pPr>
            <w:r w:rsidRPr="00256346" w:rsidDel="00E43B6F">
              <w:rPr>
                <w:rFonts w:eastAsia="Arial" w:cs="Arial"/>
                <w:sz w:val="20"/>
                <w:szCs w:val="20"/>
              </w:rPr>
              <w:t>5.09</w:t>
            </w:r>
          </w:p>
        </w:tc>
        <w:tc>
          <w:tcPr>
            <w:tcW w:w="2149" w:type="pct"/>
            <w:tcBorders>
              <w:top w:val="single" w:sz="4" w:space="0" w:color="auto"/>
              <w:left w:val="single" w:sz="4" w:space="0" w:color="auto"/>
              <w:bottom w:val="single" w:sz="4" w:space="0" w:color="auto"/>
              <w:right w:val="single" w:sz="4" w:space="0" w:color="auto"/>
            </w:tcBorders>
            <w:vAlign w:val="center"/>
          </w:tcPr>
          <w:p w14:paraId="37961FE6" w14:textId="77777777" w:rsidR="00716156" w:rsidRPr="00256346" w:rsidRDefault="00716156" w:rsidP="00F020F4">
            <w:pPr>
              <w:jc w:val="right"/>
              <w:rPr>
                <w:rFonts w:eastAsia="Arial" w:cs="Arial"/>
                <w:color w:val="000000" w:themeColor="text1"/>
                <w:sz w:val="20"/>
                <w:szCs w:val="20"/>
              </w:rPr>
            </w:pPr>
            <w:r w:rsidRPr="00256346">
              <w:rPr>
                <w:rFonts w:eastAsia="Arial" w:cs="Arial"/>
                <w:color w:val="000000" w:themeColor="text1"/>
                <w:sz w:val="20"/>
                <w:szCs w:val="20"/>
              </w:rPr>
              <w:t>6.37</w:t>
            </w:r>
          </w:p>
        </w:tc>
      </w:tr>
    </w:tbl>
    <w:p w14:paraId="189E6033" w14:textId="77777777" w:rsidR="00716156" w:rsidRPr="00861593" w:rsidRDefault="00716156" w:rsidP="00716156">
      <w:pPr>
        <w:jc w:val="both"/>
        <w:rPr>
          <w:rFonts w:eastAsia="Arial" w:cs="Arial"/>
          <w:color w:val="000000" w:themeColor="text1"/>
        </w:rPr>
      </w:pPr>
    </w:p>
    <w:p w14:paraId="0EDD3ADB" w14:textId="77777777" w:rsidR="00716156" w:rsidRPr="0061010A" w:rsidRDefault="00716156" w:rsidP="00716156">
      <w:pPr>
        <w:spacing w:line="276" w:lineRule="auto"/>
        <w:jc w:val="both"/>
        <w:rPr>
          <w:rFonts w:eastAsia="Arial" w:cs="Arial"/>
          <w:color w:val="000000" w:themeColor="text1"/>
          <w:sz w:val="22"/>
          <w:szCs w:val="22"/>
        </w:rPr>
      </w:pPr>
      <w:r w:rsidRPr="0061010A">
        <w:rPr>
          <w:rFonts w:eastAsia="Arial" w:cs="Arial"/>
          <w:color w:val="000000" w:themeColor="text1"/>
          <w:sz w:val="22"/>
          <w:szCs w:val="22"/>
          <w:u w:val="single"/>
        </w:rPr>
        <w:t>CTF</w:t>
      </w:r>
    </w:p>
    <w:p w14:paraId="58278B1F" w14:textId="77777777" w:rsidR="00716156" w:rsidRPr="0061010A" w:rsidRDefault="00716156" w:rsidP="00716156">
      <w:pPr>
        <w:spacing w:line="276" w:lineRule="auto"/>
        <w:jc w:val="both"/>
        <w:rPr>
          <w:rFonts w:eastAsia="Arial" w:cs="Arial"/>
          <w:color w:val="000000" w:themeColor="text1"/>
          <w:sz w:val="22"/>
          <w:szCs w:val="22"/>
        </w:rPr>
      </w:pPr>
      <w:r w:rsidRPr="0061010A">
        <w:rPr>
          <w:rFonts w:eastAsia="Arial" w:cs="Arial"/>
          <w:color w:val="000000" w:themeColor="text1"/>
          <w:sz w:val="22"/>
          <w:szCs w:val="22"/>
        </w:rPr>
        <w:t>CTF’s progress to 2025 shows that GHG emissions reductions are attributable primarily to renewable energy projects (73%), followed by projects which cover both renewable energy and energy efficiency (16%), energy efficiency (11%), and transport (0.004%). Despite the large number of projects under CTF, five projects account for over 50% of the cumulative GHG emissions reductions: Shared Infrastructure for Solar Parks Phase I in India (IBRD), Private Sector Geothermal Energy Program in Indonesia (ADB), Private Sector Bank-Intermediated Project in Turkey (EBRD), Private Sector Renewable Energy and Energy Efficiency Project in Turkey (IBRD), Renewable Energy Financing Facility in Mexico (IDB Group)</w:t>
      </w:r>
    </w:p>
    <w:p w14:paraId="5234932A" w14:textId="77777777" w:rsidR="00147316" w:rsidRPr="0061010A" w:rsidRDefault="00147316" w:rsidP="00716156">
      <w:pPr>
        <w:spacing w:line="276" w:lineRule="auto"/>
        <w:jc w:val="both"/>
        <w:rPr>
          <w:rFonts w:eastAsia="Arial" w:cs="Arial"/>
          <w:color w:val="000000" w:themeColor="text1"/>
          <w:sz w:val="22"/>
          <w:szCs w:val="22"/>
        </w:rPr>
      </w:pPr>
    </w:p>
    <w:p w14:paraId="0010FA82" w14:textId="77777777" w:rsidR="00716156" w:rsidRPr="0061010A" w:rsidRDefault="00716156" w:rsidP="00716156">
      <w:pPr>
        <w:spacing w:line="276" w:lineRule="auto"/>
        <w:jc w:val="both"/>
        <w:rPr>
          <w:rFonts w:eastAsia="Arial" w:cs="Arial"/>
          <w:color w:val="000000" w:themeColor="text1"/>
          <w:sz w:val="22"/>
          <w:szCs w:val="22"/>
        </w:rPr>
      </w:pPr>
      <w:r w:rsidRPr="0061010A">
        <w:rPr>
          <w:rFonts w:eastAsia="Arial" w:cs="Arial"/>
          <w:color w:val="000000" w:themeColor="text1"/>
          <w:sz w:val="22"/>
          <w:szCs w:val="22"/>
        </w:rPr>
        <w:t>The installed clean energy capacity under CTF also continues to increase. Similarly to the GHG emission reductions, the projects driving this increase are the Shared Infrastructure for Solar Parks Phase I in India (IBRD), Private Sector Renewable Energy and Energy Efficiency Project in Turkey (IBRD), and Renewable Energy Financing Facility in Mexico (IDB Group).</w:t>
      </w:r>
    </w:p>
    <w:p w14:paraId="26670354" w14:textId="77777777" w:rsidR="00716156" w:rsidRPr="0061010A" w:rsidRDefault="00716156" w:rsidP="00716156">
      <w:pPr>
        <w:spacing w:line="276" w:lineRule="auto"/>
        <w:jc w:val="both"/>
        <w:rPr>
          <w:rFonts w:eastAsia="Arial" w:cs="Arial"/>
          <w:color w:val="000000" w:themeColor="text1"/>
          <w:sz w:val="22"/>
          <w:szCs w:val="22"/>
        </w:rPr>
      </w:pPr>
    </w:p>
    <w:p w14:paraId="58F76689" w14:textId="20695B6A" w:rsidR="00716156" w:rsidRPr="0061010A" w:rsidRDefault="00716156" w:rsidP="00716156">
      <w:pPr>
        <w:spacing w:line="276" w:lineRule="auto"/>
        <w:jc w:val="both"/>
        <w:rPr>
          <w:rFonts w:eastAsia="Arial" w:cs="Arial"/>
          <w:color w:val="000000" w:themeColor="text1"/>
          <w:sz w:val="22"/>
          <w:szCs w:val="22"/>
        </w:rPr>
      </w:pPr>
      <w:r w:rsidRPr="0061010A">
        <w:rPr>
          <w:rFonts w:eastAsia="Arial" w:cs="Arial"/>
          <w:color w:val="000000" w:themeColor="text1"/>
          <w:sz w:val="22"/>
          <w:szCs w:val="22"/>
        </w:rPr>
        <w:t xml:space="preserve">CTF’s achieved results remain relatively low compared with </w:t>
      </w:r>
      <w:r w:rsidR="0034533C" w:rsidRPr="0061010A">
        <w:rPr>
          <w:rFonts w:eastAsia="Arial" w:cs="Arial"/>
          <w:color w:val="000000" w:themeColor="text1"/>
          <w:sz w:val="22"/>
          <w:szCs w:val="22"/>
        </w:rPr>
        <w:t xml:space="preserve">lifetime </w:t>
      </w:r>
      <w:r w:rsidRPr="0061010A">
        <w:rPr>
          <w:rFonts w:eastAsia="Arial" w:cs="Arial"/>
          <w:color w:val="000000" w:themeColor="text1"/>
          <w:sz w:val="22"/>
          <w:szCs w:val="22"/>
        </w:rPr>
        <w:t xml:space="preserve">expected results. The sub programme has achieved 13% and 44% of its GHG emission reductions and clean energy installation expectations, respectively. This is unsurprising for the CTF as it will continue to deliver emissions reductions </w:t>
      </w:r>
      <w:r w:rsidR="003E2F16" w:rsidRPr="0061010A">
        <w:rPr>
          <w:rFonts w:eastAsia="Arial" w:cs="Arial"/>
          <w:color w:val="000000" w:themeColor="text1"/>
          <w:sz w:val="22"/>
          <w:szCs w:val="22"/>
        </w:rPr>
        <w:t xml:space="preserve">well </w:t>
      </w:r>
      <w:r w:rsidRPr="0061010A">
        <w:rPr>
          <w:rFonts w:eastAsia="Arial" w:cs="Arial"/>
          <w:color w:val="000000" w:themeColor="text1"/>
          <w:sz w:val="22"/>
          <w:szCs w:val="22"/>
        </w:rPr>
        <w:t xml:space="preserve">beyond the programme’s </w:t>
      </w:r>
      <w:r w:rsidR="00A94322" w:rsidRPr="0061010A">
        <w:rPr>
          <w:rFonts w:eastAsia="Arial" w:cs="Arial"/>
          <w:color w:val="000000" w:themeColor="text1"/>
          <w:sz w:val="22"/>
          <w:szCs w:val="22"/>
        </w:rPr>
        <w:t>implementation phase</w:t>
      </w:r>
      <w:r w:rsidR="003E2F16" w:rsidRPr="0061010A">
        <w:rPr>
          <w:rFonts w:eastAsia="Arial" w:cs="Arial"/>
          <w:color w:val="000000" w:themeColor="text1"/>
          <w:sz w:val="22"/>
          <w:szCs w:val="22"/>
        </w:rPr>
        <w:t xml:space="preserve">, </w:t>
      </w:r>
      <w:r w:rsidR="0068562B" w:rsidRPr="0061010A">
        <w:rPr>
          <w:rFonts w:eastAsia="Arial" w:cs="Arial"/>
          <w:color w:val="000000" w:themeColor="text1"/>
          <w:sz w:val="22"/>
          <w:szCs w:val="22"/>
        </w:rPr>
        <w:t>with emissions delivered</w:t>
      </w:r>
      <w:r w:rsidR="003E2F16" w:rsidRPr="0061010A">
        <w:rPr>
          <w:rFonts w:eastAsia="Arial" w:cs="Arial"/>
          <w:color w:val="000000" w:themeColor="text1"/>
          <w:sz w:val="22"/>
          <w:szCs w:val="22"/>
        </w:rPr>
        <w:t xml:space="preserve"> </w:t>
      </w:r>
      <w:r w:rsidR="0068562B" w:rsidRPr="0061010A">
        <w:rPr>
          <w:rFonts w:eastAsia="Arial" w:cs="Arial"/>
          <w:color w:val="000000" w:themeColor="text1"/>
          <w:sz w:val="22"/>
          <w:szCs w:val="22"/>
        </w:rPr>
        <w:t>over the</w:t>
      </w:r>
      <w:r w:rsidR="00BF3F55" w:rsidRPr="0061010A">
        <w:rPr>
          <w:rFonts w:eastAsia="Arial" w:cs="Arial"/>
          <w:color w:val="000000" w:themeColor="text1"/>
          <w:sz w:val="22"/>
          <w:szCs w:val="22"/>
        </w:rPr>
        <w:t xml:space="preserve"> operational </w:t>
      </w:r>
      <w:r w:rsidR="003E2F16" w:rsidRPr="0061010A">
        <w:rPr>
          <w:rFonts w:eastAsia="Arial" w:cs="Arial"/>
          <w:color w:val="000000" w:themeColor="text1"/>
          <w:sz w:val="22"/>
          <w:szCs w:val="22"/>
        </w:rPr>
        <w:t xml:space="preserve">lifetime </w:t>
      </w:r>
      <w:r w:rsidR="00BF3F55" w:rsidRPr="0061010A">
        <w:rPr>
          <w:rFonts w:eastAsia="Arial" w:cs="Arial"/>
          <w:color w:val="000000" w:themeColor="text1"/>
          <w:sz w:val="22"/>
          <w:szCs w:val="22"/>
        </w:rPr>
        <w:t xml:space="preserve">of </w:t>
      </w:r>
      <w:r w:rsidR="003E2F16" w:rsidRPr="0061010A">
        <w:rPr>
          <w:rFonts w:eastAsia="Arial" w:cs="Arial"/>
          <w:color w:val="000000" w:themeColor="text1"/>
          <w:sz w:val="22"/>
          <w:szCs w:val="22"/>
        </w:rPr>
        <w:t xml:space="preserve">supported </w:t>
      </w:r>
      <w:r w:rsidR="003301D7" w:rsidRPr="0061010A">
        <w:rPr>
          <w:rFonts w:eastAsia="Arial" w:cs="Arial"/>
          <w:color w:val="000000" w:themeColor="text1"/>
          <w:sz w:val="22"/>
          <w:szCs w:val="22"/>
        </w:rPr>
        <w:t>technologies</w:t>
      </w:r>
      <w:r w:rsidRPr="0061010A">
        <w:rPr>
          <w:rFonts w:eastAsia="Arial" w:cs="Arial"/>
          <w:color w:val="000000" w:themeColor="text1"/>
          <w:sz w:val="22"/>
          <w:szCs w:val="22"/>
        </w:rPr>
        <w:t>. CTF has reduced 2.7 million</w:t>
      </w:r>
      <w:r w:rsidR="00D838F1" w:rsidRPr="0061010A">
        <w:rPr>
          <w:rFonts w:eastAsia="Arial" w:cs="Arial"/>
          <w:color w:val="000000" w:themeColor="text1"/>
          <w:sz w:val="22"/>
          <w:szCs w:val="22"/>
        </w:rPr>
        <w:t xml:space="preserve"> </w:t>
      </w:r>
      <w:r w:rsidRPr="0061010A">
        <w:rPr>
          <w:rFonts w:eastAsia="Arial" w:cs="Arial"/>
          <w:color w:val="000000" w:themeColor="text1"/>
          <w:sz w:val="22"/>
          <w:szCs w:val="22"/>
        </w:rPr>
        <w:t>tCO2e of its 161.5million tCO2e lifetime target (attributed)</w:t>
      </w:r>
      <w:r w:rsidR="0089627E" w:rsidRPr="0061010A">
        <w:rPr>
          <w:rFonts w:eastAsia="Arial" w:cs="Arial"/>
          <w:color w:val="000000" w:themeColor="text1"/>
          <w:sz w:val="22"/>
          <w:szCs w:val="22"/>
        </w:rPr>
        <w:t xml:space="preserve">. </w:t>
      </w:r>
      <w:r w:rsidR="009F0B16" w:rsidRPr="0061010A">
        <w:rPr>
          <w:rFonts w:eastAsia="Arial" w:cs="Arial"/>
          <w:color w:val="000000" w:themeColor="text1"/>
          <w:sz w:val="22"/>
          <w:szCs w:val="22"/>
        </w:rPr>
        <w:t>T</w:t>
      </w:r>
      <w:r w:rsidR="0089627E" w:rsidRPr="0061010A">
        <w:rPr>
          <w:rFonts w:eastAsia="Arial" w:cs="Arial"/>
          <w:color w:val="000000" w:themeColor="text1"/>
          <w:sz w:val="22"/>
          <w:szCs w:val="22"/>
        </w:rPr>
        <w:t>his is equivalent to around 1% of UK emissions in 2024</w:t>
      </w:r>
      <w:r w:rsidR="00700381" w:rsidRPr="0061010A">
        <w:rPr>
          <w:rStyle w:val="FootnoteReference"/>
          <w:rFonts w:eastAsia="Arial" w:cs="Arial"/>
          <w:color w:val="000000" w:themeColor="text1"/>
          <w:sz w:val="22"/>
          <w:szCs w:val="22"/>
        </w:rPr>
        <w:footnoteReference w:id="5"/>
      </w:r>
      <w:r w:rsidR="00B72E1A" w:rsidRPr="0061010A">
        <w:rPr>
          <w:rFonts w:eastAsia="Arial" w:cs="Arial"/>
          <w:color w:val="000000" w:themeColor="text1"/>
          <w:sz w:val="22"/>
          <w:szCs w:val="22"/>
        </w:rPr>
        <w:t xml:space="preserve">. </w:t>
      </w:r>
    </w:p>
    <w:p w14:paraId="26258604" w14:textId="77777777" w:rsidR="00716156" w:rsidRPr="0061010A" w:rsidRDefault="00716156" w:rsidP="00716156">
      <w:pPr>
        <w:jc w:val="both"/>
        <w:rPr>
          <w:rFonts w:eastAsia="Arial" w:cs="Arial"/>
          <w:color w:val="000000" w:themeColor="text1"/>
          <w:sz w:val="22"/>
          <w:szCs w:val="22"/>
          <w:u w:val="single"/>
        </w:rPr>
      </w:pPr>
    </w:p>
    <w:p w14:paraId="0892FEAE" w14:textId="77777777" w:rsidR="00716156" w:rsidRPr="0061010A" w:rsidRDefault="00716156" w:rsidP="00716156">
      <w:pPr>
        <w:spacing w:line="276" w:lineRule="auto"/>
        <w:jc w:val="both"/>
        <w:rPr>
          <w:rFonts w:eastAsia="Arial" w:cs="Arial"/>
          <w:color w:val="000000" w:themeColor="text1"/>
          <w:sz w:val="22"/>
          <w:szCs w:val="22"/>
          <w:u w:val="single"/>
        </w:rPr>
      </w:pPr>
      <w:r w:rsidRPr="0061010A">
        <w:rPr>
          <w:rFonts w:eastAsia="Arial" w:cs="Arial"/>
          <w:color w:val="000000" w:themeColor="text1"/>
          <w:sz w:val="22"/>
          <w:szCs w:val="22"/>
          <w:u w:val="single"/>
        </w:rPr>
        <w:t>GESP</w:t>
      </w:r>
    </w:p>
    <w:p w14:paraId="0A4107AC" w14:textId="77777777" w:rsidR="00716156" w:rsidRPr="0061010A" w:rsidRDefault="00716156" w:rsidP="00716156">
      <w:pPr>
        <w:spacing w:line="276" w:lineRule="auto"/>
        <w:jc w:val="both"/>
        <w:rPr>
          <w:rFonts w:eastAsia="Arial" w:cs="Arial"/>
          <w:color w:val="000000" w:themeColor="text1"/>
          <w:sz w:val="22"/>
          <w:szCs w:val="22"/>
        </w:rPr>
      </w:pPr>
      <w:r w:rsidRPr="0061010A">
        <w:rPr>
          <w:rFonts w:eastAsia="Arial" w:cs="Arial"/>
          <w:color w:val="000000" w:themeColor="text1"/>
          <w:sz w:val="22"/>
          <w:szCs w:val="22"/>
        </w:rPr>
        <w:t>GESP is still in the early stages of results reporting with data being reported as soon as the project portfolios advance in implementation and start producing results on the ground. To date, expected results against GHG emissions reductions, MW of clean energy installed, and public and private finance mobilisation have been reported. Achieved results have only been reported for GHG emissions and public finance mobilisation.</w:t>
      </w:r>
    </w:p>
    <w:p w14:paraId="7BCFF645" w14:textId="77777777" w:rsidR="00716156" w:rsidRPr="0061010A" w:rsidRDefault="00716156" w:rsidP="00716156">
      <w:pPr>
        <w:spacing w:line="276" w:lineRule="auto"/>
        <w:jc w:val="both"/>
        <w:rPr>
          <w:rFonts w:eastAsia="Arial" w:cs="Arial"/>
          <w:color w:val="000000" w:themeColor="text1"/>
          <w:sz w:val="22"/>
          <w:szCs w:val="22"/>
          <w:u w:val="single"/>
        </w:rPr>
      </w:pPr>
    </w:p>
    <w:p w14:paraId="7427BC62" w14:textId="77777777" w:rsidR="00716156" w:rsidRPr="0061010A" w:rsidRDefault="00716156" w:rsidP="00716156">
      <w:pPr>
        <w:spacing w:line="276" w:lineRule="auto"/>
        <w:jc w:val="both"/>
        <w:rPr>
          <w:rFonts w:eastAsia="Arial" w:cs="Arial"/>
          <w:color w:val="000000" w:themeColor="text1"/>
          <w:sz w:val="22"/>
          <w:szCs w:val="22"/>
          <w:u w:val="single"/>
        </w:rPr>
      </w:pPr>
      <w:r w:rsidRPr="0061010A">
        <w:rPr>
          <w:rFonts w:eastAsia="Arial" w:cs="Arial"/>
          <w:color w:val="000000" w:themeColor="text1"/>
          <w:sz w:val="22"/>
          <w:szCs w:val="22"/>
          <w:u w:val="single"/>
        </w:rPr>
        <w:t>SREP</w:t>
      </w:r>
    </w:p>
    <w:p w14:paraId="3372FD9A" w14:textId="23D1F62A" w:rsidR="00716156" w:rsidRPr="0061010A" w:rsidRDefault="00716156" w:rsidP="00716156">
      <w:pPr>
        <w:spacing w:line="276" w:lineRule="auto"/>
        <w:jc w:val="both"/>
        <w:rPr>
          <w:rFonts w:eastAsia="Arial" w:cs="Arial"/>
          <w:color w:val="000000" w:themeColor="text1"/>
          <w:sz w:val="22"/>
          <w:szCs w:val="22"/>
          <w:u w:val="single"/>
        </w:rPr>
      </w:pPr>
      <w:r w:rsidRPr="0061010A">
        <w:rPr>
          <w:rFonts w:eastAsia="Arial" w:cs="Arial"/>
          <w:color w:val="000000" w:themeColor="text1"/>
          <w:sz w:val="22"/>
          <w:szCs w:val="22"/>
        </w:rPr>
        <w:t>For SREP, emissions reductions are mainly driven by 3 projects: the Renewable Energy Financing Facility in Honduras (IDB Group), Scaling Up Renewable Energy in Bangladesh (World Bank) and Upscaling Rural Renewable Energy using Solar PV in Mongolia (World Bank).  ‘Upscaling Rural Renewable Energy - Solar PV’ and ‘Sustainable Rural Energization (ERUS)-Part I &amp; III:  Promoting Sustainable Business Models for Clean Cookstoves Dissemination’ projects (IDB) and the Extended Biogas Program</w:t>
      </w:r>
      <w:r w:rsidRPr="0061010A" w:rsidDel="00047795">
        <w:rPr>
          <w:rFonts w:eastAsia="Arial" w:cs="Arial"/>
          <w:color w:val="000000" w:themeColor="text1"/>
          <w:sz w:val="22"/>
          <w:szCs w:val="22"/>
        </w:rPr>
        <w:t xml:space="preserve"> </w:t>
      </w:r>
      <w:r w:rsidRPr="0061010A">
        <w:rPr>
          <w:rFonts w:eastAsia="Arial" w:cs="Arial"/>
          <w:color w:val="000000" w:themeColor="text1"/>
          <w:sz w:val="22"/>
          <w:szCs w:val="22"/>
        </w:rPr>
        <w:t>in Nepal (World Bank)</w:t>
      </w:r>
      <w:r w:rsidRPr="0061010A">
        <w:rPr>
          <w:sz w:val="22"/>
          <w:szCs w:val="22"/>
        </w:rPr>
        <w:t xml:space="preserve"> </w:t>
      </w:r>
      <w:r w:rsidRPr="0061010A">
        <w:rPr>
          <w:rFonts w:eastAsia="Arial" w:cs="Arial"/>
          <w:color w:val="000000" w:themeColor="text1"/>
          <w:sz w:val="22"/>
          <w:szCs w:val="22"/>
        </w:rPr>
        <w:t>also saw significant GHG emission reductions</w:t>
      </w:r>
      <w:r w:rsidR="779810F3" w:rsidRPr="0061010A">
        <w:rPr>
          <w:rFonts w:eastAsia="Arial" w:cs="Arial"/>
          <w:color w:val="000000" w:themeColor="text1"/>
          <w:sz w:val="22"/>
          <w:szCs w:val="22"/>
        </w:rPr>
        <w:t>.</w:t>
      </w:r>
    </w:p>
    <w:p w14:paraId="5D77DC7A" w14:textId="77777777" w:rsidR="00716156" w:rsidRPr="0061010A" w:rsidRDefault="00716156" w:rsidP="00716156">
      <w:pPr>
        <w:spacing w:line="276" w:lineRule="auto"/>
        <w:jc w:val="both"/>
        <w:rPr>
          <w:rFonts w:eastAsia="Arial" w:cs="Arial"/>
          <w:color w:val="000000" w:themeColor="text1"/>
          <w:sz w:val="22"/>
          <w:szCs w:val="22"/>
        </w:rPr>
      </w:pPr>
    </w:p>
    <w:p w14:paraId="5A5224DC" w14:textId="02FD86B3" w:rsidR="00716156" w:rsidRPr="0061010A" w:rsidRDefault="00716156" w:rsidP="00716156">
      <w:pPr>
        <w:spacing w:line="276" w:lineRule="auto"/>
        <w:jc w:val="both"/>
        <w:rPr>
          <w:rFonts w:eastAsia="Arial" w:cs="Arial"/>
          <w:color w:val="000000" w:themeColor="text1"/>
          <w:sz w:val="22"/>
          <w:szCs w:val="22"/>
        </w:rPr>
      </w:pPr>
      <w:r w:rsidRPr="0061010A">
        <w:rPr>
          <w:rFonts w:eastAsia="Arial" w:cs="Arial"/>
          <w:color w:val="000000" w:themeColor="text1"/>
          <w:sz w:val="22"/>
          <w:szCs w:val="22"/>
        </w:rPr>
        <w:t xml:space="preserve">Achieved results remain relatively low compared with expected results; so far, of the 45 projects with a GHG emissions target, only 21 projects are reporting GHG savings. That said, more progress has been made with the installation of clean energy (MW); the SREP has installed 132MW of its 353MW lifetime target (attributed), which is the equivalent of over </w:t>
      </w:r>
      <w:r w:rsidR="00147316" w:rsidRPr="0061010A">
        <w:rPr>
          <w:rFonts w:eastAsia="Arial" w:cs="Arial"/>
          <w:color w:val="000000" w:themeColor="text1"/>
          <w:sz w:val="22"/>
          <w:szCs w:val="22"/>
        </w:rPr>
        <w:t>2</w:t>
      </w:r>
      <w:r w:rsidRPr="0061010A">
        <w:rPr>
          <w:rFonts w:eastAsia="Arial" w:cs="Arial"/>
          <w:color w:val="000000" w:themeColor="text1"/>
          <w:sz w:val="22"/>
          <w:szCs w:val="22"/>
        </w:rPr>
        <w:t>0 average-sized UK offshore wind turbines</w:t>
      </w:r>
      <w:r w:rsidRPr="0061010A">
        <w:rPr>
          <w:rStyle w:val="FootnoteReference"/>
          <w:rFonts w:eastAsia="Arial" w:cs="Arial"/>
          <w:color w:val="000000" w:themeColor="text1"/>
          <w:sz w:val="22"/>
          <w:szCs w:val="22"/>
        </w:rPr>
        <w:footnoteReference w:id="6"/>
      </w:r>
      <w:r w:rsidRPr="0061010A">
        <w:rPr>
          <w:rFonts w:eastAsia="Arial" w:cs="Arial"/>
          <w:color w:val="000000" w:themeColor="text1"/>
          <w:sz w:val="22"/>
          <w:szCs w:val="22"/>
        </w:rPr>
        <w:t xml:space="preserve">.  </w:t>
      </w:r>
    </w:p>
    <w:p w14:paraId="1C5D0562" w14:textId="77777777" w:rsidR="00716156" w:rsidRPr="0061010A" w:rsidRDefault="00716156" w:rsidP="00716156">
      <w:pPr>
        <w:spacing w:line="276" w:lineRule="auto"/>
        <w:jc w:val="both"/>
        <w:rPr>
          <w:rFonts w:eastAsia="Arial" w:cs="Arial"/>
          <w:color w:val="000000" w:themeColor="text1"/>
          <w:sz w:val="22"/>
          <w:szCs w:val="22"/>
        </w:rPr>
      </w:pPr>
    </w:p>
    <w:p w14:paraId="37A444F0" w14:textId="77777777" w:rsidR="00716156" w:rsidRPr="0061010A" w:rsidRDefault="00716156" w:rsidP="00716156">
      <w:pPr>
        <w:spacing w:line="276" w:lineRule="auto"/>
        <w:jc w:val="both"/>
        <w:rPr>
          <w:rFonts w:eastAsia="Arial" w:cs="Arial"/>
          <w:color w:val="000000" w:themeColor="text1"/>
          <w:sz w:val="22"/>
          <w:szCs w:val="22"/>
          <w:u w:val="single"/>
        </w:rPr>
      </w:pPr>
      <w:r w:rsidRPr="0061010A">
        <w:rPr>
          <w:rFonts w:eastAsia="Arial" w:cs="Arial"/>
          <w:color w:val="000000" w:themeColor="text1"/>
          <w:sz w:val="22"/>
          <w:szCs w:val="22"/>
          <w:u w:val="single"/>
        </w:rPr>
        <w:t xml:space="preserve">FIP </w:t>
      </w:r>
    </w:p>
    <w:p w14:paraId="33F577D7" w14:textId="77777777" w:rsidR="00716156" w:rsidRPr="0061010A" w:rsidRDefault="00716156" w:rsidP="00716156">
      <w:pPr>
        <w:spacing w:line="276" w:lineRule="auto"/>
        <w:jc w:val="both"/>
        <w:rPr>
          <w:rFonts w:eastAsia="Arial" w:cs="Arial"/>
          <w:color w:val="000000" w:themeColor="text1"/>
          <w:sz w:val="22"/>
          <w:szCs w:val="22"/>
        </w:rPr>
      </w:pPr>
      <w:r w:rsidRPr="0061010A">
        <w:rPr>
          <w:rFonts w:eastAsia="Arial" w:cs="Arial"/>
          <w:color w:val="000000" w:themeColor="text1"/>
          <w:sz w:val="22"/>
          <w:szCs w:val="22"/>
        </w:rPr>
        <w:t>After the CTF, FIP is the sub-fund with the second largest achieved GHG emissions reductions. With only 16 of the 56 MDB-approved projects reporting non-zero results for cumulative GHG emissions reductions, FIP has achieved nearly a third of its expectations.</w:t>
      </w:r>
    </w:p>
    <w:p w14:paraId="6B0345F9" w14:textId="77777777" w:rsidR="00716156" w:rsidRPr="0061010A" w:rsidRDefault="00716156" w:rsidP="00716156">
      <w:pPr>
        <w:spacing w:line="276" w:lineRule="auto"/>
        <w:jc w:val="both"/>
        <w:rPr>
          <w:rFonts w:eastAsia="Arial" w:cs="Arial"/>
          <w:color w:val="000000" w:themeColor="text1"/>
          <w:sz w:val="22"/>
          <w:szCs w:val="22"/>
        </w:rPr>
      </w:pPr>
    </w:p>
    <w:p w14:paraId="77A05D9C" w14:textId="77777777" w:rsidR="00716156" w:rsidRPr="0061010A" w:rsidRDefault="00716156" w:rsidP="00716156">
      <w:pPr>
        <w:spacing w:line="276" w:lineRule="auto"/>
        <w:jc w:val="both"/>
        <w:rPr>
          <w:rFonts w:eastAsia="Arial" w:cs="Arial"/>
          <w:color w:val="000000" w:themeColor="text1"/>
          <w:sz w:val="22"/>
          <w:szCs w:val="22"/>
        </w:rPr>
      </w:pPr>
      <w:r w:rsidRPr="0061010A">
        <w:rPr>
          <w:rFonts w:eastAsia="Arial" w:cs="Arial"/>
          <w:color w:val="000000" w:themeColor="text1"/>
          <w:sz w:val="22"/>
          <w:szCs w:val="22"/>
        </w:rPr>
        <w:t>The following projects make up nearly 60% of FIP’s GHG emissions achieved results to date: Improved Forested Landscape Management Project (IFLMP) in the DRC (IBRD), Forest Investment Project in Cote d'Ivoire (IBRD), Enhancing Natural Forest and Agroforest Landscapes Project in Ghana (IBRD) and Decentralized Forest and Woodland Management in Burkina Faso (IBRD).</w:t>
      </w:r>
    </w:p>
    <w:p w14:paraId="5E342920" w14:textId="77777777" w:rsidR="00716156" w:rsidRPr="0061010A" w:rsidRDefault="00716156" w:rsidP="00716156">
      <w:pPr>
        <w:spacing w:line="276" w:lineRule="auto"/>
        <w:ind w:firstLine="720"/>
        <w:jc w:val="both"/>
        <w:rPr>
          <w:rFonts w:eastAsia="Arial" w:cs="Arial"/>
          <w:color w:val="000000" w:themeColor="text1"/>
          <w:sz w:val="22"/>
          <w:szCs w:val="22"/>
        </w:rPr>
      </w:pPr>
    </w:p>
    <w:p w14:paraId="121A896B" w14:textId="77777777" w:rsidR="00716156" w:rsidRPr="0061010A" w:rsidRDefault="00716156" w:rsidP="00716156">
      <w:pPr>
        <w:spacing w:line="276" w:lineRule="auto"/>
        <w:jc w:val="both"/>
        <w:rPr>
          <w:rFonts w:eastAsia="Arial" w:cs="Arial"/>
          <w:color w:val="000000" w:themeColor="text1"/>
          <w:sz w:val="22"/>
          <w:szCs w:val="22"/>
        </w:rPr>
      </w:pPr>
      <w:r w:rsidRPr="0061010A">
        <w:rPr>
          <w:rFonts w:eastAsia="Arial" w:cs="Arial"/>
          <w:color w:val="000000" w:themeColor="text1"/>
          <w:sz w:val="22"/>
          <w:szCs w:val="22"/>
        </w:rPr>
        <w:t>FIP has achieved over 83% of the expected number of people supported to cope with the effects of climate change, showing that it is making good progress against this indicator. Five projects are currently making up over half of the cumulative achieved number of people supported, namely, Decentralized Forest and Woodland Management, Environmental Regularization of Rural Lands in the Cerrado of Brazil (IBRD), Gazetted Forests Participatory Management Project for REDD+ (PGFC/REDD+) in Burkina Faso (AfDB), Improved Forested Landscape Management Project (IFLMP) in DRC (IBRD), and Forests for Prosperity in Nepal (IBRD). Of the achieved results which can be disaggregated by sex, 30% of people supported were women.</w:t>
      </w:r>
    </w:p>
    <w:p w14:paraId="1F168AB7" w14:textId="77777777" w:rsidR="00716156" w:rsidRPr="0061010A" w:rsidRDefault="00716156" w:rsidP="00716156">
      <w:pPr>
        <w:spacing w:line="276" w:lineRule="auto"/>
        <w:jc w:val="both"/>
        <w:rPr>
          <w:rFonts w:eastAsia="Arial" w:cs="Arial"/>
          <w:color w:val="000000" w:themeColor="text1"/>
          <w:sz w:val="22"/>
          <w:szCs w:val="22"/>
          <w:u w:val="single"/>
        </w:rPr>
      </w:pPr>
    </w:p>
    <w:p w14:paraId="3ED454D7" w14:textId="77777777" w:rsidR="00716156" w:rsidRPr="0061010A" w:rsidRDefault="00716156" w:rsidP="00716156">
      <w:pPr>
        <w:spacing w:line="276" w:lineRule="auto"/>
        <w:jc w:val="both"/>
        <w:rPr>
          <w:rFonts w:eastAsia="Arial" w:cs="Arial"/>
          <w:color w:val="000000" w:themeColor="text1"/>
          <w:sz w:val="22"/>
          <w:szCs w:val="22"/>
          <w:u w:val="single"/>
        </w:rPr>
      </w:pPr>
      <w:r w:rsidRPr="0061010A">
        <w:rPr>
          <w:rFonts w:eastAsia="Arial" w:cs="Arial"/>
          <w:color w:val="000000" w:themeColor="text1"/>
          <w:sz w:val="22"/>
          <w:szCs w:val="22"/>
          <w:u w:val="single"/>
        </w:rPr>
        <w:t>PPCR</w:t>
      </w:r>
    </w:p>
    <w:p w14:paraId="6B4973AF" w14:textId="06182AD6" w:rsidR="00716156" w:rsidRPr="0061010A" w:rsidRDefault="00716156" w:rsidP="00507D4E">
      <w:pPr>
        <w:spacing w:line="276" w:lineRule="auto"/>
        <w:jc w:val="both"/>
        <w:rPr>
          <w:rFonts w:eastAsia="Arial" w:cs="Arial"/>
          <w:color w:val="000000" w:themeColor="text1"/>
          <w:sz w:val="22"/>
          <w:szCs w:val="22"/>
        </w:rPr>
      </w:pPr>
      <w:r w:rsidRPr="0061010A">
        <w:rPr>
          <w:rFonts w:eastAsia="Arial" w:cs="Arial"/>
          <w:color w:val="000000" w:themeColor="text1"/>
          <w:sz w:val="22"/>
          <w:szCs w:val="22"/>
        </w:rPr>
        <w:t>PPCR’s cumulative achieved results against the number of people supported to cope with the effects of climate change make up 90% of its expectations. These achieved results are driven by the Roads &amp; Bridges Management and Maintenance Project - APL2 in Mozambique (IBRD), Community Action Project for Climate Resilience (CAPCR) in Niger (IBRD), and Coastal Climate Resilient Infrastructure Project in Bangladesh (ADB) which make up nearly 55% of results. Of the achieved results which can be disaggregated by sex, 45% of people supported were women.</w:t>
      </w:r>
    </w:p>
    <w:p w14:paraId="7BE7E08E" w14:textId="77777777" w:rsidR="00716156" w:rsidRDefault="00716156" w:rsidP="00507D4E">
      <w:pPr>
        <w:pStyle w:val="Heading2"/>
        <w:rPr>
          <w:rFonts w:eastAsia="Arial"/>
        </w:rPr>
      </w:pPr>
      <w:bookmarkStart w:id="10" w:name="_Toc224897458"/>
      <w:r w:rsidRPr="002E47AC">
        <w:rPr>
          <w:rFonts w:eastAsia="Arial"/>
        </w:rPr>
        <w:t xml:space="preserve">Has the </w:t>
      </w:r>
      <w:proofErr w:type="spellStart"/>
      <w:r w:rsidRPr="002E47AC">
        <w:rPr>
          <w:rFonts w:eastAsia="Arial"/>
        </w:rPr>
        <w:t>Logframe</w:t>
      </w:r>
      <w:proofErr w:type="spellEnd"/>
      <w:r w:rsidRPr="002E47AC">
        <w:rPr>
          <w:rFonts w:eastAsia="Arial"/>
        </w:rPr>
        <w:t xml:space="preserve"> been updated since the last review?</w:t>
      </w:r>
      <w:bookmarkEnd w:id="10"/>
      <w:r w:rsidRPr="002E47AC">
        <w:rPr>
          <w:rFonts w:eastAsia="Arial"/>
        </w:rPr>
        <w:t xml:space="preserve"> </w:t>
      </w:r>
    </w:p>
    <w:p w14:paraId="13305C70" w14:textId="77777777" w:rsidR="00507D4E" w:rsidRPr="00507D4E" w:rsidRDefault="00507D4E" w:rsidP="00507D4E">
      <w:pPr>
        <w:rPr>
          <w:rFonts w:eastAsia="Arial"/>
        </w:rPr>
      </w:pPr>
    </w:p>
    <w:p w14:paraId="099E9BA7" w14:textId="77777777" w:rsidR="00716156" w:rsidRPr="0061010A" w:rsidRDefault="00716156" w:rsidP="00716156">
      <w:pPr>
        <w:spacing w:line="276" w:lineRule="auto"/>
        <w:jc w:val="both"/>
        <w:rPr>
          <w:rFonts w:eastAsia="Arial" w:cs="Arial"/>
          <w:color w:val="000000" w:themeColor="text1"/>
          <w:sz w:val="22"/>
          <w:szCs w:val="22"/>
        </w:rPr>
      </w:pPr>
      <w:r w:rsidRPr="0061010A">
        <w:rPr>
          <w:rFonts w:eastAsia="Arial" w:cs="Arial"/>
          <w:color w:val="000000" w:themeColor="text1"/>
          <w:sz w:val="22"/>
          <w:szCs w:val="22"/>
        </w:rPr>
        <w:t xml:space="preserve">The CIFs </w:t>
      </w:r>
      <w:proofErr w:type="spellStart"/>
      <w:r w:rsidRPr="0061010A">
        <w:rPr>
          <w:rFonts w:eastAsia="Arial" w:cs="Arial"/>
          <w:color w:val="000000" w:themeColor="text1"/>
          <w:sz w:val="22"/>
          <w:szCs w:val="22"/>
        </w:rPr>
        <w:t>Logframe</w:t>
      </w:r>
      <w:proofErr w:type="spellEnd"/>
      <w:r w:rsidRPr="0061010A">
        <w:rPr>
          <w:rFonts w:eastAsia="Arial" w:cs="Arial"/>
          <w:color w:val="000000" w:themeColor="text1"/>
          <w:sz w:val="22"/>
          <w:szCs w:val="22"/>
        </w:rPr>
        <w:t xml:space="preserve"> review was completed in 2025. The </w:t>
      </w:r>
      <w:proofErr w:type="spellStart"/>
      <w:r w:rsidRPr="0061010A">
        <w:rPr>
          <w:rFonts w:eastAsia="Arial" w:cs="Arial"/>
          <w:color w:val="000000" w:themeColor="text1"/>
          <w:sz w:val="22"/>
          <w:szCs w:val="22"/>
        </w:rPr>
        <w:t>Logframe</w:t>
      </w:r>
      <w:proofErr w:type="spellEnd"/>
      <w:r w:rsidRPr="0061010A">
        <w:rPr>
          <w:rFonts w:eastAsia="Arial" w:cs="Arial"/>
          <w:color w:val="000000" w:themeColor="text1"/>
          <w:sz w:val="22"/>
          <w:szCs w:val="22"/>
        </w:rPr>
        <w:t xml:space="preserve"> update included a review of all indicators and associated milestones. The update was required to better capture the CIFs breadth of impact and the progress of new programmes that had been added to the fund in more recent years. The new </w:t>
      </w:r>
      <w:proofErr w:type="spellStart"/>
      <w:r w:rsidRPr="0061010A">
        <w:rPr>
          <w:rFonts w:eastAsia="Arial" w:cs="Arial"/>
          <w:color w:val="000000" w:themeColor="text1"/>
          <w:sz w:val="22"/>
          <w:szCs w:val="22"/>
        </w:rPr>
        <w:t>Logframe</w:t>
      </w:r>
      <w:proofErr w:type="spellEnd"/>
      <w:r w:rsidRPr="0061010A">
        <w:rPr>
          <w:rFonts w:eastAsia="Arial" w:cs="Arial"/>
          <w:color w:val="000000" w:themeColor="text1"/>
          <w:sz w:val="22"/>
          <w:szCs w:val="22"/>
        </w:rPr>
        <w:t xml:space="preserve"> is structured as follows:</w:t>
      </w:r>
    </w:p>
    <w:p w14:paraId="24C61715" w14:textId="77777777" w:rsidR="00716156" w:rsidRPr="0061010A" w:rsidRDefault="00716156" w:rsidP="00716156">
      <w:pPr>
        <w:spacing w:line="276" w:lineRule="auto"/>
        <w:jc w:val="both"/>
        <w:rPr>
          <w:rFonts w:eastAsia="Arial" w:cs="Arial"/>
          <w:color w:val="000000" w:themeColor="text1"/>
          <w:sz w:val="22"/>
          <w:szCs w:val="22"/>
        </w:rPr>
      </w:pPr>
    </w:p>
    <w:p w14:paraId="5E704A0F" w14:textId="77777777" w:rsidR="00716156" w:rsidRPr="0061010A" w:rsidRDefault="00716156" w:rsidP="00BB2F6C">
      <w:pPr>
        <w:pStyle w:val="ListParagraph"/>
        <w:numPr>
          <w:ilvl w:val="0"/>
          <w:numId w:val="35"/>
        </w:numPr>
        <w:spacing w:after="0" w:line="276" w:lineRule="auto"/>
        <w:jc w:val="both"/>
        <w:rPr>
          <w:rFonts w:eastAsia="Arial" w:cs="Arial"/>
          <w:color w:val="000000" w:themeColor="text1"/>
          <w:sz w:val="22"/>
          <w:szCs w:val="22"/>
        </w:rPr>
      </w:pPr>
      <w:r w:rsidRPr="0061010A">
        <w:rPr>
          <w:rFonts w:eastAsia="Arial" w:cs="Arial"/>
          <w:color w:val="000000" w:themeColor="text1"/>
          <w:sz w:val="22"/>
          <w:szCs w:val="22"/>
        </w:rPr>
        <w:t>Impact indicators capture country level and global progress in line with the CIFs strategic objectives. Indicators include progress against transformational change and the tracking of Nationally Determined Contributions (NDCs) and the Sustainable Development Goals (SDGs).</w:t>
      </w:r>
    </w:p>
    <w:p w14:paraId="14D5FB97" w14:textId="77777777" w:rsidR="00716156" w:rsidRPr="0061010A" w:rsidRDefault="00716156" w:rsidP="00BB2F6C">
      <w:pPr>
        <w:pStyle w:val="ListParagraph"/>
        <w:numPr>
          <w:ilvl w:val="0"/>
          <w:numId w:val="35"/>
        </w:numPr>
        <w:spacing w:after="0" w:line="276" w:lineRule="auto"/>
        <w:jc w:val="both"/>
        <w:rPr>
          <w:rFonts w:eastAsia="Arial" w:cs="Arial"/>
          <w:color w:val="000000" w:themeColor="text1"/>
          <w:sz w:val="22"/>
          <w:szCs w:val="22"/>
        </w:rPr>
      </w:pPr>
      <w:r w:rsidRPr="0061010A">
        <w:rPr>
          <w:rFonts w:eastAsia="Arial" w:cs="Arial"/>
          <w:color w:val="000000" w:themeColor="text1"/>
          <w:sz w:val="22"/>
          <w:szCs w:val="22"/>
        </w:rPr>
        <w:t>Outcome level indicators track programme level key results areas to assess the effectiveness of the CIFs in achieving results as an integral part of the multilateral system. Indicators include the number of people supported to better adapt to the effects of climate change, number of people with improved access to clean energy, installed capacity of clean energy and the area under sustainable land management practices.</w:t>
      </w:r>
    </w:p>
    <w:p w14:paraId="70219709" w14:textId="66858CAC" w:rsidR="00716156" w:rsidRPr="0061010A" w:rsidRDefault="00716156" w:rsidP="00BB2F6C">
      <w:pPr>
        <w:pStyle w:val="ListParagraph"/>
        <w:numPr>
          <w:ilvl w:val="0"/>
          <w:numId w:val="35"/>
        </w:numPr>
        <w:spacing w:after="0" w:line="276" w:lineRule="auto"/>
        <w:jc w:val="both"/>
        <w:rPr>
          <w:rFonts w:eastAsia="Arial" w:cs="Arial"/>
          <w:color w:val="000000" w:themeColor="text1"/>
          <w:sz w:val="22"/>
          <w:szCs w:val="22"/>
        </w:rPr>
      </w:pPr>
      <w:r w:rsidRPr="0061010A">
        <w:rPr>
          <w:rFonts w:eastAsia="Arial" w:cs="Arial"/>
          <w:color w:val="000000" w:themeColor="text1"/>
          <w:sz w:val="22"/>
          <w:szCs w:val="22"/>
        </w:rPr>
        <w:t>Output level indicators are split into three categories:</w:t>
      </w:r>
    </w:p>
    <w:p w14:paraId="53AC238A" w14:textId="77777777" w:rsidR="00716156" w:rsidRPr="0061010A" w:rsidRDefault="00716156" w:rsidP="00716156">
      <w:pPr>
        <w:pStyle w:val="ListParagraph"/>
        <w:numPr>
          <w:ilvl w:val="1"/>
          <w:numId w:val="28"/>
        </w:numPr>
        <w:spacing w:after="0" w:line="276" w:lineRule="auto"/>
        <w:jc w:val="both"/>
        <w:rPr>
          <w:rFonts w:eastAsia="Arial" w:cs="Arial"/>
          <w:color w:val="000000" w:themeColor="text1"/>
          <w:sz w:val="22"/>
          <w:szCs w:val="22"/>
        </w:rPr>
      </w:pPr>
      <w:r w:rsidRPr="0061010A">
        <w:rPr>
          <w:rFonts w:eastAsia="Arial" w:cs="Arial"/>
          <w:color w:val="000000" w:themeColor="text1"/>
          <w:sz w:val="22"/>
          <w:szCs w:val="22"/>
        </w:rPr>
        <w:t>Output 1 focuses on the CIFs financial management of donor funds and its ability to mobilise public/private finance at scale.</w:t>
      </w:r>
    </w:p>
    <w:p w14:paraId="0DDC34EF" w14:textId="77777777" w:rsidR="00716156" w:rsidRPr="0061010A" w:rsidRDefault="00716156" w:rsidP="00716156">
      <w:pPr>
        <w:pStyle w:val="ListParagraph"/>
        <w:numPr>
          <w:ilvl w:val="1"/>
          <w:numId w:val="28"/>
        </w:numPr>
        <w:spacing w:after="0" w:line="276" w:lineRule="auto"/>
        <w:jc w:val="both"/>
        <w:rPr>
          <w:rFonts w:eastAsia="Arial" w:cs="Arial"/>
          <w:color w:val="000000" w:themeColor="text1"/>
          <w:sz w:val="22"/>
          <w:szCs w:val="22"/>
        </w:rPr>
      </w:pPr>
      <w:r w:rsidRPr="0061010A">
        <w:rPr>
          <w:rFonts w:eastAsia="Arial" w:cs="Arial"/>
          <w:color w:val="000000" w:themeColor="text1"/>
          <w:sz w:val="22"/>
          <w:szCs w:val="22"/>
        </w:rPr>
        <w:t>Output 2 focus on the UK strategic priorities for the future direction of the CIFs.</w:t>
      </w:r>
    </w:p>
    <w:p w14:paraId="722B6607" w14:textId="7BC2D255" w:rsidR="00716156" w:rsidRPr="0061010A" w:rsidRDefault="00716156" w:rsidP="00716156">
      <w:pPr>
        <w:pStyle w:val="ListParagraph"/>
        <w:numPr>
          <w:ilvl w:val="1"/>
          <w:numId w:val="28"/>
        </w:numPr>
        <w:spacing w:after="0" w:line="276" w:lineRule="auto"/>
        <w:jc w:val="both"/>
        <w:rPr>
          <w:rFonts w:eastAsia="Arial" w:cs="Arial"/>
          <w:color w:val="000000" w:themeColor="text1"/>
          <w:sz w:val="22"/>
          <w:szCs w:val="22"/>
        </w:rPr>
      </w:pPr>
      <w:r w:rsidRPr="0061010A">
        <w:rPr>
          <w:rFonts w:eastAsia="Arial" w:cs="Arial"/>
          <w:color w:val="000000" w:themeColor="text1"/>
          <w:sz w:val="22"/>
          <w:szCs w:val="22"/>
        </w:rPr>
        <w:t xml:space="preserve">Output 3 focuses on progress on the implementation of new CIFs programme initiatives which are in the early stages of delivery. </w:t>
      </w:r>
    </w:p>
    <w:p w14:paraId="49E92BB0" w14:textId="2F117CBE" w:rsidR="00716156" w:rsidRPr="007A54FD" w:rsidRDefault="00716156" w:rsidP="000A1E7C">
      <w:pPr>
        <w:pStyle w:val="Heading2"/>
        <w:rPr>
          <w:rFonts w:eastAsia="Arial"/>
        </w:rPr>
      </w:pPr>
      <w:bookmarkStart w:id="11" w:name="_Toc224897459"/>
      <w:r w:rsidRPr="007A54FD">
        <w:rPr>
          <w:rFonts w:eastAsia="Arial"/>
        </w:rPr>
        <w:t>Justify whether the Programme should continue, based on its own merits and in the context of the wider portfolio.</w:t>
      </w:r>
      <w:bookmarkEnd w:id="11"/>
      <w:r w:rsidRPr="007A54FD">
        <w:rPr>
          <w:rFonts w:eastAsia="Arial"/>
        </w:rPr>
        <w:t xml:space="preserve"> </w:t>
      </w:r>
    </w:p>
    <w:p w14:paraId="00826222" w14:textId="77777777" w:rsidR="00716156" w:rsidRPr="007A54FD" w:rsidRDefault="00716156" w:rsidP="00716156">
      <w:pPr>
        <w:spacing w:line="276" w:lineRule="auto"/>
        <w:jc w:val="both"/>
        <w:rPr>
          <w:rFonts w:eastAsia="Arial" w:cs="Arial"/>
          <w:b/>
          <w:bCs/>
          <w:color w:val="000000" w:themeColor="text1"/>
          <w:sz w:val="22"/>
          <w:szCs w:val="22"/>
        </w:rPr>
      </w:pPr>
    </w:p>
    <w:p w14:paraId="113DD7CE" w14:textId="77777777" w:rsidR="00716156" w:rsidRPr="0061010A" w:rsidRDefault="00716156" w:rsidP="00BA7437">
      <w:pPr>
        <w:jc w:val="both"/>
        <w:rPr>
          <w:rFonts w:eastAsia="Arial" w:cs="Arial"/>
          <w:color w:val="000000" w:themeColor="text1"/>
          <w:sz w:val="22"/>
          <w:szCs w:val="22"/>
        </w:rPr>
      </w:pPr>
      <w:r w:rsidRPr="0061010A">
        <w:rPr>
          <w:rFonts w:eastAsia="Arial" w:cs="Arial"/>
          <w:color w:val="000000" w:themeColor="text1"/>
          <w:sz w:val="22"/>
          <w:szCs w:val="22"/>
        </w:rPr>
        <w:t>Continuing UK contributions to the Climate Investment Funds (CIF) is justified both on their standalone performance and within the wider International Climate Finance (ICF) portfolio.</w:t>
      </w:r>
    </w:p>
    <w:p w14:paraId="0C8CBDA6" w14:textId="77777777" w:rsidR="00716156" w:rsidRPr="0061010A" w:rsidRDefault="00716156" w:rsidP="00BA7437">
      <w:pPr>
        <w:jc w:val="both"/>
        <w:rPr>
          <w:rFonts w:eastAsia="Arial" w:cs="Arial"/>
          <w:color w:val="000000" w:themeColor="text1"/>
          <w:sz w:val="22"/>
          <w:szCs w:val="22"/>
        </w:rPr>
      </w:pPr>
    </w:p>
    <w:p w14:paraId="0E544B8B" w14:textId="77777777" w:rsidR="00716156" w:rsidRPr="0061010A" w:rsidRDefault="00716156" w:rsidP="00BA7437">
      <w:pPr>
        <w:jc w:val="both"/>
        <w:rPr>
          <w:rFonts w:eastAsia="Arial" w:cs="Arial"/>
          <w:color w:val="000000" w:themeColor="text1"/>
          <w:sz w:val="22"/>
          <w:szCs w:val="22"/>
        </w:rPr>
      </w:pPr>
      <w:r w:rsidRPr="0061010A">
        <w:rPr>
          <w:rFonts w:eastAsia="Arial" w:cs="Arial"/>
          <w:color w:val="000000" w:themeColor="text1"/>
          <w:sz w:val="22"/>
          <w:szCs w:val="22"/>
        </w:rPr>
        <w:t>On their own merits, the CIF have a strong track record of delivering large-scale, transformational climate investments in emerging economies. They use MDB delivery partners to mobilise significant co-financing from the private sector and other donors, stretching UK capital further. CIF are also relatively agile and innovative, piloting new approaches (e.g. renewable energy integration, nature and resilience) that can later be mainstreamed into core MDB operations. Their governance structure gives the UK meaningful influence over decisions and strategy, supporting high standards on climate ambition, development impact, and value for money.</w:t>
      </w:r>
    </w:p>
    <w:p w14:paraId="52E2DCDA" w14:textId="77777777" w:rsidR="00716156" w:rsidRPr="0061010A" w:rsidRDefault="00716156" w:rsidP="00BA7437">
      <w:pPr>
        <w:jc w:val="both"/>
        <w:rPr>
          <w:rFonts w:eastAsia="Arial" w:cs="Arial"/>
          <w:color w:val="000000" w:themeColor="text1"/>
          <w:sz w:val="22"/>
          <w:szCs w:val="22"/>
        </w:rPr>
      </w:pPr>
    </w:p>
    <w:p w14:paraId="75527C19" w14:textId="07C17FA7" w:rsidR="001D13E6" w:rsidRPr="0061010A" w:rsidRDefault="00716156" w:rsidP="00BA7437">
      <w:pPr>
        <w:jc w:val="both"/>
        <w:rPr>
          <w:rFonts w:eastAsia="Arial" w:cs="Arial"/>
          <w:color w:val="000000" w:themeColor="text1"/>
          <w:sz w:val="22"/>
          <w:szCs w:val="22"/>
        </w:rPr>
      </w:pPr>
      <w:r w:rsidRPr="0061010A">
        <w:rPr>
          <w:rFonts w:eastAsia="Arial" w:cs="Arial"/>
          <w:color w:val="000000" w:themeColor="text1"/>
          <w:sz w:val="22"/>
          <w:szCs w:val="22"/>
        </w:rPr>
        <w:t xml:space="preserve">Within the broader ICF portfolio, CIF play a complementary </w:t>
      </w:r>
      <w:r w:rsidR="009D6DFA" w:rsidRPr="0061010A">
        <w:rPr>
          <w:rFonts w:eastAsia="Arial" w:cs="Arial"/>
          <w:color w:val="000000" w:themeColor="text1"/>
          <w:sz w:val="22"/>
          <w:szCs w:val="22"/>
        </w:rPr>
        <w:t>and increasingly strategic system-wide role. Through active engagement in the Joint Plan for Enhancing Complementarity and Coherence of the Multilateral Climate Funds (with the Adaptation Fund, GEF and GCF), CIF is helping reduce fragmentation, harmonise standards and strengthen coordination across the climate finance architecture—particularly through leadership on gender equality and social inclusion.</w:t>
      </w:r>
      <w:r w:rsidR="00F30555" w:rsidRPr="0061010A">
        <w:rPr>
          <w:rFonts w:eastAsia="Arial" w:cs="Arial"/>
          <w:color w:val="000000" w:themeColor="text1"/>
          <w:sz w:val="22"/>
          <w:szCs w:val="22"/>
        </w:rPr>
        <w:t xml:space="preserve"> At the same time, </w:t>
      </w:r>
      <w:r w:rsidRPr="0061010A">
        <w:rPr>
          <w:rFonts w:eastAsia="Arial" w:cs="Arial"/>
          <w:color w:val="000000" w:themeColor="text1"/>
          <w:sz w:val="22"/>
          <w:szCs w:val="22"/>
        </w:rPr>
        <w:t>CIF bridge</w:t>
      </w:r>
      <w:r w:rsidR="00FE03C2" w:rsidRPr="0061010A">
        <w:rPr>
          <w:rFonts w:eastAsia="Arial" w:cs="Arial"/>
          <w:color w:val="000000" w:themeColor="text1"/>
          <w:sz w:val="22"/>
          <w:szCs w:val="22"/>
        </w:rPr>
        <w:t>s</w:t>
      </w:r>
      <w:r w:rsidRPr="0061010A">
        <w:rPr>
          <w:rFonts w:eastAsia="Arial" w:cs="Arial"/>
          <w:color w:val="000000" w:themeColor="text1"/>
          <w:sz w:val="22"/>
          <w:szCs w:val="22"/>
        </w:rPr>
        <w:t xml:space="preserve"> bilateral and core MDB finance, </w:t>
      </w:r>
      <w:r w:rsidR="00200CDE" w:rsidRPr="0061010A">
        <w:rPr>
          <w:rFonts w:eastAsia="Arial" w:cs="Arial"/>
          <w:color w:val="000000" w:themeColor="text1"/>
          <w:sz w:val="22"/>
          <w:szCs w:val="22"/>
        </w:rPr>
        <w:t>and provides the UK with meaningful influence over multilateral climate priorities.</w:t>
      </w:r>
      <w:r w:rsidRPr="0061010A">
        <w:rPr>
          <w:rFonts w:eastAsia="Arial" w:cs="Arial"/>
          <w:color w:val="000000" w:themeColor="text1"/>
          <w:sz w:val="22"/>
          <w:szCs w:val="22"/>
        </w:rPr>
        <w:t xml:space="preserve"> Continued engagement </w:t>
      </w:r>
      <w:r w:rsidR="005F7F2A" w:rsidRPr="0061010A">
        <w:rPr>
          <w:rFonts w:eastAsia="Arial" w:cs="Arial"/>
          <w:color w:val="000000" w:themeColor="text1"/>
          <w:sz w:val="22"/>
          <w:szCs w:val="22"/>
        </w:rPr>
        <w:t xml:space="preserve">therefore supports both programme delivery, and a more </w:t>
      </w:r>
      <w:r w:rsidR="00465226" w:rsidRPr="0061010A">
        <w:rPr>
          <w:rFonts w:eastAsia="Arial" w:cs="Arial"/>
          <w:color w:val="000000" w:themeColor="text1"/>
          <w:sz w:val="22"/>
          <w:szCs w:val="22"/>
        </w:rPr>
        <w:t>coherent, inclusive and strategically aligned global climate finance system, reinforcing UK leadership ahead of international climate negotiations.</w:t>
      </w:r>
    </w:p>
    <w:p w14:paraId="590755C9" w14:textId="77777777" w:rsidR="00465226" w:rsidRPr="0061010A" w:rsidRDefault="00465226" w:rsidP="00716156">
      <w:pPr>
        <w:rPr>
          <w:rFonts w:eastAsia="Arial" w:cs="Arial"/>
          <w:color w:val="000000" w:themeColor="text1"/>
          <w:sz w:val="22"/>
          <w:szCs w:val="22"/>
        </w:rPr>
      </w:pPr>
    </w:p>
    <w:p w14:paraId="63CDC9F3" w14:textId="68C950C2" w:rsidR="00CB2873" w:rsidRDefault="00CB2873" w:rsidP="004D5FD5">
      <w:pPr>
        <w:jc w:val="both"/>
        <w:rPr>
          <w:rFonts w:cs="Arial"/>
          <w:sz w:val="22"/>
          <w:szCs w:val="22"/>
          <w:lang w:val="en" w:eastAsia="en-GB"/>
        </w:rPr>
      </w:pPr>
    </w:p>
    <w:tbl>
      <w:tblPr>
        <w:tblStyle w:val="TableGrid"/>
        <w:tblW w:w="0" w:type="auto"/>
        <w:tblLook w:val="04A0" w:firstRow="1" w:lastRow="0" w:firstColumn="1" w:lastColumn="0" w:noHBand="0" w:noVBand="1"/>
      </w:tblPr>
      <w:tblGrid>
        <w:gridCol w:w="9016"/>
      </w:tblGrid>
      <w:tr w:rsidR="00CB2873" w14:paraId="13F66B93" w14:textId="77777777" w:rsidTr="527A8EFF">
        <w:tc>
          <w:tcPr>
            <w:tcW w:w="9016" w:type="dxa"/>
            <w:shd w:val="clear" w:color="auto" w:fill="DEEAF6" w:themeFill="accent5" w:themeFillTint="33"/>
          </w:tcPr>
          <w:p w14:paraId="3D58D529" w14:textId="1613A43D" w:rsidR="00CB2873" w:rsidRDefault="00CB2873" w:rsidP="004D5FD5">
            <w:pPr>
              <w:jc w:val="both"/>
            </w:pPr>
            <w:bookmarkStart w:id="12" w:name="_Toc224897460"/>
            <w:r w:rsidRPr="527A8EFF">
              <w:rPr>
                <w:rStyle w:val="Heading1Char"/>
                <w:rFonts w:ascii="Arial" w:hAnsi="Arial" w:cs="Arial"/>
                <w:b/>
                <w:bCs/>
                <w:color w:val="auto"/>
              </w:rPr>
              <w:t xml:space="preserve">Section C: Output </w:t>
            </w:r>
            <w:r w:rsidR="4FB023D7" w:rsidRPr="527A8EFF">
              <w:rPr>
                <w:rStyle w:val="Heading1Char"/>
                <w:rFonts w:ascii="Arial" w:hAnsi="Arial" w:cs="Arial"/>
                <w:b/>
                <w:bCs/>
                <w:color w:val="auto"/>
              </w:rPr>
              <w:t>s</w:t>
            </w:r>
            <w:r w:rsidRPr="527A8EFF">
              <w:rPr>
                <w:rStyle w:val="Heading1Char"/>
                <w:rFonts w:ascii="Arial" w:hAnsi="Arial" w:cs="Arial"/>
                <w:b/>
                <w:bCs/>
                <w:color w:val="auto"/>
              </w:rPr>
              <w:t>coring</w:t>
            </w:r>
            <w:bookmarkEnd w:id="12"/>
            <w:r>
              <w:t xml:space="preserve"> </w:t>
            </w:r>
          </w:p>
        </w:tc>
      </w:tr>
    </w:tbl>
    <w:p w14:paraId="452661DA" w14:textId="1D7BFC7B" w:rsidR="00953846" w:rsidRPr="00633013" w:rsidRDefault="00953846" w:rsidP="00633013">
      <w:pPr>
        <w:pStyle w:val="Heading2"/>
      </w:pPr>
      <w:bookmarkStart w:id="13" w:name="_Toc224897461"/>
      <w:r w:rsidRPr="00633013">
        <w:t xml:space="preserve">Output 1: </w:t>
      </w:r>
      <w:r w:rsidR="009F0FAE" w:rsidRPr="00633013">
        <w:rPr>
          <w:rFonts w:eastAsia="Arial"/>
        </w:rPr>
        <w:t>CIF increases its scale as a financial mechanism through public and private sources, whilst ensuring money flows efficiently to projects</w:t>
      </w:r>
      <w:bookmarkEnd w:id="13"/>
    </w:p>
    <w:p w14:paraId="055FDF8F" w14:textId="77777777" w:rsidR="00C22C27" w:rsidRPr="00D80C6C" w:rsidRDefault="00C22C27" w:rsidP="004D5FD5">
      <w:pPr>
        <w:jc w:val="both"/>
        <w:rPr>
          <w:rFonts w:cs="Arial"/>
          <w:sz w:val="22"/>
          <w:szCs w:val="22"/>
        </w:rPr>
      </w:pPr>
    </w:p>
    <w:tbl>
      <w:tblPr>
        <w:tblStyle w:val="TableGrid"/>
        <w:tblW w:w="9072" w:type="dxa"/>
        <w:tblInd w:w="-5" w:type="dxa"/>
        <w:tblLook w:val="04A0" w:firstRow="1" w:lastRow="0" w:firstColumn="1" w:lastColumn="0" w:noHBand="0" w:noVBand="1"/>
      </w:tblPr>
      <w:tblGrid>
        <w:gridCol w:w="1566"/>
        <w:gridCol w:w="616"/>
        <w:gridCol w:w="937"/>
        <w:gridCol w:w="2977"/>
        <w:gridCol w:w="2976"/>
      </w:tblGrid>
      <w:tr w:rsidR="00B4341F" w:rsidRPr="00D80C6C" w14:paraId="2102EB17" w14:textId="77777777" w:rsidTr="009A7D7F">
        <w:trPr>
          <w:trHeight w:val="489"/>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85D6B2" w14:textId="77777777" w:rsidR="003D222C" w:rsidRPr="00D80C6C" w:rsidRDefault="003D222C" w:rsidP="004D5FD5">
            <w:pPr>
              <w:jc w:val="both"/>
              <w:rPr>
                <w:rFonts w:cs="Arial"/>
                <w:b/>
                <w:bCs/>
                <w:sz w:val="22"/>
                <w:szCs w:val="22"/>
              </w:rPr>
            </w:pPr>
            <w:r w:rsidRPr="00D80C6C">
              <w:rPr>
                <w:rFonts w:cs="Arial"/>
                <w:b/>
                <w:bCs/>
                <w:sz w:val="22"/>
                <w:szCs w:val="22"/>
              </w:rPr>
              <w:t xml:space="preserve">Output Title </w:t>
            </w:r>
          </w:p>
        </w:tc>
        <w:tc>
          <w:tcPr>
            <w:tcW w:w="750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B8A3AEA" w14:textId="7581D7D4" w:rsidR="003D222C" w:rsidRPr="009F0FAE" w:rsidRDefault="009F0FAE" w:rsidP="004D5FD5">
            <w:pPr>
              <w:jc w:val="both"/>
              <w:rPr>
                <w:rFonts w:cs="Arial"/>
                <w:bCs/>
                <w:i/>
                <w:color w:val="FF0000"/>
                <w:sz w:val="22"/>
                <w:szCs w:val="22"/>
              </w:rPr>
            </w:pPr>
            <w:r w:rsidRPr="009F0FAE">
              <w:rPr>
                <w:rFonts w:eastAsia="Arial" w:cs="Arial"/>
                <w:i/>
                <w:iCs/>
                <w:sz w:val="22"/>
                <w:szCs w:val="22"/>
              </w:rPr>
              <w:t>CIF increases its scale as a financial mechanism through public and private sources, whilst ensuring money flows efficiently to projects</w:t>
            </w:r>
          </w:p>
        </w:tc>
      </w:tr>
      <w:tr w:rsidR="002E4F89" w:rsidRPr="00D80C6C" w14:paraId="0CA17513" w14:textId="77777777" w:rsidTr="001F2F19">
        <w:trPr>
          <w:trHeight w:val="347"/>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801A128" w14:textId="77777777" w:rsidR="003D222C" w:rsidRPr="00D80C6C" w:rsidRDefault="003D222C" w:rsidP="004D5FD5">
            <w:pPr>
              <w:jc w:val="both"/>
              <w:rPr>
                <w:rFonts w:cs="Arial"/>
                <w:bCs/>
                <w:sz w:val="22"/>
                <w:szCs w:val="22"/>
              </w:rPr>
            </w:pPr>
            <w:r w:rsidRPr="00D80C6C">
              <w:rPr>
                <w:rFonts w:cs="Arial"/>
                <w:bCs/>
                <w:sz w:val="22"/>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4190402A" w14:textId="488739F8" w:rsidR="003D222C" w:rsidRPr="00D80C6C" w:rsidRDefault="009F0FAE" w:rsidP="004D5FD5">
            <w:pPr>
              <w:jc w:val="both"/>
              <w:rPr>
                <w:rFonts w:cs="Arial"/>
                <w:sz w:val="22"/>
                <w:szCs w:val="22"/>
              </w:rPr>
            </w:pPr>
            <w:r>
              <w:rPr>
                <w:rFonts w:cs="Arial"/>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5FA73C8" w14:textId="77777777" w:rsidR="003D222C" w:rsidRPr="00D80C6C" w:rsidRDefault="003D222C" w:rsidP="004D5FD5">
            <w:pPr>
              <w:jc w:val="both"/>
              <w:rPr>
                <w:rFonts w:cs="Arial"/>
                <w:sz w:val="22"/>
                <w:szCs w:val="22"/>
              </w:rPr>
            </w:pPr>
            <w:r w:rsidRPr="00D80C6C">
              <w:rPr>
                <w:rFonts w:cs="Arial"/>
                <w:bCs/>
                <w:sz w:val="22"/>
                <w:szCs w:val="22"/>
              </w:rPr>
              <w:t xml:space="preserve">Output Score: </w:t>
            </w:r>
          </w:p>
        </w:tc>
        <w:tc>
          <w:tcPr>
            <w:tcW w:w="2976" w:type="dxa"/>
            <w:tcBorders>
              <w:top w:val="single" w:sz="4" w:space="0" w:color="auto"/>
              <w:left w:val="single" w:sz="4" w:space="0" w:color="auto"/>
              <w:bottom w:val="single" w:sz="4" w:space="0" w:color="auto"/>
              <w:right w:val="single" w:sz="4" w:space="0" w:color="auto"/>
            </w:tcBorders>
          </w:tcPr>
          <w:p w14:paraId="0438A869" w14:textId="38088F3F" w:rsidR="003D222C" w:rsidRPr="009F0FAE" w:rsidRDefault="009F0FAE" w:rsidP="004D5FD5">
            <w:pPr>
              <w:jc w:val="both"/>
              <w:rPr>
                <w:rFonts w:cs="Arial"/>
                <w:iCs/>
                <w:sz w:val="22"/>
                <w:szCs w:val="22"/>
              </w:rPr>
            </w:pPr>
            <w:r w:rsidRPr="009F0FAE">
              <w:rPr>
                <w:rFonts w:cs="Arial"/>
                <w:iCs/>
                <w:sz w:val="22"/>
                <w:szCs w:val="22"/>
              </w:rPr>
              <w:t>A+</w:t>
            </w:r>
          </w:p>
        </w:tc>
      </w:tr>
      <w:tr w:rsidR="002E4F89" w:rsidRPr="00D80C6C" w14:paraId="322D9463" w14:textId="77777777" w:rsidTr="001F2F19">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91524D5" w14:textId="77777777" w:rsidR="003D222C" w:rsidRPr="00D80C6C" w:rsidRDefault="003D222C" w:rsidP="004D5FD5">
            <w:pPr>
              <w:jc w:val="both"/>
              <w:rPr>
                <w:rFonts w:cs="Arial"/>
                <w:sz w:val="22"/>
                <w:szCs w:val="22"/>
              </w:rPr>
            </w:pPr>
            <w:r w:rsidRPr="00D80C6C">
              <w:rPr>
                <w:rFonts w:cs="Arial"/>
                <w:bCs/>
                <w:sz w:val="22"/>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2B32CB6F" w14:textId="4737F38D" w:rsidR="003D222C" w:rsidRPr="00D80C6C" w:rsidRDefault="009F0FAE" w:rsidP="004D5FD5">
            <w:pPr>
              <w:jc w:val="both"/>
              <w:rPr>
                <w:rFonts w:cs="Arial"/>
                <w:bCs/>
                <w:sz w:val="22"/>
                <w:szCs w:val="22"/>
              </w:rPr>
            </w:pPr>
            <w:r>
              <w:rPr>
                <w:rFonts w:cs="Arial"/>
                <w:bCs/>
                <w:sz w:val="22"/>
                <w:szCs w:val="22"/>
              </w:rPr>
              <w:t>40</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B322CF" w14:textId="77777777" w:rsidR="003D222C" w:rsidRPr="00D80C6C" w:rsidRDefault="003D222C" w:rsidP="004D5FD5">
            <w:pPr>
              <w:jc w:val="both"/>
              <w:rPr>
                <w:rFonts w:cs="Arial"/>
                <w:bCs/>
                <w:sz w:val="22"/>
                <w:szCs w:val="22"/>
              </w:rPr>
            </w:pPr>
            <w:r w:rsidRPr="00D80C6C">
              <w:rPr>
                <w:rFonts w:cs="Arial"/>
                <w:bCs/>
                <w:sz w:val="22"/>
                <w:szCs w:val="22"/>
              </w:rPr>
              <w:t xml:space="preserve">Weighting revised since last </w:t>
            </w:r>
            <w:proofErr w:type="gramStart"/>
            <w:r w:rsidRPr="00D80C6C">
              <w:rPr>
                <w:rFonts w:cs="Arial"/>
                <w:bCs/>
                <w:sz w:val="22"/>
                <w:szCs w:val="22"/>
              </w:rPr>
              <w:t>AR?</w:t>
            </w:r>
            <w:proofErr w:type="gramEnd"/>
            <w:r w:rsidRPr="00D80C6C">
              <w:rPr>
                <w:rFonts w:cs="Arial"/>
                <w:bCs/>
                <w:sz w:val="22"/>
                <w:szCs w:val="22"/>
              </w:rPr>
              <w:t xml:space="preserve"> </w:t>
            </w:r>
          </w:p>
        </w:tc>
        <w:tc>
          <w:tcPr>
            <w:tcW w:w="2976" w:type="dxa"/>
            <w:tcBorders>
              <w:top w:val="single" w:sz="4" w:space="0" w:color="auto"/>
              <w:left w:val="single" w:sz="4" w:space="0" w:color="auto"/>
              <w:bottom w:val="single" w:sz="4" w:space="0" w:color="auto"/>
              <w:right w:val="single" w:sz="4" w:space="0" w:color="auto"/>
            </w:tcBorders>
          </w:tcPr>
          <w:p w14:paraId="314B55F6" w14:textId="4C446B20" w:rsidR="003D222C" w:rsidRPr="00D80C6C" w:rsidRDefault="009F0FAE" w:rsidP="004D5FD5">
            <w:pPr>
              <w:jc w:val="both"/>
              <w:rPr>
                <w:rFonts w:cs="Arial"/>
                <w:bCs/>
                <w:sz w:val="22"/>
                <w:szCs w:val="22"/>
              </w:rPr>
            </w:pPr>
            <w:r>
              <w:rPr>
                <w:rFonts w:cs="Arial"/>
                <w:bCs/>
                <w:sz w:val="22"/>
                <w:szCs w:val="22"/>
              </w:rPr>
              <w:t>N/A</w:t>
            </w:r>
          </w:p>
        </w:tc>
      </w:tr>
      <w:tr w:rsidR="002E4F89" w:rsidRPr="00D80C6C" w14:paraId="49FF75D8" w14:textId="77777777" w:rsidTr="001F2F19">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A26186" w14:textId="5C0E02AC" w:rsidR="003D222C" w:rsidRPr="00D80C6C" w:rsidRDefault="003D222C" w:rsidP="004D5FD5">
            <w:pPr>
              <w:jc w:val="both"/>
              <w:rPr>
                <w:rFonts w:cs="Arial"/>
                <w:bCs/>
                <w:sz w:val="22"/>
                <w:szCs w:val="22"/>
              </w:rPr>
            </w:pPr>
            <w:r w:rsidRPr="00D80C6C">
              <w:rPr>
                <w:rFonts w:cs="Arial"/>
                <w:bCs/>
                <w:sz w:val="22"/>
                <w:szCs w:val="22"/>
              </w:rPr>
              <w:t>Risk rating</w:t>
            </w:r>
            <w:r w:rsidR="00DB3B57">
              <w:rPr>
                <w:rFonts w:cs="Arial"/>
                <w:bCs/>
                <w:sz w:val="22"/>
                <w:szCs w:val="22"/>
              </w:rPr>
              <w:t>:</w:t>
            </w:r>
          </w:p>
        </w:tc>
        <w:tc>
          <w:tcPr>
            <w:tcW w:w="937" w:type="dxa"/>
            <w:tcBorders>
              <w:top w:val="single" w:sz="4" w:space="0" w:color="auto"/>
              <w:left w:val="single" w:sz="4" w:space="0" w:color="auto"/>
              <w:bottom w:val="single" w:sz="4" w:space="0" w:color="auto"/>
              <w:right w:val="single" w:sz="4" w:space="0" w:color="auto"/>
            </w:tcBorders>
          </w:tcPr>
          <w:p w14:paraId="05841711" w14:textId="0D9F9094" w:rsidR="003D222C" w:rsidRPr="00D80C6C" w:rsidRDefault="003E378B" w:rsidP="004D5FD5">
            <w:pPr>
              <w:jc w:val="both"/>
              <w:rPr>
                <w:rFonts w:cs="Arial"/>
                <w:bCs/>
                <w:sz w:val="22"/>
                <w:szCs w:val="22"/>
              </w:rPr>
            </w:pPr>
            <w:r>
              <w:rPr>
                <w:rFonts w:cs="Arial"/>
                <w:bCs/>
                <w:sz w:val="22"/>
                <w:szCs w:val="22"/>
              </w:rPr>
              <w:t>Min</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75A24C" w14:textId="77777777" w:rsidR="003D222C" w:rsidRPr="00D80C6C" w:rsidRDefault="003D222C" w:rsidP="004D5FD5">
            <w:pPr>
              <w:jc w:val="both"/>
              <w:rPr>
                <w:rFonts w:cs="Arial"/>
                <w:bCs/>
                <w:sz w:val="22"/>
                <w:szCs w:val="22"/>
              </w:rPr>
            </w:pPr>
            <w:r w:rsidRPr="00D80C6C">
              <w:rPr>
                <w:rFonts w:cs="Arial"/>
                <w:bCs/>
                <w:sz w:val="22"/>
                <w:szCs w:val="22"/>
              </w:rPr>
              <w:t>Risk revised since last AR?</w:t>
            </w:r>
          </w:p>
        </w:tc>
        <w:tc>
          <w:tcPr>
            <w:tcW w:w="2976" w:type="dxa"/>
            <w:tcBorders>
              <w:top w:val="single" w:sz="4" w:space="0" w:color="auto"/>
              <w:left w:val="single" w:sz="4" w:space="0" w:color="auto"/>
              <w:bottom w:val="single" w:sz="4" w:space="0" w:color="auto"/>
              <w:right w:val="single" w:sz="4" w:space="0" w:color="auto"/>
            </w:tcBorders>
          </w:tcPr>
          <w:p w14:paraId="36DFFD26" w14:textId="1FABE69C" w:rsidR="003D222C" w:rsidRPr="00D80C6C" w:rsidRDefault="009F0FAE" w:rsidP="004D5FD5">
            <w:pPr>
              <w:jc w:val="both"/>
              <w:rPr>
                <w:rFonts w:cs="Arial"/>
                <w:bCs/>
                <w:sz w:val="22"/>
                <w:szCs w:val="22"/>
              </w:rPr>
            </w:pPr>
            <w:r>
              <w:rPr>
                <w:rFonts w:cs="Arial"/>
                <w:bCs/>
                <w:sz w:val="22"/>
                <w:szCs w:val="22"/>
              </w:rPr>
              <w:t>N/A</w:t>
            </w:r>
          </w:p>
        </w:tc>
      </w:tr>
    </w:tbl>
    <w:p w14:paraId="6427C192" w14:textId="77777777" w:rsidR="00716156" w:rsidRPr="009F0FAE" w:rsidRDefault="00716156" w:rsidP="00716156">
      <w:pPr>
        <w:rPr>
          <w:rFonts w:eastAsia="Arial" w:cs="Arial"/>
          <w:color w:val="000000" w:themeColor="text1"/>
          <w:sz w:val="22"/>
          <w:szCs w:val="22"/>
        </w:rPr>
      </w:pPr>
    </w:p>
    <w:p w14:paraId="5B02C0E4" w14:textId="7D2DECC6" w:rsidR="00716156" w:rsidRPr="009F0FAE" w:rsidRDefault="00716156" w:rsidP="00716156">
      <w:pPr>
        <w:rPr>
          <w:rFonts w:eastAsia="Arial" w:cs="Arial"/>
          <w:color w:val="000000" w:themeColor="text1"/>
          <w:sz w:val="22"/>
          <w:szCs w:val="22"/>
        </w:rPr>
      </w:pPr>
      <w:r w:rsidRPr="009F0FAE">
        <w:rPr>
          <w:rFonts w:eastAsia="Arial" w:cs="Arial"/>
          <w:color w:val="000000" w:themeColor="text1"/>
          <w:sz w:val="22"/>
          <w:szCs w:val="22"/>
        </w:rPr>
        <w:t xml:space="preserve">This Output assesses CIF’s performance in scaling finance from public and private sources and ensuring that funds are efficiently disbursed to projects. This is the first Annual Review reporting against the new DESNZ CIF </w:t>
      </w:r>
      <w:proofErr w:type="spellStart"/>
      <w:r w:rsidRPr="009F0FAE">
        <w:rPr>
          <w:rFonts w:eastAsia="Arial" w:cs="Arial"/>
          <w:color w:val="000000" w:themeColor="text1"/>
          <w:sz w:val="22"/>
          <w:szCs w:val="22"/>
        </w:rPr>
        <w:t>logframe</w:t>
      </w:r>
      <w:proofErr w:type="spellEnd"/>
      <w:r w:rsidRPr="009F0FAE">
        <w:rPr>
          <w:rFonts w:eastAsia="Arial" w:cs="Arial"/>
          <w:color w:val="000000" w:themeColor="text1"/>
          <w:sz w:val="22"/>
          <w:szCs w:val="22"/>
        </w:rPr>
        <w:t>.</w:t>
      </w:r>
      <w:r w:rsidRPr="008E65B7">
        <w:rPr>
          <w:rStyle w:val="FootnoteReference"/>
          <w:rFonts w:eastAsia="Arial" w:cs="Arial"/>
          <w:color w:val="000000" w:themeColor="text1"/>
          <w:sz w:val="22"/>
          <w:szCs w:val="22"/>
        </w:rPr>
        <w:footnoteReference w:id="7"/>
      </w:r>
    </w:p>
    <w:p w14:paraId="13AEC6EB" w14:textId="77777777" w:rsidR="00716156" w:rsidRPr="009F0FAE" w:rsidRDefault="00716156" w:rsidP="00716156">
      <w:pPr>
        <w:rPr>
          <w:rFonts w:eastAsia="Arial" w:cs="Arial"/>
          <w:b/>
          <w:bCs/>
          <w:color w:val="000000" w:themeColor="text1"/>
          <w:sz w:val="22"/>
          <w:szCs w:val="22"/>
        </w:rPr>
      </w:pPr>
    </w:p>
    <w:tbl>
      <w:tblPr>
        <w:tblStyle w:val="TableGrid"/>
        <w:tblW w:w="5000" w:type="pct"/>
        <w:tblLook w:val="04A0" w:firstRow="1" w:lastRow="0" w:firstColumn="1" w:lastColumn="0" w:noHBand="0" w:noVBand="1"/>
      </w:tblPr>
      <w:tblGrid>
        <w:gridCol w:w="3251"/>
        <w:gridCol w:w="767"/>
        <w:gridCol w:w="768"/>
        <w:gridCol w:w="1401"/>
        <w:gridCol w:w="2829"/>
      </w:tblGrid>
      <w:tr w:rsidR="00914951" w:rsidRPr="009F0FAE" w14:paraId="3CDCE860" w14:textId="77777777" w:rsidTr="009F0FAE">
        <w:trPr>
          <w:trHeight w:val="532"/>
        </w:trPr>
        <w:tc>
          <w:tcPr>
            <w:tcW w:w="1803" w:type="pct"/>
            <w:vMerge w:val="restart"/>
            <w:shd w:val="clear" w:color="auto" w:fill="DEEAF6" w:themeFill="accent5" w:themeFillTint="33"/>
          </w:tcPr>
          <w:p w14:paraId="3311E1EA" w14:textId="77777777" w:rsidR="00716156" w:rsidRPr="009F0FAE" w:rsidRDefault="00716156" w:rsidP="00F020F4">
            <w:pPr>
              <w:jc w:val="center"/>
              <w:rPr>
                <w:rFonts w:eastAsia="Arial" w:cs="Arial"/>
                <w:b/>
                <w:bCs/>
                <w:sz w:val="22"/>
                <w:szCs w:val="22"/>
              </w:rPr>
            </w:pPr>
            <w:r w:rsidRPr="009F0FAE">
              <w:rPr>
                <w:rFonts w:eastAsia="Arial" w:cs="Arial"/>
                <w:b/>
                <w:bCs/>
                <w:sz w:val="22"/>
                <w:szCs w:val="22"/>
              </w:rPr>
              <w:t>Indicator</w:t>
            </w:r>
          </w:p>
        </w:tc>
        <w:tc>
          <w:tcPr>
            <w:tcW w:w="1628" w:type="pct"/>
            <w:gridSpan w:val="3"/>
            <w:shd w:val="clear" w:color="auto" w:fill="DEEAF6" w:themeFill="accent5" w:themeFillTint="33"/>
          </w:tcPr>
          <w:p w14:paraId="50149EDB" w14:textId="77777777" w:rsidR="00716156" w:rsidRPr="009F0FAE" w:rsidRDefault="00716156" w:rsidP="00F020F4">
            <w:pPr>
              <w:jc w:val="center"/>
              <w:rPr>
                <w:rFonts w:eastAsia="Arial" w:cs="Arial"/>
                <w:b/>
                <w:bCs/>
                <w:sz w:val="22"/>
                <w:szCs w:val="22"/>
              </w:rPr>
            </w:pPr>
            <w:r w:rsidRPr="009F0FAE">
              <w:rPr>
                <w:rFonts w:eastAsia="Arial" w:cs="Arial"/>
                <w:b/>
                <w:bCs/>
                <w:sz w:val="22"/>
                <w:szCs w:val="22"/>
              </w:rPr>
              <w:t>Milestone for this review</w:t>
            </w:r>
          </w:p>
        </w:tc>
        <w:tc>
          <w:tcPr>
            <w:tcW w:w="1569" w:type="pct"/>
            <w:vMerge w:val="restart"/>
            <w:shd w:val="clear" w:color="auto" w:fill="DEEAF6" w:themeFill="accent5" w:themeFillTint="33"/>
          </w:tcPr>
          <w:p w14:paraId="421F1106" w14:textId="77777777" w:rsidR="00716156" w:rsidRPr="009F0FAE" w:rsidRDefault="00716156" w:rsidP="00F020F4">
            <w:pPr>
              <w:jc w:val="center"/>
              <w:rPr>
                <w:rFonts w:eastAsia="Arial" w:cs="Arial"/>
                <w:b/>
                <w:bCs/>
                <w:sz w:val="22"/>
                <w:szCs w:val="22"/>
              </w:rPr>
            </w:pPr>
            <w:r w:rsidRPr="009F0FAE">
              <w:rPr>
                <w:rFonts w:eastAsia="Arial" w:cs="Arial"/>
                <w:b/>
                <w:bCs/>
                <w:sz w:val="22"/>
                <w:szCs w:val="22"/>
              </w:rPr>
              <w:t>Progress</w:t>
            </w:r>
          </w:p>
        </w:tc>
      </w:tr>
      <w:tr w:rsidR="00BC7587" w:rsidRPr="009F0FAE" w14:paraId="4D0A329A" w14:textId="77777777" w:rsidTr="009F0FAE">
        <w:trPr>
          <w:trHeight w:val="261"/>
        </w:trPr>
        <w:tc>
          <w:tcPr>
            <w:tcW w:w="1803" w:type="pct"/>
            <w:vMerge/>
            <w:shd w:val="clear" w:color="auto" w:fill="D9E2F3" w:themeFill="accent1" w:themeFillTint="33"/>
          </w:tcPr>
          <w:p w14:paraId="01CB7283" w14:textId="77777777" w:rsidR="00716156" w:rsidRPr="009F0FAE" w:rsidRDefault="00716156" w:rsidP="00F020F4">
            <w:pPr>
              <w:jc w:val="center"/>
              <w:rPr>
                <w:rFonts w:eastAsia="Arial" w:cs="Arial"/>
                <w:b/>
                <w:bCs/>
                <w:sz w:val="22"/>
                <w:szCs w:val="22"/>
              </w:rPr>
            </w:pPr>
          </w:p>
        </w:tc>
        <w:tc>
          <w:tcPr>
            <w:tcW w:w="851" w:type="pct"/>
            <w:gridSpan w:val="2"/>
            <w:shd w:val="clear" w:color="auto" w:fill="DEEAF6" w:themeFill="accent5" w:themeFillTint="33"/>
          </w:tcPr>
          <w:p w14:paraId="74F4B193" w14:textId="77777777" w:rsidR="00716156" w:rsidRPr="009F0FAE" w:rsidRDefault="00716156" w:rsidP="00F020F4">
            <w:pPr>
              <w:jc w:val="center"/>
              <w:rPr>
                <w:rFonts w:eastAsia="Arial" w:cs="Arial"/>
                <w:b/>
                <w:bCs/>
                <w:sz w:val="22"/>
                <w:szCs w:val="22"/>
              </w:rPr>
            </w:pPr>
            <w:r w:rsidRPr="009F0FAE">
              <w:rPr>
                <w:rFonts w:eastAsia="Arial" w:cs="Arial"/>
                <w:b/>
                <w:bCs/>
                <w:sz w:val="22"/>
                <w:szCs w:val="22"/>
              </w:rPr>
              <w:t>Planned</w:t>
            </w:r>
          </w:p>
        </w:tc>
        <w:tc>
          <w:tcPr>
            <w:tcW w:w="777" w:type="pct"/>
            <w:shd w:val="clear" w:color="auto" w:fill="DEEAF6" w:themeFill="accent5" w:themeFillTint="33"/>
          </w:tcPr>
          <w:p w14:paraId="6A4D5820" w14:textId="77777777" w:rsidR="00716156" w:rsidRPr="009F0FAE" w:rsidRDefault="00716156" w:rsidP="00F020F4">
            <w:pPr>
              <w:jc w:val="center"/>
              <w:rPr>
                <w:rFonts w:eastAsia="Arial" w:cs="Arial"/>
                <w:b/>
                <w:bCs/>
                <w:sz w:val="22"/>
                <w:szCs w:val="22"/>
              </w:rPr>
            </w:pPr>
            <w:r w:rsidRPr="009F0FAE">
              <w:rPr>
                <w:rFonts w:eastAsia="Arial" w:cs="Arial"/>
                <w:b/>
                <w:bCs/>
                <w:sz w:val="22"/>
                <w:szCs w:val="22"/>
              </w:rPr>
              <w:t>Achieved</w:t>
            </w:r>
          </w:p>
        </w:tc>
        <w:tc>
          <w:tcPr>
            <w:tcW w:w="1569" w:type="pct"/>
            <w:vMerge/>
            <w:shd w:val="clear" w:color="auto" w:fill="D9E2F3" w:themeFill="accent1" w:themeFillTint="33"/>
          </w:tcPr>
          <w:p w14:paraId="343AC0FB" w14:textId="77777777" w:rsidR="00716156" w:rsidRPr="009F0FAE" w:rsidRDefault="00716156" w:rsidP="00F020F4">
            <w:pPr>
              <w:jc w:val="center"/>
              <w:rPr>
                <w:rFonts w:eastAsia="Arial" w:cs="Arial"/>
                <w:b/>
                <w:bCs/>
                <w:sz w:val="22"/>
                <w:szCs w:val="22"/>
              </w:rPr>
            </w:pPr>
          </w:p>
        </w:tc>
      </w:tr>
      <w:tr w:rsidR="00345342" w:rsidRPr="009F0FAE" w14:paraId="7F24B095" w14:textId="77777777" w:rsidTr="00F020F4">
        <w:trPr>
          <w:trHeight w:val="320"/>
        </w:trPr>
        <w:tc>
          <w:tcPr>
            <w:tcW w:w="1803" w:type="pct"/>
            <w:vMerge w:val="restart"/>
          </w:tcPr>
          <w:p w14:paraId="1B441A7C" w14:textId="77777777" w:rsidR="00716156" w:rsidRPr="009F0FAE" w:rsidRDefault="00716156" w:rsidP="00F020F4">
            <w:pPr>
              <w:rPr>
                <w:rFonts w:eastAsia="Arial" w:cs="Arial"/>
                <w:color w:val="000000" w:themeColor="text1"/>
                <w:sz w:val="22"/>
                <w:szCs w:val="22"/>
              </w:rPr>
            </w:pPr>
            <w:r w:rsidRPr="009F0FAE">
              <w:rPr>
                <w:rFonts w:eastAsia="Arial" w:cs="Arial"/>
                <w:color w:val="000000" w:themeColor="text1"/>
                <w:sz w:val="22"/>
                <w:szCs w:val="22"/>
              </w:rPr>
              <w:t>1.1 Public finance mobilised £m (cumulative) (KPI 11)</w:t>
            </w:r>
          </w:p>
        </w:tc>
        <w:tc>
          <w:tcPr>
            <w:tcW w:w="425" w:type="pct"/>
          </w:tcPr>
          <w:p w14:paraId="1EB8C70A" w14:textId="77777777" w:rsidR="00716156" w:rsidRPr="009F0FAE" w:rsidRDefault="00716156" w:rsidP="00F020F4">
            <w:pPr>
              <w:jc w:val="center"/>
              <w:rPr>
                <w:rFonts w:cs="Arial"/>
                <w:sz w:val="22"/>
                <w:szCs w:val="22"/>
              </w:rPr>
            </w:pPr>
            <w:r w:rsidRPr="009F0FAE">
              <w:rPr>
                <w:rFonts w:cs="Arial"/>
                <w:sz w:val="22"/>
                <w:szCs w:val="22"/>
              </w:rPr>
              <w:t>Low</w:t>
            </w:r>
          </w:p>
        </w:tc>
        <w:tc>
          <w:tcPr>
            <w:tcW w:w="426" w:type="pct"/>
          </w:tcPr>
          <w:p w14:paraId="31B882C1" w14:textId="77777777" w:rsidR="00716156" w:rsidRPr="009F0FAE" w:rsidRDefault="00716156" w:rsidP="00F020F4">
            <w:pPr>
              <w:jc w:val="center"/>
              <w:rPr>
                <w:rFonts w:cs="Arial"/>
                <w:sz w:val="22"/>
                <w:szCs w:val="22"/>
              </w:rPr>
            </w:pPr>
            <w:r w:rsidRPr="009F0FAE">
              <w:rPr>
                <w:rFonts w:cs="Arial"/>
                <w:sz w:val="22"/>
                <w:szCs w:val="22"/>
              </w:rPr>
              <w:t>High</w:t>
            </w:r>
          </w:p>
        </w:tc>
        <w:tc>
          <w:tcPr>
            <w:tcW w:w="777" w:type="pct"/>
            <w:vMerge w:val="restart"/>
          </w:tcPr>
          <w:p w14:paraId="0E7D01D4" w14:textId="77777777" w:rsidR="00716156" w:rsidRPr="009F0FAE" w:rsidRDefault="00716156" w:rsidP="00F020F4">
            <w:pPr>
              <w:jc w:val="center"/>
              <w:rPr>
                <w:rFonts w:cs="Arial"/>
                <w:sz w:val="22"/>
                <w:szCs w:val="22"/>
              </w:rPr>
            </w:pPr>
            <w:r w:rsidRPr="009F0FAE">
              <w:rPr>
                <w:rFonts w:cs="Arial"/>
                <w:sz w:val="22"/>
                <w:szCs w:val="22"/>
              </w:rPr>
              <w:t>1,964</w:t>
            </w:r>
          </w:p>
        </w:tc>
        <w:tc>
          <w:tcPr>
            <w:tcW w:w="1569" w:type="pct"/>
            <w:vMerge w:val="restart"/>
          </w:tcPr>
          <w:p w14:paraId="6CBBE214" w14:textId="77777777" w:rsidR="00716156" w:rsidRPr="009F0FAE" w:rsidRDefault="00716156" w:rsidP="00F020F4">
            <w:pPr>
              <w:rPr>
                <w:rFonts w:cs="Arial"/>
                <w:sz w:val="22"/>
                <w:szCs w:val="22"/>
              </w:rPr>
            </w:pPr>
            <w:r w:rsidRPr="009F0FAE">
              <w:rPr>
                <w:rFonts w:cs="Arial"/>
                <w:sz w:val="22"/>
                <w:szCs w:val="22"/>
              </w:rPr>
              <w:t>Progress met expectation</w:t>
            </w:r>
          </w:p>
          <w:p w14:paraId="7EDCFEB7" w14:textId="50629116" w:rsidR="00716156" w:rsidRPr="009F0FAE" w:rsidRDefault="00716156" w:rsidP="00F020F4">
            <w:pPr>
              <w:rPr>
                <w:rFonts w:cs="Arial"/>
                <w:sz w:val="22"/>
                <w:szCs w:val="22"/>
              </w:rPr>
            </w:pPr>
            <w:r w:rsidRPr="009F0FAE">
              <w:rPr>
                <w:rFonts w:cs="Arial"/>
                <w:sz w:val="22"/>
                <w:szCs w:val="22"/>
              </w:rPr>
              <w:t>(A)</w:t>
            </w:r>
          </w:p>
        </w:tc>
      </w:tr>
      <w:tr w:rsidR="00345342" w:rsidRPr="009F0FAE" w14:paraId="65D09537" w14:textId="77777777" w:rsidTr="00F020F4">
        <w:trPr>
          <w:trHeight w:val="319"/>
        </w:trPr>
        <w:tc>
          <w:tcPr>
            <w:tcW w:w="1803" w:type="pct"/>
            <w:vMerge/>
          </w:tcPr>
          <w:p w14:paraId="3D9738F1" w14:textId="77777777" w:rsidR="00716156" w:rsidRPr="009F0FAE" w:rsidRDefault="00716156" w:rsidP="00F020F4">
            <w:pPr>
              <w:rPr>
                <w:rFonts w:eastAsia="Arial" w:cs="Arial"/>
                <w:color w:val="000000" w:themeColor="text1"/>
                <w:sz w:val="22"/>
                <w:szCs w:val="22"/>
              </w:rPr>
            </w:pPr>
          </w:p>
        </w:tc>
        <w:tc>
          <w:tcPr>
            <w:tcW w:w="425" w:type="pct"/>
          </w:tcPr>
          <w:p w14:paraId="6D705648" w14:textId="77777777" w:rsidR="00716156" w:rsidRPr="009F0FAE" w:rsidRDefault="00716156" w:rsidP="00F020F4">
            <w:pPr>
              <w:jc w:val="center"/>
              <w:rPr>
                <w:rFonts w:cs="Arial"/>
                <w:sz w:val="22"/>
                <w:szCs w:val="22"/>
              </w:rPr>
            </w:pPr>
            <w:r w:rsidRPr="009F0FAE">
              <w:rPr>
                <w:rFonts w:cs="Arial"/>
                <w:sz w:val="22"/>
                <w:szCs w:val="22"/>
              </w:rPr>
              <w:t xml:space="preserve">1,886 </w:t>
            </w:r>
          </w:p>
        </w:tc>
        <w:tc>
          <w:tcPr>
            <w:tcW w:w="426" w:type="pct"/>
          </w:tcPr>
          <w:p w14:paraId="09AAF51B" w14:textId="77777777" w:rsidR="00716156" w:rsidRPr="009F0FAE" w:rsidRDefault="00716156" w:rsidP="00F020F4">
            <w:pPr>
              <w:jc w:val="center"/>
              <w:rPr>
                <w:rFonts w:cs="Arial"/>
                <w:sz w:val="22"/>
                <w:szCs w:val="22"/>
              </w:rPr>
            </w:pPr>
            <w:r w:rsidRPr="009F0FAE">
              <w:rPr>
                <w:rFonts w:cs="Arial"/>
                <w:sz w:val="22"/>
                <w:szCs w:val="22"/>
              </w:rPr>
              <w:t xml:space="preserve">1,990 </w:t>
            </w:r>
          </w:p>
        </w:tc>
        <w:tc>
          <w:tcPr>
            <w:tcW w:w="777" w:type="pct"/>
            <w:vMerge/>
          </w:tcPr>
          <w:p w14:paraId="7E89C47A" w14:textId="77777777" w:rsidR="00716156" w:rsidRPr="009F0FAE" w:rsidRDefault="00716156" w:rsidP="00F020F4">
            <w:pPr>
              <w:jc w:val="center"/>
              <w:rPr>
                <w:rFonts w:cs="Arial"/>
                <w:sz w:val="22"/>
                <w:szCs w:val="22"/>
              </w:rPr>
            </w:pPr>
          </w:p>
        </w:tc>
        <w:tc>
          <w:tcPr>
            <w:tcW w:w="1569" w:type="pct"/>
            <w:vMerge/>
          </w:tcPr>
          <w:p w14:paraId="06437AF4" w14:textId="77777777" w:rsidR="00716156" w:rsidRPr="009F0FAE" w:rsidRDefault="00716156" w:rsidP="00F020F4">
            <w:pPr>
              <w:jc w:val="center"/>
              <w:rPr>
                <w:rFonts w:cs="Arial"/>
                <w:sz w:val="22"/>
                <w:szCs w:val="22"/>
              </w:rPr>
            </w:pPr>
          </w:p>
        </w:tc>
      </w:tr>
      <w:tr w:rsidR="00345342" w:rsidRPr="009F0FAE" w14:paraId="37C70F79" w14:textId="77777777" w:rsidTr="00F020F4">
        <w:trPr>
          <w:trHeight w:val="320"/>
        </w:trPr>
        <w:tc>
          <w:tcPr>
            <w:tcW w:w="1803" w:type="pct"/>
            <w:vMerge w:val="restart"/>
          </w:tcPr>
          <w:p w14:paraId="0DF95020" w14:textId="77777777" w:rsidR="00716156" w:rsidRPr="009F0FAE" w:rsidRDefault="00716156" w:rsidP="00F020F4">
            <w:pPr>
              <w:rPr>
                <w:rFonts w:eastAsia="Arial" w:cs="Arial"/>
                <w:color w:val="000000" w:themeColor="text1"/>
                <w:sz w:val="22"/>
                <w:szCs w:val="22"/>
              </w:rPr>
            </w:pPr>
            <w:r w:rsidRPr="009F0FAE">
              <w:rPr>
                <w:rFonts w:eastAsia="Arial" w:cs="Arial"/>
                <w:color w:val="000000" w:themeColor="text1"/>
                <w:sz w:val="22"/>
                <w:szCs w:val="22"/>
              </w:rPr>
              <w:t>1.2 Private finance mobilised £m (cumulative) (KPI 12)</w:t>
            </w:r>
          </w:p>
        </w:tc>
        <w:tc>
          <w:tcPr>
            <w:tcW w:w="425" w:type="pct"/>
          </w:tcPr>
          <w:p w14:paraId="308399BE" w14:textId="77777777" w:rsidR="00716156" w:rsidRPr="009F0FAE" w:rsidRDefault="00716156" w:rsidP="00F020F4">
            <w:pPr>
              <w:jc w:val="center"/>
              <w:rPr>
                <w:rFonts w:cs="Arial"/>
                <w:sz w:val="22"/>
                <w:szCs w:val="22"/>
              </w:rPr>
            </w:pPr>
            <w:r w:rsidRPr="009F0FAE">
              <w:rPr>
                <w:rFonts w:cs="Arial"/>
                <w:sz w:val="22"/>
                <w:szCs w:val="22"/>
              </w:rPr>
              <w:t xml:space="preserve">Low </w:t>
            </w:r>
          </w:p>
        </w:tc>
        <w:tc>
          <w:tcPr>
            <w:tcW w:w="426" w:type="pct"/>
          </w:tcPr>
          <w:p w14:paraId="43ADD7C1" w14:textId="77777777" w:rsidR="00716156" w:rsidRPr="009F0FAE" w:rsidRDefault="00716156" w:rsidP="00F020F4">
            <w:pPr>
              <w:jc w:val="center"/>
              <w:rPr>
                <w:rFonts w:cs="Arial"/>
                <w:sz w:val="22"/>
                <w:szCs w:val="22"/>
              </w:rPr>
            </w:pPr>
            <w:r w:rsidRPr="009F0FAE">
              <w:rPr>
                <w:rFonts w:cs="Arial"/>
                <w:sz w:val="22"/>
                <w:szCs w:val="22"/>
              </w:rPr>
              <w:t>High</w:t>
            </w:r>
          </w:p>
        </w:tc>
        <w:tc>
          <w:tcPr>
            <w:tcW w:w="777" w:type="pct"/>
            <w:vMerge w:val="restart"/>
          </w:tcPr>
          <w:p w14:paraId="7F3AD6C2" w14:textId="77777777" w:rsidR="00716156" w:rsidRPr="009F0FAE" w:rsidRDefault="00716156" w:rsidP="00F020F4">
            <w:pPr>
              <w:jc w:val="center"/>
              <w:rPr>
                <w:rFonts w:cs="Arial"/>
                <w:sz w:val="22"/>
                <w:szCs w:val="22"/>
              </w:rPr>
            </w:pPr>
            <w:r w:rsidRPr="009F0FAE">
              <w:rPr>
                <w:rFonts w:cs="Arial"/>
                <w:sz w:val="22"/>
                <w:szCs w:val="22"/>
              </w:rPr>
              <w:t>808</w:t>
            </w:r>
          </w:p>
        </w:tc>
        <w:tc>
          <w:tcPr>
            <w:tcW w:w="1569" w:type="pct"/>
            <w:vMerge w:val="restart"/>
          </w:tcPr>
          <w:p w14:paraId="0F4DD3E7" w14:textId="77777777" w:rsidR="00716156" w:rsidRPr="009F0FAE" w:rsidRDefault="00716156" w:rsidP="00F020F4">
            <w:pPr>
              <w:rPr>
                <w:rFonts w:cs="Arial"/>
                <w:sz w:val="22"/>
                <w:szCs w:val="22"/>
              </w:rPr>
            </w:pPr>
            <w:r w:rsidRPr="009F0FAE">
              <w:rPr>
                <w:rFonts w:cs="Arial"/>
                <w:sz w:val="22"/>
                <w:szCs w:val="22"/>
              </w:rPr>
              <w:t>Progress substantially exceeded expectation (A++)</w:t>
            </w:r>
          </w:p>
        </w:tc>
      </w:tr>
      <w:tr w:rsidR="00345342" w:rsidRPr="009F0FAE" w14:paraId="658389AE" w14:textId="77777777" w:rsidTr="00F020F4">
        <w:trPr>
          <w:trHeight w:val="319"/>
        </w:trPr>
        <w:tc>
          <w:tcPr>
            <w:tcW w:w="1803" w:type="pct"/>
            <w:vMerge/>
          </w:tcPr>
          <w:p w14:paraId="6AA96487" w14:textId="77777777" w:rsidR="00716156" w:rsidRPr="009F0FAE" w:rsidRDefault="00716156" w:rsidP="00F020F4">
            <w:pPr>
              <w:rPr>
                <w:rFonts w:eastAsia="Arial" w:cs="Arial"/>
                <w:color w:val="000000" w:themeColor="text1"/>
                <w:sz w:val="22"/>
                <w:szCs w:val="22"/>
              </w:rPr>
            </w:pPr>
          </w:p>
        </w:tc>
        <w:tc>
          <w:tcPr>
            <w:tcW w:w="425" w:type="pct"/>
          </w:tcPr>
          <w:p w14:paraId="7F828B7F" w14:textId="1711338F" w:rsidR="00716156" w:rsidRPr="009F0FAE" w:rsidRDefault="00716156" w:rsidP="001129F7">
            <w:pPr>
              <w:jc w:val="center"/>
              <w:rPr>
                <w:rFonts w:cs="Arial"/>
                <w:sz w:val="22"/>
                <w:szCs w:val="22"/>
              </w:rPr>
            </w:pPr>
            <w:r w:rsidRPr="009F0FAE">
              <w:rPr>
                <w:rFonts w:cs="Arial"/>
                <w:sz w:val="22"/>
                <w:szCs w:val="22"/>
              </w:rPr>
              <w:t>626</w:t>
            </w:r>
          </w:p>
        </w:tc>
        <w:tc>
          <w:tcPr>
            <w:tcW w:w="426" w:type="pct"/>
          </w:tcPr>
          <w:p w14:paraId="4E2E7C06" w14:textId="6768430A" w:rsidR="00716156" w:rsidRPr="009F0FAE" w:rsidRDefault="00716156" w:rsidP="001129F7">
            <w:pPr>
              <w:jc w:val="center"/>
              <w:rPr>
                <w:rFonts w:cs="Arial"/>
                <w:sz w:val="22"/>
                <w:szCs w:val="22"/>
              </w:rPr>
            </w:pPr>
            <w:r w:rsidRPr="009F0FAE">
              <w:rPr>
                <w:rFonts w:cs="Arial"/>
                <w:sz w:val="22"/>
                <w:szCs w:val="22"/>
              </w:rPr>
              <w:t>655</w:t>
            </w:r>
          </w:p>
        </w:tc>
        <w:tc>
          <w:tcPr>
            <w:tcW w:w="777" w:type="pct"/>
            <w:vMerge/>
          </w:tcPr>
          <w:p w14:paraId="6858D9CE" w14:textId="77777777" w:rsidR="00716156" w:rsidRPr="009F0FAE" w:rsidRDefault="00716156" w:rsidP="00F020F4">
            <w:pPr>
              <w:jc w:val="center"/>
              <w:rPr>
                <w:rFonts w:cs="Arial"/>
                <w:sz w:val="22"/>
                <w:szCs w:val="22"/>
              </w:rPr>
            </w:pPr>
          </w:p>
        </w:tc>
        <w:tc>
          <w:tcPr>
            <w:tcW w:w="1569" w:type="pct"/>
            <w:vMerge/>
          </w:tcPr>
          <w:p w14:paraId="33A895B2" w14:textId="77777777" w:rsidR="00716156" w:rsidRPr="009F0FAE" w:rsidRDefault="00716156" w:rsidP="00F020F4">
            <w:pPr>
              <w:jc w:val="center"/>
              <w:rPr>
                <w:rFonts w:cs="Arial"/>
                <w:sz w:val="22"/>
                <w:szCs w:val="22"/>
              </w:rPr>
            </w:pPr>
          </w:p>
        </w:tc>
      </w:tr>
      <w:tr w:rsidR="00BC7587" w:rsidRPr="009F0FAE" w14:paraId="36C06131" w14:textId="77777777" w:rsidTr="00F020F4">
        <w:trPr>
          <w:trHeight w:val="523"/>
        </w:trPr>
        <w:tc>
          <w:tcPr>
            <w:tcW w:w="1803" w:type="pct"/>
          </w:tcPr>
          <w:p w14:paraId="0245C503" w14:textId="77777777" w:rsidR="00716156" w:rsidRPr="009F0FAE" w:rsidRDefault="00716156" w:rsidP="00F020F4">
            <w:pPr>
              <w:rPr>
                <w:rFonts w:eastAsia="Arial" w:cs="Arial"/>
                <w:color w:val="000000" w:themeColor="text1"/>
                <w:sz w:val="22"/>
                <w:szCs w:val="22"/>
              </w:rPr>
            </w:pPr>
            <w:r w:rsidRPr="009F0FAE">
              <w:rPr>
                <w:rFonts w:eastAsia="Arial" w:cs="Arial"/>
                <w:color w:val="000000" w:themeColor="text1"/>
                <w:sz w:val="22"/>
                <w:szCs w:val="22"/>
              </w:rPr>
              <w:t>1.3 Total capital mobilisation ratio (monitoring only)</w:t>
            </w:r>
          </w:p>
        </w:tc>
        <w:tc>
          <w:tcPr>
            <w:tcW w:w="851" w:type="pct"/>
            <w:gridSpan w:val="2"/>
          </w:tcPr>
          <w:p w14:paraId="49A3ADAD" w14:textId="77777777" w:rsidR="00716156" w:rsidRPr="009F0FAE" w:rsidRDefault="00716156" w:rsidP="00F020F4">
            <w:pPr>
              <w:jc w:val="center"/>
              <w:rPr>
                <w:rFonts w:cs="Arial"/>
                <w:sz w:val="22"/>
                <w:szCs w:val="22"/>
              </w:rPr>
            </w:pPr>
            <w:r w:rsidRPr="009F0FAE">
              <w:rPr>
                <w:rFonts w:cs="Arial"/>
                <w:sz w:val="22"/>
                <w:szCs w:val="22"/>
              </w:rPr>
              <w:t>-</w:t>
            </w:r>
          </w:p>
          <w:p w14:paraId="274A986C" w14:textId="77777777" w:rsidR="00716156" w:rsidRPr="009F0FAE" w:rsidRDefault="00716156" w:rsidP="00F020F4">
            <w:pPr>
              <w:jc w:val="center"/>
              <w:rPr>
                <w:rFonts w:cs="Arial"/>
                <w:sz w:val="22"/>
                <w:szCs w:val="22"/>
              </w:rPr>
            </w:pPr>
          </w:p>
        </w:tc>
        <w:tc>
          <w:tcPr>
            <w:tcW w:w="777" w:type="pct"/>
          </w:tcPr>
          <w:p w14:paraId="73C63827" w14:textId="77777777" w:rsidR="00716156" w:rsidRPr="009F0FAE" w:rsidRDefault="00716156" w:rsidP="00F020F4">
            <w:pPr>
              <w:jc w:val="center"/>
              <w:rPr>
                <w:rFonts w:cs="Arial"/>
                <w:sz w:val="22"/>
                <w:szCs w:val="22"/>
              </w:rPr>
            </w:pPr>
            <w:r w:rsidRPr="009F0FAE">
              <w:rPr>
                <w:rFonts w:cs="Arial"/>
                <w:sz w:val="22"/>
                <w:szCs w:val="22"/>
              </w:rPr>
              <w:t>1:9.5</w:t>
            </w:r>
          </w:p>
          <w:p w14:paraId="166536F8" w14:textId="77777777" w:rsidR="00716156" w:rsidRPr="009F0FAE" w:rsidRDefault="00716156" w:rsidP="00F020F4">
            <w:pPr>
              <w:jc w:val="center"/>
              <w:rPr>
                <w:rFonts w:cs="Arial"/>
                <w:sz w:val="22"/>
                <w:szCs w:val="22"/>
              </w:rPr>
            </w:pPr>
          </w:p>
        </w:tc>
        <w:tc>
          <w:tcPr>
            <w:tcW w:w="1569" w:type="pct"/>
          </w:tcPr>
          <w:p w14:paraId="43FA72E1" w14:textId="77777777" w:rsidR="00716156" w:rsidRPr="009F0FAE" w:rsidRDefault="00716156" w:rsidP="00F020F4">
            <w:pPr>
              <w:rPr>
                <w:rFonts w:cs="Arial"/>
                <w:sz w:val="22"/>
                <w:szCs w:val="22"/>
              </w:rPr>
            </w:pPr>
            <w:r w:rsidRPr="009F0FAE">
              <w:rPr>
                <w:rFonts w:cs="Arial"/>
                <w:sz w:val="22"/>
                <w:szCs w:val="22"/>
              </w:rPr>
              <w:t>Monitoring only</w:t>
            </w:r>
          </w:p>
          <w:p w14:paraId="7A15F0B6" w14:textId="77777777" w:rsidR="00716156" w:rsidRPr="009F0FAE" w:rsidRDefault="00716156" w:rsidP="00F020F4">
            <w:pPr>
              <w:rPr>
                <w:rFonts w:cs="Arial"/>
                <w:sz w:val="22"/>
                <w:szCs w:val="22"/>
              </w:rPr>
            </w:pPr>
          </w:p>
        </w:tc>
      </w:tr>
      <w:tr w:rsidR="00BC7587" w:rsidRPr="009F0FAE" w14:paraId="4CBF8856" w14:textId="77777777" w:rsidTr="00F020F4">
        <w:trPr>
          <w:trHeight w:val="507"/>
        </w:trPr>
        <w:tc>
          <w:tcPr>
            <w:tcW w:w="1803" w:type="pct"/>
          </w:tcPr>
          <w:p w14:paraId="0D5D5E02" w14:textId="77777777" w:rsidR="00716156" w:rsidRPr="009F0FAE" w:rsidRDefault="00716156" w:rsidP="00F020F4">
            <w:pPr>
              <w:rPr>
                <w:rFonts w:eastAsia="Arial" w:cs="Arial"/>
                <w:color w:val="000000" w:themeColor="text1"/>
                <w:sz w:val="22"/>
                <w:szCs w:val="22"/>
              </w:rPr>
            </w:pPr>
            <w:r w:rsidRPr="009F0FAE">
              <w:rPr>
                <w:rFonts w:eastAsia="Arial" w:cs="Arial"/>
                <w:color w:val="000000" w:themeColor="text1"/>
                <w:sz w:val="22"/>
                <w:szCs w:val="22"/>
              </w:rPr>
              <w:t>1.4 Private capital mobilisation ratio (monitoring only)</w:t>
            </w:r>
          </w:p>
        </w:tc>
        <w:tc>
          <w:tcPr>
            <w:tcW w:w="851" w:type="pct"/>
            <w:gridSpan w:val="2"/>
          </w:tcPr>
          <w:p w14:paraId="51EC37F6" w14:textId="77777777" w:rsidR="00716156" w:rsidRPr="009F0FAE" w:rsidRDefault="00716156" w:rsidP="00F020F4">
            <w:pPr>
              <w:jc w:val="center"/>
              <w:rPr>
                <w:rFonts w:cs="Arial"/>
                <w:sz w:val="22"/>
                <w:szCs w:val="22"/>
              </w:rPr>
            </w:pPr>
            <w:r w:rsidRPr="009F0FAE">
              <w:rPr>
                <w:rFonts w:cs="Arial"/>
                <w:sz w:val="22"/>
                <w:szCs w:val="22"/>
              </w:rPr>
              <w:t>-</w:t>
            </w:r>
          </w:p>
          <w:p w14:paraId="6E2BABE9" w14:textId="77777777" w:rsidR="00716156" w:rsidRPr="009F0FAE" w:rsidRDefault="00716156" w:rsidP="00F020F4">
            <w:pPr>
              <w:jc w:val="center"/>
              <w:rPr>
                <w:rFonts w:cs="Arial"/>
                <w:sz w:val="22"/>
                <w:szCs w:val="22"/>
              </w:rPr>
            </w:pPr>
          </w:p>
        </w:tc>
        <w:tc>
          <w:tcPr>
            <w:tcW w:w="777" w:type="pct"/>
          </w:tcPr>
          <w:p w14:paraId="1C6EF7CB" w14:textId="77777777" w:rsidR="00716156" w:rsidRPr="009F0FAE" w:rsidRDefault="00716156" w:rsidP="00F020F4">
            <w:pPr>
              <w:jc w:val="center"/>
              <w:rPr>
                <w:rFonts w:cs="Arial"/>
                <w:sz w:val="22"/>
                <w:szCs w:val="22"/>
              </w:rPr>
            </w:pPr>
            <w:r w:rsidRPr="009F0FAE">
              <w:rPr>
                <w:rFonts w:cs="Arial"/>
                <w:sz w:val="22"/>
                <w:szCs w:val="22"/>
              </w:rPr>
              <w:t>1:3</w:t>
            </w:r>
          </w:p>
          <w:p w14:paraId="6824DAD2" w14:textId="77777777" w:rsidR="00716156" w:rsidRPr="009F0FAE" w:rsidRDefault="00716156" w:rsidP="00F020F4">
            <w:pPr>
              <w:jc w:val="center"/>
              <w:rPr>
                <w:rFonts w:cs="Arial"/>
                <w:sz w:val="22"/>
                <w:szCs w:val="22"/>
              </w:rPr>
            </w:pPr>
          </w:p>
        </w:tc>
        <w:tc>
          <w:tcPr>
            <w:tcW w:w="1569" w:type="pct"/>
          </w:tcPr>
          <w:p w14:paraId="68EB8D58" w14:textId="77777777" w:rsidR="00716156" w:rsidRPr="009F0FAE" w:rsidRDefault="00716156" w:rsidP="00F020F4">
            <w:pPr>
              <w:rPr>
                <w:rFonts w:cs="Arial"/>
                <w:sz w:val="22"/>
                <w:szCs w:val="22"/>
              </w:rPr>
            </w:pPr>
            <w:r w:rsidRPr="009F0FAE">
              <w:rPr>
                <w:rFonts w:cs="Arial"/>
                <w:sz w:val="22"/>
                <w:szCs w:val="22"/>
              </w:rPr>
              <w:t>Monitoring only</w:t>
            </w:r>
          </w:p>
          <w:p w14:paraId="2F9A47C1" w14:textId="77777777" w:rsidR="00716156" w:rsidRPr="009F0FAE" w:rsidRDefault="00716156" w:rsidP="00F020F4">
            <w:pPr>
              <w:rPr>
                <w:rFonts w:cs="Arial"/>
                <w:sz w:val="22"/>
                <w:szCs w:val="22"/>
              </w:rPr>
            </w:pPr>
          </w:p>
        </w:tc>
      </w:tr>
      <w:tr w:rsidR="00BC7587" w:rsidRPr="009F0FAE" w14:paraId="032631CA" w14:textId="77777777" w:rsidTr="00F020F4">
        <w:tc>
          <w:tcPr>
            <w:tcW w:w="1803" w:type="pct"/>
          </w:tcPr>
          <w:p w14:paraId="6ADE212F" w14:textId="77777777" w:rsidR="00716156" w:rsidRPr="009F0FAE" w:rsidRDefault="00716156" w:rsidP="00F020F4">
            <w:pPr>
              <w:rPr>
                <w:rFonts w:eastAsia="Arial" w:cs="Arial"/>
                <w:color w:val="000000" w:themeColor="text1"/>
                <w:sz w:val="22"/>
                <w:szCs w:val="22"/>
              </w:rPr>
            </w:pPr>
            <w:r w:rsidRPr="009F0FAE">
              <w:rPr>
                <w:rFonts w:eastAsia="Arial" w:cs="Arial"/>
                <w:color w:val="000000" w:themeColor="text1"/>
                <w:sz w:val="22"/>
                <w:szCs w:val="22"/>
              </w:rPr>
              <w:t>1.5 Total CIF disbursements $bn</w:t>
            </w:r>
          </w:p>
        </w:tc>
        <w:tc>
          <w:tcPr>
            <w:tcW w:w="851" w:type="pct"/>
            <w:gridSpan w:val="2"/>
          </w:tcPr>
          <w:p w14:paraId="66ABEF06" w14:textId="77777777" w:rsidR="00716156" w:rsidRPr="009F0FAE" w:rsidRDefault="00716156" w:rsidP="00F020F4">
            <w:pPr>
              <w:jc w:val="center"/>
              <w:rPr>
                <w:rFonts w:cs="Arial"/>
                <w:sz w:val="22"/>
                <w:szCs w:val="22"/>
              </w:rPr>
            </w:pPr>
            <w:r w:rsidRPr="009F0FAE">
              <w:rPr>
                <w:rFonts w:cs="Arial"/>
                <w:sz w:val="22"/>
                <w:szCs w:val="22"/>
              </w:rPr>
              <w:t>5.28</w:t>
            </w:r>
          </w:p>
          <w:p w14:paraId="6CFDA932" w14:textId="77777777" w:rsidR="00716156" w:rsidRPr="009F0FAE" w:rsidRDefault="00716156" w:rsidP="00F020F4">
            <w:pPr>
              <w:jc w:val="center"/>
              <w:rPr>
                <w:rFonts w:cs="Arial"/>
                <w:sz w:val="22"/>
                <w:szCs w:val="22"/>
              </w:rPr>
            </w:pPr>
          </w:p>
        </w:tc>
        <w:tc>
          <w:tcPr>
            <w:tcW w:w="777" w:type="pct"/>
          </w:tcPr>
          <w:p w14:paraId="5A50D235" w14:textId="77777777" w:rsidR="00716156" w:rsidRPr="009F0FAE" w:rsidRDefault="00716156" w:rsidP="00F020F4">
            <w:pPr>
              <w:jc w:val="center"/>
              <w:rPr>
                <w:rFonts w:cs="Arial"/>
                <w:sz w:val="22"/>
                <w:szCs w:val="22"/>
              </w:rPr>
            </w:pPr>
            <w:r w:rsidRPr="009F0FAE">
              <w:rPr>
                <w:rFonts w:cs="Arial"/>
                <w:sz w:val="22"/>
                <w:szCs w:val="22"/>
              </w:rPr>
              <w:t>5.3</w:t>
            </w:r>
          </w:p>
          <w:p w14:paraId="699D1C95" w14:textId="77777777" w:rsidR="00716156" w:rsidRPr="009F0FAE" w:rsidRDefault="00716156" w:rsidP="00F020F4">
            <w:pPr>
              <w:jc w:val="center"/>
              <w:rPr>
                <w:rFonts w:cs="Arial"/>
                <w:sz w:val="22"/>
                <w:szCs w:val="22"/>
              </w:rPr>
            </w:pPr>
          </w:p>
        </w:tc>
        <w:tc>
          <w:tcPr>
            <w:tcW w:w="1569" w:type="pct"/>
          </w:tcPr>
          <w:p w14:paraId="4B5E7E75" w14:textId="77777777" w:rsidR="00716156" w:rsidRPr="009F0FAE" w:rsidRDefault="00716156" w:rsidP="00F020F4">
            <w:pPr>
              <w:rPr>
                <w:rFonts w:cs="Arial"/>
                <w:sz w:val="22"/>
                <w:szCs w:val="22"/>
              </w:rPr>
            </w:pPr>
            <w:r w:rsidRPr="009F0FAE">
              <w:rPr>
                <w:rFonts w:cs="Arial"/>
                <w:sz w:val="22"/>
                <w:szCs w:val="22"/>
              </w:rPr>
              <w:t>Progress met expectation (A)</w:t>
            </w:r>
          </w:p>
        </w:tc>
      </w:tr>
      <w:tr w:rsidR="00BC7587" w:rsidRPr="009F0FAE" w14:paraId="0B1E075F" w14:textId="77777777" w:rsidTr="00F020F4">
        <w:trPr>
          <w:trHeight w:val="806"/>
        </w:trPr>
        <w:tc>
          <w:tcPr>
            <w:tcW w:w="1803" w:type="pct"/>
          </w:tcPr>
          <w:p w14:paraId="6B50B958" w14:textId="77777777" w:rsidR="00716156" w:rsidRPr="009F0FAE" w:rsidRDefault="00716156" w:rsidP="00F020F4">
            <w:pPr>
              <w:rPr>
                <w:rFonts w:eastAsia="Arial" w:cs="Arial"/>
                <w:color w:val="000000" w:themeColor="text1"/>
                <w:sz w:val="22"/>
                <w:szCs w:val="22"/>
              </w:rPr>
            </w:pPr>
            <w:r w:rsidRPr="009F0FAE">
              <w:rPr>
                <w:rFonts w:eastAsia="Arial" w:cs="Arial"/>
                <w:color w:val="000000" w:themeColor="text1"/>
                <w:sz w:val="22"/>
                <w:szCs w:val="22"/>
              </w:rPr>
              <w:t>1.6 Disbursement ratio, total disbursements as % of TFC approved funds (monitoring only)</w:t>
            </w:r>
          </w:p>
        </w:tc>
        <w:tc>
          <w:tcPr>
            <w:tcW w:w="851" w:type="pct"/>
            <w:gridSpan w:val="2"/>
          </w:tcPr>
          <w:p w14:paraId="12E35032" w14:textId="77777777" w:rsidR="00716156" w:rsidRPr="009F0FAE" w:rsidRDefault="00716156" w:rsidP="00F020F4">
            <w:pPr>
              <w:jc w:val="center"/>
              <w:rPr>
                <w:rFonts w:cs="Arial"/>
                <w:sz w:val="22"/>
                <w:szCs w:val="22"/>
              </w:rPr>
            </w:pPr>
            <w:r w:rsidRPr="009F0FAE">
              <w:rPr>
                <w:rFonts w:cs="Arial"/>
                <w:sz w:val="22"/>
                <w:szCs w:val="22"/>
              </w:rPr>
              <w:t>-</w:t>
            </w:r>
          </w:p>
          <w:p w14:paraId="358855DF" w14:textId="77777777" w:rsidR="00716156" w:rsidRPr="009F0FAE" w:rsidRDefault="00716156" w:rsidP="00F020F4">
            <w:pPr>
              <w:jc w:val="center"/>
              <w:rPr>
                <w:rFonts w:cs="Arial"/>
                <w:sz w:val="22"/>
                <w:szCs w:val="22"/>
              </w:rPr>
            </w:pPr>
          </w:p>
        </w:tc>
        <w:tc>
          <w:tcPr>
            <w:tcW w:w="777" w:type="pct"/>
          </w:tcPr>
          <w:p w14:paraId="4A531F55" w14:textId="77777777" w:rsidR="00716156" w:rsidRPr="009F0FAE" w:rsidRDefault="00716156" w:rsidP="00F020F4">
            <w:pPr>
              <w:jc w:val="center"/>
              <w:rPr>
                <w:rFonts w:cs="Arial"/>
                <w:sz w:val="22"/>
                <w:szCs w:val="22"/>
              </w:rPr>
            </w:pPr>
            <w:r w:rsidRPr="009F0FAE">
              <w:rPr>
                <w:rFonts w:cs="Arial"/>
                <w:sz w:val="22"/>
                <w:szCs w:val="22"/>
              </w:rPr>
              <w:t>75.30</w:t>
            </w:r>
          </w:p>
        </w:tc>
        <w:tc>
          <w:tcPr>
            <w:tcW w:w="1569" w:type="pct"/>
          </w:tcPr>
          <w:p w14:paraId="71E5D91E" w14:textId="77777777" w:rsidR="00716156" w:rsidRPr="009F0FAE" w:rsidRDefault="00716156" w:rsidP="00F020F4">
            <w:pPr>
              <w:rPr>
                <w:rFonts w:cs="Arial"/>
                <w:sz w:val="22"/>
                <w:szCs w:val="22"/>
              </w:rPr>
            </w:pPr>
            <w:r w:rsidRPr="009F0FAE">
              <w:rPr>
                <w:rFonts w:cs="Arial"/>
                <w:sz w:val="22"/>
                <w:szCs w:val="22"/>
              </w:rPr>
              <w:t>Monitoring only</w:t>
            </w:r>
          </w:p>
          <w:p w14:paraId="19C73A8E" w14:textId="77777777" w:rsidR="00716156" w:rsidRPr="009F0FAE" w:rsidRDefault="00716156" w:rsidP="00F020F4">
            <w:pPr>
              <w:rPr>
                <w:rFonts w:cs="Arial"/>
                <w:sz w:val="22"/>
                <w:szCs w:val="22"/>
              </w:rPr>
            </w:pPr>
          </w:p>
        </w:tc>
      </w:tr>
      <w:tr w:rsidR="00BC7587" w:rsidRPr="009F0FAE" w14:paraId="58CD994D" w14:textId="77777777" w:rsidTr="00F020F4">
        <w:tc>
          <w:tcPr>
            <w:tcW w:w="1803" w:type="pct"/>
          </w:tcPr>
          <w:p w14:paraId="1A0D7A51" w14:textId="77777777" w:rsidR="00716156" w:rsidRPr="009F0FAE" w:rsidRDefault="00716156" w:rsidP="00F020F4">
            <w:pPr>
              <w:rPr>
                <w:rFonts w:eastAsia="Arial" w:cs="Arial"/>
                <w:color w:val="000000" w:themeColor="text1"/>
                <w:sz w:val="22"/>
                <w:szCs w:val="22"/>
              </w:rPr>
            </w:pPr>
            <w:r w:rsidRPr="009F0FAE">
              <w:rPr>
                <w:rFonts w:eastAsia="Arial" w:cs="Arial"/>
                <w:color w:val="000000" w:themeColor="text1"/>
                <w:sz w:val="22"/>
                <w:szCs w:val="22"/>
              </w:rPr>
              <w:t>1.7a Total count of fully disbursed projects</w:t>
            </w:r>
          </w:p>
        </w:tc>
        <w:tc>
          <w:tcPr>
            <w:tcW w:w="851" w:type="pct"/>
            <w:gridSpan w:val="2"/>
          </w:tcPr>
          <w:p w14:paraId="121A2EC0" w14:textId="77777777" w:rsidR="00716156" w:rsidRPr="009F0FAE" w:rsidRDefault="00716156" w:rsidP="00F020F4">
            <w:pPr>
              <w:jc w:val="center"/>
              <w:rPr>
                <w:rFonts w:cs="Arial"/>
                <w:sz w:val="22"/>
                <w:szCs w:val="22"/>
              </w:rPr>
            </w:pPr>
            <w:r w:rsidRPr="009F0FAE">
              <w:rPr>
                <w:rFonts w:cs="Arial"/>
                <w:sz w:val="22"/>
                <w:szCs w:val="22"/>
              </w:rPr>
              <w:t>222</w:t>
            </w:r>
          </w:p>
          <w:p w14:paraId="11802D81" w14:textId="77777777" w:rsidR="00716156" w:rsidRPr="009F0FAE" w:rsidRDefault="00716156" w:rsidP="00F020F4">
            <w:pPr>
              <w:jc w:val="center"/>
              <w:rPr>
                <w:rFonts w:cs="Arial"/>
                <w:sz w:val="22"/>
                <w:szCs w:val="22"/>
              </w:rPr>
            </w:pPr>
          </w:p>
        </w:tc>
        <w:tc>
          <w:tcPr>
            <w:tcW w:w="777" w:type="pct"/>
          </w:tcPr>
          <w:p w14:paraId="7D5E78B7" w14:textId="77777777" w:rsidR="00716156" w:rsidRPr="009F0FAE" w:rsidRDefault="00716156" w:rsidP="00F020F4">
            <w:pPr>
              <w:jc w:val="center"/>
              <w:rPr>
                <w:rFonts w:cs="Arial"/>
                <w:sz w:val="22"/>
                <w:szCs w:val="22"/>
              </w:rPr>
            </w:pPr>
            <w:r w:rsidRPr="009F0FAE">
              <w:rPr>
                <w:rFonts w:cs="Arial"/>
                <w:sz w:val="22"/>
                <w:szCs w:val="22"/>
              </w:rPr>
              <w:t>237</w:t>
            </w:r>
          </w:p>
          <w:p w14:paraId="2C49EFEE" w14:textId="77777777" w:rsidR="00716156" w:rsidRPr="009F0FAE" w:rsidRDefault="00716156" w:rsidP="00F020F4">
            <w:pPr>
              <w:jc w:val="center"/>
              <w:rPr>
                <w:rFonts w:cs="Arial"/>
                <w:sz w:val="22"/>
                <w:szCs w:val="22"/>
              </w:rPr>
            </w:pPr>
          </w:p>
        </w:tc>
        <w:tc>
          <w:tcPr>
            <w:tcW w:w="1569" w:type="pct"/>
          </w:tcPr>
          <w:p w14:paraId="2B864339" w14:textId="77777777" w:rsidR="00716156" w:rsidRPr="009F0FAE" w:rsidRDefault="00716156" w:rsidP="00F020F4">
            <w:pPr>
              <w:rPr>
                <w:rFonts w:cs="Arial"/>
                <w:sz w:val="22"/>
                <w:szCs w:val="22"/>
              </w:rPr>
            </w:pPr>
            <w:r w:rsidRPr="009F0FAE">
              <w:rPr>
                <w:rFonts w:cs="Arial"/>
                <w:sz w:val="22"/>
                <w:szCs w:val="22"/>
              </w:rPr>
              <w:t>Progress moderately exceeded expectation (A+)</w:t>
            </w:r>
          </w:p>
        </w:tc>
      </w:tr>
      <w:tr w:rsidR="00BC7587" w:rsidRPr="009F0FAE" w14:paraId="47FD1255" w14:textId="77777777" w:rsidTr="00F020F4">
        <w:tc>
          <w:tcPr>
            <w:tcW w:w="1803" w:type="pct"/>
          </w:tcPr>
          <w:p w14:paraId="627F16A2" w14:textId="77777777" w:rsidR="00716156" w:rsidRPr="009F0FAE" w:rsidRDefault="00716156" w:rsidP="00F020F4">
            <w:pPr>
              <w:rPr>
                <w:rFonts w:eastAsia="Arial" w:cs="Arial"/>
                <w:color w:val="000000" w:themeColor="text1"/>
                <w:sz w:val="22"/>
                <w:szCs w:val="22"/>
              </w:rPr>
            </w:pPr>
            <w:r w:rsidRPr="009F0FAE">
              <w:rPr>
                <w:rFonts w:eastAsia="Arial" w:cs="Arial"/>
                <w:color w:val="000000" w:themeColor="text1"/>
                <w:sz w:val="22"/>
                <w:szCs w:val="22"/>
              </w:rPr>
              <w:t>1.7b Total value of fully disbursed projects $bn</w:t>
            </w:r>
          </w:p>
        </w:tc>
        <w:tc>
          <w:tcPr>
            <w:tcW w:w="851" w:type="pct"/>
            <w:gridSpan w:val="2"/>
          </w:tcPr>
          <w:p w14:paraId="409421C3" w14:textId="77777777" w:rsidR="00716156" w:rsidRPr="009F0FAE" w:rsidRDefault="00716156" w:rsidP="00F020F4">
            <w:pPr>
              <w:jc w:val="center"/>
              <w:rPr>
                <w:rFonts w:cs="Arial"/>
                <w:sz w:val="22"/>
                <w:szCs w:val="22"/>
              </w:rPr>
            </w:pPr>
            <w:r w:rsidRPr="009F0FAE">
              <w:rPr>
                <w:rFonts w:cs="Arial"/>
                <w:sz w:val="22"/>
                <w:szCs w:val="22"/>
              </w:rPr>
              <w:t>3.41</w:t>
            </w:r>
          </w:p>
        </w:tc>
        <w:tc>
          <w:tcPr>
            <w:tcW w:w="777" w:type="pct"/>
          </w:tcPr>
          <w:p w14:paraId="0DE018AC" w14:textId="77777777" w:rsidR="00716156" w:rsidRPr="009F0FAE" w:rsidRDefault="00716156" w:rsidP="00F020F4">
            <w:pPr>
              <w:jc w:val="center"/>
              <w:rPr>
                <w:rFonts w:cs="Arial"/>
                <w:sz w:val="22"/>
                <w:szCs w:val="22"/>
              </w:rPr>
            </w:pPr>
            <w:r w:rsidRPr="009F0FAE">
              <w:rPr>
                <w:rFonts w:cs="Arial"/>
                <w:sz w:val="22"/>
                <w:szCs w:val="22"/>
              </w:rPr>
              <w:t>3.65</w:t>
            </w:r>
          </w:p>
          <w:p w14:paraId="691F485D" w14:textId="77777777" w:rsidR="00716156" w:rsidRPr="009F0FAE" w:rsidRDefault="00716156" w:rsidP="00F020F4">
            <w:pPr>
              <w:jc w:val="center"/>
              <w:rPr>
                <w:rFonts w:cs="Arial"/>
                <w:sz w:val="22"/>
                <w:szCs w:val="22"/>
              </w:rPr>
            </w:pPr>
          </w:p>
        </w:tc>
        <w:tc>
          <w:tcPr>
            <w:tcW w:w="1569" w:type="pct"/>
          </w:tcPr>
          <w:p w14:paraId="4F171B89" w14:textId="77777777" w:rsidR="00716156" w:rsidRDefault="00716156" w:rsidP="00F020F4">
            <w:pPr>
              <w:rPr>
                <w:rFonts w:cs="Arial"/>
                <w:sz w:val="22"/>
                <w:szCs w:val="22"/>
              </w:rPr>
            </w:pPr>
            <w:r w:rsidRPr="009F0FAE">
              <w:rPr>
                <w:rFonts w:cs="Arial"/>
                <w:sz w:val="22"/>
                <w:szCs w:val="22"/>
              </w:rPr>
              <w:t>Progress moderately exceeded expectation</w:t>
            </w:r>
          </w:p>
          <w:p w14:paraId="7027F55E" w14:textId="400AB3E2" w:rsidR="00813914" w:rsidRPr="009F0FAE" w:rsidRDefault="00813914" w:rsidP="00F020F4">
            <w:pPr>
              <w:rPr>
                <w:rFonts w:cs="Arial"/>
                <w:sz w:val="22"/>
                <w:szCs w:val="22"/>
              </w:rPr>
            </w:pPr>
            <w:r>
              <w:rPr>
                <w:rFonts w:cs="Arial"/>
                <w:sz w:val="22"/>
                <w:szCs w:val="22"/>
              </w:rPr>
              <w:t>(A+)</w:t>
            </w:r>
          </w:p>
        </w:tc>
      </w:tr>
      <w:tr w:rsidR="00BC7587" w:rsidRPr="009F0FAE" w14:paraId="26392898" w14:textId="77777777" w:rsidTr="00F020F4">
        <w:tc>
          <w:tcPr>
            <w:tcW w:w="1803" w:type="pct"/>
          </w:tcPr>
          <w:p w14:paraId="52B51208" w14:textId="77777777" w:rsidR="00716156" w:rsidRPr="009F0FAE" w:rsidRDefault="00716156" w:rsidP="00F020F4">
            <w:pPr>
              <w:rPr>
                <w:rFonts w:eastAsia="Arial" w:cs="Arial"/>
                <w:color w:val="000000" w:themeColor="text1"/>
                <w:sz w:val="22"/>
                <w:szCs w:val="22"/>
              </w:rPr>
            </w:pPr>
            <w:r w:rsidRPr="009F0FAE">
              <w:rPr>
                <w:rFonts w:eastAsia="Arial" w:cs="Arial"/>
                <w:color w:val="000000" w:themeColor="text1"/>
                <w:sz w:val="22"/>
                <w:szCs w:val="22"/>
              </w:rPr>
              <w:t>1.8 Total number of CIF projects approved (monitoring only)</w:t>
            </w:r>
          </w:p>
        </w:tc>
        <w:tc>
          <w:tcPr>
            <w:tcW w:w="851" w:type="pct"/>
            <w:gridSpan w:val="2"/>
          </w:tcPr>
          <w:p w14:paraId="07819DDE" w14:textId="77777777" w:rsidR="00716156" w:rsidRPr="009F0FAE" w:rsidRDefault="00716156" w:rsidP="00F020F4">
            <w:pPr>
              <w:jc w:val="center"/>
              <w:rPr>
                <w:rFonts w:cs="Arial"/>
                <w:sz w:val="22"/>
                <w:szCs w:val="22"/>
              </w:rPr>
            </w:pPr>
            <w:r w:rsidRPr="009F0FAE">
              <w:rPr>
                <w:rFonts w:cs="Arial"/>
                <w:sz w:val="22"/>
                <w:szCs w:val="22"/>
              </w:rPr>
              <w:t>-</w:t>
            </w:r>
          </w:p>
        </w:tc>
        <w:tc>
          <w:tcPr>
            <w:tcW w:w="777" w:type="pct"/>
          </w:tcPr>
          <w:p w14:paraId="129202C7" w14:textId="77777777" w:rsidR="00716156" w:rsidRPr="009F0FAE" w:rsidRDefault="00716156" w:rsidP="00F020F4">
            <w:pPr>
              <w:jc w:val="center"/>
              <w:rPr>
                <w:rFonts w:cs="Arial"/>
                <w:sz w:val="22"/>
                <w:szCs w:val="22"/>
              </w:rPr>
            </w:pPr>
            <w:r w:rsidRPr="009F0FAE">
              <w:rPr>
                <w:rFonts w:cs="Arial"/>
                <w:sz w:val="22"/>
                <w:szCs w:val="22"/>
              </w:rPr>
              <w:t>362</w:t>
            </w:r>
          </w:p>
        </w:tc>
        <w:tc>
          <w:tcPr>
            <w:tcW w:w="1569" w:type="pct"/>
          </w:tcPr>
          <w:p w14:paraId="06813775" w14:textId="77777777" w:rsidR="00716156" w:rsidRPr="009F0FAE" w:rsidRDefault="00716156" w:rsidP="00F020F4">
            <w:pPr>
              <w:rPr>
                <w:rFonts w:cs="Arial"/>
                <w:sz w:val="22"/>
                <w:szCs w:val="22"/>
              </w:rPr>
            </w:pPr>
            <w:r w:rsidRPr="009F0FAE">
              <w:rPr>
                <w:rFonts w:cs="Arial"/>
                <w:sz w:val="22"/>
                <w:szCs w:val="22"/>
              </w:rPr>
              <w:t>Monitoring only</w:t>
            </w:r>
          </w:p>
        </w:tc>
      </w:tr>
      <w:tr w:rsidR="00BC7587" w:rsidRPr="009F0FAE" w14:paraId="2C38894E" w14:textId="77777777" w:rsidTr="00F020F4">
        <w:tc>
          <w:tcPr>
            <w:tcW w:w="1803" w:type="pct"/>
          </w:tcPr>
          <w:p w14:paraId="79D725AF" w14:textId="77777777" w:rsidR="00716156" w:rsidRPr="009F0FAE" w:rsidRDefault="00716156" w:rsidP="00F020F4">
            <w:pPr>
              <w:rPr>
                <w:rFonts w:eastAsia="Arial" w:cs="Arial"/>
                <w:color w:val="000000" w:themeColor="text1"/>
                <w:sz w:val="22"/>
                <w:szCs w:val="22"/>
              </w:rPr>
            </w:pPr>
            <w:r w:rsidRPr="009F0FAE">
              <w:rPr>
                <w:rFonts w:eastAsia="Arial" w:cs="Arial"/>
                <w:color w:val="000000" w:themeColor="text1"/>
                <w:sz w:val="22"/>
                <w:szCs w:val="22"/>
              </w:rPr>
              <w:t>1.9 Number of CIFs sub programmes reporting achieved results</w:t>
            </w:r>
          </w:p>
        </w:tc>
        <w:tc>
          <w:tcPr>
            <w:tcW w:w="851" w:type="pct"/>
            <w:gridSpan w:val="2"/>
          </w:tcPr>
          <w:p w14:paraId="4DCD9BF1" w14:textId="77777777" w:rsidR="00716156" w:rsidRPr="009F0FAE" w:rsidRDefault="00716156" w:rsidP="00F020F4">
            <w:pPr>
              <w:jc w:val="center"/>
              <w:rPr>
                <w:rFonts w:cs="Arial"/>
                <w:sz w:val="22"/>
                <w:szCs w:val="22"/>
              </w:rPr>
            </w:pPr>
            <w:r w:rsidRPr="009F0FAE">
              <w:rPr>
                <w:rFonts w:cs="Arial"/>
                <w:sz w:val="22"/>
                <w:szCs w:val="22"/>
              </w:rPr>
              <w:t>5</w:t>
            </w:r>
          </w:p>
        </w:tc>
        <w:tc>
          <w:tcPr>
            <w:tcW w:w="777" w:type="pct"/>
          </w:tcPr>
          <w:p w14:paraId="63E43FA5" w14:textId="77777777" w:rsidR="00716156" w:rsidRPr="009F0FAE" w:rsidRDefault="00716156" w:rsidP="00F020F4">
            <w:pPr>
              <w:jc w:val="center"/>
              <w:rPr>
                <w:rFonts w:cs="Arial"/>
                <w:sz w:val="22"/>
                <w:szCs w:val="22"/>
              </w:rPr>
            </w:pPr>
            <w:r w:rsidRPr="009F0FAE">
              <w:rPr>
                <w:rFonts w:cs="Arial"/>
                <w:sz w:val="22"/>
                <w:szCs w:val="22"/>
              </w:rPr>
              <w:t>5</w:t>
            </w:r>
          </w:p>
        </w:tc>
        <w:tc>
          <w:tcPr>
            <w:tcW w:w="1569" w:type="pct"/>
          </w:tcPr>
          <w:p w14:paraId="466A87A4" w14:textId="77777777" w:rsidR="00716156" w:rsidRPr="009F0FAE" w:rsidRDefault="00716156" w:rsidP="00F020F4">
            <w:pPr>
              <w:jc w:val="center"/>
              <w:rPr>
                <w:rFonts w:cs="Arial"/>
                <w:sz w:val="22"/>
                <w:szCs w:val="22"/>
              </w:rPr>
            </w:pPr>
            <w:r w:rsidRPr="009F0FAE">
              <w:rPr>
                <w:rFonts w:cs="Arial"/>
                <w:sz w:val="22"/>
                <w:szCs w:val="22"/>
              </w:rPr>
              <w:t>Progress met expectation</w:t>
            </w:r>
          </w:p>
          <w:p w14:paraId="7FE26B3A" w14:textId="77777777" w:rsidR="00716156" w:rsidRPr="009F0FAE" w:rsidRDefault="00716156" w:rsidP="00F020F4">
            <w:pPr>
              <w:jc w:val="center"/>
              <w:rPr>
                <w:rFonts w:cs="Arial"/>
                <w:sz w:val="22"/>
                <w:szCs w:val="22"/>
              </w:rPr>
            </w:pPr>
            <w:r w:rsidRPr="009F0FAE">
              <w:rPr>
                <w:rFonts w:cs="Arial"/>
                <w:sz w:val="22"/>
                <w:szCs w:val="22"/>
              </w:rPr>
              <w:t>(A)</w:t>
            </w:r>
          </w:p>
        </w:tc>
      </w:tr>
    </w:tbl>
    <w:p w14:paraId="0FF84B48" w14:textId="77777777" w:rsidR="00716156" w:rsidRPr="009F0FAE" w:rsidRDefault="00716156" w:rsidP="00716156">
      <w:pPr>
        <w:spacing w:line="276" w:lineRule="auto"/>
        <w:jc w:val="both"/>
        <w:rPr>
          <w:rFonts w:eastAsia="Arial" w:cs="Arial"/>
          <w:b/>
          <w:bCs/>
          <w:color w:val="000000" w:themeColor="text1"/>
          <w:sz w:val="22"/>
          <w:szCs w:val="22"/>
        </w:rPr>
      </w:pPr>
    </w:p>
    <w:p w14:paraId="3F846DE4" w14:textId="2A10EDCC" w:rsidR="00716156" w:rsidRPr="0061010A" w:rsidRDefault="009F0FAE" w:rsidP="00716156">
      <w:pPr>
        <w:spacing w:line="276" w:lineRule="auto"/>
        <w:jc w:val="both"/>
        <w:rPr>
          <w:rFonts w:eastAsia="Arial" w:cs="Arial"/>
          <w:color w:val="000000" w:themeColor="text1"/>
          <w:sz w:val="22"/>
          <w:szCs w:val="22"/>
        </w:rPr>
      </w:pPr>
      <w:r w:rsidRPr="009F0FAE">
        <w:rPr>
          <w:rFonts w:cs="Arial"/>
          <w:b/>
          <w:bCs/>
          <w:i/>
          <w:iCs/>
          <w:sz w:val="22"/>
          <w:szCs w:val="22"/>
        </w:rPr>
        <w:t>Output summary and supporting narrative for the score</w:t>
      </w:r>
    </w:p>
    <w:p w14:paraId="0684A699" w14:textId="77777777" w:rsidR="00AE4DDB" w:rsidRDefault="00716156" w:rsidP="00716156">
      <w:pPr>
        <w:pStyle w:val="Default"/>
        <w:spacing w:line="276" w:lineRule="auto"/>
        <w:jc w:val="both"/>
        <w:rPr>
          <w:rFonts w:eastAsia="Arial"/>
          <w:sz w:val="22"/>
          <w:szCs w:val="22"/>
        </w:rPr>
      </w:pPr>
      <w:r w:rsidRPr="009F0FAE">
        <w:rPr>
          <w:rFonts w:eastAsia="Arial"/>
          <w:sz w:val="22"/>
          <w:szCs w:val="22"/>
        </w:rPr>
        <w:t>To date the CIF trust fund committee has approved $7.7 billion of donor funds, which is expected to mobilise approximately $73.1 billion in co-financing from private and public sectors, MDBs, bilateral, and other sources</w:t>
      </w:r>
      <w:r w:rsidRPr="009F0FAE">
        <w:rPr>
          <w:rStyle w:val="FootnoteReference"/>
          <w:rFonts w:eastAsia="Arial"/>
          <w:sz w:val="22"/>
          <w:szCs w:val="22"/>
        </w:rPr>
        <w:footnoteReference w:id="8"/>
      </w:r>
      <w:r w:rsidRPr="009F0FAE">
        <w:rPr>
          <w:rFonts w:eastAsia="Arial"/>
          <w:sz w:val="22"/>
          <w:szCs w:val="22"/>
        </w:rPr>
        <w:t>. This represents a co-finance ratio of around 1:9.5, which means that for every $1 invested by the CIF, a further $9.50 is invested by other sources of finance. Cofinancing continues to show a positive trend, having increased from around 1:7 since the funds’ inception. The majority (86%) of the finance mobilised achieved to date has been under the CTF which party reflects the CTFs funding size as the largest of the CIF’s funds. The total private capital mobilisation ratio for the CIF was 1:3 compared with 1:4 for the CTF, reflecting differences in programme maturity and risk profiles. Disbursements showed an improvement across all indicators compared with last year, with total disbursements as well as the count and value of fully disbursed projects exceeding projections, indicating continued progress in translating approvals into delivery on the ground.</w:t>
      </w:r>
      <w:r w:rsidR="008849BD">
        <w:rPr>
          <w:rFonts w:eastAsia="Arial"/>
          <w:sz w:val="22"/>
          <w:szCs w:val="22"/>
        </w:rPr>
        <w:t xml:space="preserve"> </w:t>
      </w:r>
    </w:p>
    <w:p w14:paraId="275E86D7" w14:textId="77777777" w:rsidR="00AE4DDB" w:rsidRDefault="00AE4DDB" w:rsidP="00716156">
      <w:pPr>
        <w:pStyle w:val="Default"/>
        <w:spacing w:line="276" w:lineRule="auto"/>
        <w:jc w:val="both"/>
        <w:rPr>
          <w:rFonts w:eastAsia="Arial"/>
          <w:sz w:val="22"/>
          <w:szCs w:val="22"/>
        </w:rPr>
      </w:pPr>
    </w:p>
    <w:p w14:paraId="5678A4EF" w14:textId="6533EEA0" w:rsidR="00716156" w:rsidRPr="009F0FAE" w:rsidRDefault="00E044AB" w:rsidP="00716156">
      <w:pPr>
        <w:pStyle w:val="Default"/>
        <w:spacing w:line="276" w:lineRule="auto"/>
        <w:jc w:val="both"/>
        <w:rPr>
          <w:rFonts w:eastAsia="Arial"/>
          <w:sz w:val="22"/>
          <w:szCs w:val="22"/>
        </w:rPr>
      </w:pPr>
      <w:r>
        <w:rPr>
          <w:rFonts w:eastAsia="Arial"/>
          <w:sz w:val="22"/>
          <w:szCs w:val="22"/>
        </w:rPr>
        <w:t xml:space="preserve">While not captured under this output, the CIF Capital Markets Mechanism (CCMM) </w:t>
      </w:r>
      <w:r w:rsidR="00AE4DDB">
        <w:rPr>
          <w:rFonts w:eastAsia="Arial"/>
          <w:sz w:val="22"/>
          <w:szCs w:val="22"/>
        </w:rPr>
        <w:t>has the potential to significantly increase private capital mobilisation</w:t>
      </w:r>
      <w:r w:rsidR="007C0A2E">
        <w:rPr>
          <w:rFonts w:eastAsia="Arial"/>
          <w:sz w:val="22"/>
          <w:szCs w:val="22"/>
        </w:rPr>
        <w:t xml:space="preserve"> </w:t>
      </w:r>
      <w:r w:rsidR="00F515D7">
        <w:rPr>
          <w:rFonts w:eastAsia="Arial"/>
          <w:sz w:val="22"/>
          <w:szCs w:val="22"/>
        </w:rPr>
        <w:t xml:space="preserve">of CTF funds. The inaugural </w:t>
      </w:r>
      <w:r w:rsidR="004A0C11">
        <w:rPr>
          <w:rFonts w:eastAsia="Arial"/>
          <w:sz w:val="22"/>
          <w:szCs w:val="22"/>
        </w:rPr>
        <w:t xml:space="preserve">bond raised $500m on the London Stock Exchange in January 2025 and was </w:t>
      </w:r>
      <w:r w:rsidR="00C972F8">
        <w:rPr>
          <w:rFonts w:eastAsia="Arial"/>
          <w:sz w:val="22"/>
          <w:szCs w:val="22"/>
        </w:rPr>
        <w:t>six times oversubscribed, demonstrating strong investor demand.</w:t>
      </w:r>
      <w:r w:rsidR="00BB4727">
        <w:rPr>
          <w:rFonts w:eastAsia="Arial"/>
          <w:sz w:val="22"/>
          <w:szCs w:val="22"/>
        </w:rPr>
        <w:t xml:space="preserve"> </w:t>
      </w:r>
      <w:r w:rsidR="00C13F58" w:rsidRPr="00C13F58">
        <w:rPr>
          <w:rFonts w:eastAsia="Arial"/>
          <w:sz w:val="22"/>
          <w:szCs w:val="22"/>
        </w:rPr>
        <w:t xml:space="preserve">It is estimated that CCMM could raise between $5-7.5bn through bond </w:t>
      </w:r>
      <w:r w:rsidR="00C13F58">
        <w:rPr>
          <w:rFonts w:eastAsia="Arial"/>
          <w:sz w:val="22"/>
          <w:szCs w:val="22"/>
        </w:rPr>
        <w:t>sales</w:t>
      </w:r>
      <w:r w:rsidR="00C13F58" w:rsidRPr="00C13F58">
        <w:rPr>
          <w:rFonts w:eastAsia="Arial"/>
          <w:sz w:val="22"/>
          <w:szCs w:val="22"/>
        </w:rPr>
        <w:t xml:space="preserve"> over the next 10 years, which in turn could generate up to $75bn in co-financing for climate action</w:t>
      </w:r>
      <w:r w:rsidR="00597B87">
        <w:rPr>
          <w:rFonts w:eastAsia="Arial"/>
          <w:sz w:val="22"/>
          <w:szCs w:val="22"/>
        </w:rPr>
        <w:t>.</w:t>
      </w:r>
    </w:p>
    <w:p w14:paraId="6D5C4E3F" w14:textId="77777777" w:rsidR="00716156" w:rsidRPr="009F0FAE" w:rsidRDefault="00716156" w:rsidP="00716156">
      <w:pPr>
        <w:spacing w:line="276" w:lineRule="auto"/>
        <w:jc w:val="both"/>
        <w:rPr>
          <w:rFonts w:eastAsia="Arial" w:cs="Arial"/>
          <w:color w:val="000000" w:themeColor="text1"/>
          <w:sz w:val="22"/>
          <w:szCs w:val="22"/>
        </w:rPr>
      </w:pPr>
    </w:p>
    <w:p w14:paraId="79914BC1" w14:textId="0764B034" w:rsidR="00716156" w:rsidRPr="009F0FAE" w:rsidRDefault="009F0FAE" w:rsidP="00716156">
      <w:pPr>
        <w:spacing w:line="276" w:lineRule="auto"/>
        <w:jc w:val="both"/>
        <w:rPr>
          <w:rFonts w:eastAsia="Arial" w:cs="Arial"/>
          <w:color w:val="000000" w:themeColor="text1"/>
          <w:sz w:val="22"/>
          <w:szCs w:val="22"/>
        </w:rPr>
      </w:pPr>
      <w:r w:rsidRPr="009F0FAE">
        <w:rPr>
          <w:rFonts w:cs="Arial"/>
          <w:b/>
          <w:bCs/>
          <w:i/>
          <w:iCs/>
          <w:sz w:val="22"/>
          <w:szCs w:val="22"/>
        </w:rPr>
        <w:t xml:space="preserve">Changes to this output, and any planned changes </w:t>
      </w:r>
      <w:proofErr w:type="gramStart"/>
      <w:r w:rsidRPr="009F0FAE">
        <w:rPr>
          <w:rFonts w:cs="Arial"/>
          <w:b/>
          <w:bCs/>
          <w:i/>
          <w:iCs/>
          <w:sz w:val="22"/>
          <w:szCs w:val="22"/>
        </w:rPr>
        <w:t>as a result of</w:t>
      </w:r>
      <w:proofErr w:type="gramEnd"/>
      <w:r w:rsidRPr="009F0FAE">
        <w:rPr>
          <w:rFonts w:cs="Arial"/>
          <w:b/>
          <w:bCs/>
          <w:i/>
          <w:iCs/>
          <w:sz w:val="22"/>
          <w:szCs w:val="22"/>
        </w:rPr>
        <w:t xml:space="preserve"> this review</w:t>
      </w:r>
    </w:p>
    <w:p w14:paraId="56142ED6" w14:textId="7CFE1E4B" w:rsidR="00716156" w:rsidRPr="009F0FAE" w:rsidRDefault="00716156" w:rsidP="00716156">
      <w:pPr>
        <w:spacing w:line="276" w:lineRule="auto"/>
        <w:jc w:val="both"/>
        <w:rPr>
          <w:rFonts w:eastAsia="Arial" w:cs="Arial"/>
          <w:color w:val="000000" w:themeColor="text1"/>
          <w:sz w:val="22"/>
          <w:szCs w:val="22"/>
        </w:rPr>
      </w:pPr>
      <w:r w:rsidRPr="009F0FAE">
        <w:rPr>
          <w:rFonts w:eastAsia="Arial" w:cs="Arial"/>
          <w:color w:val="000000" w:themeColor="text1"/>
          <w:sz w:val="22"/>
          <w:szCs w:val="22"/>
        </w:rPr>
        <w:t xml:space="preserve">This is the first Annual Review reporting against the new DESNZ CIF </w:t>
      </w:r>
      <w:proofErr w:type="spellStart"/>
      <w:r w:rsidRPr="009F0FAE">
        <w:rPr>
          <w:rFonts w:eastAsia="Arial" w:cs="Arial"/>
          <w:color w:val="000000" w:themeColor="text1"/>
          <w:sz w:val="22"/>
          <w:szCs w:val="22"/>
        </w:rPr>
        <w:t>logframe</w:t>
      </w:r>
      <w:proofErr w:type="spellEnd"/>
      <w:r w:rsidRPr="009F0FAE">
        <w:rPr>
          <w:rFonts w:eastAsia="Arial" w:cs="Arial"/>
          <w:color w:val="000000" w:themeColor="text1"/>
          <w:sz w:val="22"/>
          <w:szCs w:val="22"/>
        </w:rPr>
        <w:t>. As such, this establishes a new baseline, with limited scope for comparison with earlier years. We will continue to refine the reporting framework based on feedback and new programme data from the CIF Secretariat.</w:t>
      </w:r>
    </w:p>
    <w:p w14:paraId="5F55AE2B" w14:textId="77777777" w:rsidR="00716156" w:rsidRPr="009F0FAE" w:rsidRDefault="00716156" w:rsidP="00716156">
      <w:pPr>
        <w:spacing w:line="276" w:lineRule="auto"/>
        <w:jc w:val="both"/>
        <w:rPr>
          <w:rFonts w:eastAsia="Arial" w:cs="Arial"/>
          <w:color w:val="000000" w:themeColor="text1"/>
          <w:sz w:val="22"/>
          <w:szCs w:val="22"/>
        </w:rPr>
      </w:pPr>
    </w:p>
    <w:p w14:paraId="45865AA6" w14:textId="465758E8" w:rsidR="009F0FAE" w:rsidRPr="009F0FAE" w:rsidRDefault="009F0FAE" w:rsidP="009F0FAE">
      <w:pPr>
        <w:spacing w:line="276" w:lineRule="auto"/>
        <w:jc w:val="both"/>
        <w:rPr>
          <w:rFonts w:eastAsia="Arial" w:cs="Arial"/>
          <w:color w:val="000000" w:themeColor="text1"/>
          <w:sz w:val="22"/>
          <w:szCs w:val="22"/>
        </w:rPr>
      </w:pPr>
      <w:r w:rsidRPr="009F0FAE">
        <w:rPr>
          <w:rFonts w:cs="Arial"/>
          <w:b/>
          <w:bCs/>
          <w:i/>
          <w:iCs/>
          <w:sz w:val="22"/>
          <w:szCs w:val="22"/>
        </w:rPr>
        <w:t>Progress on recommendations from the previous AR, lessons learned this year, and recommendations for the year ahead</w:t>
      </w:r>
    </w:p>
    <w:p w14:paraId="37F06235" w14:textId="28B8FA15" w:rsidR="00716156" w:rsidRPr="00C30F7C" w:rsidRDefault="00716156" w:rsidP="00C30F7C">
      <w:pPr>
        <w:spacing w:line="276" w:lineRule="auto"/>
        <w:jc w:val="both"/>
        <w:rPr>
          <w:rFonts w:eastAsia="Arial" w:cs="Arial"/>
          <w:color w:val="000000" w:themeColor="text1"/>
          <w:sz w:val="22"/>
          <w:szCs w:val="22"/>
        </w:rPr>
      </w:pPr>
      <w:r w:rsidRPr="009F0FAE">
        <w:rPr>
          <w:rFonts w:eastAsia="Arial" w:cs="Arial"/>
          <w:color w:val="000000" w:themeColor="text1"/>
          <w:sz w:val="22"/>
          <w:szCs w:val="22"/>
        </w:rPr>
        <w:t>The data shows that the Funds have performed very well across this Output, meeting or exceeding expectations across all indicators. Regarding previous AR recommendations, disbursements are showing a positive trend, with an increase in the disbursement ratio from 69.5% to 73.3%. We will continue to push for improvement in this area as well as the reprioritisation of cancelled funds. Looking ahead, we are recommending that the HLM – which uses grant funding to target higher mobilisation ratios, especially from private sources – be operationalised this year. HMG has championed this initiative since its inception, and UK officials will continue to engage proactively with the CIF Secretariat and MDB partners to ensure its timely and effective delivery.</w:t>
      </w:r>
    </w:p>
    <w:p w14:paraId="1BF44A1F" w14:textId="77777777" w:rsidR="00716156" w:rsidRPr="00EA1A0C" w:rsidRDefault="00716156" w:rsidP="00EA1A0C">
      <w:pPr>
        <w:pStyle w:val="Heading2"/>
        <w:rPr>
          <w:rFonts w:eastAsia="Arial"/>
        </w:rPr>
      </w:pPr>
      <w:bookmarkStart w:id="14" w:name="_Toc224897462"/>
      <w:r w:rsidRPr="00EA1A0C">
        <w:rPr>
          <w:rFonts w:eastAsia="Arial"/>
        </w:rPr>
        <w:t>Output 2: CIF demonstrates progress on key strategic priorities which make it an effective part of the multilateral system.</w:t>
      </w:r>
      <w:bookmarkEnd w:id="14"/>
    </w:p>
    <w:p w14:paraId="568D8D3B" w14:textId="77777777" w:rsidR="009F0FAE" w:rsidRDefault="009F0FAE" w:rsidP="00716156">
      <w:pPr>
        <w:rPr>
          <w:rFonts w:eastAsia="Arial" w:cs="Arial"/>
          <w:sz w:val="22"/>
          <w:szCs w:val="22"/>
        </w:rPr>
      </w:pPr>
    </w:p>
    <w:tbl>
      <w:tblPr>
        <w:tblStyle w:val="TableGrid"/>
        <w:tblW w:w="9072" w:type="dxa"/>
        <w:tblInd w:w="-5" w:type="dxa"/>
        <w:tblLook w:val="04A0" w:firstRow="1" w:lastRow="0" w:firstColumn="1" w:lastColumn="0" w:noHBand="0" w:noVBand="1"/>
      </w:tblPr>
      <w:tblGrid>
        <w:gridCol w:w="1566"/>
        <w:gridCol w:w="616"/>
        <w:gridCol w:w="937"/>
        <w:gridCol w:w="2977"/>
        <w:gridCol w:w="2976"/>
      </w:tblGrid>
      <w:tr w:rsidR="00B4341F" w:rsidRPr="00D80C6C" w14:paraId="3F53F46F" w14:textId="77777777">
        <w:trPr>
          <w:trHeight w:val="489"/>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1B55242" w14:textId="77777777" w:rsidR="009F0FAE" w:rsidRPr="00D80C6C" w:rsidRDefault="009F0FAE" w:rsidP="00F020F4">
            <w:pPr>
              <w:jc w:val="both"/>
              <w:rPr>
                <w:rFonts w:cs="Arial"/>
                <w:b/>
                <w:bCs/>
                <w:sz w:val="22"/>
                <w:szCs w:val="22"/>
              </w:rPr>
            </w:pPr>
            <w:r w:rsidRPr="00D80C6C">
              <w:rPr>
                <w:rFonts w:cs="Arial"/>
                <w:b/>
                <w:bCs/>
                <w:sz w:val="22"/>
                <w:szCs w:val="22"/>
              </w:rPr>
              <w:t xml:space="preserve">Output Title </w:t>
            </w:r>
          </w:p>
        </w:tc>
        <w:tc>
          <w:tcPr>
            <w:tcW w:w="750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4215F5A" w14:textId="6614E73B" w:rsidR="009F0FAE" w:rsidRPr="009F0FAE" w:rsidRDefault="00C30F7C" w:rsidP="00F020F4">
            <w:pPr>
              <w:jc w:val="both"/>
              <w:rPr>
                <w:rFonts w:cs="Arial"/>
                <w:bCs/>
                <w:i/>
                <w:color w:val="FF0000"/>
                <w:sz w:val="22"/>
                <w:szCs w:val="22"/>
              </w:rPr>
            </w:pPr>
            <w:r w:rsidRPr="009F0FAE">
              <w:rPr>
                <w:rFonts w:eastAsia="Arial" w:cs="Arial"/>
                <w:i/>
                <w:iCs/>
                <w:sz w:val="22"/>
                <w:szCs w:val="22"/>
              </w:rPr>
              <w:t xml:space="preserve">CIF demonstrate progress on key strategic priorities which make </w:t>
            </w:r>
            <w:r w:rsidR="00140F09">
              <w:rPr>
                <w:rFonts w:eastAsia="Arial" w:cs="Arial"/>
                <w:i/>
                <w:iCs/>
                <w:sz w:val="22"/>
                <w:szCs w:val="22"/>
              </w:rPr>
              <w:t>them</w:t>
            </w:r>
            <w:r w:rsidRPr="009F0FAE">
              <w:rPr>
                <w:rFonts w:eastAsia="Arial" w:cs="Arial"/>
                <w:i/>
                <w:iCs/>
                <w:sz w:val="22"/>
                <w:szCs w:val="22"/>
              </w:rPr>
              <w:t xml:space="preserve"> an effective part of the multilateral system</w:t>
            </w:r>
          </w:p>
        </w:tc>
      </w:tr>
      <w:tr w:rsidR="002E4F89" w:rsidRPr="00D80C6C" w14:paraId="4A8476FD" w14:textId="77777777">
        <w:trPr>
          <w:trHeight w:val="347"/>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2D5202B" w14:textId="77777777" w:rsidR="009F0FAE" w:rsidRPr="00D80C6C" w:rsidRDefault="009F0FAE" w:rsidP="00F020F4">
            <w:pPr>
              <w:jc w:val="both"/>
              <w:rPr>
                <w:rFonts w:cs="Arial"/>
                <w:bCs/>
                <w:sz w:val="22"/>
                <w:szCs w:val="22"/>
              </w:rPr>
            </w:pPr>
            <w:r w:rsidRPr="00D80C6C">
              <w:rPr>
                <w:rFonts w:cs="Arial"/>
                <w:bCs/>
                <w:sz w:val="22"/>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153FBCEF" w14:textId="07C4636B" w:rsidR="009F0FAE" w:rsidRPr="00D80C6C" w:rsidRDefault="00C30F7C" w:rsidP="00F020F4">
            <w:pPr>
              <w:jc w:val="both"/>
              <w:rPr>
                <w:rFonts w:cs="Arial"/>
                <w:sz w:val="22"/>
                <w:szCs w:val="22"/>
              </w:rPr>
            </w:pPr>
            <w:r>
              <w:rPr>
                <w:rFonts w:cs="Arial"/>
                <w:sz w:val="22"/>
                <w:szCs w:val="22"/>
              </w:rPr>
              <w:t>2</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93FCFDA" w14:textId="77777777" w:rsidR="009F0FAE" w:rsidRPr="00D80C6C" w:rsidRDefault="009F0FAE" w:rsidP="00F020F4">
            <w:pPr>
              <w:jc w:val="both"/>
              <w:rPr>
                <w:rFonts w:cs="Arial"/>
                <w:sz w:val="22"/>
                <w:szCs w:val="22"/>
              </w:rPr>
            </w:pPr>
            <w:r w:rsidRPr="00D80C6C">
              <w:rPr>
                <w:rFonts w:cs="Arial"/>
                <w:bCs/>
                <w:sz w:val="22"/>
                <w:szCs w:val="22"/>
              </w:rPr>
              <w:t xml:space="preserve">Output Score: </w:t>
            </w:r>
          </w:p>
        </w:tc>
        <w:tc>
          <w:tcPr>
            <w:tcW w:w="2976" w:type="dxa"/>
            <w:tcBorders>
              <w:top w:val="single" w:sz="4" w:space="0" w:color="auto"/>
              <w:left w:val="single" w:sz="4" w:space="0" w:color="auto"/>
              <w:bottom w:val="single" w:sz="4" w:space="0" w:color="auto"/>
              <w:right w:val="single" w:sz="4" w:space="0" w:color="auto"/>
            </w:tcBorders>
          </w:tcPr>
          <w:p w14:paraId="3015AC6C" w14:textId="2D81A8EA" w:rsidR="009F0FAE" w:rsidRPr="009F0FAE" w:rsidRDefault="009F0FAE" w:rsidP="00F020F4">
            <w:pPr>
              <w:jc w:val="both"/>
              <w:rPr>
                <w:rFonts w:cs="Arial"/>
                <w:iCs/>
                <w:sz w:val="22"/>
                <w:szCs w:val="22"/>
              </w:rPr>
            </w:pPr>
            <w:r w:rsidRPr="009F0FAE">
              <w:rPr>
                <w:rFonts w:cs="Arial"/>
                <w:iCs/>
                <w:sz w:val="22"/>
                <w:szCs w:val="22"/>
              </w:rPr>
              <w:t>A</w:t>
            </w:r>
          </w:p>
        </w:tc>
      </w:tr>
      <w:tr w:rsidR="002E4F89" w:rsidRPr="00D80C6C" w14:paraId="4695F942" w14:textId="77777777">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D593E3" w14:textId="77777777" w:rsidR="009F0FAE" w:rsidRPr="00D80C6C" w:rsidRDefault="009F0FAE" w:rsidP="00F020F4">
            <w:pPr>
              <w:jc w:val="both"/>
              <w:rPr>
                <w:rFonts w:cs="Arial"/>
                <w:sz w:val="22"/>
                <w:szCs w:val="22"/>
              </w:rPr>
            </w:pPr>
            <w:r w:rsidRPr="00D80C6C">
              <w:rPr>
                <w:rFonts w:cs="Arial"/>
                <w:bCs/>
                <w:sz w:val="22"/>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5A974C59" w14:textId="77777777" w:rsidR="009F0FAE" w:rsidRPr="00D80C6C" w:rsidRDefault="009F0FAE" w:rsidP="00F020F4">
            <w:pPr>
              <w:jc w:val="both"/>
              <w:rPr>
                <w:rFonts w:cs="Arial"/>
                <w:bCs/>
                <w:sz w:val="22"/>
                <w:szCs w:val="22"/>
              </w:rPr>
            </w:pPr>
            <w:r>
              <w:rPr>
                <w:rFonts w:cs="Arial"/>
                <w:bCs/>
                <w:sz w:val="22"/>
                <w:szCs w:val="22"/>
              </w:rPr>
              <w:t>40</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958C6D9" w14:textId="77777777" w:rsidR="009F0FAE" w:rsidRPr="00D80C6C" w:rsidRDefault="009F0FAE" w:rsidP="00F020F4">
            <w:pPr>
              <w:jc w:val="both"/>
              <w:rPr>
                <w:rFonts w:cs="Arial"/>
                <w:bCs/>
                <w:sz w:val="22"/>
                <w:szCs w:val="22"/>
              </w:rPr>
            </w:pPr>
            <w:r w:rsidRPr="00D80C6C">
              <w:rPr>
                <w:rFonts w:cs="Arial"/>
                <w:bCs/>
                <w:sz w:val="22"/>
                <w:szCs w:val="22"/>
              </w:rPr>
              <w:t xml:space="preserve">Weighting revised since last </w:t>
            </w:r>
            <w:proofErr w:type="gramStart"/>
            <w:r w:rsidRPr="00D80C6C">
              <w:rPr>
                <w:rFonts w:cs="Arial"/>
                <w:bCs/>
                <w:sz w:val="22"/>
                <w:szCs w:val="22"/>
              </w:rPr>
              <w:t>AR?</w:t>
            </w:r>
            <w:proofErr w:type="gramEnd"/>
            <w:r w:rsidRPr="00D80C6C">
              <w:rPr>
                <w:rFonts w:cs="Arial"/>
                <w:bCs/>
                <w:sz w:val="22"/>
                <w:szCs w:val="22"/>
              </w:rPr>
              <w:t xml:space="preserve"> </w:t>
            </w:r>
          </w:p>
        </w:tc>
        <w:tc>
          <w:tcPr>
            <w:tcW w:w="2976" w:type="dxa"/>
            <w:tcBorders>
              <w:top w:val="single" w:sz="4" w:space="0" w:color="auto"/>
              <w:left w:val="single" w:sz="4" w:space="0" w:color="auto"/>
              <w:bottom w:val="single" w:sz="4" w:space="0" w:color="auto"/>
              <w:right w:val="single" w:sz="4" w:space="0" w:color="auto"/>
            </w:tcBorders>
          </w:tcPr>
          <w:p w14:paraId="5DD16ED6" w14:textId="77777777" w:rsidR="009F0FAE" w:rsidRPr="00D80C6C" w:rsidRDefault="009F0FAE" w:rsidP="00F020F4">
            <w:pPr>
              <w:jc w:val="both"/>
              <w:rPr>
                <w:rFonts w:cs="Arial"/>
                <w:bCs/>
                <w:sz w:val="22"/>
                <w:szCs w:val="22"/>
              </w:rPr>
            </w:pPr>
            <w:r>
              <w:rPr>
                <w:rFonts w:cs="Arial"/>
                <w:bCs/>
                <w:sz w:val="22"/>
                <w:szCs w:val="22"/>
              </w:rPr>
              <w:t>N/A</w:t>
            </w:r>
          </w:p>
        </w:tc>
      </w:tr>
      <w:tr w:rsidR="002E4F89" w:rsidRPr="00D80C6C" w14:paraId="51BA46AD" w14:textId="77777777">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8839F0" w14:textId="77777777" w:rsidR="009F0FAE" w:rsidRPr="00D80C6C" w:rsidRDefault="009F0FAE" w:rsidP="00F020F4">
            <w:pPr>
              <w:jc w:val="both"/>
              <w:rPr>
                <w:rFonts w:cs="Arial"/>
                <w:bCs/>
                <w:sz w:val="22"/>
                <w:szCs w:val="22"/>
              </w:rPr>
            </w:pPr>
            <w:r w:rsidRPr="00D80C6C">
              <w:rPr>
                <w:rFonts w:cs="Arial"/>
                <w:bCs/>
                <w:sz w:val="22"/>
                <w:szCs w:val="22"/>
              </w:rPr>
              <w:t>Risk rating</w:t>
            </w:r>
            <w:r>
              <w:rPr>
                <w:rFonts w:cs="Arial"/>
                <w:bCs/>
                <w:sz w:val="22"/>
                <w:szCs w:val="22"/>
              </w:rPr>
              <w:t>:</w:t>
            </w:r>
          </w:p>
        </w:tc>
        <w:tc>
          <w:tcPr>
            <w:tcW w:w="937" w:type="dxa"/>
            <w:tcBorders>
              <w:top w:val="single" w:sz="4" w:space="0" w:color="auto"/>
              <w:left w:val="single" w:sz="4" w:space="0" w:color="auto"/>
              <w:bottom w:val="single" w:sz="4" w:space="0" w:color="auto"/>
              <w:right w:val="single" w:sz="4" w:space="0" w:color="auto"/>
            </w:tcBorders>
          </w:tcPr>
          <w:p w14:paraId="3F236150" w14:textId="3927DA32" w:rsidR="009F0FAE" w:rsidRPr="00D80C6C" w:rsidRDefault="003E378B" w:rsidP="00F020F4">
            <w:pPr>
              <w:jc w:val="both"/>
              <w:rPr>
                <w:rFonts w:cs="Arial"/>
                <w:bCs/>
                <w:sz w:val="22"/>
                <w:szCs w:val="22"/>
              </w:rPr>
            </w:pPr>
            <w:r>
              <w:rPr>
                <w:rFonts w:cs="Arial"/>
                <w:bCs/>
                <w:sz w:val="22"/>
                <w:szCs w:val="22"/>
              </w:rPr>
              <w:t>Min</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590B96" w14:textId="77777777" w:rsidR="009F0FAE" w:rsidRPr="00D80C6C" w:rsidRDefault="009F0FAE" w:rsidP="00F020F4">
            <w:pPr>
              <w:jc w:val="both"/>
              <w:rPr>
                <w:rFonts w:cs="Arial"/>
                <w:bCs/>
                <w:sz w:val="22"/>
                <w:szCs w:val="22"/>
              </w:rPr>
            </w:pPr>
            <w:r w:rsidRPr="00D80C6C">
              <w:rPr>
                <w:rFonts w:cs="Arial"/>
                <w:bCs/>
                <w:sz w:val="22"/>
                <w:szCs w:val="22"/>
              </w:rPr>
              <w:t>Risk revised since last AR?</w:t>
            </w:r>
          </w:p>
        </w:tc>
        <w:tc>
          <w:tcPr>
            <w:tcW w:w="2976" w:type="dxa"/>
            <w:tcBorders>
              <w:top w:val="single" w:sz="4" w:space="0" w:color="auto"/>
              <w:left w:val="single" w:sz="4" w:space="0" w:color="auto"/>
              <w:bottom w:val="single" w:sz="4" w:space="0" w:color="auto"/>
              <w:right w:val="single" w:sz="4" w:space="0" w:color="auto"/>
            </w:tcBorders>
          </w:tcPr>
          <w:p w14:paraId="321E5BF3" w14:textId="77777777" w:rsidR="009F0FAE" w:rsidRPr="00D80C6C" w:rsidRDefault="009F0FAE" w:rsidP="00F020F4">
            <w:pPr>
              <w:jc w:val="both"/>
              <w:rPr>
                <w:rFonts w:cs="Arial"/>
                <w:bCs/>
                <w:sz w:val="22"/>
                <w:szCs w:val="22"/>
              </w:rPr>
            </w:pPr>
            <w:r>
              <w:rPr>
                <w:rFonts w:cs="Arial"/>
                <w:bCs/>
                <w:sz w:val="22"/>
                <w:szCs w:val="22"/>
              </w:rPr>
              <w:t>N/A</w:t>
            </w:r>
          </w:p>
        </w:tc>
      </w:tr>
    </w:tbl>
    <w:p w14:paraId="529DFB0F" w14:textId="77777777" w:rsidR="009F0FAE" w:rsidRPr="009F0FAE" w:rsidRDefault="009F0FAE" w:rsidP="00716156">
      <w:pPr>
        <w:rPr>
          <w:rFonts w:eastAsia="Arial" w:cs="Arial"/>
          <w:sz w:val="22"/>
          <w:szCs w:val="22"/>
        </w:rPr>
      </w:pPr>
    </w:p>
    <w:p w14:paraId="71AA240D" w14:textId="27233568" w:rsidR="00716156" w:rsidRPr="008E65B7" w:rsidRDefault="008E65B7" w:rsidP="008E65B7">
      <w:pPr>
        <w:rPr>
          <w:rFonts w:eastAsia="Arial" w:cs="Arial"/>
          <w:sz w:val="22"/>
          <w:szCs w:val="22"/>
        </w:rPr>
      </w:pPr>
      <w:r w:rsidRPr="009F0FAE">
        <w:rPr>
          <w:rFonts w:eastAsia="Arial" w:cs="Arial"/>
          <w:sz w:val="22"/>
          <w:szCs w:val="22"/>
        </w:rPr>
        <w:t>This output measures CIF progress against the UK’s strategic priorities for the fund, covering good governance, operationalising new programmes and initiatives, gender and social inclusion and evaluation and learning.</w:t>
      </w:r>
    </w:p>
    <w:p w14:paraId="713EE104" w14:textId="77777777" w:rsidR="008E65B7" w:rsidRPr="009F0FAE" w:rsidRDefault="008E65B7" w:rsidP="00716156">
      <w:pPr>
        <w:jc w:val="both"/>
        <w:rPr>
          <w:rFonts w:eastAsia="Arial" w:cs="Arial"/>
          <w:b/>
          <w:bCs/>
          <w:color w:val="000000" w:themeColor="text1"/>
          <w:sz w:val="22"/>
          <w:szCs w:val="22"/>
        </w:rPr>
      </w:pPr>
    </w:p>
    <w:tbl>
      <w:tblPr>
        <w:tblStyle w:val="TableGrid"/>
        <w:tblW w:w="4998" w:type="pct"/>
        <w:tblLook w:val="04A0" w:firstRow="1" w:lastRow="0" w:firstColumn="1" w:lastColumn="0" w:noHBand="0" w:noVBand="1"/>
      </w:tblPr>
      <w:tblGrid>
        <w:gridCol w:w="2808"/>
        <w:gridCol w:w="2167"/>
        <w:gridCol w:w="2301"/>
        <w:gridCol w:w="1733"/>
      </w:tblGrid>
      <w:tr w:rsidR="00914951" w:rsidRPr="009F0FAE" w14:paraId="288ACFDF" w14:textId="77777777" w:rsidTr="00C30F7C">
        <w:trPr>
          <w:trHeight w:val="135"/>
        </w:trPr>
        <w:tc>
          <w:tcPr>
            <w:tcW w:w="1558" w:type="pct"/>
            <w:vMerge w:val="restart"/>
            <w:tcBorders>
              <w:top w:val="single" w:sz="6" w:space="0" w:color="auto"/>
              <w:left w:val="single" w:sz="6" w:space="0" w:color="auto"/>
              <w:right w:val="single" w:sz="6" w:space="0" w:color="auto"/>
            </w:tcBorders>
            <w:shd w:val="clear" w:color="auto" w:fill="DEEAF6" w:themeFill="accent5" w:themeFillTint="33"/>
            <w:vAlign w:val="center"/>
          </w:tcPr>
          <w:p w14:paraId="2735ECED" w14:textId="77777777" w:rsidR="00716156" w:rsidRPr="009F0FAE" w:rsidRDefault="00716156" w:rsidP="00F020F4">
            <w:pPr>
              <w:jc w:val="center"/>
              <w:rPr>
                <w:rFonts w:eastAsia="Arial" w:cs="Arial"/>
                <w:sz w:val="22"/>
                <w:szCs w:val="22"/>
              </w:rPr>
            </w:pPr>
            <w:r w:rsidRPr="009F0FAE">
              <w:rPr>
                <w:rFonts w:eastAsia="Arial" w:cs="Arial"/>
                <w:b/>
                <w:bCs/>
                <w:sz w:val="22"/>
                <w:szCs w:val="22"/>
              </w:rPr>
              <w:t>Indicator</w:t>
            </w:r>
          </w:p>
        </w:tc>
        <w:tc>
          <w:tcPr>
            <w:tcW w:w="2479" w:type="pct"/>
            <w:gridSpan w:val="2"/>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5ACF10A5" w14:textId="77777777" w:rsidR="00716156" w:rsidRPr="009F0FAE" w:rsidRDefault="00716156" w:rsidP="00F020F4">
            <w:pPr>
              <w:jc w:val="center"/>
              <w:rPr>
                <w:rFonts w:eastAsia="Arial" w:cs="Arial"/>
                <w:b/>
                <w:bCs/>
                <w:sz w:val="22"/>
                <w:szCs w:val="22"/>
              </w:rPr>
            </w:pPr>
            <w:r w:rsidRPr="009F0FAE">
              <w:rPr>
                <w:rFonts w:eastAsia="Arial" w:cs="Arial"/>
                <w:b/>
                <w:bCs/>
                <w:sz w:val="22"/>
                <w:szCs w:val="22"/>
              </w:rPr>
              <w:t>Milestones for this year</w:t>
            </w:r>
          </w:p>
        </w:tc>
        <w:tc>
          <w:tcPr>
            <w:tcW w:w="962" w:type="pct"/>
            <w:vMerge w:val="restart"/>
            <w:shd w:val="clear" w:color="auto" w:fill="DEEAF6" w:themeFill="accent5" w:themeFillTint="33"/>
          </w:tcPr>
          <w:p w14:paraId="54BE6DE5" w14:textId="77777777" w:rsidR="00716156" w:rsidRPr="009F0FAE" w:rsidRDefault="00716156" w:rsidP="00F020F4">
            <w:pPr>
              <w:jc w:val="center"/>
              <w:rPr>
                <w:rFonts w:eastAsia="Arial" w:cs="Arial"/>
                <w:b/>
                <w:bCs/>
                <w:sz w:val="22"/>
                <w:szCs w:val="22"/>
              </w:rPr>
            </w:pPr>
            <w:r w:rsidRPr="009F0FAE">
              <w:rPr>
                <w:rFonts w:eastAsia="Arial" w:cs="Arial"/>
                <w:b/>
                <w:bCs/>
                <w:sz w:val="22"/>
                <w:szCs w:val="22"/>
              </w:rPr>
              <w:t>Progress</w:t>
            </w:r>
          </w:p>
        </w:tc>
      </w:tr>
      <w:tr w:rsidR="00345342" w:rsidRPr="009F0FAE" w14:paraId="12E995B6" w14:textId="77777777" w:rsidTr="00C30F7C">
        <w:trPr>
          <w:trHeight w:val="135"/>
        </w:trPr>
        <w:tc>
          <w:tcPr>
            <w:tcW w:w="1558" w:type="pct"/>
            <w:vMerge/>
            <w:tcBorders>
              <w:left w:val="single" w:sz="6" w:space="0" w:color="auto"/>
              <w:bottom w:val="single" w:sz="6" w:space="0" w:color="auto"/>
              <w:right w:val="single" w:sz="6" w:space="0" w:color="auto"/>
            </w:tcBorders>
            <w:shd w:val="clear" w:color="auto" w:fill="D9E2F3" w:themeFill="accent1" w:themeFillTint="33"/>
          </w:tcPr>
          <w:p w14:paraId="70556424" w14:textId="77777777" w:rsidR="00716156" w:rsidRPr="009F0FAE" w:rsidRDefault="00716156" w:rsidP="00F020F4">
            <w:pPr>
              <w:rPr>
                <w:rFonts w:eastAsia="Arial" w:cs="Arial"/>
                <w:b/>
                <w:bCs/>
                <w:sz w:val="22"/>
                <w:szCs w:val="22"/>
              </w:rPr>
            </w:pPr>
          </w:p>
        </w:tc>
        <w:tc>
          <w:tcPr>
            <w:tcW w:w="1202" w:type="pct"/>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16EFB9E2" w14:textId="77777777" w:rsidR="00716156" w:rsidRPr="009F0FAE" w:rsidRDefault="00716156" w:rsidP="00F020F4">
            <w:pPr>
              <w:jc w:val="center"/>
              <w:rPr>
                <w:rFonts w:cs="Arial"/>
                <w:b/>
                <w:bCs/>
                <w:sz w:val="22"/>
                <w:szCs w:val="22"/>
              </w:rPr>
            </w:pPr>
            <w:r w:rsidRPr="009F0FAE">
              <w:rPr>
                <w:rFonts w:cs="Arial"/>
                <w:b/>
                <w:bCs/>
                <w:sz w:val="22"/>
                <w:szCs w:val="22"/>
              </w:rPr>
              <w:t>Planned</w:t>
            </w:r>
          </w:p>
        </w:tc>
        <w:tc>
          <w:tcPr>
            <w:tcW w:w="1277" w:type="pct"/>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5BACFDF" w14:textId="77777777" w:rsidR="00716156" w:rsidRPr="009F0FAE" w:rsidRDefault="00716156" w:rsidP="00F020F4">
            <w:pPr>
              <w:jc w:val="center"/>
              <w:rPr>
                <w:rFonts w:cs="Arial"/>
                <w:b/>
                <w:bCs/>
                <w:sz w:val="22"/>
                <w:szCs w:val="22"/>
              </w:rPr>
            </w:pPr>
            <w:r w:rsidRPr="009F0FAE">
              <w:rPr>
                <w:rFonts w:cs="Arial"/>
                <w:b/>
                <w:bCs/>
                <w:sz w:val="22"/>
                <w:szCs w:val="22"/>
              </w:rPr>
              <w:t>Achieved</w:t>
            </w:r>
          </w:p>
          <w:p w14:paraId="6AC55D66" w14:textId="77777777" w:rsidR="00716156" w:rsidRPr="009F0FAE" w:rsidRDefault="00716156" w:rsidP="00F020F4">
            <w:pPr>
              <w:jc w:val="center"/>
              <w:rPr>
                <w:rFonts w:cs="Arial"/>
                <w:b/>
                <w:bCs/>
                <w:sz w:val="22"/>
                <w:szCs w:val="22"/>
              </w:rPr>
            </w:pPr>
          </w:p>
        </w:tc>
        <w:tc>
          <w:tcPr>
            <w:tcW w:w="962" w:type="pct"/>
            <w:vMerge/>
            <w:shd w:val="clear" w:color="auto" w:fill="D9E2F3" w:themeFill="accent1" w:themeFillTint="33"/>
          </w:tcPr>
          <w:p w14:paraId="309D0585" w14:textId="77777777" w:rsidR="00716156" w:rsidRPr="009F0FAE" w:rsidRDefault="00716156" w:rsidP="00F020F4">
            <w:pPr>
              <w:jc w:val="center"/>
              <w:rPr>
                <w:rFonts w:cs="Arial"/>
                <w:b/>
                <w:bCs/>
                <w:sz w:val="22"/>
                <w:szCs w:val="22"/>
              </w:rPr>
            </w:pPr>
          </w:p>
        </w:tc>
      </w:tr>
      <w:tr w:rsidR="00345342" w:rsidRPr="009F0FAE" w14:paraId="22648BE2" w14:textId="77777777" w:rsidTr="00D14D15">
        <w:trPr>
          <w:trHeight w:val="575"/>
        </w:trPr>
        <w:tc>
          <w:tcPr>
            <w:tcW w:w="1558" w:type="pct"/>
            <w:tcBorders>
              <w:top w:val="single" w:sz="6" w:space="0" w:color="auto"/>
              <w:left w:val="single" w:sz="6" w:space="0" w:color="auto"/>
              <w:bottom w:val="single" w:sz="6" w:space="0" w:color="auto"/>
              <w:right w:val="single" w:sz="6" w:space="0" w:color="auto"/>
            </w:tcBorders>
          </w:tcPr>
          <w:p w14:paraId="26212B27" w14:textId="77777777" w:rsidR="00716156" w:rsidRPr="009F0FAE" w:rsidRDefault="00716156" w:rsidP="00F020F4">
            <w:pPr>
              <w:rPr>
                <w:rFonts w:eastAsia="Arial" w:cs="Arial"/>
                <w:b/>
                <w:bCs/>
                <w:sz w:val="22"/>
                <w:szCs w:val="22"/>
              </w:rPr>
            </w:pPr>
            <w:r w:rsidRPr="009F0FAE">
              <w:rPr>
                <w:rFonts w:eastAsia="Arial" w:cs="Arial"/>
                <w:b/>
                <w:bCs/>
                <w:sz w:val="22"/>
                <w:szCs w:val="22"/>
              </w:rPr>
              <w:t>Output indicator 2.1</w:t>
            </w:r>
          </w:p>
          <w:p w14:paraId="61814E4F" w14:textId="77777777" w:rsidR="00716156" w:rsidRPr="009F0FAE" w:rsidRDefault="00716156" w:rsidP="00F020F4">
            <w:pPr>
              <w:rPr>
                <w:rFonts w:eastAsia="Arial" w:cs="Arial"/>
                <w:sz w:val="22"/>
                <w:szCs w:val="22"/>
              </w:rPr>
            </w:pPr>
            <w:r w:rsidRPr="009F0FAE">
              <w:rPr>
                <w:rFonts w:eastAsia="Arial" w:cs="Arial"/>
                <w:sz w:val="22"/>
                <w:szCs w:val="22"/>
              </w:rPr>
              <w:t>Progress against CIF governance milestones</w:t>
            </w:r>
          </w:p>
          <w:p w14:paraId="38A6100E" w14:textId="77777777" w:rsidR="00716156" w:rsidRPr="009F0FAE" w:rsidRDefault="00716156" w:rsidP="00F020F4">
            <w:pPr>
              <w:rPr>
                <w:rFonts w:eastAsia="Arial" w:cs="Arial"/>
                <w:b/>
                <w:sz w:val="22"/>
                <w:szCs w:val="22"/>
              </w:rPr>
            </w:pPr>
          </w:p>
        </w:tc>
        <w:tc>
          <w:tcPr>
            <w:tcW w:w="1202" w:type="pct"/>
            <w:tcBorders>
              <w:top w:val="single" w:sz="6" w:space="0" w:color="auto"/>
              <w:left w:val="single" w:sz="6" w:space="0" w:color="auto"/>
              <w:right w:val="single" w:sz="6" w:space="0" w:color="auto"/>
            </w:tcBorders>
          </w:tcPr>
          <w:p w14:paraId="55C2BD61" w14:textId="77777777" w:rsidR="00716156" w:rsidRPr="009F0FAE" w:rsidRDefault="00716156" w:rsidP="00F020F4">
            <w:pPr>
              <w:rPr>
                <w:rFonts w:eastAsia="Arial" w:cs="Arial"/>
                <w:sz w:val="22"/>
                <w:szCs w:val="22"/>
              </w:rPr>
            </w:pPr>
            <w:r w:rsidRPr="009F0FAE">
              <w:rPr>
                <w:rFonts w:eastAsia="Arial" w:cs="Arial"/>
                <w:sz w:val="22"/>
                <w:szCs w:val="22"/>
              </w:rPr>
              <w:t>Significant progress towards concluding Phase 1 of the Governance Review including agreeing the new standing committees.</w:t>
            </w:r>
          </w:p>
        </w:tc>
        <w:tc>
          <w:tcPr>
            <w:tcW w:w="1277" w:type="pct"/>
            <w:tcBorders>
              <w:top w:val="single" w:sz="6" w:space="0" w:color="auto"/>
              <w:left w:val="single" w:sz="6" w:space="0" w:color="auto"/>
              <w:right w:val="single" w:sz="6" w:space="0" w:color="auto"/>
            </w:tcBorders>
          </w:tcPr>
          <w:p w14:paraId="2520F60C" w14:textId="5AC2BC21" w:rsidR="00716156" w:rsidRPr="009F0FAE" w:rsidRDefault="00716156" w:rsidP="00F020F4">
            <w:pPr>
              <w:rPr>
                <w:rFonts w:eastAsia="Arial" w:cs="Arial"/>
                <w:sz w:val="22"/>
                <w:szCs w:val="22"/>
              </w:rPr>
            </w:pPr>
            <w:r w:rsidRPr="009F0FAE">
              <w:rPr>
                <w:rFonts w:eastAsia="Arial" w:cs="Arial"/>
                <w:sz w:val="22"/>
                <w:szCs w:val="22"/>
              </w:rPr>
              <w:t>Actions under Phase 1 of the governance review are now complete, apart from the review of the hosting arrangement which has been delayed until 2026. Actions under Phase 2 are already underway. The TFC also established a new fallback mechanism in line with best practices from other MCFs.</w:t>
            </w:r>
          </w:p>
        </w:tc>
        <w:tc>
          <w:tcPr>
            <w:tcW w:w="962" w:type="pct"/>
          </w:tcPr>
          <w:p w14:paraId="7C8C0339" w14:textId="77777777" w:rsidR="00716156" w:rsidRPr="009F0FAE" w:rsidRDefault="00716156" w:rsidP="00F020F4">
            <w:pPr>
              <w:rPr>
                <w:rFonts w:eastAsia="Arial" w:cs="Arial"/>
                <w:sz w:val="22"/>
                <w:szCs w:val="22"/>
              </w:rPr>
            </w:pPr>
            <w:r w:rsidRPr="009F0FAE">
              <w:rPr>
                <w:rFonts w:cs="Arial"/>
                <w:sz w:val="22"/>
                <w:szCs w:val="22"/>
              </w:rPr>
              <w:t>Progress met expectation (A)</w:t>
            </w:r>
          </w:p>
        </w:tc>
      </w:tr>
      <w:tr w:rsidR="00345342" w:rsidRPr="009F0FAE" w14:paraId="4951F452" w14:textId="77777777" w:rsidTr="00F020F4">
        <w:trPr>
          <w:trHeight w:val="1203"/>
        </w:trPr>
        <w:tc>
          <w:tcPr>
            <w:tcW w:w="1558" w:type="pct"/>
            <w:tcBorders>
              <w:top w:val="single" w:sz="6" w:space="0" w:color="auto"/>
              <w:left w:val="single" w:sz="6" w:space="0" w:color="auto"/>
              <w:bottom w:val="single" w:sz="6" w:space="0" w:color="auto"/>
              <w:right w:val="single" w:sz="6" w:space="0" w:color="auto"/>
            </w:tcBorders>
          </w:tcPr>
          <w:p w14:paraId="06571F6B" w14:textId="77777777" w:rsidR="00716156" w:rsidRPr="009F0FAE" w:rsidRDefault="00716156" w:rsidP="00F020F4">
            <w:pPr>
              <w:rPr>
                <w:rFonts w:eastAsia="Arial" w:cs="Arial"/>
                <w:b/>
                <w:bCs/>
                <w:sz w:val="22"/>
                <w:szCs w:val="22"/>
              </w:rPr>
            </w:pPr>
            <w:r w:rsidRPr="009F0FAE">
              <w:rPr>
                <w:rFonts w:eastAsia="Arial" w:cs="Arial"/>
                <w:b/>
                <w:bCs/>
                <w:sz w:val="22"/>
                <w:szCs w:val="22"/>
              </w:rPr>
              <w:t>Output indicator 2.2</w:t>
            </w:r>
          </w:p>
          <w:p w14:paraId="575CF5D4" w14:textId="77777777" w:rsidR="00716156" w:rsidRPr="009F0FAE" w:rsidRDefault="00716156" w:rsidP="00F020F4">
            <w:pPr>
              <w:rPr>
                <w:rFonts w:eastAsia="Arial" w:cs="Arial"/>
                <w:sz w:val="22"/>
                <w:szCs w:val="22"/>
              </w:rPr>
            </w:pPr>
            <w:r w:rsidRPr="009F0FAE">
              <w:rPr>
                <w:rFonts w:eastAsia="Arial" w:cs="Arial"/>
                <w:sz w:val="22"/>
                <w:szCs w:val="22"/>
              </w:rPr>
              <w:t xml:space="preserve">DESNZ CIF programme team objectives  </w:t>
            </w:r>
          </w:p>
        </w:tc>
        <w:tc>
          <w:tcPr>
            <w:tcW w:w="1202" w:type="pct"/>
            <w:tcBorders>
              <w:left w:val="single" w:sz="6" w:space="0" w:color="auto"/>
              <w:right w:val="single" w:sz="6" w:space="0" w:color="auto"/>
            </w:tcBorders>
          </w:tcPr>
          <w:p w14:paraId="244FBB6E" w14:textId="6281E263" w:rsidR="00716156" w:rsidRPr="009F0FAE" w:rsidRDefault="00716156" w:rsidP="00716156">
            <w:pPr>
              <w:pStyle w:val="ListParagraph"/>
              <w:numPr>
                <w:ilvl w:val="0"/>
                <w:numId w:val="29"/>
              </w:numPr>
              <w:spacing w:after="0"/>
              <w:rPr>
                <w:rFonts w:eastAsia="Arial" w:cs="Arial"/>
                <w:sz w:val="22"/>
                <w:szCs w:val="22"/>
              </w:rPr>
            </w:pPr>
            <w:r w:rsidRPr="009F0FAE">
              <w:rPr>
                <w:rFonts w:eastAsia="Arial" w:cs="Arial"/>
                <w:sz w:val="22"/>
                <w:szCs w:val="22"/>
              </w:rPr>
              <w:t xml:space="preserve">First CCMM </w:t>
            </w:r>
            <w:r w:rsidR="00D14D15">
              <w:rPr>
                <w:rFonts w:eastAsia="Arial" w:cs="Arial"/>
                <w:sz w:val="22"/>
                <w:szCs w:val="22"/>
              </w:rPr>
              <w:t xml:space="preserve">bond issuance </w:t>
            </w:r>
            <w:r w:rsidRPr="009F0FAE">
              <w:rPr>
                <w:rFonts w:eastAsia="Arial" w:cs="Arial"/>
                <w:sz w:val="22"/>
                <w:szCs w:val="22"/>
              </w:rPr>
              <w:t>completed in Q1.</w:t>
            </w:r>
          </w:p>
          <w:p w14:paraId="21D636A4" w14:textId="0AF95F8F" w:rsidR="00716156" w:rsidRPr="009F0FAE" w:rsidRDefault="00716156" w:rsidP="00716156">
            <w:pPr>
              <w:pStyle w:val="ListParagraph"/>
              <w:numPr>
                <w:ilvl w:val="0"/>
                <w:numId w:val="29"/>
              </w:numPr>
              <w:spacing w:after="0"/>
              <w:rPr>
                <w:rFonts w:eastAsia="Arial" w:cs="Arial"/>
                <w:sz w:val="22"/>
                <w:szCs w:val="22"/>
              </w:rPr>
            </w:pPr>
            <w:r w:rsidRPr="009F0FAE">
              <w:rPr>
                <w:rFonts w:eastAsia="Arial" w:cs="Arial"/>
                <w:sz w:val="22"/>
                <w:szCs w:val="22"/>
              </w:rPr>
              <w:t xml:space="preserve">Country selection process for the </w:t>
            </w:r>
            <w:r w:rsidR="00D14D15">
              <w:rPr>
                <w:rFonts w:eastAsia="Arial" w:cs="Arial"/>
                <w:sz w:val="22"/>
                <w:szCs w:val="22"/>
              </w:rPr>
              <w:t>ID</w:t>
            </w:r>
            <w:r w:rsidRPr="009F0FAE">
              <w:rPr>
                <w:rFonts w:eastAsia="Arial" w:cs="Arial"/>
                <w:sz w:val="22"/>
                <w:szCs w:val="22"/>
              </w:rPr>
              <w:t xml:space="preserve"> </w:t>
            </w:r>
            <w:r w:rsidR="00D14D15">
              <w:rPr>
                <w:rFonts w:eastAsia="Arial" w:cs="Arial"/>
                <w:sz w:val="22"/>
                <w:szCs w:val="22"/>
              </w:rPr>
              <w:t>P</w:t>
            </w:r>
            <w:r w:rsidRPr="009F0FAE">
              <w:rPr>
                <w:rFonts w:eastAsia="Arial" w:cs="Arial"/>
                <w:sz w:val="22"/>
                <w:szCs w:val="22"/>
              </w:rPr>
              <w:t>rogramme completed in Q2.</w:t>
            </w:r>
          </w:p>
        </w:tc>
        <w:tc>
          <w:tcPr>
            <w:tcW w:w="1277" w:type="pct"/>
            <w:tcBorders>
              <w:left w:val="single" w:sz="6" w:space="0" w:color="auto"/>
              <w:right w:val="single" w:sz="6" w:space="0" w:color="auto"/>
            </w:tcBorders>
          </w:tcPr>
          <w:p w14:paraId="31FAF697" w14:textId="77777777" w:rsidR="00716156" w:rsidRPr="009F0FAE" w:rsidRDefault="00716156" w:rsidP="00716156">
            <w:pPr>
              <w:pStyle w:val="ListParagraph"/>
              <w:numPr>
                <w:ilvl w:val="0"/>
                <w:numId w:val="30"/>
              </w:numPr>
              <w:spacing w:after="0"/>
              <w:rPr>
                <w:rFonts w:eastAsia="Arial" w:cs="Arial"/>
                <w:sz w:val="22"/>
                <w:szCs w:val="22"/>
              </w:rPr>
            </w:pPr>
            <w:r w:rsidRPr="009F0FAE">
              <w:rPr>
                <w:rFonts w:eastAsia="Arial" w:cs="Arial"/>
                <w:sz w:val="22"/>
                <w:szCs w:val="22"/>
              </w:rPr>
              <w:t xml:space="preserve">First CCMM bond was issued on the LSE in January. </w:t>
            </w:r>
          </w:p>
          <w:p w14:paraId="03D2BD80" w14:textId="2B1EBF81" w:rsidR="00716156" w:rsidRPr="009F0FAE" w:rsidRDefault="00716156" w:rsidP="00716156">
            <w:pPr>
              <w:pStyle w:val="ListParagraph"/>
              <w:numPr>
                <w:ilvl w:val="0"/>
                <w:numId w:val="30"/>
              </w:numPr>
              <w:spacing w:after="0"/>
              <w:rPr>
                <w:rFonts w:eastAsia="Arial" w:cs="Arial"/>
                <w:sz w:val="22"/>
                <w:szCs w:val="22"/>
              </w:rPr>
            </w:pPr>
            <w:r w:rsidRPr="009F0FAE">
              <w:rPr>
                <w:rFonts w:eastAsia="Arial" w:cs="Arial"/>
                <w:sz w:val="22"/>
                <w:szCs w:val="22"/>
              </w:rPr>
              <w:t xml:space="preserve">The country selection process for </w:t>
            </w:r>
            <w:r w:rsidR="00126550">
              <w:rPr>
                <w:rFonts w:eastAsia="Arial" w:cs="Arial"/>
                <w:sz w:val="22"/>
                <w:szCs w:val="22"/>
              </w:rPr>
              <w:t>ID</w:t>
            </w:r>
            <w:r w:rsidRPr="009F0FAE">
              <w:rPr>
                <w:rFonts w:eastAsia="Arial" w:cs="Arial"/>
                <w:sz w:val="22"/>
                <w:szCs w:val="22"/>
              </w:rPr>
              <w:t xml:space="preserve"> concluded in June.</w:t>
            </w:r>
          </w:p>
        </w:tc>
        <w:tc>
          <w:tcPr>
            <w:tcW w:w="962" w:type="pct"/>
          </w:tcPr>
          <w:p w14:paraId="46BC8548" w14:textId="77777777" w:rsidR="00716156" w:rsidRPr="009F0FAE" w:rsidRDefault="00716156" w:rsidP="00F020F4">
            <w:pPr>
              <w:rPr>
                <w:rFonts w:eastAsia="Arial" w:cs="Arial"/>
                <w:sz w:val="22"/>
                <w:szCs w:val="22"/>
              </w:rPr>
            </w:pPr>
            <w:r w:rsidRPr="009F0FAE">
              <w:rPr>
                <w:rFonts w:cs="Arial"/>
                <w:sz w:val="22"/>
                <w:szCs w:val="22"/>
              </w:rPr>
              <w:t>Progress met expectation (A)</w:t>
            </w:r>
          </w:p>
        </w:tc>
      </w:tr>
      <w:tr w:rsidR="00345342" w:rsidRPr="009F0FAE" w14:paraId="14A363C3" w14:textId="77777777" w:rsidTr="00F020F4">
        <w:trPr>
          <w:trHeight w:val="1203"/>
        </w:trPr>
        <w:tc>
          <w:tcPr>
            <w:tcW w:w="1558" w:type="pct"/>
            <w:tcBorders>
              <w:top w:val="single" w:sz="6" w:space="0" w:color="auto"/>
              <w:left w:val="single" w:sz="6" w:space="0" w:color="auto"/>
              <w:bottom w:val="single" w:sz="6" w:space="0" w:color="auto"/>
              <w:right w:val="single" w:sz="6" w:space="0" w:color="auto"/>
            </w:tcBorders>
          </w:tcPr>
          <w:p w14:paraId="6816CD78" w14:textId="77777777" w:rsidR="00716156" w:rsidRPr="009F0FAE" w:rsidRDefault="00716156" w:rsidP="00F020F4">
            <w:pPr>
              <w:rPr>
                <w:rFonts w:eastAsia="Arial" w:cs="Arial"/>
                <w:b/>
                <w:bCs/>
                <w:sz w:val="22"/>
                <w:szCs w:val="22"/>
              </w:rPr>
            </w:pPr>
            <w:r w:rsidRPr="009F0FAE">
              <w:rPr>
                <w:rFonts w:eastAsia="Arial" w:cs="Arial"/>
                <w:b/>
                <w:bCs/>
                <w:sz w:val="22"/>
                <w:szCs w:val="22"/>
              </w:rPr>
              <w:t>Output indicator 2.3</w:t>
            </w:r>
          </w:p>
          <w:p w14:paraId="4DD57312" w14:textId="77777777" w:rsidR="00716156" w:rsidRPr="009F0FAE" w:rsidRDefault="00716156" w:rsidP="00F020F4">
            <w:pPr>
              <w:rPr>
                <w:rFonts w:eastAsia="Arial" w:cs="Arial"/>
                <w:sz w:val="22"/>
                <w:szCs w:val="22"/>
              </w:rPr>
            </w:pPr>
            <w:r w:rsidRPr="009F0FAE">
              <w:rPr>
                <w:rFonts w:eastAsia="Arial" w:cs="Arial"/>
                <w:sz w:val="22"/>
                <w:szCs w:val="22"/>
              </w:rPr>
              <w:t xml:space="preserve">The Gender Score Card.  </w:t>
            </w:r>
          </w:p>
        </w:tc>
        <w:tc>
          <w:tcPr>
            <w:tcW w:w="1202" w:type="pct"/>
            <w:tcBorders>
              <w:left w:val="single" w:sz="6" w:space="0" w:color="auto"/>
              <w:right w:val="single" w:sz="6" w:space="0" w:color="auto"/>
            </w:tcBorders>
          </w:tcPr>
          <w:p w14:paraId="10AC6AC2" w14:textId="77777777" w:rsidR="00716156" w:rsidRPr="009F0FAE" w:rsidRDefault="00716156" w:rsidP="00F020F4">
            <w:pPr>
              <w:rPr>
                <w:rFonts w:eastAsia="Arial" w:cs="Arial"/>
                <w:sz w:val="22"/>
                <w:szCs w:val="22"/>
              </w:rPr>
            </w:pPr>
            <w:r w:rsidRPr="009F0FAE">
              <w:rPr>
                <w:rFonts w:eastAsia="Arial" w:cs="Arial"/>
                <w:sz w:val="22"/>
                <w:szCs w:val="22"/>
              </w:rPr>
              <w:t>Increase in overall assessment of all 3 GEDSI scorecard indicators.</w:t>
            </w:r>
          </w:p>
        </w:tc>
        <w:tc>
          <w:tcPr>
            <w:tcW w:w="1277" w:type="pct"/>
            <w:tcBorders>
              <w:left w:val="single" w:sz="6" w:space="0" w:color="auto"/>
              <w:right w:val="single" w:sz="6" w:space="0" w:color="auto"/>
            </w:tcBorders>
          </w:tcPr>
          <w:p w14:paraId="41885990" w14:textId="77777777" w:rsidR="00716156" w:rsidRPr="009F0FAE" w:rsidRDefault="00716156" w:rsidP="00F020F4">
            <w:pPr>
              <w:rPr>
                <w:rFonts w:eastAsia="Arial" w:cs="Arial"/>
                <w:sz w:val="22"/>
                <w:szCs w:val="22"/>
              </w:rPr>
            </w:pPr>
            <w:r w:rsidRPr="009F0FAE">
              <w:rPr>
                <w:rFonts w:eastAsia="Arial" w:cs="Arial"/>
                <w:sz w:val="22"/>
                <w:szCs w:val="22"/>
              </w:rPr>
              <w:t>Increase in two of three scorecard indicators year-on-year and significant improvement overall.</w:t>
            </w:r>
          </w:p>
        </w:tc>
        <w:tc>
          <w:tcPr>
            <w:tcW w:w="962" w:type="pct"/>
          </w:tcPr>
          <w:p w14:paraId="26E0AEEC" w14:textId="77777777" w:rsidR="00716156" w:rsidRPr="009F0FAE" w:rsidRDefault="00716156" w:rsidP="00F020F4">
            <w:pPr>
              <w:rPr>
                <w:rFonts w:eastAsia="Arial" w:cs="Arial"/>
                <w:sz w:val="22"/>
                <w:szCs w:val="22"/>
              </w:rPr>
            </w:pPr>
            <w:r w:rsidRPr="009F0FAE">
              <w:rPr>
                <w:rFonts w:eastAsia="Arial" w:cs="Arial"/>
                <w:sz w:val="22"/>
                <w:szCs w:val="22"/>
              </w:rPr>
              <w:t>Progress moderately did not meet expectation (B)</w:t>
            </w:r>
          </w:p>
        </w:tc>
      </w:tr>
      <w:tr w:rsidR="00345342" w:rsidRPr="009F0FAE" w14:paraId="0E90D75F" w14:textId="77777777" w:rsidTr="00F020F4">
        <w:trPr>
          <w:trHeight w:val="1203"/>
        </w:trPr>
        <w:tc>
          <w:tcPr>
            <w:tcW w:w="1558" w:type="pct"/>
            <w:tcBorders>
              <w:top w:val="single" w:sz="6" w:space="0" w:color="auto"/>
              <w:left w:val="single" w:sz="6" w:space="0" w:color="auto"/>
              <w:right w:val="single" w:sz="6" w:space="0" w:color="auto"/>
            </w:tcBorders>
          </w:tcPr>
          <w:p w14:paraId="5B36E304" w14:textId="77777777" w:rsidR="00716156" w:rsidRPr="009F0FAE" w:rsidRDefault="00716156" w:rsidP="00F020F4">
            <w:pPr>
              <w:rPr>
                <w:rFonts w:eastAsia="Arial" w:cs="Arial"/>
                <w:b/>
                <w:bCs/>
                <w:sz w:val="22"/>
                <w:szCs w:val="22"/>
              </w:rPr>
            </w:pPr>
            <w:r w:rsidRPr="009F0FAE">
              <w:rPr>
                <w:rFonts w:eastAsia="Arial" w:cs="Arial"/>
                <w:b/>
                <w:bCs/>
                <w:sz w:val="22"/>
                <w:szCs w:val="22"/>
              </w:rPr>
              <w:t>Output indicator 2.4</w:t>
            </w:r>
          </w:p>
          <w:p w14:paraId="63AFEC9D" w14:textId="77777777" w:rsidR="00716156" w:rsidRPr="009F0FAE" w:rsidRDefault="00716156" w:rsidP="00F020F4">
            <w:pPr>
              <w:rPr>
                <w:rFonts w:eastAsia="Arial" w:cs="Arial"/>
                <w:sz w:val="22"/>
                <w:szCs w:val="22"/>
              </w:rPr>
            </w:pPr>
            <w:r w:rsidRPr="009F0FAE">
              <w:rPr>
                <w:rFonts w:eastAsia="Arial" w:cs="Arial"/>
                <w:sz w:val="22"/>
                <w:szCs w:val="22"/>
              </w:rPr>
              <w:t xml:space="preserve">Delivery against annual Evaluation and Learning Initiative Business Plan  </w:t>
            </w:r>
          </w:p>
        </w:tc>
        <w:tc>
          <w:tcPr>
            <w:tcW w:w="1202" w:type="pct"/>
            <w:tcBorders>
              <w:left w:val="single" w:sz="6" w:space="0" w:color="auto"/>
              <w:right w:val="single" w:sz="6" w:space="0" w:color="auto"/>
            </w:tcBorders>
          </w:tcPr>
          <w:p w14:paraId="6F152CE8" w14:textId="77777777" w:rsidR="00716156" w:rsidRPr="009F0FAE" w:rsidRDefault="00716156" w:rsidP="00F020F4">
            <w:pPr>
              <w:rPr>
                <w:rFonts w:eastAsia="Arial" w:cs="Arial"/>
                <w:sz w:val="22"/>
                <w:szCs w:val="22"/>
              </w:rPr>
            </w:pPr>
            <w:r w:rsidRPr="009F0FAE">
              <w:rPr>
                <w:rFonts w:eastAsia="Arial" w:cs="Arial"/>
                <w:sz w:val="22"/>
                <w:szCs w:val="22"/>
              </w:rPr>
              <w:t>Most areas outlined in the CIFs E&amp;L business plan (e.g. evals completed, S/S knowledge exchange hostess, CELL launches) are on track.</w:t>
            </w:r>
          </w:p>
        </w:tc>
        <w:tc>
          <w:tcPr>
            <w:tcW w:w="1277" w:type="pct"/>
            <w:tcBorders>
              <w:left w:val="single" w:sz="6" w:space="0" w:color="auto"/>
              <w:right w:val="single" w:sz="6" w:space="0" w:color="auto"/>
            </w:tcBorders>
          </w:tcPr>
          <w:p w14:paraId="1A68B360" w14:textId="77777777" w:rsidR="00716156" w:rsidRPr="009F0FAE" w:rsidRDefault="00716156" w:rsidP="00F020F4">
            <w:pPr>
              <w:rPr>
                <w:rFonts w:eastAsia="Arial" w:cs="Arial"/>
                <w:sz w:val="22"/>
                <w:szCs w:val="22"/>
              </w:rPr>
            </w:pPr>
            <w:r w:rsidRPr="009F0FAE">
              <w:rPr>
                <w:rFonts w:eastAsia="Arial" w:cs="Arial"/>
                <w:sz w:val="22"/>
                <w:szCs w:val="22"/>
              </w:rPr>
              <w:t>Report against E&amp;L Business Plan shows the highlighted areas are on track: publication of 12 studies (evaluations, learning reviews, studies, and guidance notes); delivery of around 30 virtual, hybrid, and in-person workshops, events, and webinars; launch of a new E&amp;L toolkit for ID; S/S knowledge exchanges conducted; CELL work is ongoing.</w:t>
            </w:r>
          </w:p>
        </w:tc>
        <w:tc>
          <w:tcPr>
            <w:tcW w:w="962" w:type="pct"/>
          </w:tcPr>
          <w:p w14:paraId="3DB61D5A" w14:textId="77777777" w:rsidR="00716156" w:rsidRPr="009F0FAE" w:rsidRDefault="00716156" w:rsidP="00F020F4">
            <w:pPr>
              <w:rPr>
                <w:rFonts w:eastAsia="Arial" w:cs="Arial"/>
                <w:sz w:val="22"/>
                <w:szCs w:val="22"/>
              </w:rPr>
            </w:pPr>
            <w:r w:rsidRPr="009F0FAE">
              <w:rPr>
                <w:rFonts w:cs="Arial"/>
                <w:sz w:val="22"/>
                <w:szCs w:val="22"/>
              </w:rPr>
              <w:t>Progress met expectation (A)</w:t>
            </w:r>
          </w:p>
        </w:tc>
      </w:tr>
    </w:tbl>
    <w:p w14:paraId="65A30A89" w14:textId="77777777" w:rsidR="00716156" w:rsidRPr="009F0FAE" w:rsidRDefault="00716156" w:rsidP="00716156">
      <w:pPr>
        <w:jc w:val="both"/>
        <w:rPr>
          <w:rFonts w:eastAsia="Arial" w:cs="Arial"/>
          <w:b/>
          <w:bCs/>
          <w:color w:val="000000" w:themeColor="text1"/>
          <w:sz w:val="22"/>
          <w:szCs w:val="22"/>
        </w:rPr>
      </w:pPr>
    </w:p>
    <w:p w14:paraId="3AD81E5C" w14:textId="77777777" w:rsidR="00716156" w:rsidRPr="009F0FAE" w:rsidRDefault="00716156" w:rsidP="00716156">
      <w:pPr>
        <w:jc w:val="both"/>
        <w:rPr>
          <w:rFonts w:eastAsia="Arial" w:cs="Arial"/>
          <w:b/>
          <w:bCs/>
          <w:color w:val="000000" w:themeColor="text1"/>
          <w:sz w:val="22"/>
          <w:szCs w:val="22"/>
        </w:rPr>
      </w:pPr>
    </w:p>
    <w:p w14:paraId="09AF3954" w14:textId="7AF764A7" w:rsidR="00716156" w:rsidRDefault="00C30F7C" w:rsidP="00716156">
      <w:pPr>
        <w:spacing w:line="276" w:lineRule="auto"/>
        <w:jc w:val="both"/>
        <w:rPr>
          <w:rFonts w:eastAsia="Arial" w:cs="Arial"/>
          <w:color w:val="000000" w:themeColor="text1"/>
          <w:sz w:val="22"/>
          <w:szCs w:val="22"/>
        </w:rPr>
      </w:pPr>
      <w:r w:rsidRPr="009F0FAE">
        <w:rPr>
          <w:rFonts w:cs="Arial"/>
          <w:b/>
          <w:bCs/>
          <w:i/>
          <w:iCs/>
          <w:sz w:val="22"/>
          <w:szCs w:val="22"/>
        </w:rPr>
        <w:t>Output summary and supporting narrative for the score</w:t>
      </w:r>
    </w:p>
    <w:p w14:paraId="6BC879C0" w14:textId="77777777" w:rsidR="00C30F7C" w:rsidRPr="009F0FAE" w:rsidRDefault="00C30F7C" w:rsidP="00716156">
      <w:pPr>
        <w:spacing w:line="276" w:lineRule="auto"/>
        <w:jc w:val="both"/>
        <w:rPr>
          <w:rFonts w:eastAsia="Arial" w:cs="Arial"/>
          <w:color w:val="000000" w:themeColor="text1"/>
          <w:sz w:val="22"/>
          <w:szCs w:val="22"/>
        </w:rPr>
      </w:pPr>
    </w:p>
    <w:p w14:paraId="22370609" w14:textId="77777777" w:rsidR="00716156" w:rsidRPr="009F0FAE" w:rsidRDefault="00716156" w:rsidP="00716156">
      <w:pPr>
        <w:spacing w:line="276" w:lineRule="auto"/>
        <w:jc w:val="both"/>
        <w:rPr>
          <w:rFonts w:eastAsia="Arial" w:cs="Arial"/>
          <w:color w:val="000000" w:themeColor="text1"/>
          <w:sz w:val="22"/>
          <w:szCs w:val="22"/>
          <w:u w:val="single"/>
        </w:rPr>
      </w:pPr>
      <w:r w:rsidRPr="009F0FAE">
        <w:rPr>
          <w:rFonts w:eastAsia="Arial" w:cs="Arial"/>
          <w:color w:val="000000" w:themeColor="text1"/>
          <w:sz w:val="22"/>
          <w:szCs w:val="22"/>
          <w:u w:val="single"/>
        </w:rPr>
        <w:t>Governance</w:t>
      </w:r>
    </w:p>
    <w:p w14:paraId="33EF5BCA" w14:textId="77777777" w:rsidR="00716156" w:rsidRPr="009F0FAE" w:rsidRDefault="00716156" w:rsidP="00716156">
      <w:pPr>
        <w:spacing w:line="276" w:lineRule="auto"/>
        <w:jc w:val="both"/>
        <w:rPr>
          <w:rFonts w:eastAsia="Arial" w:cs="Arial"/>
          <w:color w:val="000000" w:themeColor="text1"/>
          <w:sz w:val="22"/>
          <w:szCs w:val="22"/>
        </w:rPr>
      </w:pPr>
      <w:r w:rsidRPr="009F0FAE">
        <w:rPr>
          <w:rFonts w:eastAsia="Arial" w:cs="Arial"/>
          <w:color w:val="000000" w:themeColor="text1"/>
          <w:sz w:val="22"/>
          <w:szCs w:val="22"/>
        </w:rPr>
        <w:t xml:space="preserve">We continue to see progress across these areas. The ongoing CIF Governance Review is evaluating the effectiveness of the current fund structure, governance and organisational arrangements in fulfilling its current mandate, particularly in its new status as a market-facing entity. This review is an indication of CIF’s ability to operate effectively at scale and engage credibly with capital markets and partners. </w:t>
      </w:r>
    </w:p>
    <w:p w14:paraId="00A12A08" w14:textId="77777777" w:rsidR="00716156" w:rsidRPr="009F0FAE" w:rsidRDefault="00716156" w:rsidP="00716156">
      <w:pPr>
        <w:spacing w:line="276" w:lineRule="auto"/>
        <w:jc w:val="both"/>
        <w:rPr>
          <w:rFonts w:eastAsia="Arial" w:cs="Arial"/>
          <w:color w:val="000000" w:themeColor="text1"/>
          <w:sz w:val="22"/>
          <w:szCs w:val="22"/>
        </w:rPr>
      </w:pPr>
    </w:p>
    <w:p w14:paraId="062DE094" w14:textId="77777777" w:rsidR="00037F8F" w:rsidRDefault="00037F8F">
      <w:pPr>
        <w:spacing w:line="276" w:lineRule="auto"/>
        <w:jc w:val="both"/>
      </w:pPr>
      <w:r>
        <w:rPr>
          <w:color w:val="000000"/>
          <w:sz w:val="22"/>
          <w:szCs w:val="22"/>
        </w:rPr>
        <w:t>Progress to date on Phase 1 of the Governance Review includes the establishment of a new Hosting Arrangement with the World Bank (June 2023), and the selection (November 2023) and induction (March 2024) of the new CEO Tariye Gbadegesin. Building on the consolidation of the GCAP Sub Committee under the SCF in 2024, the TFC agreed in May to establish new Standing Committees with oversight of governance and ethics, evaluation and learning, and finance and risk management. The Joint TFCs also established a new fallback mechanism in the voting procedure, aligning with best practices from comparable climate funds. Taken together, these reforms strengthen CIF’s institutional robustness and credibility, which is increasingly important as CIF engages directly with capital markets and private investors.</w:t>
      </w:r>
    </w:p>
    <w:p w14:paraId="4DA1C2C0" w14:textId="77777777" w:rsidR="00716156" w:rsidRPr="009F0FAE" w:rsidRDefault="00716156" w:rsidP="00716156">
      <w:pPr>
        <w:spacing w:line="276" w:lineRule="auto"/>
        <w:jc w:val="both"/>
        <w:rPr>
          <w:rFonts w:eastAsia="Arial" w:cs="Arial"/>
          <w:color w:val="000000" w:themeColor="text1"/>
          <w:sz w:val="22"/>
          <w:szCs w:val="22"/>
        </w:rPr>
      </w:pPr>
    </w:p>
    <w:p w14:paraId="51B92AD2" w14:textId="77777777" w:rsidR="00716156" w:rsidRPr="009F0FAE" w:rsidRDefault="00716156" w:rsidP="00716156">
      <w:pPr>
        <w:spacing w:line="276" w:lineRule="auto"/>
        <w:jc w:val="both"/>
        <w:rPr>
          <w:rFonts w:eastAsia="Arial" w:cs="Arial"/>
          <w:color w:val="000000" w:themeColor="text1"/>
          <w:sz w:val="22"/>
          <w:szCs w:val="22"/>
          <w:u w:val="single"/>
        </w:rPr>
      </w:pPr>
      <w:r w:rsidRPr="009F0FAE">
        <w:rPr>
          <w:rFonts w:eastAsia="Arial" w:cs="Arial"/>
          <w:color w:val="000000" w:themeColor="text1"/>
          <w:sz w:val="22"/>
          <w:szCs w:val="22"/>
          <w:u w:val="single"/>
        </w:rPr>
        <w:t>Programme team objectives</w:t>
      </w:r>
    </w:p>
    <w:p w14:paraId="47ACA9C8" w14:textId="77777777" w:rsidR="00716156" w:rsidRPr="009F0FAE" w:rsidRDefault="00716156" w:rsidP="00716156">
      <w:pPr>
        <w:spacing w:line="276" w:lineRule="auto"/>
        <w:jc w:val="both"/>
        <w:rPr>
          <w:rFonts w:eastAsia="Arial" w:cs="Arial"/>
          <w:color w:val="000000" w:themeColor="text1"/>
          <w:sz w:val="22"/>
          <w:szCs w:val="22"/>
        </w:rPr>
      </w:pPr>
      <w:r w:rsidRPr="009F0FAE">
        <w:rPr>
          <w:rFonts w:eastAsia="Arial" w:cs="Arial"/>
          <w:color w:val="000000" w:themeColor="text1"/>
          <w:sz w:val="22"/>
          <w:szCs w:val="22"/>
        </w:rPr>
        <w:t xml:space="preserve">The first CCMM bond issuance is now complete. The inaugural bond raised $500m on the London Stock Exchange in January and was six times oversubscribed, demonstrating strong investor demand. The country selection process for the Industry Decarbonisation Programme concluded in June with seven countries (Brazil, Egypt, Mexico, Namibia, South Africa, Türkiye, and Uzbekistan) invited to develop investment plans. This marks an important milestone in operationalising CIF’s newest programme. The CIF Secretariat and MDBs are engaging with recipient country governments to progress this. </w:t>
      </w:r>
      <w:r w:rsidRPr="009F0FAE">
        <w:rPr>
          <w:rFonts w:eastAsia="Arial" w:cs="Arial"/>
          <w:color w:val="000000" w:themeColor="text1"/>
          <w:sz w:val="22"/>
          <w:szCs w:val="22"/>
        </w:rPr>
        <w:tab/>
      </w:r>
    </w:p>
    <w:p w14:paraId="45FA4249" w14:textId="77777777" w:rsidR="00716156" w:rsidRPr="009F0FAE" w:rsidRDefault="00716156" w:rsidP="00716156">
      <w:pPr>
        <w:tabs>
          <w:tab w:val="left" w:pos="5625"/>
        </w:tabs>
        <w:spacing w:line="276" w:lineRule="auto"/>
        <w:jc w:val="both"/>
        <w:rPr>
          <w:rFonts w:eastAsia="Arial" w:cs="Arial"/>
          <w:color w:val="000000" w:themeColor="text1"/>
          <w:sz w:val="22"/>
          <w:szCs w:val="22"/>
        </w:rPr>
      </w:pPr>
      <w:r w:rsidRPr="009F0FAE">
        <w:rPr>
          <w:rFonts w:eastAsia="Arial" w:cs="Arial"/>
          <w:color w:val="000000" w:themeColor="text1"/>
          <w:sz w:val="22"/>
          <w:szCs w:val="22"/>
        </w:rPr>
        <w:tab/>
        <w:t xml:space="preserve"> </w:t>
      </w:r>
    </w:p>
    <w:p w14:paraId="2CCDC230" w14:textId="77777777" w:rsidR="00716156" w:rsidRPr="009F0FAE" w:rsidRDefault="00716156" w:rsidP="00716156">
      <w:pPr>
        <w:spacing w:line="276" w:lineRule="auto"/>
        <w:jc w:val="both"/>
        <w:rPr>
          <w:rFonts w:eastAsia="Arial" w:cs="Arial"/>
          <w:color w:val="000000" w:themeColor="text1"/>
          <w:sz w:val="22"/>
          <w:szCs w:val="22"/>
          <w:u w:val="single"/>
        </w:rPr>
      </w:pPr>
      <w:r w:rsidRPr="009F0FAE">
        <w:rPr>
          <w:rFonts w:eastAsia="Arial" w:cs="Arial"/>
          <w:color w:val="000000" w:themeColor="text1"/>
          <w:sz w:val="22"/>
          <w:szCs w:val="22"/>
          <w:u w:val="single"/>
        </w:rPr>
        <w:t>Gender Score Card</w:t>
      </w:r>
    </w:p>
    <w:p w14:paraId="6C9F72D7" w14:textId="77777777" w:rsidR="00716156" w:rsidRPr="009F0FAE" w:rsidRDefault="00716156" w:rsidP="00716156">
      <w:pPr>
        <w:spacing w:line="276" w:lineRule="auto"/>
        <w:jc w:val="both"/>
        <w:rPr>
          <w:rFonts w:eastAsia="Arial" w:cs="Arial"/>
          <w:color w:val="000000" w:themeColor="text1"/>
          <w:sz w:val="22"/>
          <w:szCs w:val="22"/>
        </w:rPr>
      </w:pPr>
      <w:r w:rsidRPr="009F0FAE">
        <w:rPr>
          <w:rFonts w:eastAsia="Arial" w:cs="Arial"/>
          <w:color w:val="000000" w:themeColor="text1"/>
          <w:sz w:val="22"/>
          <w:szCs w:val="22"/>
        </w:rPr>
        <w:t>The Gender Score Card showed improvements year-on-year in the percentage of projects containing sector-specific gender analysis (from 71% to 83%) and women-targeted activities (71% to 87%) with sex-disaggregated M&amp;E indicators decreasing slightly (from 81% to 78%) albeit accounting for a higher number of projects (23 compared with 21). Taken together, these results indicate a strengthening of gender mainstreaming across the portfolio, alongside a growing number of projects being assessed. The overall number of projects with all three indicators assessed as positive increased significantly (from 43% to 78%).</w:t>
      </w:r>
    </w:p>
    <w:p w14:paraId="3C05A648" w14:textId="77777777" w:rsidR="00716156" w:rsidRPr="009F0FAE" w:rsidRDefault="00716156" w:rsidP="00716156">
      <w:pPr>
        <w:spacing w:line="276" w:lineRule="auto"/>
        <w:jc w:val="both"/>
        <w:rPr>
          <w:rFonts w:eastAsia="Arial" w:cs="Arial"/>
          <w:color w:val="000000" w:themeColor="text1"/>
          <w:sz w:val="22"/>
          <w:szCs w:val="22"/>
        </w:rPr>
      </w:pPr>
    </w:p>
    <w:p w14:paraId="3FC8DB84" w14:textId="77777777" w:rsidR="00716156" w:rsidRPr="009F0FAE" w:rsidRDefault="00716156" w:rsidP="00716156">
      <w:pPr>
        <w:spacing w:line="276" w:lineRule="auto"/>
        <w:jc w:val="both"/>
        <w:rPr>
          <w:rFonts w:eastAsia="Arial" w:cs="Arial"/>
          <w:color w:val="000000" w:themeColor="text1"/>
          <w:sz w:val="22"/>
          <w:szCs w:val="22"/>
        </w:rPr>
      </w:pPr>
      <w:r w:rsidRPr="009F0FAE">
        <w:rPr>
          <w:rFonts w:eastAsia="Arial" w:cs="Arial"/>
          <w:color w:val="000000" w:themeColor="text1"/>
          <w:sz w:val="22"/>
          <w:szCs w:val="22"/>
        </w:rPr>
        <w:t xml:space="preserve">As Gender Scorecard indicators climb above 80% it may not be realistic to sustain yearly increases in all three indicators, particularly since the overall number of projects varies from year to year. Ahead of the next Annual Review, we will work to refine this output indicator to better capture the progress of GEDSI mainstreaming across CIF’s portfolio. </w:t>
      </w:r>
    </w:p>
    <w:p w14:paraId="179A3C1C" w14:textId="77777777" w:rsidR="00716156" w:rsidRPr="009F0FAE" w:rsidRDefault="00716156" w:rsidP="00716156">
      <w:pPr>
        <w:spacing w:line="276" w:lineRule="auto"/>
        <w:jc w:val="both"/>
        <w:rPr>
          <w:rFonts w:eastAsia="Arial" w:cs="Arial"/>
          <w:color w:val="000000" w:themeColor="text1"/>
          <w:sz w:val="22"/>
          <w:szCs w:val="22"/>
        </w:rPr>
      </w:pPr>
    </w:p>
    <w:p w14:paraId="1300B9E5" w14:textId="77777777" w:rsidR="00716156" w:rsidRPr="009F0FAE" w:rsidRDefault="00716156" w:rsidP="00716156">
      <w:pPr>
        <w:spacing w:line="276" w:lineRule="auto"/>
        <w:jc w:val="both"/>
        <w:rPr>
          <w:rFonts w:eastAsia="Arial" w:cs="Arial"/>
          <w:color w:val="000000" w:themeColor="text1"/>
          <w:sz w:val="22"/>
          <w:szCs w:val="22"/>
          <w:u w:val="single"/>
        </w:rPr>
      </w:pPr>
      <w:r w:rsidRPr="009F0FAE">
        <w:rPr>
          <w:rFonts w:eastAsia="Arial" w:cs="Arial"/>
          <w:color w:val="000000" w:themeColor="text1"/>
          <w:sz w:val="22"/>
          <w:szCs w:val="22"/>
          <w:u w:val="single"/>
        </w:rPr>
        <w:t>Evaluation and Learning Initiative</w:t>
      </w:r>
    </w:p>
    <w:p w14:paraId="1DE830C1" w14:textId="77777777" w:rsidR="00716156" w:rsidRPr="009F0FAE" w:rsidRDefault="00716156" w:rsidP="00716156">
      <w:pPr>
        <w:spacing w:line="276" w:lineRule="auto"/>
        <w:jc w:val="both"/>
        <w:rPr>
          <w:rFonts w:eastAsia="Arial" w:cs="Arial"/>
          <w:color w:val="000000" w:themeColor="text1"/>
          <w:sz w:val="22"/>
          <w:szCs w:val="22"/>
        </w:rPr>
      </w:pPr>
      <w:r w:rsidRPr="009F0FAE">
        <w:rPr>
          <w:rFonts w:eastAsia="Arial" w:cs="Arial"/>
          <w:color w:val="000000" w:themeColor="text1"/>
          <w:sz w:val="22"/>
          <w:szCs w:val="22"/>
        </w:rPr>
        <w:t>The CIF Secretariat continue to deliver against the Evaluation and Learning Initiative Business Plan (2023-2027). The Joint TFC agreed to allocate $4m for activities in FY26, having previously agreed to allocate $20m for the plan in total. This sustained resourcing reflects the importance of learning and evidence in supporting CIF’s role as a system-level actor.</w:t>
      </w:r>
    </w:p>
    <w:p w14:paraId="6FA3162E" w14:textId="77777777" w:rsidR="00716156" w:rsidRPr="009F0FAE" w:rsidRDefault="00716156" w:rsidP="00716156">
      <w:pPr>
        <w:spacing w:line="276" w:lineRule="auto"/>
        <w:jc w:val="both"/>
        <w:rPr>
          <w:rFonts w:eastAsia="Arial" w:cs="Arial"/>
          <w:color w:val="000000" w:themeColor="text1"/>
          <w:sz w:val="22"/>
          <w:szCs w:val="22"/>
        </w:rPr>
      </w:pPr>
    </w:p>
    <w:p w14:paraId="5E96DA25" w14:textId="4BDB5E7A" w:rsidR="00716156" w:rsidRPr="009F0FAE" w:rsidRDefault="00716156" w:rsidP="00716156">
      <w:pPr>
        <w:spacing w:line="276" w:lineRule="auto"/>
        <w:jc w:val="both"/>
        <w:rPr>
          <w:rFonts w:eastAsia="Arial" w:cs="Arial"/>
          <w:color w:val="000000" w:themeColor="text1"/>
          <w:sz w:val="22"/>
          <w:szCs w:val="22"/>
        </w:rPr>
      </w:pPr>
      <w:r w:rsidRPr="009F0FAE">
        <w:rPr>
          <w:rFonts w:eastAsia="Arial" w:cs="Arial"/>
          <w:color w:val="000000" w:themeColor="text1"/>
          <w:sz w:val="22"/>
          <w:szCs w:val="22"/>
        </w:rPr>
        <w:t xml:space="preserve">The initiative made substantial progress on implementing activities under the plan, publishing of 12 studies (evaluations, learning reviews, studies, and guidance notes), delivering around 30 virtual, hybrid, and in-person workshops, events, and webinars and launching a new E&amp;L Toolkit for the </w:t>
      </w:r>
      <w:r w:rsidR="0079255E">
        <w:rPr>
          <w:rFonts w:eastAsia="Arial" w:cs="Arial"/>
          <w:color w:val="000000" w:themeColor="text1"/>
          <w:sz w:val="22"/>
          <w:szCs w:val="22"/>
        </w:rPr>
        <w:t>ID</w:t>
      </w:r>
      <w:r w:rsidRPr="009F0FAE">
        <w:rPr>
          <w:rFonts w:eastAsia="Arial" w:cs="Arial"/>
          <w:color w:val="000000" w:themeColor="text1"/>
          <w:sz w:val="22"/>
          <w:szCs w:val="22"/>
        </w:rPr>
        <w:t xml:space="preserve"> Programme. This included the Independent Evaluation of the PPCR Programme as well as a Latin America and the Caribbean (LAC) South-South Knowledge Exchange.</w:t>
      </w:r>
    </w:p>
    <w:p w14:paraId="5C3BABF6" w14:textId="77777777" w:rsidR="00716156" w:rsidRPr="009F0FAE" w:rsidRDefault="00716156" w:rsidP="00716156">
      <w:pPr>
        <w:spacing w:line="276" w:lineRule="auto"/>
        <w:jc w:val="both"/>
        <w:rPr>
          <w:rFonts w:eastAsia="Arial" w:cs="Arial"/>
          <w:color w:val="000000" w:themeColor="text1"/>
          <w:sz w:val="22"/>
          <w:szCs w:val="22"/>
        </w:rPr>
      </w:pPr>
    </w:p>
    <w:p w14:paraId="23C995F5" w14:textId="0B493604" w:rsidR="007A54FD" w:rsidRPr="00184E8F" w:rsidRDefault="009F0FAE" w:rsidP="00716156">
      <w:pPr>
        <w:spacing w:line="276" w:lineRule="auto"/>
        <w:jc w:val="both"/>
        <w:rPr>
          <w:rFonts w:eastAsia="Arial" w:cs="Arial"/>
          <w:b/>
          <w:i/>
          <w:sz w:val="22"/>
          <w:szCs w:val="22"/>
        </w:rPr>
      </w:pPr>
      <w:r w:rsidRPr="009F0FAE">
        <w:rPr>
          <w:rFonts w:cs="Arial"/>
          <w:b/>
          <w:bCs/>
          <w:i/>
          <w:iCs/>
          <w:sz w:val="22"/>
          <w:szCs w:val="22"/>
        </w:rPr>
        <w:t xml:space="preserve">Changes to this output, and any planned changes </w:t>
      </w:r>
      <w:proofErr w:type="gramStart"/>
      <w:r w:rsidRPr="009F0FAE">
        <w:rPr>
          <w:rFonts w:cs="Arial"/>
          <w:b/>
          <w:bCs/>
          <w:i/>
          <w:iCs/>
          <w:sz w:val="22"/>
          <w:szCs w:val="22"/>
        </w:rPr>
        <w:t>as a result of</w:t>
      </w:r>
      <w:proofErr w:type="gramEnd"/>
      <w:r w:rsidRPr="009F0FAE">
        <w:rPr>
          <w:rFonts w:cs="Arial"/>
          <w:b/>
          <w:bCs/>
          <w:i/>
          <w:iCs/>
          <w:sz w:val="22"/>
          <w:szCs w:val="22"/>
        </w:rPr>
        <w:t xml:space="preserve"> this review</w:t>
      </w:r>
    </w:p>
    <w:p w14:paraId="5025E80B" w14:textId="0F7A1BA2" w:rsidR="00716156" w:rsidRPr="009F0FAE" w:rsidRDefault="00716156" w:rsidP="00716156">
      <w:pPr>
        <w:spacing w:line="276" w:lineRule="auto"/>
        <w:jc w:val="both"/>
        <w:rPr>
          <w:rFonts w:eastAsia="Arial" w:cs="Arial"/>
          <w:color w:val="000000" w:themeColor="text1"/>
          <w:sz w:val="22"/>
          <w:szCs w:val="22"/>
        </w:rPr>
      </w:pPr>
      <w:r w:rsidRPr="009F0FAE">
        <w:rPr>
          <w:rFonts w:eastAsia="Arial" w:cs="Arial"/>
          <w:color w:val="000000" w:themeColor="text1"/>
          <w:sz w:val="22"/>
          <w:szCs w:val="22"/>
        </w:rPr>
        <w:t xml:space="preserve">This is the first Annual Review reporting against the new DESNZ CIF </w:t>
      </w:r>
      <w:proofErr w:type="spellStart"/>
      <w:r w:rsidRPr="009F0FAE">
        <w:rPr>
          <w:rFonts w:eastAsia="Arial" w:cs="Arial"/>
          <w:color w:val="000000" w:themeColor="text1"/>
          <w:sz w:val="22"/>
          <w:szCs w:val="22"/>
        </w:rPr>
        <w:t>logframe</w:t>
      </w:r>
      <w:proofErr w:type="spellEnd"/>
      <w:r w:rsidRPr="009F0FAE">
        <w:rPr>
          <w:rFonts w:eastAsia="Arial" w:cs="Arial"/>
          <w:color w:val="000000" w:themeColor="text1"/>
          <w:sz w:val="22"/>
          <w:szCs w:val="22"/>
        </w:rPr>
        <w:t>. As such, this establishes a new baseline, with limited scope for comparison with earlier years. We will continue to refine the reporting framework based on feedback and new programme data from the CIF Secretariat.</w:t>
      </w:r>
    </w:p>
    <w:p w14:paraId="5943DA31" w14:textId="77777777" w:rsidR="00716156" w:rsidRPr="009F0FAE" w:rsidRDefault="00716156" w:rsidP="00716156">
      <w:pPr>
        <w:spacing w:line="276" w:lineRule="auto"/>
        <w:jc w:val="both"/>
        <w:rPr>
          <w:rFonts w:eastAsia="Arial" w:cs="Arial"/>
          <w:color w:val="000000" w:themeColor="text1"/>
          <w:sz w:val="22"/>
          <w:szCs w:val="22"/>
        </w:rPr>
      </w:pPr>
    </w:p>
    <w:p w14:paraId="453EF117" w14:textId="5529B30F" w:rsidR="009F0FAE" w:rsidRPr="009F0FAE" w:rsidRDefault="009F0FAE" w:rsidP="009F0FAE">
      <w:pPr>
        <w:spacing w:line="276" w:lineRule="auto"/>
        <w:jc w:val="both"/>
        <w:rPr>
          <w:rFonts w:eastAsia="Arial" w:cs="Arial"/>
          <w:color w:val="000000" w:themeColor="text1"/>
          <w:sz w:val="22"/>
          <w:szCs w:val="22"/>
        </w:rPr>
      </w:pPr>
      <w:r w:rsidRPr="009F0FAE">
        <w:rPr>
          <w:rFonts w:cs="Arial"/>
          <w:b/>
          <w:bCs/>
          <w:i/>
          <w:iCs/>
          <w:sz w:val="22"/>
          <w:szCs w:val="22"/>
        </w:rPr>
        <w:t>Progress on recommendations from the previous AR, lessons learned this year, and recommendations for the year ahead</w:t>
      </w:r>
    </w:p>
    <w:p w14:paraId="13BFABD1" w14:textId="191CA38F" w:rsidR="00716156" w:rsidRPr="00890FEF" w:rsidRDefault="00716156" w:rsidP="00890FEF">
      <w:pPr>
        <w:spacing w:line="276" w:lineRule="auto"/>
        <w:jc w:val="both"/>
        <w:rPr>
          <w:rFonts w:eastAsia="Arial" w:cs="Arial"/>
          <w:color w:val="000000" w:themeColor="text1"/>
          <w:sz w:val="22"/>
          <w:szCs w:val="22"/>
        </w:rPr>
      </w:pPr>
      <w:r w:rsidRPr="009F0FAE">
        <w:rPr>
          <w:rFonts w:eastAsia="Arial" w:cs="Arial"/>
          <w:color w:val="000000" w:themeColor="text1"/>
          <w:sz w:val="22"/>
          <w:szCs w:val="22"/>
        </w:rPr>
        <w:t xml:space="preserve">In 2025 we saw the conclusion of the country selection process for the </w:t>
      </w:r>
      <w:r w:rsidR="00184E8F">
        <w:rPr>
          <w:rFonts w:eastAsia="Arial" w:cs="Arial"/>
          <w:color w:val="000000" w:themeColor="text1"/>
          <w:sz w:val="22"/>
          <w:szCs w:val="22"/>
        </w:rPr>
        <w:t>ID</w:t>
      </w:r>
      <w:r w:rsidRPr="009F0FAE">
        <w:rPr>
          <w:rFonts w:eastAsia="Arial" w:cs="Arial"/>
          <w:color w:val="000000" w:themeColor="text1"/>
          <w:sz w:val="22"/>
          <w:szCs w:val="22"/>
        </w:rPr>
        <w:t xml:space="preserve"> Programme and the TFC endorsed the work of the CIF Secretariat in developing the new strategic modalities. The UK should continue to use its influence and standing in the CIF to ensure progress on concluding Phase 1 of the Governance Review and beginning Phase 2, agreeing a process for establishing the new </w:t>
      </w:r>
      <w:r w:rsidR="00890FEF">
        <w:rPr>
          <w:rFonts w:eastAsia="Arial" w:cs="Arial"/>
          <w:color w:val="000000" w:themeColor="text1"/>
          <w:sz w:val="22"/>
          <w:szCs w:val="22"/>
        </w:rPr>
        <w:t>TIPs</w:t>
      </w:r>
      <w:r w:rsidRPr="009F0FAE">
        <w:rPr>
          <w:rFonts w:eastAsia="Arial" w:cs="Arial"/>
          <w:color w:val="000000" w:themeColor="text1"/>
          <w:sz w:val="22"/>
          <w:szCs w:val="22"/>
        </w:rPr>
        <w:t xml:space="preserve"> and finalising the new standing committees.</w:t>
      </w:r>
    </w:p>
    <w:p w14:paraId="3B2F2633" w14:textId="77777777" w:rsidR="00716156" w:rsidRPr="00890FEF" w:rsidRDefault="00716156" w:rsidP="00890FEF">
      <w:pPr>
        <w:pStyle w:val="Heading2"/>
        <w:rPr>
          <w:rFonts w:eastAsia="Arial"/>
        </w:rPr>
      </w:pPr>
      <w:bookmarkStart w:id="15" w:name="_Toc224897463"/>
      <w:r w:rsidRPr="00890FEF">
        <w:rPr>
          <w:rFonts w:eastAsia="Arial"/>
        </w:rPr>
        <w:t>Output 3: Development of UK-sponsored CIF programmes</w:t>
      </w:r>
      <w:bookmarkEnd w:id="15"/>
    </w:p>
    <w:p w14:paraId="553B8400" w14:textId="77777777" w:rsidR="009F0FAE" w:rsidRDefault="009F0FAE" w:rsidP="00716156">
      <w:pPr>
        <w:rPr>
          <w:rFonts w:eastAsia="Arial" w:cs="Arial"/>
          <w:sz w:val="22"/>
          <w:szCs w:val="22"/>
        </w:rPr>
      </w:pPr>
    </w:p>
    <w:tbl>
      <w:tblPr>
        <w:tblStyle w:val="TableGrid"/>
        <w:tblW w:w="9072" w:type="dxa"/>
        <w:tblInd w:w="-5" w:type="dxa"/>
        <w:tblLook w:val="04A0" w:firstRow="1" w:lastRow="0" w:firstColumn="1" w:lastColumn="0" w:noHBand="0" w:noVBand="1"/>
      </w:tblPr>
      <w:tblGrid>
        <w:gridCol w:w="1566"/>
        <w:gridCol w:w="616"/>
        <w:gridCol w:w="937"/>
        <w:gridCol w:w="2977"/>
        <w:gridCol w:w="2976"/>
      </w:tblGrid>
      <w:tr w:rsidR="00345342" w:rsidRPr="00D80C6C" w14:paraId="46B87A83" w14:textId="77777777" w:rsidTr="00F020F4">
        <w:trPr>
          <w:trHeight w:val="489"/>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23E0AEF" w14:textId="77777777" w:rsidR="009F0FAE" w:rsidRPr="00D80C6C" w:rsidRDefault="009F0FAE" w:rsidP="00F020F4">
            <w:pPr>
              <w:jc w:val="both"/>
              <w:rPr>
                <w:rFonts w:cs="Arial"/>
                <w:b/>
                <w:bCs/>
                <w:sz w:val="22"/>
                <w:szCs w:val="22"/>
              </w:rPr>
            </w:pPr>
            <w:r w:rsidRPr="00D80C6C">
              <w:rPr>
                <w:rFonts w:cs="Arial"/>
                <w:b/>
                <w:bCs/>
                <w:sz w:val="22"/>
                <w:szCs w:val="22"/>
              </w:rPr>
              <w:t xml:space="preserve">Output Title </w:t>
            </w:r>
          </w:p>
        </w:tc>
        <w:tc>
          <w:tcPr>
            <w:tcW w:w="750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1362F10" w14:textId="21E766A7" w:rsidR="009F0FAE" w:rsidRPr="009F0FAE" w:rsidRDefault="009F0FAE" w:rsidP="00F020F4">
            <w:pPr>
              <w:jc w:val="both"/>
              <w:rPr>
                <w:rFonts w:cs="Arial"/>
                <w:i/>
                <w:color w:val="FF0000"/>
                <w:sz w:val="22"/>
                <w:szCs w:val="22"/>
              </w:rPr>
            </w:pPr>
            <w:r w:rsidRPr="009F0FAE">
              <w:rPr>
                <w:rFonts w:eastAsia="Arial" w:cs="Arial"/>
                <w:i/>
                <w:iCs/>
                <w:sz w:val="22"/>
                <w:szCs w:val="22"/>
              </w:rPr>
              <w:t>Development of UK-sponsored CIF programmes</w:t>
            </w:r>
          </w:p>
        </w:tc>
      </w:tr>
      <w:tr w:rsidR="00B4341F" w:rsidRPr="00D80C6C" w14:paraId="4258FF35" w14:textId="77777777" w:rsidTr="00F020F4">
        <w:trPr>
          <w:trHeight w:val="347"/>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40DD9D" w14:textId="77777777" w:rsidR="009F0FAE" w:rsidRPr="00D80C6C" w:rsidRDefault="009F0FAE" w:rsidP="00F020F4">
            <w:pPr>
              <w:jc w:val="both"/>
              <w:rPr>
                <w:rFonts w:cs="Arial"/>
                <w:bCs/>
                <w:sz w:val="22"/>
                <w:szCs w:val="22"/>
              </w:rPr>
            </w:pPr>
            <w:r w:rsidRPr="00D80C6C">
              <w:rPr>
                <w:rFonts w:cs="Arial"/>
                <w:bCs/>
                <w:sz w:val="22"/>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0982AAB4" w14:textId="23B2DED6" w:rsidR="009F0FAE" w:rsidRPr="00D80C6C" w:rsidRDefault="009F0FAE" w:rsidP="00F020F4">
            <w:pPr>
              <w:jc w:val="both"/>
              <w:rPr>
                <w:rFonts w:cs="Arial"/>
                <w:sz w:val="22"/>
                <w:szCs w:val="22"/>
              </w:rPr>
            </w:pPr>
            <w:r>
              <w:rPr>
                <w:rFonts w:cs="Arial"/>
                <w:sz w:val="22"/>
                <w:szCs w:val="22"/>
              </w:rPr>
              <w:t>3</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4DB669F" w14:textId="77777777" w:rsidR="009F0FAE" w:rsidRPr="00D80C6C" w:rsidRDefault="009F0FAE" w:rsidP="00F020F4">
            <w:pPr>
              <w:jc w:val="both"/>
              <w:rPr>
                <w:rFonts w:cs="Arial"/>
                <w:sz w:val="22"/>
                <w:szCs w:val="22"/>
              </w:rPr>
            </w:pPr>
            <w:r w:rsidRPr="00D80C6C">
              <w:rPr>
                <w:rFonts w:cs="Arial"/>
                <w:bCs/>
                <w:sz w:val="22"/>
                <w:szCs w:val="22"/>
              </w:rPr>
              <w:t xml:space="preserve">Output Score: </w:t>
            </w:r>
          </w:p>
        </w:tc>
        <w:tc>
          <w:tcPr>
            <w:tcW w:w="2976" w:type="dxa"/>
            <w:tcBorders>
              <w:top w:val="single" w:sz="4" w:space="0" w:color="auto"/>
              <w:left w:val="single" w:sz="4" w:space="0" w:color="auto"/>
              <w:bottom w:val="single" w:sz="4" w:space="0" w:color="auto"/>
              <w:right w:val="single" w:sz="4" w:space="0" w:color="auto"/>
            </w:tcBorders>
          </w:tcPr>
          <w:p w14:paraId="1FFCDA8C" w14:textId="37011ED1" w:rsidR="009F0FAE" w:rsidRPr="009F0FAE" w:rsidRDefault="009F0FAE" w:rsidP="00F020F4">
            <w:pPr>
              <w:jc w:val="both"/>
              <w:rPr>
                <w:rFonts w:cs="Arial"/>
                <w:iCs/>
                <w:sz w:val="22"/>
                <w:szCs w:val="22"/>
              </w:rPr>
            </w:pPr>
            <w:r w:rsidRPr="009F0FAE">
              <w:rPr>
                <w:rFonts w:eastAsia="Arial" w:cs="Arial"/>
                <w:sz w:val="22"/>
                <w:szCs w:val="22"/>
              </w:rPr>
              <w:t>A</w:t>
            </w:r>
            <w:r w:rsidR="00287EC2">
              <w:rPr>
                <w:rFonts w:eastAsia="Arial" w:cs="Arial"/>
                <w:sz w:val="22"/>
                <w:szCs w:val="22"/>
              </w:rPr>
              <w:t>+</w:t>
            </w:r>
          </w:p>
        </w:tc>
      </w:tr>
      <w:tr w:rsidR="00B4341F" w:rsidRPr="00D80C6C" w14:paraId="51B0E3F7" w14:textId="77777777" w:rsidTr="00F020F4">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B435FA1" w14:textId="77777777" w:rsidR="009F0FAE" w:rsidRPr="00D80C6C" w:rsidRDefault="009F0FAE" w:rsidP="00F020F4">
            <w:pPr>
              <w:jc w:val="both"/>
              <w:rPr>
                <w:rFonts w:cs="Arial"/>
                <w:sz w:val="22"/>
                <w:szCs w:val="22"/>
              </w:rPr>
            </w:pPr>
            <w:r w:rsidRPr="00D80C6C">
              <w:rPr>
                <w:rFonts w:cs="Arial"/>
                <w:bCs/>
                <w:sz w:val="22"/>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12B8995B" w14:textId="24D8C791" w:rsidR="009F0FAE" w:rsidRPr="00D80C6C" w:rsidRDefault="009F0FAE" w:rsidP="00F020F4">
            <w:pPr>
              <w:jc w:val="both"/>
              <w:rPr>
                <w:rFonts w:cs="Arial"/>
                <w:bCs/>
                <w:sz w:val="22"/>
                <w:szCs w:val="22"/>
              </w:rPr>
            </w:pPr>
            <w:r>
              <w:rPr>
                <w:rFonts w:cs="Arial"/>
                <w:bCs/>
                <w:sz w:val="22"/>
                <w:szCs w:val="22"/>
              </w:rPr>
              <w:t>20</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EDFE0E5" w14:textId="77777777" w:rsidR="009F0FAE" w:rsidRPr="00D80C6C" w:rsidRDefault="009F0FAE" w:rsidP="00F020F4">
            <w:pPr>
              <w:jc w:val="both"/>
              <w:rPr>
                <w:rFonts w:cs="Arial"/>
                <w:bCs/>
                <w:sz w:val="22"/>
                <w:szCs w:val="22"/>
              </w:rPr>
            </w:pPr>
            <w:r w:rsidRPr="00D80C6C">
              <w:rPr>
                <w:rFonts w:cs="Arial"/>
                <w:bCs/>
                <w:sz w:val="22"/>
                <w:szCs w:val="22"/>
              </w:rPr>
              <w:t xml:space="preserve">Weighting revised since last </w:t>
            </w:r>
            <w:proofErr w:type="gramStart"/>
            <w:r w:rsidRPr="00D80C6C">
              <w:rPr>
                <w:rFonts w:cs="Arial"/>
                <w:bCs/>
                <w:sz w:val="22"/>
                <w:szCs w:val="22"/>
              </w:rPr>
              <w:t>AR?</w:t>
            </w:r>
            <w:proofErr w:type="gramEnd"/>
            <w:r w:rsidRPr="00D80C6C">
              <w:rPr>
                <w:rFonts w:cs="Arial"/>
                <w:bCs/>
                <w:sz w:val="22"/>
                <w:szCs w:val="22"/>
              </w:rPr>
              <w:t xml:space="preserve"> </w:t>
            </w:r>
          </w:p>
        </w:tc>
        <w:tc>
          <w:tcPr>
            <w:tcW w:w="2976" w:type="dxa"/>
            <w:tcBorders>
              <w:top w:val="single" w:sz="4" w:space="0" w:color="auto"/>
              <w:left w:val="single" w:sz="4" w:space="0" w:color="auto"/>
              <w:bottom w:val="single" w:sz="4" w:space="0" w:color="auto"/>
              <w:right w:val="single" w:sz="4" w:space="0" w:color="auto"/>
            </w:tcBorders>
          </w:tcPr>
          <w:p w14:paraId="7DC38ACD" w14:textId="77777777" w:rsidR="009F0FAE" w:rsidRPr="00D80C6C" w:rsidRDefault="009F0FAE" w:rsidP="00F020F4">
            <w:pPr>
              <w:jc w:val="both"/>
              <w:rPr>
                <w:rFonts w:cs="Arial"/>
                <w:bCs/>
                <w:sz w:val="22"/>
                <w:szCs w:val="22"/>
              </w:rPr>
            </w:pPr>
            <w:r>
              <w:rPr>
                <w:rFonts w:cs="Arial"/>
                <w:bCs/>
                <w:sz w:val="22"/>
                <w:szCs w:val="22"/>
              </w:rPr>
              <w:t>N/A</w:t>
            </w:r>
          </w:p>
        </w:tc>
      </w:tr>
      <w:tr w:rsidR="00B4341F" w:rsidRPr="00D80C6C" w14:paraId="056F92E2" w14:textId="77777777" w:rsidTr="00F020F4">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266090" w14:textId="77777777" w:rsidR="009F0FAE" w:rsidRPr="00D80C6C" w:rsidRDefault="009F0FAE" w:rsidP="00F020F4">
            <w:pPr>
              <w:jc w:val="both"/>
              <w:rPr>
                <w:rFonts w:cs="Arial"/>
                <w:bCs/>
                <w:sz w:val="22"/>
                <w:szCs w:val="22"/>
              </w:rPr>
            </w:pPr>
            <w:r w:rsidRPr="00D80C6C">
              <w:rPr>
                <w:rFonts w:cs="Arial"/>
                <w:bCs/>
                <w:sz w:val="22"/>
                <w:szCs w:val="22"/>
              </w:rPr>
              <w:t>Risk rating</w:t>
            </w:r>
            <w:r>
              <w:rPr>
                <w:rFonts w:cs="Arial"/>
                <w:bCs/>
                <w:sz w:val="22"/>
                <w:szCs w:val="22"/>
              </w:rPr>
              <w:t>:</w:t>
            </w:r>
          </w:p>
        </w:tc>
        <w:tc>
          <w:tcPr>
            <w:tcW w:w="937" w:type="dxa"/>
            <w:tcBorders>
              <w:top w:val="single" w:sz="4" w:space="0" w:color="auto"/>
              <w:left w:val="single" w:sz="4" w:space="0" w:color="auto"/>
              <w:bottom w:val="single" w:sz="4" w:space="0" w:color="auto"/>
              <w:right w:val="single" w:sz="4" w:space="0" w:color="auto"/>
            </w:tcBorders>
          </w:tcPr>
          <w:p w14:paraId="7D532204" w14:textId="25497C0E" w:rsidR="009F0FAE" w:rsidRPr="00D80C6C" w:rsidRDefault="003E378B" w:rsidP="00F020F4">
            <w:pPr>
              <w:jc w:val="both"/>
              <w:rPr>
                <w:rFonts w:cs="Arial"/>
                <w:bCs/>
                <w:sz w:val="22"/>
                <w:szCs w:val="22"/>
              </w:rPr>
            </w:pPr>
            <w:r>
              <w:rPr>
                <w:rFonts w:cs="Arial"/>
                <w:bCs/>
                <w:sz w:val="22"/>
                <w:szCs w:val="22"/>
              </w:rPr>
              <w:t>Min</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4CEC02" w14:textId="77777777" w:rsidR="009F0FAE" w:rsidRPr="00D80C6C" w:rsidRDefault="009F0FAE" w:rsidP="00F020F4">
            <w:pPr>
              <w:jc w:val="both"/>
              <w:rPr>
                <w:rFonts w:cs="Arial"/>
                <w:bCs/>
                <w:sz w:val="22"/>
                <w:szCs w:val="22"/>
              </w:rPr>
            </w:pPr>
            <w:r w:rsidRPr="00D80C6C">
              <w:rPr>
                <w:rFonts w:cs="Arial"/>
                <w:bCs/>
                <w:sz w:val="22"/>
                <w:szCs w:val="22"/>
              </w:rPr>
              <w:t>Risk revised since last AR?</w:t>
            </w:r>
          </w:p>
        </w:tc>
        <w:tc>
          <w:tcPr>
            <w:tcW w:w="2976" w:type="dxa"/>
            <w:tcBorders>
              <w:top w:val="single" w:sz="4" w:space="0" w:color="auto"/>
              <w:left w:val="single" w:sz="4" w:space="0" w:color="auto"/>
              <w:bottom w:val="single" w:sz="4" w:space="0" w:color="auto"/>
              <w:right w:val="single" w:sz="4" w:space="0" w:color="auto"/>
            </w:tcBorders>
          </w:tcPr>
          <w:p w14:paraId="170712F9" w14:textId="77777777" w:rsidR="009F0FAE" w:rsidRPr="00D80C6C" w:rsidRDefault="009F0FAE" w:rsidP="00F020F4">
            <w:pPr>
              <w:jc w:val="both"/>
              <w:rPr>
                <w:rFonts w:cs="Arial"/>
                <w:bCs/>
                <w:sz w:val="22"/>
                <w:szCs w:val="22"/>
              </w:rPr>
            </w:pPr>
            <w:r>
              <w:rPr>
                <w:rFonts w:cs="Arial"/>
                <w:bCs/>
                <w:sz w:val="22"/>
                <w:szCs w:val="22"/>
              </w:rPr>
              <w:t>N/A</w:t>
            </w:r>
          </w:p>
        </w:tc>
      </w:tr>
    </w:tbl>
    <w:p w14:paraId="70668BC7" w14:textId="77777777" w:rsidR="00716156" w:rsidRDefault="00716156" w:rsidP="00716156">
      <w:pPr>
        <w:jc w:val="both"/>
        <w:rPr>
          <w:rFonts w:eastAsia="Arial" w:cs="Arial"/>
          <w:color w:val="000000" w:themeColor="text1"/>
          <w:sz w:val="22"/>
          <w:szCs w:val="22"/>
        </w:rPr>
      </w:pPr>
    </w:p>
    <w:p w14:paraId="6E63A139" w14:textId="4E9FDD75" w:rsidR="008E65B7" w:rsidRPr="008E65B7" w:rsidRDefault="008E65B7" w:rsidP="008E65B7">
      <w:pPr>
        <w:rPr>
          <w:rFonts w:eastAsia="Arial" w:cs="Arial"/>
          <w:sz w:val="22"/>
          <w:szCs w:val="22"/>
        </w:rPr>
      </w:pPr>
      <w:r w:rsidRPr="009F0FAE">
        <w:rPr>
          <w:rFonts w:eastAsia="Arial" w:cs="Arial"/>
          <w:sz w:val="22"/>
          <w:szCs w:val="22"/>
        </w:rPr>
        <w:t>This output qualitatively assesses the progress of the new programmes in reaching key milestones. The reporting framework will be updated with new indicators as quantitative results reporting for these programmes become</w:t>
      </w:r>
      <w:r w:rsidR="00B12ED9">
        <w:rPr>
          <w:rFonts w:eastAsia="Arial" w:cs="Arial"/>
          <w:sz w:val="22"/>
          <w:szCs w:val="22"/>
        </w:rPr>
        <w:t xml:space="preserve"> </w:t>
      </w:r>
      <w:r w:rsidRPr="009F0FAE">
        <w:rPr>
          <w:rFonts w:eastAsia="Arial" w:cs="Arial"/>
          <w:sz w:val="22"/>
          <w:szCs w:val="22"/>
        </w:rPr>
        <w:t>available.</w:t>
      </w:r>
    </w:p>
    <w:p w14:paraId="7BE8FABC" w14:textId="77777777" w:rsidR="008E65B7" w:rsidRPr="009F0FAE" w:rsidRDefault="008E65B7" w:rsidP="00716156">
      <w:pPr>
        <w:jc w:val="both"/>
        <w:rPr>
          <w:rFonts w:eastAsia="Arial" w:cs="Arial"/>
          <w:color w:val="000000" w:themeColor="text1"/>
          <w:sz w:val="22"/>
          <w:szCs w:val="22"/>
        </w:rPr>
      </w:pPr>
    </w:p>
    <w:p w14:paraId="290D47D5" w14:textId="77777777" w:rsidR="00716156" w:rsidRPr="009F0FAE" w:rsidRDefault="00716156" w:rsidP="00716156">
      <w:pPr>
        <w:jc w:val="both"/>
        <w:rPr>
          <w:rFonts w:eastAsia="Arial" w:cs="Arial"/>
          <w:b/>
          <w:bCs/>
          <w:color w:val="000000" w:themeColor="text1"/>
          <w:sz w:val="22"/>
          <w:szCs w:val="22"/>
        </w:rPr>
      </w:pPr>
      <w:r w:rsidRPr="009F0FAE">
        <w:rPr>
          <w:rFonts w:eastAsia="Arial" w:cs="Arial"/>
          <w:b/>
          <w:bCs/>
          <w:color w:val="000000" w:themeColor="text1"/>
          <w:sz w:val="22"/>
          <w:szCs w:val="22"/>
        </w:rPr>
        <w:t>Output indicator 3.1 Milestones reached</w:t>
      </w:r>
    </w:p>
    <w:p w14:paraId="7D8977A3" w14:textId="77777777" w:rsidR="00716156" w:rsidRPr="009F0FAE" w:rsidRDefault="00716156" w:rsidP="00716156">
      <w:pPr>
        <w:jc w:val="both"/>
        <w:rPr>
          <w:rFonts w:eastAsia="Arial" w:cs="Arial"/>
          <w:color w:val="000000" w:themeColor="text1"/>
          <w:sz w:val="22"/>
          <w:szCs w:val="22"/>
        </w:rPr>
      </w:pPr>
    </w:p>
    <w:tbl>
      <w:tblPr>
        <w:tblStyle w:val="TableGrid"/>
        <w:tblW w:w="0" w:type="auto"/>
        <w:tblLayout w:type="fixed"/>
        <w:tblLook w:val="04A0" w:firstRow="1" w:lastRow="0" w:firstColumn="1" w:lastColumn="0" w:noHBand="0" w:noVBand="1"/>
      </w:tblPr>
      <w:tblGrid>
        <w:gridCol w:w="719"/>
        <w:gridCol w:w="592"/>
        <w:gridCol w:w="593"/>
        <w:gridCol w:w="592"/>
        <w:gridCol w:w="593"/>
        <w:gridCol w:w="593"/>
        <w:gridCol w:w="592"/>
        <w:gridCol w:w="593"/>
        <w:gridCol w:w="593"/>
        <w:gridCol w:w="592"/>
        <w:gridCol w:w="593"/>
        <w:gridCol w:w="593"/>
        <w:gridCol w:w="412"/>
        <w:gridCol w:w="773"/>
        <w:gridCol w:w="593"/>
      </w:tblGrid>
      <w:tr w:rsidR="00716156" w:rsidRPr="009F0FAE" w14:paraId="06EFC9EF" w14:textId="77777777" w:rsidTr="009F0FAE">
        <w:trPr>
          <w:trHeight w:val="128"/>
        </w:trPr>
        <w:tc>
          <w:tcPr>
            <w:tcW w:w="719" w:type="dxa"/>
            <w:vMerge w:val="restart"/>
            <w:shd w:val="clear" w:color="auto" w:fill="DEEAF6" w:themeFill="accent5" w:themeFillTint="33"/>
            <w:vAlign w:val="center"/>
          </w:tcPr>
          <w:p w14:paraId="1DBFB070"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Prog.</w:t>
            </w:r>
          </w:p>
        </w:tc>
        <w:tc>
          <w:tcPr>
            <w:tcW w:w="8297" w:type="dxa"/>
            <w:gridSpan w:val="14"/>
            <w:shd w:val="clear" w:color="auto" w:fill="DEEAF6" w:themeFill="accent5" w:themeFillTint="33"/>
          </w:tcPr>
          <w:p w14:paraId="5DE074DA"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Milestones for this year</w:t>
            </w:r>
          </w:p>
        </w:tc>
      </w:tr>
      <w:tr w:rsidR="00716156" w:rsidRPr="009F0FAE" w14:paraId="668FDAC6" w14:textId="77777777" w:rsidTr="002E6BE9">
        <w:trPr>
          <w:trHeight w:val="777"/>
        </w:trPr>
        <w:tc>
          <w:tcPr>
            <w:tcW w:w="719" w:type="dxa"/>
            <w:vMerge/>
            <w:shd w:val="clear" w:color="auto" w:fill="DEEAF6" w:themeFill="accent5" w:themeFillTint="33"/>
          </w:tcPr>
          <w:p w14:paraId="3822772B" w14:textId="77777777" w:rsidR="00716156" w:rsidRPr="003B148A" w:rsidRDefault="00716156" w:rsidP="00F020F4">
            <w:pPr>
              <w:jc w:val="both"/>
              <w:rPr>
                <w:rFonts w:eastAsia="Arial" w:cs="Arial"/>
                <w:b/>
                <w:bCs/>
                <w:color w:val="000000" w:themeColor="text1"/>
                <w:sz w:val="20"/>
                <w:szCs w:val="20"/>
              </w:rPr>
            </w:pPr>
          </w:p>
        </w:tc>
        <w:tc>
          <w:tcPr>
            <w:tcW w:w="1185" w:type="dxa"/>
            <w:gridSpan w:val="2"/>
            <w:shd w:val="clear" w:color="auto" w:fill="DEEAF6" w:themeFill="accent5" w:themeFillTint="33"/>
            <w:vAlign w:val="center"/>
          </w:tcPr>
          <w:p w14:paraId="1D427FF2"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TFC prog. approval date</w:t>
            </w:r>
          </w:p>
        </w:tc>
        <w:tc>
          <w:tcPr>
            <w:tcW w:w="1185" w:type="dxa"/>
            <w:gridSpan w:val="2"/>
            <w:shd w:val="clear" w:color="auto" w:fill="DEEAF6" w:themeFill="accent5" w:themeFillTint="33"/>
            <w:vAlign w:val="center"/>
          </w:tcPr>
          <w:p w14:paraId="1B3319CB"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First IP approved</w:t>
            </w:r>
          </w:p>
        </w:tc>
        <w:tc>
          <w:tcPr>
            <w:tcW w:w="1185" w:type="dxa"/>
            <w:gridSpan w:val="2"/>
            <w:shd w:val="clear" w:color="auto" w:fill="DEEAF6" w:themeFill="accent5" w:themeFillTint="33"/>
            <w:vAlign w:val="center"/>
          </w:tcPr>
          <w:p w14:paraId="1271410A"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First project approved by TFC</w:t>
            </w:r>
          </w:p>
        </w:tc>
        <w:tc>
          <w:tcPr>
            <w:tcW w:w="1186" w:type="dxa"/>
            <w:gridSpan w:val="2"/>
            <w:shd w:val="clear" w:color="auto" w:fill="DEEAF6" w:themeFill="accent5" w:themeFillTint="33"/>
            <w:vAlign w:val="center"/>
          </w:tcPr>
          <w:p w14:paraId="1DD8CA44"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First project approved by MDB</w:t>
            </w:r>
          </w:p>
        </w:tc>
        <w:tc>
          <w:tcPr>
            <w:tcW w:w="1185" w:type="dxa"/>
            <w:gridSpan w:val="2"/>
            <w:shd w:val="clear" w:color="auto" w:fill="DEEAF6" w:themeFill="accent5" w:themeFillTint="33"/>
            <w:vAlign w:val="center"/>
          </w:tcPr>
          <w:p w14:paraId="20D45DEF"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First project reporting co-financing</w:t>
            </w:r>
          </w:p>
        </w:tc>
        <w:tc>
          <w:tcPr>
            <w:tcW w:w="1005" w:type="dxa"/>
            <w:gridSpan w:val="2"/>
            <w:shd w:val="clear" w:color="auto" w:fill="DEEAF6" w:themeFill="accent5" w:themeFillTint="33"/>
            <w:vAlign w:val="center"/>
          </w:tcPr>
          <w:p w14:paraId="0E245B64"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First project reporting results</w:t>
            </w:r>
          </w:p>
        </w:tc>
        <w:tc>
          <w:tcPr>
            <w:tcW w:w="1366" w:type="dxa"/>
            <w:gridSpan w:val="2"/>
            <w:shd w:val="clear" w:color="auto" w:fill="DEEAF6" w:themeFill="accent5" w:themeFillTint="33"/>
            <w:vAlign w:val="center"/>
          </w:tcPr>
          <w:p w14:paraId="23D2BC55"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First project reporting GHG emissions reductions</w:t>
            </w:r>
          </w:p>
        </w:tc>
      </w:tr>
      <w:tr w:rsidR="00716156" w:rsidRPr="009F0FAE" w14:paraId="04E1970C" w14:textId="77777777" w:rsidTr="002E6BE9">
        <w:trPr>
          <w:trHeight w:val="776"/>
        </w:trPr>
        <w:tc>
          <w:tcPr>
            <w:tcW w:w="719" w:type="dxa"/>
            <w:vMerge/>
            <w:shd w:val="clear" w:color="auto" w:fill="DEEAF6" w:themeFill="accent5" w:themeFillTint="33"/>
          </w:tcPr>
          <w:p w14:paraId="37C8CC3A" w14:textId="77777777" w:rsidR="00716156" w:rsidRPr="003B148A" w:rsidRDefault="00716156" w:rsidP="00F020F4">
            <w:pPr>
              <w:jc w:val="both"/>
              <w:rPr>
                <w:rFonts w:eastAsia="Arial" w:cs="Arial"/>
                <w:b/>
                <w:bCs/>
                <w:color w:val="000000" w:themeColor="text1"/>
                <w:sz w:val="20"/>
                <w:szCs w:val="20"/>
              </w:rPr>
            </w:pPr>
          </w:p>
        </w:tc>
        <w:tc>
          <w:tcPr>
            <w:tcW w:w="592" w:type="dxa"/>
            <w:shd w:val="clear" w:color="auto" w:fill="DEEAF6" w:themeFill="accent5" w:themeFillTint="33"/>
            <w:vAlign w:val="center"/>
          </w:tcPr>
          <w:p w14:paraId="2D4F8EEF"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P</w:t>
            </w:r>
          </w:p>
        </w:tc>
        <w:tc>
          <w:tcPr>
            <w:tcW w:w="593" w:type="dxa"/>
            <w:shd w:val="clear" w:color="auto" w:fill="DEEAF6" w:themeFill="accent5" w:themeFillTint="33"/>
            <w:vAlign w:val="center"/>
          </w:tcPr>
          <w:p w14:paraId="602B33B3"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A</w:t>
            </w:r>
          </w:p>
        </w:tc>
        <w:tc>
          <w:tcPr>
            <w:tcW w:w="592" w:type="dxa"/>
            <w:shd w:val="clear" w:color="auto" w:fill="DEEAF6" w:themeFill="accent5" w:themeFillTint="33"/>
            <w:vAlign w:val="center"/>
          </w:tcPr>
          <w:p w14:paraId="746B41CD"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P</w:t>
            </w:r>
          </w:p>
        </w:tc>
        <w:tc>
          <w:tcPr>
            <w:tcW w:w="593" w:type="dxa"/>
            <w:shd w:val="clear" w:color="auto" w:fill="DEEAF6" w:themeFill="accent5" w:themeFillTint="33"/>
            <w:vAlign w:val="center"/>
          </w:tcPr>
          <w:p w14:paraId="51C84544"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A</w:t>
            </w:r>
          </w:p>
        </w:tc>
        <w:tc>
          <w:tcPr>
            <w:tcW w:w="593" w:type="dxa"/>
            <w:shd w:val="clear" w:color="auto" w:fill="DEEAF6" w:themeFill="accent5" w:themeFillTint="33"/>
            <w:vAlign w:val="center"/>
          </w:tcPr>
          <w:p w14:paraId="0B161BD8"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P</w:t>
            </w:r>
          </w:p>
        </w:tc>
        <w:tc>
          <w:tcPr>
            <w:tcW w:w="592" w:type="dxa"/>
            <w:shd w:val="clear" w:color="auto" w:fill="DEEAF6" w:themeFill="accent5" w:themeFillTint="33"/>
            <w:vAlign w:val="center"/>
          </w:tcPr>
          <w:p w14:paraId="6A36F4A6"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A</w:t>
            </w:r>
          </w:p>
        </w:tc>
        <w:tc>
          <w:tcPr>
            <w:tcW w:w="593" w:type="dxa"/>
            <w:shd w:val="clear" w:color="auto" w:fill="DEEAF6" w:themeFill="accent5" w:themeFillTint="33"/>
            <w:vAlign w:val="center"/>
          </w:tcPr>
          <w:p w14:paraId="59547392"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P</w:t>
            </w:r>
          </w:p>
        </w:tc>
        <w:tc>
          <w:tcPr>
            <w:tcW w:w="593" w:type="dxa"/>
            <w:shd w:val="clear" w:color="auto" w:fill="DEEAF6" w:themeFill="accent5" w:themeFillTint="33"/>
            <w:vAlign w:val="center"/>
          </w:tcPr>
          <w:p w14:paraId="17E29E21"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A</w:t>
            </w:r>
          </w:p>
        </w:tc>
        <w:tc>
          <w:tcPr>
            <w:tcW w:w="592" w:type="dxa"/>
            <w:shd w:val="clear" w:color="auto" w:fill="DEEAF6" w:themeFill="accent5" w:themeFillTint="33"/>
            <w:vAlign w:val="center"/>
          </w:tcPr>
          <w:p w14:paraId="6BD915A7"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P</w:t>
            </w:r>
          </w:p>
        </w:tc>
        <w:tc>
          <w:tcPr>
            <w:tcW w:w="593" w:type="dxa"/>
            <w:shd w:val="clear" w:color="auto" w:fill="DEEAF6" w:themeFill="accent5" w:themeFillTint="33"/>
            <w:vAlign w:val="center"/>
          </w:tcPr>
          <w:p w14:paraId="02209451"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A</w:t>
            </w:r>
          </w:p>
        </w:tc>
        <w:tc>
          <w:tcPr>
            <w:tcW w:w="593" w:type="dxa"/>
            <w:shd w:val="clear" w:color="auto" w:fill="DEEAF6" w:themeFill="accent5" w:themeFillTint="33"/>
            <w:vAlign w:val="center"/>
          </w:tcPr>
          <w:p w14:paraId="36E6A997"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P</w:t>
            </w:r>
          </w:p>
        </w:tc>
        <w:tc>
          <w:tcPr>
            <w:tcW w:w="412" w:type="dxa"/>
            <w:shd w:val="clear" w:color="auto" w:fill="DEEAF6" w:themeFill="accent5" w:themeFillTint="33"/>
            <w:vAlign w:val="center"/>
          </w:tcPr>
          <w:p w14:paraId="4A04C83E"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A</w:t>
            </w:r>
          </w:p>
        </w:tc>
        <w:tc>
          <w:tcPr>
            <w:tcW w:w="773" w:type="dxa"/>
            <w:shd w:val="clear" w:color="auto" w:fill="DEEAF6" w:themeFill="accent5" w:themeFillTint="33"/>
            <w:vAlign w:val="center"/>
          </w:tcPr>
          <w:p w14:paraId="3482E0D2"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P</w:t>
            </w:r>
          </w:p>
        </w:tc>
        <w:tc>
          <w:tcPr>
            <w:tcW w:w="593" w:type="dxa"/>
            <w:shd w:val="clear" w:color="auto" w:fill="DEEAF6" w:themeFill="accent5" w:themeFillTint="33"/>
            <w:vAlign w:val="center"/>
          </w:tcPr>
          <w:p w14:paraId="1BF79A27" w14:textId="77777777" w:rsidR="00716156" w:rsidRPr="003B148A" w:rsidRDefault="00716156" w:rsidP="00F020F4">
            <w:pPr>
              <w:jc w:val="center"/>
              <w:rPr>
                <w:rFonts w:eastAsia="Arial" w:cs="Arial"/>
                <w:b/>
                <w:bCs/>
                <w:color w:val="000000" w:themeColor="text1"/>
                <w:sz w:val="20"/>
                <w:szCs w:val="20"/>
              </w:rPr>
            </w:pPr>
            <w:r w:rsidRPr="003B148A">
              <w:rPr>
                <w:rFonts w:eastAsia="Arial" w:cs="Arial"/>
                <w:b/>
                <w:bCs/>
                <w:color w:val="000000" w:themeColor="text1"/>
                <w:sz w:val="20"/>
                <w:szCs w:val="20"/>
              </w:rPr>
              <w:t>A</w:t>
            </w:r>
          </w:p>
        </w:tc>
      </w:tr>
      <w:tr w:rsidR="00716156" w:rsidRPr="009F0FAE" w14:paraId="0C4E01A1" w14:textId="77777777" w:rsidTr="002E6BE9">
        <w:tc>
          <w:tcPr>
            <w:tcW w:w="719" w:type="dxa"/>
            <w:vAlign w:val="center"/>
          </w:tcPr>
          <w:p w14:paraId="5D6C68C5"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REI</w:t>
            </w:r>
          </w:p>
        </w:tc>
        <w:tc>
          <w:tcPr>
            <w:tcW w:w="592" w:type="dxa"/>
            <w:shd w:val="clear" w:color="auto" w:fill="E7E6E6" w:themeFill="background2"/>
            <w:vAlign w:val="center"/>
          </w:tcPr>
          <w:p w14:paraId="22FC3D5D" w14:textId="77777777" w:rsidR="00716156" w:rsidRPr="003B148A" w:rsidRDefault="00716156" w:rsidP="00F020F4">
            <w:pPr>
              <w:jc w:val="center"/>
              <w:rPr>
                <w:rFonts w:cs="Arial"/>
                <w:color w:val="000000"/>
                <w:sz w:val="20"/>
                <w:szCs w:val="20"/>
              </w:rPr>
            </w:pPr>
            <w:r w:rsidRPr="003B148A">
              <w:rPr>
                <w:rFonts w:cs="Arial"/>
                <w:color w:val="000000"/>
                <w:sz w:val="20"/>
                <w:szCs w:val="20"/>
              </w:rPr>
              <w:t>-</w:t>
            </w:r>
          </w:p>
        </w:tc>
        <w:tc>
          <w:tcPr>
            <w:tcW w:w="593" w:type="dxa"/>
            <w:vAlign w:val="center"/>
          </w:tcPr>
          <w:p w14:paraId="41CACC90" w14:textId="77777777" w:rsidR="00716156" w:rsidRPr="003B148A" w:rsidRDefault="00716156" w:rsidP="00F020F4">
            <w:pPr>
              <w:jc w:val="center"/>
              <w:rPr>
                <w:rFonts w:eastAsia="Arial" w:cs="Arial"/>
                <w:color w:val="000000" w:themeColor="text1"/>
                <w:sz w:val="20"/>
                <w:szCs w:val="20"/>
              </w:rPr>
            </w:pPr>
            <w:r w:rsidRPr="003B148A">
              <w:rPr>
                <w:rFonts w:cs="Arial"/>
                <w:sz w:val="20"/>
                <w:szCs w:val="20"/>
              </w:rPr>
              <w:t>Oct-21</w:t>
            </w:r>
          </w:p>
        </w:tc>
        <w:tc>
          <w:tcPr>
            <w:tcW w:w="592" w:type="dxa"/>
            <w:shd w:val="clear" w:color="auto" w:fill="E7E6E6" w:themeFill="background2"/>
            <w:vAlign w:val="center"/>
          </w:tcPr>
          <w:p w14:paraId="1C16777F" w14:textId="77777777" w:rsidR="00716156" w:rsidRPr="003B148A" w:rsidRDefault="00716156" w:rsidP="00F020F4">
            <w:pPr>
              <w:jc w:val="center"/>
              <w:rPr>
                <w:rFonts w:eastAsia="Arial" w:cs="Arial"/>
                <w:color w:val="000000" w:themeColor="text1"/>
                <w:sz w:val="20"/>
                <w:szCs w:val="20"/>
              </w:rPr>
            </w:pPr>
            <w:r w:rsidRPr="003B148A">
              <w:rPr>
                <w:rFonts w:cs="Arial"/>
                <w:color w:val="000000"/>
                <w:sz w:val="20"/>
                <w:szCs w:val="20"/>
              </w:rPr>
              <w:t>Oct-23</w:t>
            </w:r>
          </w:p>
        </w:tc>
        <w:tc>
          <w:tcPr>
            <w:tcW w:w="593" w:type="dxa"/>
            <w:vAlign w:val="center"/>
          </w:tcPr>
          <w:p w14:paraId="24F30C0B" w14:textId="77777777" w:rsidR="00716156" w:rsidRPr="003B148A" w:rsidRDefault="00716156" w:rsidP="00F020F4">
            <w:pPr>
              <w:jc w:val="center"/>
              <w:rPr>
                <w:rFonts w:eastAsia="Arial" w:cs="Arial"/>
                <w:color w:val="000000" w:themeColor="text1"/>
                <w:sz w:val="20"/>
                <w:szCs w:val="20"/>
              </w:rPr>
            </w:pPr>
            <w:r w:rsidRPr="003B148A">
              <w:rPr>
                <w:rFonts w:cs="Arial"/>
                <w:color w:val="000000"/>
                <w:sz w:val="20"/>
                <w:szCs w:val="20"/>
              </w:rPr>
              <w:t>Feb-23</w:t>
            </w:r>
          </w:p>
        </w:tc>
        <w:tc>
          <w:tcPr>
            <w:tcW w:w="593" w:type="dxa"/>
            <w:shd w:val="clear" w:color="auto" w:fill="E7E6E6" w:themeFill="background2"/>
            <w:vAlign w:val="center"/>
          </w:tcPr>
          <w:p w14:paraId="1B21D1B9"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May-25</w:t>
            </w:r>
          </w:p>
        </w:tc>
        <w:tc>
          <w:tcPr>
            <w:tcW w:w="592" w:type="dxa"/>
            <w:vAlign w:val="center"/>
          </w:tcPr>
          <w:p w14:paraId="7B7763DF" w14:textId="77777777" w:rsidR="00716156" w:rsidRPr="003B148A" w:rsidRDefault="00716156" w:rsidP="00F020F4">
            <w:pPr>
              <w:jc w:val="center"/>
              <w:rPr>
                <w:rFonts w:eastAsia="Arial" w:cs="Arial"/>
                <w:color w:val="000000" w:themeColor="text1"/>
                <w:sz w:val="20"/>
                <w:szCs w:val="20"/>
              </w:rPr>
            </w:pPr>
            <w:r w:rsidRPr="003B148A">
              <w:rPr>
                <w:rFonts w:cs="Arial"/>
                <w:color w:val="000000"/>
                <w:sz w:val="20"/>
                <w:szCs w:val="20"/>
              </w:rPr>
              <w:t>Sep-24</w:t>
            </w:r>
          </w:p>
        </w:tc>
        <w:tc>
          <w:tcPr>
            <w:tcW w:w="593" w:type="dxa"/>
            <w:shd w:val="clear" w:color="auto" w:fill="E7E6E6" w:themeFill="background2"/>
            <w:vAlign w:val="center"/>
          </w:tcPr>
          <w:p w14:paraId="2E3F4EA9"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Aug-25</w:t>
            </w:r>
          </w:p>
        </w:tc>
        <w:tc>
          <w:tcPr>
            <w:tcW w:w="593" w:type="dxa"/>
            <w:vAlign w:val="center"/>
          </w:tcPr>
          <w:p w14:paraId="4DB96B8E" w14:textId="77777777" w:rsidR="00716156" w:rsidRPr="003B148A" w:rsidRDefault="00716156" w:rsidP="00F020F4">
            <w:pPr>
              <w:jc w:val="center"/>
              <w:rPr>
                <w:rFonts w:cs="Arial"/>
                <w:color w:val="000000"/>
                <w:sz w:val="20"/>
                <w:szCs w:val="20"/>
              </w:rPr>
            </w:pPr>
            <w:r w:rsidRPr="003B148A">
              <w:rPr>
                <w:rFonts w:cs="Arial"/>
                <w:color w:val="000000"/>
                <w:sz w:val="20"/>
                <w:szCs w:val="20"/>
              </w:rPr>
              <w:t>Nov-24</w:t>
            </w:r>
          </w:p>
        </w:tc>
        <w:tc>
          <w:tcPr>
            <w:tcW w:w="592" w:type="dxa"/>
            <w:shd w:val="clear" w:color="auto" w:fill="AEAAAA" w:themeFill="background2" w:themeFillShade="BF"/>
            <w:vAlign w:val="center"/>
          </w:tcPr>
          <w:p w14:paraId="5D600F56"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Aug-26</w:t>
            </w:r>
          </w:p>
        </w:tc>
        <w:tc>
          <w:tcPr>
            <w:tcW w:w="593" w:type="dxa"/>
            <w:shd w:val="clear" w:color="auto" w:fill="AEAAAA" w:themeFill="background2" w:themeFillShade="BF"/>
            <w:vAlign w:val="center"/>
          </w:tcPr>
          <w:p w14:paraId="49392D89"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c>
          <w:tcPr>
            <w:tcW w:w="593" w:type="dxa"/>
            <w:shd w:val="clear" w:color="auto" w:fill="AEAAAA" w:themeFill="background2" w:themeFillShade="BF"/>
            <w:vAlign w:val="center"/>
          </w:tcPr>
          <w:p w14:paraId="3194ABB3"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Aug-28</w:t>
            </w:r>
          </w:p>
        </w:tc>
        <w:tc>
          <w:tcPr>
            <w:tcW w:w="412" w:type="dxa"/>
            <w:shd w:val="clear" w:color="auto" w:fill="AEAAAA" w:themeFill="background2" w:themeFillShade="BF"/>
            <w:vAlign w:val="center"/>
          </w:tcPr>
          <w:p w14:paraId="2F8BBE15"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c>
          <w:tcPr>
            <w:tcW w:w="773" w:type="dxa"/>
            <w:shd w:val="clear" w:color="auto" w:fill="AEAAAA" w:themeFill="background2" w:themeFillShade="BF"/>
            <w:vAlign w:val="center"/>
          </w:tcPr>
          <w:p w14:paraId="1F07ED1E"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Aug-28</w:t>
            </w:r>
          </w:p>
        </w:tc>
        <w:tc>
          <w:tcPr>
            <w:tcW w:w="593" w:type="dxa"/>
            <w:shd w:val="clear" w:color="auto" w:fill="AEAAAA" w:themeFill="background2" w:themeFillShade="BF"/>
            <w:vAlign w:val="center"/>
          </w:tcPr>
          <w:p w14:paraId="0E20684D"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r>
      <w:tr w:rsidR="00716156" w:rsidRPr="009F0FAE" w14:paraId="41955F0F" w14:textId="77777777" w:rsidTr="002E6BE9">
        <w:tc>
          <w:tcPr>
            <w:tcW w:w="719" w:type="dxa"/>
            <w:vAlign w:val="center"/>
          </w:tcPr>
          <w:p w14:paraId="27A1450C"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ACT</w:t>
            </w:r>
          </w:p>
        </w:tc>
        <w:tc>
          <w:tcPr>
            <w:tcW w:w="592" w:type="dxa"/>
            <w:shd w:val="clear" w:color="auto" w:fill="E7E6E6" w:themeFill="background2"/>
            <w:vAlign w:val="center"/>
          </w:tcPr>
          <w:p w14:paraId="70E2A2BE"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c>
          <w:tcPr>
            <w:tcW w:w="593" w:type="dxa"/>
            <w:vAlign w:val="center"/>
          </w:tcPr>
          <w:p w14:paraId="418A3481" w14:textId="77777777" w:rsidR="00716156" w:rsidRPr="003B148A" w:rsidRDefault="00716156" w:rsidP="00F020F4">
            <w:pPr>
              <w:jc w:val="center"/>
              <w:rPr>
                <w:rFonts w:eastAsia="Arial" w:cs="Arial"/>
                <w:color w:val="000000" w:themeColor="text1"/>
                <w:sz w:val="20"/>
                <w:szCs w:val="20"/>
              </w:rPr>
            </w:pPr>
            <w:r w:rsidRPr="003B148A">
              <w:rPr>
                <w:rFonts w:cs="Arial"/>
                <w:sz w:val="20"/>
                <w:szCs w:val="20"/>
              </w:rPr>
              <w:t>Oct-21</w:t>
            </w:r>
          </w:p>
        </w:tc>
        <w:tc>
          <w:tcPr>
            <w:tcW w:w="592" w:type="dxa"/>
            <w:shd w:val="clear" w:color="auto" w:fill="E7E6E6" w:themeFill="background2"/>
            <w:vAlign w:val="center"/>
          </w:tcPr>
          <w:p w14:paraId="6E0D1ED7" w14:textId="77777777" w:rsidR="00716156" w:rsidRPr="003B148A" w:rsidRDefault="00716156" w:rsidP="00F020F4">
            <w:pPr>
              <w:jc w:val="center"/>
              <w:rPr>
                <w:rFonts w:eastAsia="Arial" w:cs="Arial"/>
                <w:color w:val="000000" w:themeColor="text1"/>
                <w:sz w:val="20"/>
                <w:szCs w:val="20"/>
              </w:rPr>
            </w:pPr>
            <w:r w:rsidRPr="003B148A">
              <w:rPr>
                <w:rFonts w:cs="Arial"/>
                <w:color w:val="000000"/>
                <w:sz w:val="20"/>
                <w:szCs w:val="20"/>
              </w:rPr>
              <w:t>Oct-23</w:t>
            </w:r>
          </w:p>
        </w:tc>
        <w:tc>
          <w:tcPr>
            <w:tcW w:w="593" w:type="dxa"/>
            <w:vAlign w:val="center"/>
          </w:tcPr>
          <w:p w14:paraId="0865001E" w14:textId="77777777" w:rsidR="00716156" w:rsidRPr="003B148A" w:rsidRDefault="00716156" w:rsidP="00F020F4">
            <w:pPr>
              <w:jc w:val="center"/>
              <w:rPr>
                <w:rFonts w:eastAsia="Arial" w:cs="Arial"/>
                <w:color w:val="000000" w:themeColor="text1"/>
                <w:sz w:val="20"/>
                <w:szCs w:val="20"/>
              </w:rPr>
            </w:pPr>
            <w:r w:rsidRPr="003B148A">
              <w:rPr>
                <w:rFonts w:cs="Arial"/>
                <w:color w:val="000000"/>
                <w:sz w:val="20"/>
                <w:szCs w:val="20"/>
              </w:rPr>
              <w:t>Jun-23</w:t>
            </w:r>
          </w:p>
        </w:tc>
        <w:tc>
          <w:tcPr>
            <w:tcW w:w="593" w:type="dxa"/>
            <w:shd w:val="clear" w:color="auto" w:fill="E7E6E6" w:themeFill="background2"/>
            <w:vAlign w:val="center"/>
          </w:tcPr>
          <w:p w14:paraId="25C2227E"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May-25</w:t>
            </w:r>
          </w:p>
        </w:tc>
        <w:tc>
          <w:tcPr>
            <w:tcW w:w="592" w:type="dxa"/>
            <w:vAlign w:val="center"/>
          </w:tcPr>
          <w:p w14:paraId="23B1F9F7" w14:textId="77777777" w:rsidR="00716156" w:rsidRPr="003B148A" w:rsidRDefault="00716156" w:rsidP="00F020F4">
            <w:pPr>
              <w:jc w:val="center"/>
              <w:rPr>
                <w:rFonts w:eastAsia="Arial" w:cs="Arial"/>
                <w:color w:val="000000" w:themeColor="text1"/>
                <w:sz w:val="20"/>
                <w:szCs w:val="20"/>
              </w:rPr>
            </w:pPr>
            <w:r w:rsidRPr="003B148A">
              <w:rPr>
                <w:rFonts w:cs="Arial"/>
                <w:color w:val="000000"/>
                <w:sz w:val="20"/>
                <w:szCs w:val="20"/>
              </w:rPr>
              <w:t>Mar-24</w:t>
            </w:r>
          </w:p>
        </w:tc>
        <w:tc>
          <w:tcPr>
            <w:tcW w:w="593" w:type="dxa"/>
            <w:shd w:val="clear" w:color="auto" w:fill="E7E6E6" w:themeFill="background2"/>
            <w:vAlign w:val="center"/>
          </w:tcPr>
          <w:p w14:paraId="7DCF496D"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Aug-25</w:t>
            </w:r>
          </w:p>
        </w:tc>
        <w:tc>
          <w:tcPr>
            <w:tcW w:w="593" w:type="dxa"/>
            <w:vAlign w:val="center"/>
          </w:tcPr>
          <w:p w14:paraId="1440CC7E" w14:textId="77777777" w:rsidR="00716156" w:rsidRPr="003B148A" w:rsidRDefault="00716156" w:rsidP="00F020F4">
            <w:pPr>
              <w:jc w:val="center"/>
              <w:rPr>
                <w:rFonts w:eastAsia="Arial" w:cs="Arial"/>
                <w:color w:val="000000" w:themeColor="text1"/>
                <w:sz w:val="20"/>
                <w:szCs w:val="20"/>
              </w:rPr>
            </w:pPr>
            <w:r w:rsidRPr="003B148A">
              <w:rPr>
                <w:rFonts w:cs="Arial"/>
                <w:color w:val="000000"/>
                <w:sz w:val="20"/>
                <w:szCs w:val="20"/>
              </w:rPr>
              <w:t>Apr-25</w:t>
            </w:r>
          </w:p>
        </w:tc>
        <w:tc>
          <w:tcPr>
            <w:tcW w:w="592" w:type="dxa"/>
            <w:shd w:val="clear" w:color="auto" w:fill="AEAAAA" w:themeFill="background2" w:themeFillShade="BF"/>
            <w:vAlign w:val="center"/>
          </w:tcPr>
          <w:p w14:paraId="14F1B4D9"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Aug-26</w:t>
            </w:r>
          </w:p>
        </w:tc>
        <w:tc>
          <w:tcPr>
            <w:tcW w:w="593" w:type="dxa"/>
            <w:shd w:val="clear" w:color="auto" w:fill="AEAAAA" w:themeFill="background2" w:themeFillShade="BF"/>
            <w:vAlign w:val="center"/>
          </w:tcPr>
          <w:p w14:paraId="17B3AFB8"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c>
          <w:tcPr>
            <w:tcW w:w="593" w:type="dxa"/>
            <w:shd w:val="clear" w:color="auto" w:fill="AEAAAA" w:themeFill="background2" w:themeFillShade="BF"/>
            <w:vAlign w:val="center"/>
          </w:tcPr>
          <w:p w14:paraId="6368D2E0"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Aug-28</w:t>
            </w:r>
          </w:p>
        </w:tc>
        <w:tc>
          <w:tcPr>
            <w:tcW w:w="412" w:type="dxa"/>
            <w:shd w:val="clear" w:color="auto" w:fill="AEAAAA" w:themeFill="background2" w:themeFillShade="BF"/>
            <w:vAlign w:val="center"/>
          </w:tcPr>
          <w:p w14:paraId="476EBB95"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c>
          <w:tcPr>
            <w:tcW w:w="773" w:type="dxa"/>
            <w:shd w:val="clear" w:color="auto" w:fill="AEAAAA" w:themeFill="background2" w:themeFillShade="BF"/>
            <w:vAlign w:val="center"/>
          </w:tcPr>
          <w:p w14:paraId="7E1F25A8"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Aug-28</w:t>
            </w:r>
          </w:p>
        </w:tc>
        <w:tc>
          <w:tcPr>
            <w:tcW w:w="593" w:type="dxa"/>
            <w:shd w:val="clear" w:color="auto" w:fill="AEAAAA" w:themeFill="background2" w:themeFillShade="BF"/>
            <w:vAlign w:val="center"/>
          </w:tcPr>
          <w:p w14:paraId="0BF498C4"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r>
      <w:tr w:rsidR="00716156" w:rsidRPr="009F0FAE" w14:paraId="43388B35" w14:textId="77777777" w:rsidTr="002E6BE9">
        <w:tc>
          <w:tcPr>
            <w:tcW w:w="719" w:type="dxa"/>
            <w:vAlign w:val="center"/>
          </w:tcPr>
          <w:p w14:paraId="1A6CA3B5"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NPC</w:t>
            </w:r>
          </w:p>
        </w:tc>
        <w:tc>
          <w:tcPr>
            <w:tcW w:w="592" w:type="dxa"/>
            <w:shd w:val="clear" w:color="auto" w:fill="E7E6E6" w:themeFill="background2"/>
            <w:vAlign w:val="center"/>
          </w:tcPr>
          <w:p w14:paraId="54D127C0"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c>
          <w:tcPr>
            <w:tcW w:w="593" w:type="dxa"/>
            <w:vAlign w:val="center"/>
          </w:tcPr>
          <w:p w14:paraId="76EED826" w14:textId="77777777" w:rsidR="00716156" w:rsidRPr="003B148A" w:rsidRDefault="00716156" w:rsidP="00F020F4">
            <w:pPr>
              <w:jc w:val="center"/>
              <w:rPr>
                <w:rFonts w:eastAsia="Arial" w:cs="Arial"/>
                <w:color w:val="000000" w:themeColor="text1"/>
                <w:sz w:val="20"/>
                <w:szCs w:val="20"/>
              </w:rPr>
            </w:pPr>
            <w:r w:rsidRPr="003B148A">
              <w:rPr>
                <w:rFonts w:cs="Arial"/>
                <w:sz w:val="20"/>
                <w:szCs w:val="20"/>
              </w:rPr>
              <w:t>Jan-22</w:t>
            </w:r>
          </w:p>
        </w:tc>
        <w:tc>
          <w:tcPr>
            <w:tcW w:w="592" w:type="dxa"/>
            <w:shd w:val="clear" w:color="auto" w:fill="E7E6E6" w:themeFill="background2"/>
            <w:vAlign w:val="center"/>
          </w:tcPr>
          <w:p w14:paraId="43E71D1F" w14:textId="77777777" w:rsidR="00716156" w:rsidRPr="003B148A" w:rsidRDefault="00716156" w:rsidP="00F020F4">
            <w:pPr>
              <w:jc w:val="center"/>
              <w:rPr>
                <w:rFonts w:eastAsia="Arial" w:cs="Arial"/>
                <w:color w:val="000000" w:themeColor="text1"/>
                <w:sz w:val="20"/>
                <w:szCs w:val="20"/>
              </w:rPr>
            </w:pPr>
            <w:r w:rsidRPr="003B148A">
              <w:rPr>
                <w:rFonts w:cs="Arial"/>
                <w:color w:val="000000"/>
                <w:sz w:val="20"/>
                <w:szCs w:val="20"/>
              </w:rPr>
              <w:t>Jan-24</w:t>
            </w:r>
          </w:p>
        </w:tc>
        <w:tc>
          <w:tcPr>
            <w:tcW w:w="593" w:type="dxa"/>
            <w:vAlign w:val="center"/>
          </w:tcPr>
          <w:p w14:paraId="1454F6B8" w14:textId="77777777" w:rsidR="00716156" w:rsidRPr="003B148A" w:rsidRDefault="00716156" w:rsidP="00F020F4">
            <w:pPr>
              <w:jc w:val="center"/>
              <w:rPr>
                <w:rFonts w:eastAsia="Arial" w:cs="Arial"/>
                <w:color w:val="000000" w:themeColor="text1"/>
                <w:sz w:val="20"/>
                <w:szCs w:val="20"/>
              </w:rPr>
            </w:pPr>
            <w:r w:rsidRPr="003B148A">
              <w:rPr>
                <w:rFonts w:cs="Arial"/>
                <w:sz w:val="20"/>
                <w:szCs w:val="20"/>
              </w:rPr>
              <w:t>Jun-24</w:t>
            </w:r>
          </w:p>
        </w:tc>
        <w:tc>
          <w:tcPr>
            <w:tcW w:w="593" w:type="dxa"/>
            <w:shd w:val="clear" w:color="auto" w:fill="E7E6E6" w:themeFill="background2"/>
            <w:vAlign w:val="center"/>
          </w:tcPr>
          <w:p w14:paraId="1A89BD20"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Jul-25</w:t>
            </w:r>
          </w:p>
        </w:tc>
        <w:tc>
          <w:tcPr>
            <w:tcW w:w="592" w:type="dxa"/>
            <w:vAlign w:val="center"/>
          </w:tcPr>
          <w:p w14:paraId="312924A8" w14:textId="77777777" w:rsidR="00716156" w:rsidRPr="003B148A" w:rsidRDefault="00716156" w:rsidP="00F020F4">
            <w:pPr>
              <w:jc w:val="center"/>
              <w:rPr>
                <w:rFonts w:eastAsia="Arial" w:cs="Arial"/>
                <w:color w:val="000000" w:themeColor="text1"/>
                <w:sz w:val="20"/>
                <w:szCs w:val="20"/>
              </w:rPr>
            </w:pPr>
            <w:r w:rsidRPr="003B148A">
              <w:rPr>
                <w:rFonts w:cs="Arial"/>
                <w:sz w:val="20"/>
                <w:szCs w:val="20"/>
              </w:rPr>
              <w:t>Mar-25</w:t>
            </w:r>
          </w:p>
        </w:tc>
        <w:tc>
          <w:tcPr>
            <w:tcW w:w="593" w:type="dxa"/>
            <w:shd w:val="clear" w:color="auto" w:fill="E7E6E6" w:themeFill="background2"/>
            <w:vAlign w:val="center"/>
          </w:tcPr>
          <w:p w14:paraId="12700512"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Oct-25</w:t>
            </w:r>
          </w:p>
        </w:tc>
        <w:tc>
          <w:tcPr>
            <w:tcW w:w="593" w:type="dxa"/>
            <w:vAlign w:val="center"/>
          </w:tcPr>
          <w:p w14:paraId="6E7F3451" w14:textId="77777777" w:rsidR="00716156" w:rsidRPr="003B148A" w:rsidRDefault="00716156" w:rsidP="00F020F4">
            <w:pPr>
              <w:jc w:val="center"/>
              <w:rPr>
                <w:rFonts w:eastAsia="Arial" w:cs="Arial"/>
                <w:color w:val="000000" w:themeColor="text1"/>
                <w:sz w:val="20"/>
                <w:szCs w:val="20"/>
              </w:rPr>
            </w:pPr>
            <w:r w:rsidRPr="003B148A">
              <w:rPr>
                <w:rFonts w:cs="Arial"/>
                <w:sz w:val="20"/>
                <w:szCs w:val="20"/>
              </w:rPr>
              <w:t>Apr-25</w:t>
            </w:r>
          </w:p>
        </w:tc>
        <w:tc>
          <w:tcPr>
            <w:tcW w:w="592" w:type="dxa"/>
            <w:shd w:val="clear" w:color="auto" w:fill="AEAAAA" w:themeFill="background2" w:themeFillShade="BF"/>
            <w:vAlign w:val="center"/>
          </w:tcPr>
          <w:p w14:paraId="2106EAC8"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Oct-26</w:t>
            </w:r>
          </w:p>
        </w:tc>
        <w:tc>
          <w:tcPr>
            <w:tcW w:w="593" w:type="dxa"/>
            <w:shd w:val="clear" w:color="auto" w:fill="AEAAAA" w:themeFill="background2" w:themeFillShade="BF"/>
            <w:vAlign w:val="center"/>
          </w:tcPr>
          <w:p w14:paraId="2169CF1A"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c>
          <w:tcPr>
            <w:tcW w:w="593" w:type="dxa"/>
            <w:shd w:val="clear" w:color="auto" w:fill="AEAAAA" w:themeFill="background2" w:themeFillShade="BF"/>
            <w:vAlign w:val="center"/>
          </w:tcPr>
          <w:p w14:paraId="733AE71E"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Oct-28</w:t>
            </w:r>
          </w:p>
        </w:tc>
        <w:tc>
          <w:tcPr>
            <w:tcW w:w="412" w:type="dxa"/>
            <w:shd w:val="clear" w:color="auto" w:fill="AEAAAA" w:themeFill="background2" w:themeFillShade="BF"/>
            <w:vAlign w:val="center"/>
          </w:tcPr>
          <w:p w14:paraId="35C15F76"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c>
          <w:tcPr>
            <w:tcW w:w="773" w:type="dxa"/>
            <w:shd w:val="clear" w:color="auto" w:fill="AEAAAA" w:themeFill="background2" w:themeFillShade="BF"/>
            <w:vAlign w:val="center"/>
          </w:tcPr>
          <w:p w14:paraId="56780B8E"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Oct-28</w:t>
            </w:r>
          </w:p>
        </w:tc>
        <w:tc>
          <w:tcPr>
            <w:tcW w:w="593" w:type="dxa"/>
            <w:shd w:val="clear" w:color="auto" w:fill="AEAAAA" w:themeFill="background2" w:themeFillShade="BF"/>
            <w:vAlign w:val="center"/>
          </w:tcPr>
          <w:p w14:paraId="566030AF"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r>
      <w:tr w:rsidR="00716156" w:rsidRPr="009F0FAE" w14:paraId="7697A739" w14:textId="77777777" w:rsidTr="002E6BE9">
        <w:tc>
          <w:tcPr>
            <w:tcW w:w="719" w:type="dxa"/>
            <w:vAlign w:val="center"/>
          </w:tcPr>
          <w:p w14:paraId="6B413DBA"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ID</w:t>
            </w:r>
          </w:p>
        </w:tc>
        <w:tc>
          <w:tcPr>
            <w:tcW w:w="592" w:type="dxa"/>
            <w:shd w:val="clear" w:color="auto" w:fill="E7E6E6" w:themeFill="background2"/>
            <w:vAlign w:val="center"/>
          </w:tcPr>
          <w:p w14:paraId="40EA01BB" w14:textId="77777777" w:rsidR="00716156" w:rsidRPr="003B148A" w:rsidRDefault="00716156" w:rsidP="00F020F4">
            <w:pPr>
              <w:jc w:val="center"/>
              <w:rPr>
                <w:rFonts w:cs="Arial"/>
                <w:sz w:val="20"/>
                <w:szCs w:val="20"/>
              </w:rPr>
            </w:pPr>
            <w:r w:rsidRPr="003B148A">
              <w:rPr>
                <w:rFonts w:cs="Arial"/>
                <w:sz w:val="20"/>
                <w:szCs w:val="20"/>
              </w:rPr>
              <w:t>-</w:t>
            </w:r>
          </w:p>
        </w:tc>
        <w:tc>
          <w:tcPr>
            <w:tcW w:w="593" w:type="dxa"/>
            <w:vAlign w:val="center"/>
          </w:tcPr>
          <w:p w14:paraId="6C5131D5" w14:textId="77777777" w:rsidR="00716156" w:rsidRPr="003B148A" w:rsidRDefault="00716156" w:rsidP="00F020F4">
            <w:pPr>
              <w:jc w:val="center"/>
              <w:rPr>
                <w:rFonts w:cs="Arial"/>
                <w:sz w:val="20"/>
                <w:szCs w:val="20"/>
              </w:rPr>
            </w:pPr>
            <w:r w:rsidRPr="003B148A">
              <w:rPr>
                <w:rFonts w:cs="Arial"/>
                <w:sz w:val="20"/>
                <w:szCs w:val="20"/>
              </w:rPr>
              <w:t>Oct-24</w:t>
            </w:r>
          </w:p>
        </w:tc>
        <w:tc>
          <w:tcPr>
            <w:tcW w:w="592" w:type="dxa"/>
            <w:shd w:val="clear" w:color="auto" w:fill="E7E6E6" w:themeFill="background2"/>
            <w:vAlign w:val="center"/>
          </w:tcPr>
          <w:p w14:paraId="01F19C7D" w14:textId="77777777" w:rsidR="00716156" w:rsidRPr="003B148A" w:rsidRDefault="00716156" w:rsidP="00F020F4">
            <w:pPr>
              <w:jc w:val="center"/>
              <w:rPr>
                <w:rFonts w:eastAsia="Arial" w:cs="Arial"/>
                <w:color w:val="000000" w:themeColor="text1"/>
                <w:sz w:val="20"/>
                <w:szCs w:val="20"/>
              </w:rPr>
            </w:pPr>
            <w:r w:rsidRPr="003B148A">
              <w:rPr>
                <w:rFonts w:cs="Arial"/>
                <w:color w:val="000000"/>
                <w:sz w:val="20"/>
                <w:szCs w:val="20"/>
              </w:rPr>
              <w:t>Oct-26</w:t>
            </w:r>
          </w:p>
        </w:tc>
        <w:tc>
          <w:tcPr>
            <w:tcW w:w="593" w:type="dxa"/>
            <w:vAlign w:val="center"/>
          </w:tcPr>
          <w:p w14:paraId="2D0D0E4D"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c>
          <w:tcPr>
            <w:tcW w:w="593" w:type="dxa"/>
            <w:shd w:val="clear" w:color="auto" w:fill="E7E6E6" w:themeFill="background2"/>
            <w:vAlign w:val="center"/>
          </w:tcPr>
          <w:p w14:paraId="68EA5DDD"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May-26</w:t>
            </w:r>
          </w:p>
        </w:tc>
        <w:tc>
          <w:tcPr>
            <w:tcW w:w="592" w:type="dxa"/>
            <w:vAlign w:val="center"/>
          </w:tcPr>
          <w:p w14:paraId="021FD97B"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c>
          <w:tcPr>
            <w:tcW w:w="593" w:type="dxa"/>
            <w:shd w:val="clear" w:color="auto" w:fill="E7E6E6" w:themeFill="background2"/>
            <w:vAlign w:val="center"/>
          </w:tcPr>
          <w:p w14:paraId="1AE6F045"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Aug-27</w:t>
            </w:r>
          </w:p>
        </w:tc>
        <w:tc>
          <w:tcPr>
            <w:tcW w:w="593" w:type="dxa"/>
            <w:vAlign w:val="center"/>
          </w:tcPr>
          <w:p w14:paraId="289C3D78"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c>
          <w:tcPr>
            <w:tcW w:w="592" w:type="dxa"/>
            <w:shd w:val="clear" w:color="auto" w:fill="AEAAAA" w:themeFill="background2" w:themeFillShade="BF"/>
            <w:vAlign w:val="center"/>
          </w:tcPr>
          <w:p w14:paraId="0CEEEA21"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Oct-26</w:t>
            </w:r>
          </w:p>
        </w:tc>
        <w:tc>
          <w:tcPr>
            <w:tcW w:w="593" w:type="dxa"/>
            <w:shd w:val="clear" w:color="auto" w:fill="AEAAAA" w:themeFill="background2" w:themeFillShade="BF"/>
            <w:vAlign w:val="center"/>
          </w:tcPr>
          <w:p w14:paraId="4498BD0B"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c>
          <w:tcPr>
            <w:tcW w:w="593" w:type="dxa"/>
            <w:shd w:val="clear" w:color="auto" w:fill="AEAAAA" w:themeFill="background2" w:themeFillShade="BF"/>
            <w:vAlign w:val="center"/>
          </w:tcPr>
          <w:p w14:paraId="32992CA8"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Aug-30</w:t>
            </w:r>
          </w:p>
        </w:tc>
        <w:tc>
          <w:tcPr>
            <w:tcW w:w="412" w:type="dxa"/>
            <w:shd w:val="clear" w:color="auto" w:fill="AEAAAA" w:themeFill="background2" w:themeFillShade="BF"/>
            <w:vAlign w:val="center"/>
          </w:tcPr>
          <w:p w14:paraId="395304D2"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c>
          <w:tcPr>
            <w:tcW w:w="773" w:type="dxa"/>
            <w:shd w:val="clear" w:color="auto" w:fill="AEAAAA" w:themeFill="background2" w:themeFillShade="BF"/>
            <w:vAlign w:val="center"/>
          </w:tcPr>
          <w:p w14:paraId="40ECB352"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Aug-30</w:t>
            </w:r>
          </w:p>
        </w:tc>
        <w:tc>
          <w:tcPr>
            <w:tcW w:w="593" w:type="dxa"/>
            <w:shd w:val="clear" w:color="auto" w:fill="AEAAAA" w:themeFill="background2" w:themeFillShade="BF"/>
            <w:vAlign w:val="center"/>
          </w:tcPr>
          <w:p w14:paraId="53A8321F" w14:textId="77777777" w:rsidR="00716156" w:rsidRPr="003B148A" w:rsidRDefault="00716156" w:rsidP="00F020F4">
            <w:pPr>
              <w:jc w:val="center"/>
              <w:rPr>
                <w:rFonts w:eastAsia="Arial" w:cs="Arial"/>
                <w:color w:val="000000" w:themeColor="text1"/>
                <w:sz w:val="20"/>
                <w:szCs w:val="20"/>
              </w:rPr>
            </w:pPr>
            <w:r w:rsidRPr="003B148A">
              <w:rPr>
                <w:rFonts w:eastAsia="Arial" w:cs="Arial"/>
                <w:color w:val="000000" w:themeColor="text1"/>
                <w:sz w:val="20"/>
                <w:szCs w:val="20"/>
              </w:rPr>
              <w:t>-</w:t>
            </w:r>
          </w:p>
        </w:tc>
      </w:tr>
    </w:tbl>
    <w:p w14:paraId="32F73F5A" w14:textId="77777777" w:rsidR="00716156" w:rsidRPr="009F0FAE" w:rsidRDefault="00716156" w:rsidP="00716156">
      <w:pPr>
        <w:jc w:val="both"/>
        <w:rPr>
          <w:rFonts w:eastAsia="Arial" w:cs="Arial"/>
          <w:b/>
          <w:bCs/>
          <w:color w:val="000000" w:themeColor="text1"/>
          <w:sz w:val="20"/>
          <w:szCs w:val="20"/>
        </w:rPr>
      </w:pPr>
      <w:r w:rsidRPr="009F0FAE">
        <w:rPr>
          <w:rFonts w:eastAsia="Arial" w:cs="Arial"/>
          <w:b/>
          <w:bCs/>
          <w:color w:val="000000" w:themeColor="text1"/>
          <w:sz w:val="20"/>
          <w:szCs w:val="20"/>
        </w:rPr>
        <w:t>P = Planned</w:t>
      </w:r>
    </w:p>
    <w:p w14:paraId="52462D18" w14:textId="77777777" w:rsidR="00716156" w:rsidRPr="009F0FAE" w:rsidRDefault="00716156" w:rsidP="00716156">
      <w:pPr>
        <w:jc w:val="both"/>
        <w:rPr>
          <w:rFonts w:eastAsia="Arial" w:cs="Arial"/>
          <w:b/>
          <w:bCs/>
          <w:color w:val="000000" w:themeColor="text1"/>
          <w:sz w:val="20"/>
          <w:szCs w:val="20"/>
        </w:rPr>
      </w:pPr>
      <w:r w:rsidRPr="009F0FAE">
        <w:rPr>
          <w:rFonts w:eastAsia="Arial" w:cs="Arial"/>
          <w:b/>
          <w:bCs/>
          <w:color w:val="000000" w:themeColor="text1"/>
          <w:sz w:val="20"/>
          <w:szCs w:val="20"/>
        </w:rPr>
        <w:t>A = Achieved</w:t>
      </w:r>
    </w:p>
    <w:p w14:paraId="693CE3E8" w14:textId="77777777" w:rsidR="00716156" w:rsidRPr="009F0FAE" w:rsidRDefault="00716156" w:rsidP="00716156">
      <w:pPr>
        <w:jc w:val="both"/>
        <w:rPr>
          <w:rFonts w:eastAsia="Arial" w:cs="Arial"/>
          <w:b/>
          <w:bCs/>
          <w:color w:val="000000" w:themeColor="text1"/>
          <w:sz w:val="22"/>
          <w:szCs w:val="22"/>
        </w:rPr>
      </w:pPr>
    </w:p>
    <w:p w14:paraId="02EE619F" w14:textId="14F9229E" w:rsidR="00716156" w:rsidRPr="009F0FAE" w:rsidRDefault="00716156" w:rsidP="00716156">
      <w:pPr>
        <w:jc w:val="both"/>
        <w:rPr>
          <w:rFonts w:eastAsia="Arial" w:cs="Arial"/>
          <w:b/>
          <w:bCs/>
          <w:color w:val="000000" w:themeColor="text1"/>
          <w:sz w:val="22"/>
          <w:szCs w:val="22"/>
        </w:rPr>
      </w:pPr>
      <w:r w:rsidRPr="009F0FAE">
        <w:rPr>
          <w:rFonts w:eastAsia="Arial" w:cs="Arial"/>
          <w:b/>
          <w:bCs/>
          <w:color w:val="000000" w:themeColor="text1"/>
          <w:sz w:val="22"/>
          <w:szCs w:val="22"/>
        </w:rPr>
        <w:t>Output indicator 3.1 scoring</w:t>
      </w:r>
    </w:p>
    <w:tbl>
      <w:tblPr>
        <w:tblStyle w:val="TableGrid"/>
        <w:tblW w:w="0" w:type="auto"/>
        <w:tblLook w:val="04A0" w:firstRow="1" w:lastRow="0" w:firstColumn="1" w:lastColumn="0" w:noHBand="0" w:noVBand="1"/>
      </w:tblPr>
      <w:tblGrid>
        <w:gridCol w:w="1803"/>
        <w:gridCol w:w="1803"/>
        <w:gridCol w:w="1803"/>
        <w:gridCol w:w="1803"/>
        <w:gridCol w:w="1804"/>
      </w:tblGrid>
      <w:tr w:rsidR="00716156" w:rsidRPr="009F0FAE" w14:paraId="61325BE6" w14:textId="77777777" w:rsidTr="009F0FAE">
        <w:tc>
          <w:tcPr>
            <w:tcW w:w="1803" w:type="dxa"/>
            <w:shd w:val="clear" w:color="auto" w:fill="DEEAF6" w:themeFill="accent5" w:themeFillTint="33"/>
          </w:tcPr>
          <w:p w14:paraId="0E23BF4C" w14:textId="77777777" w:rsidR="00716156" w:rsidRPr="009F0FAE" w:rsidRDefault="00716156" w:rsidP="00F020F4">
            <w:pPr>
              <w:jc w:val="both"/>
              <w:rPr>
                <w:rFonts w:eastAsia="Arial" w:cs="Arial"/>
                <w:b/>
                <w:bCs/>
                <w:color w:val="000000" w:themeColor="text1"/>
                <w:sz w:val="22"/>
                <w:szCs w:val="22"/>
              </w:rPr>
            </w:pPr>
            <w:r w:rsidRPr="009F0FAE">
              <w:rPr>
                <w:rFonts w:eastAsia="Arial" w:cs="Arial"/>
                <w:b/>
                <w:bCs/>
                <w:color w:val="000000" w:themeColor="text1"/>
                <w:sz w:val="22"/>
                <w:szCs w:val="22"/>
              </w:rPr>
              <w:t>Programme</w:t>
            </w:r>
          </w:p>
        </w:tc>
        <w:tc>
          <w:tcPr>
            <w:tcW w:w="1803" w:type="dxa"/>
            <w:shd w:val="clear" w:color="auto" w:fill="DEEAF6" w:themeFill="accent5" w:themeFillTint="33"/>
          </w:tcPr>
          <w:p w14:paraId="0C6E7260" w14:textId="77777777" w:rsidR="00716156" w:rsidRPr="009F0FAE" w:rsidRDefault="00716156" w:rsidP="00F020F4">
            <w:pPr>
              <w:jc w:val="both"/>
              <w:rPr>
                <w:rFonts w:eastAsia="Arial" w:cs="Arial"/>
                <w:b/>
                <w:bCs/>
                <w:color w:val="000000" w:themeColor="text1"/>
                <w:sz w:val="22"/>
                <w:szCs w:val="22"/>
              </w:rPr>
            </w:pPr>
            <w:r w:rsidRPr="009F0FAE">
              <w:rPr>
                <w:rFonts w:eastAsia="Arial" w:cs="Arial"/>
                <w:b/>
                <w:bCs/>
                <w:color w:val="000000" w:themeColor="text1"/>
                <w:sz w:val="22"/>
                <w:szCs w:val="22"/>
              </w:rPr>
              <w:t>First IP approved</w:t>
            </w:r>
          </w:p>
        </w:tc>
        <w:tc>
          <w:tcPr>
            <w:tcW w:w="1803" w:type="dxa"/>
            <w:shd w:val="clear" w:color="auto" w:fill="DEEAF6" w:themeFill="accent5" w:themeFillTint="33"/>
          </w:tcPr>
          <w:p w14:paraId="042673FE" w14:textId="77777777" w:rsidR="00716156" w:rsidRPr="009F0FAE" w:rsidRDefault="00716156" w:rsidP="00F020F4">
            <w:pPr>
              <w:jc w:val="both"/>
              <w:rPr>
                <w:rFonts w:eastAsia="Arial" w:cs="Arial"/>
                <w:b/>
                <w:bCs/>
                <w:color w:val="000000" w:themeColor="text1"/>
                <w:sz w:val="22"/>
                <w:szCs w:val="22"/>
              </w:rPr>
            </w:pPr>
            <w:r w:rsidRPr="009F0FAE">
              <w:rPr>
                <w:rFonts w:eastAsia="Arial" w:cs="Arial"/>
                <w:b/>
                <w:bCs/>
                <w:color w:val="000000" w:themeColor="text1"/>
                <w:sz w:val="22"/>
                <w:szCs w:val="22"/>
              </w:rPr>
              <w:t>First project approved by TFC</w:t>
            </w:r>
          </w:p>
        </w:tc>
        <w:tc>
          <w:tcPr>
            <w:tcW w:w="1803" w:type="dxa"/>
            <w:shd w:val="clear" w:color="auto" w:fill="DEEAF6" w:themeFill="accent5" w:themeFillTint="33"/>
          </w:tcPr>
          <w:p w14:paraId="523C83B5" w14:textId="77777777" w:rsidR="00716156" w:rsidRPr="009F0FAE" w:rsidRDefault="00716156" w:rsidP="00F020F4">
            <w:pPr>
              <w:jc w:val="both"/>
              <w:rPr>
                <w:rFonts w:eastAsia="Arial" w:cs="Arial"/>
                <w:b/>
                <w:bCs/>
                <w:color w:val="000000" w:themeColor="text1"/>
                <w:sz w:val="22"/>
                <w:szCs w:val="22"/>
              </w:rPr>
            </w:pPr>
            <w:r w:rsidRPr="009F0FAE">
              <w:rPr>
                <w:rFonts w:eastAsia="Arial" w:cs="Arial"/>
                <w:b/>
                <w:bCs/>
                <w:color w:val="000000" w:themeColor="text1"/>
                <w:sz w:val="22"/>
                <w:szCs w:val="22"/>
              </w:rPr>
              <w:t>First project approved by MDB</w:t>
            </w:r>
          </w:p>
        </w:tc>
        <w:tc>
          <w:tcPr>
            <w:tcW w:w="1804" w:type="dxa"/>
            <w:shd w:val="clear" w:color="auto" w:fill="DEEAF6" w:themeFill="accent5" w:themeFillTint="33"/>
          </w:tcPr>
          <w:p w14:paraId="76958593" w14:textId="77777777" w:rsidR="00716156" w:rsidRPr="009F0FAE" w:rsidRDefault="00716156" w:rsidP="00F020F4">
            <w:pPr>
              <w:jc w:val="both"/>
              <w:rPr>
                <w:rFonts w:eastAsia="Arial" w:cs="Arial"/>
                <w:b/>
                <w:bCs/>
                <w:color w:val="000000" w:themeColor="text1"/>
                <w:sz w:val="22"/>
                <w:szCs w:val="22"/>
              </w:rPr>
            </w:pPr>
            <w:r w:rsidRPr="009F0FAE">
              <w:rPr>
                <w:rFonts w:eastAsia="Arial" w:cs="Arial"/>
                <w:b/>
                <w:bCs/>
                <w:color w:val="000000" w:themeColor="text1"/>
                <w:sz w:val="22"/>
                <w:szCs w:val="22"/>
              </w:rPr>
              <w:t>Overall</w:t>
            </w:r>
          </w:p>
        </w:tc>
      </w:tr>
      <w:tr w:rsidR="00716156" w:rsidRPr="009F0FAE" w14:paraId="0E39E917" w14:textId="77777777" w:rsidTr="00F020F4">
        <w:tc>
          <w:tcPr>
            <w:tcW w:w="1803" w:type="dxa"/>
          </w:tcPr>
          <w:p w14:paraId="63FC7E5D" w14:textId="77777777" w:rsidR="00716156" w:rsidRPr="009F0FAE" w:rsidRDefault="00716156" w:rsidP="00F020F4">
            <w:pPr>
              <w:jc w:val="both"/>
              <w:rPr>
                <w:rFonts w:eastAsia="Arial" w:cs="Arial"/>
                <w:color w:val="000000" w:themeColor="text1"/>
                <w:sz w:val="22"/>
                <w:szCs w:val="22"/>
              </w:rPr>
            </w:pPr>
            <w:r w:rsidRPr="009F0FAE">
              <w:rPr>
                <w:rFonts w:eastAsia="Arial" w:cs="Arial"/>
                <w:color w:val="000000" w:themeColor="text1"/>
                <w:sz w:val="22"/>
                <w:szCs w:val="22"/>
              </w:rPr>
              <w:t>REI</w:t>
            </w:r>
          </w:p>
        </w:tc>
        <w:tc>
          <w:tcPr>
            <w:tcW w:w="1803" w:type="dxa"/>
          </w:tcPr>
          <w:p w14:paraId="6888A0A1" w14:textId="77777777" w:rsidR="00716156" w:rsidRPr="009F0FAE" w:rsidRDefault="00716156" w:rsidP="00F020F4">
            <w:pPr>
              <w:jc w:val="both"/>
              <w:rPr>
                <w:rFonts w:eastAsia="Arial" w:cs="Arial"/>
                <w:color w:val="000000" w:themeColor="text1"/>
                <w:sz w:val="22"/>
                <w:szCs w:val="22"/>
              </w:rPr>
            </w:pPr>
            <w:r w:rsidRPr="009F0FAE">
              <w:rPr>
                <w:rFonts w:eastAsia="Arial" w:cs="Arial"/>
                <w:color w:val="000000" w:themeColor="text1"/>
                <w:sz w:val="22"/>
                <w:szCs w:val="22"/>
              </w:rPr>
              <w:t>A++</w:t>
            </w:r>
          </w:p>
        </w:tc>
        <w:tc>
          <w:tcPr>
            <w:tcW w:w="1803" w:type="dxa"/>
          </w:tcPr>
          <w:p w14:paraId="5C874170" w14:textId="77777777" w:rsidR="00716156" w:rsidRPr="009F0FAE" w:rsidRDefault="00716156" w:rsidP="00F020F4">
            <w:pPr>
              <w:jc w:val="both"/>
              <w:rPr>
                <w:rFonts w:eastAsia="Arial" w:cs="Arial"/>
                <w:color w:val="000000" w:themeColor="text1"/>
                <w:sz w:val="22"/>
                <w:szCs w:val="22"/>
              </w:rPr>
            </w:pPr>
            <w:r w:rsidRPr="009F0FAE">
              <w:rPr>
                <w:rFonts w:eastAsia="Arial" w:cs="Arial"/>
                <w:color w:val="000000" w:themeColor="text1"/>
                <w:sz w:val="22"/>
                <w:szCs w:val="22"/>
              </w:rPr>
              <w:t>A++</w:t>
            </w:r>
          </w:p>
        </w:tc>
        <w:tc>
          <w:tcPr>
            <w:tcW w:w="1803" w:type="dxa"/>
          </w:tcPr>
          <w:p w14:paraId="4BE656AE" w14:textId="77777777" w:rsidR="00716156" w:rsidRPr="009F0FAE" w:rsidRDefault="00716156" w:rsidP="00F020F4">
            <w:pPr>
              <w:jc w:val="both"/>
              <w:rPr>
                <w:rFonts w:eastAsia="Arial" w:cs="Arial"/>
                <w:color w:val="000000" w:themeColor="text1"/>
                <w:sz w:val="22"/>
                <w:szCs w:val="22"/>
              </w:rPr>
            </w:pPr>
            <w:r w:rsidRPr="009F0FAE">
              <w:rPr>
                <w:rFonts w:eastAsia="Arial" w:cs="Arial"/>
                <w:color w:val="000000" w:themeColor="text1"/>
                <w:sz w:val="22"/>
                <w:szCs w:val="22"/>
              </w:rPr>
              <w:t>A++</w:t>
            </w:r>
          </w:p>
        </w:tc>
        <w:tc>
          <w:tcPr>
            <w:tcW w:w="1804" w:type="dxa"/>
          </w:tcPr>
          <w:p w14:paraId="5E9827C0" w14:textId="77777777" w:rsidR="00716156" w:rsidRPr="009F0FAE" w:rsidRDefault="00716156" w:rsidP="00F020F4">
            <w:pPr>
              <w:jc w:val="both"/>
              <w:rPr>
                <w:rFonts w:eastAsia="Arial" w:cs="Arial"/>
                <w:color w:val="000000" w:themeColor="text1"/>
                <w:sz w:val="22"/>
                <w:szCs w:val="22"/>
              </w:rPr>
            </w:pPr>
            <w:r w:rsidRPr="009F0FAE">
              <w:rPr>
                <w:rFonts w:eastAsia="Arial" w:cs="Arial"/>
                <w:color w:val="000000" w:themeColor="text1"/>
                <w:sz w:val="22"/>
                <w:szCs w:val="22"/>
              </w:rPr>
              <w:t>A++</w:t>
            </w:r>
          </w:p>
        </w:tc>
      </w:tr>
      <w:tr w:rsidR="00716156" w:rsidRPr="009F0FAE" w14:paraId="4682FFDB" w14:textId="77777777" w:rsidTr="00F020F4">
        <w:tc>
          <w:tcPr>
            <w:tcW w:w="1803" w:type="dxa"/>
          </w:tcPr>
          <w:p w14:paraId="5EAFBFE4" w14:textId="77777777" w:rsidR="00716156" w:rsidRPr="009F0FAE" w:rsidRDefault="00716156" w:rsidP="00F020F4">
            <w:pPr>
              <w:jc w:val="both"/>
              <w:rPr>
                <w:rFonts w:eastAsia="Arial" w:cs="Arial"/>
                <w:color w:val="000000" w:themeColor="text1"/>
                <w:sz w:val="22"/>
                <w:szCs w:val="22"/>
              </w:rPr>
            </w:pPr>
            <w:r w:rsidRPr="009F0FAE">
              <w:rPr>
                <w:rFonts w:eastAsia="Arial" w:cs="Arial"/>
                <w:color w:val="000000" w:themeColor="text1"/>
                <w:sz w:val="22"/>
                <w:szCs w:val="22"/>
              </w:rPr>
              <w:t>ACT</w:t>
            </w:r>
          </w:p>
        </w:tc>
        <w:tc>
          <w:tcPr>
            <w:tcW w:w="1803" w:type="dxa"/>
          </w:tcPr>
          <w:p w14:paraId="176171EF" w14:textId="77777777" w:rsidR="00716156" w:rsidRPr="009F0FAE" w:rsidRDefault="00716156" w:rsidP="00F020F4">
            <w:pPr>
              <w:jc w:val="both"/>
              <w:rPr>
                <w:rFonts w:eastAsia="Arial" w:cs="Arial"/>
                <w:color w:val="000000" w:themeColor="text1"/>
                <w:sz w:val="22"/>
                <w:szCs w:val="22"/>
              </w:rPr>
            </w:pPr>
            <w:r w:rsidRPr="009F0FAE">
              <w:rPr>
                <w:rFonts w:eastAsia="Arial" w:cs="Arial"/>
                <w:color w:val="000000" w:themeColor="text1"/>
                <w:sz w:val="22"/>
                <w:szCs w:val="22"/>
              </w:rPr>
              <w:t>A+</w:t>
            </w:r>
          </w:p>
        </w:tc>
        <w:tc>
          <w:tcPr>
            <w:tcW w:w="1803" w:type="dxa"/>
          </w:tcPr>
          <w:p w14:paraId="105CAB14" w14:textId="77777777" w:rsidR="00716156" w:rsidRPr="009F0FAE" w:rsidRDefault="00716156" w:rsidP="00F020F4">
            <w:pPr>
              <w:jc w:val="both"/>
              <w:rPr>
                <w:rFonts w:eastAsia="Arial" w:cs="Arial"/>
                <w:color w:val="000000" w:themeColor="text1"/>
                <w:sz w:val="22"/>
                <w:szCs w:val="22"/>
              </w:rPr>
            </w:pPr>
            <w:r w:rsidRPr="009F0FAE">
              <w:rPr>
                <w:rFonts w:eastAsia="Arial" w:cs="Arial"/>
                <w:color w:val="000000" w:themeColor="text1"/>
                <w:sz w:val="22"/>
                <w:szCs w:val="22"/>
              </w:rPr>
              <w:t>A++</w:t>
            </w:r>
          </w:p>
        </w:tc>
        <w:tc>
          <w:tcPr>
            <w:tcW w:w="1803" w:type="dxa"/>
          </w:tcPr>
          <w:p w14:paraId="4E1BDC28" w14:textId="77777777" w:rsidR="00716156" w:rsidRPr="009F0FAE" w:rsidRDefault="00716156" w:rsidP="00F020F4">
            <w:pPr>
              <w:jc w:val="both"/>
              <w:rPr>
                <w:rFonts w:eastAsia="Arial" w:cs="Arial"/>
                <w:color w:val="000000" w:themeColor="text1"/>
                <w:sz w:val="22"/>
                <w:szCs w:val="22"/>
              </w:rPr>
            </w:pPr>
            <w:r w:rsidRPr="009F0FAE">
              <w:rPr>
                <w:rFonts w:eastAsia="Arial" w:cs="Arial"/>
                <w:color w:val="000000" w:themeColor="text1"/>
                <w:sz w:val="22"/>
                <w:szCs w:val="22"/>
              </w:rPr>
              <w:t>A+</w:t>
            </w:r>
          </w:p>
        </w:tc>
        <w:tc>
          <w:tcPr>
            <w:tcW w:w="1804" w:type="dxa"/>
          </w:tcPr>
          <w:p w14:paraId="1DD9C5B9" w14:textId="77777777" w:rsidR="00716156" w:rsidRPr="009F0FAE" w:rsidRDefault="00716156" w:rsidP="00F020F4">
            <w:pPr>
              <w:jc w:val="both"/>
              <w:rPr>
                <w:rFonts w:eastAsia="Arial" w:cs="Arial"/>
                <w:color w:val="000000" w:themeColor="text1"/>
                <w:sz w:val="22"/>
                <w:szCs w:val="22"/>
              </w:rPr>
            </w:pPr>
            <w:r w:rsidRPr="009F0FAE">
              <w:rPr>
                <w:rFonts w:eastAsia="Arial" w:cs="Arial"/>
                <w:color w:val="000000" w:themeColor="text1"/>
                <w:sz w:val="22"/>
                <w:szCs w:val="22"/>
              </w:rPr>
              <w:t>A+</w:t>
            </w:r>
          </w:p>
        </w:tc>
      </w:tr>
      <w:tr w:rsidR="00716156" w:rsidRPr="009F0FAE" w14:paraId="2E00C2D1" w14:textId="77777777" w:rsidTr="00F020F4">
        <w:tc>
          <w:tcPr>
            <w:tcW w:w="1803" w:type="dxa"/>
          </w:tcPr>
          <w:p w14:paraId="2A9E507F" w14:textId="77777777" w:rsidR="00716156" w:rsidRPr="009F0FAE" w:rsidRDefault="00716156" w:rsidP="00F020F4">
            <w:pPr>
              <w:jc w:val="both"/>
              <w:rPr>
                <w:rFonts w:eastAsia="Arial" w:cs="Arial"/>
                <w:color w:val="000000" w:themeColor="text1"/>
                <w:sz w:val="22"/>
                <w:szCs w:val="22"/>
              </w:rPr>
            </w:pPr>
            <w:r w:rsidRPr="009F0FAE">
              <w:rPr>
                <w:rFonts w:eastAsia="Arial" w:cs="Arial"/>
                <w:color w:val="000000" w:themeColor="text1"/>
                <w:sz w:val="22"/>
                <w:szCs w:val="22"/>
              </w:rPr>
              <w:t>NPC</w:t>
            </w:r>
          </w:p>
        </w:tc>
        <w:tc>
          <w:tcPr>
            <w:tcW w:w="1803" w:type="dxa"/>
          </w:tcPr>
          <w:p w14:paraId="1682ED1C" w14:textId="77777777" w:rsidR="00716156" w:rsidRPr="009F0FAE" w:rsidRDefault="00716156" w:rsidP="00F020F4">
            <w:pPr>
              <w:jc w:val="both"/>
              <w:rPr>
                <w:rFonts w:eastAsia="Arial" w:cs="Arial"/>
                <w:color w:val="000000" w:themeColor="text1"/>
                <w:sz w:val="22"/>
                <w:szCs w:val="22"/>
              </w:rPr>
            </w:pPr>
            <w:r w:rsidRPr="009F0FAE">
              <w:rPr>
                <w:rFonts w:eastAsia="Arial" w:cs="Arial"/>
                <w:color w:val="000000" w:themeColor="text1"/>
                <w:sz w:val="22"/>
                <w:szCs w:val="22"/>
              </w:rPr>
              <w:t>B</w:t>
            </w:r>
          </w:p>
        </w:tc>
        <w:tc>
          <w:tcPr>
            <w:tcW w:w="1803" w:type="dxa"/>
          </w:tcPr>
          <w:p w14:paraId="37CEFDE6" w14:textId="77777777" w:rsidR="00716156" w:rsidRPr="009F0FAE" w:rsidRDefault="00716156" w:rsidP="00F020F4">
            <w:pPr>
              <w:jc w:val="both"/>
              <w:rPr>
                <w:rFonts w:eastAsia="Arial" w:cs="Arial"/>
                <w:color w:val="000000" w:themeColor="text1"/>
                <w:sz w:val="22"/>
                <w:szCs w:val="22"/>
              </w:rPr>
            </w:pPr>
            <w:r w:rsidRPr="009F0FAE">
              <w:rPr>
                <w:rFonts w:eastAsia="Arial" w:cs="Arial"/>
                <w:color w:val="000000" w:themeColor="text1"/>
                <w:sz w:val="22"/>
                <w:szCs w:val="22"/>
              </w:rPr>
              <w:t>A+</w:t>
            </w:r>
          </w:p>
        </w:tc>
        <w:tc>
          <w:tcPr>
            <w:tcW w:w="1803" w:type="dxa"/>
          </w:tcPr>
          <w:p w14:paraId="1AEF3946" w14:textId="77777777" w:rsidR="00716156" w:rsidRPr="009F0FAE" w:rsidRDefault="00716156" w:rsidP="00F020F4">
            <w:pPr>
              <w:jc w:val="both"/>
              <w:rPr>
                <w:rFonts w:eastAsia="Arial" w:cs="Arial"/>
                <w:color w:val="000000" w:themeColor="text1"/>
                <w:sz w:val="22"/>
                <w:szCs w:val="22"/>
              </w:rPr>
            </w:pPr>
            <w:r w:rsidRPr="009F0FAE">
              <w:rPr>
                <w:rFonts w:eastAsia="Arial" w:cs="Arial"/>
                <w:color w:val="000000" w:themeColor="text1"/>
                <w:sz w:val="22"/>
                <w:szCs w:val="22"/>
              </w:rPr>
              <w:t>A++</w:t>
            </w:r>
          </w:p>
        </w:tc>
        <w:tc>
          <w:tcPr>
            <w:tcW w:w="1804" w:type="dxa"/>
          </w:tcPr>
          <w:p w14:paraId="6674E84D" w14:textId="77777777" w:rsidR="00716156" w:rsidRPr="009F0FAE" w:rsidRDefault="00716156" w:rsidP="00F020F4">
            <w:pPr>
              <w:jc w:val="both"/>
              <w:rPr>
                <w:rFonts w:eastAsia="Arial" w:cs="Arial"/>
                <w:color w:val="000000" w:themeColor="text1"/>
                <w:sz w:val="22"/>
                <w:szCs w:val="22"/>
              </w:rPr>
            </w:pPr>
            <w:r w:rsidRPr="009F0FAE">
              <w:rPr>
                <w:rFonts w:eastAsia="Arial" w:cs="Arial"/>
                <w:color w:val="000000" w:themeColor="text1"/>
                <w:sz w:val="22"/>
                <w:szCs w:val="22"/>
              </w:rPr>
              <w:t>A+</w:t>
            </w:r>
          </w:p>
        </w:tc>
      </w:tr>
    </w:tbl>
    <w:p w14:paraId="71D4FF9E" w14:textId="77777777" w:rsidR="00716156" w:rsidRPr="009F0FAE" w:rsidRDefault="00716156" w:rsidP="00716156">
      <w:pPr>
        <w:jc w:val="both"/>
        <w:rPr>
          <w:rFonts w:eastAsia="Arial" w:cs="Arial"/>
          <w:color w:val="000000" w:themeColor="text1"/>
          <w:sz w:val="22"/>
          <w:szCs w:val="22"/>
        </w:rPr>
      </w:pPr>
    </w:p>
    <w:p w14:paraId="48E389DE" w14:textId="436C125F" w:rsidR="00716156" w:rsidRPr="009F0FAE" w:rsidRDefault="00716156" w:rsidP="00716156">
      <w:pPr>
        <w:spacing w:line="276" w:lineRule="auto"/>
        <w:jc w:val="both"/>
        <w:rPr>
          <w:rFonts w:eastAsia="Arial" w:cs="Arial"/>
          <w:color w:val="000000" w:themeColor="text1"/>
          <w:sz w:val="22"/>
          <w:szCs w:val="22"/>
        </w:rPr>
      </w:pPr>
      <w:r w:rsidRPr="009F0FAE">
        <w:rPr>
          <w:rFonts w:cs="Arial"/>
          <w:b/>
          <w:bCs/>
          <w:i/>
          <w:iCs/>
          <w:sz w:val="22"/>
          <w:szCs w:val="22"/>
        </w:rPr>
        <w:t>Output summary and supporting narrative for the score</w:t>
      </w:r>
    </w:p>
    <w:p w14:paraId="5C2CE0B7" w14:textId="7294C0B3" w:rsidR="00716156" w:rsidRPr="009F0FAE" w:rsidRDefault="00716156" w:rsidP="00716156">
      <w:pPr>
        <w:spacing w:line="276" w:lineRule="auto"/>
        <w:jc w:val="both"/>
        <w:rPr>
          <w:rFonts w:eastAsia="Arial" w:cs="Arial"/>
          <w:color w:val="000000" w:themeColor="text1"/>
          <w:sz w:val="22"/>
          <w:szCs w:val="22"/>
        </w:rPr>
      </w:pPr>
      <w:r w:rsidRPr="009F0FAE">
        <w:rPr>
          <w:rFonts w:eastAsia="Arial" w:cs="Arial"/>
          <w:color w:val="000000" w:themeColor="text1"/>
          <w:sz w:val="22"/>
          <w:szCs w:val="22"/>
        </w:rPr>
        <w:t>Based on the available data, the programmes in more advanced stages (REI, ACT, NPC) are performing well against agreed benchmarks, with the average time from IP approval to the approval of the first project beating the target set. Overall, this output indicator suggests that the new programmes are making good progress in the early phases of implementation. We will continue to monitor, refine and update this Output as new data become available.</w:t>
      </w:r>
    </w:p>
    <w:p w14:paraId="40B5A8DE" w14:textId="77777777" w:rsidR="00716156" w:rsidRPr="009F0FAE" w:rsidRDefault="00716156" w:rsidP="00716156">
      <w:pPr>
        <w:spacing w:line="276" w:lineRule="auto"/>
        <w:jc w:val="both"/>
        <w:rPr>
          <w:rFonts w:eastAsia="Arial" w:cs="Arial"/>
          <w:color w:val="000000" w:themeColor="text1"/>
          <w:sz w:val="22"/>
          <w:szCs w:val="22"/>
        </w:rPr>
      </w:pPr>
    </w:p>
    <w:p w14:paraId="141C2511" w14:textId="6F79B4E5" w:rsidR="00716156" w:rsidRPr="009F0FAE" w:rsidRDefault="00716156" w:rsidP="00716156">
      <w:pPr>
        <w:spacing w:line="276" w:lineRule="auto"/>
        <w:jc w:val="both"/>
        <w:rPr>
          <w:rFonts w:eastAsia="Arial" w:cs="Arial"/>
          <w:color w:val="000000" w:themeColor="text1"/>
          <w:sz w:val="22"/>
          <w:szCs w:val="22"/>
        </w:rPr>
      </w:pPr>
      <w:r w:rsidRPr="009F0FAE">
        <w:rPr>
          <w:rFonts w:eastAsia="Arial" w:cs="Arial"/>
          <w:color w:val="000000" w:themeColor="text1"/>
          <w:sz w:val="22"/>
          <w:szCs w:val="22"/>
        </w:rPr>
        <w:t>The REI, ACT and NPC programmes are performing well against output indicator 3.2</w:t>
      </w:r>
      <w:r w:rsidR="00E262BE">
        <w:rPr>
          <w:rFonts w:eastAsia="Arial" w:cs="Arial"/>
          <w:color w:val="000000" w:themeColor="text1"/>
          <w:sz w:val="22"/>
          <w:szCs w:val="22"/>
        </w:rPr>
        <w:t xml:space="preserve"> overall</w:t>
      </w:r>
      <w:r w:rsidR="00B4793A">
        <w:rPr>
          <w:rFonts w:eastAsia="Arial" w:cs="Arial"/>
          <w:color w:val="000000" w:themeColor="text1"/>
          <w:sz w:val="22"/>
          <w:szCs w:val="22"/>
        </w:rPr>
        <w:t>,</w:t>
      </w:r>
      <w:r w:rsidR="000C0B0A">
        <w:rPr>
          <w:rFonts w:eastAsia="Arial" w:cs="Arial"/>
          <w:color w:val="000000" w:themeColor="text1"/>
          <w:sz w:val="22"/>
          <w:szCs w:val="22"/>
        </w:rPr>
        <w:t xml:space="preserve"> </w:t>
      </w:r>
      <w:r w:rsidR="00536C66">
        <w:rPr>
          <w:rFonts w:eastAsia="Arial" w:cs="Arial"/>
          <w:color w:val="000000" w:themeColor="text1"/>
          <w:sz w:val="22"/>
          <w:szCs w:val="22"/>
        </w:rPr>
        <w:t>which track</w:t>
      </w:r>
      <w:r w:rsidR="00B4793A">
        <w:rPr>
          <w:rFonts w:eastAsia="Arial" w:cs="Arial"/>
          <w:color w:val="000000" w:themeColor="text1"/>
          <w:sz w:val="22"/>
          <w:szCs w:val="22"/>
        </w:rPr>
        <w:t>s</w:t>
      </w:r>
      <w:r w:rsidR="00536C66">
        <w:rPr>
          <w:rFonts w:eastAsia="Arial" w:cs="Arial"/>
          <w:color w:val="000000" w:themeColor="text1"/>
          <w:sz w:val="22"/>
          <w:szCs w:val="22"/>
        </w:rPr>
        <w:t xml:space="preserve"> key approval and reporting timeframes</w:t>
      </w:r>
      <w:r w:rsidR="00AF6680">
        <w:rPr>
          <w:rFonts w:eastAsia="Arial" w:cs="Arial"/>
          <w:color w:val="000000" w:themeColor="text1"/>
          <w:sz w:val="22"/>
          <w:szCs w:val="22"/>
        </w:rPr>
        <w:t xml:space="preserve"> </w:t>
      </w:r>
      <w:r w:rsidR="00B4793A">
        <w:rPr>
          <w:rFonts w:eastAsia="Arial" w:cs="Arial"/>
          <w:color w:val="000000" w:themeColor="text1"/>
          <w:sz w:val="22"/>
          <w:szCs w:val="22"/>
        </w:rPr>
        <w:t>for each programme</w:t>
      </w:r>
      <w:r w:rsidR="0081676E">
        <w:rPr>
          <w:rFonts w:eastAsia="Arial" w:cs="Arial"/>
          <w:color w:val="000000" w:themeColor="text1"/>
          <w:sz w:val="22"/>
          <w:szCs w:val="22"/>
        </w:rPr>
        <w:t>.</w:t>
      </w:r>
      <w:r w:rsidR="00B4793A">
        <w:rPr>
          <w:rFonts w:eastAsia="Arial" w:cs="Arial"/>
          <w:color w:val="000000" w:themeColor="text1"/>
          <w:sz w:val="22"/>
          <w:szCs w:val="22"/>
        </w:rPr>
        <w:t xml:space="preserve"> </w:t>
      </w:r>
      <w:r w:rsidR="0081676E">
        <w:rPr>
          <w:rFonts w:eastAsia="Arial" w:cs="Arial"/>
          <w:color w:val="000000" w:themeColor="text1"/>
          <w:sz w:val="22"/>
          <w:szCs w:val="22"/>
        </w:rPr>
        <w:t>T</w:t>
      </w:r>
      <w:r w:rsidR="00B4793A">
        <w:rPr>
          <w:rFonts w:eastAsia="Arial" w:cs="Arial"/>
          <w:color w:val="000000" w:themeColor="text1"/>
          <w:sz w:val="22"/>
          <w:szCs w:val="22"/>
        </w:rPr>
        <w:t>he indicator is for monitoring purposes only.</w:t>
      </w:r>
      <w:r w:rsidRPr="009F0FAE">
        <w:rPr>
          <w:rFonts w:eastAsia="Arial" w:cs="Arial"/>
          <w:color w:val="000000" w:themeColor="text1"/>
          <w:sz w:val="22"/>
          <w:szCs w:val="22"/>
        </w:rPr>
        <w:t xml:space="preserve"> </w:t>
      </w:r>
      <w:r w:rsidR="00B4793A">
        <w:rPr>
          <w:rFonts w:eastAsia="Arial" w:cs="Arial"/>
          <w:color w:val="000000" w:themeColor="text1"/>
          <w:sz w:val="22"/>
          <w:szCs w:val="22"/>
        </w:rPr>
        <w:t>T</w:t>
      </w:r>
      <w:r w:rsidRPr="009F0FAE">
        <w:rPr>
          <w:rFonts w:eastAsia="Arial" w:cs="Arial"/>
          <w:color w:val="000000" w:themeColor="text1"/>
          <w:sz w:val="22"/>
          <w:szCs w:val="22"/>
        </w:rPr>
        <w:t>he average time between the approval of a country’s investment plan and the approval of the first project under that investment plan by the TFC beating target timeframes by 1-2 months. For future Annual Reviews, this indicator will be included in a tabular format</w:t>
      </w:r>
      <w:r w:rsidR="001A4D64">
        <w:rPr>
          <w:rFonts w:eastAsia="Arial" w:cs="Arial"/>
          <w:color w:val="000000" w:themeColor="text1"/>
          <w:sz w:val="22"/>
          <w:szCs w:val="22"/>
        </w:rPr>
        <w:t>.</w:t>
      </w:r>
    </w:p>
    <w:p w14:paraId="16C6BD8B" w14:textId="77777777" w:rsidR="00716156" w:rsidRPr="009F0FAE" w:rsidRDefault="00716156" w:rsidP="00716156">
      <w:pPr>
        <w:spacing w:line="276" w:lineRule="auto"/>
        <w:jc w:val="both"/>
        <w:rPr>
          <w:rFonts w:eastAsia="Arial" w:cs="Arial"/>
          <w:color w:val="000000" w:themeColor="text1"/>
          <w:sz w:val="22"/>
          <w:szCs w:val="22"/>
        </w:rPr>
      </w:pPr>
    </w:p>
    <w:p w14:paraId="61623218" w14:textId="77777777" w:rsidR="00716156" w:rsidRPr="009F0FAE" w:rsidRDefault="00716156" w:rsidP="00716156">
      <w:pPr>
        <w:spacing w:line="276" w:lineRule="auto"/>
        <w:jc w:val="both"/>
        <w:rPr>
          <w:rFonts w:eastAsia="Arial" w:cs="Arial"/>
          <w:color w:val="000000" w:themeColor="text1"/>
          <w:sz w:val="22"/>
          <w:szCs w:val="22"/>
        </w:rPr>
      </w:pPr>
      <w:r w:rsidRPr="009F0FAE">
        <w:rPr>
          <w:rFonts w:eastAsia="Arial" w:cs="Arial"/>
          <w:color w:val="000000" w:themeColor="text1"/>
          <w:sz w:val="22"/>
          <w:szCs w:val="22"/>
        </w:rPr>
        <w:t>While not captured in this output, the new programmes continue to experience very strong demand from countries. For example, the REI programme initially received 54 expressions of interests from 60 countries, with 10 countries invited to develop investment plans.</w:t>
      </w:r>
    </w:p>
    <w:p w14:paraId="0F28B031" w14:textId="77777777" w:rsidR="00716156" w:rsidRPr="009F0FAE" w:rsidRDefault="00716156" w:rsidP="00716156">
      <w:pPr>
        <w:spacing w:line="276" w:lineRule="auto"/>
        <w:jc w:val="both"/>
        <w:rPr>
          <w:rFonts w:eastAsia="Arial" w:cs="Arial"/>
          <w:color w:val="000000" w:themeColor="text1"/>
          <w:sz w:val="22"/>
          <w:szCs w:val="22"/>
        </w:rPr>
      </w:pPr>
    </w:p>
    <w:p w14:paraId="2E0E6B82" w14:textId="2BEACE49" w:rsidR="00716156" w:rsidRPr="009F0FAE" w:rsidRDefault="00716156" w:rsidP="00716156">
      <w:pPr>
        <w:spacing w:line="276" w:lineRule="auto"/>
        <w:jc w:val="both"/>
        <w:rPr>
          <w:rFonts w:eastAsia="Arial" w:cs="Arial"/>
          <w:color w:val="000000" w:themeColor="text1"/>
          <w:sz w:val="22"/>
          <w:szCs w:val="22"/>
        </w:rPr>
      </w:pPr>
      <w:r w:rsidRPr="009F0FAE">
        <w:rPr>
          <w:rFonts w:cs="Arial"/>
          <w:b/>
          <w:bCs/>
          <w:i/>
          <w:iCs/>
          <w:sz w:val="22"/>
          <w:szCs w:val="22"/>
        </w:rPr>
        <w:t xml:space="preserve">Changes to this output, and any planned changes </w:t>
      </w:r>
      <w:proofErr w:type="gramStart"/>
      <w:r w:rsidRPr="009F0FAE">
        <w:rPr>
          <w:rFonts w:cs="Arial"/>
          <w:b/>
          <w:bCs/>
          <w:i/>
          <w:iCs/>
          <w:sz w:val="22"/>
          <w:szCs w:val="22"/>
        </w:rPr>
        <w:t>as a result of</w:t>
      </w:r>
      <w:proofErr w:type="gramEnd"/>
      <w:r w:rsidRPr="009F0FAE">
        <w:rPr>
          <w:rFonts w:cs="Arial"/>
          <w:b/>
          <w:bCs/>
          <w:i/>
          <w:iCs/>
          <w:sz w:val="22"/>
          <w:szCs w:val="22"/>
        </w:rPr>
        <w:t xml:space="preserve"> this review</w:t>
      </w:r>
    </w:p>
    <w:p w14:paraId="7A3F1784" w14:textId="5CF23533" w:rsidR="00716156" w:rsidRPr="009F0FAE" w:rsidRDefault="00716156" w:rsidP="00716156">
      <w:pPr>
        <w:spacing w:line="276" w:lineRule="auto"/>
        <w:jc w:val="both"/>
        <w:rPr>
          <w:rFonts w:eastAsia="Arial" w:cs="Arial"/>
          <w:color w:val="000000" w:themeColor="text1"/>
          <w:sz w:val="22"/>
          <w:szCs w:val="22"/>
        </w:rPr>
      </w:pPr>
      <w:r w:rsidRPr="009F0FAE">
        <w:rPr>
          <w:rFonts w:eastAsia="Arial" w:cs="Arial"/>
          <w:color w:val="000000" w:themeColor="text1"/>
          <w:sz w:val="22"/>
          <w:szCs w:val="22"/>
        </w:rPr>
        <w:t xml:space="preserve">This is the first Annual Review reporting against the new DESNZ CIF </w:t>
      </w:r>
      <w:proofErr w:type="spellStart"/>
      <w:r w:rsidRPr="009F0FAE">
        <w:rPr>
          <w:rFonts w:eastAsia="Arial" w:cs="Arial"/>
          <w:color w:val="000000" w:themeColor="text1"/>
          <w:sz w:val="22"/>
          <w:szCs w:val="22"/>
        </w:rPr>
        <w:t>logframe</w:t>
      </w:r>
      <w:proofErr w:type="spellEnd"/>
      <w:r w:rsidRPr="009F0FAE">
        <w:rPr>
          <w:rFonts w:eastAsia="Arial" w:cs="Arial"/>
          <w:color w:val="000000" w:themeColor="text1"/>
          <w:sz w:val="22"/>
          <w:szCs w:val="22"/>
        </w:rPr>
        <w:t>. As such, this establishes a new baseline, with limited scope for comparison with earlier years. We will continue to refine the reporting framework based on feedback and new programme data from the CIF Secretariat.</w:t>
      </w:r>
    </w:p>
    <w:p w14:paraId="6176131E" w14:textId="77777777" w:rsidR="00716156" w:rsidRPr="009F0FAE" w:rsidRDefault="00716156" w:rsidP="00716156">
      <w:pPr>
        <w:spacing w:line="276" w:lineRule="auto"/>
        <w:jc w:val="both"/>
        <w:rPr>
          <w:rFonts w:eastAsia="Arial" w:cs="Arial"/>
          <w:color w:val="000000" w:themeColor="text1"/>
          <w:sz w:val="22"/>
          <w:szCs w:val="22"/>
        </w:rPr>
      </w:pPr>
    </w:p>
    <w:p w14:paraId="67890A8C" w14:textId="1352C4AF" w:rsidR="00716156" w:rsidRPr="009F0FAE" w:rsidRDefault="00716156" w:rsidP="00716156">
      <w:pPr>
        <w:spacing w:line="276" w:lineRule="auto"/>
        <w:jc w:val="both"/>
        <w:rPr>
          <w:rFonts w:eastAsia="Arial" w:cs="Arial"/>
          <w:color w:val="000000" w:themeColor="text1"/>
          <w:sz w:val="22"/>
          <w:szCs w:val="22"/>
        </w:rPr>
      </w:pPr>
      <w:r w:rsidRPr="009F0FAE">
        <w:rPr>
          <w:rFonts w:cs="Arial"/>
          <w:b/>
          <w:bCs/>
          <w:i/>
          <w:iCs/>
          <w:sz w:val="22"/>
          <w:szCs w:val="22"/>
        </w:rPr>
        <w:t>Progress on recommendations from the previous AR, lessons learned this year, and recommendations for the year ahead</w:t>
      </w:r>
    </w:p>
    <w:p w14:paraId="0F6689E2" w14:textId="77777777" w:rsidR="00716156" w:rsidRPr="009F0FAE" w:rsidRDefault="00716156" w:rsidP="00716156">
      <w:pPr>
        <w:rPr>
          <w:rFonts w:eastAsia="Arial" w:cs="Arial"/>
          <w:color w:val="000000" w:themeColor="text1"/>
          <w:sz w:val="22"/>
          <w:szCs w:val="22"/>
        </w:rPr>
      </w:pPr>
      <w:r w:rsidRPr="009F0FAE">
        <w:rPr>
          <w:rFonts w:eastAsia="Arial" w:cs="Arial"/>
          <w:color w:val="000000" w:themeColor="text1"/>
          <w:sz w:val="22"/>
          <w:szCs w:val="22"/>
        </w:rPr>
        <w:t>There were no recommendations relevant to this Output. We will continue to monitor, refine and update this Output as data for the new programmes becomes available.</w:t>
      </w:r>
    </w:p>
    <w:p w14:paraId="2EFE3995" w14:textId="77777777" w:rsidR="004A367B" w:rsidRDefault="004A367B" w:rsidP="004D5FD5">
      <w:pPr>
        <w:jc w:val="both"/>
        <w:rPr>
          <w:rFonts w:cs="Arial"/>
          <w:sz w:val="22"/>
          <w:szCs w:val="22"/>
        </w:rPr>
      </w:pPr>
    </w:p>
    <w:tbl>
      <w:tblPr>
        <w:tblStyle w:val="TableGrid"/>
        <w:tblW w:w="0" w:type="auto"/>
        <w:tblLook w:val="04A0" w:firstRow="1" w:lastRow="0" w:firstColumn="1" w:lastColumn="0" w:noHBand="0" w:noVBand="1"/>
      </w:tblPr>
      <w:tblGrid>
        <w:gridCol w:w="9016"/>
      </w:tblGrid>
      <w:tr w:rsidR="00CB2873" w14:paraId="625A7711" w14:textId="77777777" w:rsidTr="527A8EFF">
        <w:tc>
          <w:tcPr>
            <w:tcW w:w="9016" w:type="dxa"/>
            <w:shd w:val="clear" w:color="auto" w:fill="DEEAF6" w:themeFill="accent5" w:themeFillTint="33"/>
          </w:tcPr>
          <w:p w14:paraId="78474CCE" w14:textId="47D21116" w:rsidR="00CB2873" w:rsidRDefault="2C7057B1" w:rsidP="004D5FD5">
            <w:pPr>
              <w:jc w:val="both"/>
            </w:pPr>
            <w:bookmarkStart w:id="16" w:name="_Toc224897464"/>
            <w:r w:rsidRPr="527A8EFF">
              <w:rPr>
                <w:rStyle w:val="Heading1Char"/>
                <w:rFonts w:ascii="Arial" w:hAnsi="Arial" w:cs="Arial"/>
                <w:b/>
                <w:bCs/>
                <w:color w:val="auto"/>
              </w:rPr>
              <w:t>Section D: Pro</w:t>
            </w:r>
            <w:r w:rsidR="001330CE" w:rsidRPr="527A8EFF">
              <w:rPr>
                <w:rStyle w:val="Heading1Char"/>
                <w:rFonts w:ascii="Arial" w:hAnsi="Arial" w:cs="Arial"/>
                <w:b/>
                <w:bCs/>
                <w:color w:val="auto"/>
              </w:rPr>
              <w:t xml:space="preserve">gramme </w:t>
            </w:r>
            <w:r w:rsidRPr="527A8EFF">
              <w:rPr>
                <w:rStyle w:val="Heading1Char"/>
                <w:rFonts w:ascii="Arial" w:hAnsi="Arial" w:cs="Arial"/>
                <w:b/>
                <w:bCs/>
                <w:color w:val="auto"/>
              </w:rPr>
              <w:t>performance not captured by outputs</w:t>
            </w:r>
            <w:bookmarkEnd w:id="16"/>
          </w:p>
        </w:tc>
      </w:tr>
    </w:tbl>
    <w:p w14:paraId="30ADB024" w14:textId="77777777" w:rsidR="003B4CEA" w:rsidRDefault="003B4CEA" w:rsidP="003B4CEA">
      <w:pPr>
        <w:rPr>
          <w:rFonts w:eastAsia="Arial" w:cs="Arial"/>
          <w:color w:val="000000" w:themeColor="text1"/>
          <w:sz w:val="22"/>
          <w:szCs w:val="22"/>
        </w:rPr>
      </w:pPr>
    </w:p>
    <w:p w14:paraId="4DC50BD5" w14:textId="5A05A6C0" w:rsidR="003D222C" w:rsidRPr="003B4CEA" w:rsidRDefault="001129F7" w:rsidP="004E681B">
      <w:pPr>
        <w:jc w:val="both"/>
        <w:rPr>
          <w:rFonts w:eastAsia="Arial" w:cs="Arial"/>
          <w:color w:val="000000" w:themeColor="text1"/>
          <w:sz w:val="22"/>
          <w:szCs w:val="22"/>
        </w:rPr>
      </w:pPr>
      <w:r w:rsidRPr="00D035CF">
        <w:rPr>
          <w:rFonts w:eastAsia="Arial" w:cs="Arial"/>
          <w:color w:val="000000" w:themeColor="text1"/>
          <w:sz w:val="22"/>
          <w:szCs w:val="22"/>
        </w:rPr>
        <w:t>Building on the strong private sector mobilisation results, the CIF Secretariat are developing a Private Sector Strategy to formalise how CIF prioritises, evaluates, and sequences operational changes needed to better mobilise private investment.</w:t>
      </w:r>
      <w:r w:rsidR="001C2753" w:rsidRPr="00D035CF">
        <w:rPr>
          <w:rFonts w:eastAsia="Arial" w:cs="Arial"/>
          <w:color w:val="000000" w:themeColor="text1"/>
          <w:sz w:val="22"/>
          <w:szCs w:val="22"/>
        </w:rPr>
        <w:t xml:space="preserve"> Specific actions under this strategy include enhancing private sector engagement within IP development, operationalising the HLM for the CT</w:t>
      </w:r>
      <w:r w:rsidR="0007374F">
        <w:rPr>
          <w:rFonts w:eastAsia="Arial" w:cs="Arial"/>
          <w:color w:val="000000" w:themeColor="text1"/>
          <w:sz w:val="22"/>
          <w:szCs w:val="22"/>
        </w:rPr>
        <w:t>F</w:t>
      </w:r>
      <w:r w:rsidR="001C2753" w:rsidRPr="00D035CF">
        <w:rPr>
          <w:rFonts w:eastAsia="Arial" w:cs="Arial"/>
          <w:color w:val="000000" w:themeColor="text1"/>
          <w:sz w:val="22"/>
          <w:szCs w:val="22"/>
        </w:rPr>
        <w:t xml:space="preserve">, exploring a futures window and HLM for the SCF and enhancing the use of guarantees and local currency support options, as well as emerging areas such as philanthropic contributions. The CIF Secretariat is engaging with donor countries to determine common priority </w:t>
      </w:r>
      <w:r w:rsidR="00564785" w:rsidRPr="00D035CF">
        <w:rPr>
          <w:rFonts w:eastAsia="Arial" w:cs="Arial"/>
          <w:color w:val="000000" w:themeColor="text1"/>
          <w:sz w:val="22"/>
          <w:szCs w:val="22"/>
        </w:rPr>
        <w:t>areas,</w:t>
      </w:r>
      <w:r w:rsidR="001C2753" w:rsidRPr="00D035CF">
        <w:rPr>
          <w:rFonts w:eastAsia="Arial" w:cs="Arial"/>
          <w:color w:val="000000" w:themeColor="text1"/>
          <w:sz w:val="22"/>
          <w:szCs w:val="22"/>
        </w:rPr>
        <w:t xml:space="preserve"> and we expect the latest proposal to be endorsed by the TFC in March.</w:t>
      </w:r>
    </w:p>
    <w:p w14:paraId="1B63C618" w14:textId="4396A74F" w:rsidR="003D222C" w:rsidRPr="00D035CF" w:rsidRDefault="003D222C" w:rsidP="004D5FD5">
      <w:pPr>
        <w:jc w:val="both"/>
        <w:rPr>
          <w:rFonts w:cs="Arial"/>
          <w:sz w:val="22"/>
          <w:szCs w:val="22"/>
        </w:rPr>
      </w:pPr>
    </w:p>
    <w:tbl>
      <w:tblPr>
        <w:tblStyle w:val="TableGrid"/>
        <w:tblW w:w="0" w:type="auto"/>
        <w:tblLook w:val="04A0" w:firstRow="1" w:lastRow="0" w:firstColumn="1" w:lastColumn="0" w:noHBand="0" w:noVBand="1"/>
      </w:tblPr>
      <w:tblGrid>
        <w:gridCol w:w="9016"/>
      </w:tblGrid>
      <w:tr w:rsidR="00CB2873" w:rsidRPr="00D035CF" w14:paraId="406A1DDB" w14:textId="77777777" w:rsidTr="527A8EFF">
        <w:tc>
          <w:tcPr>
            <w:tcW w:w="9016" w:type="dxa"/>
            <w:shd w:val="clear" w:color="auto" w:fill="DEEAF6" w:themeFill="accent5" w:themeFillTint="33"/>
          </w:tcPr>
          <w:p w14:paraId="5F18405D" w14:textId="460DB89A" w:rsidR="00CB2873" w:rsidRPr="00BF67D2" w:rsidRDefault="2C7057B1" w:rsidP="009D6F52">
            <w:pPr>
              <w:pStyle w:val="Heading1"/>
              <w:spacing w:before="0"/>
              <w:jc w:val="both"/>
              <w:rPr>
                <w:b/>
                <w:bCs/>
              </w:rPr>
            </w:pPr>
            <w:bookmarkStart w:id="17" w:name="_Toc224897465"/>
            <w:r w:rsidRPr="00BF67D2">
              <w:rPr>
                <w:rStyle w:val="Heading1Char"/>
                <w:rFonts w:ascii="Arial" w:hAnsi="Arial" w:cs="Arial"/>
                <w:b/>
                <w:bCs/>
                <w:color w:val="auto"/>
              </w:rPr>
              <w:t>Section E: Risk</w:t>
            </w:r>
            <w:bookmarkEnd w:id="17"/>
          </w:p>
        </w:tc>
      </w:tr>
    </w:tbl>
    <w:p w14:paraId="7D07A5C2" w14:textId="77777777" w:rsidR="003D222C" w:rsidRPr="00D035CF" w:rsidRDefault="003D222C" w:rsidP="00BF67D2">
      <w:pPr>
        <w:jc w:val="both"/>
        <w:rPr>
          <w:rFonts w:cs="Arial"/>
          <w:b/>
          <w:bCs/>
          <w:sz w:val="22"/>
          <w:szCs w:val="22"/>
        </w:rPr>
      </w:pPr>
    </w:p>
    <w:p w14:paraId="3C5CF6C8" w14:textId="7648133A" w:rsidR="00B74143" w:rsidRPr="00AF06D1" w:rsidRDefault="00B74143" w:rsidP="00AF06D1">
      <w:pPr>
        <w:rPr>
          <w:sz w:val="22"/>
          <w:szCs w:val="22"/>
        </w:rPr>
      </w:pPr>
      <w:r w:rsidRPr="00AF06D1">
        <w:rPr>
          <w:b/>
          <w:bCs/>
          <w:sz w:val="22"/>
          <w:szCs w:val="22"/>
        </w:rPr>
        <w:t>Overall risk rating</w:t>
      </w:r>
      <w:r w:rsidRPr="00AF06D1">
        <w:rPr>
          <w:sz w:val="22"/>
          <w:szCs w:val="22"/>
        </w:rPr>
        <w:t>:</w:t>
      </w:r>
      <w:r w:rsidR="00C30F7C" w:rsidRPr="00AF06D1">
        <w:rPr>
          <w:sz w:val="22"/>
          <w:szCs w:val="22"/>
        </w:rPr>
        <w:t xml:space="preserve"> M</w:t>
      </w:r>
      <w:r w:rsidR="00DE4776" w:rsidRPr="00AF06D1">
        <w:rPr>
          <w:sz w:val="22"/>
          <w:szCs w:val="22"/>
        </w:rPr>
        <w:t>oderate</w:t>
      </w:r>
    </w:p>
    <w:p w14:paraId="67020C41" w14:textId="77777777" w:rsidR="003B64C0" w:rsidRPr="00AF06D1" w:rsidRDefault="003B64C0" w:rsidP="00AF06D1">
      <w:pPr>
        <w:rPr>
          <w:sz w:val="22"/>
          <w:szCs w:val="22"/>
        </w:rPr>
      </w:pPr>
    </w:p>
    <w:p w14:paraId="19C302A3" w14:textId="4D5D9082" w:rsidR="00AF06D1" w:rsidRPr="00AF06D1" w:rsidRDefault="00C30F7C" w:rsidP="00AF06D1">
      <w:pPr>
        <w:rPr>
          <w:b/>
          <w:bCs/>
          <w:sz w:val="22"/>
          <w:szCs w:val="22"/>
        </w:rPr>
      </w:pPr>
      <w:r w:rsidRPr="00AF06D1">
        <w:rPr>
          <w:rFonts w:eastAsia="Arial"/>
          <w:b/>
          <w:bCs/>
          <w:sz w:val="22"/>
          <w:szCs w:val="22"/>
        </w:rPr>
        <w:t>Overview of risk management</w:t>
      </w:r>
    </w:p>
    <w:p w14:paraId="47CF476B" w14:textId="188DFA2B" w:rsidR="00C30F7C" w:rsidRDefault="00C30F7C" w:rsidP="00AF06D1">
      <w:pPr>
        <w:jc w:val="both"/>
        <w:rPr>
          <w:rFonts w:eastAsia="Arial"/>
          <w:sz w:val="22"/>
          <w:szCs w:val="22"/>
        </w:rPr>
      </w:pPr>
      <w:r w:rsidRPr="00AF06D1">
        <w:rPr>
          <w:rFonts w:eastAsia="Arial"/>
          <w:sz w:val="22"/>
          <w:szCs w:val="22"/>
        </w:rPr>
        <w:t xml:space="preserve">Risks are reviewed by the programme team </w:t>
      </w:r>
      <w:proofErr w:type="gramStart"/>
      <w:r w:rsidRPr="00AF06D1">
        <w:rPr>
          <w:rFonts w:eastAsia="Arial"/>
          <w:sz w:val="22"/>
          <w:szCs w:val="22"/>
        </w:rPr>
        <w:t>on a monthly basis</w:t>
      </w:r>
      <w:proofErr w:type="gramEnd"/>
      <w:r w:rsidRPr="00AF06D1">
        <w:rPr>
          <w:rFonts w:eastAsia="Arial"/>
          <w:sz w:val="22"/>
          <w:szCs w:val="22"/>
        </w:rPr>
        <w:t xml:space="preserve"> and are included in the monthly Programme Delivery Plan updates. The CIF Secretariat flag risks to </w:t>
      </w:r>
      <w:r w:rsidR="009266C5" w:rsidRPr="00AF06D1">
        <w:rPr>
          <w:rFonts w:eastAsia="Arial"/>
          <w:sz w:val="22"/>
          <w:szCs w:val="22"/>
        </w:rPr>
        <w:t>TFC members</w:t>
      </w:r>
      <w:r w:rsidRPr="00AF06D1">
        <w:rPr>
          <w:rFonts w:eastAsia="Arial"/>
          <w:sz w:val="22"/>
          <w:szCs w:val="22"/>
        </w:rPr>
        <w:t xml:space="preserve"> proactively as they emerge and consolidate them into biannual risk reports which are presented at each </w:t>
      </w:r>
      <w:r w:rsidR="009266C5" w:rsidRPr="00AF06D1">
        <w:rPr>
          <w:rFonts w:eastAsia="Arial"/>
          <w:sz w:val="22"/>
          <w:szCs w:val="22"/>
        </w:rPr>
        <w:t>TFC</w:t>
      </w:r>
      <w:r w:rsidRPr="00AF06D1">
        <w:rPr>
          <w:rFonts w:eastAsia="Arial"/>
          <w:sz w:val="22"/>
          <w:szCs w:val="22"/>
        </w:rPr>
        <w:t xml:space="preserve"> meeting</w:t>
      </w:r>
      <w:r w:rsidR="009266C5" w:rsidRPr="00AF06D1">
        <w:rPr>
          <w:rFonts w:eastAsia="Arial"/>
          <w:sz w:val="22"/>
          <w:szCs w:val="22"/>
        </w:rPr>
        <w:t>s</w:t>
      </w:r>
      <w:r w:rsidRPr="00AF06D1">
        <w:rPr>
          <w:rFonts w:eastAsia="Arial"/>
          <w:sz w:val="22"/>
          <w:szCs w:val="22"/>
        </w:rPr>
        <w:t>. We also engage regularly with MDBs on project-level risks through the CIF project approval process and via ad hoc meetings.</w:t>
      </w:r>
    </w:p>
    <w:p w14:paraId="758925F0" w14:textId="77777777" w:rsidR="00A64432" w:rsidRDefault="00A64432" w:rsidP="00C30F7C">
      <w:pPr>
        <w:pStyle w:val="Heading2"/>
        <w:rPr>
          <w:rFonts w:eastAsia="Arial" w:cs="Arial"/>
          <w:i w:val="0"/>
          <w:iCs/>
          <w:sz w:val="22"/>
          <w:szCs w:val="22"/>
        </w:rPr>
      </w:pPr>
      <w:bookmarkStart w:id="18" w:name="_Toc224897466"/>
    </w:p>
    <w:p w14:paraId="75F3B307" w14:textId="756D19F1" w:rsidR="00C30F7C" w:rsidRPr="00E30F77" w:rsidRDefault="00C30F7C" w:rsidP="00C30F7C">
      <w:pPr>
        <w:pStyle w:val="Heading2"/>
        <w:rPr>
          <w:rFonts w:eastAsia="Arial" w:cs="Arial"/>
          <w:i w:val="0"/>
          <w:iCs/>
          <w:sz w:val="22"/>
          <w:szCs w:val="22"/>
        </w:rPr>
      </w:pPr>
      <w:r w:rsidRPr="00E30F77">
        <w:rPr>
          <w:rFonts w:eastAsia="Arial" w:cs="Arial"/>
          <w:i w:val="0"/>
          <w:iCs/>
          <w:sz w:val="22"/>
          <w:szCs w:val="22"/>
        </w:rPr>
        <w:t>Current risks</w:t>
      </w:r>
      <w:bookmarkEnd w:id="18"/>
      <w:r w:rsidRPr="00E30F77">
        <w:rPr>
          <w:rFonts w:eastAsia="Arial" w:cs="Arial"/>
          <w:i w:val="0"/>
          <w:iCs/>
          <w:sz w:val="22"/>
          <w:szCs w:val="22"/>
        </w:rPr>
        <w:t xml:space="preserve"> </w:t>
      </w:r>
    </w:p>
    <w:p w14:paraId="2128079C" w14:textId="77777777" w:rsidR="00C30F7C" w:rsidRPr="00D035CF" w:rsidRDefault="00C30F7C" w:rsidP="00C30F7C">
      <w:pPr>
        <w:rPr>
          <w:rFonts w:eastAsia="Arial" w:cs="Arial"/>
          <w:color w:val="000000" w:themeColor="text1"/>
          <w:sz w:val="22"/>
          <w:szCs w:val="22"/>
        </w:rPr>
      </w:pPr>
      <w:r w:rsidRPr="00D035CF">
        <w:rPr>
          <w:rFonts w:eastAsia="Arial" w:cs="Arial"/>
          <w:color w:val="000000" w:themeColor="text1"/>
          <w:sz w:val="22"/>
          <w:szCs w:val="22"/>
        </w:rPr>
        <w:t> </w:t>
      </w:r>
    </w:p>
    <w:tbl>
      <w:tblPr>
        <w:tblStyle w:val="TableGrid"/>
        <w:tblW w:w="0" w:type="auto"/>
        <w:tblLook w:val="04A0" w:firstRow="1" w:lastRow="0" w:firstColumn="1" w:lastColumn="0" w:noHBand="0" w:noVBand="1"/>
      </w:tblPr>
      <w:tblGrid>
        <w:gridCol w:w="1990"/>
        <w:gridCol w:w="2865"/>
        <w:gridCol w:w="2542"/>
        <w:gridCol w:w="1619"/>
      </w:tblGrid>
      <w:tr w:rsidR="00345342" w:rsidRPr="00D035CF" w14:paraId="1EB3015B" w14:textId="77777777" w:rsidTr="00F020F4">
        <w:tc>
          <w:tcPr>
            <w:tcW w:w="1280" w:type="dxa"/>
          </w:tcPr>
          <w:p w14:paraId="17B8AD16" w14:textId="77777777" w:rsidR="00C30F7C" w:rsidRPr="00D035CF" w:rsidRDefault="00C30F7C" w:rsidP="00F020F4">
            <w:pPr>
              <w:jc w:val="both"/>
              <w:rPr>
                <w:rFonts w:eastAsia="Arial" w:cs="Arial"/>
                <w:b/>
                <w:bCs/>
                <w:color w:val="000000" w:themeColor="text1"/>
                <w:sz w:val="22"/>
                <w:szCs w:val="22"/>
              </w:rPr>
            </w:pPr>
            <w:r w:rsidRPr="00D035CF">
              <w:rPr>
                <w:rFonts w:eastAsia="Arial" w:cs="Arial"/>
                <w:b/>
                <w:bCs/>
                <w:color w:val="000000" w:themeColor="text1"/>
                <w:sz w:val="22"/>
                <w:szCs w:val="22"/>
              </w:rPr>
              <w:t>Risk</w:t>
            </w:r>
          </w:p>
        </w:tc>
        <w:tc>
          <w:tcPr>
            <w:tcW w:w="3134" w:type="dxa"/>
          </w:tcPr>
          <w:p w14:paraId="22D4EE6D" w14:textId="77777777" w:rsidR="00C30F7C" w:rsidRPr="00D035CF" w:rsidRDefault="00C30F7C" w:rsidP="00F020F4">
            <w:pPr>
              <w:jc w:val="both"/>
              <w:rPr>
                <w:rFonts w:eastAsia="Arial" w:cs="Arial"/>
                <w:b/>
                <w:bCs/>
                <w:color w:val="000000" w:themeColor="text1"/>
                <w:sz w:val="22"/>
                <w:szCs w:val="22"/>
              </w:rPr>
            </w:pPr>
            <w:r w:rsidRPr="00D035CF">
              <w:rPr>
                <w:rFonts w:eastAsia="Arial" w:cs="Arial"/>
                <w:b/>
                <w:bCs/>
                <w:color w:val="000000" w:themeColor="text1"/>
                <w:sz w:val="22"/>
                <w:szCs w:val="22"/>
              </w:rPr>
              <w:t>Description</w:t>
            </w:r>
          </w:p>
        </w:tc>
        <w:tc>
          <w:tcPr>
            <w:tcW w:w="2845" w:type="dxa"/>
          </w:tcPr>
          <w:p w14:paraId="5DCB7F5F" w14:textId="77777777" w:rsidR="00C30F7C" w:rsidRPr="00D035CF" w:rsidRDefault="00C30F7C" w:rsidP="00F020F4">
            <w:pPr>
              <w:jc w:val="both"/>
              <w:rPr>
                <w:rFonts w:eastAsia="Arial" w:cs="Arial"/>
                <w:b/>
                <w:bCs/>
                <w:color w:val="000000" w:themeColor="text1"/>
                <w:sz w:val="22"/>
                <w:szCs w:val="22"/>
              </w:rPr>
            </w:pPr>
            <w:r w:rsidRPr="00D035CF">
              <w:rPr>
                <w:rFonts w:eastAsia="Arial" w:cs="Arial"/>
                <w:b/>
                <w:bCs/>
                <w:color w:val="000000" w:themeColor="text1"/>
                <w:sz w:val="22"/>
                <w:szCs w:val="22"/>
              </w:rPr>
              <w:t>Mitigating action</w:t>
            </w:r>
          </w:p>
        </w:tc>
        <w:tc>
          <w:tcPr>
            <w:tcW w:w="1757" w:type="dxa"/>
          </w:tcPr>
          <w:p w14:paraId="62E24D0E" w14:textId="77777777" w:rsidR="00C30F7C" w:rsidRPr="00D035CF" w:rsidRDefault="00C30F7C" w:rsidP="00F020F4">
            <w:pPr>
              <w:jc w:val="both"/>
              <w:rPr>
                <w:rFonts w:eastAsia="Arial" w:cs="Arial"/>
                <w:b/>
                <w:bCs/>
                <w:color w:val="000000" w:themeColor="text1"/>
                <w:sz w:val="22"/>
                <w:szCs w:val="22"/>
              </w:rPr>
            </w:pPr>
            <w:r w:rsidRPr="00D035CF">
              <w:rPr>
                <w:rFonts w:eastAsia="Arial" w:cs="Arial"/>
                <w:b/>
                <w:bCs/>
                <w:color w:val="000000" w:themeColor="text1"/>
                <w:sz w:val="22"/>
                <w:szCs w:val="22"/>
              </w:rPr>
              <w:t>Rating</w:t>
            </w:r>
          </w:p>
        </w:tc>
      </w:tr>
      <w:tr w:rsidR="00345342" w:rsidRPr="00D035CF" w14:paraId="18972ABC" w14:textId="77777777" w:rsidTr="00F020F4">
        <w:tc>
          <w:tcPr>
            <w:tcW w:w="1280" w:type="dxa"/>
          </w:tcPr>
          <w:p w14:paraId="5447CFC8" w14:textId="570F3153" w:rsidR="00C30F7C" w:rsidRPr="00D035CF" w:rsidRDefault="00C30F7C" w:rsidP="00F020F4">
            <w:pPr>
              <w:jc w:val="both"/>
              <w:rPr>
                <w:rFonts w:eastAsia="Arial" w:cs="Arial"/>
                <w:color w:val="000000" w:themeColor="text1"/>
                <w:sz w:val="22"/>
                <w:szCs w:val="22"/>
              </w:rPr>
            </w:pPr>
            <w:r w:rsidRPr="00D035CF">
              <w:rPr>
                <w:rFonts w:eastAsia="Arial" w:cs="Arial"/>
                <w:color w:val="000000" w:themeColor="text1"/>
                <w:sz w:val="22"/>
                <w:szCs w:val="22"/>
              </w:rPr>
              <w:t xml:space="preserve">Operationalisation of </w:t>
            </w:r>
            <w:r w:rsidR="00DF7CE6" w:rsidRPr="00D035CF">
              <w:rPr>
                <w:rFonts w:eastAsia="Arial" w:cs="Arial"/>
                <w:color w:val="000000" w:themeColor="text1"/>
                <w:sz w:val="22"/>
                <w:szCs w:val="22"/>
              </w:rPr>
              <w:t xml:space="preserve">the </w:t>
            </w:r>
            <w:r w:rsidRPr="00D035CF">
              <w:rPr>
                <w:rFonts w:eastAsia="Arial" w:cs="Arial"/>
                <w:color w:val="000000" w:themeColor="text1"/>
                <w:sz w:val="22"/>
                <w:szCs w:val="22"/>
              </w:rPr>
              <w:t>High Leverage Modality (HLM)</w:t>
            </w:r>
          </w:p>
        </w:tc>
        <w:tc>
          <w:tcPr>
            <w:tcW w:w="3134" w:type="dxa"/>
          </w:tcPr>
          <w:p w14:paraId="61FB0FAF" w14:textId="1E579546" w:rsidR="00C30F7C" w:rsidRPr="00D035CF" w:rsidRDefault="00C30F7C" w:rsidP="00F020F4">
            <w:pPr>
              <w:jc w:val="both"/>
              <w:rPr>
                <w:rFonts w:eastAsia="Arial" w:cs="Arial"/>
                <w:color w:val="000000" w:themeColor="text1"/>
                <w:sz w:val="22"/>
                <w:szCs w:val="22"/>
              </w:rPr>
            </w:pPr>
            <w:r w:rsidRPr="00D035CF">
              <w:rPr>
                <w:rFonts w:eastAsia="Arial" w:cs="Arial"/>
                <w:color w:val="000000" w:themeColor="text1"/>
                <w:sz w:val="22"/>
                <w:szCs w:val="22"/>
              </w:rPr>
              <w:t xml:space="preserve">Timeline for the operationalisation of HLM </w:t>
            </w:r>
            <w:r w:rsidR="009B44B7">
              <w:rPr>
                <w:rFonts w:eastAsia="Arial" w:cs="Arial"/>
                <w:color w:val="000000" w:themeColor="text1"/>
                <w:sz w:val="22"/>
                <w:szCs w:val="22"/>
              </w:rPr>
              <w:t>could</w:t>
            </w:r>
            <w:r w:rsidRPr="00D035CF">
              <w:rPr>
                <w:rFonts w:eastAsia="Arial" w:cs="Arial"/>
                <w:color w:val="000000" w:themeColor="text1"/>
                <w:sz w:val="22"/>
                <w:szCs w:val="22"/>
              </w:rPr>
              <w:t xml:space="preserve"> slip beyond this </w:t>
            </w:r>
            <w:r w:rsidR="008F291F" w:rsidRPr="00D035CF">
              <w:rPr>
                <w:rFonts w:eastAsia="Arial" w:cs="Arial"/>
                <w:color w:val="000000" w:themeColor="text1"/>
                <w:sz w:val="22"/>
                <w:szCs w:val="22"/>
              </w:rPr>
              <w:t xml:space="preserve">Q4 2026 </w:t>
            </w:r>
            <w:r w:rsidRPr="00D035CF">
              <w:rPr>
                <w:rFonts w:eastAsia="Arial" w:cs="Arial"/>
                <w:color w:val="000000" w:themeColor="text1"/>
                <w:sz w:val="22"/>
                <w:szCs w:val="22"/>
              </w:rPr>
              <w:t>meaning that new donor contributions specifically earmarked for HLM may take longer to be allocated to projects.</w:t>
            </w:r>
          </w:p>
        </w:tc>
        <w:tc>
          <w:tcPr>
            <w:tcW w:w="2845" w:type="dxa"/>
          </w:tcPr>
          <w:p w14:paraId="77959938" w14:textId="77777777" w:rsidR="00C30F7C" w:rsidRPr="00D035CF" w:rsidRDefault="00C30F7C" w:rsidP="00F020F4">
            <w:pPr>
              <w:jc w:val="both"/>
              <w:rPr>
                <w:rFonts w:eastAsia="Arial" w:cs="Arial"/>
                <w:color w:val="000000" w:themeColor="text1"/>
                <w:sz w:val="22"/>
                <w:szCs w:val="22"/>
              </w:rPr>
            </w:pPr>
            <w:r w:rsidRPr="00D035CF">
              <w:rPr>
                <w:rFonts w:eastAsia="Arial" w:cs="Arial"/>
                <w:color w:val="000000" w:themeColor="text1"/>
                <w:sz w:val="22"/>
                <w:szCs w:val="22"/>
              </w:rPr>
              <w:t>We will continue to champion HLM within the CIF and engage proactively with the Secretariat, member countries and MDB to ensure its timely delivery.</w:t>
            </w:r>
          </w:p>
        </w:tc>
        <w:tc>
          <w:tcPr>
            <w:tcW w:w="1757" w:type="dxa"/>
            <w:shd w:val="clear" w:color="auto" w:fill="C45911" w:themeFill="accent2" w:themeFillShade="BF"/>
          </w:tcPr>
          <w:p w14:paraId="4123E1B8" w14:textId="77777777" w:rsidR="00C30F7C" w:rsidRPr="00D035CF" w:rsidRDefault="00C30F7C" w:rsidP="00F020F4">
            <w:pPr>
              <w:jc w:val="both"/>
              <w:rPr>
                <w:rFonts w:eastAsia="Arial" w:cs="Arial"/>
                <w:color w:val="000000" w:themeColor="text1"/>
                <w:sz w:val="22"/>
                <w:szCs w:val="22"/>
              </w:rPr>
            </w:pPr>
            <w:r w:rsidRPr="00D035CF">
              <w:rPr>
                <w:rFonts w:eastAsia="Arial" w:cs="Arial"/>
                <w:color w:val="000000" w:themeColor="text1"/>
                <w:sz w:val="22"/>
                <w:szCs w:val="22"/>
              </w:rPr>
              <w:t>Major</w:t>
            </w:r>
          </w:p>
        </w:tc>
      </w:tr>
      <w:tr w:rsidR="00345342" w:rsidRPr="00D035CF" w14:paraId="37FB0BA0" w14:textId="77777777" w:rsidTr="00F020F4">
        <w:tc>
          <w:tcPr>
            <w:tcW w:w="1280" w:type="dxa"/>
          </w:tcPr>
          <w:p w14:paraId="3ECE1CB3" w14:textId="77777777" w:rsidR="00C30F7C" w:rsidRPr="00D035CF" w:rsidRDefault="00C30F7C" w:rsidP="00F020F4">
            <w:pPr>
              <w:jc w:val="both"/>
              <w:rPr>
                <w:rFonts w:eastAsia="Arial" w:cs="Arial"/>
                <w:color w:val="000000" w:themeColor="text1"/>
                <w:sz w:val="22"/>
                <w:szCs w:val="22"/>
              </w:rPr>
            </w:pPr>
            <w:r w:rsidRPr="00D035CF">
              <w:rPr>
                <w:rFonts w:eastAsia="Arial" w:cs="Arial"/>
                <w:color w:val="000000" w:themeColor="text1"/>
                <w:sz w:val="22"/>
                <w:szCs w:val="22"/>
              </w:rPr>
              <w:t>Risk aversion</w:t>
            </w:r>
          </w:p>
        </w:tc>
        <w:tc>
          <w:tcPr>
            <w:tcW w:w="3134" w:type="dxa"/>
          </w:tcPr>
          <w:p w14:paraId="042FE60F" w14:textId="77777777" w:rsidR="00C30F7C" w:rsidRPr="00D035CF" w:rsidRDefault="00C30F7C" w:rsidP="00F020F4">
            <w:pPr>
              <w:jc w:val="both"/>
              <w:rPr>
                <w:rFonts w:eastAsia="Arial" w:cs="Arial"/>
                <w:color w:val="000000" w:themeColor="text1"/>
                <w:sz w:val="22"/>
                <w:szCs w:val="22"/>
              </w:rPr>
            </w:pPr>
            <w:r w:rsidRPr="00D035CF">
              <w:rPr>
                <w:rFonts w:eastAsia="Arial" w:cs="Arial"/>
                <w:color w:val="000000" w:themeColor="text1"/>
                <w:sz w:val="22"/>
                <w:szCs w:val="22"/>
              </w:rPr>
              <w:t>CIF's new status as a market-facing entity could impart a conservative bias in its decision making, lessening the impact of its funds and undermining the effectiveness of new initiatives such as the newly approved HLM.</w:t>
            </w:r>
          </w:p>
        </w:tc>
        <w:tc>
          <w:tcPr>
            <w:tcW w:w="2845" w:type="dxa"/>
          </w:tcPr>
          <w:p w14:paraId="3C99778F" w14:textId="77777777" w:rsidR="00C30F7C" w:rsidRPr="00D035CF" w:rsidRDefault="00C30F7C" w:rsidP="00F020F4">
            <w:pPr>
              <w:jc w:val="both"/>
              <w:rPr>
                <w:rFonts w:eastAsia="Arial" w:cs="Arial"/>
                <w:color w:val="000000" w:themeColor="text1"/>
                <w:sz w:val="22"/>
                <w:szCs w:val="22"/>
              </w:rPr>
            </w:pPr>
            <w:r w:rsidRPr="00D035CF">
              <w:rPr>
                <w:rFonts w:eastAsia="Arial" w:cs="Arial"/>
                <w:color w:val="000000" w:themeColor="text1"/>
                <w:sz w:val="22"/>
                <w:szCs w:val="22"/>
              </w:rPr>
              <w:t>We will continue use our influence, possibly through the new risk management committee, to reinforce CIF’s role as an innovator as reflected in the new risk management framework.</w:t>
            </w:r>
          </w:p>
        </w:tc>
        <w:tc>
          <w:tcPr>
            <w:tcW w:w="1757" w:type="dxa"/>
            <w:shd w:val="clear" w:color="auto" w:fill="FFC000" w:themeFill="accent4"/>
          </w:tcPr>
          <w:p w14:paraId="668C85EF" w14:textId="77777777" w:rsidR="00C30F7C" w:rsidRPr="00D035CF" w:rsidRDefault="00C30F7C" w:rsidP="00F020F4">
            <w:pPr>
              <w:jc w:val="both"/>
              <w:rPr>
                <w:rFonts w:eastAsia="Arial" w:cs="Arial"/>
                <w:color w:val="000000" w:themeColor="text1"/>
                <w:sz w:val="22"/>
                <w:szCs w:val="22"/>
              </w:rPr>
            </w:pPr>
            <w:r w:rsidRPr="00D035CF">
              <w:rPr>
                <w:rFonts w:eastAsia="Arial" w:cs="Arial"/>
                <w:color w:val="000000" w:themeColor="text1"/>
                <w:sz w:val="22"/>
                <w:szCs w:val="22"/>
              </w:rPr>
              <w:t>Moderate</w:t>
            </w:r>
          </w:p>
        </w:tc>
      </w:tr>
    </w:tbl>
    <w:p w14:paraId="7CD7D9F1" w14:textId="77777777" w:rsidR="00B74143" w:rsidRPr="00D80C6C" w:rsidRDefault="00B74143" w:rsidP="004D5FD5">
      <w:pPr>
        <w:contextualSpacing/>
        <w:jc w:val="both"/>
        <w:rPr>
          <w:rFonts w:cs="Arial"/>
          <w:i/>
          <w:iCs/>
          <w:sz w:val="22"/>
          <w:szCs w:val="22"/>
        </w:rPr>
      </w:pPr>
    </w:p>
    <w:p w14:paraId="68B30AF7" w14:textId="77777777" w:rsidR="00D0302B" w:rsidRDefault="00D0302B" w:rsidP="004D5FD5">
      <w:pPr>
        <w:contextualSpacing/>
        <w:jc w:val="both"/>
        <w:rPr>
          <w:rStyle w:val="Heading2Char"/>
        </w:rPr>
      </w:pPr>
    </w:p>
    <w:p w14:paraId="4ED4E9FA" w14:textId="59210279" w:rsidR="00CB2873" w:rsidRDefault="00CB2873" w:rsidP="004D5FD5">
      <w:pPr>
        <w:jc w:val="both"/>
        <w:rPr>
          <w:rFonts w:cs="Arial"/>
          <w:bCs/>
          <w:sz w:val="22"/>
          <w:szCs w:val="22"/>
        </w:rPr>
      </w:pPr>
    </w:p>
    <w:tbl>
      <w:tblPr>
        <w:tblStyle w:val="TableGrid"/>
        <w:tblW w:w="0" w:type="auto"/>
        <w:tblLook w:val="04A0" w:firstRow="1" w:lastRow="0" w:firstColumn="1" w:lastColumn="0" w:noHBand="0" w:noVBand="1"/>
      </w:tblPr>
      <w:tblGrid>
        <w:gridCol w:w="9016"/>
      </w:tblGrid>
      <w:tr w:rsidR="00CB2873" w14:paraId="3775346F" w14:textId="77777777" w:rsidTr="527A8EFF">
        <w:tc>
          <w:tcPr>
            <w:tcW w:w="9016" w:type="dxa"/>
            <w:shd w:val="clear" w:color="auto" w:fill="DEEAF6" w:themeFill="accent5" w:themeFillTint="33"/>
          </w:tcPr>
          <w:p w14:paraId="64B9656F" w14:textId="0A228846" w:rsidR="00CB2873" w:rsidRDefault="2C7057B1" w:rsidP="004D5FD5">
            <w:pPr>
              <w:jc w:val="both"/>
            </w:pPr>
            <w:bookmarkStart w:id="19" w:name="_Toc224897467"/>
            <w:r w:rsidRPr="527A8EFF">
              <w:rPr>
                <w:rStyle w:val="Heading1Char"/>
                <w:rFonts w:ascii="Arial" w:hAnsi="Arial" w:cs="Arial"/>
                <w:b/>
                <w:bCs/>
                <w:color w:val="auto"/>
              </w:rPr>
              <w:t xml:space="preserve">Section F: Programme management: delivery, </w:t>
            </w:r>
            <w:proofErr w:type="spellStart"/>
            <w:r w:rsidRPr="527A8EFF">
              <w:rPr>
                <w:rStyle w:val="Heading1Char"/>
                <w:rFonts w:ascii="Arial" w:hAnsi="Arial" w:cs="Arial"/>
                <w:b/>
                <w:bCs/>
                <w:color w:val="auto"/>
              </w:rPr>
              <w:t>VfM</w:t>
            </w:r>
            <w:proofErr w:type="spellEnd"/>
            <w:r w:rsidRPr="527A8EFF">
              <w:rPr>
                <w:rStyle w:val="Heading1Char"/>
                <w:rFonts w:ascii="Arial" w:hAnsi="Arial" w:cs="Arial"/>
                <w:b/>
                <w:bCs/>
                <w:color w:val="auto"/>
              </w:rPr>
              <w:t>, commercial and financial performance</w:t>
            </w:r>
            <w:bookmarkEnd w:id="19"/>
          </w:p>
        </w:tc>
      </w:tr>
    </w:tbl>
    <w:p w14:paraId="0DC98B3E" w14:textId="48A280FA" w:rsidR="00C30F7C" w:rsidRPr="008F291F" w:rsidRDefault="00C30F7C" w:rsidP="00271C98">
      <w:pPr>
        <w:pStyle w:val="Heading2"/>
        <w:rPr>
          <w:rFonts w:eastAsia="Arial"/>
        </w:rPr>
      </w:pPr>
      <w:bookmarkStart w:id="20" w:name="_Toc224897468"/>
      <w:r w:rsidRPr="008F291F">
        <w:rPr>
          <w:rFonts w:eastAsia="Arial"/>
        </w:rPr>
        <w:t>Summarise the performance of HMG and partners, notably on commercial and financial issues, and including consideration of </w:t>
      </w:r>
      <w:proofErr w:type="spellStart"/>
      <w:r w:rsidRPr="008F291F">
        <w:rPr>
          <w:rFonts w:eastAsia="Arial"/>
        </w:rPr>
        <w:t>VfM</w:t>
      </w:r>
      <w:proofErr w:type="spellEnd"/>
      <w:r w:rsidRPr="008F291F">
        <w:rPr>
          <w:rFonts w:eastAsia="Arial"/>
        </w:rPr>
        <w:t> measures of economy and efficiency, effectiveness and equity.</w:t>
      </w:r>
      <w:bookmarkEnd w:id="20"/>
      <w:r w:rsidRPr="008F291F">
        <w:rPr>
          <w:rFonts w:eastAsia="Arial"/>
        </w:rPr>
        <w:t> </w:t>
      </w:r>
    </w:p>
    <w:p w14:paraId="07EF76B5" w14:textId="77777777" w:rsidR="00C30F7C" w:rsidRPr="008F291F" w:rsidRDefault="00C30F7C" w:rsidP="00C30F7C">
      <w:pPr>
        <w:spacing w:line="276" w:lineRule="auto"/>
        <w:jc w:val="both"/>
        <w:rPr>
          <w:rFonts w:eastAsia="Arial" w:cs="Arial"/>
          <w:color w:val="000000" w:themeColor="text1"/>
          <w:sz w:val="22"/>
          <w:szCs w:val="22"/>
        </w:rPr>
      </w:pPr>
    </w:p>
    <w:p w14:paraId="08A9C58A" w14:textId="0E4CC100" w:rsidR="00C30F7C" w:rsidRPr="008F291F" w:rsidRDefault="00C30F7C" w:rsidP="00C30F7C">
      <w:pPr>
        <w:jc w:val="both"/>
        <w:rPr>
          <w:rFonts w:cs="Arial"/>
          <w:sz w:val="22"/>
          <w:szCs w:val="22"/>
        </w:rPr>
      </w:pPr>
      <w:r w:rsidRPr="008F291F">
        <w:rPr>
          <w:rFonts w:cs="Arial"/>
          <w:sz w:val="22"/>
          <w:szCs w:val="22"/>
        </w:rPr>
        <w:t xml:space="preserve">Completing the Annual Review for the </w:t>
      </w:r>
      <w:r w:rsidR="00271C98">
        <w:rPr>
          <w:rFonts w:cs="Arial"/>
          <w:sz w:val="22"/>
          <w:szCs w:val="22"/>
        </w:rPr>
        <w:t>CIF</w:t>
      </w:r>
      <w:r w:rsidRPr="008F291F">
        <w:rPr>
          <w:rFonts w:cs="Arial"/>
          <w:sz w:val="22"/>
          <w:szCs w:val="22"/>
        </w:rPr>
        <w:t xml:space="preserve"> has historically been a joint effort between </w:t>
      </w:r>
      <w:r w:rsidR="00A24B94">
        <w:rPr>
          <w:rFonts w:cs="Arial"/>
          <w:sz w:val="22"/>
          <w:szCs w:val="22"/>
        </w:rPr>
        <w:t>DESNZ and FCDO (</w:t>
      </w:r>
      <w:r w:rsidR="00CE33F7">
        <w:rPr>
          <w:rFonts w:cs="Arial"/>
          <w:sz w:val="22"/>
          <w:szCs w:val="22"/>
        </w:rPr>
        <w:t>or their predecessors)</w:t>
      </w:r>
      <w:r w:rsidRPr="008F291F">
        <w:rPr>
          <w:rFonts w:cs="Arial"/>
          <w:sz w:val="22"/>
          <w:szCs w:val="22"/>
        </w:rPr>
        <w:t>. The business case period for FCDO’s CIF contributions has now come to an end, and a comprehensive Programme Completion Report (PCR) process has been undertaken. The FCDO PCR scoring process is now complete, and the full narrative report is scheduled for publication in March 2026.</w:t>
      </w:r>
    </w:p>
    <w:p w14:paraId="740BF30E" w14:textId="77777777" w:rsidR="00C30F7C" w:rsidRPr="008F291F" w:rsidRDefault="00C30F7C" w:rsidP="00C30F7C">
      <w:pPr>
        <w:jc w:val="both"/>
        <w:rPr>
          <w:rFonts w:cs="Arial"/>
          <w:sz w:val="22"/>
          <w:szCs w:val="22"/>
        </w:rPr>
      </w:pPr>
      <w:r w:rsidRPr="008F291F">
        <w:rPr>
          <w:rFonts w:cs="Arial"/>
          <w:sz w:val="22"/>
          <w:szCs w:val="22"/>
        </w:rPr>
        <w:t xml:space="preserve"> </w:t>
      </w:r>
    </w:p>
    <w:p w14:paraId="09785B92" w14:textId="77777777" w:rsidR="00C30F7C" w:rsidRPr="008F291F" w:rsidRDefault="00C30F7C" w:rsidP="00C30F7C">
      <w:pPr>
        <w:jc w:val="both"/>
        <w:rPr>
          <w:rFonts w:cs="Arial"/>
          <w:sz w:val="22"/>
          <w:szCs w:val="22"/>
        </w:rPr>
      </w:pPr>
      <w:r w:rsidRPr="008F291F">
        <w:rPr>
          <w:rFonts w:cs="Arial"/>
          <w:sz w:val="22"/>
          <w:szCs w:val="22"/>
        </w:rPr>
        <w:t>DESNZ is the HMG lead for the CIF reporting and hence also the lead author of the CIF Annual Reviews. Officials will continue to work collaboratively with FCDO colleagues who have provided their inputs and guidance prior to finalisation of this AR. This approach ensures both departments optimise their available resources while complying with different procedural requirements.</w:t>
      </w:r>
    </w:p>
    <w:p w14:paraId="695DB0B3" w14:textId="77777777" w:rsidR="00C30F7C" w:rsidRPr="008F291F" w:rsidRDefault="00C30F7C" w:rsidP="00C30F7C">
      <w:pPr>
        <w:jc w:val="both"/>
        <w:rPr>
          <w:rFonts w:cs="Arial"/>
          <w:sz w:val="22"/>
          <w:szCs w:val="22"/>
        </w:rPr>
      </w:pPr>
    </w:p>
    <w:p w14:paraId="4A50B9DD" w14:textId="77777777" w:rsidR="00C30F7C" w:rsidRPr="008F291F" w:rsidRDefault="00C30F7C" w:rsidP="00C30F7C">
      <w:pPr>
        <w:jc w:val="both"/>
        <w:rPr>
          <w:rFonts w:cs="Arial"/>
          <w:sz w:val="22"/>
          <w:szCs w:val="22"/>
        </w:rPr>
      </w:pPr>
      <w:r w:rsidRPr="008F291F">
        <w:rPr>
          <w:rFonts w:cs="Arial"/>
          <w:sz w:val="22"/>
          <w:szCs w:val="22"/>
        </w:rPr>
        <w:t>Although the FCDO CIF programme has closed on its aid management platform (AMP) the FCDO retains significant policy interests across the whole range of policy areas where the CIF is active and also, retains fiduciary responsibility for oversight of FCDO share of funding where it is still financing projects in implementation, and where funding has yet to be allocated to projects or has been released through cancelled projects for redeployment to new projects.</w:t>
      </w:r>
    </w:p>
    <w:p w14:paraId="15F73046" w14:textId="77777777" w:rsidR="00C30F7C" w:rsidRPr="008F291F" w:rsidRDefault="00C30F7C" w:rsidP="00C30F7C">
      <w:pPr>
        <w:jc w:val="both"/>
        <w:rPr>
          <w:rFonts w:cs="Arial"/>
          <w:sz w:val="22"/>
          <w:szCs w:val="22"/>
        </w:rPr>
      </w:pPr>
    </w:p>
    <w:p w14:paraId="4703B0DD" w14:textId="77777777" w:rsidR="00C30F7C" w:rsidRPr="008F291F" w:rsidRDefault="00C30F7C" w:rsidP="00C30F7C">
      <w:pPr>
        <w:jc w:val="both"/>
        <w:rPr>
          <w:rFonts w:cs="Arial"/>
          <w:sz w:val="22"/>
          <w:szCs w:val="22"/>
        </w:rPr>
      </w:pPr>
      <w:r w:rsidRPr="008F291F">
        <w:rPr>
          <w:rFonts w:cs="Arial"/>
          <w:sz w:val="22"/>
          <w:szCs w:val="22"/>
        </w:rPr>
        <w:t xml:space="preserve">Generally, the CIF Secretariat has performed well in terms of the financial management of the funding at its disposal. They have been particularly proactive in engaging on risk management and have played a strong facilitation role. The CIF Secretariat are currently developing a new Risk Management Framework to update CIF policy and processes in its new status as a market-facing entity. </w:t>
      </w:r>
    </w:p>
    <w:p w14:paraId="73A4FA67" w14:textId="77777777" w:rsidR="00C30F7C" w:rsidRPr="008F291F" w:rsidRDefault="00C30F7C" w:rsidP="00C30F7C">
      <w:pPr>
        <w:jc w:val="both"/>
        <w:rPr>
          <w:rFonts w:cs="Arial"/>
          <w:sz w:val="22"/>
          <w:szCs w:val="22"/>
        </w:rPr>
      </w:pPr>
      <w:r w:rsidRPr="008F291F">
        <w:rPr>
          <w:rFonts w:cs="Arial"/>
          <w:sz w:val="22"/>
          <w:szCs w:val="22"/>
        </w:rPr>
        <w:t>  </w:t>
      </w:r>
    </w:p>
    <w:p w14:paraId="1B2745BE" w14:textId="77777777" w:rsidR="00C30F7C" w:rsidRPr="008F291F" w:rsidRDefault="00C30F7C" w:rsidP="00C30F7C">
      <w:pPr>
        <w:jc w:val="both"/>
        <w:rPr>
          <w:rFonts w:cs="Arial"/>
          <w:sz w:val="22"/>
          <w:szCs w:val="22"/>
        </w:rPr>
      </w:pPr>
      <w:r w:rsidRPr="008F291F">
        <w:rPr>
          <w:rFonts w:cs="Arial"/>
          <w:sz w:val="22"/>
          <w:szCs w:val="22"/>
        </w:rPr>
        <w:t>As the CIF programmes are implemented by MDBs, each project follows the MDB’s procurement policies and procedures. The 2014 DFID Business case highlighted that the MDB approach to procurement aims to ensure open and fair competition in all tenders, and to procure high quality goods and services at the lowest cost. Procurement of goods and services goes through International Competitive Bidding (with limited exceptions).  </w:t>
      </w:r>
    </w:p>
    <w:p w14:paraId="4CAB5B78" w14:textId="77777777" w:rsidR="00C30F7C" w:rsidRPr="008F291F" w:rsidRDefault="00C30F7C" w:rsidP="00C30F7C">
      <w:pPr>
        <w:jc w:val="both"/>
        <w:rPr>
          <w:rFonts w:cs="Arial"/>
          <w:sz w:val="22"/>
          <w:szCs w:val="22"/>
        </w:rPr>
      </w:pPr>
      <w:r w:rsidRPr="008F291F">
        <w:rPr>
          <w:rFonts w:cs="Arial"/>
          <w:sz w:val="22"/>
          <w:szCs w:val="22"/>
        </w:rPr>
        <w:t> </w:t>
      </w:r>
    </w:p>
    <w:p w14:paraId="64E0F571" w14:textId="2803815D" w:rsidR="00C30F7C" w:rsidRPr="008F291F" w:rsidRDefault="00C30F7C" w:rsidP="00C30F7C">
      <w:pPr>
        <w:jc w:val="both"/>
        <w:rPr>
          <w:rFonts w:cs="Arial"/>
          <w:sz w:val="22"/>
          <w:szCs w:val="22"/>
        </w:rPr>
      </w:pPr>
      <w:r w:rsidRPr="008F291F">
        <w:rPr>
          <w:rFonts w:cs="Arial"/>
          <w:sz w:val="22"/>
          <w:szCs w:val="22"/>
        </w:rPr>
        <w:t xml:space="preserve">The UK has significant influence as one of the original designers of the CIF and, as a member of </w:t>
      </w:r>
      <w:proofErr w:type="gramStart"/>
      <w:r w:rsidRPr="008F291F">
        <w:rPr>
          <w:rFonts w:cs="Arial"/>
          <w:sz w:val="22"/>
          <w:szCs w:val="22"/>
        </w:rPr>
        <w:t>all of</w:t>
      </w:r>
      <w:proofErr w:type="gramEnd"/>
      <w:r w:rsidRPr="008F291F">
        <w:rPr>
          <w:rFonts w:cs="Arial"/>
          <w:sz w:val="22"/>
          <w:szCs w:val="22"/>
        </w:rPr>
        <w:t xml:space="preserve"> the TFCs and Sub-Committees, the UK continues to provide substantial contributions and a strong focus on driving improvements in the operations of the CIF at the governance level. The UK has a keen interest and strong influence in maintaining reasonable administrative costs while ensuring the CIF Secretariat are adequately resources to deliver on the CIF mandate.   </w:t>
      </w:r>
    </w:p>
    <w:p w14:paraId="2534CAA4" w14:textId="77777777" w:rsidR="00C30F7C" w:rsidRPr="008F291F" w:rsidRDefault="00C30F7C" w:rsidP="00C30F7C">
      <w:pPr>
        <w:jc w:val="both"/>
        <w:rPr>
          <w:rFonts w:cs="Arial"/>
          <w:sz w:val="22"/>
          <w:szCs w:val="22"/>
        </w:rPr>
      </w:pPr>
    </w:p>
    <w:p w14:paraId="693087CB" w14:textId="015EA66F" w:rsidR="00C30F7C" w:rsidRPr="008F291F" w:rsidRDefault="00C30F7C" w:rsidP="00C30F7C">
      <w:pPr>
        <w:jc w:val="both"/>
        <w:rPr>
          <w:rFonts w:cs="Arial"/>
          <w:sz w:val="22"/>
          <w:szCs w:val="22"/>
          <w:u w:val="single"/>
        </w:rPr>
      </w:pPr>
      <w:r w:rsidRPr="008F291F">
        <w:rPr>
          <w:rFonts w:cs="Arial"/>
          <w:sz w:val="22"/>
          <w:szCs w:val="22"/>
          <w:u w:val="single"/>
        </w:rPr>
        <w:t xml:space="preserve">Value for Money Assessment </w:t>
      </w:r>
    </w:p>
    <w:p w14:paraId="05D66F29" w14:textId="77777777" w:rsidR="00C30F7C" w:rsidRPr="008F291F" w:rsidRDefault="00C30F7C" w:rsidP="00C30F7C">
      <w:pPr>
        <w:jc w:val="both"/>
        <w:rPr>
          <w:rFonts w:cs="Arial"/>
          <w:sz w:val="22"/>
          <w:szCs w:val="22"/>
          <w:lang w:eastAsia="en-GB"/>
        </w:rPr>
      </w:pPr>
      <w:r w:rsidRPr="008F291F">
        <w:rPr>
          <w:rFonts w:cs="Arial"/>
          <w:sz w:val="22"/>
          <w:szCs w:val="22"/>
          <w:lang w:eastAsia="en-GB"/>
        </w:rPr>
        <w:t>The Business Case value for money assessment overall remains valid. Please refer to the latest business case for more details on the programmes expected and current Value for Money position across the 5Es: Economy, Efficiency, Effectiveness, Cost Effectiveness and Equity. In addition to this, a short summary of the programme’s updated Value for Money position has been provided below.</w:t>
      </w:r>
    </w:p>
    <w:p w14:paraId="0E732767" w14:textId="77777777" w:rsidR="00C30F7C" w:rsidRPr="008F291F" w:rsidRDefault="00C30F7C" w:rsidP="00C30F7C">
      <w:pPr>
        <w:jc w:val="both"/>
        <w:rPr>
          <w:rFonts w:cs="Arial"/>
          <w:sz w:val="22"/>
          <w:szCs w:val="22"/>
          <w:lang w:eastAsia="en-GB"/>
        </w:rPr>
      </w:pPr>
    </w:p>
    <w:p w14:paraId="72BB5409" w14:textId="128C370A" w:rsidR="00C30F7C" w:rsidRPr="008F291F" w:rsidRDefault="00C30F7C" w:rsidP="00C30F7C">
      <w:pPr>
        <w:jc w:val="both"/>
        <w:rPr>
          <w:rFonts w:cs="Arial"/>
          <w:sz w:val="22"/>
          <w:szCs w:val="22"/>
          <w:lang w:eastAsia="en-GB"/>
        </w:rPr>
      </w:pPr>
      <w:r w:rsidRPr="008F291F">
        <w:rPr>
          <w:rFonts w:cs="Arial"/>
          <w:sz w:val="22"/>
          <w:szCs w:val="22"/>
          <w:lang w:eastAsia="en-GB"/>
        </w:rPr>
        <w:t>The programme continues to remain on track relative to latest expectations and continues to represent Value for Money, with most of the programmes </w:t>
      </w:r>
      <w:proofErr w:type="spellStart"/>
      <w:r w:rsidR="00365E71">
        <w:rPr>
          <w:rFonts w:cs="Arial"/>
          <w:sz w:val="22"/>
          <w:szCs w:val="22"/>
          <w:lang w:eastAsia="en-GB"/>
        </w:rPr>
        <w:t>l</w:t>
      </w:r>
      <w:r w:rsidRPr="008F291F">
        <w:rPr>
          <w:rFonts w:cs="Arial"/>
          <w:sz w:val="22"/>
          <w:szCs w:val="22"/>
          <w:lang w:eastAsia="en-GB"/>
        </w:rPr>
        <w:t>ogframe</w:t>
      </w:r>
      <w:proofErr w:type="spellEnd"/>
      <w:r w:rsidRPr="008F291F">
        <w:rPr>
          <w:rFonts w:cs="Arial"/>
          <w:sz w:val="22"/>
          <w:szCs w:val="22"/>
          <w:lang w:eastAsia="en-GB"/>
        </w:rPr>
        <w:t> Indicator milestones this year being achieved or exceeded. </w:t>
      </w:r>
    </w:p>
    <w:p w14:paraId="1793D143" w14:textId="77777777" w:rsidR="00C30F7C" w:rsidRPr="008F291F" w:rsidRDefault="00C30F7C" w:rsidP="00C30F7C">
      <w:pPr>
        <w:jc w:val="both"/>
        <w:rPr>
          <w:rFonts w:cs="Arial"/>
          <w:sz w:val="22"/>
          <w:szCs w:val="22"/>
        </w:rPr>
      </w:pPr>
    </w:p>
    <w:p w14:paraId="66E159B3" w14:textId="2723A8F9" w:rsidR="00C30F7C" w:rsidRPr="008F291F" w:rsidRDefault="00C30F7C" w:rsidP="00C30F7C">
      <w:pPr>
        <w:jc w:val="both"/>
        <w:rPr>
          <w:rFonts w:cs="Arial"/>
          <w:sz w:val="22"/>
          <w:szCs w:val="22"/>
        </w:rPr>
      </w:pPr>
      <w:r w:rsidRPr="008F291F">
        <w:rPr>
          <w:rFonts w:cs="Arial"/>
          <w:sz w:val="22"/>
          <w:szCs w:val="22"/>
          <w:u w:val="single"/>
        </w:rPr>
        <w:t>Economy</w:t>
      </w:r>
      <w:r w:rsidRPr="008F291F">
        <w:rPr>
          <w:rFonts w:cs="Arial"/>
          <w:sz w:val="22"/>
          <w:szCs w:val="22"/>
        </w:rPr>
        <w:t>  </w:t>
      </w:r>
    </w:p>
    <w:p w14:paraId="6E3B05E9" w14:textId="77777777" w:rsidR="00C30F7C" w:rsidRPr="008F291F" w:rsidRDefault="00C30F7C" w:rsidP="00C30F7C">
      <w:pPr>
        <w:jc w:val="both"/>
        <w:rPr>
          <w:rFonts w:cs="Arial"/>
          <w:sz w:val="22"/>
          <w:szCs w:val="22"/>
          <w:lang w:eastAsia="en-GB"/>
        </w:rPr>
      </w:pPr>
      <w:r w:rsidRPr="008F291F">
        <w:rPr>
          <w:rFonts w:cs="Arial"/>
          <w:sz w:val="22"/>
          <w:szCs w:val="22"/>
          <w:lang w:eastAsia="en-GB"/>
        </w:rPr>
        <w:t xml:space="preserve">Administration and management fees are the two main economy indicators considered. These are broken down in the table below.   CIF procedures are purposely designed to be light touch, reflecting the intention to not duplicate but leverage MDB governance frameworks (where the UK is also represented at the board level). This is a major driver for securing good economy </w:t>
      </w:r>
      <w:proofErr w:type="gramStart"/>
      <w:r w:rsidRPr="008F291F">
        <w:rPr>
          <w:rFonts w:cs="Arial"/>
          <w:sz w:val="22"/>
          <w:szCs w:val="22"/>
          <w:lang w:eastAsia="en-GB"/>
        </w:rPr>
        <w:t>in regard to</w:t>
      </w:r>
      <w:proofErr w:type="gramEnd"/>
      <w:r w:rsidRPr="008F291F">
        <w:rPr>
          <w:rFonts w:cs="Arial"/>
          <w:sz w:val="22"/>
          <w:szCs w:val="22"/>
          <w:lang w:eastAsia="en-GB"/>
        </w:rPr>
        <w:t xml:space="preserve"> the administrative costs, especially when compared against comparable institutions. </w:t>
      </w:r>
    </w:p>
    <w:p w14:paraId="695EAC56" w14:textId="77777777" w:rsidR="00C30F7C" w:rsidRPr="008F291F" w:rsidRDefault="00C30F7C" w:rsidP="00C30F7C">
      <w:pPr>
        <w:jc w:val="both"/>
        <w:rPr>
          <w:rFonts w:cs="Arial"/>
          <w:sz w:val="22"/>
          <w:szCs w:val="22"/>
          <w:lang w:eastAsia="en-GB"/>
        </w:rPr>
      </w:pPr>
    </w:p>
    <w:p w14:paraId="70064046" w14:textId="77777777" w:rsidR="00C30F7C" w:rsidRPr="008F291F" w:rsidRDefault="00C30F7C" w:rsidP="00C30F7C">
      <w:pPr>
        <w:jc w:val="both"/>
        <w:rPr>
          <w:rFonts w:cs="Arial"/>
          <w:sz w:val="22"/>
          <w:szCs w:val="22"/>
          <w:lang w:eastAsia="en-GB"/>
        </w:rPr>
      </w:pPr>
      <w:r w:rsidRPr="008F291F">
        <w:rPr>
          <w:rFonts w:cs="Arial"/>
          <w:sz w:val="22"/>
          <w:szCs w:val="22"/>
          <w:lang w:eastAsia="en-GB"/>
        </w:rPr>
        <w:t>The management fees also compare well against similar organisations such as the GCF and GEF (see tables below). This suggests that CIF operates in a comparatively economic manner. Furthermore, the CIF Boards scrutinise all relevant budgets and workplans and are presented with budgetary information through operational reports twice a year. This helps ensure that strong levers are available to ensure continuing good economy.  </w:t>
      </w:r>
    </w:p>
    <w:p w14:paraId="3CEE9504" w14:textId="77777777" w:rsidR="00C30F7C" w:rsidRPr="008F291F" w:rsidRDefault="00C30F7C" w:rsidP="00C30F7C">
      <w:pPr>
        <w:jc w:val="both"/>
        <w:textAlignment w:val="baseline"/>
        <w:rPr>
          <w:rFonts w:cs="Arial"/>
          <w:i/>
          <w:sz w:val="22"/>
          <w:szCs w:val="22"/>
          <w:u w:val="single"/>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07"/>
        <w:gridCol w:w="1636"/>
        <w:gridCol w:w="1636"/>
        <w:gridCol w:w="1637"/>
      </w:tblGrid>
      <w:tr w:rsidR="00BD58E5" w:rsidRPr="008F291F" w14:paraId="143DB5A3" w14:textId="77777777" w:rsidTr="00770817">
        <w:trPr>
          <w:trHeight w:val="300"/>
        </w:trPr>
        <w:tc>
          <w:tcPr>
            <w:tcW w:w="2278" w:type="pct"/>
            <w:shd w:val="clear" w:color="auto" w:fill="DBE5F1"/>
            <w:vAlign w:val="center"/>
            <w:hideMark/>
          </w:tcPr>
          <w:p w14:paraId="27D79438" w14:textId="77777777" w:rsidR="00C30F7C" w:rsidRPr="008F291F" w:rsidRDefault="00C30F7C" w:rsidP="00770817">
            <w:pPr>
              <w:ind w:left="840" w:hanging="420"/>
              <w:jc w:val="center"/>
              <w:textAlignment w:val="baseline"/>
              <w:rPr>
                <w:rFonts w:cs="Arial"/>
                <w:b/>
                <w:sz w:val="22"/>
                <w:szCs w:val="22"/>
                <w:lang w:eastAsia="en-GB"/>
              </w:rPr>
            </w:pPr>
            <w:proofErr w:type="spellStart"/>
            <w:r w:rsidRPr="008F291F">
              <w:rPr>
                <w:rFonts w:cs="Arial"/>
                <w:b/>
                <w:sz w:val="22"/>
                <w:szCs w:val="22"/>
                <w:lang w:val="en" w:eastAsia="en-GB"/>
              </w:rPr>
              <w:t>Programme</w:t>
            </w:r>
            <w:proofErr w:type="spellEnd"/>
            <w:r w:rsidRPr="008F291F">
              <w:rPr>
                <w:rFonts w:cs="Arial"/>
                <w:b/>
                <w:sz w:val="22"/>
                <w:szCs w:val="22"/>
                <w:lang w:eastAsia="en-GB"/>
              </w:rPr>
              <w:t xml:space="preserve"> management fees</w:t>
            </w:r>
          </w:p>
        </w:tc>
        <w:tc>
          <w:tcPr>
            <w:tcW w:w="907" w:type="pct"/>
            <w:shd w:val="clear" w:color="auto" w:fill="DBE5F1"/>
            <w:vAlign w:val="center"/>
            <w:hideMark/>
          </w:tcPr>
          <w:p w14:paraId="145DF30D" w14:textId="11D75AF8" w:rsidR="00C30F7C" w:rsidRPr="008F291F" w:rsidRDefault="00C30F7C" w:rsidP="00770817">
            <w:pPr>
              <w:jc w:val="center"/>
              <w:textAlignment w:val="baseline"/>
              <w:rPr>
                <w:rFonts w:cs="Arial"/>
                <w:sz w:val="22"/>
                <w:szCs w:val="22"/>
                <w:lang w:eastAsia="en-GB"/>
              </w:rPr>
            </w:pPr>
            <w:r w:rsidRPr="008F291F">
              <w:rPr>
                <w:rFonts w:cs="Arial"/>
                <w:b/>
                <w:sz w:val="22"/>
                <w:szCs w:val="22"/>
                <w:lang w:val="en" w:eastAsia="en-GB"/>
              </w:rPr>
              <w:t>CIF</w:t>
            </w:r>
          </w:p>
        </w:tc>
        <w:tc>
          <w:tcPr>
            <w:tcW w:w="907" w:type="pct"/>
            <w:shd w:val="clear" w:color="auto" w:fill="DBE5F1"/>
            <w:vAlign w:val="center"/>
            <w:hideMark/>
          </w:tcPr>
          <w:p w14:paraId="7341F0DE" w14:textId="0DC99A96" w:rsidR="00C30F7C" w:rsidRPr="008F291F" w:rsidRDefault="00C30F7C" w:rsidP="00770817">
            <w:pPr>
              <w:jc w:val="center"/>
              <w:textAlignment w:val="baseline"/>
              <w:rPr>
                <w:rFonts w:cs="Arial"/>
                <w:sz w:val="22"/>
                <w:szCs w:val="22"/>
                <w:lang w:eastAsia="en-GB"/>
              </w:rPr>
            </w:pPr>
            <w:r w:rsidRPr="008F291F">
              <w:rPr>
                <w:rFonts w:cs="Arial"/>
                <w:b/>
                <w:sz w:val="22"/>
                <w:szCs w:val="22"/>
                <w:lang w:eastAsia="en-GB"/>
              </w:rPr>
              <w:t>GCF</w:t>
            </w:r>
            <w:r w:rsidRPr="008F291F">
              <w:rPr>
                <w:rFonts w:cs="Arial"/>
                <w:sz w:val="22"/>
                <w:szCs w:val="22"/>
                <w:lang w:eastAsia="en-GB"/>
              </w:rPr>
              <w:t> </w:t>
            </w:r>
          </w:p>
        </w:tc>
        <w:tc>
          <w:tcPr>
            <w:tcW w:w="908" w:type="pct"/>
            <w:shd w:val="clear" w:color="auto" w:fill="DBE5F1"/>
            <w:vAlign w:val="center"/>
            <w:hideMark/>
          </w:tcPr>
          <w:p w14:paraId="43C268DD" w14:textId="0A3C32B4" w:rsidR="00C30F7C" w:rsidRPr="008F291F" w:rsidRDefault="00C30F7C" w:rsidP="00770817">
            <w:pPr>
              <w:jc w:val="center"/>
              <w:textAlignment w:val="baseline"/>
              <w:rPr>
                <w:rFonts w:cs="Arial"/>
                <w:sz w:val="22"/>
                <w:szCs w:val="22"/>
                <w:lang w:eastAsia="en-GB"/>
              </w:rPr>
            </w:pPr>
            <w:r w:rsidRPr="008F291F">
              <w:rPr>
                <w:rFonts w:cs="Arial"/>
                <w:b/>
                <w:sz w:val="22"/>
                <w:szCs w:val="22"/>
                <w:lang w:eastAsia="en-GB"/>
              </w:rPr>
              <w:t>GEF</w:t>
            </w:r>
            <w:r w:rsidRPr="008F291F">
              <w:rPr>
                <w:rFonts w:cs="Arial"/>
                <w:sz w:val="22"/>
                <w:szCs w:val="22"/>
                <w:lang w:eastAsia="en-GB"/>
              </w:rPr>
              <w:t> </w:t>
            </w:r>
          </w:p>
        </w:tc>
      </w:tr>
      <w:tr w:rsidR="00BD58E5" w:rsidRPr="008F291F" w14:paraId="1171BBBB" w14:textId="77777777" w:rsidTr="00770817">
        <w:trPr>
          <w:trHeight w:val="300"/>
        </w:trPr>
        <w:tc>
          <w:tcPr>
            <w:tcW w:w="2278" w:type="pct"/>
            <w:vAlign w:val="center"/>
            <w:hideMark/>
          </w:tcPr>
          <w:p w14:paraId="1E6DEF68" w14:textId="77777777" w:rsidR="00C30F7C" w:rsidRPr="008F291F" w:rsidRDefault="00C30F7C" w:rsidP="00F020F4">
            <w:pPr>
              <w:jc w:val="both"/>
              <w:textAlignment w:val="baseline"/>
              <w:rPr>
                <w:rFonts w:cs="Arial"/>
                <w:sz w:val="22"/>
                <w:szCs w:val="22"/>
                <w:lang w:eastAsia="en-GB"/>
              </w:rPr>
            </w:pPr>
            <w:r w:rsidRPr="008F291F">
              <w:rPr>
                <w:rFonts w:cs="Arial"/>
                <w:sz w:val="22"/>
                <w:szCs w:val="22"/>
                <w:lang w:eastAsia="en-GB"/>
              </w:rPr>
              <w:t>MDB Project Implementation Services Costs as % of Cumulative Funding Decisions   </w:t>
            </w:r>
          </w:p>
        </w:tc>
        <w:tc>
          <w:tcPr>
            <w:tcW w:w="907" w:type="pct"/>
            <w:vAlign w:val="center"/>
            <w:hideMark/>
          </w:tcPr>
          <w:p w14:paraId="7A861D4E" w14:textId="4C87B566" w:rsidR="00C30F7C" w:rsidRPr="008F291F" w:rsidRDefault="00C30F7C" w:rsidP="008E65B7">
            <w:pPr>
              <w:jc w:val="right"/>
              <w:textAlignment w:val="baseline"/>
              <w:rPr>
                <w:rFonts w:cs="Arial"/>
                <w:sz w:val="22"/>
                <w:szCs w:val="22"/>
                <w:lang w:eastAsia="en-GB"/>
              </w:rPr>
            </w:pPr>
            <w:r w:rsidRPr="008F291F">
              <w:rPr>
                <w:rFonts w:cs="Arial"/>
                <w:sz w:val="22"/>
                <w:szCs w:val="22"/>
                <w:lang w:eastAsia="en-GB"/>
              </w:rPr>
              <w:t>0.70% - 3.9%</w:t>
            </w:r>
            <w:r w:rsidRPr="008F291F">
              <w:rPr>
                <w:rStyle w:val="FootnoteReference"/>
                <w:rFonts w:cs="Arial"/>
                <w:sz w:val="22"/>
                <w:szCs w:val="22"/>
                <w:lang w:eastAsia="en-GB"/>
              </w:rPr>
              <w:footnoteReference w:id="9"/>
            </w:r>
          </w:p>
        </w:tc>
        <w:tc>
          <w:tcPr>
            <w:tcW w:w="907" w:type="pct"/>
            <w:vAlign w:val="center"/>
            <w:hideMark/>
          </w:tcPr>
          <w:p w14:paraId="061F1FD7" w14:textId="0D46DBBB" w:rsidR="00C30F7C" w:rsidRPr="008F291F" w:rsidRDefault="00C30F7C" w:rsidP="008E65B7">
            <w:pPr>
              <w:jc w:val="right"/>
              <w:textAlignment w:val="baseline"/>
              <w:rPr>
                <w:rFonts w:cs="Arial"/>
                <w:sz w:val="22"/>
                <w:szCs w:val="22"/>
                <w:lang w:eastAsia="en-GB"/>
              </w:rPr>
            </w:pPr>
            <w:r w:rsidRPr="008F291F">
              <w:rPr>
                <w:rFonts w:cs="Arial"/>
                <w:sz w:val="22"/>
                <w:szCs w:val="22"/>
                <w:lang w:eastAsia="en-GB"/>
              </w:rPr>
              <w:t>4.8.5%</w:t>
            </w:r>
            <w:r w:rsidRPr="008F291F">
              <w:rPr>
                <w:rStyle w:val="FootnoteReference"/>
                <w:rFonts w:cs="Arial"/>
                <w:sz w:val="22"/>
                <w:szCs w:val="22"/>
                <w:lang w:eastAsia="en-GB"/>
              </w:rPr>
              <w:footnoteReference w:id="10"/>
            </w:r>
          </w:p>
        </w:tc>
        <w:tc>
          <w:tcPr>
            <w:tcW w:w="908" w:type="pct"/>
            <w:vAlign w:val="center"/>
            <w:hideMark/>
          </w:tcPr>
          <w:p w14:paraId="73154129" w14:textId="726847F5" w:rsidR="00C30F7C" w:rsidRPr="008F291F" w:rsidRDefault="00C30F7C" w:rsidP="008E65B7">
            <w:pPr>
              <w:jc w:val="right"/>
              <w:textAlignment w:val="baseline"/>
              <w:rPr>
                <w:rFonts w:cs="Arial"/>
                <w:sz w:val="22"/>
                <w:szCs w:val="22"/>
                <w:lang w:eastAsia="en-GB"/>
              </w:rPr>
            </w:pPr>
            <w:r w:rsidRPr="008F291F">
              <w:rPr>
                <w:rFonts w:cs="Arial"/>
                <w:sz w:val="22"/>
                <w:szCs w:val="22"/>
                <w:lang w:eastAsia="en-GB"/>
              </w:rPr>
              <w:t>4-9.5%</w:t>
            </w:r>
            <w:r w:rsidRPr="008F291F">
              <w:rPr>
                <w:rStyle w:val="FootnoteReference"/>
                <w:rFonts w:cs="Arial"/>
                <w:sz w:val="22"/>
                <w:szCs w:val="22"/>
                <w:lang w:eastAsia="en-GB"/>
              </w:rPr>
              <w:footnoteReference w:id="11"/>
            </w:r>
          </w:p>
        </w:tc>
      </w:tr>
    </w:tbl>
    <w:p w14:paraId="533BB5E5" w14:textId="77777777" w:rsidR="00C30F7C" w:rsidRPr="008F291F" w:rsidRDefault="00C30F7C" w:rsidP="00C30F7C">
      <w:pPr>
        <w:jc w:val="both"/>
        <w:textAlignment w:val="baseline"/>
        <w:rPr>
          <w:rFonts w:cs="Arial"/>
          <w:i/>
          <w:sz w:val="22"/>
          <w:szCs w:val="22"/>
          <w:lang w:eastAsia="en-GB"/>
        </w:rPr>
      </w:pPr>
    </w:p>
    <w:p w14:paraId="34BDFE8A" w14:textId="77777777" w:rsidR="00C30F7C" w:rsidRPr="008F291F" w:rsidRDefault="00C30F7C" w:rsidP="00C30F7C">
      <w:pPr>
        <w:jc w:val="both"/>
        <w:textAlignment w:val="baseline"/>
        <w:rPr>
          <w:rFonts w:cs="Arial"/>
          <w:i/>
          <w:sz w:val="22"/>
          <w:szCs w:val="22"/>
          <w:u w:val="single"/>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107"/>
        <w:gridCol w:w="1636"/>
        <w:gridCol w:w="1636"/>
        <w:gridCol w:w="1637"/>
      </w:tblGrid>
      <w:tr w:rsidR="00BD58E5" w:rsidRPr="008F291F" w14:paraId="7A9FE64C" w14:textId="77777777" w:rsidTr="00770817">
        <w:trPr>
          <w:trHeight w:val="300"/>
        </w:trPr>
        <w:tc>
          <w:tcPr>
            <w:tcW w:w="2278" w:type="pct"/>
            <w:shd w:val="clear" w:color="auto" w:fill="DBE5F1"/>
            <w:vAlign w:val="center"/>
            <w:hideMark/>
          </w:tcPr>
          <w:p w14:paraId="77DAC0A2" w14:textId="0857229B" w:rsidR="00C30F7C" w:rsidRPr="008F291F" w:rsidRDefault="00C30F7C" w:rsidP="00770817">
            <w:pPr>
              <w:ind w:left="420" w:hanging="420"/>
              <w:jc w:val="both"/>
              <w:textAlignment w:val="baseline"/>
              <w:rPr>
                <w:rFonts w:cs="Arial"/>
                <w:b/>
                <w:sz w:val="22"/>
                <w:szCs w:val="22"/>
                <w:lang w:eastAsia="en-GB"/>
              </w:rPr>
            </w:pPr>
            <w:proofErr w:type="spellStart"/>
            <w:r w:rsidRPr="008F291F">
              <w:rPr>
                <w:rFonts w:cs="Arial"/>
                <w:b/>
                <w:sz w:val="22"/>
                <w:szCs w:val="22"/>
                <w:lang w:val="en" w:eastAsia="en-GB"/>
              </w:rPr>
              <w:t>Programme</w:t>
            </w:r>
            <w:proofErr w:type="spellEnd"/>
            <w:r w:rsidRPr="008F291F">
              <w:rPr>
                <w:rFonts w:cs="Arial"/>
                <w:b/>
                <w:sz w:val="22"/>
                <w:szCs w:val="22"/>
                <w:lang w:eastAsia="en-GB"/>
              </w:rPr>
              <w:t> admin fees</w:t>
            </w:r>
          </w:p>
        </w:tc>
        <w:tc>
          <w:tcPr>
            <w:tcW w:w="907" w:type="pct"/>
            <w:shd w:val="clear" w:color="auto" w:fill="DBE5F1"/>
            <w:vAlign w:val="center"/>
            <w:hideMark/>
          </w:tcPr>
          <w:p w14:paraId="1E1CF227" w14:textId="76C89F5C" w:rsidR="00C30F7C" w:rsidRPr="008F291F" w:rsidRDefault="00C30F7C" w:rsidP="00770817">
            <w:pPr>
              <w:jc w:val="center"/>
              <w:textAlignment w:val="baseline"/>
              <w:rPr>
                <w:rFonts w:cs="Arial"/>
                <w:sz w:val="22"/>
                <w:szCs w:val="22"/>
                <w:lang w:eastAsia="en-GB"/>
              </w:rPr>
            </w:pPr>
            <w:r w:rsidRPr="008F291F">
              <w:rPr>
                <w:rFonts w:cs="Arial"/>
                <w:b/>
                <w:sz w:val="22"/>
                <w:szCs w:val="22"/>
                <w:lang w:val="en" w:eastAsia="en-GB"/>
              </w:rPr>
              <w:t>CIF</w:t>
            </w:r>
          </w:p>
        </w:tc>
        <w:tc>
          <w:tcPr>
            <w:tcW w:w="907" w:type="pct"/>
            <w:shd w:val="clear" w:color="auto" w:fill="DBE5F1"/>
            <w:vAlign w:val="center"/>
            <w:hideMark/>
          </w:tcPr>
          <w:p w14:paraId="578279D7" w14:textId="09968EE0" w:rsidR="00C30F7C" w:rsidRPr="008F291F" w:rsidRDefault="00C30F7C" w:rsidP="00770817">
            <w:pPr>
              <w:jc w:val="center"/>
              <w:textAlignment w:val="baseline"/>
              <w:rPr>
                <w:rFonts w:cs="Arial"/>
                <w:sz w:val="22"/>
                <w:szCs w:val="22"/>
                <w:lang w:eastAsia="en-GB"/>
              </w:rPr>
            </w:pPr>
            <w:r w:rsidRPr="008F291F">
              <w:rPr>
                <w:rFonts w:cs="Arial"/>
                <w:b/>
                <w:sz w:val="22"/>
                <w:szCs w:val="22"/>
                <w:lang w:eastAsia="en-GB"/>
              </w:rPr>
              <w:t>GCF</w:t>
            </w:r>
            <w:r w:rsidRPr="008F291F">
              <w:rPr>
                <w:rFonts w:cs="Arial"/>
                <w:sz w:val="22"/>
                <w:szCs w:val="22"/>
                <w:lang w:eastAsia="en-GB"/>
              </w:rPr>
              <w:t> </w:t>
            </w:r>
          </w:p>
        </w:tc>
        <w:tc>
          <w:tcPr>
            <w:tcW w:w="908" w:type="pct"/>
            <w:shd w:val="clear" w:color="auto" w:fill="DBE5F1"/>
            <w:vAlign w:val="center"/>
            <w:hideMark/>
          </w:tcPr>
          <w:p w14:paraId="4389055F" w14:textId="6FF3E3FD" w:rsidR="00C30F7C" w:rsidRPr="008F291F" w:rsidRDefault="00C30F7C" w:rsidP="00770817">
            <w:pPr>
              <w:jc w:val="center"/>
              <w:textAlignment w:val="baseline"/>
              <w:rPr>
                <w:rFonts w:cs="Arial"/>
                <w:sz w:val="22"/>
                <w:szCs w:val="22"/>
                <w:lang w:eastAsia="en-GB"/>
              </w:rPr>
            </w:pPr>
            <w:r w:rsidRPr="008F291F">
              <w:rPr>
                <w:rFonts w:cs="Arial"/>
                <w:b/>
                <w:sz w:val="22"/>
                <w:szCs w:val="22"/>
                <w:lang w:eastAsia="en-GB"/>
              </w:rPr>
              <w:t>GEF</w:t>
            </w:r>
            <w:r w:rsidRPr="008F291F">
              <w:rPr>
                <w:rFonts w:cs="Arial"/>
                <w:sz w:val="22"/>
                <w:szCs w:val="22"/>
                <w:lang w:eastAsia="en-GB"/>
              </w:rPr>
              <w:t> </w:t>
            </w:r>
          </w:p>
        </w:tc>
      </w:tr>
      <w:tr w:rsidR="00BD58E5" w:rsidRPr="008F291F" w14:paraId="74DF9E19" w14:textId="77777777" w:rsidTr="00770817">
        <w:trPr>
          <w:trHeight w:val="300"/>
        </w:trPr>
        <w:tc>
          <w:tcPr>
            <w:tcW w:w="2278" w:type="pct"/>
            <w:vAlign w:val="center"/>
            <w:hideMark/>
          </w:tcPr>
          <w:p w14:paraId="6352FB2D" w14:textId="77777777" w:rsidR="00C30F7C" w:rsidRPr="008F291F" w:rsidRDefault="00C30F7C" w:rsidP="00F020F4">
            <w:pPr>
              <w:jc w:val="both"/>
              <w:textAlignment w:val="baseline"/>
              <w:rPr>
                <w:rFonts w:cs="Arial"/>
                <w:sz w:val="22"/>
                <w:szCs w:val="22"/>
                <w:lang w:eastAsia="en-GB"/>
              </w:rPr>
            </w:pPr>
            <w:r w:rsidRPr="008F291F">
              <w:rPr>
                <w:rFonts w:cs="Arial"/>
                <w:sz w:val="22"/>
                <w:szCs w:val="22"/>
                <w:lang w:eastAsia="en-GB"/>
              </w:rPr>
              <w:t>Admin Costs as % of Cumulative Funding Decisions   </w:t>
            </w:r>
          </w:p>
        </w:tc>
        <w:tc>
          <w:tcPr>
            <w:tcW w:w="907" w:type="pct"/>
            <w:vAlign w:val="center"/>
            <w:hideMark/>
          </w:tcPr>
          <w:p w14:paraId="017ADA13" w14:textId="3FF8DEF1" w:rsidR="00C30F7C" w:rsidRPr="008F291F" w:rsidRDefault="00C30F7C" w:rsidP="008E65B7">
            <w:pPr>
              <w:ind w:left="840" w:hanging="420"/>
              <w:jc w:val="right"/>
              <w:textAlignment w:val="baseline"/>
              <w:rPr>
                <w:rFonts w:cs="Arial"/>
                <w:sz w:val="22"/>
                <w:szCs w:val="22"/>
                <w:lang w:eastAsia="en-GB"/>
              </w:rPr>
            </w:pPr>
            <w:r w:rsidRPr="008F291F">
              <w:rPr>
                <w:rFonts w:cs="Arial"/>
                <w:sz w:val="22"/>
                <w:szCs w:val="22"/>
                <w:lang w:val="en" w:eastAsia="en-GB"/>
              </w:rPr>
              <w:t>3.5%</w:t>
            </w:r>
            <w:r w:rsidRPr="008F291F">
              <w:rPr>
                <w:rStyle w:val="FootnoteReference"/>
                <w:rFonts w:cs="Arial"/>
                <w:sz w:val="22"/>
                <w:szCs w:val="22"/>
                <w:lang w:val="en" w:eastAsia="en-GB"/>
              </w:rPr>
              <w:footnoteReference w:id="12"/>
            </w:r>
            <w:r w:rsidRPr="008F291F">
              <w:rPr>
                <w:rFonts w:cs="Arial"/>
                <w:sz w:val="22"/>
                <w:szCs w:val="22"/>
                <w:lang w:eastAsia="en-GB"/>
              </w:rPr>
              <w:t> </w:t>
            </w:r>
          </w:p>
        </w:tc>
        <w:tc>
          <w:tcPr>
            <w:tcW w:w="907" w:type="pct"/>
            <w:vAlign w:val="center"/>
            <w:hideMark/>
          </w:tcPr>
          <w:p w14:paraId="610CAD84" w14:textId="498D881C" w:rsidR="00C30F7C" w:rsidRPr="008F291F" w:rsidRDefault="00C30F7C" w:rsidP="008E65B7">
            <w:pPr>
              <w:ind w:left="840" w:hanging="420"/>
              <w:jc w:val="right"/>
              <w:textAlignment w:val="baseline"/>
              <w:rPr>
                <w:rFonts w:cs="Arial"/>
                <w:sz w:val="22"/>
                <w:szCs w:val="22"/>
                <w:lang w:eastAsia="en-GB"/>
              </w:rPr>
            </w:pPr>
            <w:r w:rsidRPr="008F291F">
              <w:rPr>
                <w:rFonts w:cs="Arial"/>
                <w:sz w:val="22"/>
                <w:szCs w:val="22"/>
                <w:lang w:eastAsia="en-GB"/>
              </w:rPr>
              <w:t>4.8%</w:t>
            </w:r>
            <w:r w:rsidRPr="008F291F">
              <w:rPr>
                <w:rStyle w:val="FootnoteReference"/>
                <w:rFonts w:cs="Arial"/>
                <w:sz w:val="22"/>
                <w:szCs w:val="22"/>
                <w:lang w:eastAsia="en-GB"/>
              </w:rPr>
              <w:footnoteReference w:id="13"/>
            </w:r>
            <w:r w:rsidRPr="008F291F">
              <w:rPr>
                <w:rFonts w:cs="Arial"/>
                <w:sz w:val="22"/>
                <w:szCs w:val="22"/>
                <w:lang w:eastAsia="en-GB"/>
              </w:rPr>
              <w:t> </w:t>
            </w:r>
          </w:p>
        </w:tc>
        <w:tc>
          <w:tcPr>
            <w:tcW w:w="908" w:type="pct"/>
            <w:vAlign w:val="center"/>
            <w:hideMark/>
          </w:tcPr>
          <w:p w14:paraId="3E699E03" w14:textId="55AB7BBA" w:rsidR="00C30F7C" w:rsidRPr="008F291F" w:rsidRDefault="00C30F7C" w:rsidP="008E65B7">
            <w:pPr>
              <w:ind w:left="840" w:hanging="420"/>
              <w:jc w:val="right"/>
              <w:textAlignment w:val="baseline"/>
              <w:rPr>
                <w:rFonts w:cs="Arial"/>
                <w:sz w:val="22"/>
                <w:szCs w:val="22"/>
                <w:lang w:eastAsia="en-GB"/>
              </w:rPr>
            </w:pPr>
            <w:r w:rsidRPr="008F291F">
              <w:rPr>
                <w:rFonts w:cs="Arial"/>
                <w:sz w:val="22"/>
                <w:szCs w:val="22"/>
                <w:lang w:eastAsia="en-GB"/>
              </w:rPr>
              <w:t>5-10%</w:t>
            </w:r>
            <w:r w:rsidRPr="008F291F">
              <w:rPr>
                <w:rStyle w:val="FootnoteReference"/>
                <w:rFonts w:cs="Arial"/>
                <w:sz w:val="22"/>
                <w:szCs w:val="22"/>
                <w:lang w:eastAsia="en-GB"/>
              </w:rPr>
              <w:footnoteReference w:id="14"/>
            </w:r>
            <w:r w:rsidRPr="008F291F">
              <w:rPr>
                <w:rFonts w:cs="Arial"/>
                <w:sz w:val="22"/>
                <w:szCs w:val="22"/>
                <w:lang w:eastAsia="en-GB"/>
              </w:rPr>
              <w:t> </w:t>
            </w:r>
          </w:p>
        </w:tc>
      </w:tr>
    </w:tbl>
    <w:p w14:paraId="41C10A16" w14:textId="77777777" w:rsidR="00C30F7C" w:rsidRPr="008F291F" w:rsidRDefault="00C30F7C" w:rsidP="00C30F7C">
      <w:pPr>
        <w:ind w:left="840" w:hanging="420"/>
        <w:jc w:val="both"/>
        <w:textAlignment w:val="baseline"/>
        <w:rPr>
          <w:rFonts w:cs="Arial"/>
          <w:sz w:val="22"/>
          <w:szCs w:val="22"/>
          <w:lang w:eastAsia="en-GB"/>
        </w:rPr>
      </w:pPr>
      <w:r w:rsidRPr="008F291F">
        <w:rPr>
          <w:rFonts w:cs="Arial"/>
          <w:sz w:val="22"/>
          <w:szCs w:val="22"/>
          <w:lang w:eastAsia="en-GB"/>
        </w:rPr>
        <w:t> </w:t>
      </w:r>
      <w:r w:rsidRPr="008F291F">
        <w:rPr>
          <w:rFonts w:cs="Arial"/>
          <w:sz w:val="22"/>
          <w:szCs w:val="22"/>
          <w:lang w:eastAsia="en-GB"/>
        </w:rPr>
        <w:tab/>
      </w:r>
    </w:p>
    <w:p w14:paraId="25ACC223" w14:textId="77777777" w:rsidR="00C30F7C" w:rsidRPr="008F291F" w:rsidRDefault="00C30F7C" w:rsidP="00C30F7C">
      <w:pPr>
        <w:ind w:left="840" w:hanging="420"/>
        <w:jc w:val="both"/>
        <w:textAlignment w:val="baseline"/>
        <w:rPr>
          <w:rFonts w:cs="Arial"/>
          <w:b/>
          <w:sz w:val="22"/>
          <w:szCs w:val="22"/>
          <w:u w:val="single"/>
          <w:lang w:eastAsia="en-GB"/>
        </w:rPr>
      </w:pPr>
    </w:p>
    <w:p w14:paraId="7E09446B" w14:textId="5D941716" w:rsidR="00C30F7C" w:rsidRPr="008F291F" w:rsidRDefault="00C30F7C" w:rsidP="00770817">
      <w:pPr>
        <w:ind w:left="420" w:hanging="420"/>
        <w:jc w:val="both"/>
        <w:textAlignment w:val="baseline"/>
        <w:rPr>
          <w:rFonts w:cs="Arial"/>
          <w:sz w:val="22"/>
          <w:szCs w:val="22"/>
          <w:lang w:eastAsia="en-GB"/>
        </w:rPr>
      </w:pPr>
      <w:r w:rsidRPr="008F291F">
        <w:rPr>
          <w:rFonts w:cs="Arial"/>
          <w:b/>
          <w:sz w:val="22"/>
          <w:szCs w:val="22"/>
          <w:u w:val="single"/>
          <w:lang w:eastAsia="en-GB"/>
        </w:rPr>
        <w:t>Efficiency </w:t>
      </w:r>
    </w:p>
    <w:p w14:paraId="4492BB6D" w14:textId="77777777" w:rsidR="00C30F7C" w:rsidRPr="008F291F" w:rsidRDefault="00C30F7C" w:rsidP="00C30F7C">
      <w:pPr>
        <w:spacing w:line="276" w:lineRule="auto"/>
        <w:jc w:val="both"/>
        <w:textAlignment w:val="baseline"/>
        <w:rPr>
          <w:rFonts w:cs="Arial"/>
          <w:sz w:val="22"/>
          <w:szCs w:val="22"/>
          <w:lang w:eastAsia="en-GB"/>
        </w:rPr>
      </w:pPr>
      <w:r w:rsidRPr="008F291F">
        <w:rPr>
          <w:rFonts w:cs="Arial"/>
          <w:sz w:val="22"/>
          <w:szCs w:val="22"/>
          <w:lang w:eastAsia="en-GB"/>
        </w:rPr>
        <w:t>Efficiency has been measured by assessing the co-financing rates and the speed of delivery (disbursements).  </w:t>
      </w:r>
    </w:p>
    <w:p w14:paraId="4C2D167E" w14:textId="77777777" w:rsidR="00C30F7C" w:rsidRPr="008F291F" w:rsidRDefault="00C30F7C" w:rsidP="00C30F7C">
      <w:pPr>
        <w:spacing w:line="276" w:lineRule="auto"/>
        <w:ind w:left="420"/>
        <w:jc w:val="both"/>
        <w:textAlignment w:val="baseline"/>
        <w:rPr>
          <w:rFonts w:cs="Arial"/>
          <w:sz w:val="22"/>
          <w:szCs w:val="22"/>
          <w:lang w:eastAsia="en-GB"/>
        </w:rPr>
      </w:pPr>
      <w:r w:rsidRPr="008F291F">
        <w:rPr>
          <w:rFonts w:cs="Arial"/>
          <w:sz w:val="22"/>
          <w:szCs w:val="22"/>
          <w:lang w:eastAsia="en-GB"/>
        </w:rPr>
        <w:t> </w:t>
      </w:r>
    </w:p>
    <w:p w14:paraId="78C4CE11" w14:textId="77777777" w:rsidR="00C30F7C" w:rsidRPr="008F291F" w:rsidRDefault="00C30F7C" w:rsidP="00C30F7C">
      <w:pPr>
        <w:spacing w:line="276" w:lineRule="auto"/>
        <w:jc w:val="both"/>
        <w:textAlignment w:val="baseline"/>
        <w:rPr>
          <w:rFonts w:cs="Arial"/>
          <w:sz w:val="22"/>
          <w:szCs w:val="22"/>
          <w:lang w:eastAsia="en-GB"/>
        </w:rPr>
      </w:pPr>
      <w:r w:rsidRPr="008F291F">
        <w:rPr>
          <w:rFonts w:cs="Arial"/>
          <w:sz w:val="22"/>
          <w:szCs w:val="22"/>
          <w:lang w:eastAsia="en-GB"/>
        </w:rPr>
        <w:t>The CIF’s average co-financing ratio is 1:10 (contributor country fund: co-financing from public and private sectors), this ratio is split into a private and public co-finance ratios of 1:3.2 and 1:6.8 respectively which compares favourably against similar multilateral climate funds:</w:t>
      </w:r>
    </w:p>
    <w:p w14:paraId="31224A67" w14:textId="77777777" w:rsidR="00C30F7C" w:rsidRPr="008F291F" w:rsidRDefault="00C30F7C" w:rsidP="00C30F7C">
      <w:pPr>
        <w:jc w:val="both"/>
        <w:textAlignment w:val="baseline"/>
        <w:rPr>
          <w:rFonts w:cs="Arial"/>
          <w:sz w:val="22"/>
          <w:szCs w:val="22"/>
          <w:lang w:eastAsia="en-GB"/>
        </w:rPr>
      </w:pPr>
    </w:p>
    <w:tbl>
      <w:tblPr>
        <w:tblW w:w="5000" w:type="pct"/>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4104"/>
        <w:gridCol w:w="1634"/>
        <w:gridCol w:w="1636"/>
        <w:gridCol w:w="1636"/>
      </w:tblGrid>
      <w:tr w:rsidR="00345342" w:rsidRPr="008F291F" w14:paraId="202B7A1E" w14:textId="77777777" w:rsidTr="00770817">
        <w:trPr>
          <w:trHeight w:val="300"/>
        </w:trPr>
        <w:tc>
          <w:tcPr>
            <w:tcW w:w="2277" w:type="pct"/>
            <w:tcBorders>
              <w:top w:val="nil"/>
              <w:left w:val="single" w:sz="6" w:space="0" w:color="000000" w:themeColor="text1"/>
              <w:bottom w:val="single" w:sz="6" w:space="0" w:color="000000" w:themeColor="text1"/>
              <w:right w:val="single" w:sz="6" w:space="0" w:color="000000" w:themeColor="text1"/>
            </w:tcBorders>
            <w:shd w:val="clear" w:color="auto" w:fill="DBE5F1"/>
            <w:vAlign w:val="center"/>
            <w:hideMark/>
          </w:tcPr>
          <w:p w14:paraId="0B8D1E5F" w14:textId="154687F4" w:rsidR="00C30F7C" w:rsidRPr="008F291F" w:rsidRDefault="00C30F7C" w:rsidP="00770817">
            <w:pPr>
              <w:ind w:left="420" w:hanging="420"/>
              <w:textAlignment w:val="baseline"/>
              <w:rPr>
                <w:rFonts w:cs="Arial"/>
                <w:sz w:val="22"/>
                <w:szCs w:val="22"/>
                <w:lang w:eastAsia="en-GB"/>
              </w:rPr>
            </w:pPr>
            <w:proofErr w:type="spellStart"/>
            <w:r w:rsidRPr="008F291F">
              <w:rPr>
                <w:rFonts w:cs="Arial"/>
                <w:b/>
                <w:sz w:val="22"/>
                <w:szCs w:val="22"/>
                <w:lang w:val="en" w:eastAsia="en-GB"/>
              </w:rPr>
              <w:t>Programme</w:t>
            </w:r>
            <w:proofErr w:type="spellEnd"/>
            <w:r w:rsidRPr="008F291F">
              <w:rPr>
                <w:rFonts w:cs="Arial"/>
                <w:sz w:val="22"/>
                <w:szCs w:val="22"/>
                <w:lang w:eastAsia="en-GB"/>
              </w:rPr>
              <w:t> </w:t>
            </w:r>
          </w:p>
        </w:tc>
        <w:tc>
          <w:tcPr>
            <w:tcW w:w="907" w:type="pct"/>
            <w:tcBorders>
              <w:top w:val="nil"/>
              <w:left w:val="nil"/>
              <w:bottom w:val="single" w:sz="6" w:space="0" w:color="000000" w:themeColor="text1"/>
              <w:right w:val="single" w:sz="6" w:space="0" w:color="000000" w:themeColor="text1"/>
            </w:tcBorders>
            <w:shd w:val="clear" w:color="auto" w:fill="DBE5F1"/>
            <w:vAlign w:val="center"/>
            <w:hideMark/>
          </w:tcPr>
          <w:p w14:paraId="3FD2EAE5" w14:textId="4DDA50C4" w:rsidR="00C30F7C" w:rsidRPr="008F291F" w:rsidRDefault="00C30F7C" w:rsidP="00770817">
            <w:pPr>
              <w:ind w:left="840" w:hanging="420"/>
              <w:textAlignment w:val="baseline"/>
              <w:rPr>
                <w:rFonts w:cs="Arial"/>
                <w:sz w:val="22"/>
                <w:szCs w:val="22"/>
                <w:lang w:eastAsia="en-GB"/>
              </w:rPr>
            </w:pPr>
            <w:r w:rsidRPr="008F291F">
              <w:rPr>
                <w:rFonts w:cs="Arial"/>
                <w:b/>
                <w:sz w:val="22"/>
                <w:szCs w:val="22"/>
                <w:lang w:val="en" w:eastAsia="en-GB"/>
              </w:rPr>
              <w:t>CIF</w:t>
            </w:r>
          </w:p>
        </w:tc>
        <w:tc>
          <w:tcPr>
            <w:tcW w:w="908" w:type="pct"/>
            <w:tcBorders>
              <w:top w:val="nil"/>
              <w:left w:val="nil"/>
              <w:bottom w:val="single" w:sz="6" w:space="0" w:color="000000" w:themeColor="text1"/>
              <w:right w:val="single" w:sz="6" w:space="0" w:color="000000" w:themeColor="text1"/>
            </w:tcBorders>
            <w:shd w:val="clear" w:color="auto" w:fill="DBE5F1"/>
            <w:vAlign w:val="center"/>
            <w:hideMark/>
          </w:tcPr>
          <w:p w14:paraId="198A1881" w14:textId="4B5940BA" w:rsidR="00C30F7C" w:rsidRPr="008F291F" w:rsidRDefault="00C30F7C" w:rsidP="00770817">
            <w:pPr>
              <w:ind w:left="840" w:hanging="420"/>
              <w:textAlignment w:val="baseline"/>
              <w:rPr>
                <w:rFonts w:cs="Arial"/>
                <w:sz w:val="22"/>
                <w:szCs w:val="22"/>
                <w:lang w:eastAsia="en-GB"/>
              </w:rPr>
            </w:pPr>
            <w:r w:rsidRPr="008F291F">
              <w:rPr>
                <w:rFonts w:cs="Arial"/>
                <w:b/>
                <w:sz w:val="22"/>
                <w:szCs w:val="22"/>
                <w:lang w:eastAsia="en-GB"/>
              </w:rPr>
              <w:t> GCF</w:t>
            </w:r>
            <w:r w:rsidRPr="008F291F">
              <w:rPr>
                <w:rFonts w:cs="Arial"/>
                <w:sz w:val="22"/>
                <w:szCs w:val="22"/>
                <w:lang w:eastAsia="en-GB"/>
              </w:rPr>
              <w:t> </w:t>
            </w:r>
          </w:p>
        </w:tc>
        <w:tc>
          <w:tcPr>
            <w:tcW w:w="908" w:type="pct"/>
            <w:tcBorders>
              <w:top w:val="nil"/>
              <w:left w:val="nil"/>
              <w:bottom w:val="single" w:sz="6" w:space="0" w:color="000000" w:themeColor="text1"/>
              <w:right w:val="single" w:sz="6" w:space="0" w:color="000000" w:themeColor="text1"/>
            </w:tcBorders>
            <w:shd w:val="clear" w:color="auto" w:fill="DBE5F1"/>
            <w:vAlign w:val="center"/>
            <w:hideMark/>
          </w:tcPr>
          <w:p w14:paraId="61DAC103" w14:textId="3A14EB06" w:rsidR="00C30F7C" w:rsidRPr="008F291F" w:rsidRDefault="00C30F7C" w:rsidP="00770817">
            <w:pPr>
              <w:ind w:left="840" w:hanging="420"/>
              <w:textAlignment w:val="baseline"/>
              <w:rPr>
                <w:rFonts w:cs="Arial"/>
                <w:sz w:val="22"/>
                <w:szCs w:val="22"/>
                <w:lang w:eastAsia="en-GB"/>
              </w:rPr>
            </w:pPr>
            <w:r w:rsidRPr="5B52CC01">
              <w:rPr>
                <w:rFonts w:cs="Arial"/>
                <w:b/>
                <w:bCs/>
                <w:sz w:val="22"/>
                <w:szCs w:val="22"/>
                <w:lang w:eastAsia="en-GB"/>
              </w:rPr>
              <w:t>GEF</w:t>
            </w:r>
            <w:r w:rsidRPr="5B52CC01">
              <w:rPr>
                <w:rFonts w:cs="Arial"/>
                <w:sz w:val="22"/>
                <w:szCs w:val="22"/>
                <w:lang w:eastAsia="en-GB"/>
              </w:rPr>
              <w:t> </w:t>
            </w:r>
          </w:p>
        </w:tc>
      </w:tr>
      <w:tr w:rsidR="00345342" w:rsidRPr="008F291F" w14:paraId="0B644223" w14:textId="77777777" w:rsidTr="00770817">
        <w:trPr>
          <w:trHeight w:val="300"/>
        </w:trPr>
        <w:tc>
          <w:tcPr>
            <w:tcW w:w="2277" w:type="pct"/>
            <w:tcBorders>
              <w:top w:val="nil"/>
              <w:left w:val="single" w:sz="6" w:space="0" w:color="000000" w:themeColor="text1"/>
              <w:bottom w:val="single" w:sz="6" w:space="0" w:color="000000" w:themeColor="text1"/>
              <w:right w:val="single" w:sz="6" w:space="0" w:color="000000" w:themeColor="text1"/>
            </w:tcBorders>
            <w:vAlign w:val="center"/>
            <w:hideMark/>
          </w:tcPr>
          <w:p w14:paraId="3EF88533" w14:textId="33C58FE3" w:rsidR="00C30F7C" w:rsidRPr="008F291F" w:rsidRDefault="00C30F7C" w:rsidP="00770817">
            <w:pPr>
              <w:ind w:left="420" w:hanging="420"/>
              <w:textAlignment w:val="baseline"/>
              <w:rPr>
                <w:rFonts w:cs="Arial"/>
                <w:sz w:val="22"/>
                <w:szCs w:val="22"/>
                <w:lang w:val="en" w:eastAsia="en-GB"/>
              </w:rPr>
            </w:pPr>
            <w:r w:rsidRPr="008F291F">
              <w:rPr>
                <w:rFonts w:cs="Arial"/>
                <w:sz w:val="22"/>
                <w:szCs w:val="22"/>
                <w:lang w:val="en" w:eastAsia="en-GB"/>
              </w:rPr>
              <w:t>Co-finance ratio</w:t>
            </w:r>
            <w:r w:rsidR="00FD0A0D">
              <w:rPr>
                <w:rStyle w:val="FootnoteReference"/>
                <w:rFonts w:cs="Arial"/>
                <w:sz w:val="22"/>
                <w:szCs w:val="22"/>
                <w:lang w:val="en" w:eastAsia="en-GB"/>
              </w:rPr>
              <w:footnoteReference w:id="15"/>
            </w:r>
          </w:p>
        </w:tc>
        <w:tc>
          <w:tcPr>
            <w:tcW w:w="907" w:type="pct"/>
            <w:tcBorders>
              <w:top w:val="nil"/>
              <w:left w:val="nil"/>
              <w:bottom w:val="single" w:sz="6" w:space="0" w:color="000000" w:themeColor="text1"/>
              <w:right w:val="single" w:sz="6" w:space="0" w:color="000000" w:themeColor="text1"/>
            </w:tcBorders>
            <w:vAlign w:val="center"/>
            <w:hideMark/>
          </w:tcPr>
          <w:p w14:paraId="5F1AC71F" w14:textId="77777777" w:rsidR="00C30F7C" w:rsidRPr="008F291F" w:rsidRDefault="00C30F7C" w:rsidP="008E65B7">
            <w:pPr>
              <w:ind w:left="840" w:hanging="420"/>
              <w:jc w:val="right"/>
              <w:textAlignment w:val="baseline"/>
              <w:rPr>
                <w:rFonts w:cs="Arial"/>
                <w:sz w:val="22"/>
                <w:szCs w:val="22"/>
                <w:lang w:eastAsia="en-GB"/>
              </w:rPr>
            </w:pPr>
            <w:r w:rsidRPr="008F291F">
              <w:rPr>
                <w:rFonts w:cs="Arial"/>
                <w:sz w:val="22"/>
                <w:szCs w:val="22"/>
                <w:lang w:eastAsia="en-GB"/>
              </w:rPr>
              <w:t>1:10</w:t>
            </w:r>
          </w:p>
        </w:tc>
        <w:tc>
          <w:tcPr>
            <w:tcW w:w="908" w:type="pct"/>
            <w:tcBorders>
              <w:top w:val="nil"/>
              <w:left w:val="nil"/>
              <w:bottom w:val="single" w:sz="6" w:space="0" w:color="000000" w:themeColor="text1"/>
              <w:right w:val="single" w:sz="6" w:space="0" w:color="000000" w:themeColor="text1"/>
            </w:tcBorders>
            <w:vAlign w:val="center"/>
            <w:hideMark/>
          </w:tcPr>
          <w:p w14:paraId="2155E90C" w14:textId="77777777" w:rsidR="00C30F7C" w:rsidRPr="008F291F" w:rsidRDefault="00C30F7C" w:rsidP="008E65B7">
            <w:pPr>
              <w:ind w:left="840" w:hanging="420"/>
              <w:jc w:val="right"/>
              <w:textAlignment w:val="baseline"/>
              <w:rPr>
                <w:rFonts w:cs="Arial"/>
                <w:sz w:val="22"/>
                <w:szCs w:val="22"/>
                <w:lang w:eastAsia="en-GB"/>
              </w:rPr>
            </w:pPr>
            <w:r w:rsidRPr="008F291F">
              <w:rPr>
                <w:rFonts w:cs="Arial"/>
                <w:sz w:val="22"/>
                <w:szCs w:val="22"/>
                <w:lang w:eastAsia="en-GB"/>
              </w:rPr>
              <w:t>1:3</w:t>
            </w:r>
          </w:p>
        </w:tc>
        <w:tc>
          <w:tcPr>
            <w:tcW w:w="908" w:type="pct"/>
            <w:tcBorders>
              <w:top w:val="nil"/>
              <w:left w:val="nil"/>
              <w:bottom w:val="single" w:sz="6" w:space="0" w:color="000000" w:themeColor="text1"/>
              <w:right w:val="single" w:sz="6" w:space="0" w:color="000000" w:themeColor="text1"/>
            </w:tcBorders>
            <w:vAlign w:val="center"/>
            <w:hideMark/>
          </w:tcPr>
          <w:p w14:paraId="77DA43B4" w14:textId="4F891BA5" w:rsidR="00C30F7C" w:rsidRPr="008F291F" w:rsidRDefault="00C30F7C" w:rsidP="008E65B7">
            <w:pPr>
              <w:ind w:left="840" w:hanging="420"/>
              <w:jc w:val="right"/>
              <w:textAlignment w:val="baseline"/>
              <w:rPr>
                <w:rFonts w:cs="Arial"/>
                <w:sz w:val="22"/>
                <w:szCs w:val="22"/>
                <w:lang w:eastAsia="en-GB"/>
              </w:rPr>
            </w:pPr>
            <w:r w:rsidRPr="008F291F">
              <w:rPr>
                <w:rFonts w:cs="Arial"/>
                <w:sz w:val="22"/>
                <w:szCs w:val="22"/>
                <w:lang w:eastAsia="en-GB"/>
              </w:rPr>
              <w:t>1:6</w:t>
            </w:r>
          </w:p>
        </w:tc>
      </w:tr>
    </w:tbl>
    <w:p w14:paraId="2049E201" w14:textId="77777777" w:rsidR="00C30F7C" w:rsidRPr="008F291F" w:rsidRDefault="00C30F7C" w:rsidP="00C30F7C">
      <w:pPr>
        <w:jc w:val="both"/>
        <w:rPr>
          <w:rFonts w:eastAsia="Arial" w:cs="Arial"/>
          <w:color w:val="000000" w:themeColor="text1"/>
          <w:sz w:val="22"/>
          <w:szCs w:val="22"/>
        </w:rPr>
      </w:pPr>
    </w:p>
    <w:p w14:paraId="4D6FF70F" w14:textId="77777777" w:rsidR="00C30F7C" w:rsidRPr="008F291F" w:rsidRDefault="00C30F7C" w:rsidP="00C30F7C">
      <w:pPr>
        <w:spacing w:line="276" w:lineRule="auto"/>
        <w:jc w:val="both"/>
        <w:rPr>
          <w:rFonts w:eastAsia="Arial" w:cs="Arial"/>
          <w:color w:val="000000" w:themeColor="text1"/>
          <w:sz w:val="22"/>
          <w:szCs w:val="22"/>
        </w:rPr>
      </w:pPr>
      <w:r w:rsidRPr="008F291F">
        <w:rPr>
          <w:rFonts w:eastAsia="Arial" w:cs="Arial"/>
          <w:color w:val="000000" w:themeColor="text1"/>
          <w:sz w:val="22"/>
          <w:szCs w:val="22"/>
        </w:rPr>
        <w:t>Speed of disbursements is a proxy for measuring the time taken to convert inputs to outputs. Most projects involve planning and construction of new and innovative large-scale infrastructure, so the time lag from CIF’s approval to full disbursement is typically over five years. CIF’s disbursement rate has been on par for a multilateral fund</w:t>
      </w:r>
      <w:r w:rsidRPr="008F291F">
        <w:rPr>
          <w:rStyle w:val="FootnoteReference"/>
          <w:rFonts w:eastAsia="Arial" w:cs="Arial"/>
          <w:color w:val="000000" w:themeColor="text1"/>
          <w:sz w:val="22"/>
          <w:szCs w:val="22"/>
        </w:rPr>
        <w:footnoteReference w:id="16"/>
      </w:r>
      <w:r w:rsidRPr="008F291F">
        <w:rPr>
          <w:rFonts w:eastAsia="Arial" w:cs="Arial"/>
          <w:color w:val="000000" w:themeColor="text1"/>
          <w:sz w:val="22"/>
          <w:szCs w:val="22"/>
        </w:rPr>
        <w:t xml:space="preserve"> and continues to improve over time. This is in line with our expectations and reflects the CIF’s maturing operational status. Several policy and procedural changes have been introduced recently with the aim of further improving efficiency. These include the revision and upgrading of the CIF’s risk reporting framework to improve the tracking of implementation risks; and an update to the project pipeline management policy which has both shortened the time given to develop projects and restricted the use of project extensions.</w:t>
      </w:r>
    </w:p>
    <w:p w14:paraId="283FDF0D" w14:textId="77777777" w:rsidR="00C30F7C" w:rsidRPr="008F291F" w:rsidRDefault="00C30F7C" w:rsidP="00C30F7C">
      <w:pPr>
        <w:spacing w:line="276" w:lineRule="auto"/>
        <w:jc w:val="both"/>
        <w:rPr>
          <w:rFonts w:eastAsia="Arial" w:cs="Arial"/>
          <w:b/>
          <w:bCs/>
          <w:color w:val="000000" w:themeColor="text1"/>
          <w:sz w:val="22"/>
          <w:szCs w:val="22"/>
          <w:u w:val="single"/>
        </w:rPr>
      </w:pPr>
    </w:p>
    <w:p w14:paraId="5B65EB37" w14:textId="77777777" w:rsidR="00C30F7C" w:rsidRPr="008F291F" w:rsidRDefault="00C30F7C" w:rsidP="00C30F7C">
      <w:pPr>
        <w:spacing w:line="276" w:lineRule="auto"/>
        <w:jc w:val="both"/>
        <w:rPr>
          <w:rFonts w:eastAsia="Arial" w:cs="Arial"/>
          <w:b/>
          <w:bCs/>
          <w:color w:val="000000" w:themeColor="text1"/>
          <w:sz w:val="22"/>
          <w:szCs w:val="22"/>
          <w:u w:val="single"/>
        </w:rPr>
      </w:pPr>
      <w:r w:rsidRPr="008F291F">
        <w:rPr>
          <w:rFonts w:eastAsia="Arial" w:cs="Arial"/>
          <w:b/>
          <w:bCs/>
          <w:color w:val="000000" w:themeColor="text1"/>
          <w:sz w:val="22"/>
          <w:szCs w:val="22"/>
          <w:u w:val="single"/>
        </w:rPr>
        <w:t>Effectiveness and Cost effectiveness</w:t>
      </w:r>
    </w:p>
    <w:p w14:paraId="6FFD84FA" w14:textId="77777777" w:rsidR="00C30F7C" w:rsidRPr="008F291F" w:rsidRDefault="00C30F7C" w:rsidP="00C30F7C">
      <w:pPr>
        <w:spacing w:line="276" w:lineRule="auto"/>
        <w:jc w:val="both"/>
        <w:rPr>
          <w:rFonts w:cs="Arial"/>
          <w:sz w:val="22"/>
          <w:szCs w:val="22"/>
        </w:rPr>
      </w:pPr>
      <w:r w:rsidRPr="008F291F">
        <w:rPr>
          <w:rFonts w:eastAsia="Arial" w:cs="Arial"/>
          <w:color w:val="000000" w:themeColor="text1"/>
          <w:sz w:val="22"/>
          <w:szCs w:val="22"/>
        </w:rPr>
        <w:t xml:space="preserve">The CIF contain several programmes and projects at different stages of maturity. However, based on the current pipelines we can be confident that the CIF are demonstrating effectiveness in their utilisation of funds. </w:t>
      </w:r>
      <w:r w:rsidRPr="008F291F">
        <w:rPr>
          <w:rFonts w:cs="Arial"/>
          <w:sz w:val="22"/>
          <w:szCs w:val="22"/>
        </w:rPr>
        <w:t xml:space="preserve">While the CIF have demonstrated strong performance since its inception, DESNZ is aiming to leverage new contributions to drive </w:t>
      </w:r>
      <w:proofErr w:type="spellStart"/>
      <w:r w:rsidRPr="008F291F">
        <w:rPr>
          <w:rFonts w:cs="Arial"/>
          <w:sz w:val="22"/>
          <w:szCs w:val="22"/>
        </w:rPr>
        <w:t>VfM</w:t>
      </w:r>
      <w:proofErr w:type="spellEnd"/>
      <w:r w:rsidRPr="008F291F">
        <w:rPr>
          <w:rFonts w:cs="Arial"/>
          <w:sz w:val="22"/>
          <w:szCs w:val="22"/>
        </w:rPr>
        <w:t xml:space="preserve"> and further maximising its impact. The UK is working closely with the CIF and contributor country community to:</w:t>
      </w:r>
    </w:p>
    <w:p w14:paraId="6BE36F84" w14:textId="77777777" w:rsidR="00C30F7C" w:rsidRPr="008F291F" w:rsidRDefault="00C30F7C" w:rsidP="00C30F7C">
      <w:pPr>
        <w:pStyle w:val="ListParagraph"/>
        <w:numPr>
          <w:ilvl w:val="0"/>
          <w:numId w:val="34"/>
        </w:numPr>
        <w:spacing w:after="160" w:line="276" w:lineRule="auto"/>
        <w:jc w:val="both"/>
        <w:rPr>
          <w:rFonts w:cs="Arial"/>
          <w:sz w:val="22"/>
          <w:szCs w:val="22"/>
        </w:rPr>
      </w:pPr>
      <w:r w:rsidRPr="008F291F">
        <w:rPr>
          <w:rFonts w:cs="Arial"/>
          <w:sz w:val="22"/>
          <w:szCs w:val="22"/>
        </w:rPr>
        <w:t xml:space="preserve">Diversify the range of financial instruments use with an emphasis on substituting concessional loans for smarter forms of support wherever appropriate, such as capital grants, interest rate subsidies and other performance instruments where this can be achieved at the same or lower level of </w:t>
      </w:r>
      <w:proofErr w:type="spellStart"/>
      <w:r w:rsidRPr="008F291F">
        <w:rPr>
          <w:rFonts w:cs="Arial"/>
          <w:sz w:val="22"/>
          <w:szCs w:val="22"/>
        </w:rPr>
        <w:t>concessionality</w:t>
      </w:r>
      <w:proofErr w:type="spellEnd"/>
      <w:r w:rsidRPr="008F291F">
        <w:rPr>
          <w:rFonts w:cs="Arial"/>
          <w:sz w:val="22"/>
          <w:szCs w:val="22"/>
        </w:rPr>
        <w:t xml:space="preserve"> at the project level and where other funders can provide the capital.</w:t>
      </w:r>
    </w:p>
    <w:p w14:paraId="0F3A0F2C" w14:textId="341E77B0" w:rsidR="00C30F7C" w:rsidRPr="008F291F" w:rsidRDefault="002E3DC6" w:rsidP="00AF06D1">
      <w:pPr>
        <w:pStyle w:val="Body"/>
        <w:numPr>
          <w:ilvl w:val="0"/>
          <w:numId w:val="34"/>
        </w:numPr>
      </w:pPr>
      <w:r>
        <w:t>Advance</w:t>
      </w:r>
      <w:r w:rsidR="00C30F7C" w:rsidRPr="008F291F">
        <w:t xml:space="preserve"> </w:t>
      </w:r>
      <w:r w:rsidR="00943AD5">
        <w:t>CCMM,</w:t>
      </w:r>
      <w:r w:rsidR="00C30F7C" w:rsidRPr="008F291F">
        <w:t xml:space="preserve"> that mobilises private sector financing towards the CIF, using reflows (from CIF projects) to issue bonds and finance additional CIF projects.</w:t>
      </w:r>
    </w:p>
    <w:p w14:paraId="4164B3F8" w14:textId="4FE6618B" w:rsidR="00C30F7C" w:rsidRPr="008F291F" w:rsidRDefault="00C30F7C" w:rsidP="00C30F7C">
      <w:pPr>
        <w:pStyle w:val="ListParagraph"/>
        <w:numPr>
          <w:ilvl w:val="0"/>
          <w:numId w:val="34"/>
        </w:numPr>
        <w:spacing w:after="160" w:line="276" w:lineRule="auto"/>
        <w:jc w:val="both"/>
        <w:rPr>
          <w:rFonts w:eastAsiaTheme="minorEastAsia" w:cs="Arial"/>
          <w:sz w:val="22"/>
          <w:szCs w:val="22"/>
        </w:rPr>
      </w:pPr>
      <w:r w:rsidRPr="008F291F">
        <w:rPr>
          <w:rFonts w:cs="Arial"/>
          <w:sz w:val="22"/>
          <w:szCs w:val="22"/>
        </w:rPr>
        <w:t>Drive efficiencies in several of the CIF policies and procedures. For example, the more detailed risk reporting framework which was introduced in 2018. This has already improved the tracking of implementation risks which should further improve the efficiency of CIF disbursements, included updating the cancellation policy (2020)</w:t>
      </w:r>
      <w:r w:rsidR="00497F2A">
        <w:rPr>
          <w:rFonts w:cs="Arial"/>
          <w:sz w:val="22"/>
          <w:szCs w:val="22"/>
        </w:rPr>
        <w:t>.</w:t>
      </w:r>
      <w:r w:rsidRPr="008F291F">
        <w:rPr>
          <w:rFonts w:cs="Arial"/>
          <w:sz w:val="22"/>
          <w:szCs w:val="22"/>
        </w:rPr>
        <w:t xml:space="preserve"> </w:t>
      </w:r>
    </w:p>
    <w:p w14:paraId="4F5918A5" w14:textId="17FA373B" w:rsidR="00C30F7C" w:rsidRPr="008F291F" w:rsidRDefault="00C30F7C" w:rsidP="00C30F7C">
      <w:pPr>
        <w:spacing w:line="276" w:lineRule="auto"/>
        <w:jc w:val="both"/>
        <w:rPr>
          <w:rFonts w:eastAsia="Arial" w:cs="Arial"/>
          <w:color w:val="000000" w:themeColor="text1"/>
          <w:sz w:val="22"/>
          <w:szCs w:val="22"/>
        </w:rPr>
      </w:pPr>
      <w:r w:rsidRPr="008F291F">
        <w:rPr>
          <w:rFonts w:eastAsia="Arial" w:cs="Arial"/>
          <w:color w:val="000000" w:themeColor="text1"/>
          <w:sz w:val="22"/>
          <w:szCs w:val="22"/>
        </w:rPr>
        <w:t xml:space="preserve">The CIF generally perform well against various cost effectiveness metrics when compared to other multilateral climate finance programmes. Cost effectiveness metrics (such as cost per tonne, co-finance ratios, cost per MW installed, cost per HA and per person supported) all fall within a reasonable expected range across the various sub funds. The CIF </w:t>
      </w:r>
      <w:proofErr w:type="gramStart"/>
      <w:r w:rsidRPr="008F291F">
        <w:rPr>
          <w:rFonts w:eastAsia="Arial" w:cs="Arial"/>
          <w:color w:val="000000" w:themeColor="text1"/>
          <w:sz w:val="22"/>
          <w:szCs w:val="22"/>
        </w:rPr>
        <w:t>as a whole expects</w:t>
      </w:r>
      <w:proofErr w:type="gramEnd"/>
      <w:r w:rsidRPr="008F291F">
        <w:rPr>
          <w:rFonts w:eastAsia="Arial" w:cs="Arial"/>
          <w:color w:val="000000" w:themeColor="text1"/>
          <w:sz w:val="22"/>
          <w:szCs w:val="22"/>
        </w:rPr>
        <w:t xml:space="preserve"> to deliver substantial levels of mobilised finance. On average CIF projects expected to deliver a 1:10 co-finance ratio, made up of 1:6 public and 1:3 private. This is especially the case for the mature CTF programme which has been able to demonstrate strong progress against the expected results that were forecasted through the programmes result framework. For the CTF, the expected co-finance ratio is around 1:10, the expected cost per tonne is around £27 and the expected cost per MW installed is around £1.7m. These metrics all compare favourably against other programmes in the ICF portfolio working in similar sectors. The CIF also continues to make significant contributions to the ICF annual results publication, holding one of the larger programmes shares across the reported KPIs for both achieved and expected results.</w:t>
      </w:r>
    </w:p>
    <w:p w14:paraId="3E1B8FF6" w14:textId="77777777" w:rsidR="00C30F7C" w:rsidRPr="008F291F" w:rsidRDefault="00C30F7C" w:rsidP="00C30F7C">
      <w:pPr>
        <w:spacing w:line="276" w:lineRule="auto"/>
        <w:jc w:val="both"/>
        <w:rPr>
          <w:rFonts w:eastAsia="Arial" w:cs="Arial"/>
          <w:color w:val="000000" w:themeColor="text1"/>
          <w:sz w:val="22"/>
          <w:szCs w:val="22"/>
        </w:rPr>
      </w:pPr>
    </w:p>
    <w:p w14:paraId="28134CD5" w14:textId="77777777" w:rsidR="00C30F7C" w:rsidRPr="008F291F" w:rsidRDefault="00C30F7C" w:rsidP="00C30F7C">
      <w:pPr>
        <w:spacing w:line="276" w:lineRule="auto"/>
        <w:jc w:val="both"/>
        <w:rPr>
          <w:rFonts w:eastAsia="Arial" w:cs="Arial"/>
          <w:b/>
          <w:bCs/>
          <w:color w:val="000000" w:themeColor="text1"/>
          <w:sz w:val="22"/>
          <w:szCs w:val="22"/>
          <w:u w:val="single"/>
        </w:rPr>
      </w:pPr>
      <w:r w:rsidRPr="008F291F">
        <w:rPr>
          <w:rFonts w:eastAsia="Arial" w:cs="Arial"/>
          <w:b/>
          <w:bCs/>
          <w:color w:val="000000" w:themeColor="text1"/>
          <w:sz w:val="22"/>
          <w:szCs w:val="22"/>
          <w:u w:val="single"/>
        </w:rPr>
        <w:t xml:space="preserve">Equity </w:t>
      </w:r>
    </w:p>
    <w:p w14:paraId="07774785" w14:textId="09560E38" w:rsidR="00C30F7C" w:rsidRPr="008F291F" w:rsidRDefault="00C30F7C" w:rsidP="00C30F7C">
      <w:pPr>
        <w:jc w:val="both"/>
        <w:rPr>
          <w:rFonts w:cs="Arial"/>
          <w:sz w:val="22"/>
          <w:szCs w:val="22"/>
        </w:rPr>
      </w:pPr>
      <w:r w:rsidRPr="5B52CC01">
        <w:rPr>
          <w:rFonts w:eastAsiaTheme="minorEastAsia" w:cs="Arial"/>
          <w:sz w:val="22"/>
          <w:szCs w:val="22"/>
        </w:rPr>
        <w:t>An increase in climate-related disasters is having a disproportionate impact on the world’s most vulnerable, such as women and indigenous people</w:t>
      </w:r>
      <w:r w:rsidR="7DA6C196" w:rsidRPr="5B52CC01">
        <w:rPr>
          <w:rFonts w:eastAsiaTheme="minorEastAsia" w:cs="Arial"/>
          <w:sz w:val="22"/>
          <w:szCs w:val="22"/>
        </w:rPr>
        <w:t>s</w:t>
      </w:r>
      <w:r w:rsidRPr="5B52CC01">
        <w:rPr>
          <w:rFonts w:eastAsiaTheme="minorEastAsia" w:cs="Arial"/>
          <w:sz w:val="22"/>
          <w:szCs w:val="22"/>
        </w:rPr>
        <w:t xml:space="preserve"> in developing countries. It is imperative that ‘climate-smart development’ both supports the world’s most vulnerable and bolsters the role that they can play as ‘change agents and decision makers’ in mitigation and resilience-building activities. The CIF have been at the forefront in tackling and mainstreaming these issues over the past </w:t>
      </w:r>
      <w:r w:rsidRPr="008F291F">
        <w:rPr>
          <w:rFonts w:cs="Arial"/>
          <w:sz w:val="22"/>
          <w:szCs w:val="22"/>
        </w:rPr>
        <w:t>17 years. They have used their experience to develop:</w:t>
      </w:r>
    </w:p>
    <w:p w14:paraId="05FF7F61" w14:textId="77777777" w:rsidR="00C30F7C" w:rsidRPr="008F291F" w:rsidRDefault="00C30F7C" w:rsidP="00C30F7C">
      <w:pPr>
        <w:pStyle w:val="ListParagraph"/>
        <w:numPr>
          <w:ilvl w:val="0"/>
          <w:numId w:val="32"/>
        </w:numPr>
        <w:spacing w:after="120" w:line="276" w:lineRule="auto"/>
        <w:contextualSpacing w:val="0"/>
        <w:jc w:val="both"/>
        <w:rPr>
          <w:rFonts w:cs="Arial"/>
          <w:sz w:val="22"/>
          <w:szCs w:val="22"/>
        </w:rPr>
      </w:pPr>
      <w:r w:rsidRPr="008F291F">
        <w:rPr>
          <w:rFonts w:cs="Arial"/>
          <w:sz w:val="22"/>
          <w:szCs w:val="22"/>
        </w:rPr>
        <w:t>A dedicated indigenous populations policy to ensure CIF projects include them as active stakeholders where relevant – Recognised as best practice by civil society, it is now shaping the next generation of DESNZ ICF REDD+ programming, with CIF under consideration as a future delivery route.</w:t>
      </w:r>
    </w:p>
    <w:p w14:paraId="35C65959" w14:textId="77777777" w:rsidR="00C30F7C" w:rsidRPr="008F291F" w:rsidRDefault="00C30F7C" w:rsidP="00C30F7C">
      <w:pPr>
        <w:pStyle w:val="ListParagraph"/>
        <w:numPr>
          <w:ilvl w:val="0"/>
          <w:numId w:val="32"/>
        </w:numPr>
        <w:spacing w:after="120" w:line="276" w:lineRule="auto"/>
        <w:contextualSpacing w:val="0"/>
        <w:jc w:val="both"/>
        <w:rPr>
          <w:rFonts w:cs="Arial"/>
          <w:sz w:val="22"/>
          <w:szCs w:val="22"/>
        </w:rPr>
      </w:pPr>
      <w:r w:rsidRPr="008F291F">
        <w:rPr>
          <w:rFonts w:cs="Arial"/>
          <w:sz w:val="22"/>
          <w:szCs w:val="22"/>
        </w:rPr>
        <w:t>A Dedicated Grant Mechanism (DGM) initiative which provides direct financing to empower indigenous and local communities to sustainably manage natural resources, restore land and better cope with the impacts of climate change. As of December 2024, the DGM has supported over 1000 indigenous and local communities across 13 countries, covering over 2.5 million hectares of land.</w:t>
      </w:r>
    </w:p>
    <w:p w14:paraId="155E6C26" w14:textId="77777777" w:rsidR="00C30F7C" w:rsidRPr="008F291F" w:rsidRDefault="00C30F7C" w:rsidP="00C30F7C">
      <w:pPr>
        <w:pStyle w:val="ListParagraph"/>
        <w:numPr>
          <w:ilvl w:val="0"/>
          <w:numId w:val="32"/>
        </w:numPr>
        <w:spacing w:after="120" w:line="276" w:lineRule="auto"/>
        <w:contextualSpacing w:val="0"/>
        <w:jc w:val="both"/>
        <w:rPr>
          <w:rFonts w:cs="Arial"/>
          <w:sz w:val="22"/>
          <w:szCs w:val="22"/>
        </w:rPr>
      </w:pPr>
      <w:r w:rsidRPr="008F291F">
        <w:rPr>
          <w:rFonts w:cs="Arial"/>
          <w:sz w:val="22"/>
          <w:szCs w:val="22"/>
        </w:rPr>
        <w:t>The CIF’s Gender Policy, has now progressed to ‘stage 4’, moving beyond mainstreaming and targeted impacts to fully institutionalising gender considerations across its stakeholders.</w:t>
      </w:r>
    </w:p>
    <w:p w14:paraId="6267A5D9" w14:textId="77777777" w:rsidR="00C30F7C" w:rsidRPr="008F291F" w:rsidRDefault="00C30F7C" w:rsidP="00C30F7C">
      <w:pPr>
        <w:pStyle w:val="ListParagraph"/>
        <w:numPr>
          <w:ilvl w:val="0"/>
          <w:numId w:val="32"/>
        </w:numPr>
        <w:spacing w:after="120" w:line="276" w:lineRule="auto"/>
        <w:contextualSpacing w:val="0"/>
        <w:jc w:val="both"/>
        <w:rPr>
          <w:rFonts w:cs="Arial"/>
          <w:sz w:val="22"/>
          <w:szCs w:val="22"/>
        </w:rPr>
      </w:pPr>
      <w:r w:rsidRPr="008F291F">
        <w:rPr>
          <w:rFonts w:cs="Arial"/>
          <w:sz w:val="22"/>
          <w:szCs w:val="22"/>
        </w:rPr>
        <w:t>Disability Inclusion: CIF’s approach recognises the disproportionate impact of climate change on persons with disabilities. The Disability Inclusion Framework promotes mainstreaming disability across investment cycles through inclusive consultations, accessibility audits, and integrating disability indicators, emphasizing tailored, sector-specific actions, and is considered by FCDO to be cutting edge.</w:t>
      </w:r>
    </w:p>
    <w:p w14:paraId="3D5270F1" w14:textId="77777777" w:rsidR="00C30F7C" w:rsidRPr="008F291F" w:rsidRDefault="00C30F7C" w:rsidP="00C30F7C">
      <w:pPr>
        <w:pStyle w:val="ListParagraph"/>
        <w:numPr>
          <w:ilvl w:val="0"/>
          <w:numId w:val="32"/>
        </w:numPr>
        <w:spacing w:after="120" w:line="276" w:lineRule="auto"/>
        <w:contextualSpacing w:val="0"/>
        <w:jc w:val="both"/>
        <w:rPr>
          <w:rFonts w:cs="Arial"/>
          <w:sz w:val="22"/>
          <w:szCs w:val="22"/>
        </w:rPr>
      </w:pPr>
      <w:r w:rsidRPr="008F291F">
        <w:rPr>
          <w:rFonts w:cs="Arial"/>
          <w:sz w:val="22"/>
          <w:szCs w:val="22"/>
        </w:rPr>
        <w:t>Sharing lessons with other Multilateral Climate funds: CIF leads coordinated efforts with other Multilateral Climate Funds to harmonise gender-responsive climate finance. Key achievements include developing a joint roadmap for policy harmonisation, joint programming, knowledge exchange, and resource mobilisation, alongside advancing shared gender and social inclusion actions and guidance.</w:t>
      </w:r>
    </w:p>
    <w:p w14:paraId="1EC391BD" w14:textId="77777777" w:rsidR="00C30F7C" w:rsidRPr="008F291F" w:rsidRDefault="00C30F7C" w:rsidP="00C30F7C">
      <w:pPr>
        <w:jc w:val="both"/>
        <w:rPr>
          <w:rFonts w:cs="Arial"/>
          <w:sz w:val="22"/>
          <w:szCs w:val="22"/>
        </w:rPr>
      </w:pPr>
      <w:r w:rsidRPr="008F291F">
        <w:rPr>
          <w:rFonts w:cs="Arial"/>
          <w:sz w:val="22"/>
          <w:szCs w:val="22"/>
        </w:rPr>
        <w:t>The CIF supports the equitable provision of climate finance in several other ways, including through:</w:t>
      </w:r>
    </w:p>
    <w:p w14:paraId="4FBABE60" w14:textId="77777777" w:rsidR="00C30F7C" w:rsidRPr="008F291F" w:rsidRDefault="00C30F7C" w:rsidP="00C30F7C">
      <w:pPr>
        <w:pStyle w:val="ListParagraph"/>
        <w:numPr>
          <w:ilvl w:val="0"/>
          <w:numId w:val="33"/>
        </w:numPr>
        <w:spacing w:after="120" w:line="276" w:lineRule="auto"/>
        <w:contextualSpacing w:val="0"/>
        <w:jc w:val="both"/>
        <w:rPr>
          <w:rFonts w:cs="Arial"/>
          <w:sz w:val="22"/>
          <w:szCs w:val="22"/>
        </w:rPr>
      </w:pPr>
      <w:r w:rsidRPr="008F291F">
        <w:rPr>
          <w:rFonts w:cs="Arial"/>
          <w:sz w:val="22"/>
          <w:szCs w:val="22"/>
        </w:rPr>
        <w:t xml:space="preserve">Ensuring equal representation for recipient countries in board meetings, which strengthens their voice in the direction of the programme and its spending and </w:t>
      </w:r>
    </w:p>
    <w:p w14:paraId="4A2643FD" w14:textId="77777777" w:rsidR="00C30F7C" w:rsidRPr="008F291F" w:rsidRDefault="00C30F7C" w:rsidP="00C30F7C">
      <w:pPr>
        <w:pStyle w:val="ListParagraph"/>
        <w:numPr>
          <w:ilvl w:val="0"/>
          <w:numId w:val="33"/>
        </w:numPr>
        <w:spacing w:after="120" w:line="276" w:lineRule="auto"/>
        <w:contextualSpacing w:val="0"/>
        <w:jc w:val="both"/>
        <w:rPr>
          <w:rFonts w:cs="Arial"/>
          <w:sz w:val="22"/>
          <w:szCs w:val="22"/>
        </w:rPr>
      </w:pPr>
      <w:r w:rsidRPr="008F291F">
        <w:rPr>
          <w:rFonts w:cs="Arial"/>
          <w:sz w:val="22"/>
          <w:szCs w:val="22"/>
        </w:rPr>
        <w:t xml:space="preserve">The participation of observer groups and NGO network in the governance. As part of its broad based and inclusive governance structure, the CIF also invites stakeholders from outside these two groups to participate in committee meetings as active observers to help promote sound and transparent decision making, efficient use of resources, and complementarity with other sources of financing. Observers are drawn from civil society organizations (CSOs), the private sector, and indigenous peoples’ groups. Representatives from the GEF, the United Nations Framework Convention on Climate Change (UNFCCC), the United Nations Development Program (UNDP), and the United Nations Environment Program (UNEP) are also invited to observe meetings. </w:t>
      </w:r>
    </w:p>
    <w:p w14:paraId="390B15F4" w14:textId="76306212" w:rsidR="00C30F7C" w:rsidRPr="008F291F" w:rsidRDefault="00C30F7C" w:rsidP="004E3955">
      <w:pPr>
        <w:jc w:val="both"/>
        <w:rPr>
          <w:rFonts w:cs="Arial"/>
          <w:sz w:val="22"/>
          <w:szCs w:val="22"/>
        </w:rPr>
      </w:pPr>
      <w:r w:rsidRPr="008F291F">
        <w:rPr>
          <w:rFonts w:cs="Arial"/>
          <w:sz w:val="22"/>
          <w:szCs w:val="22"/>
        </w:rPr>
        <w:t>The CIF</w:t>
      </w:r>
      <w:r w:rsidR="00AC6A53">
        <w:rPr>
          <w:rFonts w:cs="Arial"/>
          <w:sz w:val="22"/>
          <w:szCs w:val="22"/>
        </w:rPr>
        <w:t xml:space="preserve">’s </w:t>
      </w:r>
      <w:r w:rsidRPr="008F291F">
        <w:rPr>
          <w:rFonts w:cs="Arial"/>
          <w:sz w:val="22"/>
          <w:szCs w:val="22"/>
        </w:rPr>
        <w:t>‘Just Transition Initiative’</w:t>
      </w:r>
      <w:r w:rsidRPr="008F291F">
        <w:rPr>
          <w:rStyle w:val="FootnoteReference"/>
          <w:rFonts w:cs="Arial"/>
          <w:sz w:val="22"/>
          <w:szCs w:val="22"/>
        </w:rPr>
        <w:footnoteReference w:id="17"/>
      </w:r>
      <w:r w:rsidRPr="008F291F">
        <w:rPr>
          <w:rFonts w:cs="Arial"/>
          <w:sz w:val="22"/>
          <w:szCs w:val="22"/>
        </w:rPr>
        <w:t xml:space="preserve"> uses the same mainstreaming approach used for mainstreaming Gender and local community issues</w:t>
      </w:r>
      <w:r w:rsidR="00AC6A53">
        <w:rPr>
          <w:rFonts w:cs="Arial"/>
          <w:sz w:val="22"/>
          <w:szCs w:val="22"/>
        </w:rPr>
        <w:t xml:space="preserve"> </w:t>
      </w:r>
      <w:r w:rsidRPr="008F291F">
        <w:rPr>
          <w:rFonts w:cs="Arial"/>
          <w:sz w:val="22"/>
          <w:szCs w:val="22"/>
        </w:rPr>
        <w:t xml:space="preserve">to ensure that the substantial benefits of a green economy transition are shared widely, while also supporting those who stand to lose economically. It also considers that a rapid increase in the speed and scale of actions required to reduce the risks of climate change will create new economic opportunities. Since its launch, the CIF have developed a Just </w:t>
      </w:r>
      <w:proofErr w:type="gramStart"/>
      <w:r w:rsidRPr="008F291F">
        <w:rPr>
          <w:rFonts w:cs="Arial"/>
          <w:sz w:val="22"/>
          <w:szCs w:val="22"/>
        </w:rPr>
        <w:t>Transition</w:t>
      </w:r>
      <w:r w:rsidR="00923F34">
        <w:rPr>
          <w:rFonts w:cs="Arial"/>
          <w:sz w:val="22"/>
          <w:szCs w:val="22"/>
        </w:rPr>
        <w:t>s</w:t>
      </w:r>
      <w:proofErr w:type="gramEnd"/>
      <w:r w:rsidRPr="008F291F">
        <w:rPr>
          <w:rFonts w:cs="Arial"/>
          <w:sz w:val="22"/>
          <w:szCs w:val="22"/>
        </w:rPr>
        <w:t xml:space="preserve"> toolbox and held several well-received workshops and seminars with recipient countries. Insights and resources from these tools have been actively used in the development of new CIF investment plans, where Just Transitions and GEDSI considerations are being more deeply integrated and embedded. MDBs themselves have begun to actively consider Just Transitions within CIF projects. The Just Transition initiative is strongly aligned to UK efforts in this area, and focuses on the socio-economic transformations required to accelerate efforts to combat climate change.</w:t>
      </w:r>
    </w:p>
    <w:p w14:paraId="44B9E42C" w14:textId="77777777" w:rsidR="00C30F7C" w:rsidRPr="008F291F" w:rsidRDefault="00C30F7C" w:rsidP="00C30F7C">
      <w:pPr>
        <w:rPr>
          <w:rFonts w:cs="Arial"/>
          <w:sz w:val="22"/>
          <w:szCs w:val="22"/>
        </w:rPr>
      </w:pPr>
    </w:p>
    <w:p w14:paraId="795611B2" w14:textId="52454083" w:rsidR="00C30F7C" w:rsidRPr="00DD5D3C" w:rsidRDefault="00C30F7C" w:rsidP="00C30F7C">
      <w:pPr>
        <w:pStyle w:val="TableDFIDStart"/>
        <w:rPr>
          <w:rFonts w:ascii="Arial" w:eastAsia="Times New Roman" w:hAnsi="Arial" w:cs="Arial"/>
          <w:sz w:val="22"/>
          <w:szCs w:val="22"/>
          <w:u w:val="single"/>
        </w:rPr>
      </w:pPr>
      <w:r w:rsidRPr="00DD5D3C">
        <w:rPr>
          <w:rFonts w:ascii="Arial" w:eastAsia="Times New Roman" w:hAnsi="Arial" w:cs="Arial"/>
          <w:sz w:val="22"/>
          <w:szCs w:val="22"/>
          <w:u w:val="single"/>
        </w:rPr>
        <w:t>Compliance</w:t>
      </w:r>
    </w:p>
    <w:tbl>
      <w:tblPr>
        <w:tblW w:w="0"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500"/>
        <w:gridCol w:w="4500"/>
      </w:tblGrid>
      <w:tr w:rsidR="00C30F7C" w:rsidRPr="008F291F" w14:paraId="39F56DC7" w14:textId="77777777" w:rsidTr="00F020F4">
        <w:trPr>
          <w:trHeight w:val="300"/>
        </w:trPr>
        <w:tc>
          <w:tcPr>
            <w:tcW w:w="4500" w:type="dxa"/>
            <w:tcBorders>
              <w:top w:val="single" w:sz="6" w:space="0" w:color="A3A3A3"/>
              <w:left w:val="single" w:sz="6" w:space="0" w:color="A3A3A3"/>
              <w:bottom w:val="single" w:sz="6" w:space="0" w:color="A3A3A3"/>
              <w:right w:val="single" w:sz="6" w:space="0" w:color="A3A3A3"/>
            </w:tcBorders>
            <w:hideMark/>
          </w:tcPr>
          <w:p w14:paraId="75F1D49E" w14:textId="77777777" w:rsidR="00C30F7C" w:rsidRPr="008F291F" w:rsidRDefault="00C30F7C" w:rsidP="00F020F4">
            <w:pPr>
              <w:pStyle w:val="TableDFIDStart"/>
              <w:jc w:val="both"/>
              <w:rPr>
                <w:rFonts w:ascii="Arial" w:eastAsia="Times New Roman" w:hAnsi="Arial" w:cs="Arial"/>
                <w:sz w:val="22"/>
                <w:szCs w:val="22"/>
              </w:rPr>
            </w:pPr>
            <w:r w:rsidRPr="008F291F">
              <w:rPr>
                <w:rFonts w:ascii="Arial" w:eastAsia="Times New Roman" w:hAnsi="Arial" w:cs="Arial"/>
                <w:b/>
                <w:bCs/>
                <w:sz w:val="22"/>
                <w:szCs w:val="22"/>
              </w:rPr>
              <w:t>Paris alignment pillar</w:t>
            </w:r>
            <w:r w:rsidRPr="008F291F">
              <w:rPr>
                <w:rFonts w:ascii="Arial" w:eastAsia="Times New Roman" w:hAnsi="Arial" w:cs="Arial"/>
                <w:sz w:val="22"/>
                <w:szCs w:val="22"/>
              </w:rPr>
              <w:t> </w:t>
            </w:r>
          </w:p>
        </w:tc>
        <w:tc>
          <w:tcPr>
            <w:tcW w:w="4500" w:type="dxa"/>
            <w:tcBorders>
              <w:top w:val="single" w:sz="6" w:space="0" w:color="A3A3A3"/>
              <w:left w:val="single" w:sz="6" w:space="0" w:color="A3A3A3"/>
              <w:bottom w:val="single" w:sz="6" w:space="0" w:color="A3A3A3"/>
              <w:right w:val="single" w:sz="6" w:space="0" w:color="A3A3A3"/>
            </w:tcBorders>
            <w:hideMark/>
          </w:tcPr>
          <w:p w14:paraId="5976B472" w14:textId="77777777" w:rsidR="00C30F7C" w:rsidRPr="008F291F" w:rsidRDefault="00C30F7C" w:rsidP="00F020F4">
            <w:pPr>
              <w:pStyle w:val="TableDFIDStart"/>
              <w:jc w:val="both"/>
              <w:rPr>
                <w:rFonts w:ascii="Arial" w:eastAsia="Times New Roman" w:hAnsi="Arial" w:cs="Arial"/>
                <w:sz w:val="22"/>
                <w:szCs w:val="22"/>
              </w:rPr>
            </w:pPr>
            <w:r w:rsidRPr="008F291F">
              <w:rPr>
                <w:rFonts w:ascii="Arial" w:eastAsia="Times New Roman" w:hAnsi="Arial" w:cs="Arial"/>
                <w:b/>
                <w:bCs/>
                <w:sz w:val="22"/>
                <w:szCs w:val="22"/>
              </w:rPr>
              <w:t>Description of activity</w:t>
            </w:r>
            <w:r w:rsidRPr="008F291F">
              <w:rPr>
                <w:rFonts w:ascii="Arial" w:eastAsia="Times New Roman" w:hAnsi="Arial" w:cs="Arial"/>
                <w:sz w:val="22"/>
                <w:szCs w:val="22"/>
              </w:rPr>
              <w:t> </w:t>
            </w:r>
          </w:p>
        </w:tc>
      </w:tr>
      <w:tr w:rsidR="00C30F7C" w:rsidRPr="008F291F" w14:paraId="5B1C8BA6" w14:textId="77777777" w:rsidTr="00F020F4">
        <w:trPr>
          <w:trHeight w:val="300"/>
        </w:trPr>
        <w:tc>
          <w:tcPr>
            <w:tcW w:w="4500" w:type="dxa"/>
            <w:tcBorders>
              <w:top w:val="single" w:sz="6" w:space="0" w:color="A3A3A3"/>
              <w:left w:val="single" w:sz="6" w:space="0" w:color="A3A3A3"/>
              <w:bottom w:val="single" w:sz="6" w:space="0" w:color="A3A3A3"/>
              <w:right w:val="single" w:sz="6" w:space="0" w:color="A3A3A3"/>
            </w:tcBorders>
            <w:hideMark/>
          </w:tcPr>
          <w:p w14:paraId="17814882" w14:textId="77777777" w:rsidR="00C30F7C" w:rsidRPr="008F291F" w:rsidRDefault="00C30F7C" w:rsidP="00F020F4">
            <w:pPr>
              <w:pStyle w:val="TableDFIDStart"/>
              <w:jc w:val="both"/>
              <w:rPr>
                <w:rFonts w:ascii="Arial" w:eastAsia="Times New Roman" w:hAnsi="Arial" w:cs="Arial"/>
                <w:sz w:val="22"/>
                <w:szCs w:val="22"/>
              </w:rPr>
            </w:pPr>
            <w:r w:rsidRPr="008F291F">
              <w:rPr>
                <w:rFonts w:ascii="Arial" w:eastAsia="Times New Roman" w:hAnsi="Arial" w:cs="Arial"/>
                <w:sz w:val="22"/>
                <w:szCs w:val="22"/>
              </w:rPr>
              <w:t>How have you taken a proportional approach to climate and environment risk assurance? </w:t>
            </w:r>
          </w:p>
        </w:tc>
        <w:tc>
          <w:tcPr>
            <w:tcW w:w="4500" w:type="dxa"/>
            <w:tcBorders>
              <w:top w:val="single" w:sz="6" w:space="0" w:color="A3A3A3"/>
              <w:left w:val="single" w:sz="6" w:space="0" w:color="A3A3A3"/>
              <w:bottom w:val="single" w:sz="6" w:space="0" w:color="A3A3A3"/>
              <w:right w:val="single" w:sz="6" w:space="0" w:color="A3A3A3"/>
            </w:tcBorders>
            <w:hideMark/>
          </w:tcPr>
          <w:p w14:paraId="55C75534" w14:textId="77777777" w:rsidR="00C30F7C" w:rsidRPr="008F291F" w:rsidRDefault="00C30F7C" w:rsidP="00F020F4">
            <w:pPr>
              <w:pStyle w:val="TableDFIDStart"/>
              <w:jc w:val="both"/>
              <w:rPr>
                <w:rFonts w:ascii="Arial" w:eastAsia="Times New Roman" w:hAnsi="Arial" w:cs="Arial"/>
                <w:sz w:val="22"/>
                <w:szCs w:val="22"/>
              </w:rPr>
            </w:pPr>
            <w:r w:rsidRPr="008F291F">
              <w:rPr>
                <w:rFonts w:ascii="Arial" w:eastAsia="Times New Roman" w:hAnsi="Arial" w:cs="Arial"/>
                <w:sz w:val="22"/>
                <w:szCs w:val="22"/>
              </w:rPr>
              <w:t>Rigorous climate and environment risk assessments are conducted at the project and programme level by MDBs and at the portfolio level by the CIF Secretariat according to their respective policies. We evaluate alignment with HMG policies for individual projects and programmes via the approval process and at the fund level.</w:t>
            </w:r>
          </w:p>
        </w:tc>
      </w:tr>
      <w:tr w:rsidR="00C30F7C" w:rsidRPr="008F291F" w14:paraId="67E3B045" w14:textId="77777777" w:rsidTr="00F020F4">
        <w:trPr>
          <w:trHeight w:val="300"/>
        </w:trPr>
        <w:tc>
          <w:tcPr>
            <w:tcW w:w="4500" w:type="dxa"/>
            <w:tcBorders>
              <w:top w:val="single" w:sz="6" w:space="0" w:color="A3A3A3"/>
              <w:left w:val="single" w:sz="6" w:space="0" w:color="A3A3A3"/>
              <w:bottom w:val="single" w:sz="6" w:space="0" w:color="A3A3A3"/>
              <w:right w:val="single" w:sz="6" w:space="0" w:color="A3A3A3"/>
            </w:tcBorders>
            <w:hideMark/>
          </w:tcPr>
          <w:p w14:paraId="71263E63" w14:textId="77777777" w:rsidR="00C30F7C" w:rsidRPr="008F291F" w:rsidRDefault="00C30F7C" w:rsidP="00F020F4">
            <w:pPr>
              <w:pStyle w:val="TableDFIDStart"/>
              <w:jc w:val="both"/>
              <w:rPr>
                <w:rFonts w:ascii="Arial" w:eastAsia="Times New Roman" w:hAnsi="Arial" w:cs="Arial"/>
                <w:sz w:val="22"/>
                <w:szCs w:val="22"/>
              </w:rPr>
            </w:pPr>
            <w:r w:rsidRPr="008F291F">
              <w:rPr>
                <w:rFonts w:ascii="Arial" w:eastAsia="Times New Roman" w:hAnsi="Arial" w:cs="Arial"/>
                <w:sz w:val="22"/>
                <w:szCs w:val="22"/>
              </w:rPr>
              <w:t>How have you taken a proportional approach to using shadow carbon pricing? </w:t>
            </w:r>
          </w:p>
        </w:tc>
        <w:tc>
          <w:tcPr>
            <w:tcW w:w="4500" w:type="dxa"/>
            <w:tcBorders>
              <w:top w:val="single" w:sz="6" w:space="0" w:color="A3A3A3"/>
              <w:left w:val="single" w:sz="6" w:space="0" w:color="A3A3A3"/>
              <w:bottom w:val="single" w:sz="6" w:space="0" w:color="A3A3A3"/>
              <w:right w:val="single" w:sz="6" w:space="0" w:color="A3A3A3"/>
            </w:tcBorders>
            <w:hideMark/>
          </w:tcPr>
          <w:p w14:paraId="6334490F" w14:textId="77777777" w:rsidR="00C30F7C" w:rsidRPr="008F291F" w:rsidRDefault="00C30F7C" w:rsidP="00F020F4">
            <w:pPr>
              <w:pStyle w:val="TableDFIDStart"/>
              <w:jc w:val="both"/>
              <w:rPr>
                <w:rFonts w:ascii="Arial" w:eastAsia="Times New Roman" w:hAnsi="Arial" w:cs="Arial"/>
                <w:sz w:val="22"/>
                <w:szCs w:val="22"/>
              </w:rPr>
            </w:pPr>
            <w:r w:rsidRPr="008F291F">
              <w:rPr>
                <w:rFonts w:ascii="Arial" w:eastAsia="Times New Roman" w:hAnsi="Arial" w:cs="Arial"/>
                <w:sz w:val="22"/>
                <w:szCs w:val="22"/>
              </w:rPr>
              <w:t>MDBs calculate carbon emissions abatement and reduction figure for each project or programme which are then evaluated by HMG analysts during the approvals process. Programmes must demonstrate how they will reduce carbon emissions, directly or indirectly, to qualify for CIF funding.</w:t>
            </w:r>
          </w:p>
        </w:tc>
      </w:tr>
      <w:tr w:rsidR="00C30F7C" w:rsidRPr="008F291F" w14:paraId="37D253B6" w14:textId="77777777" w:rsidTr="00F020F4">
        <w:trPr>
          <w:trHeight w:val="300"/>
        </w:trPr>
        <w:tc>
          <w:tcPr>
            <w:tcW w:w="4500" w:type="dxa"/>
            <w:tcBorders>
              <w:top w:val="single" w:sz="6" w:space="0" w:color="A3A3A3"/>
              <w:left w:val="single" w:sz="6" w:space="0" w:color="A3A3A3"/>
              <w:bottom w:val="single" w:sz="6" w:space="0" w:color="A3A3A3"/>
              <w:right w:val="single" w:sz="6" w:space="0" w:color="A3A3A3"/>
            </w:tcBorders>
            <w:hideMark/>
          </w:tcPr>
          <w:p w14:paraId="24EE2F85" w14:textId="77777777" w:rsidR="00C30F7C" w:rsidRPr="008F291F" w:rsidRDefault="00C30F7C" w:rsidP="00F020F4">
            <w:pPr>
              <w:pStyle w:val="TableDFIDStart"/>
              <w:jc w:val="both"/>
              <w:rPr>
                <w:rFonts w:ascii="Arial" w:eastAsia="Times New Roman" w:hAnsi="Arial" w:cs="Arial"/>
                <w:sz w:val="22"/>
                <w:szCs w:val="22"/>
              </w:rPr>
            </w:pPr>
            <w:r w:rsidRPr="008F291F">
              <w:rPr>
                <w:rFonts w:ascii="Arial" w:eastAsia="Times New Roman" w:hAnsi="Arial" w:cs="Arial"/>
                <w:sz w:val="22"/>
                <w:szCs w:val="22"/>
              </w:rPr>
              <w:t>Does the programme adhere to HMG’s fossil fuel policy? </w:t>
            </w:r>
          </w:p>
        </w:tc>
        <w:tc>
          <w:tcPr>
            <w:tcW w:w="4500" w:type="dxa"/>
            <w:tcBorders>
              <w:top w:val="single" w:sz="6" w:space="0" w:color="A3A3A3"/>
              <w:left w:val="single" w:sz="6" w:space="0" w:color="A3A3A3"/>
              <w:bottom w:val="single" w:sz="6" w:space="0" w:color="A3A3A3"/>
              <w:right w:val="single" w:sz="6" w:space="0" w:color="A3A3A3"/>
            </w:tcBorders>
            <w:hideMark/>
          </w:tcPr>
          <w:p w14:paraId="60A1BCBC" w14:textId="77777777" w:rsidR="00C30F7C" w:rsidRPr="008F291F" w:rsidRDefault="00C30F7C" w:rsidP="00F020F4">
            <w:pPr>
              <w:pStyle w:val="TableDFIDStart"/>
              <w:jc w:val="both"/>
              <w:rPr>
                <w:rFonts w:ascii="Arial" w:eastAsia="Times New Roman" w:hAnsi="Arial" w:cs="Arial"/>
                <w:sz w:val="22"/>
                <w:szCs w:val="22"/>
              </w:rPr>
            </w:pPr>
            <w:r w:rsidRPr="008F291F">
              <w:rPr>
                <w:rFonts w:ascii="Arial" w:eastAsia="Times New Roman" w:hAnsi="Arial" w:cs="Arial"/>
                <w:sz w:val="22"/>
                <w:szCs w:val="22"/>
              </w:rPr>
              <w:t>Yes. CIF programmes do not include elements relating to fossil fuel support and thus does not go against the fossil fuel policy.</w:t>
            </w:r>
          </w:p>
        </w:tc>
      </w:tr>
      <w:tr w:rsidR="00C30F7C" w:rsidRPr="008F291F" w14:paraId="598FC28A" w14:textId="77777777" w:rsidTr="00F020F4">
        <w:trPr>
          <w:trHeight w:val="300"/>
        </w:trPr>
        <w:tc>
          <w:tcPr>
            <w:tcW w:w="4500" w:type="dxa"/>
            <w:tcBorders>
              <w:top w:val="single" w:sz="6" w:space="0" w:color="A3A3A3"/>
              <w:left w:val="single" w:sz="6" w:space="0" w:color="A3A3A3"/>
              <w:bottom w:val="single" w:sz="6" w:space="0" w:color="A3A3A3"/>
              <w:right w:val="single" w:sz="6" w:space="0" w:color="A3A3A3"/>
            </w:tcBorders>
            <w:hideMark/>
          </w:tcPr>
          <w:p w14:paraId="1AE237AC" w14:textId="77777777" w:rsidR="00C30F7C" w:rsidRPr="008F291F" w:rsidRDefault="00C30F7C" w:rsidP="00F020F4">
            <w:pPr>
              <w:pStyle w:val="TableDFIDStart"/>
              <w:jc w:val="both"/>
              <w:rPr>
                <w:rFonts w:ascii="Arial" w:eastAsia="Times New Roman" w:hAnsi="Arial" w:cs="Arial"/>
                <w:sz w:val="22"/>
                <w:szCs w:val="22"/>
              </w:rPr>
            </w:pPr>
            <w:r w:rsidRPr="008F291F">
              <w:rPr>
                <w:rFonts w:ascii="Arial" w:eastAsia="Times New Roman" w:hAnsi="Arial" w:cs="Arial"/>
                <w:sz w:val="22"/>
                <w:szCs w:val="22"/>
              </w:rPr>
              <w:t>Are you ensuring the programme does not undermine impacted countries climate plans? </w:t>
            </w:r>
          </w:p>
        </w:tc>
        <w:tc>
          <w:tcPr>
            <w:tcW w:w="4500" w:type="dxa"/>
            <w:tcBorders>
              <w:top w:val="single" w:sz="6" w:space="0" w:color="A3A3A3"/>
              <w:left w:val="single" w:sz="6" w:space="0" w:color="A3A3A3"/>
              <w:bottom w:val="single" w:sz="6" w:space="0" w:color="A3A3A3"/>
              <w:right w:val="single" w:sz="6" w:space="0" w:color="A3A3A3"/>
            </w:tcBorders>
            <w:hideMark/>
          </w:tcPr>
          <w:p w14:paraId="737E910E" w14:textId="77777777" w:rsidR="00C30F7C" w:rsidRPr="008F291F" w:rsidRDefault="00C30F7C" w:rsidP="00F020F4">
            <w:pPr>
              <w:pStyle w:val="TableDFIDStart"/>
              <w:jc w:val="both"/>
              <w:rPr>
                <w:rFonts w:ascii="Arial" w:eastAsia="Times New Roman" w:hAnsi="Arial" w:cs="Arial"/>
                <w:sz w:val="22"/>
                <w:szCs w:val="22"/>
              </w:rPr>
            </w:pPr>
            <w:r w:rsidRPr="008F291F">
              <w:rPr>
                <w:rFonts w:ascii="Arial" w:eastAsia="Times New Roman" w:hAnsi="Arial" w:cs="Arial"/>
                <w:sz w:val="22"/>
                <w:szCs w:val="22"/>
              </w:rPr>
              <w:t>CIF programmes will not undermine impacted countries’ climate plans. The funding will contribute towards the host countries’ NDC commitments.</w:t>
            </w:r>
          </w:p>
        </w:tc>
      </w:tr>
    </w:tbl>
    <w:p w14:paraId="31875769" w14:textId="20094FC7" w:rsidR="24958D28" w:rsidRPr="00C30F7C" w:rsidRDefault="00C30F7C" w:rsidP="00C30F7C">
      <w:pPr>
        <w:pStyle w:val="TableDFIDStart"/>
        <w:rPr>
          <w:rFonts w:ascii="Arial" w:eastAsia="Times New Roman" w:hAnsi="Arial" w:cs="Arial"/>
        </w:rPr>
      </w:pPr>
      <w:r w:rsidRPr="000A6AC7">
        <w:rPr>
          <w:rFonts w:ascii="Arial" w:eastAsia="Times New Roman" w:hAnsi="Arial" w:cs="Arial"/>
        </w:rPr>
        <w:t> </w:t>
      </w:r>
    </w:p>
    <w:tbl>
      <w:tblPr>
        <w:tblStyle w:val="TableGrid"/>
        <w:tblW w:w="0" w:type="auto"/>
        <w:tblInd w:w="-5" w:type="dxa"/>
        <w:tblLook w:val="04A0" w:firstRow="1" w:lastRow="0" w:firstColumn="1" w:lastColumn="0" w:noHBand="0" w:noVBand="1"/>
      </w:tblPr>
      <w:tblGrid>
        <w:gridCol w:w="4508"/>
        <w:gridCol w:w="2268"/>
      </w:tblGrid>
      <w:tr w:rsidR="00BD58E5" w:rsidRPr="00D80C6C" w14:paraId="237FE329" w14:textId="77777777" w:rsidTr="00995F8D">
        <w:tc>
          <w:tcPr>
            <w:tcW w:w="450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1FF5132" w14:textId="77777777" w:rsidR="003D222C" w:rsidRPr="00D80C6C" w:rsidRDefault="003D222C" w:rsidP="004D5FD5">
            <w:pPr>
              <w:jc w:val="both"/>
              <w:rPr>
                <w:rFonts w:cs="Arial"/>
                <w:sz w:val="22"/>
                <w:szCs w:val="22"/>
              </w:rPr>
            </w:pPr>
            <w:r w:rsidRPr="00D80C6C">
              <w:rPr>
                <w:rFonts w:cs="Arial"/>
                <w:sz w:val="22"/>
                <w:szCs w:val="22"/>
              </w:rPr>
              <w:t>Date of last narrative financial report</w:t>
            </w:r>
          </w:p>
        </w:tc>
        <w:tc>
          <w:tcPr>
            <w:tcW w:w="2268" w:type="dxa"/>
            <w:tcBorders>
              <w:top w:val="single" w:sz="4" w:space="0" w:color="auto"/>
              <w:left w:val="single" w:sz="4" w:space="0" w:color="auto"/>
              <w:bottom w:val="single" w:sz="4" w:space="0" w:color="auto"/>
              <w:right w:val="single" w:sz="4" w:space="0" w:color="auto"/>
            </w:tcBorders>
          </w:tcPr>
          <w:p w14:paraId="03F555FA" w14:textId="4627F2B4" w:rsidR="007C5116" w:rsidRDefault="003E2822" w:rsidP="004D5FD5">
            <w:pPr>
              <w:jc w:val="both"/>
              <w:rPr>
                <w:rFonts w:cs="Arial"/>
                <w:sz w:val="22"/>
                <w:szCs w:val="22"/>
              </w:rPr>
            </w:pPr>
            <w:r>
              <w:rPr>
                <w:rFonts w:cs="Arial"/>
                <w:sz w:val="22"/>
                <w:szCs w:val="22"/>
              </w:rPr>
              <w:t xml:space="preserve">CTF: </w:t>
            </w:r>
            <w:r w:rsidR="007C5116">
              <w:rPr>
                <w:rFonts w:cs="Arial"/>
                <w:sz w:val="22"/>
                <w:szCs w:val="22"/>
              </w:rPr>
              <w:t>30 Sep 2025</w:t>
            </w:r>
          </w:p>
          <w:p w14:paraId="2ADAB5DF" w14:textId="57F4514B" w:rsidR="003E2822" w:rsidRPr="00D80C6C" w:rsidRDefault="003E2822" w:rsidP="004D5FD5">
            <w:pPr>
              <w:jc w:val="both"/>
              <w:rPr>
                <w:rFonts w:cs="Arial"/>
                <w:sz w:val="22"/>
                <w:szCs w:val="22"/>
              </w:rPr>
            </w:pPr>
            <w:r>
              <w:rPr>
                <w:rFonts w:cs="Arial"/>
                <w:sz w:val="22"/>
                <w:szCs w:val="22"/>
              </w:rPr>
              <w:t xml:space="preserve">SCF: </w:t>
            </w:r>
            <w:r w:rsidR="00C81BCE">
              <w:rPr>
                <w:rFonts w:cs="Arial"/>
                <w:sz w:val="22"/>
                <w:szCs w:val="22"/>
              </w:rPr>
              <w:t>20 May 2025</w:t>
            </w:r>
          </w:p>
        </w:tc>
      </w:tr>
      <w:tr w:rsidR="00BD58E5" w:rsidRPr="00D80C6C" w14:paraId="1FE89B21" w14:textId="77777777" w:rsidTr="00995F8D">
        <w:tc>
          <w:tcPr>
            <w:tcW w:w="450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C3A69BE" w14:textId="77777777" w:rsidR="003D222C" w:rsidRPr="00D80C6C" w:rsidRDefault="003D222C" w:rsidP="004D5FD5">
            <w:pPr>
              <w:jc w:val="both"/>
              <w:rPr>
                <w:rFonts w:cs="Arial"/>
                <w:sz w:val="22"/>
                <w:szCs w:val="22"/>
              </w:rPr>
            </w:pPr>
            <w:r w:rsidRPr="00D80C6C">
              <w:rPr>
                <w:rFonts w:cs="Arial"/>
                <w:sz w:val="22"/>
                <w:szCs w:val="22"/>
              </w:rPr>
              <w:t>Date of last audited annual statement</w:t>
            </w:r>
          </w:p>
        </w:tc>
        <w:tc>
          <w:tcPr>
            <w:tcW w:w="2268" w:type="dxa"/>
            <w:tcBorders>
              <w:top w:val="single" w:sz="4" w:space="0" w:color="auto"/>
              <w:left w:val="single" w:sz="4" w:space="0" w:color="auto"/>
              <w:bottom w:val="single" w:sz="4" w:space="0" w:color="auto"/>
              <w:right w:val="single" w:sz="4" w:space="0" w:color="auto"/>
            </w:tcBorders>
          </w:tcPr>
          <w:p w14:paraId="5B9BAC11" w14:textId="7EDC9F53" w:rsidR="003D222C" w:rsidRDefault="00BB5143" w:rsidP="004D5FD5">
            <w:pPr>
              <w:jc w:val="both"/>
              <w:rPr>
                <w:rFonts w:cs="Arial"/>
                <w:sz w:val="22"/>
                <w:szCs w:val="22"/>
              </w:rPr>
            </w:pPr>
            <w:r>
              <w:rPr>
                <w:rFonts w:cs="Arial"/>
                <w:sz w:val="22"/>
                <w:szCs w:val="22"/>
              </w:rPr>
              <w:t xml:space="preserve">CTF: </w:t>
            </w:r>
            <w:r w:rsidR="004C6548">
              <w:rPr>
                <w:rFonts w:cs="Arial"/>
                <w:sz w:val="22"/>
                <w:szCs w:val="22"/>
              </w:rPr>
              <w:t xml:space="preserve">31 </w:t>
            </w:r>
            <w:r w:rsidR="004C6548" w:rsidRPr="004C6548">
              <w:rPr>
                <w:rFonts w:cs="Arial"/>
                <w:sz w:val="22"/>
                <w:szCs w:val="22"/>
              </w:rPr>
              <w:t>Dec 2025</w:t>
            </w:r>
          </w:p>
          <w:p w14:paraId="67F793A9" w14:textId="70D928A3" w:rsidR="00BB5143" w:rsidRPr="00D80C6C" w:rsidRDefault="00BB5143" w:rsidP="004D5FD5">
            <w:pPr>
              <w:jc w:val="both"/>
              <w:rPr>
                <w:rFonts w:cs="Arial"/>
                <w:sz w:val="22"/>
                <w:szCs w:val="22"/>
              </w:rPr>
            </w:pPr>
            <w:r>
              <w:rPr>
                <w:rFonts w:cs="Arial"/>
                <w:sz w:val="22"/>
                <w:szCs w:val="22"/>
              </w:rPr>
              <w:t>SCF:</w:t>
            </w:r>
            <w:r w:rsidR="00C52536">
              <w:rPr>
                <w:rFonts w:cs="Arial"/>
                <w:sz w:val="22"/>
                <w:szCs w:val="22"/>
              </w:rPr>
              <w:t xml:space="preserve"> </w:t>
            </w:r>
            <w:r w:rsidR="000E6BC2">
              <w:rPr>
                <w:rFonts w:cs="Arial"/>
                <w:sz w:val="22"/>
                <w:szCs w:val="22"/>
              </w:rPr>
              <w:t>27 Jun 2025</w:t>
            </w:r>
          </w:p>
        </w:tc>
      </w:tr>
    </w:tbl>
    <w:p w14:paraId="39940792" w14:textId="77777777" w:rsidR="003D222C" w:rsidRPr="00D80C6C" w:rsidRDefault="003D222C" w:rsidP="004D5FD5">
      <w:pPr>
        <w:spacing w:after="160" w:line="259" w:lineRule="auto"/>
        <w:jc w:val="both"/>
        <w:rPr>
          <w:rFonts w:cs="Arial"/>
          <w:sz w:val="22"/>
          <w:szCs w:val="22"/>
        </w:rPr>
      </w:pPr>
    </w:p>
    <w:p w14:paraId="7EF349EC" w14:textId="77777777" w:rsidR="003D222C" w:rsidRPr="00D80C6C" w:rsidRDefault="003D222C" w:rsidP="004D5FD5">
      <w:pPr>
        <w:spacing w:after="160" w:line="259" w:lineRule="auto"/>
        <w:jc w:val="both"/>
        <w:rPr>
          <w:rFonts w:cs="Arial"/>
          <w:sz w:val="22"/>
          <w:szCs w:val="22"/>
        </w:rPr>
      </w:pPr>
    </w:p>
    <w:p w14:paraId="4AB97E44" w14:textId="77777777" w:rsidR="003D222C" w:rsidRPr="00D80C6C" w:rsidRDefault="003D222C" w:rsidP="004D5FD5">
      <w:pPr>
        <w:jc w:val="both"/>
        <w:rPr>
          <w:rFonts w:cs="Arial"/>
          <w:sz w:val="22"/>
          <w:szCs w:val="22"/>
        </w:rPr>
      </w:pPr>
    </w:p>
    <w:sectPr w:rsidR="003D222C" w:rsidRPr="00D80C6C" w:rsidSect="001C6CE4">
      <w:headerReference w:type="even" r:id="rId20"/>
      <w:headerReference w:type="default" r:id="rId21"/>
      <w:footerReference w:type="even" r:id="rId22"/>
      <w:footerReference w:type="default" r:id="rId23"/>
      <w:headerReference w:type="first" r:id="rId24"/>
      <w:footerReference w:type="first" r:id="rId25"/>
      <w:pgSz w:w="11906" w:h="16838"/>
      <w:pgMar w:top="709"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E9092" w14:textId="77777777" w:rsidR="00402525" w:rsidRDefault="00402525" w:rsidP="003D222C">
      <w:r>
        <w:separator/>
      </w:r>
    </w:p>
  </w:endnote>
  <w:endnote w:type="continuationSeparator" w:id="0">
    <w:p w14:paraId="3561D77F" w14:textId="77777777" w:rsidR="00402525" w:rsidRDefault="00402525" w:rsidP="003D222C">
      <w:r>
        <w:continuationSeparator/>
      </w:r>
    </w:p>
  </w:endnote>
  <w:endnote w:type="continuationNotice" w:id="1">
    <w:p w14:paraId="3C897939" w14:textId="77777777" w:rsidR="00402525" w:rsidRDefault="00402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73BD" w14:textId="77777777" w:rsidR="001A1A2E" w:rsidRDefault="001A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779427"/>
      <w:docPartObj>
        <w:docPartGallery w:val="Page Numbers (Bottom of Page)"/>
        <w:docPartUnique/>
      </w:docPartObj>
    </w:sdtPr>
    <w:sdtEndPr>
      <w:rPr>
        <w:noProof/>
      </w:rPr>
    </w:sdtEndPr>
    <w:sdtContent>
      <w:p w14:paraId="6505D46B" w14:textId="26A3B61B" w:rsidR="00920D19" w:rsidRDefault="00920D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872792" w14:textId="77777777" w:rsidR="00920D19" w:rsidRDefault="00920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DCA5" w14:textId="4DC5AC55" w:rsidR="00090217" w:rsidRDefault="00191397" w:rsidP="00090217">
    <w:pPr>
      <w:pStyle w:val="BEISDate"/>
    </w:pPr>
    <w:r>
      <w:t>March</w:t>
    </w:r>
    <w:r w:rsidR="00090217">
      <w:t xml:space="preserve"> 20</w:t>
    </w:r>
    <w:r w:rsidR="004429CF">
      <w:t>26</w:t>
    </w:r>
  </w:p>
  <w:p w14:paraId="4E83EFA8" w14:textId="77777777" w:rsidR="00090217" w:rsidRDefault="00090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E8E3" w14:textId="77777777" w:rsidR="00402525" w:rsidRDefault="00402525" w:rsidP="003D222C">
      <w:r>
        <w:separator/>
      </w:r>
    </w:p>
  </w:footnote>
  <w:footnote w:type="continuationSeparator" w:id="0">
    <w:p w14:paraId="69C6DCF0" w14:textId="77777777" w:rsidR="00402525" w:rsidRDefault="00402525" w:rsidP="003D222C">
      <w:r>
        <w:continuationSeparator/>
      </w:r>
    </w:p>
  </w:footnote>
  <w:footnote w:type="continuationNotice" w:id="1">
    <w:p w14:paraId="409196D9" w14:textId="77777777" w:rsidR="00402525" w:rsidRDefault="00402525"/>
  </w:footnote>
  <w:footnote w:id="2">
    <w:p w14:paraId="54222876" w14:textId="77777777" w:rsidR="000627EE" w:rsidRPr="00EC11B4" w:rsidRDefault="000627EE" w:rsidP="000627EE">
      <w:pPr>
        <w:jc w:val="both"/>
        <w:rPr>
          <w:rFonts w:eastAsia="Arial" w:cs="Arial"/>
          <w:sz w:val="18"/>
          <w:szCs w:val="18"/>
        </w:rPr>
      </w:pPr>
      <w:r w:rsidRPr="005D548F">
        <w:rPr>
          <w:rStyle w:val="FootnoteReference"/>
          <w:rFonts w:cs="Arial"/>
          <w:sz w:val="18"/>
          <w:szCs w:val="18"/>
        </w:rPr>
        <w:footnoteRef/>
      </w:r>
      <w:r w:rsidRPr="00EC11B4">
        <w:rPr>
          <w:rFonts w:eastAsia="Arial" w:cs="Arial"/>
          <w:sz w:val="18"/>
          <w:szCs w:val="18"/>
        </w:rPr>
        <w:t>MDBs: World Bank Group (IBRD/IDA and IFC); Asian Development Bank (</w:t>
      </w:r>
      <w:proofErr w:type="spellStart"/>
      <w:r w:rsidRPr="00EC11B4">
        <w:rPr>
          <w:rFonts w:eastAsia="Arial" w:cs="Arial"/>
          <w:sz w:val="18"/>
          <w:szCs w:val="18"/>
        </w:rPr>
        <w:t>AsDB</w:t>
      </w:r>
      <w:proofErr w:type="spellEnd"/>
      <w:r w:rsidRPr="00EC11B4">
        <w:rPr>
          <w:rFonts w:eastAsia="Arial" w:cs="Arial"/>
          <w:sz w:val="18"/>
          <w:szCs w:val="18"/>
        </w:rPr>
        <w:t>); African Development Bank (AfDB); Inter-American Bank (</w:t>
      </w:r>
      <w:proofErr w:type="spellStart"/>
      <w:r w:rsidRPr="00EC11B4">
        <w:rPr>
          <w:rFonts w:eastAsia="Arial" w:cs="Arial"/>
          <w:sz w:val="18"/>
          <w:szCs w:val="18"/>
        </w:rPr>
        <w:t>IaDB</w:t>
      </w:r>
      <w:proofErr w:type="spellEnd"/>
      <w:r w:rsidRPr="00EC11B4">
        <w:rPr>
          <w:rFonts w:eastAsia="Arial" w:cs="Arial"/>
          <w:sz w:val="18"/>
          <w:szCs w:val="18"/>
        </w:rPr>
        <w:t>); European Bank for Reconstruction and Development (EBRD)</w:t>
      </w:r>
      <w:r>
        <w:rPr>
          <w:rFonts w:eastAsia="Arial" w:cs="Arial"/>
          <w:sz w:val="18"/>
          <w:szCs w:val="18"/>
        </w:rPr>
        <w:t>.</w:t>
      </w:r>
    </w:p>
    <w:p w14:paraId="3D772264" w14:textId="77777777" w:rsidR="000627EE" w:rsidRDefault="000627EE" w:rsidP="000627EE">
      <w:pPr>
        <w:pStyle w:val="FootnoteText"/>
      </w:pPr>
    </w:p>
  </w:footnote>
  <w:footnote w:id="3">
    <w:p w14:paraId="1E6F22E8" w14:textId="77777777" w:rsidR="000627EE" w:rsidRPr="00861593" w:rsidRDefault="000627EE" w:rsidP="000627EE">
      <w:pPr>
        <w:pStyle w:val="FootnoteText"/>
        <w:rPr>
          <w:rFonts w:ascii="Arial" w:hAnsi="Arial" w:cs="Arial"/>
          <w:sz w:val="18"/>
          <w:szCs w:val="18"/>
        </w:rPr>
      </w:pPr>
      <w:bookmarkStart w:id="2" w:name="_Hlk169788025"/>
      <w:r w:rsidRPr="00861593">
        <w:rPr>
          <w:rStyle w:val="FootnoteReference"/>
          <w:rFonts w:ascii="Arial" w:hAnsi="Arial" w:cs="Arial"/>
          <w:sz w:val="18"/>
          <w:szCs w:val="18"/>
        </w:rPr>
        <w:footnoteRef/>
      </w:r>
      <w:r w:rsidRPr="00861593">
        <w:rPr>
          <w:rFonts w:ascii="Arial" w:hAnsi="Arial" w:cs="Arial"/>
          <w:sz w:val="18"/>
          <w:szCs w:val="18"/>
        </w:rPr>
        <w:t xml:space="preserve"> Note these figures are prior to any UK attribution or adjustments for additionality.</w:t>
      </w:r>
      <w:bookmarkEnd w:id="2"/>
    </w:p>
  </w:footnote>
  <w:footnote w:id="4">
    <w:p w14:paraId="143D7B09" w14:textId="77777777" w:rsidR="00716156" w:rsidRDefault="00716156" w:rsidP="00716156">
      <w:pPr>
        <w:jc w:val="both"/>
      </w:pPr>
    </w:p>
    <w:p w14:paraId="15A5B4B4" w14:textId="77777777" w:rsidR="00716156" w:rsidRDefault="00716156" w:rsidP="00716156">
      <w:pPr>
        <w:jc w:val="both"/>
      </w:pPr>
      <w:r>
        <w:rPr>
          <w:rStyle w:val="FootnoteReference"/>
        </w:rPr>
        <w:footnoteRef/>
      </w:r>
      <w:r>
        <w:t xml:space="preserve"> </w:t>
      </w:r>
      <w:r w:rsidRPr="00F233D0">
        <w:rPr>
          <w:rFonts w:eastAsia="Arial" w:cs="Arial"/>
          <w:color w:val="000000" w:themeColor="text1"/>
          <w:sz w:val="18"/>
          <w:szCs w:val="18"/>
        </w:rPr>
        <w:t xml:space="preserve">Results presented here have been adjusted in line with ICF KPI methodologies to ensure that claimed results are additional i.e. that they are beyond the results that would have occurred in the absence of the ICF-supported intervention therefore results will differ from those published at </w:t>
      </w:r>
      <w:hyperlink r:id="rId1" w:history="1">
        <w:r w:rsidRPr="00F233D0">
          <w:rPr>
            <w:rStyle w:val="Hyperlink"/>
            <w:rFonts w:eastAsia="Arial" w:cs="Arial"/>
            <w:sz w:val="18"/>
            <w:szCs w:val="18"/>
          </w:rPr>
          <w:t>https://www.cif.org/</w:t>
        </w:r>
      </w:hyperlink>
      <w:r w:rsidRPr="00F233D0">
        <w:rPr>
          <w:rFonts w:eastAsia="Arial" w:cs="Arial"/>
          <w:color w:val="000000" w:themeColor="text1"/>
          <w:sz w:val="18"/>
          <w:szCs w:val="18"/>
        </w:rPr>
        <w:t>.</w:t>
      </w:r>
    </w:p>
  </w:footnote>
  <w:footnote w:id="5">
    <w:p w14:paraId="51ECFB98" w14:textId="2719A21B" w:rsidR="00700381" w:rsidRDefault="00700381" w:rsidP="00147316">
      <w:pPr>
        <w:pStyle w:val="FootnoteText"/>
      </w:pPr>
      <w:r>
        <w:rPr>
          <w:rStyle w:val="FootnoteReference"/>
        </w:rPr>
        <w:footnoteRef/>
      </w:r>
      <w:r>
        <w:t xml:space="preserve"> </w:t>
      </w:r>
      <w:r w:rsidR="00A23C72" w:rsidRPr="00A23C72">
        <w:t>The percentage appears much smaller than the c.20% reported last year due to the methodological shift from non-attributed to attributed figures.</w:t>
      </w:r>
      <w:r w:rsidR="00A23C72">
        <w:br/>
        <w:t xml:space="preserve">Source: </w:t>
      </w:r>
      <w:r w:rsidR="00147316">
        <w:t>UK Government (2024). Final Greenhouse Gas Emissions Tables 2024.</w:t>
      </w:r>
      <w:r w:rsidR="00A23C72">
        <w:t xml:space="preserve"> </w:t>
      </w:r>
      <w:r w:rsidR="00147316">
        <w:t>Available at: https://assets.publishing.service.gov.uk/media/6982294819d3abdb495f37ce/final-greenhouse-gas-emissions-tables-2024.xlsx</w:t>
      </w:r>
    </w:p>
  </w:footnote>
  <w:footnote w:id="6">
    <w:p w14:paraId="57D647E0" w14:textId="77777777" w:rsidR="00F22AD8" w:rsidRPr="00F22AD8" w:rsidRDefault="00716156" w:rsidP="00F22AD8">
      <w:pPr>
        <w:pStyle w:val="FootnoteText"/>
        <w:jc w:val="both"/>
        <w:rPr>
          <w:rFonts w:ascii="Arial" w:hAnsi="Arial" w:cs="Arial"/>
          <w:sz w:val="18"/>
          <w:szCs w:val="18"/>
        </w:rPr>
      </w:pPr>
      <w:r w:rsidRPr="00EC11B4">
        <w:rPr>
          <w:rStyle w:val="FootnoteReference"/>
          <w:rFonts w:ascii="Arial" w:hAnsi="Arial" w:cs="Arial"/>
          <w:sz w:val="18"/>
          <w:szCs w:val="18"/>
        </w:rPr>
        <w:footnoteRef/>
      </w:r>
      <w:r w:rsidRPr="00EC11B4">
        <w:rPr>
          <w:rFonts w:ascii="Arial" w:hAnsi="Arial" w:cs="Arial"/>
          <w:sz w:val="18"/>
          <w:szCs w:val="18"/>
        </w:rPr>
        <w:t xml:space="preserve"> </w:t>
      </w:r>
      <w:proofErr w:type="spellStart"/>
      <w:r w:rsidR="00F22AD8" w:rsidRPr="00F22AD8">
        <w:rPr>
          <w:rFonts w:ascii="Arial" w:hAnsi="Arial" w:cs="Arial"/>
          <w:sz w:val="18"/>
          <w:szCs w:val="18"/>
        </w:rPr>
        <w:t>RenewableUK</w:t>
      </w:r>
      <w:proofErr w:type="spellEnd"/>
      <w:r w:rsidR="00F22AD8" w:rsidRPr="00F22AD8">
        <w:rPr>
          <w:rFonts w:ascii="Arial" w:hAnsi="Arial" w:cs="Arial"/>
          <w:sz w:val="18"/>
          <w:szCs w:val="18"/>
        </w:rPr>
        <w:t xml:space="preserve"> (2024). </w:t>
      </w:r>
      <w:proofErr w:type="spellStart"/>
      <w:r w:rsidR="00F22AD8" w:rsidRPr="00F22AD8">
        <w:rPr>
          <w:rFonts w:ascii="Arial" w:hAnsi="Arial" w:cs="Arial"/>
          <w:sz w:val="18"/>
          <w:szCs w:val="18"/>
        </w:rPr>
        <w:t>EnergyPulse</w:t>
      </w:r>
      <w:proofErr w:type="spellEnd"/>
      <w:r w:rsidR="00F22AD8" w:rsidRPr="00F22AD8">
        <w:rPr>
          <w:rFonts w:ascii="Arial" w:hAnsi="Arial" w:cs="Arial"/>
          <w:sz w:val="18"/>
          <w:szCs w:val="18"/>
        </w:rPr>
        <w:t xml:space="preserve"> – UK Wind Energy Database (UKWED).</w:t>
      </w:r>
    </w:p>
    <w:p w14:paraId="0137171F" w14:textId="52904520" w:rsidR="00716156" w:rsidRDefault="00F22AD8" w:rsidP="00716156">
      <w:pPr>
        <w:pStyle w:val="FootnoteText"/>
        <w:jc w:val="both"/>
      </w:pPr>
      <w:r w:rsidRPr="00F22AD8">
        <w:rPr>
          <w:rFonts w:ascii="Arial" w:hAnsi="Arial" w:cs="Arial"/>
          <w:sz w:val="18"/>
          <w:szCs w:val="18"/>
        </w:rPr>
        <w:t>Available at:</w:t>
      </w:r>
      <w:r w:rsidR="00716156" w:rsidRPr="00EC11B4">
        <w:rPr>
          <w:rFonts w:ascii="Arial" w:hAnsi="Arial" w:cs="Arial"/>
          <w:sz w:val="18"/>
          <w:szCs w:val="18"/>
        </w:rPr>
        <w:t xml:space="preserve"> https://www.renewableuk.com/energypulse/ukwed</w:t>
      </w:r>
    </w:p>
  </w:footnote>
  <w:footnote w:id="7">
    <w:p w14:paraId="36B67382" w14:textId="77777777" w:rsidR="00716156" w:rsidRPr="00F233D0" w:rsidRDefault="00716156" w:rsidP="00716156">
      <w:pPr>
        <w:jc w:val="both"/>
      </w:pPr>
      <w:r w:rsidRPr="00F233D0">
        <w:rPr>
          <w:rStyle w:val="FootnoteReference"/>
        </w:rPr>
        <w:footnoteRef/>
      </w:r>
      <w:r w:rsidRPr="00F233D0">
        <w:rPr>
          <w:rFonts w:eastAsia="Arial" w:cs="Arial"/>
          <w:color w:val="000000" w:themeColor="text1"/>
          <w:sz w:val="18"/>
          <w:szCs w:val="18"/>
        </w:rPr>
        <w:t xml:space="preserve">Results presented here have been adjusted in line with ICF KPI methodologies to ensure that claimed results are additional i.e. that they are beyond the results that would have occurred in the absence of the ICF-supported intervention therefore results will differ from those published at </w:t>
      </w:r>
      <w:hyperlink r:id="rId2" w:history="1">
        <w:r w:rsidRPr="00F233D0">
          <w:rPr>
            <w:rStyle w:val="Hyperlink"/>
            <w:rFonts w:eastAsia="Arial" w:cs="Arial"/>
            <w:sz w:val="18"/>
            <w:szCs w:val="18"/>
          </w:rPr>
          <w:t>https://www.cif.org/</w:t>
        </w:r>
      </w:hyperlink>
      <w:r w:rsidRPr="00F233D0">
        <w:rPr>
          <w:rFonts w:eastAsia="Arial" w:cs="Arial"/>
          <w:color w:val="000000" w:themeColor="text1"/>
          <w:sz w:val="18"/>
          <w:szCs w:val="18"/>
        </w:rPr>
        <w:t>.</w:t>
      </w:r>
    </w:p>
  </w:footnote>
  <w:footnote w:id="8">
    <w:p w14:paraId="107A134D" w14:textId="77777777" w:rsidR="00716156" w:rsidRPr="00853B55" w:rsidRDefault="00716156" w:rsidP="00716156">
      <w:pPr>
        <w:pStyle w:val="FootnoteText"/>
        <w:jc w:val="both"/>
        <w:rPr>
          <w:rFonts w:ascii="Arial" w:hAnsi="Arial" w:cs="Arial"/>
          <w:sz w:val="18"/>
          <w:szCs w:val="18"/>
        </w:rPr>
      </w:pPr>
      <w:r w:rsidRPr="00861593">
        <w:rPr>
          <w:rStyle w:val="FootnoteReference"/>
          <w:rFonts w:ascii="Arial" w:hAnsi="Arial" w:cs="Arial"/>
          <w:sz w:val="18"/>
          <w:szCs w:val="18"/>
        </w:rPr>
        <w:footnoteRef/>
      </w:r>
      <w:hyperlink r:id="rId3" w:history="1">
        <w:r w:rsidRPr="00950367">
          <w:rPr>
            <w:rStyle w:val="Hyperlink"/>
            <w:rFonts w:ascii="Arial" w:hAnsi="Arial" w:cs="Arial"/>
            <w:sz w:val="18"/>
            <w:szCs w:val="18"/>
          </w:rPr>
          <w:t>https://www.cif.org/</w:t>
        </w:r>
      </w:hyperlink>
      <w:r>
        <w:rPr>
          <w:rFonts w:ascii="Arial" w:hAnsi="Arial" w:cs="Arial"/>
          <w:sz w:val="18"/>
          <w:szCs w:val="18"/>
        </w:rPr>
        <w:t>.</w:t>
      </w:r>
      <w:r w:rsidRPr="00861593">
        <w:rPr>
          <w:rFonts w:ascii="Arial" w:hAnsi="Arial" w:cs="Arial"/>
          <w:sz w:val="18"/>
          <w:szCs w:val="18"/>
        </w:rPr>
        <w:t xml:space="preserve"> </w:t>
      </w:r>
      <w:r w:rsidRPr="00861593">
        <w:rPr>
          <w:rFonts w:ascii="Arial" w:eastAsia="Arial" w:hAnsi="Arial" w:cs="Arial"/>
          <w:color w:val="000000" w:themeColor="text1"/>
          <w:sz w:val="18"/>
          <w:szCs w:val="18"/>
        </w:rPr>
        <w:t xml:space="preserve">Note </w:t>
      </w:r>
      <w:r w:rsidRPr="00861593">
        <w:rPr>
          <w:rFonts w:ascii="Arial" w:hAnsi="Arial" w:cs="Arial"/>
          <w:sz w:val="18"/>
          <w:szCs w:val="18"/>
        </w:rPr>
        <w:t>these figures are prior to any UK attribution or adjustments for additionality.</w:t>
      </w:r>
    </w:p>
  </w:footnote>
  <w:footnote w:id="9">
    <w:p w14:paraId="169FB545" w14:textId="77777777" w:rsidR="00C30F7C" w:rsidRDefault="00C30F7C" w:rsidP="00C30F7C">
      <w:pPr>
        <w:pStyle w:val="FootnoteText"/>
      </w:pPr>
      <w:r>
        <w:rPr>
          <w:rStyle w:val="FootnoteReference"/>
        </w:rPr>
        <w:footnoteRef/>
      </w:r>
      <w:r>
        <w:t xml:space="preserve"> </w:t>
      </w:r>
      <w:r>
        <w:rPr>
          <w:rFonts w:ascii="Aptos Narrow" w:hAnsi="Aptos Narrow" w:cstheme="minorHAnsi"/>
          <w:sz w:val="18"/>
          <w:szCs w:val="18"/>
        </w:rPr>
        <w:t>CIF</w:t>
      </w:r>
      <w:r w:rsidRPr="002C7C84">
        <w:rPr>
          <w:rFonts w:ascii="Aptos Narrow" w:hAnsi="Aptos Narrow" w:cstheme="minorHAnsi"/>
          <w:sz w:val="18"/>
          <w:szCs w:val="18"/>
        </w:rPr>
        <w:t xml:space="preserve"> figures are taken from the most recent Financial Reports prepared by the Trustee.</w:t>
      </w:r>
    </w:p>
  </w:footnote>
  <w:footnote w:id="10">
    <w:p w14:paraId="07F9DD61" w14:textId="77777777" w:rsidR="00C30F7C" w:rsidRDefault="00C30F7C" w:rsidP="00C30F7C">
      <w:pPr>
        <w:pStyle w:val="FootnoteText"/>
      </w:pPr>
      <w:r>
        <w:rPr>
          <w:rStyle w:val="FootnoteReference"/>
        </w:rPr>
        <w:footnoteRef/>
      </w:r>
      <w:r>
        <w:t xml:space="preserve"> </w:t>
      </w:r>
      <w:hyperlink r:id="rId4" w:history="1">
        <w:r w:rsidRPr="002C7C84">
          <w:rPr>
            <w:rStyle w:val="Hyperlink"/>
            <w:rFonts w:ascii="Aptos Narrow" w:hAnsi="Aptos Narrow" w:cstheme="minorHAnsi"/>
            <w:sz w:val="18"/>
            <w:szCs w:val="18"/>
          </w:rPr>
          <w:t xml:space="preserve">GCF policy on fees for accredited </w:t>
        </w:r>
      </w:hyperlink>
    </w:p>
  </w:footnote>
  <w:footnote w:id="11">
    <w:p w14:paraId="17AE8664" w14:textId="77777777" w:rsidR="00C30F7C" w:rsidRPr="00850908" w:rsidRDefault="00C30F7C" w:rsidP="00C30F7C">
      <w:pPr>
        <w:pStyle w:val="FootnoteText"/>
        <w:rPr>
          <w:rFonts w:ascii="Aptos Narrow" w:hAnsi="Aptos Narrow" w:cstheme="minorHAnsi"/>
          <w:sz w:val="18"/>
          <w:szCs w:val="18"/>
        </w:rPr>
      </w:pPr>
      <w:r>
        <w:rPr>
          <w:rStyle w:val="FootnoteReference"/>
        </w:rPr>
        <w:footnoteRef/>
      </w:r>
      <w:r>
        <w:t xml:space="preserve"> </w:t>
      </w:r>
      <w:hyperlink r:id="rId5" w:history="1">
        <w:r w:rsidRPr="002C7C84">
          <w:rPr>
            <w:rStyle w:val="Hyperlink"/>
            <w:rFonts w:ascii="Aptos Narrow" w:hAnsi="Aptos Narrow" w:cstheme="minorHAnsi"/>
            <w:sz w:val="18"/>
            <w:szCs w:val="18"/>
          </w:rPr>
          <w:t xml:space="preserve">GEF Fee policy for GEF Partner Agencies </w:t>
        </w:r>
      </w:hyperlink>
    </w:p>
  </w:footnote>
  <w:footnote w:id="12">
    <w:p w14:paraId="1D666DFE" w14:textId="77777777" w:rsidR="00C30F7C" w:rsidRDefault="00C30F7C" w:rsidP="00C30F7C">
      <w:pPr>
        <w:pStyle w:val="FootnoteText"/>
      </w:pPr>
      <w:r>
        <w:rPr>
          <w:rStyle w:val="FootnoteReference"/>
        </w:rPr>
        <w:footnoteRef/>
      </w:r>
      <w:r>
        <w:t xml:space="preserve"> </w:t>
      </w:r>
      <w:r>
        <w:rPr>
          <w:rFonts w:ascii="Aptos Narrow" w:hAnsi="Aptos Narrow" w:cstheme="minorHAnsi"/>
          <w:sz w:val="18"/>
          <w:szCs w:val="18"/>
        </w:rPr>
        <w:t>CIF</w:t>
      </w:r>
      <w:r w:rsidRPr="002C7C84">
        <w:rPr>
          <w:rFonts w:ascii="Aptos Narrow" w:hAnsi="Aptos Narrow" w:cstheme="minorHAnsi"/>
          <w:sz w:val="18"/>
          <w:szCs w:val="18"/>
        </w:rPr>
        <w:t xml:space="preserve"> Figures are taken from the most recent Financial Reports prepared by the Trustee.</w:t>
      </w:r>
    </w:p>
  </w:footnote>
  <w:footnote w:id="13">
    <w:p w14:paraId="7D965D92" w14:textId="77777777" w:rsidR="00C30F7C" w:rsidRDefault="00C30F7C" w:rsidP="00C30F7C">
      <w:pPr>
        <w:pStyle w:val="FootnoteText"/>
      </w:pPr>
      <w:r>
        <w:rPr>
          <w:rStyle w:val="FootnoteReference"/>
        </w:rPr>
        <w:footnoteRef/>
      </w:r>
      <w:r>
        <w:t xml:space="preserve"> </w:t>
      </w:r>
      <w:r w:rsidRPr="002C7C84">
        <w:rPr>
          <w:rFonts w:ascii="Aptos Narrow" w:hAnsi="Aptos Narrow" w:cstheme="minorHAnsi"/>
          <w:sz w:val="18"/>
          <w:szCs w:val="18"/>
        </w:rPr>
        <w:t>GCF Replenishment Business Case.</w:t>
      </w:r>
    </w:p>
  </w:footnote>
  <w:footnote w:id="14">
    <w:p w14:paraId="0C90A201" w14:textId="77777777" w:rsidR="00C30F7C" w:rsidRDefault="00C30F7C" w:rsidP="00C30F7C">
      <w:pPr>
        <w:pStyle w:val="FootnoteText"/>
      </w:pPr>
      <w:r>
        <w:rPr>
          <w:rStyle w:val="FootnoteReference"/>
        </w:rPr>
        <w:footnoteRef/>
      </w:r>
      <w:r>
        <w:t xml:space="preserve"> </w:t>
      </w:r>
      <w:hyperlink r:id="rId6" w:history="1">
        <w:r w:rsidRPr="002C7C84">
          <w:rPr>
            <w:rStyle w:val="Hyperlink"/>
            <w:rFonts w:ascii="Aptos Narrow" w:hAnsi="Aptos Narrow" w:cstheme="minorHAnsi"/>
            <w:sz w:val="18"/>
            <w:szCs w:val="18"/>
          </w:rPr>
          <w:t>GEF Administration Expenses - fees and project management costs</w:t>
        </w:r>
      </w:hyperlink>
    </w:p>
  </w:footnote>
  <w:footnote w:id="15">
    <w:p w14:paraId="3D2DC817" w14:textId="6D10F301" w:rsidR="00FD0A0D" w:rsidRDefault="00FD0A0D">
      <w:pPr>
        <w:pStyle w:val="FootnoteText"/>
      </w:pPr>
      <w:r>
        <w:rPr>
          <w:rStyle w:val="FootnoteReference"/>
        </w:rPr>
        <w:footnoteRef/>
      </w:r>
      <w:r>
        <w:t xml:space="preserve"> </w:t>
      </w:r>
      <w:r w:rsidRPr="002C7C84">
        <w:rPr>
          <w:rFonts w:ascii="Aptos Narrow" w:hAnsi="Aptos Narrow" w:cstheme="minorHAnsi"/>
          <w:sz w:val="18"/>
          <w:szCs w:val="18"/>
        </w:rPr>
        <w:t>CIF co-finance ratio obtained from latest annual report (</w:t>
      </w:r>
      <w:hyperlink r:id="rId7" w:history="1">
        <w:r w:rsidRPr="002C7C84">
          <w:rPr>
            <w:rStyle w:val="Hyperlink"/>
            <w:rFonts w:ascii="Aptos Narrow" w:hAnsi="Aptos Narrow" w:cstheme="minorHAnsi"/>
            <w:sz w:val="18"/>
            <w:szCs w:val="18"/>
          </w:rPr>
          <w:t>https://www.cif.org/sites/cif_enc/files/knowledge-documents/cif-annual-report-2024.pdf</w:t>
        </w:r>
      </w:hyperlink>
      <w:r w:rsidRPr="002C7C84">
        <w:rPr>
          <w:rFonts w:ascii="Aptos Narrow" w:hAnsi="Aptos Narrow" w:cstheme="minorHAnsi"/>
          <w:sz w:val="18"/>
          <w:szCs w:val="18"/>
        </w:rPr>
        <w:t>). GEF co-finance ratio obtained from official GEF webpage (</w:t>
      </w:r>
      <w:hyperlink r:id="rId8" w:history="1">
        <w:r w:rsidRPr="002C7C84">
          <w:rPr>
            <w:rStyle w:val="Hyperlink"/>
            <w:rFonts w:ascii="Aptos Narrow" w:hAnsi="Aptos Narrow" w:cstheme="minorHAnsi"/>
            <w:sz w:val="18"/>
            <w:szCs w:val="18"/>
          </w:rPr>
          <w:t>https://www.thegef.org/newsroom/publications/gef-8-date-highlights</w:t>
        </w:r>
      </w:hyperlink>
      <w:r w:rsidRPr="002C7C84">
        <w:rPr>
          <w:rFonts w:ascii="Aptos Narrow" w:hAnsi="Aptos Narrow" w:cstheme="minorHAnsi"/>
          <w:sz w:val="18"/>
          <w:szCs w:val="18"/>
        </w:rPr>
        <w:t xml:space="preserve">). GCF co-finance ratio obtained from official GCF portfolio dashboard webpage </w:t>
      </w:r>
      <w:hyperlink r:id="rId9" w:history="1">
        <w:r w:rsidRPr="002C7C84">
          <w:rPr>
            <w:rStyle w:val="Hyperlink"/>
            <w:rFonts w:ascii="Aptos Narrow" w:hAnsi="Aptos Narrow" w:cstheme="minorHAnsi"/>
            <w:sz w:val="18"/>
            <w:szCs w:val="18"/>
          </w:rPr>
          <w:t>https://www.greenclimate.fund/projects/dashboard</w:t>
        </w:r>
      </w:hyperlink>
      <w:r w:rsidRPr="002C7C84">
        <w:rPr>
          <w:rFonts w:ascii="Aptos Narrow" w:hAnsi="Aptos Narrow" w:cstheme="minorHAnsi"/>
          <w:sz w:val="18"/>
          <w:szCs w:val="18"/>
        </w:rPr>
        <w:t>).</w:t>
      </w:r>
    </w:p>
  </w:footnote>
  <w:footnote w:id="16">
    <w:p w14:paraId="23A3AC80" w14:textId="77777777" w:rsidR="00C30F7C" w:rsidRPr="009C3022" w:rsidRDefault="00C30F7C" w:rsidP="00C30F7C">
      <w:pPr>
        <w:pStyle w:val="FootnoteText"/>
        <w:rPr>
          <w:rFonts w:ascii="Arial" w:hAnsi="Arial" w:cs="Arial"/>
        </w:rPr>
      </w:pPr>
      <w:r w:rsidRPr="009C3022">
        <w:rPr>
          <w:rStyle w:val="FootnoteReference"/>
          <w:rFonts w:ascii="Arial" w:hAnsi="Arial" w:cs="Arial"/>
          <w:sz w:val="18"/>
          <w:szCs w:val="18"/>
        </w:rPr>
        <w:footnoteRef/>
      </w:r>
      <w:r w:rsidRPr="009C3022">
        <w:rPr>
          <w:rFonts w:ascii="Arial" w:hAnsi="Arial" w:cs="Arial"/>
          <w:sz w:val="18"/>
          <w:szCs w:val="18"/>
        </w:rPr>
        <w:t xml:space="preserve"> </w:t>
      </w:r>
      <w:r w:rsidRPr="002C7C84">
        <w:rPr>
          <w:rFonts w:ascii="Aptos Narrow" w:hAnsi="Aptos Narrow" w:cstheme="minorHAnsi"/>
          <w:sz w:val="18"/>
          <w:szCs w:val="18"/>
        </w:rPr>
        <w:t xml:space="preserve">The GCF has disbursed a total of </w:t>
      </w:r>
      <w:r>
        <w:rPr>
          <w:rFonts w:ascii="Aptos Narrow" w:hAnsi="Aptos Narrow" w:cstheme="minorHAnsi"/>
          <w:sz w:val="18"/>
          <w:szCs w:val="18"/>
        </w:rPr>
        <w:t>US</w:t>
      </w:r>
      <w:r w:rsidRPr="002C7C84">
        <w:rPr>
          <w:rFonts w:ascii="Aptos Narrow" w:hAnsi="Aptos Narrow" w:cstheme="minorHAnsi"/>
          <w:sz w:val="18"/>
          <w:szCs w:val="18"/>
        </w:rPr>
        <w:t>$</w:t>
      </w:r>
      <w:r>
        <w:rPr>
          <w:rFonts w:ascii="Aptos Narrow" w:hAnsi="Aptos Narrow" w:cstheme="minorHAnsi"/>
          <w:sz w:val="18"/>
          <w:szCs w:val="18"/>
        </w:rPr>
        <w:t>4B</w:t>
      </w:r>
      <w:r w:rsidRPr="002C7C84">
        <w:rPr>
          <w:rFonts w:ascii="Aptos Narrow" w:hAnsi="Aptos Narrow" w:cstheme="minorHAnsi"/>
          <w:sz w:val="18"/>
          <w:szCs w:val="18"/>
        </w:rPr>
        <w:t xml:space="preserve"> </w:t>
      </w:r>
      <w:r>
        <w:rPr>
          <w:rFonts w:ascii="Aptos Narrow" w:hAnsi="Aptos Narrow" w:cstheme="minorHAnsi"/>
          <w:sz w:val="18"/>
          <w:szCs w:val="18"/>
        </w:rPr>
        <w:t xml:space="preserve">from 2015 </w:t>
      </w:r>
      <w:r w:rsidRPr="002C7C84">
        <w:rPr>
          <w:rFonts w:ascii="Aptos Narrow" w:hAnsi="Aptos Narrow" w:cstheme="minorHAnsi"/>
          <w:sz w:val="18"/>
          <w:szCs w:val="18"/>
        </w:rPr>
        <w:t xml:space="preserve">to </w:t>
      </w:r>
      <w:r>
        <w:rPr>
          <w:rFonts w:ascii="Aptos Narrow" w:hAnsi="Aptos Narrow" w:cstheme="minorHAnsi"/>
          <w:sz w:val="18"/>
          <w:szCs w:val="18"/>
        </w:rPr>
        <w:t>end of 2023</w:t>
      </w:r>
      <w:r w:rsidRPr="002C7C84">
        <w:rPr>
          <w:rFonts w:ascii="Aptos Narrow" w:hAnsi="Aptos Narrow" w:cstheme="minorHAnsi"/>
          <w:sz w:val="18"/>
          <w:szCs w:val="18"/>
        </w:rPr>
        <w:t xml:space="preserve">, </w:t>
      </w:r>
      <w:r>
        <w:rPr>
          <w:rFonts w:ascii="Aptos Narrow" w:hAnsi="Aptos Narrow" w:cstheme="minorHAnsi"/>
          <w:sz w:val="18"/>
          <w:szCs w:val="18"/>
        </w:rPr>
        <w:t xml:space="preserve">against cumulative approvals of US$13.5B, </w:t>
      </w:r>
      <w:r w:rsidRPr="002C7C84">
        <w:rPr>
          <w:rFonts w:ascii="Aptos Narrow" w:hAnsi="Aptos Narrow" w:cstheme="minorHAnsi"/>
          <w:sz w:val="18"/>
          <w:szCs w:val="18"/>
        </w:rPr>
        <w:t xml:space="preserve">a </w:t>
      </w:r>
      <w:r>
        <w:rPr>
          <w:rFonts w:ascii="Aptos Narrow" w:hAnsi="Aptos Narrow" w:cstheme="minorHAnsi"/>
          <w:sz w:val="18"/>
          <w:szCs w:val="18"/>
        </w:rPr>
        <w:t xml:space="preserve">cumulative </w:t>
      </w:r>
      <w:r w:rsidRPr="002C7C84">
        <w:rPr>
          <w:rFonts w:ascii="Aptos Narrow" w:hAnsi="Aptos Narrow" w:cstheme="minorHAnsi"/>
          <w:sz w:val="18"/>
          <w:szCs w:val="18"/>
        </w:rPr>
        <w:t xml:space="preserve">disbursement ratio of </w:t>
      </w:r>
      <w:r>
        <w:rPr>
          <w:rFonts w:ascii="Aptos Narrow" w:hAnsi="Aptos Narrow" w:cstheme="minorHAnsi"/>
          <w:sz w:val="18"/>
          <w:szCs w:val="18"/>
        </w:rPr>
        <w:t>30</w:t>
      </w:r>
      <w:r w:rsidRPr="002C7C84">
        <w:rPr>
          <w:rFonts w:ascii="Aptos Narrow" w:hAnsi="Aptos Narrow" w:cstheme="minorHAnsi"/>
          <w:sz w:val="18"/>
          <w:szCs w:val="18"/>
        </w:rPr>
        <w:t xml:space="preserve">%. </w:t>
      </w:r>
      <w:r>
        <w:rPr>
          <w:rFonts w:ascii="Aptos Narrow" w:hAnsi="Aptos Narrow" w:cstheme="minorHAnsi"/>
          <w:sz w:val="18"/>
          <w:szCs w:val="18"/>
        </w:rPr>
        <w:t>CIF cumulative disbursement ratio over the same time is 66%</w:t>
      </w:r>
      <w:r w:rsidRPr="002C7C84">
        <w:rPr>
          <w:rFonts w:ascii="Aptos Narrow" w:hAnsi="Aptos Narrow" w:cstheme="minorHAnsi"/>
          <w:sz w:val="18"/>
          <w:szCs w:val="18"/>
        </w:rPr>
        <w:t xml:space="preserve"> </w:t>
      </w:r>
    </w:p>
  </w:footnote>
  <w:footnote w:id="17">
    <w:p w14:paraId="591D5D73" w14:textId="77777777" w:rsidR="00C30F7C" w:rsidRPr="002C7C84" w:rsidRDefault="00C30F7C" w:rsidP="00C30F7C">
      <w:pPr>
        <w:pStyle w:val="FootnoteText"/>
        <w:rPr>
          <w:rFonts w:ascii="Aptos Narrow" w:hAnsi="Aptos Narrow" w:cstheme="minorHAnsi"/>
          <w:sz w:val="18"/>
          <w:szCs w:val="18"/>
        </w:rPr>
      </w:pPr>
      <w:r w:rsidRPr="002C7C84">
        <w:rPr>
          <w:rStyle w:val="FootnoteReference"/>
          <w:rFonts w:ascii="Aptos Narrow" w:hAnsi="Aptos Narrow" w:cstheme="minorHAnsi"/>
          <w:sz w:val="18"/>
          <w:szCs w:val="18"/>
        </w:rPr>
        <w:footnoteRef/>
      </w:r>
      <w:r w:rsidRPr="002C7C84">
        <w:rPr>
          <w:rFonts w:ascii="Aptos Narrow" w:hAnsi="Aptos Narrow" w:cstheme="minorHAnsi"/>
          <w:sz w:val="18"/>
          <w:szCs w:val="18"/>
        </w:rPr>
        <w:t xml:space="preserve"> </w:t>
      </w:r>
      <w:hyperlink r:id="rId10" w:history="1">
        <w:r w:rsidRPr="002C7C84">
          <w:rPr>
            <w:rStyle w:val="Hyperlink"/>
            <w:rFonts w:ascii="Aptos Narrow" w:hAnsi="Aptos Narrow" w:cstheme="minorHAnsi"/>
            <w:sz w:val="18"/>
            <w:szCs w:val="18"/>
          </w:rPr>
          <w:t>CIF Just Transition webpage</w:t>
        </w:r>
      </w:hyperlink>
      <w:r w:rsidRPr="002C7C84">
        <w:rPr>
          <w:rFonts w:ascii="Aptos Narrow" w:hAnsi="Aptos Narrow"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55BD" w14:textId="77777777" w:rsidR="001A1A2E" w:rsidRDefault="001A1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1CB9" w14:textId="149D3320" w:rsidR="00164467" w:rsidRDefault="004429CF">
    <w:pPr>
      <w:pStyle w:val="Header"/>
    </w:pPr>
    <w:r>
      <w:rPr>
        <w:color w:val="041E42"/>
        <w:sz w:val="22"/>
      </w:rPr>
      <w:t>Climate Investment Funds Annual Review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A78C" w14:textId="2ECCA5CD" w:rsidR="00C67FEB" w:rsidRDefault="00E64702">
    <w:pPr>
      <w:pStyle w:val="Header"/>
    </w:pPr>
    <w:r>
      <w:rPr>
        <w:noProof/>
      </w:rPr>
      <w:drawing>
        <wp:inline distT="0" distB="0" distL="0" distR="0" wp14:anchorId="653BEA8C" wp14:editId="2F7827DB">
          <wp:extent cx="2131029" cy="936702"/>
          <wp:effectExtent l="0" t="0" r="0" b="0"/>
          <wp:docPr id="1165208529" name="Picture 11652085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08529"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930" cy="9441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EDF"/>
    <w:multiLevelType w:val="hybridMultilevel"/>
    <w:tmpl w:val="6D4A4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ECDC1"/>
    <w:multiLevelType w:val="hybridMultilevel"/>
    <w:tmpl w:val="FFFFFFFF"/>
    <w:lvl w:ilvl="0" w:tplc="1660B43A">
      <w:start w:val="1"/>
      <w:numFmt w:val="bullet"/>
      <w:lvlText w:val=""/>
      <w:lvlJc w:val="left"/>
      <w:pPr>
        <w:ind w:left="720" w:hanging="360"/>
      </w:pPr>
      <w:rPr>
        <w:rFonts w:ascii="Symbol" w:hAnsi="Symbol" w:hint="default"/>
      </w:rPr>
    </w:lvl>
    <w:lvl w:ilvl="1" w:tplc="91005948">
      <w:start w:val="1"/>
      <w:numFmt w:val="bullet"/>
      <w:lvlText w:val="o"/>
      <w:lvlJc w:val="left"/>
      <w:pPr>
        <w:ind w:left="1009" w:hanging="363"/>
      </w:pPr>
      <w:rPr>
        <w:rFonts w:ascii="Courier New" w:hAnsi="Courier New" w:hint="default"/>
      </w:rPr>
    </w:lvl>
    <w:lvl w:ilvl="2" w:tplc="8F6A8264">
      <w:start w:val="1"/>
      <w:numFmt w:val="bullet"/>
      <w:lvlText w:val=""/>
      <w:lvlJc w:val="left"/>
      <w:pPr>
        <w:ind w:left="2160" w:hanging="360"/>
      </w:pPr>
      <w:rPr>
        <w:rFonts w:ascii="Wingdings" w:hAnsi="Wingdings" w:hint="default"/>
      </w:rPr>
    </w:lvl>
    <w:lvl w:ilvl="3" w:tplc="C33C9152">
      <w:start w:val="1"/>
      <w:numFmt w:val="bullet"/>
      <w:lvlText w:val=""/>
      <w:lvlJc w:val="left"/>
      <w:pPr>
        <w:ind w:left="2880" w:hanging="360"/>
      </w:pPr>
      <w:rPr>
        <w:rFonts w:ascii="Symbol" w:hAnsi="Symbol" w:hint="default"/>
      </w:rPr>
    </w:lvl>
    <w:lvl w:ilvl="4" w:tplc="91001D70">
      <w:start w:val="1"/>
      <w:numFmt w:val="bullet"/>
      <w:lvlText w:val="o"/>
      <w:lvlJc w:val="left"/>
      <w:pPr>
        <w:ind w:left="3600" w:hanging="360"/>
      </w:pPr>
      <w:rPr>
        <w:rFonts w:ascii="Courier New" w:hAnsi="Courier New" w:hint="default"/>
      </w:rPr>
    </w:lvl>
    <w:lvl w:ilvl="5" w:tplc="A634C5A2">
      <w:start w:val="1"/>
      <w:numFmt w:val="bullet"/>
      <w:lvlText w:val=""/>
      <w:lvlJc w:val="left"/>
      <w:pPr>
        <w:ind w:left="4320" w:hanging="360"/>
      </w:pPr>
      <w:rPr>
        <w:rFonts w:ascii="Wingdings" w:hAnsi="Wingdings" w:hint="default"/>
      </w:rPr>
    </w:lvl>
    <w:lvl w:ilvl="6" w:tplc="78E8C1B6">
      <w:start w:val="1"/>
      <w:numFmt w:val="bullet"/>
      <w:lvlText w:val=""/>
      <w:lvlJc w:val="left"/>
      <w:pPr>
        <w:ind w:left="5040" w:hanging="360"/>
      </w:pPr>
      <w:rPr>
        <w:rFonts w:ascii="Symbol" w:hAnsi="Symbol" w:hint="default"/>
      </w:rPr>
    </w:lvl>
    <w:lvl w:ilvl="7" w:tplc="F3245FA2">
      <w:start w:val="1"/>
      <w:numFmt w:val="bullet"/>
      <w:lvlText w:val="o"/>
      <w:lvlJc w:val="left"/>
      <w:pPr>
        <w:ind w:left="5760" w:hanging="360"/>
      </w:pPr>
      <w:rPr>
        <w:rFonts w:ascii="Courier New" w:hAnsi="Courier New" w:hint="default"/>
      </w:rPr>
    </w:lvl>
    <w:lvl w:ilvl="8" w:tplc="3FFADDC4">
      <w:start w:val="1"/>
      <w:numFmt w:val="bullet"/>
      <w:lvlText w:val=""/>
      <w:lvlJc w:val="left"/>
      <w:pPr>
        <w:ind w:left="6480" w:hanging="360"/>
      </w:pPr>
      <w:rPr>
        <w:rFonts w:ascii="Wingdings" w:hAnsi="Wingdings" w:hint="default"/>
      </w:rPr>
    </w:lvl>
  </w:abstractNum>
  <w:abstractNum w:abstractNumId="2" w15:restartNumberingAfterBreak="0">
    <w:nsid w:val="0DAF19DA"/>
    <w:multiLevelType w:val="hybridMultilevel"/>
    <w:tmpl w:val="D7D80F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3D2261"/>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845CB6"/>
    <w:multiLevelType w:val="hybridMultilevel"/>
    <w:tmpl w:val="00D2AF9A"/>
    <w:lvl w:ilvl="0" w:tplc="08090001">
      <w:start w:val="1"/>
      <w:numFmt w:val="bullet"/>
      <w:lvlText w:val=""/>
      <w:lvlJc w:val="left"/>
      <w:pPr>
        <w:ind w:left="502" w:hanging="360"/>
      </w:pPr>
      <w:rPr>
        <w:rFonts w:ascii="Symbol" w:hAnsi="Symbol" w:hint="default"/>
        <w:b w:val="0"/>
        <w:bCs/>
        <w:i w:val="0"/>
        <w:iCs w:val="0"/>
        <w:color w:val="auto"/>
        <w:sz w:val="22"/>
        <w:szCs w:val="22"/>
      </w:rPr>
    </w:lvl>
    <w:lvl w:ilvl="1" w:tplc="FB58FD1E">
      <w:start w:val="1"/>
      <w:numFmt w:val="bullet"/>
      <w:lvlText w:val=""/>
      <w:lvlJc w:val="left"/>
      <w:pPr>
        <w:ind w:left="1222" w:hanging="360"/>
      </w:pPr>
      <w:rPr>
        <w:rFonts w:ascii="Symbol" w:hAnsi="Symbol" w:hint="default"/>
      </w:rPr>
    </w:lvl>
    <w:lvl w:ilvl="2" w:tplc="08090001">
      <w:start w:val="1"/>
      <w:numFmt w:val="bullet"/>
      <w:lvlText w:val=""/>
      <w:lvlJc w:val="left"/>
      <w:pPr>
        <w:ind w:left="1942" w:hanging="180"/>
      </w:pPr>
      <w:rPr>
        <w:rFonts w:ascii="Symbol" w:hAnsi="Symbol" w:hint="default"/>
      </w:rPr>
    </w:lvl>
    <w:lvl w:ilvl="3" w:tplc="959C16D2">
      <w:start w:val="1"/>
      <w:numFmt w:val="decimal"/>
      <w:lvlText w:val="%4."/>
      <w:lvlJc w:val="left"/>
      <w:pPr>
        <w:ind w:left="2662" w:hanging="360"/>
      </w:pPr>
      <w:rPr>
        <w:b w:val="0"/>
        <w:bCs/>
        <w:i w:val="0"/>
        <w:iCs w:val="0"/>
      </w:rPr>
    </w:lvl>
    <w:lvl w:ilvl="4" w:tplc="08090001">
      <w:start w:val="1"/>
      <w:numFmt w:val="bullet"/>
      <w:lvlText w:val=""/>
      <w:lvlJc w:val="left"/>
      <w:pPr>
        <w:ind w:left="3382" w:hanging="360"/>
      </w:pPr>
      <w:rPr>
        <w:rFonts w:ascii="Symbol" w:hAnsi="Symbol" w:hint="default"/>
      </w:r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9EA4954"/>
    <w:multiLevelType w:val="hybridMultilevel"/>
    <w:tmpl w:val="EE76C71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C35234"/>
    <w:multiLevelType w:val="hybridMultilevel"/>
    <w:tmpl w:val="C9B84288"/>
    <w:lvl w:ilvl="0" w:tplc="D63693FC">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862167"/>
    <w:multiLevelType w:val="multilevel"/>
    <w:tmpl w:val="FFFFFFFF"/>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8" w15:restartNumberingAfterBreak="0">
    <w:nsid w:val="21B13E5F"/>
    <w:multiLevelType w:val="hybridMultilevel"/>
    <w:tmpl w:val="1EDE7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356490D"/>
    <w:multiLevelType w:val="hybridMultilevel"/>
    <w:tmpl w:val="90A452C8"/>
    <w:lvl w:ilvl="0" w:tplc="D63693FC">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2F0AEA"/>
    <w:multiLevelType w:val="hybridMultilevel"/>
    <w:tmpl w:val="90E8A9EE"/>
    <w:lvl w:ilvl="0" w:tplc="FFFFFFFF">
      <w:start w:val="1"/>
      <w:numFmt w:val="decimal"/>
      <w:lvlText w:val="%1."/>
      <w:lvlJc w:val="left"/>
      <w:pPr>
        <w:ind w:left="1069" w:hanging="360"/>
      </w:pPr>
      <w:rPr>
        <w:b w:val="0"/>
        <w:bCs/>
        <w:i w:val="0"/>
        <w:iCs w:val="0"/>
        <w:sz w:val="22"/>
        <w:szCs w:val="22"/>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71E6618"/>
    <w:multiLevelType w:val="hybridMultilevel"/>
    <w:tmpl w:val="E78A297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7063C7"/>
    <w:multiLevelType w:val="multilevel"/>
    <w:tmpl w:val="FFFFFFFF"/>
    <w:lvl w:ilvl="0">
      <w:start w:val="3"/>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3" w15:restartNumberingAfterBreak="0">
    <w:nsid w:val="2C12A8B1"/>
    <w:multiLevelType w:val="hybridMultilevel"/>
    <w:tmpl w:val="FFFFFFFF"/>
    <w:lvl w:ilvl="0" w:tplc="ADA042A8">
      <w:start w:val="1"/>
      <w:numFmt w:val="bullet"/>
      <w:lvlText w:val=""/>
      <w:lvlJc w:val="left"/>
      <w:pPr>
        <w:ind w:left="855" w:hanging="360"/>
      </w:pPr>
      <w:rPr>
        <w:rFonts w:ascii="Symbol" w:hAnsi="Symbol" w:hint="default"/>
      </w:rPr>
    </w:lvl>
    <w:lvl w:ilvl="1" w:tplc="B3D8DE5C">
      <w:start w:val="1"/>
      <w:numFmt w:val="bullet"/>
      <w:lvlText w:val="o"/>
      <w:lvlJc w:val="left"/>
      <w:pPr>
        <w:ind w:left="1440" w:hanging="360"/>
      </w:pPr>
      <w:rPr>
        <w:rFonts w:ascii="Courier New" w:hAnsi="Courier New" w:hint="default"/>
      </w:rPr>
    </w:lvl>
    <w:lvl w:ilvl="2" w:tplc="EB966FB2">
      <w:start w:val="1"/>
      <w:numFmt w:val="bullet"/>
      <w:lvlText w:val=""/>
      <w:lvlJc w:val="left"/>
      <w:pPr>
        <w:ind w:left="2160" w:hanging="360"/>
      </w:pPr>
      <w:rPr>
        <w:rFonts w:ascii="Wingdings" w:hAnsi="Wingdings" w:hint="default"/>
      </w:rPr>
    </w:lvl>
    <w:lvl w:ilvl="3" w:tplc="8A26432C">
      <w:start w:val="1"/>
      <w:numFmt w:val="bullet"/>
      <w:lvlText w:val=""/>
      <w:lvlJc w:val="left"/>
      <w:pPr>
        <w:ind w:left="2880" w:hanging="360"/>
      </w:pPr>
      <w:rPr>
        <w:rFonts w:ascii="Symbol" w:hAnsi="Symbol" w:hint="default"/>
      </w:rPr>
    </w:lvl>
    <w:lvl w:ilvl="4" w:tplc="663A5348">
      <w:start w:val="1"/>
      <w:numFmt w:val="bullet"/>
      <w:lvlText w:val="o"/>
      <w:lvlJc w:val="left"/>
      <w:pPr>
        <w:ind w:left="3600" w:hanging="360"/>
      </w:pPr>
      <w:rPr>
        <w:rFonts w:ascii="Courier New" w:hAnsi="Courier New" w:hint="default"/>
      </w:rPr>
    </w:lvl>
    <w:lvl w:ilvl="5" w:tplc="6C0EDF9E">
      <w:start w:val="1"/>
      <w:numFmt w:val="bullet"/>
      <w:lvlText w:val=""/>
      <w:lvlJc w:val="left"/>
      <w:pPr>
        <w:ind w:left="4320" w:hanging="360"/>
      </w:pPr>
      <w:rPr>
        <w:rFonts w:ascii="Wingdings" w:hAnsi="Wingdings" w:hint="default"/>
      </w:rPr>
    </w:lvl>
    <w:lvl w:ilvl="6" w:tplc="3ACADAFC">
      <w:start w:val="1"/>
      <w:numFmt w:val="bullet"/>
      <w:lvlText w:val=""/>
      <w:lvlJc w:val="left"/>
      <w:pPr>
        <w:ind w:left="5040" w:hanging="360"/>
      </w:pPr>
      <w:rPr>
        <w:rFonts w:ascii="Symbol" w:hAnsi="Symbol" w:hint="default"/>
      </w:rPr>
    </w:lvl>
    <w:lvl w:ilvl="7" w:tplc="93B0552C">
      <w:start w:val="1"/>
      <w:numFmt w:val="bullet"/>
      <w:lvlText w:val="o"/>
      <w:lvlJc w:val="left"/>
      <w:pPr>
        <w:ind w:left="5760" w:hanging="360"/>
      </w:pPr>
      <w:rPr>
        <w:rFonts w:ascii="Courier New" w:hAnsi="Courier New" w:hint="default"/>
      </w:rPr>
    </w:lvl>
    <w:lvl w:ilvl="8" w:tplc="F61657F4">
      <w:start w:val="1"/>
      <w:numFmt w:val="bullet"/>
      <w:lvlText w:val=""/>
      <w:lvlJc w:val="left"/>
      <w:pPr>
        <w:ind w:left="6480" w:hanging="360"/>
      </w:pPr>
      <w:rPr>
        <w:rFonts w:ascii="Wingdings" w:hAnsi="Wingdings" w:hint="default"/>
      </w:rPr>
    </w:lvl>
  </w:abstractNum>
  <w:abstractNum w:abstractNumId="14" w15:restartNumberingAfterBreak="0">
    <w:nsid w:val="31774C53"/>
    <w:multiLevelType w:val="multilevel"/>
    <w:tmpl w:val="FFFFFFFF"/>
    <w:lvl w:ilvl="0">
      <w:start w:val="4"/>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5" w15:restartNumberingAfterBreak="0">
    <w:nsid w:val="345426D5"/>
    <w:multiLevelType w:val="hybridMultilevel"/>
    <w:tmpl w:val="0ABA0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F2526"/>
    <w:multiLevelType w:val="hybridMultilevel"/>
    <w:tmpl w:val="EFE60AB8"/>
    <w:lvl w:ilvl="0" w:tplc="8C008266">
      <w:start w:val="21"/>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C445E"/>
    <w:multiLevelType w:val="multilevel"/>
    <w:tmpl w:val="FFFFFFFF"/>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FF30BDC"/>
    <w:multiLevelType w:val="hybridMultilevel"/>
    <w:tmpl w:val="4CB2C52A"/>
    <w:lvl w:ilvl="0" w:tplc="3DC4D55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3E5D4C"/>
    <w:multiLevelType w:val="hybridMultilevel"/>
    <w:tmpl w:val="F3E8D348"/>
    <w:lvl w:ilvl="0" w:tplc="32E045C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B1514"/>
    <w:multiLevelType w:val="multilevel"/>
    <w:tmpl w:val="FFFFFFFF"/>
    <w:lvl w:ilvl="0">
      <w:start w:val="2"/>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1" w15:restartNumberingAfterBreak="0">
    <w:nsid w:val="42A9E51D"/>
    <w:multiLevelType w:val="multilevel"/>
    <w:tmpl w:val="FFFFFFFF"/>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4467EE2"/>
    <w:multiLevelType w:val="hybridMultilevel"/>
    <w:tmpl w:val="148C98AA"/>
    <w:lvl w:ilvl="0" w:tplc="D63693FC">
      <w:start w:val="1"/>
      <w:numFmt w:val="bullet"/>
      <w:lvlText w:val="-"/>
      <w:lvlJc w:val="left"/>
      <w:pPr>
        <w:ind w:left="1080" w:hanging="360"/>
      </w:pPr>
      <w:rPr>
        <w:rFonts w:ascii="Courier New" w:hAnsi="Courier New" w:hint="default"/>
      </w:rPr>
    </w:lvl>
    <w:lvl w:ilvl="1" w:tplc="D63693FC">
      <w:start w:val="1"/>
      <w:numFmt w:val="bullet"/>
      <w:lvlText w:val="-"/>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6F97A37"/>
    <w:multiLevelType w:val="hybridMultilevel"/>
    <w:tmpl w:val="B3068798"/>
    <w:lvl w:ilvl="0" w:tplc="D63693FC">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1DF203E"/>
    <w:multiLevelType w:val="hybridMultilevel"/>
    <w:tmpl w:val="9444A3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001B62"/>
    <w:multiLevelType w:val="hybridMultilevel"/>
    <w:tmpl w:val="735A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3151A6"/>
    <w:multiLevelType w:val="hybridMultilevel"/>
    <w:tmpl w:val="B4384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C8E66B"/>
    <w:multiLevelType w:val="multilevel"/>
    <w:tmpl w:val="FFFFFFFF"/>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3724ADA"/>
    <w:multiLevelType w:val="hybridMultilevel"/>
    <w:tmpl w:val="8AECE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8A1FC7"/>
    <w:multiLevelType w:val="hybridMultilevel"/>
    <w:tmpl w:val="753E31FE"/>
    <w:lvl w:ilvl="0" w:tplc="FFFFFFFF">
      <w:start w:val="1"/>
      <w:numFmt w:val="decimal"/>
      <w:lvlText w:val="%1."/>
      <w:lvlJc w:val="left"/>
      <w:pPr>
        <w:ind w:left="720" w:hanging="360"/>
      </w:pPr>
      <w:rPr>
        <w:rFonts w:hint="default"/>
      </w:rPr>
    </w:lvl>
    <w:lvl w:ilvl="1" w:tplc="C0D42576">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0F08CE"/>
    <w:multiLevelType w:val="hybridMultilevel"/>
    <w:tmpl w:val="CEEE1F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0B659C7"/>
    <w:multiLevelType w:val="hybridMultilevel"/>
    <w:tmpl w:val="FFFFFFFF"/>
    <w:lvl w:ilvl="0" w:tplc="5852A780">
      <w:start w:val="1"/>
      <w:numFmt w:val="bullet"/>
      <w:lvlText w:val=""/>
      <w:lvlJc w:val="left"/>
      <w:pPr>
        <w:ind w:left="720" w:hanging="360"/>
      </w:pPr>
      <w:rPr>
        <w:rFonts w:ascii="Symbol" w:hAnsi="Symbol" w:hint="default"/>
      </w:rPr>
    </w:lvl>
    <w:lvl w:ilvl="1" w:tplc="83469120">
      <w:start w:val="1"/>
      <w:numFmt w:val="bullet"/>
      <w:lvlText w:val="o"/>
      <w:lvlJc w:val="left"/>
      <w:pPr>
        <w:ind w:left="1009" w:hanging="363"/>
      </w:pPr>
      <w:rPr>
        <w:rFonts w:ascii="Courier New" w:hAnsi="Courier New" w:hint="default"/>
      </w:rPr>
    </w:lvl>
    <w:lvl w:ilvl="2" w:tplc="09E026D8">
      <w:start w:val="1"/>
      <w:numFmt w:val="bullet"/>
      <w:lvlText w:val=""/>
      <w:lvlJc w:val="left"/>
      <w:pPr>
        <w:ind w:left="2160" w:hanging="360"/>
      </w:pPr>
      <w:rPr>
        <w:rFonts w:ascii="Wingdings" w:hAnsi="Wingdings" w:hint="default"/>
      </w:rPr>
    </w:lvl>
    <w:lvl w:ilvl="3" w:tplc="A26A6ADA">
      <w:start w:val="1"/>
      <w:numFmt w:val="bullet"/>
      <w:lvlText w:val=""/>
      <w:lvlJc w:val="left"/>
      <w:pPr>
        <w:ind w:left="2880" w:hanging="360"/>
      </w:pPr>
      <w:rPr>
        <w:rFonts w:ascii="Symbol" w:hAnsi="Symbol" w:hint="default"/>
      </w:rPr>
    </w:lvl>
    <w:lvl w:ilvl="4" w:tplc="A2865FF8">
      <w:start w:val="1"/>
      <w:numFmt w:val="bullet"/>
      <w:lvlText w:val="o"/>
      <w:lvlJc w:val="left"/>
      <w:pPr>
        <w:ind w:left="3600" w:hanging="360"/>
      </w:pPr>
      <w:rPr>
        <w:rFonts w:ascii="Courier New" w:hAnsi="Courier New" w:hint="default"/>
      </w:rPr>
    </w:lvl>
    <w:lvl w:ilvl="5" w:tplc="47060242">
      <w:start w:val="1"/>
      <w:numFmt w:val="bullet"/>
      <w:lvlText w:val=""/>
      <w:lvlJc w:val="left"/>
      <w:pPr>
        <w:ind w:left="4320" w:hanging="360"/>
      </w:pPr>
      <w:rPr>
        <w:rFonts w:ascii="Wingdings" w:hAnsi="Wingdings" w:hint="default"/>
      </w:rPr>
    </w:lvl>
    <w:lvl w:ilvl="6" w:tplc="F97E15C2">
      <w:start w:val="1"/>
      <w:numFmt w:val="bullet"/>
      <w:lvlText w:val=""/>
      <w:lvlJc w:val="left"/>
      <w:pPr>
        <w:ind w:left="5040" w:hanging="360"/>
      </w:pPr>
      <w:rPr>
        <w:rFonts w:ascii="Symbol" w:hAnsi="Symbol" w:hint="default"/>
      </w:rPr>
    </w:lvl>
    <w:lvl w:ilvl="7" w:tplc="2280FEEC">
      <w:start w:val="1"/>
      <w:numFmt w:val="bullet"/>
      <w:lvlText w:val="o"/>
      <w:lvlJc w:val="left"/>
      <w:pPr>
        <w:ind w:left="5760" w:hanging="360"/>
      </w:pPr>
      <w:rPr>
        <w:rFonts w:ascii="Courier New" w:hAnsi="Courier New" w:hint="default"/>
      </w:rPr>
    </w:lvl>
    <w:lvl w:ilvl="8" w:tplc="2B76BFF8">
      <w:start w:val="1"/>
      <w:numFmt w:val="bullet"/>
      <w:lvlText w:val=""/>
      <w:lvlJc w:val="left"/>
      <w:pPr>
        <w:ind w:left="6480" w:hanging="360"/>
      </w:pPr>
      <w:rPr>
        <w:rFonts w:ascii="Wingdings" w:hAnsi="Wingdings" w:hint="default"/>
      </w:rPr>
    </w:lvl>
  </w:abstractNum>
  <w:abstractNum w:abstractNumId="32" w15:restartNumberingAfterBreak="0">
    <w:nsid w:val="720332E1"/>
    <w:multiLevelType w:val="hybridMultilevel"/>
    <w:tmpl w:val="6BD4257C"/>
    <w:lvl w:ilvl="0" w:tplc="C866AFB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46855F"/>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3D51DA"/>
    <w:multiLevelType w:val="hybridMultilevel"/>
    <w:tmpl w:val="E1808A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83397702">
    <w:abstractNumId w:val="1"/>
  </w:num>
  <w:num w:numId="2" w16cid:durableId="1315063852">
    <w:abstractNumId w:val="13"/>
  </w:num>
  <w:num w:numId="3" w16cid:durableId="910627168">
    <w:abstractNumId w:val="27"/>
  </w:num>
  <w:num w:numId="4" w16cid:durableId="1441491218">
    <w:abstractNumId w:val="17"/>
  </w:num>
  <w:num w:numId="5" w16cid:durableId="1547137026">
    <w:abstractNumId w:val="21"/>
  </w:num>
  <w:num w:numId="6" w16cid:durableId="1776631928">
    <w:abstractNumId w:val="3"/>
  </w:num>
  <w:num w:numId="7" w16cid:durableId="1851338002">
    <w:abstractNumId w:val="31"/>
  </w:num>
  <w:num w:numId="8" w16cid:durableId="1602643484">
    <w:abstractNumId w:val="14"/>
  </w:num>
  <w:num w:numId="9" w16cid:durableId="476263862">
    <w:abstractNumId w:val="12"/>
  </w:num>
  <w:num w:numId="10" w16cid:durableId="497574361">
    <w:abstractNumId w:val="20"/>
  </w:num>
  <w:num w:numId="11" w16cid:durableId="1510872749">
    <w:abstractNumId w:val="7"/>
  </w:num>
  <w:num w:numId="12" w16cid:durableId="1598714425">
    <w:abstractNumId w:val="33"/>
  </w:num>
  <w:num w:numId="13" w16cid:durableId="1048920116">
    <w:abstractNumId w:val="8"/>
  </w:num>
  <w:num w:numId="14" w16cid:durableId="714812672">
    <w:abstractNumId w:val="25"/>
  </w:num>
  <w:num w:numId="15" w16cid:durableId="748505300">
    <w:abstractNumId w:val="15"/>
  </w:num>
  <w:num w:numId="16" w16cid:durableId="1302731980">
    <w:abstractNumId w:val="23"/>
  </w:num>
  <w:num w:numId="17" w16cid:durableId="554388160">
    <w:abstractNumId w:val="9"/>
  </w:num>
  <w:num w:numId="18" w16cid:durableId="1329014394">
    <w:abstractNumId w:val="6"/>
  </w:num>
  <w:num w:numId="19" w16cid:durableId="611786646">
    <w:abstractNumId w:val="22"/>
  </w:num>
  <w:num w:numId="20" w16cid:durableId="1951740283">
    <w:abstractNumId w:val="34"/>
  </w:num>
  <w:num w:numId="21" w16cid:durableId="1546061102">
    <w:abstractNumId w:val="5"/>
  </w:num>
  <w:num w:numId="22" w16cid:durableId="143284732">
    <w:abstractNumId w:val="32"/>
  </w:num>
  <w:num w:numId="23" w16cid:durableId="363480921">
    <w:abstractNumId w:val="26"/>
  </w:num>
  <w:num w:numId="24" w16cid:durableId="1267494457">
    <w:abstractNumId w:val="29"/>
  </w:num>
  <w:num w:numId="25" w16cid:durableId="466317981">
    <w:abstractNumId w:val="24"/>
  </w:num>
  <w:num w:numId="26" w16cid:durableId="496961460">
    <w:abstractNumId w:val="18"/>
  </w:num>
  <w:num w:numId="27" w16cid:durableId="76876174">
    <w:abstractNumId w:val="19"/>
  </w:num>
  <w:num w:numId="28" w16cid:durableId="821775506">
    <w:abstractNumId w:val="16"/>
  </w:num>
  <w:num w:numId="29" w16cid:durableId="58330626">
    <w:abstractNumId w:val="2"/>
  </w:num>
  <w:num w:numId="30" w16cid:durableId="1657370354">
    <w:abstractNumId w:val="30"/>
  </w:num>
  <w:num w:numId="31" w16cid:durableId="2020690348">
    <w:abstractNumId w:val="10"/>
  </w:num>
  <w:num w:numId="32" w16cid:durableId="949893143">
    <w:abstractNumId w:val="0"/>
  </w:num>
  <w:num w:numId="33" w16cid:durableId="455683187">
    <w:abstractNumId w:val="28"/>
  </w:num>
  <w:num w:numId="34" w16cid:durableId="1156143487">
    <w:abstractNumId w:val="4"/>
  </w:num>
  <w:num w:numId="35" w16cid:durableId="1824395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2C"/>
    <w:rsid w:val="00001890"/>
    <w:rsid w:val="0000238C"/>
    <w:rsid w:val="000032AB"/>
    <w:rsid w:val="00004515"/>
    <w:rsid w:val="000113D4"/>
    <w:rsid w:val="00012100"/>
    <w:rsid w:val="00016E58"/>
    <w:rsid w:val="000208A6"/>
    <w:rsid w:val="0002157B"/>
    <w:rsid w:val="00023069"/>
    <w:rsid w:val="000236DA"/>
    <w:rsid w:val="00027120"/>
    <w:rsid w:val="00033E7A"/>
    <w:rsid w:val="00036B65"/>
    <w:rsid w:val="00037F8F"/>
    <w:rsid w:val="000425EB"/>
    <w:rsid w:val="00042CDC"/>
    <w:rsid w:val="00045BDC"/>
    <w:rsid w:val="0005075A"/>
    <w:rsid w:val="000522DD"/>
    <w:rsid w:val="00052318"/>
    <w:rsid w:val="00053562"/>
    <w:rsid w:val="00054209"/>
    <w:rsid w:val="00054A9D"/>
    <w:rsid w:val="000627EE"/>
    <w:rsid w:val="000630C0"/>
    <w:rsid w:val="00063195"/>
    <w:rsid w:val="000639DF"/>
    <w:rsid w:val="0006647A"/>
    <w:rsid w:val="00071640"/>
    <w:rsid w:val="0007180B"/>
    <w:rsid w:val="00071D89"/>
    <w:rsid w:val="0007374F"/>
    <w:rsid w:val="00076E11"/>
    <w:rsid w:val="000771BB"/>
    <w:rsid w:val="00080399"/>
    <w:rsid w:val="00080C85"/>
    <w:rsid w:val="0008189F"/>
    <w:rsid w:val="00082481"/>
    <w:rsid w:val="00083E43"/>
    <w:rsid w:val="00087040"/>
    <w:rsid w:val="00087D12"/>
    <w:rsid w:val="00090217"/>
    <w:rsid w:val="000909E3"/>
    <w:rsid w:val="000A0406"/>
    <w:rsid w:val="000A116C"/>
    <w:rsid w:val="000A1E7C"/>
    <w:rsid w:val="000A4120"/>
    <w:rsid w:val="000A4140"/>
    <w:rsid w:val="000A5D80"/>
    <w:rsid w:val="000A70DC"/>
    <w:rsid w:val="000B07E4"/>
    <w:rsid w:val="000B2368"/>
    <w:rsid w:val="000B3CAF"/>
    <w:rsid w:val="000B5A29"/>
    <w:rsid w:val="000B6212"/>
    <w:rsid w:val="000B6465"/>
    <w:rsid w:val="000C0B0A"/>
    <w:rsid w:val="000C2765"/>
    <w:rsid w:val="000C54A7"/>
    <w:rsid w:val="000C57BC"/>
    <w:rsid w:val="000C643A"/>
    <w:rsid w:val="000D14B2"/>
    <w:rsid w:val="000D37E9"/>
    <w:rsid w:val="000D404B"/>
    <w:rsid w:val="000D47D2"/>
    <w:rsid w:val="000D6E64"/>
    <w:rsid w:val="000D74D0"/>
    <w:rsid w:val="000D7FFC"/>
    <w:rsid w:val="000E47D3"/>
    <w:rsid w:val="000E5355"/>
    <w:rsid w:val="000E6BC2"/>
    <w:rsid w:val="000E7255"/>
    <w:rsid w:val="000E76B3"/>
    <w:rsid w:val="000F331F"/>
    <w:rsid w:val="000F3D80"/>
    <w:rsid w:val="00101C01"/>
    <w:rsid w:val="001070CE"/>
    <w:rsid w:val="00107C1D"/>
    <w:rsid w:val="001129F7"/>
    <w:rsid w:val="00112E33"/>
    <w:rsid w:val="0011649D"/>
    <w:rsid w:val="00116D0F"/>
    <w:rsid w:val="00122054"/>
    <w:rsid w:val="00125931"/>
    <w:rsid w:val="00126550"/>
    <w:rsid w:val="00132519"/>
    <w:rsid w:val="001330CE"/>
    <w:rsid w:val="00134C86"/>
    <w:rsid w:val="001356EA"/>
    <w:rsid w:val="00140F09"/>
    <w:rsid w:val="00142C86"/>
    <w:rsid w:val="00144CE8"/>
    <w:rsid w:val="001468A9"/>
    <w:rsid w:val="00146B78"/>
    <w:rsid w:val="00147316"/>
    <w:rsid w:val="00147421"/>
    <w:rsid w:val="00147FC6"/>
    <w:rsid w:val="00150DE2"/>
    <w:rsid w:val="00151809"/>
    <w:rsid w:val="00152714"/>
    <w:rsid w:val="001539B7"/>
    <w:rsid w:val="001558B1"/>
    <w:rsid w:val="0015596B"/>
    <w:rsid w:val="00157C5D"/>
    <w:rsid w:val="0016149B"/>
    <w:rsid w:val="00163381"/>
    <w:rsid w:val="00164467"/>
    <w:rsid w:val="001646FD"/>
    <w:rsid w:val="00165BDC"/>
    <w:rsid w:val="00166513"/>
    <w:rsid w:val="00172753"/>
    <w:rsid w:val="00172EAB"/>
    <w:rsid w:val="00175122"/>
    <w:rsid w:val="00181314"/>
    <w:rsid w:val="00182E0F"/>
    <w:rsid w:val="00184E8F"/>
    <w:rsid w:val="0019014A"/>
    <w:rsid w:val="00191397"/>
    <w:rsid w:val="0019254D"/>
    <w:rsid w:val="00194063"/>
    <w:rsid w:val="00196477"/>
    <w:rsid w:val="001A02EC"/>
    <w:rsid w:val="001A1A2E"/>
    <w:rsid w:val="001A4AA4"/>
    <w:rsid w:val="001A4D64"/>
    <w:rsid w:val="001A65D1"/>
    <w:rsid w:val="001B10A2"/>
    <w:rsid w:val="001B12D9"/>
    <w:rsid w:val="001B14BA"/>
    <w:rsid w:val="001B1B1B"/>
    <w:rsid w:val="001B2832"/>
    <w:rsid w:val="001B445D"/>
    <w:rsid w:val="001B74F5"/>
    <w:rsid w:val="001C2753"/>
    <w:rsid w:val="001C6CE4"/>
    <w:rsid w:val="001C7810"/>
    <w:rsid w:val="001C7B32"/>
    <w:rsid w:val="001D13E6"/>
    <w:rsid w:val="001D239C"/>
    <w:rsid w:val="001D3E8A"/>
    <w:rsid w:val="001D53A5"/>
    <w:rsid w:val="001D5CB3"/>
    <w:rsid w:val="001E0127"/>
    <w:rsid w:val="001E0331"/>
    <w:rsid w:val="001E086F"/>
    <w:rsid w:val="001F01B8"/>
    <w:rsid w:val="001F0AF5"/>
    <w:rsid w:val="001F153B"/>
    <w:rsid w:val="001F22F2"/>
    <w:rsid w:val="001F2F19"/>
    <w:rsid w:val="001F67E7"/>
    <w:rsid w:val="002007F2"/>
    <w:rsid w:val="00200CDE"/>
    <w:rsid w:val="00214D86"/>
    <w:rsid w:val="002165F0"/>
    <w:rsid w:val="00221AD2"/>
    <w:rsid w:val="00222067"/>
    <w:rsid w:val="00222364"/>
    <w:rsid w:val="002228AA"/>
    <w:rsid w:val="00225D4D"/>
    <w:rsid w:val="00225E0A"/>
    <w:rsid w:val="00227A16"/>
    <w:rsid w:val="00230B3B"/>
    <w:rsid w:val="00234902"/>
    <w:rsid w:val="00235BC4"/>
    <w:rsid w:val="00235EC1"/>
    <w:rsid w:val="002364F7"/>
    <w:rsid w:val="002408B0"/>
    <w:rsid w:val="00243DCB"/>
    <w:rsid w:val="0024598E"/>
    <w:rsid w:val="002460B4"/>
    <w:rsid w:val="00251E32"/>
    <w:rsid w:val="00253615"/>
    <w:rsid w:val="0025504B"/>
    <w:rsid w:val="00255214"/>
    <w:rsid w:val="00257F78"/>
    <w:rsid w:val="00262184"/>
    <w:rsid w:val="0026362D"/>
    <w:rsid w:val="00264CB0"/>
    <w:rsid w:val="00265CB3"/>
    <w:rsid w:val="00267005"/>
    <w:rsid w:val="00271C98"/>
    <w:rsid w:val="00272DF1"/>
    <w:rsid w:val="00273438"/>
    <w:rsid w:val="00273701"/>
    <w:rsid w:val="002763E6"/>
    <w:rsid w:val="00276517"/>
    <w:rsid w:val="002765E9"/>
    <w:rsid w:val="00277DDE"/>
    <w:rsid w:val="00283C2B"/>
    <w:rsid w:val="0028648D"/>
    <w:rsid w:val="00286AEA"/>
    <w:rsid w:val="00286E34"/>
    <w:rsid w:val="00287EC2"/>
    <w:rsid w:val="00291CB5"/>
    <w:rsid w:val="00292068"/>
    <w:rsid w:val="00292560"/>
    <w:rsid w:val="0029494A"/>
    <w:rsid w:val="0029729A"/>
    <w:rsid w:val="002B0249"/>
    <w:rsid w:val="002B1392"/>
    <w:rsid w:val="002B1E9F"/>
    <w:rsid w:val="002B1F55"/>
    <w:rsid w:val="002B4B98"/>
    <w:rsid w:val="002B6A63"/>
    <w:rsid w:val="002B6C11"/>
    <w:rsid w:val="002B7642"/>
    <w:rsid w:val="002C19D3"/>
    <w:rsid w:val="002C30D3"/>
    <w:rsid w:val="002C51D2"/>
    <w:rsid w:val="002C6245"/>
    <w:rsid w:val="002C6274"/>
    <w:rsid w:val="002C7238"/>
    <w:rsid w:val="002C77F4"/>
    <w:rsid w:val="002D09A5"/>
    <w:rsid w:val="002D0CD9"/>
    <w:rsid w:val="002D4DA2"/>
    <w:rsid w:val="002E24B5"/>
    <w:rsid w:val="002E34F8"/>
    <w:rsid w:val="002E370F"/>
    <w:rsid w:val="002E3DC6"/>
    <w:rsid w:val="002E47AC"/>
    <w:rsid w:val="002E47F9"/>
    <w:rsid w:val="002E4F89"/>
    <w:rsid w:val="002E6BE9"/>
    <w:rsid w:val="002E7988"/>
    <w:rsid w:val="002F42A6"/>
    <w:rsid w:val="002F5652"/>
    <w:rsid w:val="002F7768"/>
    <w:rsid w:val="00300559"/>
    <w:rsid w:val="0030176F"/>
    <w:rsid w:val="00302259"/>
    <w:rsid w:val="003061FD"/>
    <w:rsid w:val="00310DE0"/>
    <w:rsid w:val="00317176"/>
    <w:rsid w:val="00321138"/>
    <w:rsid w:val="00321EB1"/>
    <w:rsid w:val="003220EB"/>
    <w:rsid w:val="003224EE"/>
    <w:rsid w:val="00323DF6"/>
    <w:rsid w:val="00327AEA"/>
    <w:rsid w:val="003301D7"/>
    <w:rsid w:val="003339CC"/>
    <w:rsid w:val="003405C8"/>
    <w:rsid w:val="00343EF4"/>
    <w:rsid w:val="0034533C"/>
    <w:rsid w:val="00345342"/>
    <w:rsid w:val="00346ABA"/>
    <w:rsid w:val="0034773F"/>
    <w:rsid w:val="003507B9"/>
    <w:rsid w:val="00351576"/>
    <w:rsid w:val="00351911"/>
    <w:rsid w:val="0035379C"/>
    <w:rsid w:val="003548CD"/>
    <w:rsid w:val="00362F68"/>
    <w:rsid w:val="003637D5"/>
    <w:rsid w:val="003646F2"/>
    <w:rsid w:val="00364E36"/>
    <w:rsid w:val="00365E71"/>
    <w:rsid w:val="003703C9"/>
    <w:rsid w:val="003723C4"/>
    <w:rsid w:val="00376877"/>
    <w:rsid w:val="00377B6E"/>
    <w:rsid w:val="00383254"/>
    <w:rsid w:val="00386DFC"/>
    <w:rsid w:val="00390AB5"/>
    <w:rsid w:val="00394192"/>
    <w:rsid w:val="003A056B"/>
    <w:rsid w:val="003A0C9D"/>
    <w:rsid w:val="003A1454"/>
    <w:rsid w:val="003A1A96"/>
    <w:rsid w:val="003A20BC"/>
    <w:rsid w:val="003A4191"/>
    <w:rsid w:val="003A4756"/>
    <w:rsid w:val="003B0CA3"/>
    <w:rsid w:val="003B0E1B"/>
    <w:rsid w:val="003B148A"/>
    <w:rsid w:val="003B21B0"/>
    <w:rsid w:val="003B4CEA"/>
    <w:rsid w:val="003B51A7"/>
    <w:rsid w:val="003B64C0"/>
    <w:rsid w:val="003C071B"/>
    <w:rsid w:val="003C0C23"/>
    <w:rsid w:val="003C0E23"/>
    <w:rsid w:val="003C1077"/>
    <w:rsid w:val="003C36D6"/>
    <w:rsid w:val="003C7C83"/>
    <w:rsid w:val="003D03A9"/>
    <w:rsid w:val="003D1A07"/>
    <w:rsid w:val="003D222C"/>
    <w:rsid w:val="003D5548"/>
    <w:rsid w:val="003D6D00"/>
    <w:rsid w:val="003E010B"/>
    <w:rsid w:val="003E2822"/>
    <w:rsid w:val="003E2F16"/>
    <w:rsid w:val="003E378B"/>
    <w:rsid w:val="003E37BB"/>
    <w:rsid w:val="003E40E0"/>
    <w:rsid w:val="003E4699"/>
    <w:rsid w:val="003E5649"/>
    <w:rsid w:val="003F01C3"/>
    <w:rsid w:val="003F0395"/>
    <w:rsid w:val="003F0BA4"/>
    <w:rsid w:val="003F356F"/>
    <w:rsid w:val="003F3586"/>
    <w:rsid w:val="003F3BEE"/>
    <w:rsid w:val="003F6641"/>
    <w:rsid w:val="00401217"/>
    <w:rsid w:val="00401243"/>
    <w:rsid w:val="00402525"/>
    <w:rsid w:val="00402699"/>
    <w:rsid w:val="00413928"/>
    <w:rsid w:val="004172A1"/>
    <w:rsid w:val="00420DD4"/>
    <w:rsid w:val="00420E4B"/>
    <w:rsid w:val="004269B3"/>
    <w:rsid w:val="00427BF6"/>
    <w:rsid w:val="00431FA3"/>
    <w:rsid w:val="004368A0"/>
    <w:rsid w:val="004429CF"/>
    <w:rsid w:val="00443906"/>
    <w:rsid w:val="00443D2A"/>
    <w:rsid w:val="004448D5"/>
    <w:rsid w:val="00444EA1"/>
    <w:rsid w:val="004467DE"/>
    <w:rsid w:val="004548C7"/>
    <w:rsid w:val="0045498E"/>
    <w:rsid w:val="00456236"/>
    <w:rsid w:val="00461860"/>
    <w:rsid w:val="00461904"/>
    <w:rsid w:val="004635D9"/>
    <w:rsid w:val="00463B74"/>
    <w:rsid w:val="004644D3"/>
    <w:rsid w:val="00465226"/>
    <w:rsid w:val="00465CFF"/>
    <w:rsid w:val="004674E7"/>
    <w:rsid w:val="00473E68"/>
    <w:rsid w:val="004740EE"/>
    <w:rsid w:val="00475A50"/>
    <w:rsid w:val="0047681B"/>
    <w:rsid w:val="004773A5"/>
    <w:rsid w:val="004832B3"/>
    <w:rsid w:val="0048444F"/>
    <w:rsid w:val="00485957"/>
    <w:rsid w:val="004870CC"/>
    <w:rsid w:val="00490C15"/>
    <w:rsid w:val="00495286"/>
    <w:rsid w:val="0049755E"/>
    <w:rsid w:val="00497F2A"/>
    <w:rsid w:val="004A0C11"/>
    <w:rsid w:val="004A24FD"/>
    <w:rsid w:val="004A2FB5"/>
    <w:rsid w:val="004A367B"/>
    <w:rsid w:val="004A7090"/>
    <w:rsid w:val="004B0AE1"/>
    <w:rsid w:val="004B1577"/>
    <w:rsid w:val="004B5301"/>
    <w:rsid w:val="004B76B8"/>
    <w:rsid w:val="004C30E7"/>
    <w:rsid w:val="004C4669"/>
    <w:rsid w:val="004C6548"/>
    <w:rsid w:val="004C7115"/>
    <w:rsid w:val="004D0FB8"/>
    <w:rsid w:val="004D1E44"/>
    <w:rsid w:val="004D2202"/>
    <w:rsid w:val="004D2FC0"/>
    <w:rsid w:val="004D5FD5"/>
    <w:rsid w:val="004D72D7"/>
    <w:rsid w:val="004E070B"/>
    <w:rsid w:val="004E106C"/>
    <w:rsid w:val="004E3955"/>
    <w:rsid w:val="004E58C7"/>
    <w:rsid w:val="004E5D8A"/>
    <w:rsid w:val="004E5D8F"/>
    <w:rsid w:val="004E681B"/>
    <w:rsid w:val="004E6DE0"/>
    <w:rsid w:val="004F71CD"/>
    <w:rsid w:val="0050028A"/>
    <w:rsid w:val="00502BE2"/>
    <w:rsid w:val="00504998"/>
    <w:rsid w:val="00506BA7"/>
    <w:rsid w:val="00507D4E"/>
    <w:rsid w:val="00511364"/>
    <w:rsid w:val="00512A73"/>
    <w:rsid w:val="00512FD1"/>
    <w:rsid w:val="005150E9"/>
    <w:rsid w:val="00517A7C"/>
    <w:rsid w:val="005220FE"/>
    <w:rsid w:val="00523527"/>
    <w:rsid w:val="0053029D"/>
    <w:rsid w:val="00536C66"/>
    <w:rsid w:val="00536E49"/>
    <w:rsid w:val="005407FB"/>
    <w:rsid w:val="005431EA"/>
    <w:rsid w:val="00543EB5"/>
    <w:rsid w:val="00546684"/>
    <w:rsid w:val="005506F0"/>
    <w:rsid w:val="005518AC"/>
    <w:rsid w:val="00556E52"/>
    <w:rsid w:val="00561494"/>
    <w:rsid w:val="00562333"/>
    <w:rsid w:val="00564785"/>
    <w:rsid w:val="00564958"/>
    <w:rsid w:val="00566DD9"/>
    <w:rsid w:val="00567637"/>
    <w:rsid w:val="0057101E"/>
    <w:rsid w:val="00571448"/>
    <w:rsid w:val="00571487"/>
    <w:rsid w:val="00574BA6"/>
    <w:rsid w:val="0057533F"/>
    <w:rsid w:val="00575C82"/>
    <w:rsid w:val="00576F5E"/>
    <w:rsid w:val="00577FD2"/>
    <w:rsid w:val="005805EB"/>
    <w:rsid w:val="00581497"/>
    <w:rsid w:val="005938E9"/>
    <w:rsid w:val="005956F6"/>
    <w:rsid w:val="005958BB"/>
    <w:rsid w:val="0059593C"/>
    <w:rsid w:val="00597B77"/>
    <w:rsid w:val="00597B87"/>
    <w:rsid w:val="005A226C"/>
    <w:rsid w:val="005A238B"/>
    <w:rsid w:val="005A72B9"/>
    <w:rsid w:val="005A7E49"/>
    <w:rsid w:val="005B0586"/>
    <w:rsid w:val="005B191D"/>
    <w:rsid w:val="005B2665"/>
    <w:rsid w:val="005B4639"/>
    <w:rsid w:val="005C2CD1"/>
    <w:rsid w:val="005C33CD"/>
    <w:rsid w:val="005C397C"/>
    <w:rsid w:val="005C3D77"/>
    <w:rsid w:val="005D34A2"/>
    <w:rsid w:val="005D3D52"/>
    <w:rsid w:val="005D3FB6"/>
    <w:rsid w:val="005E2A18"/>
    <w:rsid w:val="005E4042"/>
    <w:rsid w:val="005E4331"/>
    <w:rsid w:val="005E4B07"/>
    <w:rsid w:val="005E4CFD"/>
    <w:rsid w:val="005E6E0C"/>
    <w:rsid w:val="005E7765"/>
    <w:rsid w:val="005F02BC"/>
    <w:rsid w:val="005F2FB9"/>
    <w:rsid w:val="005F3E00"/>
    <w:rsid w:val="005F7F2A"/>
    <w:rsid w:val="0060161D"/>
    <w:rsid w:val="0060208F"/>
    <w:rsid w:val="00602756"/>
    <w:rsid w:val="0061010A"/>
    <w:rsid w:val="00610211"/>
    <w:rsid w:val="00610F18"/>
    <w:rsid w:val="00611197"/>
    <w:rsid w:val="00614870"/>
    <w:rsid w:val="00616C0D"/>
    <w:rsid w:val="00621165"/>
    <w:rsid w:val="00633013"/>
    <w:rsid w:val="00633718"/>
    <w:rsid w:val="00633B4D"/>
    <w:rsid w:val="006347DA"/>
    <w:rsid w:val="00635E6D"/>
    <w:rsid w:val="006366C5"/>
    <w:rsid w:val="0063799D"/>
    <w:rsid w:val="0064238D"/>
    <w:rsid w:val="00645799"/>
    <w:rsid w:val="00647F5A"/>
    <w:rsid w:val="00653E07"/>
    <w:rsid w:val="0065784C"/>
    <w:rsid w:val="00663741"/>
    <w:rsid w:val="00664C92"/>
    <w:rsid w:val="00666007"/>
    <w:rsid w:val="00666BE9"/>
    <w:rsid w:val="00670978"/>
    <w:rsid w:val="00670FB1"/>
    <w:rsid w:val="0067105C"/>
    <w:rsid w:val="00672062"/>
    <w:rsid w:val="0067481E"/>
    <w:rsid w:val="00675863"/>
    <w:rsid w:val="00677480"/>
    <w:rsid w:val="00677C9F"/>
    <w:rsid w:val="00682382"/>
    <w:rsid w:val="00684787"/>
    <w:rsid w:val="0068480F"/>
    <w:rsid w:val="00684D59"/>
    <w:rsid w:val="0068562B"/>
    <w:rsid w:val="00685F67"/>
    <w:rsid w:val="00690170"/>
    <w:rsid w:val="00691842"/>
    <w:rsid w:val="00693338"/>
    <w:rsid w:val="00693916"/>
    <w:rsid w:val="006A2350"/>
    <w:rsid w:val="006A5DF2"/>
    <w:rsid w:val="006A7335"/>
    <w:rsid w:val="006A79E4"/>
    <w:rsid w:val="006A7E18"/>
    <w:rsid w:val="006B0C3A"/>
    <w:rsid w:val="006B7B99"/>
    <w:rsid w:val="006C204F"/>
    <w:rsid w:val="006C22B2"/>
    <w:rsid w:val="006C516E"/>
    <w:rsid w:val="006E16CD"/>
    <w:rsid w:val="006E36F3"/>
    <w:rsid w:val="006E3A30"/>
    <w:rsid w:val="006E43A5"/>
    <w:rsid w:val="006E46BF"/>
    <w:rsid w:val="006E738D"/>
    <w:rsid w:val="006F00D1"/>
    <w:rsid w:val="00700381"/>
    <w:rsid w:val="00704157"/>
    <w:rsid w:val="00704C63"/>
    <w:rsid w:val="00710A2C"/>
    <w:rsid w:val="007127B3"/>
    <w:rsid w:val="00712EAE"/>
    <w:rsid w:val="00716156"/>
    <w:rsid w:val="007162D8"/>
    <w:rsid w:val="00716D07"/>
    <w:rsid w:val="00720A23"/>
    <w:rsid w:val="007235DD"/>
    <w:rsid w:val="00723DBD"/>
    <w:rsid w:val="00730E2D"/>
    <w:rsid w:val="0073208D"/>
    <w:rsid w:val="00733376"/>
    <w:rsid w:val="00734B0D"/>
    <w:rsid w:val="00740805"/>
    <w:rsid w:val="0074195B"/>
    <w:rsid w:val="0075009F"/>
    <w:rsid w:val="00760FA1"/>
    <w:rsid w:val="007614EF"/>
    <w:rsid w:val="00761B86"/>
    <w:rsid w:val="00763026"/>
    <w:rsid w:val="00763186"/>
    <w:rsid w:val="007632E2"/>
    <w:rsid w:val="00765353"/>
    <w:rsid w:val="00765E15"/>
    <w:rsid w:val="00767095"/>
    <w:rsid w:val="00770817"/>
    <w:rsid w:val="00773528"/>
    <w:rsid w:val="00773FD7"/>
    <w:rsid w:val="00774FE6"/>
    <w:rsid w:val="0077756C"/>
    <w:rsid w:val="00783DD9"/>
    <w:rsid w:val="00785A61"/>
    <w:rsid w:val="00786A91"/>
    <w:rsid w:val="0079255E"/>
    <w:rsid w:val="00792B52"/>
    <w:rsid w:val="007932D6"/>
    <w:rsid w:val="00795662"/>
    <w:rsid w:val="007A3325"/>
    <w:rsid w:val="007A450E"/>
    <w:rsid w:val="007A54FD"/>
    <w:rsid w:val="007A633B"/>
    <w:rsid w:val="007B1734"/>
    <w:rsid w:val="007B3F40"/>
    <w:rsid w:val="007B4FF3"/>
    <w:rsid w:val="007C0A2E"/>
    <w:rsid w:val="007C16AC"/>
    <w:rsid w:val="007C1877"/>
    <w:rsid w:val="007C5116"/>
    <w:rsid w:val="007C68E9"/>
    <w:rsid w:val="007C6CE4"/>
    <w:rsid w:val="007D0C30"/>
    <w:rsid w:val="007D1758"/>
    <w:rsid w:val="007D1D64"/>
    <w:rsid w:val="007D6095"/>
    <w:rsid w:val="007D6837"/>
    <w:rsid w:val="007D6C3D"/>
    <w:rsid w:val="007D6E5B"/>
    <w:rsid w:val="007D784E"/>
    <w:rsid w:val="007E162C"/>
    <w:rsid w:val="007E1A6D"/>
    <w:rsid w:val="007E3F3C"/>
    <w:rsid w:val="007E42F0"/>
    <w:rsid w:val="007E677F"/>
    <w:rsid w:val="007E6D3F"/>
    <w:rsid w:val="007F10DE"/>
    <w:rsid w:val="007F13F0"/>
    <w:rsid w:val="007F5D6A"/>
    <w:rsid w:val="00804867"/>
    <w:rsid w:val="0080491C"/>
    <w:rsid w:val="008067E0"/>
    <w:rsid w:val="00807A14"/>
    <w:rsid w:val="00811609"/>
    <w:rsid w:val="00812BB3"/>
    <w:rsid w:val="00813914"/>
    <w:rsid w:val="0081676E"/>
    <w:rsid w:val="00826C33"/>
    <w:rsid w:val="00830C3D"/>
    <w:rsid w:val="00830D08"/>
    <w:rsid w:val="008335C6"/>
    <w:rsid w:val="0083586D"/>
    <w:rsid w:val="00836966"/>
    <w:rsid w:val="00842C58"/>
    <w:rsid w:val="00844E1E"/>
    <w:rsid w:val="008545EA"/>
    <w:rsid w:val="0085509C"/>
    <w:rsid w:val="00856BC8"/>
    <w:rsid w:val="00856CC9"/>
    <w:rsid w:val="00857513"/>
    <w:rsid w:val="0086506E"/>
    <w:rsid w:val="0086548F"/>
    <w:rsid w:val="00865B2F"/>
    <w:rsid w:val="008667B1"/>
    <w:rsid w:val="00870302"/>
    <w:rsid w:val="00870695"/>
    <w:rsid w:val="00872F0F"/>
    <w:rsid w:val="0087626F"/>
    <w:rsid w:val="00876BEE"/>
    <w:rsid w:val="0088410E"/>
    <w:rsid w:val="008842F5"/>
    <w:rsid w:val="008848F3"/>
    <w:rsid w:val="008849BD"/>
    <w:rsid w:val="00885BB9"/>
    <w:rsid w:val="008863E0"/>
    <w:rsid w:val="008906FE"/>
    <w:rsid w:val="00890E9F"/>
    <w:rsid w:val="00890FEF"/>
    <w:rsid w:val="00894DAE"/>
    <w:rsid w:val="008959C3"/>
    <w:rsid w:val="0089618B"/>
    <w:rsid w:val="0089627E"/>
    <w:rsid w:val="00897B0F"/>
    <w:rsid w:val="00897C9E"/>
    <w:rsid w:val="008A4593"/>
    <w:rsid w:val="008A61E4"/>
    <w:rsid w:val="008A6DF5"/>
    <w:rsid w:val="008B0FFD"/>
    <w:rsid w:val="008B1D52"/>
    <w:rsid w:val="008B568C"/>
    <w:rsid w:val="008B6D8C"/>
    <w:rsid w:val="008B7CC4"/>
    <w:rsid w:val="008C0A36"/>
    <w:rsid w:val="008C1833"/>
    <w:rsid w:val="008C1AD5"/>
    <w:rsid w:val="008C285A"/>
    <w:rsid w:val="008D3049"/>
    <w:rsid w:val="008D4325"/>
    <w:rsid w:val="008D7025"/>
    <w:rsid w:val="008E0B35"/>
    <w:rsid w:val="008E2A41"/>
    <w:rsid w:val="008E2BB3"/>
    <w:rsid w:val="008E3A47"/>
    <w:rsid w:val="008E5509"/>
    <w:rsid w:val="008E65B7"/>
    <w:rsid w:val="008F24AA"/>
    <w:rsid w:val="008F291F"/>
    <w:rsid w:val="008F56A7"/>
    <w:rsid w:val="008F57B0"/>
    <w:rsid w:val="0090538B"/>
    <w:rsid w:val="00914951"/>
    <w:rsid w:val="00916625"/>
    <w:rsid w:val="009207A1"/>
    <w:rsid w:val="00920A7F"/>
    <w:rsid w:val="00920D19"/>
    <w:rsid w:val="00920D39"/>
    <w:rsid w:val="00921379"/>
    <w:rsid w:val="009218DF"/>
    <w:rsid w:val="009236E2"/>
    <w:rsid w:val="00923A24"/>
    <w:rsid w:val="00923F34"/>
    <w:rsid w:val="009266C5"/>
    <w:rsid w:val="00930AB1"/>
    <w:rsid w:val="009351E1"/>
    <w:rsid w:val="00935626"/>
    <w:rsid w:val="00935C52"/>
    <w:rsid w:val="00935DD7"/>
    <w:rsid w:val="0094052D"/>
    <w:rsid w:val="0094073E"/>
    <w:rsid w:val="00943AD5"/>
    <w:rsid w:val="00944988"/>
    <w:rsid w:val="00945233"/>
    <w:rsid w:val="0095326A"/>
    <w:rsid w:val="00953846"/>
    <w:rsid w:val="0095483A"/>
    <w:rsid w:val="00954D1B"/>
    <w:rsid w:val="00964968"/>
    <w:rsid w:val="0097322F"/>
    <w:rsid w:val="0097428D"/>
    <w:rsid w:val="00975DCB"/>
    <w:rsid w:val="00977273"/>
    <w:rsid w:val="00980883"/>
    <w:rsid w:val="0098153F"/>
    <w:rsid w:val="00984441"/>
    <w:rsid w:val="00984EF0"/>
    <w:rsid w:val="00990FE2"/>
    <w:rsid w:val="00994EF6"/>
    <w:rsid w:val="00995F8D"/>
    <w:rsid w:val="009A2822"/>
    <w:rsid w:val="009A33EA"/>
    <w:rsid w:val="009A4AA7"/>
    <w:rsid w:val="009A5B7B"/>
    <w:rsid w:val="009A5DC8"/>
    <w:rsid w:val="009A7D7F"/>
    <w:rsid w:val="009B1315"/>
    <w:rsid w:val="009B1BEE"/>
    <w:rsid w:val="009B44B7"/>
    <w:rsid w:val="009B4BC8"/>
    <w:rsid w:val="009B4C18"/>
    <w:rsid w:val="009C4CE4"/>
    <w:rsid w:val="009D28E4"/>
    <w:rsid w:val="009D6DFA"/>
    <w:rsid w:val="009D6F52"/>
    <w:rsid w:val="009D7169"/>
    <w:rsid w:val="009E02EF"/>
    <w:rsid w:val="009E0664"/>
    <w:rsid w:val="009E1EAF"/>
    <w:rsid w:val="009E22EA"/>
    <w:rsid w:val="009E3F6E"/>
    <w:rsid w:val="009E520E"/>
    <w:rsid w:val="009E7B57"/>
    <w:rsid w:val="009F0B16"/>
    <w:rsid w:val="009F0E6A"/>
    <w:rsid w:val="009F0FAE"/>
    <w:rsid w:val="009F3C86"/>
    <w:rsid w:val="009F68FA"/>
    <w:rsid w:val="009F754B"/>
    <w:rsid w:val="00A00F6B"/>
    <w:rsid w:val="00A04016"/>
    <w:rsid w:val="00A046FD"/>
    <w:rsid w:val="00A10BDB"/>
    <w:rsid w:val="00A14849"/>
    <w:rsid w:val="00A17105"/>
    <w:rsid w:val="00A20C6A"/>
    <w:rsid w:val="00A21716"/>
    <w:rsid w:val="00A23C72"/>
    <w:rsid w:val="00A24B94"/>
    <w:rsid w:val="00A26F92"/>
    <w:rsid w:val="00A270C5"/>
    <w:rsid w:val="00A2711B"/>
    <w:rsid w:val="00A330A3"/>
    <w:rsid w:val="00A3413F"/>
    <w:rsid w:val="00A37E51"/>
    <w:rsid w:val="00A514FF"/>
    <w:rsid w:val="00A5180E"/>
    <w:rsid w:val="00A5384A"/>
    <w:rsid w:val="00A53ABB"/>
    <w:rsid w:val="00A540A4"/>
    <w:rsid w:val="00A5516E"/>
    <w:rsid w:val="00A55C1E"/>
    <w:rsid w:val="00A55F2C"/>
    <w:rsid w:val="00A5633C"/>
    <w:rsid w:val="00A56887"/>
    <w:rsid w:val="00A615D9"/>
    <w:rsid w:val="00A61C48"/>
    <w:rsid w:val="00A62D44"/>
    <w:rsid w:val="00A64432"/>
    <w:rsid w:val="00A7122A"/>
    <w:rsid w:val="00A712B0"/>
    <w:rsid w:val="00A71E47"/>
    <w:rsid w:val="00A72C5E"/>
    <w:rsid w:val="00A7765C"/>
    <w:rsid w:val="00A77681"/>
    <w:rsid w:val="00A8466E"/>
    <w:rsid w:val="00A86616"/>
    <w:rsid w:val="00A90165"/>
    <w:rsid w:val="00A93C61"/>
    <w:rsid w:val="00A94322"/>
    <w:rsid w:val="00A95D0D"/>
    <w:rsid w:val="00A96C51"/>
    <w:rsid w:val="00AA2CDB"/>
    <w:rsid w:val="00AA5901"/>
    <w:rsid w:val="00AA718D"/>
    <w:rsid w:val="00AB1B00"/>
    <w:rsid w:val="00AB4F64"/>
    <w:rsid w:val="00AB5E63"/>
    <w:rsid w:val="00AC11A5"/>
    <w:rsid w:val="00AC2593"/>
    <w:rsid w:val="00AC52D5"/>
    <w:rsid w:val="00AC690B"/>
    <w:rsid w:val="00AC6A53"/>
    <w:rsid w:val="00AD099F"/>
    <w:rsid w:val="00AD17C9"/>
    <w:rsid w:val="00AD3E4B"/>
    <w:rsid w:val="00AD50F1"/>
    <w:rsid w:val="00AD72B4"/>
    <w:rsid w:val="00AE1907"/>
    <w:rsid w:val="00AE4DDB"/>
    <w:rsid w:val="00AE4FF6"/>
    <w:rsid w:val="00AE5B34"/>
    <w:rsid w:val="00AE6326"/>
    <w:rsid w:val="00AF06D1"/>
    <w:rsid w:val="00AF190B"/>
    <w:rsid w:val="00AF1FFA"/>
    <w:rsid w:val="00AF3125"/>
    <w:rsid w:val="00AF58C4"/>
    <w:rsid w:val="00AF6680"/>
    <w:rsid w:val="00B0463F"/>
    <w:rsid w:val="00B0523D"/>
    <w:rsid w:val="00B059F1"/>
    <w:rsid w:val="00B063C1"/>
    <w:rsid w:val="00B06671"/>
    <w:rsid w:val="00B128A7"/>
    <w:rsid w:val="00B12ED9"/>
    <w:rsid w:val="00B16D0E"/>
    <w:rsid w:val="00B2370C"/>
    <w:rsid w:val="00B23823"/>
    <w:rsid w:val="00B313C3"/>
    <w:rsid w:val="00B31A88"/>
    <w:rsid w:val="00B34EB5"/>
    <w:rsid w:val="00B36D62"/>
    <w:rsid w:val="00B4341F"/>
    <w:rsid w:val="00B448EA"/>
    <w:rsid w:val="00B45D8A"/>
    <w:rsid w:val="00B4793A"/>
    <w:rsid w:val="00B51467"/>
    <w:rsid w:val="00B53CD5"/>
    <w:rsid w:val="00B56398"/>
    <w:rsid w:val="00B60C14"/>
    <w:rsid w:val="00B60D28"/>
    <w:rsid w:val="00B63DB1"/>
    <w:rsid w:val="00B63E5C"/>
    <w:rsid w:val="00B6582E"/>
    <w:rsid w:val="00B6631A"/>
    <w:rsid w:val="00B6643B"/>
    <w:rsid w:val="00B72E1A"/>
    <w:rsid w:val="00B73987"/>
    <w:rsid w:val="00B74143"/>
    <w:rsid w:val="00B74804"/>
    <w:rsid w:val="00B74E36"/>
    <w:rsid w:val="00B7501F"/>
    <w:rsid w:val="00B75A91"/>
    <w:rsid w:val="00B75FD7"/>
    <w:rsid w:val="00B80796"/>
    <w:rsid w:val="00B95F5A"/>
    <w:rsid w:val="00B96A0D"/>
    <w:rsid w:val="00BA00A5"/>
    <w:rsid w:val="00BA04D8"/>
    <w:rsid w:val="00BA5228"/>
    <w:rsid w:val="00BA7437"/>
    <w:rsid w:val="00BB008B"/>
    <w:rsid w:val="00BB1765"/>
    <w:rsid w:val="00BB2F6C"/>
    <w:rsid w:val="00BB4727"/>
    <w:rsid w:val="00BB4FF2"/>
    <w:rsid w:val="00BB5143"/>
    <w:rsid w:val="00BB6EED"/>
    <w:rsid w:val="00BB709F"/>
    <w:rsid w:val="00BC2F97"/>
    <w:rsid w:val="00BC5958"/>
    <w:rsid w:val="00BC5BDF"/>
    <w:rsid w:val="00BC7587"/>
    <w:rsid w:val="00BD3921"/>
    <w:rsid w:val="00BD39FA"/>
    <w:rsid w:val="00BD4998"/>
    <w:rsid w:val="00BD58E5"/>
    <w:rsid w:val="00BD5DE7"/>
    <w:rsid w:val="00BD7B7F"/>
    <w:rsid w:val="00BE0CE5"/>
    <w:rsid w:val="00BE176B"/>
    <w:rsid w:val="00BE3E18"/>
    <w:rsid w:val="00BE77A2"/>
    <w:rsid w:val="00BF193C"/>
    <w:rsid w:val="00BF29BC"/>
    <w:rsid w:val="00BF3F55"/>
    <w:rsid w:val="00BF46DA"/>
    <w:rsid w:val="00BF5142"/>
    <w:rsid w:val="00BF5A99"/>
    <w:rsid w:val="00BF633B"/>
    <w:rsid w:val="00BF67D2"/>
    <w:rsid w:val="00C02966"/>
    <w:rsid w:val="00C035AC"/>
    <w:rsid w:val="00C11468"/>
    <w:rsid w:val="00C12D9A"/>
    <w:rsid w:val="00C13789"/>
    <w:rsid w:val="00C137A0"/>
    <w:rsid w:val="00C13F58"/>
    <w:rsid w:val="00C13F67"/>
    <w:rsid w:val="00C15262"/>
    <w:rsid w:val="00C17BCE"/>
    <w:rsid w:val="00C22C27"/>
    <w:rsid w:val="00C279F9"/>
    <w:rsid w:val="00C30F7C"/>
    <w:rsid w:val="00C34E5E"/>
    <w:rsid w:val="00C35055"/>
    <w:rsid w:val="00C41D41"/>
    <w:rsid w:val="00C42347"/>
    <w:rsid w:val="00C4359E"/>
    <w:rsid w:val="00C45477"/>
    <w:rsid w:val="00C472F7"/>
    <w:rsid w:val="00C474CE"/>
    <w:rsid w:val="00C47BD9"/>
    <w:rsid w:val="00C503E2"/>
    <w:rsid w:val="00C52012"/>
    <w:rsid w:val="00C52536"/>
    <w:rsid w:val="00C54509"/>
    <w:rsid w:val="00C54643"/>
    <w:rsid w:val="00C56751"/>
    <w:rsid w:val="00C62C82"/>
    <w:rsid w:val="00C64A62"/>
    <w:rsid w:val="00C67FEB"/>
    <w:rsid w:val="00C80DE6"/>
    <w:rsid w:val="00C81625"/>
    <w:rsid w:val="00C81BCE"/>
    <w:rsid w:val="00C82DFE"/>
    <w:rsid w:val="00C86056"/>
    <w:rsid w:val="00C93067"/>
    <w:rsid w:val="00C93A2B"/>
    <w:rsid w:val="00C972F8"/>
    <w:rsid w:val="00C97705"/>
    <w:rsid w:val="00CA0E20"/>
    <w:rsid w:val="00CA35A9"/>
    <w:rsid w:val="00CA5E31"/>
    <w:rsid w:val="00CA6329"/>
    <w:rsid w:val="00CB2873"/>
    <w:rsid w:val="00CB2D92"/>
    <w:rsid w:val="00CB4ACE"/>
    <w:rsid w:val="00CC31AC"/>
    <w:rsid w:val="00CC434C"/>
    <w:rsid w:val="00CC5692"/>
    <w:rsid w:val="00CC5D9D"/>
    <w:rsid w:val="00CD0B62"/>
    <w:rsid w:val="00CD1CE9"/>
    <w:rsid w:val="00CD2BAE"/>
    <w:rsid w:val="00CD344E"/>
    <w:rsid w:val="00CD39E0"/>
    <w:rsid w:val="00CD668A"/>
    <w:rsid w:val="00CD6DC6"/>
    <w:rsid w:val="00CE16B1"/>
    <w:rsid w:val="00CE1C67"/>
    <w:rsid w:val="00CE20C1"/>
    <w:rsid w:val="00CE33F7"/>
    <w:rsid w:val="00CE4D58"/>
    <w:rsid w:val="00CE4EA5"/>
    <w:rsid w:val="00CE5167"/>
    <w:rsid w:val="00CE5AAA"/>
    <w:rsid w:val="00CE5E94"/>
    <w:rsid w:val="00CE6B27"/>
    <w:rsid w:val="00CE721F"/>
    <w:rsid w:val="00CE7CC3"/>
    <w:rsid w:val="00CF21BE"/>
    <w:rsid w:val="00CF2784"/>
    <w:rsid w:val="00D0183B"/>
    <w:rsid w:val="00D01EB4"/>
    <w:rsid w:val="00D02489"/>
    <w:rsid w:val="00D024B7"/>
    <w:rsid w:val="00D02542"/>
    <w:rsid w:val="00D0302B"/>
    <w:rsid w:val="00D035CF"/>
    <w:rsid w:val="00D04964"/>
    <w:rsid w:val="00D06D5A"/>
    <w:rsid w:val="00D13122"/>
    <w:rsid w:val="00D13B82"/>
    <w:rsid w:val="00D14D15"/>
    <w:rsid w:val="00D14E0E"/>
    <w:rsid w:val="00D16B49"/>
    <w:rsid w:val="00D223C4"/>
    <w:rsid w:val="00D25A8B"/>
    <w:rsid w:val="00D272E4"/>
    <w:rsid w:val="00D31C63"/>
    <w:rsid w:val="00D34459"/>
    <w:rsid w:val="00D404AC"/>
    <w:rsid w:val="00D4247B"/>
    <w:rsid w:val="00D4293C"/>
    <w:rsid w:val="00D42AAB"/>
    <w:rsid w:val="00D4528D"/>
    <w:rsid w:val="00D46A17"/>
    <w:rsid w:val="00D50F34"/>
    <w:rsid w:val="00D55F87"/>
    <w:rsid w:val="00D568B4"/>
    <w:rsid w:val="00D56ED4"/>
    <w:rsid w:val="00D62D4A"/>
    <w:rsid w:val="00D633BA"/>
    <w:rsid w:val="00D649ED"/>
    <w:rsid w:val="00D66A75"/>
    <w:rsid w:val="00D67217"/>
    <w:rsid w:val="00D727E7"/>
    <w:rsid w:val="00D73742"/>
    <w:rsid w:val="00D73C2E"/>
    <w:rsid w:val="00D73C4B"/>
    <w:rsid w:val="00D7442D"/>
    <w:rsid w:val="00D75B5D"/>
    <w:rsid w:val="00D80486"/>
    <w:rsid w:val="00D80C6C"/>
    <w:rsid w:val="00D8147D"/>
    <w:rsid w:val="00D838F1"/>
    <w:rsid w:val="00D83F85"/>
    <w:rsid w:val="00D91A1B"/>
    <w:rsid w:val="00D94A3B"/>
    <w:rsid w:val="00D95896"/>
    <w:rsid w:val="00D95912"/>
    <w:rsid w:val="00D9700E"/>
    <w:rsid w:val="00D975E5"/>
    <w:rsid w:val="00DA0813"/>
    <w:rsid w:val="00DA1CDD"/>
    <w:rsid w:val="00DA371E"/>
    <w:rsid w:val="00DA6B40"/>
    <w:rsid w:val="00DB3B57"/>
    <w:rsid w:val="00DB3C05"/>
    <w:rsid w:val="00DB46D6"/>
    <w:rsid w:val="00DB4AAF"/>
    <w:rsid w:val="00DB4EDF"/>
    <w:rsid w:val="00DB64B2"/>
    <w:rsid w:val="00DC099A"/>
    <w:rsid w:val="00DC2958"/>
    <w:rsid w:val="00DC3F35"/>
    <w:rsid w:val="00DC47AC"/>
    <w:rsid w:val="00DC66C8"/>
    <w:rsid w:val="00DD4709"/>
    <w:rsid w:val="00DD48D9"/>
    <w:rsid w:val="00DD5D3C"/>
    <w:rsid w:val="00DD6EEA"/>
    <w:rsid w:val="00DE2C4C"/>
    <w:rsid w:val="00DE352C"/>
    <w:rsid w:val="00DE42AE"/>
    <w:rsid w:val="00DE4776"/>
    <w:rsid w:val="00DF096F"/>
    <w:rsid w:val="00DF6A30"/>
    <w:rsid w:val="00DF7330"/>
    <w:rsid w:val="00DF7CE6"/>
    <w:rsid w:val="00E009A9"/>
    <w:rsid w:val="00E011DC"/>
    <w:rsid w:val="00E02281"/>
    <w:rsid w:val="00E03E64"/>
    <w:rsid w:val="00E044AB"/>
    <w:rsid w:val="00E1117C"/>
    <w:rsid w:val="00E120B8"/>
    <w:rsid w:val="00E136C1"/>
    <w:rsid w:val="00E24B6A"/>
    <w:rsid w:val="00E262BE"/>
    <w:rsid w:val="00E264F1"/>
    <w:rsid w:val="00E30F77"/>
    <w:rsid w:val="00E36254"/>
    <w:rsid w:val="00E51F10"/>
    <w:rsid w:val="00E52F06"/>
    <w:rsid w:val="00E55620"/>
    <w:rsid w:val="00E57E48"/>
    <w:rsid w:val="00E6044C"/>
    <w:rsid w:val="00E611F0"/>
    <w:rsid w:val="00E61588"/>
    <w:rsid w:val="00E61D07"/>
    <w:rsid w:val="00E62001"/>
    <w:rsid w:val="00E623EE"/>
    <w:rsid w:val="00E628E5"/>
    <w:rsid w:val="00E64702"/>
    <w:rsid w:val="00E65DFB"/>
    <w:rsid w:val="00E66BEE"/>
    <w:rsid w:val="00E710F9"/>
    <w:rsid w:val="00E7177B"/>
    <w:rsid w:val="00E736B0"/>
    <w:rsid w:val="00E80167"/>
    <w:rsid w:val="00E81BD4"/>
    <w:rsid w:val="00E87CDF"/>
    <w:rsid w:val="00E91263"/>
    <w:rsid w:val="00E92CB0"/>
    <w:rsid w:val="00E930A2"/>
    <w:rsid w:val="00E947BC"/>
    <w:rsid w:val="00E94B1E"/>
    <w:rsid w:val="00E94C2B"/>
    <w:rsid w:val="00EA1A0C"/>
    <w:rsid w:val="00EA6E6D"/>
    <w:rsid w:val="00EB1AA9"/>
    <w:rsid w:val="00EB3BB4"/>
    <w:rsid w:val="00EB538B"/>
    <w:rsid w:val="00EB670F"/>
    <w:rsid w:val="00EB6D95"/>
    <w:rsid w:val="00EC1424"/>
    <w:rsid w:val="00EC1E4B"/>
    <w:rsid w:val="00EC3692"/>
    <w:rsid w:val="00EC6C9F"/>
    <w:rsid w:val="00EC6D2A"/>
    <w:rsid w:val="00EC70C1"/>
    <w:rsid w:val="00ED211A"/>
    <w:rsid w:val="00ED2412"/>
    <w:rsid w:val="00ED2F58"/>
    <w:rsid w:val="00ED313F"/>
    <w:rsid w:val="00ED4B82"/>
    <w:rsid w:val="00ED5FD4"/>
    <w:rsid w:val="00ED64EB"/>
    <w:rsid w:val="00ED6730"/>
    <w:rsid w:val="00ED6AEE"/>
    <w:rsid w:val="00EE0FFE"/>
    <w:rsid w:val="00EE6525"/>
    <w:rsid w:val="00EE6DE0"/>
    <w:rsid w:val="00EE70D9"/>
    <w:rsid w:val="00EF0A55"/>
    <w:rsid w:val="00EF2FD6"/>
    <w:rsid w:val="00EF30A2"/>
    <w:rsid w:val="00EF6089"/>
    <w:rsid w:val="00EF63CC"/>
    <w:rsid w:val="00EF6507"/>
    <w:rsid w:val="00EF6528"/>
    <w:rsid w:val="00F013F9"/>
    <w:rsid w:val="00F01950"/>
    <w:rsid w:val="00F020F4"/>
    <w:rsid w:val="00F058FD"/>
    <w:rsid w:val="00F06B58"/>
    <w:rsid w:val="00F14014"/>
    <w:rsid w:val="00F149BD"/>
    <w:rsid w:val="00F15EA0"/>
    <w:rsid w:val="00F165EB"/>
    <w:rsid w:val="00F20E23"/>
    <w:rsid w:val="00F2127D"/>
    <w:rsid w:val="00F21307"/>
    <w:rsid w:val="00F22216"/>
    <w:rsid w:val="00F22AD8"/>
    <w:rsid w:val="00F23D38"/>
    <w:rsid w:val="00F23FCF"/>
    <w:rsid w:val="00F246CD"/>
    <w:rsid w:val="00F26712"/>
    <w:rsid w:val="00F30555"/>
    <w:rsid w:val="00F366CC"/>
    <w:rsid w:val="00F4003B"/>
    <w:rsid w:val="00F41540"/>
    <w:rsid w:val="00F42024"/>
    <w:rsid w:val="00F450D1"/>
    <w:rsid w:val="00F45C45"/>
    <w:rsid w:val="00F47597"/>
    <w:rsid w:val="00F47B95"/>
    <w:rsid w:val="00F515D7"/>
    <w:rsid w:val="00F51D24"/>
    <w:rsid w:val="00F5568E"/>
    <w:rsid w:val="00F56DA7"/>
    <w:rsid w:val="00F60467"/>
    <w:rsid w:val="00F61354"/>
    <w:rsid w:val="00F63E4E"/>
    <w:rsid w:val="00F6693C"/>
    <w:rsid w:val="00F70BFC"/>
    <w:rsid w:val="00F71023"/>
    <w:rsid w:val="00F72987"/>
    <w:rsid w:val="00F72998"/>
    <w:rsid w:val="00F736CE"/>
    <w:rsid w:val="00F820F5"/>
    <w:rsid w:val="00F871DF"/>
    <w:rsid w:val="00F87A68"/>
    <w:rsid w:val="00F9524A"/>
    <w:rsid w:val="00F96053"/>
    <w:rsid w:val="00F96B93"/>
    <w:rsid w:val="00FA2048"/>
    <w:rsid w:val="00FA2E41"/>
    <w:rsid w:val="00FA33BE"/>
    <w:rsid w:val="00FA7234"/>
    <w:rsid w:val="00FA7EF9"/>
    <w:rsid w:val="00FB1C3E"/>
    <w:rsid w:val="00FB2415"/>
    <w:rsid w:val="00FB4942"/>
    <w:rsid w:val="00FB4E7D"/>
    <w:rsid w:val="00FB7AB0"/>
    <w:rsid w:val="00FC16A6"/>
    <w:rsid w:val="00FC2149"/>
    <w:rsid w:val="00FD0A0D"/>
    <w:rsid w:val="00FD0EA7"/>
    <w:rsid w:val="00FD2640"/>
    <w:rsid w:val="00FD2E88"/>
    <w:rsid w:val="00FD4816"/>
    <w:rsid w:val="00FD4CDB"/>
    <w:rsid w:val="00FD601E"/>
    <w:rsid w:val="00FE03C2"/>
    <w:rsid w:val="00FE0B59"/>
    <w:rsid w:val="00FE2105"/>
    <w:rsid w:val="00FE26D6"/>
    <w:rsid w:val="00FE2D0C"/>
    <w:rsid w:val="00FE3B25"/>
    <w:rsid w:val="00FE4071"/>
    <w:rsid w:val="00FE4182"/>
    <w:rsid w:val="00FF1936"/>
    <w:rsid w:val="00FF43ED"/>
    <w:rsid w:val="00FF68D3"/>
    <w:rsid w:val="00FF76E5"/>
    <w:rsid w:val="012D4580"/>
    <w:rsid w:val="0154764C"/>
    <w:rsid w:val="016E7A31"/>
    <w:rsid w:val="025FAF2D"/>
    <w:rsid w:val="068E9F29"/>
    <w:rsid w:val="07365690"/>
    <w:rsid w:val="07837BB0"/>
    <w:rsid w:val="07D779B2"/>
    <w:rsid w:val="091EBCA9"/>
    <w:rsid w:val="09D0BBA3"/>
    <w:rsid w:val="09F058FE"/>
    <w:rsid w:val="0E7C4AF5"/>
    <w:rsid w:val="12CAE514"/>
    <w:rsid w:val="14C92E11"/>
    <w:rsid w:val="159F08A2"/>
    <w:rsid w:val="163B58CD"/>
    <w:rsid w:val="17620490"/>
    <w:rsid w:val="1AAE7830"/>
    <w:rsid w:val="1B1F7F00"/>
    <w:rsid w:val="1D040991"/>
    <w:rsid w:val="1D3832C3"/>
    <w:rsid w:val="1D5A238D"/>
    <w:rsid w:val="1D5E912B"/>
    <w:rsid w:val="1E36C0A8"/>
    <w:rsid w:val="200F15C4"/>
    <w:rsid w:val="20262009"/>
    <w:rsid w:val="203DE22F"/>
    <w:rsid w:val="20F1F427"/>
    <w:rsid w:val="22BFEBB5"/>
    <w:rsid w:val="23308A4C"/>
    <w:rsid w:val="2411DAE5"/>
    <w:rsid w:val="24958D28"/>
    <w:rsid w:val="258E2049"/>
    <w:rsid w:val="2614A990"/>
    <w:rsid w:val="2640796A"/>
    <w:rsid w:val="26A80248"/>
    <w:rsid w:val="26BA4587"/>
    <w:rsid w:val="275781E3"/>
    <w:rsid w:val="28258BCF"/>
    <w:rsid w:val="28430F59"/>
    <w:rsid w:val="29918F55"/>
    <w:rsid w:val="29955768"/>
    <w:rsid w:val="29D37326"/>
    <w:rsid w:val="2A7BF0F7"/>
    <w:rsid w:val="2ACD23B6"/>
    <w:rsid w:val="2C7057B1"/>
    <w:rsid w:val="2F941329"/>
    <w:rsid w:val="30193D0A"/>
    <w:rsid w:val="308C0147"/>
    <w:rsid w:val="30F6490E"/>
    <w:rsid w:val="31BCA3C4"/>
    <w:rsid w:val="31C22B32"/>
    <w:rsid w:val="32A02A2E"/>
    <w:rsid w:val="32B5BD6A"/>
    <w:rsid w:val="34719A41"/>
    <w:rsid w:val="34B473C7"/>
    <w:rsid w:val="3815F719"/>
    <w:rsid w:val="384FA242"/>
    <w:rsid w:val="3A221014"/>
    <w:rsid w:val="3AB42498"/>
    <w:rsid w:val="3D1312FC"/>
    <w:rsid w:val="3DB180D6"/>
    <w:rsid w:val="3F76CE01"/>
    <w:rsid w:val="44E940A1"/>
    <w:rsid w:val="45F3D031"/>
    <w:rsid w:val="46916135"/>
    <w:rsid w:val="47ADE38F"/>
    <w:rsid w:val="4B48B2B6"/>
    <w:rsid w:val="4B72CFA6"/>
    <w:rsid w:val="4C7585EB"/>
    <w:rsid w:val="4C8E9FFB"/>
    <w:rsid w:val="4DDB44A0"/>
    <w:rsid w:val="4F1B1973"/>
    <w:rsid w:val="4FB023D7"/>
    <w:rsid w:val="50167120"/>
    <w:rsid w:val="50C9D2DF"/>
    <w:rsid w:val="527A8EFF"/>
    <w:rsid w:val="55756A93"/>
    <w:rsid w:val="55B065A5"/>
    <w:rsid w:val="55DC15F3"/>
    <w:rsid w:val="57150FCB"/>
    <w:rsid w:val="57707694"/>
    <w:rsid w:val="59736221"/>
    <w:rsid w:val="5A4C87CE"/>
    <w:rsid w:val="5AA7F347"/>
    <w:rsid w:val="5AB0796C"/>
    <w:rsid w:val="5B52CC01"/>
    <w:rsid w:val="5CDBA64A"/>
    <w:rsid w:val="5D1A8D60"/>
    <w:rsid w:val="5DBDE8FB"/>
    <w:rsid w:val="5FC957AC"/>
    <w:rsid w:val="651FD52B"/>
    <w:rsid w:val="658BFF53"/>
    <w:rsid w:val="662399CC"/>
    <w:rsid w:val="67D1E42F"/>
    <w:rsid w:val="68C606B8"/>
    <w:rsid w:val="6CA9D6E8"/>
    <w:rsid w:val="6EB56D05"/>
    <w:rsid w:val="6F7D06E9"/>
    <w:rsid w:val="7210E6C4"/>
    <w:rsid w:val="747FEEB4"/>
    <w:rsid w:val="76220E2A"/>
    <w:rsid w:val="779810F3"/>
    <w:rsid w:val="77AFC01F"/>
    <w:rsid w:val="78901933"/>
    <w:rsid w:val="789BD016"/>
    <w:rsid w:val="795E2B9A"/>
    <w:rsid w:val="7C054946"/>
    <w:rsid w:val="7CD65A76"/>
    <w:rsid w:val="7DA6C196"/>
    <w:rsid w:val="7DEB7A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48CA"/>
  <w15:chartTrackingRefBased/>
  <w15:docId w15:val="{4CB37BAD-D56B-414E-9B95-87EA9807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222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1B14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D222C"/>
    <w:pPr>
      <w:spacing w:before="240"/>
      <w:outlineLvl w:val="1"/>
    </w:pPr>
    <w:rPr>
      <w:b/>
      <w:i/>
      <w:kern w:val="28"/>
      <w:sz w:val="28"/>
      <w:szCs w:val="28"/>
    </w:rPr>
  </w:style>
  <w:style w:type="paragraph" w:styleId="Heading3">
    <w:name w:val="heading 3"/>
    <w:basedOn w:val="Normal"/>
    <w:next w:val="Normal"/>
    <w:link w:val="Heading3Char"/>
    <w:uiPriority w:val="9"/>
    <w:unhideWhenUsed/>
    <w:qFormat/>
    <w:rsid w:val="0095384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2C"/>
    <w:rPr>
      <w:rFonts w:ascii="Segoe UI" w:hAnsi="Segoe UI" w:cs="Segoe UI"/>
      <w:sz w:val="18"/>
      <w:szCs w:val="18"/>
    </w:rPr>
  </w:style>
  <w:style w:type="character" w:customStyle="1" w:styleId="Heading2Char">
    <w:name w:val="Heading 2 Char"/>
    <w:basedOn w:val="DefaultParagraphFont"/>
    <w:link w:val="Heading2"/>
    <w:rsid w:val="003D222C"/>
    <w:rPr>
      <w:rFonts w:ascii="Arial" w:eastAsia="Times New Roman" w:hAnsi="Arial" w:cs="Times New Roman"/>
      <w:b/>
      <w:i/>
      <w:kern w:val="28"/>
      <w:sz w:val="28"/>
      <w:szCs w:val="2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3D222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qFormat/>
    <w:locked/>
    <w:rsid w:val="003D222C"/>
    <w:rPr>
      <w:rFonts w:ascii="Arial" w:eastAsia="Times New Roman" w:hAnsi="Arial" w:cs="Times New Roman"/>
      <w:sz w:val="24"/>
      <w:szCs w:val="20"/>
      <w:lang w:eastAsia="en-GB"/>
    </w:rPr>
  </w:style>
  <w:style w:type="table" w:styleId="TableGrid">
    <w:name w:val="Table Grid"/>
    <w:basedOn w:val="TableNormal"/>
    <w:uiPriority w:val="59"/>
    <w:rsid w:val="003D22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222C"/>
    <w:rPr>
      <w:color w:val="0563C1" w:themeColor="hyperlink"/>
      <w:u w:val="single"/>
    </w:rPr>
  </w:style>
  <w:style w:type="paragraph" w:styleId="Header">
    <w:name w:val="header"/>
    <w:basedOn w:val="Normal"/>
    <w:link w:val="HeaderChar"/>
    <w:uiPriority w:val="99"/>
    <w:unhideWhenUsed/>
    <w:rsid w:val="003D222C"/>
    <w:pPr>
      <w:tabs>
        <w:tab w:val="center" w:pos="4513"/>
        <w:tab w:val="right" w:pos="9026"/>
      </w:tabs>
    </w:pPr>
  </w:style>
  <w:style w:type="character" w:customStyle="1" w:styleId="HeaderChar">
    <w:name w:val="Header Char"/>
    <w:basedOn w:val="DefaultParagraphFont"/>
    <w:link w:val="Header"/>
    <w:uiPriority w:val="99"/>
    <w:rsid w:val="003D222C"/>
    <w:rPr>
      <w:rFonts w:ascii="Arial" w:eastAsia="Times New Roman" w:hAnsi="Arial" w:cs="Times New Roman"/>
      <w:sz w:val="24"/>
      <w:szCs w:val="24"/>
    </w:rPr>
  </w:style>
  <w:style w:type="paragraph" w:styleId="Footer">
    <w:name w:val="footer"/>
    <w:basedOn w:val="Normal"/>
    <w:link w:val="FooterChar"/>
    <w:uiPriority w:val="99"/>
    <w:unhideWhenUsed/>
    <w:rsid w:val="001A4AA4"/>
    <w:pPr>
      <w:tabs>
        <w:tab w:val="center" w:pos="4513"/>
        <w:tab w:val="right" w:pos="9026"/>
      </w:tabs>
    </w:pPr>
  </w:style>
  <w:style w:type="character" w:customStyle="1" w:styleId="FooterChar">
    <w:name w:val="Footer Char"/>
    <w:basedOn w:val="DefaultParagraphFont"/>
    <w:link w:val="Footer"/>
    <w:uiPriority w:val="99"/>
    <w:rsid w:val="001A4AA4"/>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386DFC"/>
    <w:rPr>
      <w:color w:val="605E5C"/>
      <w:shd w:val="clear" w:color="auto" w:fill="E1DFDD"/>
    </w:rPr>
  </w:style>
  <w:style w:type="character" w:styleId="FollowedHyperlink">
    <w:name w:val="FollowedHyperlink"/>
    <w:basedOn w:val="DefaultParagraphFont"/>
    <w:uiPriority w:val="99"/>
    <w:semiHidden/>
    <w:unhideWhenUsed/>
    <w:rsid w:val="001356EA"/>
    <w:rPr>
      <w:color w:val="954F72" w:themeColor="followedHyperlink"/>
      <w:u w:val="single"/>
    </w:rPr>
  </w:style>
  <w:style w:type="paragraph" w:styleId="Revision">
    <w:name w:val="Revision"/>
    <w:hidden/>
    <w:uiPriority w:val="99"/>
    <w:semiHidden/>
    <w:rsid w:val="00FE0B59"/>
    <w:pPr>
      <w:spacing w:after="0" w:line="240" w:lineRule="auto"/>
    </w:pPr>
    <w:rPr>
      <w:rFonts w:ascii="Arial" w:eastAsia="Times New Roman" w:hAnsi="Arial" w:cs="Times New Roman"/>
      <w:sz w:val="24"/>
      <w:szCs w:val="24"/>
    </w:rPr>
  </w:style>
  <w:style w:type="paragraph" w:customStyle="1" w:styleId="BEISTitle">
    <w:name w:val="BEIS Title"/>
    <w:basedOn w:val="Normal"/>
    <w:next w:val="Normal"/>
    <w:rsid w:val="00885BB9"/>
    <w:pPr>
      <w:spacing w:after="240" w:line="320" w:lineRule="atLeast"/>
    </w:pPr>
    <w:rPr>
      <w:rFonts w:eastAsiaTheme="minorHAnsi" w:cstheme="minorBidi"/>
      <w:color w:val="041E42"/>
      <w:sz w:val="76"/>
      <w:szCs w:val="22"/>
    </w:rPr>
  </w:style>
  <w:style w:type="paragraph" w:customStyle="1" w:styleId="BEISDate">
    <w:name w:val="BEIS Date"/>
    <w:basedOn w:val="Normal"/>
    <w:rsid w:val="00090217"/>
    <w:pPr>
      <w:spacing w:line="320" w:lineRule="atLeast"/>
    </w:pPr>
    <w:rPr>
      <w:rFonts w:eastAsiaTheme="minorHAnsi" w:cstheme="minorBidi"/>
      <w:color w:val="868686"/>
      <w:sz w:val="28"/>
      <w:szCs w:val="22"/>
    </w:rPr>
  </w:style>
  <w:style w:type="character" w:customStyle="1" w:styleId="Heading1Char">
    <w:name w:val="Heading 1 Char"/>
    <w:basedOn w:val="DefaultParagraphFont"/>
    <w:link w:val="Heading1"/>
    <w:uiPriority w:val="9"/>
    <w:rsid w:val="001B14B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B14BA"/>
    <w:pPr>
      <w:spacing w:line="259" w:lineRule="auto"/>
      <w:outlineLvl w:val="9"/>
    </w:pPr>
    <w:rPr>
      <w:lang w:val="en-US"/>
    </w:rPr>
  </w:style>
  <w:style w:type="paragraph" w:styleId="TOC2">
    <w:name w:val="toc 2"/>
    <w:basedOn w:val="Normal"/>
    <w:next w:val="Normal"/>
    <w:autoRedefine/>
    <w:uiPriority w:val="39"/>
    <w:unhideWhenUsed/>
    <w:rsid w:val="001B14BA"/>
    <w:pPr>
      <w:spacing w:after="100"/>
      <w:ind w:left="240"/>
    </w:pPr>
  </w:style>
  <w:style w:type="paragraph" w:styleId="TOC1">
    <w:name w:val="toc 1"/>
    <w:basedOn w:val="Normal"/>
    <w:next w:val="Normal"/>
    <w:autoRedefine/>
    <w:uiPriority w:val="39"/>
    <w:unhideWhenUsed/>
    <w:rsid w:val="006C516E"/>
    <w:pPr>
      <w:spacing w:after="100"/>
    </w:pPr>
  </w:style>
  <w:style w:type="character" w:customStyle="1" w:styleId="Heading3Char">
    <w:name w:val="Heading 3 Char"/>
    <w:basedOn w:val="DefaultParagraphFont"/>
    <w:link w:val="Heading3"/>
    <w:uiPriority w:val="9"/>
    <w:rsid w:val="0095384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53846"/>
    <w:pPr>
      <w:spacing w:after="100"/>
      <w:ind w:left="480"/>
    </w:pPr>
  </w:style>
  <w:style w:type="character" w:styleId="CommentReference">
    <w:name w:val="annotation reference"/>
    <w:basedOn w:val="DefaultParagraphFont"/>
    <w:uiPriority w:val="99"/>
    <w:semiHidden/>
    <w:unhideWhenUsed/>
    <w:rsid w:val="004429CF"/>
    <w:rPr>
      <w:sz w:val="16"/>
      <w:szCs w:val="16"/>
    </w:rPr>
  </w:style>
  <w:style w:type="paragraph" w:styleId="CommentText">
    <w:name w:val="annotation text"/>
    <w:basedOn w:val="Normal"/>
    <w:link w:val="CommentTextChar"/>
    <w:uiPriority w:val="99"/>
    <w:unhideWhenUsed/>
    <w:rsid w:val="004429C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429CF"/>
    <w:rPr>
      <w:sz w:val="20"/>
      <w:szCs w:val="20"/>
    </w:rPr>
  </w:style>
  <w:style w:type="character" w:customStyle="1" w:styleId="normaltextrun">
    <w:name w:val="normaltextrun"/>
    <w:basedOn w:val="DefaultParagraphFont"/>
    <w:rsid w:val="000627EE"/>
  </w:style>
  <w:style w:type="paragraph" w:styleId="FootnoteText">
    <w:name w:val="footnote text"/>
    <w:aliases w:val="Fußnote,-E Fußnotentext,Fußnotentext Ursprung,-E Fußnotentext1,-E Fußnotentext2,-E Fußnotentext3,Fußnotentextf,Footnote text,foot note text,Geneva 9,Font: Geneva 9,Boston 10,f,Fußnotentext Char,Fußnotentext Char1 Char1,Car,ft,fn,FOOTNOTES"/>
    <w:basedOn w:val="Normal"/>
    <w:link w:val="FootnoteTextChar"/>
    <w:uiPriority w:val="99"/>
    <w:unhideWhenUsed/>
    <w:qFormat/>
    <w:rsid w:val="000627EE"/>
    <w:rPr>
      <w:rFonts w:asciiTheme="minorHAnsi" w:eastAsiaTheme="minorHAnsi" w:hAnsiTheme="minorHAnsi" w:cstheme="minorBidi"/>
      <w:sz w:val="20"/>
      <w:szCs w:val="20"/>
    </w:rPr>
  </w:style>
  <w:style w:type="character" w:customStyle="1" w:styleId="FootnoteTextChar">
    <w:name w:val="Footnote Text Char"/>
    <w:aliases w:val="Fußnote Char,-E Fußnotentext Char,Fußnotentext Ursprung Char,-E Fußnotentext1 Char,-E Fußnotentext2 Char,-E Fußnotentext3 Char,Fußnotentextf Char,Footnote text Char,foot note text Char,Geneva 9 Char,Font: Geneva 9 Char,Boston 10 Char"/>
    <w:basedOn w:val="DefaultParagraphFont"/>
    <w:link w:val="FootnoteText"/>
    <w:uiPriority w:val="99"/>
    <w:rsid w:val="000627EE"/>
    <w:rPr>
      <w:sz w:val="20"/>
      <w:szCs w:val="20"/>
    </w:rPr>
  </w:style>
  <w:style w:type="character" w:styleId="FootnoteReference">
    <w:name w:val="footnote reference"/>
    <w:aliases w:val="EN Footnote Reference,number,SUPERS,-E Fußnotenzeichen,ftref,BVI fnr,16 Point,Superscript 6 Point,Ref,de nota al pie,Footnote Reference Number,Error-Fußnotenzeichen5,Error-Fußnotenzeichen6,Error-Fußnotenzeichen3,Footnote Reference1,fr"/>
    <w:basedOn w:val="DefaultParagraphFont"/>
    <w:link w:val="FootnoteReferencePara"/>
    <w:uiPriority w:val="99"/>
    <w:unhideWhenUsed/>
    <w:qFormat/>
    <w:rsid w:val="000627EE"/>
    <w:rPr>
      <w:vertAlign w:val="superscript"/>
    </w:rPr>
  </w:style>
  <w:style w:type="character" w:styleId="Mention">
    <w:name w:val="Mention"/>
    <w:basedOn w:val="DefaultParagraphFont"/>
    <w:uiPriority w:val="99"/>
    <w:unhideWhenUsed/>
    <w:rsid w:val="000627EE"/>
    <w:rPr>
      <w:color w:val="2B579A"/>
      <w:shd w:val="clear" w:color="auto" w:fill="E1DFDD"/>
    </w:rPr>
  </w:style>
  <w:style w:type="paragraph" w:customStyle="1" w:styleId="FootnoteReferencePara">
    <w:name w:val="Footnote Reference Para"/>
    <w:aliases w:val="ftref Para,Footnote Reference1 Para"/>
    <w:basedOn w:val="Normal"/>
    <w:link w:val="FootnoteReference"/>
    <w:uiPriority w:val="99"/>
    <w:rsid w:val="000627EE"/>
    <w:pPr>
      <w:spacing w:before="80" w:after="240"/>
    </w:pPr>
    <w:rPr>
      <w:rFonts w:asciiTheme="minorHAnsi" w:eastAsiaTheme="minorHAnsi" w:hAnsiTheme="minorHAnsi" w:cstheme="minorBidi"/>
      <w:sz w:val="22"/>
      <w:szCs w:val="22"/>
      <w:vertAlign w:val="superscript"/>
    </w:rPr>
  </w:style>
  <w:style w:type="paragraph" w:customStyle="1" w:styleId="Default">
    <w:name w:val="Default"/>
    <w:basedOn w:val="Normal"/>
    <w:rsid w:val="00716156"/>
    <w:pPr>
      <w:spacing w:line="259" w:lineRule="auto"/>
    </w:pPr>
    <w:rPr>
      <w:rFonts w:cs="Arial"/>
      <w:color w:val="000000" w:themeColor="text1"/>
      <w:lang w:eastAsia="en-GB"/>
    </w:rPr>
  </w:style>
  <w:style w:type="paragraph" w:customStyle="1" w:styleId="TableDFIDStart">
    <w:name w:val="Table DFID Start"/>
    <w:basedOn w:val="Normal"/>
    <w:rsid w:val="00C30F7C"/>
    <w:pPr>
      <w:spacing w:before="100" w:after="200" w:line="276" w:lineRule="auto"/>
    </w:pPr>
    <w:rPr>
      <w:rFonts w:asciiTheme="minorHAnsi" w:eastAsiaTheme="minorEastAsia" w:hAnsiTheme="minorHAnsi" w:cstheme="minorBidi"/>
      <w:sz w:val="20"/>
      <w:szCs w:val="20"/>
      <w:lang w:eastAsia="en-GB"/>
    </w:rPr>
  </w:style>
  <w:style w:type="paragraph" w:customStyle="1" w:styleId="Body">
    <w:name w:val="Body"/>
    <w:basedOn w:val="Normal"/>
    <w:link w:val="BodyChar"/>
    <w:autoRedefine/>
    <w:qFormat/>
    <w:rsid w:val="00AF06D1"/>
    <w:pPr>
      <w:suppressAutoHyphens/>
      <w:autoSpaceDN w:val="0"/>
      <w:spacing w:after="160" w:line="259" w:lineRule="auto"/>
      <w:contextualSpacing/>
      <w:textAlignment w:val="baseline"/>
    </w:pPr>
    <w:rPr>
      <w:rFonts w:eastAsia="Arial" w:cs="Arial"/>
      <w:color w:val="000000" w:themeColor="text1"/>
      <w:sz w:val="22"/>
      <w:szCs w:val="22"/>
      <w:lang w:eastAsia="en-GB"/>
    </w:rPr>
  </w:style>
  <w:style w:type="character" w:customStyle="1" w:styleId="BodyChar">
    <w:name w:val="Body Char"/>
    <w:basedOn w:val="DefaultParagraphFont"/>
    <w:link w:val="Body"/>
    <w:rsid w:val="00AF06D1"/>
    <w:rPr>
      <w:rFonts w:ascii="Arial" w:eastAsia="Arial" w:hAnsi="Arial" w:cs="Arial"/>
      <w:color w:val="000000" w:themeColor="text1"/>
      <w:lang w:eastAsia="en-GB"/>
    </w:rPr>
  </w:style>
  <w:style w:type="paragraph" w:styleId="CommentSubject">
    <w:name w:val="annotation subject"/>
    <w:basedOn w:val="CommentText"/>
    <w:next w:val="CommentText"/>
    <w:link w:val="CommentSubjectChar"/>
    <w:uiPriority w:val="99"/>
    <w:semiHidden/>
    <w:unhideWhenUsed/>
    <w:rsid w:val="008E65B7"/>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E65B7"/>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8843">
      <w:bodyDiv w:val="1"/>
      <w:marLeft w:val="0"/>
      <w:marRight w:val="0"/>
      <w:marTop w:val="0"/>
      <w:marBottom w:val="0"/>
      <w:divBdr>
        <w:top w:val="none" w:sz="0" w:space="0" w:color="auto"/>
        <w:left w:val="none" w:sz="0" w:space="0" w:color="auto"/>
        <w:bottom w:val="none" w:sz="0" w:space="0" w:color="auto"/>
        <w:right w:val="none" w:sz="0" w:space="0" w:color="auto"/>
      </w:divBdr>
      <w:divsChild>
        <w:div w:id="39475970">
          <w:marLeft w:val="0"/>
          <w:marRight w:val="0"/>
          <w:marTop w:val="0"/>
          <w:marBottom w:val="0"/>
          <w:divBdr>
            <w:top w:val="none" w:sz="0" w:space="0" w:color="auto"/>
            <w:left w:val="none" w:sz="0" w:space="0" w:color="auto"/>
            <w:bottom w:val="none" w:sz="0" w:space="0" w:color="auto"/>
            <w:right w:val="none" w:sz="0" w:space="0" w:color="auto"/>
          </w:divBdr>
        </w:div>
        <w:div w:id="168567630">
          <w:marLeft w:val="0"/>
          <w:marRight w:val="0"/>
          <w:marTop w:val="0"/>
          <w:marBottom w:val="0"/>
          <w:divBdr>
            <w:top w:val="none" w:sz="0" w:space="0" w:color="auto"/>
            <w:left w:val="none" w:sz="0" w:space="0" w:color="auto"/>
            <w:bottom w:val="none" w:sz="0" w:space="0" w:color="auto"/>
            <w:right w:val="none" w:sz="0" w:space="0" w:color="auto"/>
          </w:divBdr>
        </w:div>
        <w:div w:id="234702573">
          <w:marLeft w:val="0"/>
          <w:marRight w:val="0"/>
          <w:marTop w:val="0"/>
          <w:marBottom w:val="0"/>
          <w:divBdr>
            <w:top w:val="none" w:sz="0" w:space="0" w:color="auto"/>
            <w:left w:val="none" w:sz="0" w:space="0" w:color="auto"/>
            <w:bottom w:val="none" w:sz="0" w:space="0" w:color="auto"/>
            <w:right w:val="none" w:sz="0" w:space="0" w:color="auto"/>
          </w:divBdr>
        </w:div>
      </w:divsChild>
    </w:div>
    <w:div w:id="446824940">
      <w:bodyDiv w:val="1"/>
      <w:marLeft w:val="0"/>
      <w:marRight w:val="0"/>
      <w:marTop w:val="0"/>
      <w:marBottom w:val="0"/>
      <w:divBdr>
        <w:top w:val="none" w:sz="0" w:space="0" w:color="auto"/>
        <w:left w:val="none" w:sz="0" w:space="0" w:color="auto"/>
        <w:bottom w:val="none" w:sz="0" w:space="0" w:color="auto"/>
        <w:right w:val="none" w:sz="0" w:space="0" w:color="auto"/>
      </w:divBdr>
      <w:divsChild>
        <w:div w:id="241530377">
          <w:marLeft w:val="0"/>
          <w:marRight w:val="0"/>
          <w:marTop w:val="0"/>
          <w:marBottom w:val="0"/>
          <w:divBdr>
            <w:top w:val="none" w:sz="0" w:space="0" w:color="auto"/>
            <w:left w:val="none" w:sz="0" w:space="0" w:color="auto"/>
            <w:bottom w:val="none" w:sz="0" w:space="0" w:color="auto"/>
            <w:right w:val="none" w:sz="0" w:space="0" w:color="auto"/>
          </w:divBdr>
        </w:div>
        <w:div w:id="314843631">
          <w:marLeft w:val="0"/>
          <w:marRight w:val="0"/>
          <w:marTop w:val="0"/>
          <w:marBottom w:val="0"/>
          <w:divBdr>
            <w:top w:val="none" w:sz="0" w:space="0" w:color="auto"/>
            <w:left w:val="none" w:sz="0" w:space="0" w:color="auto"/>
            <w:bottom w:val="none" w:sz="0" w:space="0" w:color="auto"/>
            <w:right w:val="none" w:sz="0" w:space="0" w:color="auto"/>
          </w:divBdr>
        </w:div>
        <w:div w:id="332800393">
          <w:marLeft w:val="0"/>
          <w:marRight w:val="0"/>
          <w:marTop w:val="0"/>
          <w:marBottom w:val="0"/>
          <w:divBdr>
            <w:top w:val="none" w:sz="0" w:space="0" w:color="auto"/>
            <w:left w:val="none" w:sz="0" w:space="0" w:color="auto"/>
            <w:bottom w:val="none" w:sz="0" w:space="0" w:color="auto"/>
            <w:right w:val="none" w:sz="0" w:space="0" w:color="auto"/>
          </w:divBdr>
        </w:div>
        <w:div w:id="701906105">
          <w:marLeft w:val="0"/>
          <w:marRight w:val="0"/>
          <w:marTop w:val="0"/>
          <w:marBottom w:val="0"/>
          <w:divBdr>
            <w:top w:val="none" w:sz="0" w:space="0" w:color="auto"/>
            <w:left w:val="none" w:sz="0" w:space="0" w:color="auto"/>
            <w:bottom w:val="none" w:sz="0" w:space="0" w:color="auto"/>
            <w:right w:val="none" w:sz="0" w:space="0" w:color="auto"/>
          </w:divBdr>
        </w:div>
        <w:div w:id="1311519319">
          <w:marLeft w:val="0"/>
          <w:marRight w:val="0"/>
          <w:marTop w:val="0"/>
          <w:marBottom w:val="0"/>
          <w:divBdr>
            <w:top w:val="none" w:sz="0" w:space="0" w:color="auto"/>
            <w:left w:val="none" w:sz="0" w:space="0" w:color="auto"/>
            <w:bottom w:val="none" w:sz="0" w:space="0" w:color="auto"/>
            <w:right w:val="none" w:sz="0" w:space="0" w:color="auto"/>
          </w:divBdr>
        </w:div>
        <w:div w:id="1421633958">
          <w:marLeft w:val="0"/>
          <w:marRight w:val="0"/>
          <w:marTop w:val="0"/>
          <w:marBottom w:val="0"/>
          <w:divBdr>
            <w:top w:val="none" w:sz="0" w:space="0" w:color="auto"/>
            <w:left w:val="none" w:sz="0" w:space="0" w:color="auto"/>
            <w:bottom w:val="none" w:sz="0" w:space="0" w:color="auto"/>
            <w:right w:val="none" w:sz="0" w:space="0" w:color="auto"/>
          </w:divBdr>
        </w:div>
        <w:div w:id="1456145368">
          <w:marLeft w:val="0"/>
          <w:marRight w:val="0"/>
          <w:marTop w:val="0"/>
          <w:marBottom w:val="0"/>
          <w:divBdr>
            <w:top w:val="none" w:sz="0" w:space="0" w:color="auto"/>
            <w:left w:val="none" w:sz="0" w:space="0" w:color="auto"/>
            <w:bottom w:val="none" w:sz="0" w:space="0" w:color="auto"/>
            <w:right w:val="none" w:sz="0" w:space="0" w:color="auto"/>
          </w:divBdr>
        </w:div>
        <w:div w:id="1629774060">
          <w:marLeft w:val="0"/>
          <w:marRight w:val="0"/>
          <w:marTop w:val="0"/>
          <w:marBottom w:val="0"/>
          <w:divBdr>
            <w:top w:val="none" w:sz="0" w:space="0" w:color="auto"/>
            <w:left w:val="none" w:sz="0" w:space="0" w:color="auto"/>
            <w:bottom w:val="none" w:sz="0" w:space="0" w:color="auto"/>
            <w:right w:val="none" w:sz="0" w:space="0" w:color="auto"/>
          </w:divBdr>
        </w:div>
        <w:div w:id="1718897118">
          <w:marLeft w:val="0"/>
          <w:marRight w:val="0"/>
          <w:marTop w:val="0"/>
          <w:marBottom w:val="0"/>
          <w:divBdr>
            <w:top w:val="none" w:sz="0" w:space="0" w:color="auto"/>
            <w:left w:val="none" w:sz="0" w:space="0" w:color="auto"/>
            <w:bottom w:val="none" w:sz="0" w:space="0" w:color="auto"/>
            <w:right w:val="none" w:sz="0" w:space="0" w:color="auto"/>
          </w:divBdr>
        </w:div>
        <w:div w:id="1818523208">
          <w:marLeft w:val="0"/>
          <w:marRight w:val="0"/>
          <w:marTop w:val="0"/>
          <w:marBottom w:val="0"/>
          <w:divBdr>
            <w:top w:val="none" w:sz="0" w:space="0" w:color="auto"/>
            <w:left w:val="none" w:sz="0" w:space="0" w:color="auto"/>
            <w:bottom w:val="none" w:sz="0" w:space="0" w:color="auto"/>
            <w:right w:val="none" w:sz="0" w:space="0" w:color="auto"/>
          </w:divBdr>
        </w:div>
        <w:div w:id="1941177829">
          <w:marLeft w:val="0"/>
          <w:marRight w:val="0"/>
          <w:marTop w:val="0"/>
          <w:marBottom w:val="0"/>
          <w:divBdr>
            <w:top w:val="none" w:sz="0" w:space="0" w:color="auto"/>
            <w:left w:val="none" w:sz="0" w:space="0" w:color="auto"/>
            <w:bottom w:val="none" w:sz="0" w:space="0" w:color="auto"/>
            <w:right w:val="none" w:sz="0" w:space="0" w:color="auto"/>
          </w:divBdr>
        </w:div>
      </w:divsChild>
    </w:div>
    <w:div w:id="78531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ationalarchives.gov.uk/doc/open-government-licence/version/3/" TargetMode="External"/><Relationship Id="rId18" Type="http://schemas.openxmlformats.org/officeDocument/2006/relationships/hyperlink" Target="https://www.cif.org/results-and-impa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if.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ODA-Transparency@beis.gov.u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if.org/results-and-impa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si@nationalarchives.gsi.gov.uk"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hegef.org/newsroom/publications/gef-8-date-highlights" TargetMode="External"/><Relationship Id="rId3" Type="http://schemas.openxmlformats.org/officeDocument/2006/relationships/hyperlink" Target="https://www.cif.org/" TargetMode="External"/><Relationship Id="rId7" Type="http://schemas.openxmlformats.org/officeDocument/2006/relationships/hyperlink" Target="https://www.cif.org/sites/cif_enc/files/knowledge-documents/cif-annual-report-2024.pdf" TargetMode="External"/><Relationship Id="rId2" Type="http://schemas.openxmlformats.org/officeDocument/2006/relationships/hyperlink" Target="https://www.cif.org/" TargetMode="External"/><Relationship Id="rId1" Type="http://schemas.openxmlformats.org/officeDocument/2006/relationships/hyperlink" Target="https://www.cif.org/" TargetMode="External"/><Relationship Id="rId6" Type="http://schemas.openxmlformats.org/officeDocument/2006/relationships/hyperlink" Target="https://beisgov.sharepoint.com/sites/Fast-EXT-ALL/CIFs/Business%20Cases/NEW%202024%20Business%20Case/GEF%20Administration%20Expenses%20-%20fees%20and%20project%20management%20costs" TargetMode="External"/><Relationship Id="rId5" Type="http://schemas.openxmlformats.org/officeDocument/2006/relationships/hyperlink" Target="https://www.thegef.org/sites/default/files/documents/2025-06/GEF_FI_PL_03_Fee_Policy_GEF_Partner_Agencies.pdf" TargetMode="External"/><Relationship Id="rId10" Type="http://schemas.openxmlformats.org/officeDocument/2006/relationships/hyperlink" Target="https://www.climateinvestmentfunds.org/topics/just-transition" TargetMode="External"/><Relationship Id="rId4" Type="http://schemas.openxmlformats.org/officeDocument/2006/relationships/hyperlink" Target="https://www.greenclimate.fund/sites/default/files/document/gcf-b19-29.pdf" TargetMode="External"/><Relationship Id="rId9" Type="http://schemas.openxmlformats.org/officeDocument/2006/relationships/hyperlink" Target="https://www.greenclimate.fund/projects/dashboar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2E20F15F05A40B0387E2BABC7C747" ma:contentTypeVersion="16" ma:contentTypeDescription="Create a new document." ma:contentTypeScope="" ma:versionID="ab96bb3a8ec99b13dd0f6a27bb062df4">
  <xsd:schema xmlns:xsd="http://www.w3.org/2001/XMLSchema" xmlns:xs="http://www.w3.org/2001/XMLSchema" xmlns:p="http://schemas.microsoft.com/office/2006/metadata/properties" xmlns:ns2="ed7f3826-00f4-4cdf-b637-935a294e35aa" xmlns:ns3="b912c791-4bd8-475b-a91d-1cd940acd974" targetNamespace="http://schemas.microsoft.com/office/2006/metadata/properties" ma:root="true" ma:fieldsID="5ffbb6801491c86e052e3480ba5ba1d5" ns2:_="" ns3:_="">
    <xsd:import namespace="ed7f3826-00f4-4cdf-b637-935a294e35aa"/>
    <xsd:import namespace="b912c791-4bd8-475b-a91d-1cd940acd974"/>
    <xsd:element name="properties">
      <xsd:complexType>
        <xsd:sequence>
          <xsd:element name="documentManagement">
            <xsd:complexType>
              <xsd:all>
                <xsd:element ref="ns2:_dlc_DocId" minOccurs="0"/>
                <xsd:element ref="ns2:_dlc_DocIdUrl" minOccurs="0"/>
                <xsd:element ref="ns2:_dlc_DocIdPersistId" minOccurs="0"/>
                <xsd:element ref="ns3:ApproverComments" minOccurs="0"/>
                <xsd:element ref="ns3:Approver" minOccurs="0"/>
                <xsd:element ref="ns3:Sign_x002d_offStatus"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f3826-00f4-4cdf-b637-935a294e35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87a7826-809b-428d-8ed3-236af91b0361}" ma:internalName="TaxCatchAll" ma:showField="CatchAllData" ma:web="ed7f3826-00f4-4cdf-b637-935a294e35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12c791-4bd8-475b-a91d-1cd940acd974" elementFormDefault="qualified">
    <xsd:import namespace="http://schemas.microsoft.com/office/2006/documentManagement/types"/>
    <xsd:import namespace="http://schemas.microsoft.com/office/infopath/2007/PartnerControls"/>
    <xsd:element name="ApproverComments" ma:index="11" nillable="true" ma:displayName="Approver Comments " ma:format="Dropdown" ma:internalName="ApproverComments">
      <xsd:simpleType>
        <xsd:restriction base="dms:Note">
          <xsd:maxLength value="255"/>
        </xsd:restriction>
      </xsd:simpleType>
    </xsd:element>
    <xsd:element name="Approver" ma:index="12" nillable="true" ma:displayName="Approver" ma:format="Dropdown" ma:internalName="Approver">
      <xsd:simpleType>
        <xsd:restriction base="dms:Text">
          <xsd:maxLength value="255"/>
        </xsd:restriction>
      </xsd:simpleType>
    </xsd:element>
    <xsd:element name="Sign_x002d_offStatus" ma:index="13" nillable="true" ma:displayName="Sign-off Status" ma:format="Dropdown" ma:internalName="Sign_x002d_offStatus">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d7f3826-00f4-4cdf-b637-935a294e35aa">FAST-617619222-6905</_dlc_DocId>
    <TaxCatchAll xmlns="ed7f3826-00f4-4cdf-b637-935a294e35aa" xsi:nil="true"/>
    <_dlc_DocIdUrl xmlns="ed7f3826-00f4-4cdf-b637-935a294e35aa">
      <Url>https://beisgov.sharepoint.com/sites/Fast-EXT-ALL/_layouts/15/DocIdRedir.aspx?ID=FAST-617619222-6905</Url>
      <Description>FAST-617619222-6905</Description>
    </_dlc_DocIdUrl>
    <SharedWithUsers xmlns="ed7f3826-00f4-4cdf-b637-935a294e35aa">
      <UserInfo>
        <DisplayName>zz_Bray, Callum (BEIS)</DisplayName>
        <AccountId>1135</AccountId>
        <AccountType/>
      </UserInfo>
      <UserInfo>
        <DisplayName>zz_Lugt, Ellie (International - Climate and Energy)</DisplayName>
        <AccountId>1134</AccountId>
        <AccountType/>
      </UserInfo>
      <UserInfo>
        <DisplayName>White, James (DSIT)</DisplayName>
        <AccountId>1136</AccountId>
        <AccountType/>
      </UserInfo>
      <UserInfo>
        <DisplayName>zz_Walter, Poppy (NZBI - Domestic)</DisplayName>
        <AccountId>1489</AccountId>
        <AccountType/>
      </UserInfo>
      <UserInfo>
        <DisplayName>zz_Robinson, Giulia (International - Climate and Energy)</DisplayName>
        <AccountId>1436</AccountId>
        <AccountType/>
      </UserInfo>
      <UserInfo>
        <DisplayName>Hughes, Catriona (Business Sectors - Infrastructure &amp; Materials)</DisplayName>
        <AccountId>1191</AccountId>
        <AccountType/>
      </UserInfo>
      <UserInfo>
        <DisplayName>zz_White, Alastair (NZSI - International Net Zero)</DisplayName>
        <AccountId>1268</AccountId>
        <AccountType/>
      </UserInfo>
      <UserInfo>
        <DisplayName>zz_Andrews, Sophie (International - Climate and Energy)</DisplayName>
        <AccountId>1433</AccountId>
        <AccountType/>
      </UserInfo>
      <UserInfo>
        <DisplayName>Patrick, Niall (Energy Security)</DisplayName>
        <AccountId>534</AccountId>
        <AccountType/>
      </UserInfo>
      <UserInfo>
        <DisplayName>zz_Stathakopoulou, Christina (NZSI - International Net Zero)</DisplayName>
        <AccountId>1518</AccountId>
        <AccountType/>
      </UserInfo>
      <UserInfo>
        <DisplayName>zz_Sardeson, Lottie (Intl Climate Finance - Investments)</DisplayName>
        <AccountId>282</AccountId>
        <AccountType/>
      </UserInfo>
      <UserInfo>
        <DisplayName>zz_Donegan, Brendan (Energy Security)</DisplayName>
        <AccountId>539</AccountId>
        <AccountType/>
      </UserInfo>
      <UserInfo>
        <DisplayName>zz_Gibbs, Douglas (Intl Climate Finance - Investments)</DisplayName>
        <AccountId>13</AccountId>
        <AccountType/>
      </UserInfo>
      <UserInfo>
        <DisplayName>zz_Mills, Sarah (Intl Climate Finance - Investments)</DisplayName>
        <AccountId>66</AccountId>
        <AccountType/>
      </UserInfo>
      <UserInfo>
        <DisplayName>Farmer, Will (Energy Security)</DisplayName>
        <AccountId>142</AccountId>
        <AccountType/>
      </UserInfo>
      <UserInfo>
        <DisplayName>Ahmed, Tajbee (Energy Security)</DisplayName>
        <AccountId>219</AccountId>
        <AccountType/>
      </UserInfo>
      <UserInfo>
        <DisplayName>zz_Evans, Sian (Intl Climate Finance - Partnerships)</DisplayName>
        <AccountId>104</AccountId>
        <AccountType/>
      </UserInfo>
      <UserInfo>
        <DisplayName>Davis, Owen (Energy Security)</DisplayName>
        <AccountId>245</AccountId>
        <AccountType/>
      </UserInfo>
      <UserInfo>
        <DisplayName>Paton, Ellen (Energy Security)</DisplayName>
        <AccountId>37</AccountId>
        <AccountType/>
      </UserInfo>
      <UserInfo>
        <DisplayName>zz_Kasliwal, Pritika (Intl Climate Finance - Partnerships)</DisplayName>
        <AccountId>81</AccountId>
        <AccountType/>
      </UserInfo>
      <UserInfo>
        <DisplayName>Hirschhausen, Lara (Energy Security)</DisplayName>
        <AccountId>218</AccountId>
        <AccountType/>
      </UserInfo>
      <UserInfo>
        <DisplayName>zz_Le Quesne, Felicity (NZSI - International Forests Hub)</DisplayName>
        <AccountId>72</AccountId>
        <AccountType/>
      </UserInfo>
      <UserInfo>
        <DisplayName>zz_Ashworth, Francesca (Science, Research &amp; Innovation)</DisplayName>
        <AccountId>2123</AccountId>
        <AccountType/>
      </UserInfo>
      <UserInfo>
        <DisplayName>zz_Tomlinson, Luke (Intl Climate Finance - Investments)</DisplayName>
        <AccountId>123</AccountId>
        <AccountType/>
      </UserInfo>
      <UserInfo>
        <DisplayName>zz_Schuler, Nina (International - Climate and Energy)</DisplayName>
        <AccountId>2097</AccountId>
        <AccountType/>
      </UserInfo>
      <UserInfo>
        <DisplayName>Olubodun, Lekan (NZSI - International Net Zero)</DisplayName>
        <AccountId>162</AccountId>
        <AccountType/>
      </UserInfo>
      <UserInfo>
        <DisplayName>Augustin, Sidney (DSIT)</DisplayName>
        <AccountId>267</AccountId>
        <AccountType/>
      </UserInfo>
      <UserInfo>
        <DisplayName>zz_Liehr, Estefania (Intl Climate Finance - Investments)</DisplayName>
        <AccountId>87</AccountId>
        <AccountType/>
      </UserInfo>
      <UserInfo>
        <DisplayName>veronica.robledo</DisplayName>
        <AccountId>1977</AccountId>
        <AccountType/>
      </UserInfo>
      <UserInfo>
        <DisplayName>lina.penuela@fcdo.gov.uk</DisplayName>
        <AccountId>1971</AccountId>
        <AccountType/>
      </UserInfo>
      <UserInfo>
        <DisplayName>natalia.rodriguez</DisplayName>
        <AccountId>1978</AccountId>
        <AccountType/>
      </UserInfo>
      <UserInfo>
        <DisplayName>Veronica Robledo (Sensitive)</DisplayName>
        <AccountId>607</AccountId>
        <AccountType/>
      </UserInfo>
      <UserInfo>
        <DisplayName>Lina Penuela (Sensitive)</DisplayName>
        <AccountId>608</AccountId>
        <AccountType/>
      </UserInfo>
      <UserInfo>
        <DisplayName>Natalia Rodriguez (Sensitive)</DisplayName>
        <AccountId>606</AccountId>
        <AccountType/>
      </UserInfo>
      <UserInfo>
        <DisplayName>Caravani, Alice (Energy Security)</DisplayName>
        <AccountId>187</AccountId>
        <AccountType/>
      </UserInfo>
      <UserInfo>
        <DisplayName>zz_Unadkat, Kavi (International - Climate and Energy)</DisplayName>
        <AccountId>2318</AccountId>
        <AccountType/>
      </UserInfo>
      <UserInfo>
        <DisplayName>zz_Rose, Ginny (International - Climate and Energy)</DisplayName>
        <AccountId>5308</AccountId>
        <AccountType/>
      </UserInfo>
      <UserInfo>
        <DisplayName>Baillie, Jack (NZSI - International Net Zero)</DisplayName>
        <AccountId>5028</AccountId>
        <AccountType/>
      </UserInfo>
      <UserInfo>
        <DisplayName>Al-Sibassi, Eman (Energy Security)</DisplayName>
        <AccountId>723</AccountId>
        <AccountType/>
      </UserInfo>
      <UserInfo>
        <DisplayName>zz_Enevoldsen, Chloe (NZSI - International Net Zero)</DisplayName>
        <AccountId>5447</AccountId>
        <AccountType/>
      </UserInfo>
      <UserInfo>
        <DisplayName>zz_Carro, Inigo (BEIS)</DisplayName>
        <AccountId>5241</AccountId>
        <AccountType/>
      </UserInfo>
      <UserInfo>
        <DisplayName>zz_Kennedy, Ruth (Intl Climate Finance - Investments)</DisplayName>
        <AccountId>54</AccountId>
        <AccountType/>
      </UserInfo>
      <UserInfo>
        <DisplayName>zz_Pettem, Sarah (Intl Climate Finance - Portfolio)</DisplayName>
        <AccountId>190</AccountId>
        <AccountType/>
      </UserInfo>
      <UserInfo>
        <DisplayName>zz_Hodgetts, George (NZSI - International Net Zero)</DisplayName>
        <AccountId>101</AccountId>
        <AccountType/>
      </UserInfo>
      <UserInfo>
        <DisplayName>zz_Keene, Alexander (Topps - National Security &amp; International)</DisplayName>
        <AccountId>5053</AccountId>
        <AccountType/>
      </UserInfo>
      <UserInfo>
        <DisplayName>Hillson, Isabelle (Energy Security)</DisplayName>
        <AccountId>2927</AccountId>
        <AccountType/>
      </UserInfo>
      <UserInfo>
        <DisplayName>Smithers, William (Energy Security)</DisplayName>
        <AccountId>15</AccountId>
        <AccountType/>
      </UserInfo>
      <UserInfo>
        <DisplayName>Bunte, Svenja (Energy Security)</DisplayName>
        <AccountId>5357</AccountId>
        <AccountType/>
      </UserInfo>
      <UserInfo>
        <DisplayName>Jones3, Philip (Energy Security)</DisplayName>
        <AccountId>8101</AccountId>
        <AccountType/>
      </UserInfo>
      <UserInfo>
        <DisplayName>Sarah Pettem</DisplayName>
        <AccountId>7821</AccountId>
        <AccountType/>
      </UserInfo>
      <UserInfo>
        <DisplayName>Boustead, Rebecca (Energy Security)</DisplayName>
        <AccountId>3176</AccountId>
        <AccountType/>
      </UserInfo>
      <UserInfo>
        <DisplayName>Evans, Rachael (Energy Security)</DisplayName>
        <AccountId>8412</AccountId>
        <AccountType/>
      </UserInfo>
      <UserInfo>
        <DisplayName>LeNagard, Clementine (Energy Security)</DisplayName>
        <AccountId>8741</AccountId>
        <AccountType/>
      </UserInfo>
      <UserInfo>
        <DisplayName>zz_Birkett, Joe (Energy Security)</DisplayName>
        <AccountId>8537</AccountId>
        <AccountType/>
      </UserInfo>
      <UserInfo>
        <DisplayName>Poletti, Monica (Energy Security)</DisplayName>
        <AccountId>8373</AccountId>
        <AccountType/>
      </UserInfo>
      <UserInfo>
        <DisplayName>Flanagan, Thomas (Energy Supply - Energy Affordability)</DisplayName>
        <AccountId>8834</AccountId>
        <AccountType/>
      </UserInfo>
      <UserInfo>
        <DisplayName>Evans, Jacob (Energy Security)</DisplayName>
        <AccountId>8531</AccountId>
        <AccountType/>
      </UserInfo>
      <UserInfo>
        <DisplayName>Wong2, Matthew (Energy Security)</DisplayName>
        <AccountId>8545</AccountId>
        <AccountType/>
      </UserInfo>
      <UserInfo>
        <DisplayName>zz_Haddad, Marie (Energy Security)</DisplayName>
        <AccountId>8530</AccountId>
        <AccountType/>
      </UserInfo>
      <UserInfo>
        <DisplayName>zz_Carroll, Sabrina (Energy Security)</DisplayName>
        <AccountId>8195</AccountId>
        <AccountType/>
      </UserInfo>
      <UserInfo>
        <DisplayName>Norman-Rhodes, Alex (Energy Security)</DisplayName>
        <AccountId>8102</AccountId>
        <AccountType/>
      </UserInfo>
      <UserInfo>
        <DisplayName>Connolly, Michael (Energy Security)</DisplayName>
        <AccountId>8895</AccountId>
        <AccountType/>
      </UserInfo>
      <UserInfo>
        <DisplayName>zz_Salt, Fred (NZSI - International Net Zero )</DisplayName>
        <AccountId>8544</AccountId>
        <AccountType/>
      </UserInfo>
      <UserInfo>
        <DisplayName>Parris, Francesca (Energy Security)</DisplayName>
        <AccountId>3785</AccountId>
        <AccountType/>
      </UserInfo>
      <UserInfo>
        <DisplayName>Sanyal, Sean (Energy Security)</DisplayName>
        <AccountId>8539</AccountId>
        <AccountType/>
      </UserInfo>
      <UserInfo>
        <DisplayName>Bertrand, Jeromine (Energy Security)</DisplayName>
        <AccountId>80</AccountId>
        <AccountType/>
      </UserInfo>
      <UserInfo>
        <DisplayName>Apine, Alina (Energy Security)</DisplayName>
        <AccountId>4968</AccountId>
        <AccountType/>
      </UserInfo>
      <UserInfo>
        <DisplayName>Hampton-Ball, Simon (Energy Security)</DisplayName>
        <AccountId>53</AccountId>
        <AccountType/>
      </UserInfo>
      <UserInfo>
        <DisplayName>zz_Wastie, Tayah (Energy Security)</DisplayName>
        <AccountId>8372</AccountId>
        <AccountType/>
      </UserInfo>
      <UserInfo>
        <DisplayName>zz_Rodriguez, Poppy (Energy Security)</DisplayName>
        <AccountId>9126</AccountId>
        <AccountType/>
      </UserInfo>
      <UserInfo>
        <DisplayName>Livesey, Renee (Energy Security)</DisplayName>
        <AccountId>306</AccountId>
        <AccountType/>
      </UserInfo>
      <UserInfo>
        <DisplayName>Shipley, Chris (Energy Security)</DisplayName>
        <AccountId>68</AccountId>
        <AccountType/>
      </UserInfo>
      <UserInfo>
        <DisplayName>Bennett, Victoria (Energy Security)</DisplayName>
        <AccountId>9902</AccountId>
        <AccountType/>
      </UserInfo>
      <UserInfo>
        <DisplayName>Stringer, Fiona (Energy Security)</DisplayName>
        <AccountId>99</AccountId>
        <AccountType/>
      </UserInfo>
      <UserInfo>
        <DisplayName>Situ, Victoria (Energy Security)</DisplayName>
        <AccountId>183</AccountId>
        <AccountType/>
      </UserInfo>
      <UserInfo>
        <DisplayName>Mohammadpour, Parmida (Energy Security)</DisplayName>
        <AccountId>9464</AccountId>
        <AccountType/>
      </UserInfo>
      <UserInfo>
        <DisplayName>Walker, Joe (Energy Security)</DisplayName>
        <AccountId>10364</AccountId>
        <AccountType/>
      </UserInfo>
      <UserInfo>
        <DisplayName>Raichoora, Ravi (Energy Security)</DisplayName>
        <AccountId>10201</AccountId>
        <AccountType/>
      </UserInfo>
      <UserInfo>
        <DisplayName>Firth, Rosalind (Energy Security)</DisplayName>
        <AccountId>11555</AccountId>
        <AccountType/>
      </UserInfo>
      <UserInfo>
        <DisplayName>Catton, Ryan (Energy Security)</DisplayName>
        <AccountId>10905</AccountId>
        <AccountType/>
      </UserInfo>
      <UserInfo>
        <DisplayName>Biddle, Harry (Topps - Analysis Directorate)</DisplayName>
        <AccountId>10842</AccountId>
        <AccountType/>
      </UserInfo>
    </SharedWithUsers>
    <lcf76f155ced4ddcb4097134ff3c332f xmlns="b912c791-4bd8-475b-a91d-1cd940acd974">
      <Terms xmlns="http://schemas.microsoft.com/office/infopath/2007/PartnerControls"/>
    </lcf76f155ced4ddcb4097134ff3c332f>
    <ApproverComments xmlns="b912c791-4bd8-475b-a91d-1cd940acd974" xsi:nil="true"/>
    <Sign_x002d_offStatus xmlns="b912c791-4bd8-475b-a91d-1cd940acd974" xsi:nil="true"/>
    <Approver xmlns="b912c791-4bd8-475b-a91d-1cd940acd9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48497A-8B42-4D76-B731-0BACC6996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f3826-00f4-4cdf-b637-935a294e35aa"/>
    <ds:schemaRef ds:uri="b912c791-4bd8-475b-a91d-1cd940acd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70627-5072-4164-B9A0-A8C60A90D51C}">
  <ds:schemaRefs>
    <ds:schemaRef ds:uri="http://schemas.openxmlformats.org/officeDocument/2006/bibliography"/>
  </ds:schemaRefs>
</ds:datastoreItem>
</file>

<file path=customXml/itemProps3.xml><?xml version="1.0" encoding="utf-8"?>
<ds:datastoreItem xmlns:ds="http://schemas.openxmlformats.org/officeDocument/2006/customXml" ds:itemID="{28542131-BD40-42FA-BF1D-325659C74395}">
  <ds:schemaRefs>
    <ds:schemaRef ds:uri="http://schemas.microsoft.com/sharepoint/v3/contenttype/forms"/>
  </ds:schemaRefs>
</ds:datastoreItem>
</file>

<file path=customXml/itemProps4.xml><?xml version="1.0" encoding="utf-8"?>
<ds:datastoreItem xmlns:ds="http://schemas.openxmlformats.org/officeDocument/2006/customXml" ds:itemID="{02FCA949-4A17-4A58-8CB4-38E906E85F6A}">
  <ds:schemaRefs>
    <ds:schemaRef ds:uri="http://schemas.microsoft.com/office/2006/metadata/properties"/>
    <ds:schemaRef ds:uri="http://schemas.microsoft.com/office/infopath/2007/PartnerControls"/>
    <ds:schemaRef ds:uri="ed7f3826-00f4-4cdf-b637-935a294e35aa"/>
    <ds:schemaRef ds:uri="b912c791-4bd8-475b-a91d-1cd940acd974"/>
  </ds:schemaRefs>
</ds:datastoreItem>
</file>

<file path=customXml/itemProps5.xml><?xml version="1.0" encoding="utf-8"?>
<ds:datastoreItem xmlns:ds="http://schemas.openxmlformats.org/officeDocument/2006/customXml" ds:itemID="{49948BD2-19FB-4A1A-9F04-1E661C4B97AC}">
  <ds:schemaRefs>
    <ds:schemaRef ds:uri="http://schemas.microsoft.com/sharepoint/events"/>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Normal.dotm</Template>
  <TotalTime>6197</TotalTime>
  <Pages>1</Pages>
  <Words>9310</Words>
  <Characters>53069</Characters>
  <Application>Microsoft Office Word</Application>
  <DocSecurity>4</DocSecurity>
  <Lines>442</Lines>
  <Paragraphs>124</Paragraphs>
  <ScaleCrop>false</ScaleCrop>
  <Company/>
  <LinksUpToDate>false</LinksUpToDate>
  <CharactersWithSpaces>62255</CharactersWithSpaces>
  <SharedDoc>false</SharedDoc>
  <HLinks>
    <vt:vector size="210" baseType="variant">
      <vt:variant>
        <vt:i4>7536685</vt:i4>
      </vt:variant>
      <vt:variant>
        <vt:i4>132</vt:i4>
      </vt:variant>
      <vt:variant>
        <vt:i4>0</vt:i4>
      </vt:variant>
      <vt:variant>
        <vt:i4>5</vt:i4>
      </vt:variant>
      <vt:variant>
        <vt:lpwstr>https://www.cif.org/results-and-impact</vt:lpwstr>
      </vt:variant>
      <vt:variant>
        <vt:lpwstr>:~:text=The%20CIF%20Theory%20of%20Change,climate%2Dresilient%20development%20pathways%2C%20in</vt:lpwstr>
      </vt:variant>
      <vt:variant>
        <vt:i4>7536685</vt:i4>
      </vt:variant>
      <vt:variant>
        <vt:i4>129</vt:i4>
      </vt:variant>
      <vt:variant>
        <vt:i4>0</vt:i4>
      </vt:variant>
      <vt:variant>
        <vt:i4>5</vt:i4>
      </vt:variant>
      <vt:variant>
        <vt:lpwstr>https://www.cif.org/results-and-impact</vt:lpwstr>
      </vt:variant>
      <vt:variant>
        <vt:lpwstr>:~:text=The%20CIF%20Theory%20of%20Change,climate%2Dresilient%20development%20pathways%2C%20in</vt:lpwstr>
      </vt:variant>
      <vt:variant>
        <vt:i4>5374029</vt:i4>
      </vt:variant>
      <vt:variant>
        <vt:i4>126</vt:i4>
      </vt:variant>
      <vt:variant>
        <vt:i4>0</vt:i4>
      </vt:variant>
      <vt:variant>
        <vt:i4>5</vt:i4>
      </vt:variant>
      <vt:variant>
        <vt:lpwstr>https://www.cif.org/</vt:lpwstr>
      </vt:variant>
      <vt:variant>
        <vt:lpwstr/>
      </vt:variant>
      <vt:variant>
        <vt:i4>1835067</vt:i4>
      </vt:variant>
      <vt:variant>
        <vt:i4>119</vt:i4>
      </vt:variant>
      <vt:variant>
        <vt:i4>0</vt:i4>
      </vt:variant>
      <vt:variant>
        <vt:i4>5</vt:i4>
      </vt:variant>
      <vt:variant>
        <vt:lpwstr/>
      </vt:variant>
      <vt:variant>
        <vt:lpwstr>_Toc224897468</vt:lpwstr>
      </vt:variant>
      <vt:variant>
        <vt:i4>1835067</vt:i4>
      </vt:variant>
      <vt:variant>
        <vt:i4>113</vt:i4>
      </vt:variant>
      <vt:variant>
        <vt:i4>0</vt:i4>
      </vt:variant>
      <vt:variant>
        <vt:i4>5</vt:i4>
      </vt:variant>
      <vt:variant>
        <vt:lpwstr/>
      </vt:variant>
      <vt:variant>
        <vt:lpwstr>_Toc224897467</vt:lpwstr>
      </vt:variant>
      <vt:variant>
        <vt:i4>1835067</vt:i4>
      </vt:variant>
      <vt:variant>
        <vt:i4>107</vt:i4>
      </vt:variant>
      <vt:variant>
        <vt:i4>0</vt:i4>
      </vt:variant>
      <vt:variant>
        <vt:i4>5</vt:i4>
      </vt:variant>
      <vt:variant>
        <vt:lpwstr/>
      </vt:variant>
      <vt:variant>
        <vt:lpwstr>_Toc224897466</vt:lpwstr>
      </vt:variant>
      <vt:variant>
        <vt:i4>1835067</vt:i4>
      </vt:variant>
      <vt:variant>
        <vt:i4>101</vt:i4>
      </vt:variant>
      <vt:variant>
        <vt:i4>0</vt:i4>
      </vt:variant>
      <vt:variant>
        <vt:i4>5</vt:i4>
      </vt:variant>
      <vt:variant>
        <vt:lpwstr/>
      </vt:variant>
      <vt:variant>
        <vt:lpwstr>_Toc224897465</vt:lpwstr>
      </vt:variant>
      <vt:variant>
        <vt:i4>1835067</vt:i4>
      </vt:variant>
      <vt:variant>
        <vt:i4>95</vt:i4>
      </vt:variant>
      <vt:variant>
        <vt:i4>0</vt:i4>
      </vt:variant>
      <vt:variant>
        <vt:i4>5</vt:i4>
      </vt:variant>
      <vt:variant>
        <vt:lpwstr/>
      </vt:variant>
      <vt:variant>
        <vt:lpwstr>_Toc224897464</vt:lpwstr>
      </vt:variant>
      <vt:variant>
        <vt:i4>1835067</vt:i4>
      </vt:variant>
      <vt:variant>
        <vt:i4>89</vt:i4>
      </vt:variant>
      <vt:variant>
        <vt:i4>0</vt:i4>
      </vt:variant>
      <vt:variant>
        <vt:i4>5</vt:i4>
      </vt:variant>
      <vt:variant>
        <vt:lpwstr/>
      </vt:variant>
      <vt:variant>
        <vt:lpwstr>_Toc224897463</vt:lpwstr>
      </vt:variant>
      <vt:variant>
        <vt:i4>1835067</vt:i4>
      </vt:variant>
      <vt:variant>
        <vt:i4>83</vt:i4>
      </vt:variant>
      <vt:variant>
        <vt:i4>0</vt:i4>
      </vt:variant>
      <vt:variant>
        <vt:i4>5</vt:i4>
      </vt:variant>
      <vt:variant>
        <vt:lpwstr/>
      </vt:variant>
      <vt:variant>
        <vt:lpwstr>_Toc224897462</vt:lpwstr>
      </vt:variant>
      <vt:variant>
        <vt:i4>1835067</vt:i4>
      </vt:variant>
      <vt:variant>
        <vt:i4>77</vt:i4>
      </vt:variant>
      <vt:variant>
        <vt:i4>0</vt:i4>
      </vt:variant>
      <vt:variant>
        <vt:i4>5</vt:i4>
      </vt:variant>
      <vt:variant>
        <vt:lpwstr/>
      </vt:variant>
      <vt:variant>
        <vt:lpwstr>_Toc224897461</vt:lpwstr>
      </vt:variant>
      <vt:variant>
        <vt:i4>1835067</vt:i4>
      </vt:variant>
      <vt:variant>
        <vt:i4>71</vt:i4>
      </vt:variant>
      <vt:variant>
        <vt:i4>0</vt:i4>
      </vt:variant>
      <vt:variant>
        <vt:i4>5</vt:i4>
      </vt:variant>
      <vt:variant>
        <vt:lpwstr/>
      </vt:variant>
      <vt:variant>
        <vt:lpwstr>_Toc224897460</vt:lpwstr>
      </vt:variant>
      <vt:variant>
        <vt:i4>2031675</vt:i4>
      </vt:variant>
      <vt:variant>
        <vt:i4>65</vt:i4>
      </vt:variant>
      <vt:variant>
        <vt:i4>0</vt:i4>
      </vt:variant>
      <vt:variant>
        <vt:i4>5</vt:i4>
      </vt:variant>
      <vt:variant>
        <vt:lpwstr/>
      </vt:variant>
      <vt:variant>
        <vt:lpwstr>_Toc224897459</vt:lpwstr>
      </vt:variant>
      <vt:variant>
        <vt:i4>2031675</vt:i4>
      </vt:variant>
      <vt:variant>
        <vt:i4>59</vt:i4>
      </vt:variant>
      <vt:variant>
        <vt:i4>0</vt:i4>
      </vt:variant>
      <vt:variant>
        <vt:i4>5</vt:i4>
      </vt:variant>
      <vt:variant>
        <vt:lpwstr/>
      </vt:variant>
      <vt:variant>
        <vt:lpwstr>_Toc224897458</vt:lpwstr>
      </vt:variant>
      <vt:variant>
        <vt:i4>2031675</vt:i4>
      </vt:variant>
      <vt:variant>
        <vt:i4>53</vt:i4>
      </vt:variant>
      <vt:variant>
        <vt:i4>0</vt:i4>
      </vt:variant>
      <vt:variant>
        <vt:i4>5</vt:i4>
      </vt:variant>
      <vt:variant>
        <vt:lpwstr/>
      </vt:variant>
      <vt:variant>
        <vt:lpwstr>_Toc224897457</vt:lpwstr>
      </vt:variant>
      <vt:variant>
        <vt:i4>2031675</vt:i4>
      </vt:variant>
      <vt:variant>
        <vt:i4>47</vt:i4>
      </vt:variant>
      <vt:variant>
        <vt:i4>0</vt:i4>
      </vt:variant>
      <vt:variant>
        <vt:i4>5</vt:i4>
      </vt:variant>
      <vt:variant>
        <vt:lpwstr/>
      </vt:variant>
      <vt:variant>
        <vt:lpwstr>_Toc224897456</vt:lpwstr>
      </vt:variant>
      <vt:variant>
        <vt:i4>2031675</vt:i4>
      </vt:variant>
      <vt:variant>
        <vt:i4>41</vt:i4>
      </vt:variant>
      <vt:variant>
        <vt:i4>0</vt:i4>
      </vt:variant>
      <vt:variant>
        <vt:i4>5</vt:i4>
      </vt:variant>
      <vt:variant>
        <vt:lpwstr/>
      </vt:variant>
      <vt:variant>
        <vt:lpwstr>_Toc224897455</vt:lpwstr>
      </vt:variant>
      <vt:variant>
        <vt:i4>2031675</vt:i4>
      </vt:variant>
      <vt:variant>
        <vt:i4>35</vt:i4>
      </vt:variant>
      <vt:variant>
        <vt:i4>0</vt:i4>
      </vt:variant>
      <vt:variant>
        <vt:i4>5</vt:i4>
      </vt:variant>
      <vt:variant>
        <vt:lpwstr/>
      </vt:variant>
      <vt:variant>
        <vt:lpwstr>_Toc224897454</vt:lpwstr>
      </vt:variant>
      <vt:variant>
        <vt:i4>2031675</vt:i4>
      </vt:variant>
      <vt:variant>
        <vt:i4>29</vt:i4>
      </vt:variant>
      <vt:variant>
        <vt:i4>0</vt:i4>
      </vt:variant>
      <vt:variant>
        <vt:i4>5</vt:i4>
      </vt:variant>
      <vt:variant>
        <vt:lpwstr/>
      </vt:variant>
      <vt:variant>
        <vt:lpwstr>_Toc224897453</vt:lpwstr>
      </vt:variant>
      <vt:variant>
        <vt:i4>2031675</vt:i4>
      </vt:variant>
      <vt:variant>
        <vt:i4>23</vt:i4>
      </vt:variant>
      <vt:variant>
        <vt:i4>0</vt:i4>
      </vt:variant>
      <vt:variant>
        <vt:i4>5</vt:i4>
      </vt:variant>
      <vt:variant>
        <vt:lpwstr/>
      </vt:variant>
      <vt:variant>
        <vt:lpwstr>_Toc224897452</vt:lpwstr>
      </vt:variant>
      <vt:variant>
        <vt:i4>2031675</vt:i4>
      </vt:variant>
      <vt:variant>
        <vt:i4>17</vt:i4>
      </vt:variant>
      <vt:variant>
        <vt:i4>0</vt:i4>
      </vt:variant>
      <vt:variant>
        <vt:i4>5</vt:i4>
      </vt:variant>
      <vt:variant>
        <vt:lpwstr/>
      </vt:variant>
      <vt:variant>
        <vt:lpwstr>_Toc224897451</vt:lpwstr>
      </vt:variant>
      <vt:variant>
        <vt:i4>2031675</vt:i4>
      </vt:variant>
      <vt:variant>
        <vt:i4>11</vt:i4>
      </vt:variant>
      <vt:variant>
        <vt:i4>0</vt:i4>
      </vt:variant>
      <vt:variant>
        <vt:i4>5</vt:i4>
      </vt:variant>
      <vt:variant>
        <vt:lpwstr/>
      </vt:variant>
      <vt:variant>
        <vt:lpwstr>_Toc224897450</vt:lpwstr>
      </vt:variant>
      <vt:variant>
        <vt:i4>6226030</vt:i4>
      </vt:variant>
      <vt:variant>
        <vt:i4>6</vt:i4>
      </vt:variant>
      <vt:variant>
        <vt:i4>0</vt:i4>
      </vt:variant>
      <vt:variant>
        <vt:i4>5</vt:i4>
      </vt:variant>
      <vt:variant>
        <vt:lpwstr>mailto:ODA-Transparency@beis.gov.uk</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ariant>
        <vt:i4>1376287</vt:i4>
      </vt:variant>
      <vt:variant>
        <vt:i4>27</vt:i4>
      </vt:variant>
      <vt:variant>
        <vt:i4>0</vt:i4>
      </vt:variant>
      <vt:variant>
        <vt:i4>5</vt:i4>
      </vt:variant>
      <vt:variant>
        <vt:lpwstr>https://www.climateinvestmentfunds.org/topics/just-transition</vt:lpwstr>
      </vt:variant>
      <vt:variant>
        <vt:lpwstr/>
      </vt:variant>
      <vt:variant>
        <vt:i4>917587</vt:i4>
      </vt:variant>
      <vt:variant>
        <vt:i4>24</vt:i4>
      </vt:variant>
      <vt:variant>
        <vt:i4>0</vt:i4>
      </vt:variant>
      <vt:variant>
        <vt:i4>5</vt:i4>
      </vt:variant>
      <vt:variant>
        <vt:lpwstr>https://www.greenclimate.fund/projects/dashboard</vt:lpwstr>
      </vt:variant>
      <vt:variant>
        <vt:lpwstr/>
      </vt:variant>
      <vt:variant>
        <vt:i4>6750320</vt:i4>
      </vt:variant>
      <vt:variant>
        <vt:i4>21</vt:i4>
      </vt:variant>
      <vt:variant>
        <vt:i4>0</vt:i4>
      </vt:variant>
      <vt:variant>
        <vt:i4>5</vt:i4>
      </vt:variant>
      <vt:variant>
        <vt:lpwstr>https://www.thegef.org/newsroom/publications/gef-8-date-highlights</vt:lpwstr>
      </vt:variant>
      <vt:variant>
        <vt:lpwstr/>
      </vt:variant>
      <vt:variant>
        <vt:i4>4915247</vt:i4>
      </vt:variant>
      <vt:variant>
        <vt:i4>18</vt:i4>
      </vt:variant>
      <vt:variant>
        <vt:i4>0</vt:i4>
      </vt:variant>
      <vt:variant>
        <vt:i4>5</vt:i4>
      </vt:variant>
      <vt:variant>
        <vt:lpwstr>https://www.cif.org/sites/cif_enc/files/knowledge-documents/cif-annual-report-2024.pdf</vt:lpwstr>
      </vt:variant>
      <vt:variant>
        <vt:lpwstr/>
      </vt:variant>
      <vt:variant>
        <vt:i4>5832779</vt:i4>
      </vt:variant>
      <vt:variant>
        <vt:i4>15</vt:i4>
      </vt:variant>
      <vt:variant>
        <vt:i4>0</vt:i4>
      </vt:variant>
      <vt:variant>
        <vt:i4>5</vt:i4>
      </vt:variant>
      <vt:variant>
        <vt:lpwstr>https://beisgov.sharepoint.com/sites/Fast-EXT-ALL/CIFs/Business Cases/NEW 2024 Business Case/GEF Administration Expenses - fees and project management costs</vt:lpwstr>
      </vt:variant>
      <vt:variant>
        <vt:lpwstr/>
      </vt:variant>
      <vt:variant>
        <vt:i4>6422564</vt:i4>
      </vt:variant>
      <vt:variant>
        <vt:i4>12</vt:i4>
      </vt:variant>
      <vt:variant>
        <vt:i4>0</vt:i4>
      </vt:variant>
      <vt:variant>
        <vt:i4>5</vt:i4>
      </vt:variant>
      <vt:variant>
        <vt:lpwstr>https://www.thegef.org/sites/default/files/documents/2025-06/GEF_FI_PL_03_Fee_Policy_GEF_Partner_Agencies.pdf</vt:lpwstr>
      </vt:variant>
      <vt:variant>
        <vt:lpwstr/>
      </vt:variant>
      <vt:variant>
        <vt:i4>1572952</vt:i4>
      </vt:variant>
      <vt:variant>
        <vt:i4>9</vt:i4>
      </vt:variant>
      <vt:variant>
        <vt:i4>0</vt:i4>
      </vt:variant>
      <vt:variant>
        <vt:i4>5</vt:i4>
      </vt:variant>
      <vt:variant>
        <vt:lpwstr>https://www.greenclimate.fund/sites/default/files/document/gcf-b19-29.pdf</vt:lpwstr>
      </vt:variant>
      <vt:variant>
        <vt:lpwstr/>
      </vt:variant>
      <vt:variant>
        <vt:i4>5374029</vt:i4>
      </vt:variant>
      <vt:variant>
        <vt:i4>6</vt:i4>
      </vt:variant>
      <vt:variant>
        <vt:i4>0</vt:i4>
      </vt:variant>
      <vt:variant>
        <vt:i4>5</vt:i4>
      </vt:variant>
      <vt:variant>
        <vt:lpwstr>https://www.cif.org/</vt:lpwstr>
      </vt:variant>
      <vt:variant>
        <vt:lpwstr/>
      </vt:variant>
      <vt:variant>
        <vt:i4>5374029</vt:i4>
      </vt:variant>
      <vt:variant>
        <vt:i4>3</vt:i4>
      </vt:variant>
      <vt:variant>
        <vt:i4>0</vt:i4>
      </vt:variant>
      <vt:variant>
        <vt:i4>5</vt:i4>
      </vt:variant>
      <vt:variant>
        <vt:lpwstr>https://www.cif.org/</vt:lpwstr>
      </vt:variant>
      <vt:variant>
        <vt:lpwstr/>
      </vt:variant>
      <vt:variant>
        <vt:i4>5374029</vt:i4>
      </vt:variant>
      <vt:variant>
        <vt:i4>0</vt:i4>
      </vt:variant>
      <vt:variant>
        <vt:i4>0</vt:i4>
      </vt:variant>
      <vt:variant>
        <vt:i4>5</vt:i4>
      </vt:variant>
      <vt:variant>
        <vt:lpwstr>https://www.cif.org/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Smithers, William (Intl Climate Finance: Portfolio)</dc:creator>
  <cp:keywords/>
  <dc:description/>
  <cp:lastModifiedBy>Majendie, Nick (Energy Security)</cp:lastModifiedBy>
  <cp:revision>183</cp:revision>
  <dcterms:created xsi:type="dcterms:W3CDTF">2026-03-20T16:05:00Z</dcterms:created>
  <dcterms:modified xsi:type="dcterms:W3CDTF">2026-04-21T15:14:00Z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2020-07-31T08:26:31Z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cddeefbe-1e4c-49e9-8a2d-000074bea76d</vt:lpwstr>
  </property>
  <property fmtid="{D5CDD505-2E9C-101B-9397-08002B2CF9AE}" pid="8" name="MSIP_Label_ba62f585-b40f-4ab9-bafe-39150f03d124_ContentBits">
    <vt:lpwstr>0</vt:lpwstr>
  </property>
  <property fmtid="{D5CDD505-2E9C-101B-9397-08002B2CF9AE}" pid="9" name="Business Document Type">
    <vt:lpwstr>Annual review</vt:lpwstr>
  </property>
  <property fmtid="{D5CDD505-2E9C-101B-9397-08002B2CF9AE}" pid="10" name="Business Unit">
    <vt:lpwstr>1;#International Climate Finance|25a07eec-082c-4868-be05-2bef48a6767e</vt:lpwstr>
  </property>
  <property fmtid="{D5CDD505-2E9C-101B-9397-08002B2CF9AE}" pid="11" name="MSIP_Label_e4c996da-17fa-4fc5-8989-2758fb4cf86b_ActionId">
    <vt:lpwstr>919708a4-416e-499e-8edc-0000a189eb48</vt:lpwstr>
  </property>
  <property fmtid="{D5CDD505-2E9C-101B-9397-08002B2CF9AE}" pid="12" name="MSIP_Label_e4c996da-17fa-4fc5-8989-2758fb4cf86b_SiteId">
    <vt:lpwstr>cdf709af-1a18-4c74-bd93-6d14a64d73b3</vt:lpwstr>
  </property>
  <property fmtid="{D5CDD505-2E9C-101B-9397-08002B2CF9AE}" pid="13" name="MSIP_Label_e4c996da-17fa-4fc5-8989-2758fb4cf86b_ContentBits">
    <vt:lpwstr>1</vt:lpwstr>
  </property>
  <property fmtid="{D5CDD505-2E9C-101B-9397-08002B2CF9AE}" pid="14" name="ContentTypeId">
    <vt:lpwstr>0x010100D962E20F15F05A40B0387E2BABC7C747</vt:lpwstr>
  </property>
  <property fmtid="{D5CDD505-2E9C-101B-9397-08002B2CF9AE}" pid="15" name="MSIP_Label_e4c996da-17fa-4fc5-8989-2758fb4cf86b_Enabled">
    <vt:lpwstr>true</vt:lpwstr>
  </property>
  <property fmtid="{D5CDD505-2E9C-101B-9397-08002B2CF9AE}" pid="16" name="MSIP_Label_e4c996da-17fa-4fc5-8989-2758fb4cf86b_Name">
    <vt:lpwstr>OFFICIAL</vt:lpwstr>
  </property>
  <property fmtid="{D5CDD505-2E9C-101B-9397-08002B2CF9AE}" pid="17" name="MSIP_Label_e4c996da-17fa-4fc5-8989-2758fb4cf86b_SetDate">
    <vt:lpwstr>2020-03-30T16:49:07Z</vt:lpwstr>
  </property>
  <property fmtid="{D5CDD505-2E9C-101B-9397-08002B2CF9AE}" pid="18" name="MSIP_Label_e4c996da-17fa-4fc5-8989-2758fb4cf86b_Method">
    <vt:lpwstr>Standard</vt:lpwstr>
  </property>
  <property fmtid="{D5CDD505-2E9C-101B-9397-08002B2CF9AE}" pid="19" name="MediaServiceImageTags">
    <vt:lpwstr/>
  </property>
  <property fmtid="{D5CDD505-2E9C-101B-9397-08002B2CF9AE}" pid="20" name="KIM_Activity">
    <vt:lpwstr>2;#International climate|5a595758-250c-1237-4802-ae3329732708</vt:lpwstr>
  </property>
  <property fmtid="{D5CDD505-2E9C-101B-9397-08002B2CF9AE}" pid="21" name="KIM_GovernmentBody">
    <vt:lpwstr>3;#BEIS|b386cac2-c28c-4db4-8fca-43733d0e74ef</vt:lpwstr>
  </property>
  <property fmtid="{D5CDD505-2E9C-101B-9397-08002B2CF9AE}" pid="22" name="KIM_Function">
    <vt:lpwstr>1;#Climate and energy|98b2efea-a649-07e6-a104-07f256801c42</vt:lpwstr>
  </property>
  <property fmtid="{D5CDD505-2E9C-101B-9397-08002B2CF9AE}" pid="23" name="Business_x0020_Unit">
    <vt:lpwstr>1;#International Climate Finance|25a07eec-082c-4868-be05-2bef48a6767e</vt:lpwstr>
  </property>
  <property fmtid="{D5CDD505-2E9C-101B-9397-08002B2CF9AE}" pid="24" name="docLang">
    <vt:lpwstr>en</vt:lpwstr>
  </property>
  <property fmtid="{D5CDD505-2E9C-101B-9397-08002B2CF9AE}" pid="25" name="_dlc_DocIdItemGuid">
    <vt:lpwstr>7a278e6c-ad6e-4a3a-baa9-f41233fcd2b9</vt:lpwstr>
  </property>
</Properties>
</file>