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25433" w14:textId="77777777" w:rsidR="0065306A" w:rsidRPr="00025194" w:rsidRDefault="004B669F">
      <w:pPr>
        <w:pStyle w:val="Heading2"/>
        <w:rPr>
          <w:i w:val="0"/>
          <w:iCs w:val="0"/>
          <w:color w:val="000000" w:themeColor="text1"/>
          <w:sz w:val="22"/>
          <w:szCs w:val="22"/>
        </w:rPr>
      </w:pPr>
      <w:r w:rsidRPr="00C81857">
        <w:rPr>
          <w:i w:val="0"/>
          <w:iCs w:val="0"/>
          <w:color w:val="000000" w:themeColor="text1"/>
          <w:sz w:val="22"/>
          <w:szCs w:val="22"/>
        </w:rPr>
        <w:t>Annual Review</w:t>
      </w:r>
      <w:r w:rsidR="0065306A" w:rsidRPr="00C81857">
        <w:rPr>
          <w:i w:val="0"/>
          <w:iCs w:val="0"/>
          <w:color w:val="000000" w:themeColor="text1"/>
          <w:sz w:val="22"/>
          <w:szCs w:val="22"/>
        </w:rPr>
        <w:t xml:space="preserve"> </w:t>
      </w:r>
      <w:r w:rsidR="00067681" w:rsidRPr="00C81857">
        <w:rPr>
          <w:i w:val="0"/>
          <w:iCs w:val="0"/>
          <w:color w:val="000000" w:themeColor="text1"/>
          <w:sz w:val="22"/>
          <w:szCs w:val="22"/>
        </w:rPr>
        <w:t xml:space="preserve">- </w:t>
      </w:r>
      <w:r w:rsidR="0065306A" w:rsidRPr="00C81857">
        <w:rPr>
          <w:i w:val="0"/>
          <w:iCs w:val="0"/>
          <w:color w:val="000000" w:themeColor="text1"/>
          <w:sz w:val="22"/>
          <w:szCs w:val="22"/>
        </w:rPr>
        <w:t>Summary Sheet</w:t>
      </w:r>
      <w:r w:rsidR="00A542AC" w:rsidRPr="00C81857">
        <w:rPr>
          <w:i w:val="0"/>
          <w:iCs w:val="0"/>
          <w:color w:val="000000" w:themeColor="text1"/>
          <w:sz w:val="22"/>
          <w:szCs w:val="22"/>
        </w:rPr>
        <w:t xml:space="preserve"> </w:t>
      </w:r>
    </w:p>
    <w:p w14:paraId="06051135" w14:textId="77777777" w:rsidR="0065306A" w:rsidRPr="00E40148" w:rsidRDefault="0065306A" w:rsidP="00E81F52">
      <w:pPr>
        <w:contextualSpacing/>
        <w:rPr>
          <w:rFonts w:cs="Arial"/>
          <w:i/>
          <w:color w:val="000000" w:themeColor="text1"/>
          <w:sz w:val="22"/>
          <w:szCs w:val="22"/>
        </w:rPr>
      </w:pPr>
    </w:p>
    <w:tbl>
      <w:tblPr>
        <w:tblStyle w:val="TableGrid"/>
        <w:tblW w:w="0" w:type="auto"/>
        <w:tblLook w:val="04A0" w:firstRow="1" w:lastRow="0" w:firstColumn="1" w:lastColumn="0" w:noHBand="0" w:noVBand="1"/>
      </w:tblPr>
      <w:tblGrid>
        <w:gridCol w:w="3501"/>
        <w:gridCol w:w="2437"/>
        <w:gridCol w:w="4256"/>
      </w:tblGrid>
      <w:tr w:rsidR="00DB7454" w:rsidRPr="00B77D90" w14:paraId="271D94E7" w14:textId="77777777" w:rsidTr="001E30A4">
        <w:trPr>
          <w:trHeight w:val="690"/>
        </w:trPr>
        <w:tc>
          <w:tcPr>
            <w:tcW w:w="10420" w:type="dxa"/>
            <w:gridSpan w:val="3"/>
            <w:tcBorders>
              <w:bottom w:val="dotted" w:sz="2" w:space="0" w:color="000000" w:themeColor="text1"/>
            </w:tcBorders>
          </w:tcPr>
          <w:p w14:paraId="0B71C84B" w14:textId="28AC1026" w:rsidR="00745E9A" w:rsidRPr="004E5A33" w:rsidRDefault="00880A26" w:rsidP="004E5A33">
            <w:pPr>
              <w:contextualSpacing/>
              <w:rPr>
                <w:rFonts w:cs="Arial"/>
                <w:b/>
                <w:color w:val="000000" w:themeColor="text1"/>
                <w:sz w:val="22"/>
                <w:szCs w:val="22"/>
              </w:rPr>
            </w:pPr>
            <w:r w:rsidRPr="00E40148">
              <w:rPr>
                <w:rFonts w:cs="Arial"/>
                <w:b/>
                <w:color w:val="000000" w:themeColor="text1"/>
                <w:sz w:val="22"/>
                <w:szCs w:val="22"/>
              </w:rPr>
              <w:t>T</w:t>
            </w:r>
            <w:r w:rsidR="00745E9A" w:rsidRPr="00E40148">
              <w:rPr>
                <w:rFonts w:cs="Arial"/>
                <w:b/>
                <w:color w:val="000000" w:themeColor="text1"/>
                <w:sz w:val="22"/>
                <w:szCs w:val="22"/>
              </w:rPr>
              <w:t>itle:</w:t>
            </w:r>
            <w:r w:rsidR="004842BD" w:rsidRPr="00E40148">
              <w:rPr>
                <w:rFonts w:cs="Arial"/>
                <w:b/>
                <w:color w:val="000000" w:themeColor="text1"/>
                <w:sz w:val="22"/>
                <w:szCs w:val="22"/>
              </w:rPr>
              <w:t xml:space="preserve"> </w:t>
            </w:r>
            <w:r w:rsidR="002430C5" w:rsidRPr="00246198">
              <w:rPr>
                <w:rFonts w:cs="Arial"/>
                <w:color w:val="000000" w:themeColor="text1"/>
                <w:sz w:val="22"/>
                <w:szCs w:val="22"/>
              </w:rPr>
              <w:t>Carbon Market Finance (</w:t>
            </w:r>
            <w:r w:rsidR="00512DCC">
              <w:rPr>
                <w:rFonts w:cs="Arial"/>
                <w:color w:val="000000" w:themeColor="text1"/>
                <w:sz w:val="22"/>
                <w:szCs w:val="22"/>
              </w:rPr>
              <w:t>Ci-Dev</w:t>
            </w:r>
            <w:r w:rsidR="002430C5" w:rsidRPr="00246198">
              <w:rPr>
                <w:rFonts w:cs="Arial"/>
                <w:color w:val="000000" w:themeColor="text1"/>
                <w:sz w:val="22"/>
                <w:szCs w:val="22"/>
              </w:rPr>
              <w:t>)</w:t>
            </w:r>
            <w:r w:rsidR="0084518B">
              <w:rPr>
                <w:rStyle w:val="FootnoteReference"/>
                <w:rFonts w:cs="Arial"/>
                <w:color w:val="000000" w:themeColor="text1"/>
                <w:sz w:val="22"/>
                <w:szCs w:val="22"/>
              </w:rPr>
              <w:footnoteReference w:id="2"/>
            </w:r>
            <w:r w:rsidR="002430C5" w:rsidRPr="00E40148">
              <w:rPr>
                <w:rFonts w:cs="Arial"/>
                <w:b/>
                <w:color w:val="000000" w:themeColor="text1"/>
                <w:sz w:val="22"/>
                <w:szCs w:val="22"/>
              </w:rPr>
              <w:t xml:space="preserve"> </w:t>
            </w:r>
            <w:r w:rsidR="002430C5" w:rsidRPr="004E5A33">
              <w:rPr>
                <w:rFonts w:cs="Arial"/>
                <w:color w:val="000000" w:themeColor="text1"/>
                <w:sz w:val="22"/>
                <w:szCs w:val="22"/>
              </w:rPr>
              <w:t>delivered via the World Bank’s Carbon Initiative for Development (Ci-Dev)</w:t>
            </w:r>
          </w:p>
        </w:tc>
      </w:tr>
      <w:tr w:rsidR="00DB7454" w:rsidRPr="00B77D90" w14:paraId="2A4BBFEB" w14:textId="77777777" w:rsidTr="001E30A4">
        <w:trPr>
          <w:trHeight w:val="413"/>
        </w:trPr>
        <w:tc>
          <w:tcPr>
            <w:tcW w:w="6062" w:type="dxa"/>
            <w:gridSpan w:val="2"/>
            <w:tcBorders>
              <w:top w:val="dotted" w:sz="2" w:space="0" w:color="000000" w:themeColor="text1"/>
              <w:bottom w:val="dotted" w:sz="2" w:space="0" w:color="000000" w:themeColor="text1"/>
              <w:right w:val="dotted" w:sz="2" w:space="0" w:color="000000" w:themeColor="text1"/>
            </w:tcBorders>
          </w:tcPr>
          <w:p w14:paraId="34E6297A" w14:textId="58367B9E" w:rsidR="0065306A" w:rsidRPr="00E40148" w:rsidRDefault="0065306A" w:rsidP="00E81F52">
            <w:pPr>
              <w:contextualSpacing/>
              <w:rPr>
                <w:rFonts w:cs="Arial"/>
                <w:color w:val="000000" w:themeColor="text1"/>
                <w:sz w:val="22"/>
                <w:szCs w:val="22"/>
              </w:rPr>
            </w:pPr>
            <w:r w:rsidRPr="00E40148">
              <w:rPr>
                <w:rFonts w:cs="Arial"/>
                <w:b/>
                <w:color w:val="000000" w:themeColor="text1"/>
                <w:sz w:val="22"/>
                <w:szCs w:val="22"/>
              </w:rPr>
              <w:t xml:space="preserve">Programme Value: </w:t>
            </w:r>
            <w:r w:rsidR="002430C5" w:rsidRPr="00E40148">
              <w:rPr>
                <w:rFonts w:cs="Arial"/>
                <w:color w:val="000000" w:themeColor="text1"/>
                <w:sz w:val="22"/>
                <w:szCs w:val="22"/>
              </w:rPr>
              <w:t>£50</w:t>
            </w:r>
            <w:r w:rsidR="00D57C68" w:rsidRPr="00E40148">
              <w:rPr>
                <w:rFonts w:cs="Arial"/>
                <w:color w:val="000000" w:themeColor="text1"/>
                <w:sz w:val="22"/>
                <w:szCs w:val="22"/>
              </w:rPr>
              <w:t xml:space="preserve"> million</w:t>
            </w:r>
            <w:r w:rsidR="00656629">
              <w:rPr>
                <w:rFonts w:cs="Arial"/>
                <w:color w:val="000000" w:themeColor="text1"/>
                <w:sz w:val="22"/>
                <w:szCs w:val="22"/>
              </w:rPr>
              <w:t xml:space="preserve"> (BEIS)</w:t>
            </w:r>
          </w:p>
          <w:p w14:paraId="1D58C4E0" w14:textId="611F9CBE" w:rsidR="00D25C7F" w:rsidRPr="00E40148" w:rsidRDefault="00D25C7F" w:rsidP="00656629">
            <w:pPr>
              <w:contextualSpacing/>
              <w:rPr>
                <w:rFonts w:cs="Arial"/>
                <w:b/>
                <w:color w:val="000000" w:themeColor="text1"/>
                <w:sz w:val="22"/>
                <w:szCs w:val="22"/>
              </w:rPr>
            </w:pPr>
          </w:p>
        </w:tc>
        <w:tc>
          <w:tcPr>
            <w:tcW w:w="4358" w:type="dxa"/>
            <w:tcBorders>
              <w:top w:val="dotted" w:sz="2" w:space="0" w:color="000000" w:themeColor="text1"/>
              <w:left w:val="dotted" w:sz="2" w:space="0" w:color="000000" w:themeColor="text1"/>
              <w:bottom w:val="dotted" w:sz="2" w:space="0" w:color="000000" w:themeColor="text1"/>
            </w:tcBorders>
          </w:tcPr>
          <w:p w14:paraId="718584FD" w14:textId="4E95D2F6" w:rsidR="0065306A" w:rsidRPr="00E40148" w:rsidRDefault="0065306A" w:rsidP="00A23775">
            <w:pPr>
              <w:contextualSpacing/>
              <w:rPr>
                <w:rFonts w:cs="Arial"/>
                <w:b/>
                <w:color w:val="000000" w:themeColor="text1"/>
                <w:sz w:val="22"/>
                <w:szCs w:val="22"/>
              </w:rPr>
            </w:pPr>
            <w:r w:rsidRPr="00E40148">
              <w:rPr>
                <w:rFonts w:cs="Arial"/>
                <w:b/>
                <w:color w:val="000000" w:themeColor="text1"/>
                <w:sz w:val="22"/>
                <w:szCs w:val="22"/>
              </w:rPr>
              <w:t>Review Date:</w:t>
            </w:r>
            <w:r w:rsidR="00D57C68" w:rsidRPr="00E40148">
              <w:rPr>
                <w:rFonts w:cs="Arial"/>
                <w:b/>
                <w:color w:val="000000" w:themeColor="text1"/>
                <w:sz w:val="22"/>
                <w:szCs w:val="22"/>
              </w:rPr>
              <w:t xml:space="preserve"> </w:t>
            </w:r>
            <w:r w:rsidR="00E05AC3" w:rsidRPr="00E40148">
              <w:rPr>
                <w:rFonts w:cs="Arial"/>
                <w:color w:val="000000" w:themeColor="text1"/>
                <w:sz w:val="22"/>
                <w:szCs w:val="22"/>
              </w:rPr>
              <w:t>1</w:t>
            </w:r>
            <w:r w:rsidR="00E05AC3" w:rsidRPr="00E40148">
              <w:rPr>
                <w:rFonts w:cs="Arial"/>
                <w:color w:val="000000" w:themeColor="text1"/>
                <w:sz w:val="22"/>
                <w:szCs w:val="22"/>
                <w:vertAlign w:val="superscript"/>
              </w:rPr>
              <w:t>st</w:t>
            </w:r>
            <w:r w:rsidR="00E05AC3" w:rsidRPr="00E40148">
              <w:rPr>
                <w:rFonts w:cs="Arial"/>
                <w:color w:val="000000" w:themeColor="text1"/>
                <w:sz w:val="22"/>
                <w:szCs w:val="22"/>
              </w:rPr>
              <w:t xml:space="preserve"> January-</w:t>
            </w:r>
            <w:r w:rsidR="00FA75CD" w:rsidRPr="00E40148">
              <w:rPr>
                <w:rFonts w:cs="Arial"/>
                <w:color w:val="000000" w:themeColor="text1"/>
                <w:sz w:val="22"/>
                <w:szCs w:val="22"/>
              </w:rPr>
              <w:t xml:space="preserve"> 31</w:t>
            </w:r>
            <w:r w:rsidR="00E05AC3" w:rsidRPr="00E40148">
              <w:rPr>
                <w:rFonts w:cs="Arial"/>
                <w:color w:val="000000" w:themeColor="text1"/>
                <w:sz w:val="22"/>
                <w:szCs w:val="22"/>
                <w:vertAlign w:val="superscript"/>
              </w:rPr>
              <w:t>st</w:t>
            </w:r>
            <w:r w:rsidR="00FA75CD" w:rsidRPr="00E40148">
              <w:rPr>
                <w:rFonts w:cs="Arial"/>
                <w:color w:val="000000" w:themeColor="text1"/>
                <w:sz w:val="22"/>
                <w:szCs w:val="22"/>
              </w:rPr>
              <w:t xml:space="preserve"> Dec 201</w:t>
            </w:r>
            <w:r w:rsidR="007D2FE5">
              <w:rPr>
                <w:rFonts w:cs="Arial"/>
                <w:color w:val="000000" w:themeColor="text1"/>
                <w:sz w:val="22"/>
                <w:szCs w:val="22"/>
              </w:rPr>
              <w:t>9</w:t>
            </w:r>
            <w:r w:rsidR="00FA75CD" w:rsidRPr="00E40148">
              <w:rPr>
                <w:rFonts w:cs="Arial"/>
                <w:color w:val="000000" w:themeColor="text1"/>
                <w:sz w:val="22"/>
                <w:szCs w:val="22"/>
              </w:rPr>
              <w:t xml:space="preserve">, published </w:t>
            </w:r>
            <w:r w:rsidR="004F0182">
              <w:rPr>
                <w:rFonts w:cs="Arial"/>
                <w:color w:val="000000" w:themeColor="text1"/>
                <w:sz w:val="22"/>
                <w:szCs w:val="22"/>
              </w:rPr>
              <w:t>August</w:t>
            </w:r>
            <w:r w:rsidR="00077F54">
              <w:rPr>
                <w:rFonts w:cs="Arial"/>
                <w:color w:val="000000" w:themeColor="text1"/>
                <w:sz w:val="22"/>
                <w:szCs w:val="22"/>
              </w:rPr>
              <w:t xml:space="preserve"> </w:t>
            </w:r>
            <w:r w:rsidR="00656629">
              <w:rPr>
                <w:rFonts w:cs="Arial"/>
                <w:color w:val="000000" w:themeColor="text1"/>
                <w:sz w:val="22"/>
                <w:szCs w:val="22"/>
              </w:rPr>
              <w:t>20</w:t>
            </w:r>
            <w:r w:rsidR="007D2FE5">
              <w:rPr>
                <w:rFonts w:cs="Arial"/>
                <w:color w:val="000000" w:themeColor="text1"/>
                <w:sz w:val="22"/>
                <w:szCs w:val="22"/>
              </w:rPr>
              <w:t>20</w:t>
            </w:r>
            <w:r w:rsidR="004234F7" w:rsidRPr="00E40148">
              <w:rPr>
                <w:rFonts w:cs="Arial"/>
                <w:color w:val="000000" w:themeColor="text1"/>
                <w:sz w:val="22"/>
                <w:szCs w:val="22"/>
              </w:rPr>
              <w:t>.</w:t>
            </w:r>
          </w:p>
        </w:tc>
      </w:tr>
      <w:tr w:rsidR="00DB7454" w:rsidRPr="00B77D90" w14:paraId="18708E8F" w14:textId="77777777" w:rsidTr="00A02C85">
        <w:trPr>
          <w:trHeight w:val="300"/>
        </w:trPr>
        <w:tc>
          <w:tcPr>
            <w:tcW w:w="3570" w:type="dxa"/>
            <w:tcBorders>
              <w:top w:val="dotted" w:sz="2" w:space="0" w:color="000000" w:themeColor="text1"/>
              <w:right w:val="dotted" w:sz="2" w:space="0" w:color="000000" w:themeColor="text1"/>
            </w:tcBorders>
          </w:tcPr>
          <w:p w14:paraId="370E6454" w14:textId="77777777" w:rsidR="00A02C85" w:rsidRPr="00E40148" w:rsidRDefault="001D1C44" w:rsidP="00E81F52">
            <w:pPr>
              <w:contextualSpacing/>
              <w:rPr>
                <w:rFonts w:cs="Arial"/>
                <w:color w:val="000000" w:themeColor="text1"/>
                <w:sz w:val="22"/>
                <w:szCs w:val="22"/>
              </w:rPr>
            </w:pPr>
            <w:r w:rsidRPr="00E40148">
              <w:rPr>
                <w:rFonts w:cs="Arial"/>
                <w:b/>
                <w:color w:val="000000" w:themeColor="text1"/>
                <w:sz w:val="22"/>
                <w:szCs w:val="22"/>
              </w:rPr>
              <w:t>Programme</w:t>
            </w:r>
            <w:r w:rsidR="00A02C85" w:rsidRPr="00E40148">
              <w:rPr>
                <w:rFonts w:cs="Arial"/>
                <w:b/>
                <w:color w:val="000000" w:themeColor="text1"/>
                <w:sz w:val="22"/>
                <w:szCs w:val="22"/>
              </w:rPr>
              <w:t xml:space="preserve"> Code: </w:t>
            </w:r>
            <w:r w:rsidR="00687970" w:rsidRPr="00E40148">
              <w:rPr>
                <w:rFonts w:cs="Arial"/>
                <w:color w:val="000000" w:themeColor="text1"/>
                <w:sz w:val="22"/>
                <w:szCs w:val="22"/>
              </w:rPr>
              <w:t>203152</w:t>
            </w:r>
          </w:p>
          <w:p w14:paraId="3E2BA8B5" w14:textId="77777777" w:rsidR="00A02C85" w:rsidRPr="00E40148" w:rsidRDefault="00A02C85" w:rsidP="00E81F52">
            <w:pPr>
              <w:contextualSpacing/>
              <w:rPr>
                <w:rFonts w:cs="Arial"/>
                <w:b/>
                <w:color w:val="000000" w:themeColor="text1"/>
                <w:sz w:val="22"/>
                <w:szCs w:val="22"/>
              </w:rPr>
            </w:pPr>
          </w:p>
        </w:tc>
        <w:tc>
          <w:tcPr>
            <w:tcW w:w="2492" w:type="dxa"/>
            <w:tcBorders>
              <w:top w:val="dotted" w:sz="2" w:space="0" w:color="000000" w:themeColor="text1"/>
              <w:left w:val="dotted" w:sz="2" w:space="0" w:color="000000" w:themeColor="text1"/>
              <w:right w:val="dotted" w:sz="2" w:space="0" w:color="000000" w:themeColor="text1"/>
            </w:tcBorders>
          </w:tcPr>
          <w:p w14:paraId="2BF3F874" w14:textId="77777777" w:rsidR="00A02C85" w:rsidRPr="00E40148" w:rsidRDefault="00A02C85" w:rsidP="00E81F52">
            <w:pPr>
              <w:contextualSpacing/>
              <w:rPr>
                <w:rFonts w:cs="Arial"/>
                <w:b/>
                <w:color w:val="000000" w:themeColor="text1"/>
                <w:sz w:val="22"/>
                <w:szCs w:val="22"/>
              </w:rPr>
            </w:pPr>
            <w:r w:rsidRPr="00E40148">
              <w:rPr>
                <w:rFonts w:cs="Arial"/>
                <w:b/>
                <w:color w:val="000000" w:themeColor="text1"/>
                <w:sz w:val="22"/>
                <w:szCs w:val="22"/>
              </w:rPr>
              <w:t>Start Date:</w:t>
            </w:r>
            <w:r w:rsidR="00D57C68" w:rsidRPr="00E40148">
              <w:rPr>
                <w:rFonts w:cs="Arial"/>
                <w:b/>
                <w:color w:val="000000" w:themeColor="text1"/>
                <w:sz w:val="22"/>
                <w:szCs w:val="22"/>
              </w:rPr>
              <w:t xml:space="preserve"> </w:t>
            </w:r>
            <w:r w:rsidR="00961BDE" w:rsidRPr="00E40148">
              <w:rPr>
                <w:rFonts w:cs="Arial"/>
                <w:color w:val="000000" w:themeColor="text1"/>
                <w:sz w:val="22"/>
                <w:szCs w:val="22"/>
              </w:rPr>
              <w:t>2013</w:t>
            </w:r>
          </w:p>
        </w:tc>
        <w:tc>
          <w:tcPr>
            <w:tcW w:w="4358" w:type="dxa"/>
            <w:tcBorders>
              <w:top w:val="dotted" w:sz="2" w:space="0" w:color="000000" w:themeColor="text1"/>
              <w:left w:val="dotted" w:sz="2" w:space="0" w:color="000000" w:themeColor="text1"/>
            </w:tcBorders>
          </w:tcPr>
          <w:p w14:paraId="498F45AB" w14:textId="77777777" w:rsidR="00A02C85" w:rsidRPr="00E40148" w:rsidRDefault="00A02C85" w:rsidP="007218A4">
            <w:pPr>
              <w:contextualSpacing/>
              <w:rPr>
                <w:rFonts w:cs="Arial"/>
                <w:b/>
                <w:color w:val="000000" w:themeColor="text1"/>
                <w:sz w:val="22"/>
                <w:szCs w:val="22"/>
              </w:rPr>
            </w:pPr>
            <w:r w:rsidRPr="00E40148">
              <w:rPr>
                <w:rFonts w:cs="Arial"/>
                <w:b/>
                <w:color w:val="000000" w:themeColor="text1"/>
                <w:sz w:val="22"/>
                <w:szCs w:val="22"/>
              </w:rPr>
              <w:t>End Date:</w:t>
            </w:r>
            <w:r w:rsidR="0034786D" w:rsidRPr="00E40148">
              <w:rPr>
                <w:rFonts w:cs="Arial"/>
                <w:b/>
                <w:color w:val="000000" w:themeColor="text1"/>
                <w:sz w:val="22"/>
                <w:szCs w:val="22"/>
              </w:rPr>
              <w:t xml:space="preserve"> </w:t>
            </w:r>
            <w:r w:rsidR="0034786D" w:rsidRPr="00E40148">
              <w:rPr>
                <w:rFonts w:cs="Arial"/>
                <w:color w:val="000000" w:themeColor="text1"/>
                <w:sz w:val="22"/>
                <w:szCs w:val="22"/>
              </w:rPr>
              <w:t>202</w:t>
            </w:r>
            <w:r w:rsidR="007218A4" w:rsidRPr="00E40148">
              <w:rPr>
                <w:rFonts w:cs="Arial"/>
                <w:color w:val="000000" w:themeColor="text1"/>
                <w:sz w:val="22"/>
                <w:szCs w:val="22"/>
              </w:rPr>
              <w:t>5</w:t>
            </w:r>
          </w:p>
        </w:tc>
      </w:tr>
    </w:tbl>
    <w:p w14:paraId="3119CAD5" w14:textId="77777777" w:rsidR="004E5A33" w:rsidRPr="004E5A33" w:rsidRDefault="00144C58" w:rsidP="004E5A33">
      <w:pPr>
        <w:pStyle w:val="Heading3"/>
        <w:rPr>
          <w:rFonts w:ascii="Arial" w:hAnsi="Arial" w:cs="Arial"/>
          <w:color w:val="000000" w:themeColor="text1"/>
          <w:sz w:val="22"/>
          <w:szCs w:val="22"/>
        </w:rPr>
      </w:pPr>
      <w:r w:rsidRPr="00D84C9F">
        <w:rPr>
          <w:rFonts w:ascii="Arial" w:hAnsi="Arial" w:cs="Arial"/>
          <w:color w:val="000000" w:themeColor="text1"/>
          <w:sz w:val="22"/>
          <w:szCs w:val="22"/>
        </w:rPr>
        <w:t xml:space="preserve">Summary of Programme Performance </w:t>
      </w:r>
    </w:p>
    <w:tbl>
      <w:tblPr>
        <w:tblStyle w:val="TableGrid"/>
        <w:tblW w:w="0" w:type="auto"/>
        <w:tblLook w:val="04A0" w:firstRow="1" w:lastRow="0" w:firstColumn="1" w:lastColumn="0" w:noHBand="0" w:noVBand="1"/>
      </w:tblPr>
      <w:tblGrid>
        <w:gridCol w:w="2112"/>
        <w:gridCol w:w="999"/>
        <w:gridCol w:w="1081"/>
        <w:gridCol w:w="1217"/>
        <w:gridCol w:w="1146"/>
        <w:gridCol w:w="1146"/>
        <w:gridCol w:w="1146"/>
        <w:gridCol w:w="1336"/>
      </w:tblGrid>
      <w:tr w:rsidR="00B34703" w:rsidRPr="00B77D90" w14:paraId="610EAA28" w14:textId="77777777" w:rsidTr="00B34703">
        <w:tc>
          <w:tcPr>
            <w:tcW w:w="2112" w:type="dxa"/>
            <w:tcBorders>
              <w:top w:val="single" w:sz="12" w:space="0" w:color="auto"/>
              <w:left w:val="single" w:sz="12" w:space="0" w:color="auto"/>
              <w:right w:val="single" w:sz="18" w:space="0" w:color="auto"/>
            </w:tcBorders>
          </w:tcPr>
          <w:p w14:paraId="458720C6" w14:textId="75365C2B" w:rsidR="00B34703" w:rsidRPr="00E40148" w:rsidRDefault="00B34703" w:rsidP="00B34703">
            <w:pPr>
              <w:contextualSpacing/>
              <w:rPr>
                <w:rFonts w:cs="Arial"/>
                <w:color w:val="000000" w:themeColor="text1"/>
                <w:sz w:val="22"/>
                <w:szCs w:val="22"/>
              </w:rPr>
            </w:pPr>
            <w:r>
              <w:rPr>
                <w:rFonts w:cs="Arial"/>
                <w:color w:val="000000" w:themeColor="text1"/>
                <w:sz w:val="22"/>
                <w:szCs w:val="22"/>
              </w:rPr>
              <w:t xml:space="preserve">Calendar </w:t>
            </w:r>
            <w:r w:rsidRPr="00E40148">
              <w:rPr>
                <w:rFonts w:cs="Arial"/>
                <w:color w:val="000000" w:themeColor="text1"/>
                <w:sz w:val="22"/>
                <w:szCs w:val="22"/>
              </w:rPr>
              <w:t>Year</w:t>
            </w:r>
          </w:p>
        </w:tc>
        <w:tc>
          <w:tcPr>
            <w:tcW w:w="866" w:type="dxa"/>
            <w:tcBorders>
              <w:top w:val="single" w:sz="12" w:space="0" w:color="auto"/>
              <w:left w:val="single" w:sz="18" w:space="0" w:color="auto"/>
            </w:tcBorders>
          </w:tcPr>
          <w:p w14:paraId="6C012C23" w14:textId="0CA793F2" w:rsidR="00B34703" w:rsidRPr="00E40148" w:rsidRDefault="00B34703" w:rsidP="007D2FE5">
            <w:pPr>
              <w:contextualSpacing/>
              <w:jc w:val="center"/>
              <w:rPr>
                <w:rFonts w:cs="Arial"/>
                <w:color w:val="000000" w:themeColor="text1"/>
                <w:sz w:val="22"/>
                <w:szCs w:val="22"/>
              </w:rPr>
            </w:pPr>
            <w:r w:rsidRPr="00E40148">
              <w:rPr>
                <w:rFonts w:cs="Arial"/>
                <w:color w:val="000000" w:themeColor="text1"/>
                <w:sz w:val="22"/>
                <w:szCs w:val="22"/>
              </w:rPr>
              <w:t>2013</w:t>
            </w:r>
          </w:p>
        </w:tc>
        <w:tc>
          <w:tcPr>
            <w:tcW w:w="1081" w:type="dxa"/>
            <w:tcBorders>
              <w:top w:val="single" w:sz="12" w:space="0" w:color="auto"/>
            </w:tcBorders>
          </w:tcPr>
          <w:p w14:paraId="04071D40" w14:textId="20757407" w:rsidR="00B34703" w:rsidRPr="00E40148" w:rsidRDefault="00B34703" w:rsidP="007D2FE5">
            <w:pPr>
              <w:contextualSpacing/>
              <w:jc w:val="center"/>
              <w:rPr>
                <w:rFonts w:cs="Arial"/>
                <w:color w:val="000000" w:themeColor="text1"/>
                <w:sz w:val="22"/>
                <w:szCs w:val="22"/>
              </w:rPr>
            </w:pPr>
            <w:r w:rsidRPr="00E40148">
              <w:rPr>
                <w:rFonts w:cs="Arial"/>
                <w:color w:val="000000" w:themeColor="text1"/>
                <w:sz w:val="22"/>
                <w:szCs w:val="22"/>
              </w:rPr>
              <w:t>2014</w:t>
            </w:r>
          </w:p>
        </w:tc>
        <w:tc>
          <w:tcPr>
            <w:tcW w:w="1217" w:type="dxa"/>
            <w:tcBorders>
              <w:top w:val="single" w:sz="12" w:space="0" w:color="auto"/>
            </w:tcBorders>
          </w:tcPr>
          <w:p w14:paraId="1FF9CE55" w14:textId="68D069E0" w:rsidR="00B34703" w:rsidRPr="00E40148" w:rsidRDefault="00B34703" w:rsidP="007D2FE5">
            <w:pPr>
              <w:contextualSpacing/>
              <w:jc w:val="center"/>
              <w:rPr>
                <w:rFonts w:cs="Arial"/>
                <w:color w:val="000000" w:themeColor="text1"/>
                <w:sz w:val="22"/>
                <w:szCs w:val="22"/>
              </w:rPr>
            </w:pPr>
            <w:r w:rsidRPr="00E40148">
              <w:rPr>
                <w:rFonts w:cs="Arial"/>
                <w:color w:val="000000" w:themeColor="text1"/>
                <w:sz w:val="22"/>
                <w:szCs w:val="22"/>
              </w:rPr>
              <w:t>2015</w:t>
            </w:r>
          </w:p>
        </w:tc>
        <w:tc>
          <w:tcPr>
            <w:tcW w:w="1146" w:type="dxa"/>
            <w:tcBorders>
              <w:top w:val="single" w:sz="12" w:space="0" w:color="auto"/>
            </w:tcBorders>
          </w:tcPr>
          <w:p w14:paraId="4D6D618E" w14:textId="48A1C269" w:rsidR="00B34703" w:rsidRPr="00610364" w:rsidRDefault="00B34703" w:rsidP="007D2FE5">
            <w:pPr>
              <w:contextualSpacing/>
              <w:jc w:val="center"/>
              <w:rPr>
                <w:rFonts w:cs="Arial"/>
                <w:color w:val="000000" w:themeColor="text1"/>
                <w:sz w:val="22"/>
                <w:szCs w:val="22"/>
              </w:rPr>
            </w:pPr>
            <w:r w:rsidRPr="00610364">
              <w:rPr>
                <w:rFonts w:cs="Arial"/>
                <w:color w:val="000000" w:themeColor="text1"/>
                <w:sz w:val="22"/>
                <w:szCs w:val="22"/>
              </w:rPr>
              <w:t>2016</w:t>
            </w:r>
          </w:p>
        </w:tc>
        <w:tc>
          <w:tcPr>
            <w:tcW w:w="1146" w:type="dxa"/>
            <w:tcBorders>
              <w:top w:val="single" w:sz="12" w:space="0" w:color="auto"/>
            </w:tcBorders>
          </w:tcPr>
          <w:p w14:paraId="784453C8" w14:textId="2BC6556A" w:rsidR="00B34703" w:rsidRPr="00E40148" w:rsidRDefault="00B34703" w:rsidP="007D2FE5">
            <w:pPr>
              <w:contextualSpacing/>
              <w:jc w:val="center"/>
              <w:rPr>
                <w:rFonts w:cs="Arial"/>
                <w:color w:val="000000" w:themeColor="text1"/>
                <w:sz w:val="22"/>
                <w:szCs w:val="22"/>
              </w:rPr>
            </w:pPr>
            <w:r>
              <w:rPr>
                <w:rFonts w:cs="Arial"/>
                <w:color w:val="000000" w:themeColor="text1"/>
                <w:sz w:val="22"/>
                <w:szCs w:val="22"/>
              </w:rPr>
              <w:t>2017</w:t>
            </w:r>
          </w:p>
        </w:tc>
        <w:tc>
          <w:tcPr>
            <w:tcW w:w="1146" w:type="dxa"/>
            <w:tcBorders>
              <w:top w:val="single" w:sz="12" w:space="0" w:color="auto"/>
            </w:tcBorders>
          </w:tcPr>
          <w:p w14:paraId="704F1FA2" w14:textId="26155765" w:rsidR="00B34703" w:rsidRPr="00E40148" w:rsidRDefault="00B34703" w:rsidP="007D2FE5">
            <w:pPr>
              <w:contextualSpacing/>
              <w:jc w:val="center"/>
              <w:rPr>
                <w:rFonts w:cs="Arial"/>
                <w:color w:val="000000" w:themeColor="text1"/>
                <w:sz w:val="22"/>
                <w:szCs w:val="22"/>
              </w:rPr>
            </w:pPr>
            <w:r>
              <w:rPr>
                <w:rFonts w:cs="Arial"/>
                <w:color w:val="000000" w:themeColor="text1"/>
                <w:sz w:val="22"/>
                <w:szCs w:val="22"/>
              </w:rPr>
              <w:t>2018</w:t>
            </w:r>
          </w:p>
        </w:tc>
        <w:tc>
          <w:tcPr>
            <w:tcW w:w="1336" w:type="dxa"/>
            <w:tcBorders>
              <w:top w:val="single" w:sz="12" w:space="0" w:color="auto"/>
            </w:tcBorders>
          </w:tcPr>
          <w:p w14:paraId="267D6CFC" w14:textId="5A4D5650" w:rsidR="00B34703" w:rsidRPr="00E40148" w:rsidRDefault="00B34703" w:rsidP="007D2FE5">
            <w:pPr>
              <w:contextualSpacing/>
              <w:jc w:val="center"/>
              <w:rPr>
                <w:rFonts w:cs="Arial"/>
                <w:color w:val="000000" w:themeColor="text1"/>
                <w:sz w:val="22"/>
                <w:szCs w:val="22"/>
              </w:rPr>
            </w:pPr>
            <w:r>
              <w:rPr>
                <w:rFonts w:cs="Arial"/>
                <w:color w:val="000000" w:themeColor="text1"/>
                <w:sz w:val="22"/>
                <w:szCs w:val="22"/>
              </w:rPr>
              <w:t>2019</w:t>
            </w:r>
          </w:p>
        </w:tc>
      </w:tr>
      <w:tr w:rsidR="00B34703" w:rsidRPr="00B77D90" w14:paraId="698697FB" w14:textId="77777777" w:rsidTr="00B34703">
        <w:tc>
          <w:tcPr>
            <w:tcW w:w="2112" w:type="dxa"/>
            <w:tcBorders>
              <w:left w:val="single" w:sz="12" w:space="0" w:color="auto"/>
              <w:right w:val="single" w:sz="18" w:space="0" w:color="auto"/>
            </w:tcBorders>
          </w:tcPr>
          <w:p w14:paraId="0AA2B918" w14:textId="77777777" w:rsidR="00B34703" w:rsidRPr="00E40148" w:rsidRDefault="00B34703" w:rsidP="00E81F52">
            <w:pPr>
              <w:contextualSpacing/>
              <w:rPr>
                <w:rFonts w:cs="Arial"/>
                <w:color w:val="000000" w:themeColor="text1"/>
                <w:sz w:val="22"/>
                <w:szCs w:val="22"/>
              </w:rPr>
            </w:pPr>
            <w:r w:rsidRPr="00E40148">
              <w:rPr>
                <w:rFonts w:cs="Arial"/>
                <w:color w:val="000000" w:themeColor="text1"/>
                <w:sz w:val="22"/>
                <w:szCs w:val="22"/>
              </w:rPr>
              <w:t>Programme Score</w:t>
            </w:r>
          </w:p>
        </w:tc>
        <w:tc>
          <w:tcPr>
            <w:tcW w:w="866" w:type="dxa"/>
            <w:tcBorders>
              <w:left w:val="single" w:sz="18" w:space="0" w:color="auto"/>
            </w:tcBorders>
          </w:tcPr>
          <w:p w14:paraId="1FA38B2A" w14:textId="77777777" w:rsidR="00B34703" w:rsidRPr="00E40148" w:rsidRDefault="00B34703" w:rsidP="004E5A33">
            <w:pPr>
              <w:contextualSpacing/>
              <w:jc w:val="center"/>
              <w:rPr>
                <w:rFonts w:cs="Arial"/>
                <w:color w:val="000000" w:themeColor="text1"/>
                <w:sz w:val="22"/>
                <w:szCs w:val="22"/>
              </w:rPr>
            </w:pPr>
            <w:r w:rsidRPr="00E40148">
              <w:rPr>
                <w:rFonts w:cs="Arial"/>
                <w:color w:val="000000" w:themeColor="text1"/>
                <w:sz w:val="22"/>
                <w:szCs w:val="22"/>
              </w:rPr>
              <w:t>A</w:t>
            </w:r>
          </w:p>
        </w:tc>
        <w:tc>
          <w:tcPr>
            <w:tcW w:w="1081" w:type="dxa"/>
          </w:tcPr>
          <w:p w14:paraId="601E7BA2" w14:textId="77777777" w:rsidR="00B34703" w:rsidRPr="00E40148" w:rsidRDefault="00B34703" w:rsidP="004E5A33">
            <w:pPr>
              <w:contextualSpacing/>
              <w:jc w:val="center"/>
              <w:rPr>
                <w:rFonts w:cs="Arial"/>
                <w:color w:val="000000" w:themeColor="text1"/>
                <w:sz w:val="22"/>
                <w:szCs w:val="22"/>
              </w:rPr>
            </w:pPr>
            <w:r w:rsidRPr="00E40148">
              <w:rPr>
                <w:rFonts w:cs="Arial"/>
                <w:color w:val="000000" w:themeColor="text1"/>
                <w:sz w:val="22"/>
                <w:szCs w:val="22"/>
              </w:rPr>
              <w:t>A</w:t>
            </w:r>
          </w:p>
        </w:tc>
        <w:tc>
          <w:tcPr>
            <w:tcW w:w="1217" w:type="dxa"/>
          </w:tcPr>
          <w:p w14:paraId="0C79EA98" w14:textId="77777777" w:rsidR="00B34703" w:rsidRPr="00E40148" w:rsidRDefault="00B34703" w:rsidP="004E5A33">
            <w:pPr>
              <w:contextualSpacing/>
              <w:jc w:val="center"/>
              <w:rPr>
                <w:rFonts w:cs="Arial"/>
                <w:color w:val="000000" w:themeColor="text1"/>
                <w:sz w:val="22"/>
                <w:szCs w:val="22"/>
              </w:rPr>
            </w:pPr>
            <w:r w:rsidRPr="00E40148">
              <w:rPr>
                <w:rFonts w:cs="Arial"/>
                <w:color w:val="000000" w:themeColor="text1"/>
                <w:sz w:val="22"/>
                <w:szCs w:val="22"/>
              </w:rPr>
              <w:t>A</w:t>
            </w:r>
          </w:p>
        </w:tc>
        <w:tc>
          <w:tcPr>
            <w:tcW w:w="1146" w:type="dxa"/>
          </w:tcPr>
          <w:p w14:paraId="3C297C8C" w14:textId="77777777" w:rsidR="00B34703" w:rsidRPr="00931780" w:rsidRDefault="00B34703" w:rsidP="004E5A33">
            <w:pPr>
              <w:contextualSpacing/>
              <w:jc w:val="center"/>
              <w:rPr>
                <w:rFonts w:cs="Arial"/>
                <w:color w:val="000000" w:themeColor="text1"/>
                <w:sz w:val="22"/>
                <w:szCs w:val="22"/>
              </w:rPr>
            </w:pPr>
            <w:r w:rsidRPr="00931780">
              <w:rPr>
                <w:rFonts w:cs="Arial"/>
                <w:color w:val="000000" w:themeColor="text1"/>
                <w:sz w:val="22"/>
                <w:szCs w:val="22"/>
              </w:rPr>
              <w:t>A</w:t>
            </w:r>
          </w:p>
        </w:tc>
        <w:tc>
          <w:tcPr>
            <w:tcW w:w="1146" w:type="dxa"/>
          </w:tcPr>
          <w:p w14:paraId="1E9BCA99" w14:textId="77777777" w:rsidR="00B34703" w:rsidRPr="00E40148" w:rsidRDefault="00B34703" w:rsidP="00554F25">
            <w:pPr>
              <w:contextualSpacing/>
              <w:jc w:val="center"/>
              <w:rPr>
                <w:rFonts w:cs="Arial"/>
                <w:color w:val="000000" w:themeColor="text1"/>
                <w:sz w:val="22"/>
                <w:szCs w:val="22"/>
              </w:rPr>
            </w:pPr>
            <w:r>
              <w:rPr>
                <w:rFonts w:cs="Arial"/>
                <w:color w:val="000000" w:themeColor="text1"/>
                <w:sz w:val="22"/>
                <w:szCs w:val="22"/>
              </w:rPr>
              <w:t>A+</w:t>
            </w:r>
          </w:p>
        </w:tc>
        <w:tc>
          <w:tcPr>
            <w:tcW w:w="1146" w:type="dxa"/>
          </w:tcPr>
          <w:p w14:paraId="59B80AD9" w14:textId="078CD4C9" w:rsidR="00B34703" w:rsidRPr="00E40148" w:rsidRDefault="00B34703" w:rsidP="00BB477B">
            <w:pPr>
              <w:contextualSpacing/>
              <w:jc w:val="center"/>
              <w:rPr>
                <w:rFonts w:cs="Arial"/>
                <w:color w:val="000000" w:themeColor="text1"/>
                <w:sz w:val="22"/>
                <w:szCs w:val="22"/>
              </w:rPr>
            </w:pPr>
            <w:r>
              <w:rPr>
                <w:rFonts w:cs="Arial"/>
                <w:color w:val="000000" w:themeColor="text1"/>
                <w:sz w:val="22"/>
                <w:szCs w:val="22"/>
              </w:rPr>
              <w:t>A</w:t>
            </w:r>
          </w:p>
        </w:tc>
        <w:tc>
          <w:tcPr>
            <w:tcW w:w="1336" w:type="dxa"/>
          </w:tcPr>
          <w:p w14:paraId="04851AAD" w14:textId="3978D5B9" w:rsidR="00B34703" w:rsidRPr="00E40148" w:rsidRDefault="00321091" w:rsidP="00B34703">
            <w:pPr>
              <w:contextualSpacing/>
              <w:jc w:val="center"/>
              <w:rPr>
                <w:rFonts w:cs="Arial"/>
                <w:color w:val="000000" w:themeColor="text1"/>
                <w:sz w:val="22"/>
                <w:szCs w:val="22"/>
              </w:rPr>
            </w:pPr>
            <w:r>
              <w:rPr>
                <w:rFonts w:cs="Arial"/>
                <w:color w:val="000000" w:themeColor="text1"/>
                <w:sz w:val="22"/>
                <w:szCs w:val="22"/>
              </w:rPr>
              <w:t>B</w:t>
            </w:r>
          </w:p>
        </w:tc>
      </w:tr>
      <w:tr w:rsidR="00B34703" w:rsidRPr="00B77D90" w14:paraId="6AE1A053" w14:textId="77777777" w:rsidTr="00B34703">
        <w:tc>
          <w:tcPr>
            <w:tcW w:w="2112" w:type="dxa"/>
            <w:tcBorders>
              <w:left w:val="single" w:sz="12" w:space="0" w:color="auto"/>
              <w:bottom w:val="single" w:sz="12" w:space="0" w:color="auto"/>
              <w:right w:val="single" w:sz="18" w:space="0" w:color="auto"/>
            </w:tcBorders>
          </w:tcPr>
          <w:p w14:paraId="6B815551" w14:textId="77777777" w:rsidR="00B34703" w:rsidRPr="00E40148" w:rsidRDefault="00B34703" w:rsidP="00E81F52">
            <w:pPr>
              <w:contextualSpacing/>
              <w:rPr>
                <w:rFonts w:cs="Arial"/>
                <w:color w:val="000000" w:themeColor="text1"/>
                <w:sz w:val="22"/>
                <w:szCs w:val="22"/>
              </w:rPr>
            </w:pPr>
            <w:r w:rsidRPr="00E40148">
              <w:rPr>
                <w:rFonts w:cs="Arial"/>
                <w:color w:val="000000" w:themeColor="text1"/>
                <w:sz w:val="22"/>
                <w:szCs w:val="22"/>
              </w:rPr>
              <w:t>Risk Rating</w:t>
            </w:r>
          </w:p>
        </w:tc>
        <w:tc>
          <w:tcPr>
            <w:tcW w:w="866" w:type="dxa"/>
            <w:tcBorders>
              <w:left w:val="single" w:sz="18" w:space="0" w:color="auto"/>
              <w:bottom w:val="single" w:sz="12" w:space="0" w:color="auto"/>
            </w:tcBorders>
          </w:tcPr>
          <w:p w14:paraId="5BB307A0" w14:textId="77777777" w:rsidR="00B34703" w:rsidRPr="00E40148" w:rsidRDefault="00B34703" w:rsidP="004E5A33">
            <w:pPr>
              <w:contextualSpacing/>
              <w:jc w:val="center"/>
              <w:rPr>
                <w:rFonts w:cs="Arial"/>
                <w:color w:val="000000" w:themeColor="text1"/>
                <w:sz w:val="22"/>
                <w:szCs w:val="22"/>
              </w:rPr>
            </w:pPr>
            <w:r w:rsidRPr="00E40148">
              <w:rPr>
                <w:rFonts w:cs="Arial"/>
                <w:color w:val="000000" w:themeColor="text1"/>
                <w:sz w:val="22"/>
                <w:szCs w:val="22"/>
              </w:rPr>
              <w:t>Medium</w:t>
            </w:r>
          </w:p>
        </w:tc>
        <w:tc>
          <w:tcPr>
            <w:tcW w:w="1081" w:type="dxa"/>
            <w:tcBorders>
              <w:bottom w:val="single" w:sz="12" w:space="0" w:color="auto"/>
            </w:tcBorders>
          </w:tcPr>
          <w:p w14:paraId="7E38610F" w14:textId="77777777" w:rsidR="00B34703" w:rsidRPr="00E40148" w:rsidRDefault="00B34703" w:rsidP="004E5A33">
            <w:pPr>
              <w:contextualSpacing/>
              <w:jc w:val="center"/>
              <w:rPr>
                <w:rFonts w:cs="Arial"/>
                <w:color w:val="000000" w:themeColor="text1"/>
                <w:sz w:val="22"/>
                <w:szCs w:val="22"/>
              </w:rPr>
            </w:pPr>
            <w:r w:rsidRPr="00E40148">
              <w:rPr>
                <w:rFonts w:cs="Arial"/>
                <w:color w:val="000000" w:themeColor="text1"/>
                <w:sz w:val="22"/>
                <w:szCs w:val="22"/>
              </w:rPr>
              <w:t>Medium</w:t>
            </w:r>
          </w:p>
        </w:tc>
        <w:tc>
          <w:tcPr>
            <w:tcW w:w="1217" w:type="dxa"/>
            <w:tcBorders>
              <w:bottom w:val="single" w:sz="12" w:space="0" w:color="auto"/>
            </w:tcBorders>
          </w:tcPr>
          <w:p w14:paraId="53F077C8" w14:textId="77777777" w:rsidR="00B34703" w:rsidRPr="00E40148" w:rsidRDefault="00B34703" w:rsidP="004E5A33">
            <w:pPr>
              <w:contextualSpacing/>
              <w:jc w:val="center"/>
              <w:rPr>
                <w:rFonts w:cs="Arial"/>
                <w:color w:val="000000" w:themeColor="text1"/>
                <w:sz w:val="22"/>
                <w:szCs w:val="22"/>
                <w:highlight w:val="yellow"/>
              </w:rPr>
            </w:pPr>
            <w:r w:rsidRPr="00E40148">
              <w:rPr>
                <w:rFonts w:cs="Arial"/>
                <w:color w:val="000000" w:themeColor="text1"/>
                <w:sz w:val="22"/>
                <w:szCs w:val="22"/>
              </w:rPr>
              <w:t>Moderate</w:t>
            </w:r>
          </w:p>
        </w:tc>
        <w:tc>
          <w:tcPr>
            <w:tcW w:w="1146" w:type="dxa"/>
            <w:tcBorders>
              <w:bottom w:val="single" w:sz="12" w:space="0" w:color="auto"/>
            </w:tcBorders>
          </w:tcPr>
          <w:p w14:paraId="4B300CE5" w14:textId="77777777" w:rsidR="00B34703" w:rsidRPr="00931780" w:rsidRDefault="00B34703" w:rsidP="004E5A33">
            <w:pPr>
              <w:contextualSpacing/>
              <w:jc w:val="center"/>
              <w:rPr>
                <w:rFonts w:cs="Arial"/>
                <w:color w:val="000000" w:themeColor="text1"/>
                <w:sz w:val="22"/>
                <w:szCs w:val="22"/>
              </w:rPr>
            </w:pPr>
            <w:r w:rsidRPr="00931780">
              <w:rPr>
                <w:rFonts w:cs="Arial"/>
                <w:color w:val="000000" w:themeColor="text1"/>
                <w:sz w:val="22"/>
                <w:szCs w:val="22"/>
              </w:rPr>
              <w:t>Moderate</w:t>
            </w:r>
          </w:p>
        </w:tc>
        <w:tc>
          <w:tcPr>
            <w:tcW w:w="1146" w:type="dxa"/>
            <w:tcBorders>
              <w:bottom w:val="single" w:sz="12" w:space="0" w:color="auto"/>
            </w:tcBorders>
          </w:tcPr>
          <w:p w14:paraId="0D6B93D9" w14:textId="77777777" w:rsidR="00B34703" w:rsidRPr="00E40148" w:rsidRDefault="00B34703" w:rsidP="00E81F52">
            <w:pPr>
              <w:contextualSpacing/>
              <w:rPr>
                <w:rFonts w:cs="Arial"/>
                <w:color w:val="000000" w:themeColor="text1"/>
                <w:sz w:val="22"/>
                <w:szCs w:val="22"/>
              </w:rPr>
            </w:pPr>
            <w:r>
              <w:rPr>
                <w:rFonts w:cs="Arial"/>
                <w:color w:val="000000" w:themeColor="text1"/>
                <w:sz w:val="22"/>
                <w:szCs w:val="22"/>
              </w:rPr>
              <w:t>Moderate</w:t>
            </w:r>
          </w:p>
        </w:tc>
        <w:tc>
          <w:tcPr>
            <w:tcW w:w="1146" w:type="dxa"/>
            <w:tcBorders>
              <w:bottom w:val="single" w:sz="12" w:space="0" w:color="auto"/>
            </w:tcBorders>
          </w:tcPr>
          <w:p w14:paraId="73139976" w14:textId="5CC9B4EE" w:rsidR="00B34703" w:rsidRPr="00E40148" w:rsidRDefault="00B34703" w:rsidP="00E81F52">
            <w:pPr>
              <w:contextualSpacing/>
              <w:rPr>
                <w:rFonts w:cs="Arial"/>
                <w:color w:val="000000" w:themeColor="text1"/>
                <w:sz w:val="22"/>
                <w:szCs w:val="22"/>
              </w:rPr>
            </w:pPr>
            <w:r>
              <w:rPr>
                <w:rFonts w:cs="Arial"/>
                <w:color w:val="000000" w:themeColor="text1"/>
                <w:sz w:val="22"/>
                <w:szCs w:val="22"/>
              </w:rPr>
              <w:t>Moderate</w:t>
            </w:r>
          </w:p>
        </w:tc>
        <w:tc>
          <w:tcPr>
            <w:tcW w:w="1336" w:type="dxa"/>
            <w:tcBorders>
              <w:bottom w:val="single" w:sz="12" w:space="0" w:color="auto"/>
            </w:tcBorders>
          </w:tcPr>
          <w:p w14:paraId="51F33575" w14:textId="4EE71774" w:rsidR="00B34703" w:rsidRPr="00E40148" w:rsidRDefault="00C33E4B" w:rsidP="003120A4">
            <w:pPr>
              <w:contextualSpacing/>
              <w:jc w:val="center"/>
              <w:rPr>
                <w:rFonts w:cs="Arial"/>
                <w:color w:val="000000" w:themeColor="text1"/>
                <w:sz w:val="22"/>
                <w:szCs w:val="22"/>
              </w:rPr>
            </w:pPr>
            <w:r>
              <w:rPr>
                <w:rFonts w:cs="Arial"/>
                <w:color w:val="000000" w:themeColor="text1"/>
                <w:sz w:val="22"/>
                <w:szCs w:val="22"/>
              </w:rPr>
              <w:t>Major</w:t>
            </w:r>
          </w:p>
        </w:tc>
      </w:tr>
    </w:tbl>
    <w:p w14:paraId="6CD0888F" w14:textId="77777777" w:rsidR="00745E9A" w:rsidRPr="00E40148" w:rsidRDefault="00745E9A" w:rsidP="00E81F52">
      <w:pPr>
        <w:contextualSpacing/>
        <w:rPr>
          <w:rFonts w:cs="Arial"/>
          <w:b/>
          <w:color w:val="000000" w:themeColor="text1"/>
          <w:sz w:val="22"/>
          <w:szCs w:val="22"/>
        </w:rPr>
      </w:pPr>
    </w:p>
    <w:p w14:paraId="1713D242" w14:textId="77777777" w:rsidR="00B274AC" w:rsidRPr="00B77D90" w:rsidRDefault="00F10281" w:rsidP="002E723C">
      <w:pPr>
        <w:pStyle w:val="Heading3"/>
        <w:rPr>
          <w:rFonts w:ascii="Arial" w:hAnsi="Arial" w:cs="Arial"/>
          <w:color w:val="000000" w:themeColor="text1"/>
          <w:sz w:val="22"/>
          <w:szCs w:val="22"/>
        </w:rPr>
      </w:pPr>
      <w:r w:rsidRPr="00B77D90">
        <w:rPr>
          <w:rFonts w:ascii="Arial" w:hAnsi="Arial" w:cs="Arial"/>
          <w:color w:val="000000" w:themeColor="text1"/>
          <w:sz w:val="22"/>
          <w:szCs w:val="22"/>
        </w:rPr>
        <w:t>Summary of progress</w:t>
      </w:r>
      <w:r w:rsidR="00BD38CF" w:rsidRPr="00B77D90">
        <w:rPr>
          <w:rFonts w:ascii="Arial" w:hAnsi="Arial" w:cs="Arial"/>
          <w:color w:val="000000" w:themeColor="text1"/>
          <w:sz w:val="22"/>
          <w:szCs w:val="22"/>
        </w:rPr>
        <w:t xml:space="preserve"> and </w:t>
      </w:r>
      <w:r w:rsidRPr="00B77D90">
        <w:rPr>
          <w:rFonts w:ascii="Arial" w:hAnsi="Arial" w:cs="Arial"/>
          <w:color w:val="000000" w:themeColor="text1"/>
          <w:sz w:val="22"/>
          <w:szCs w:val="22"/>
        </w:rPr>
        <w:t xml:space="preserve">lessons learnt </w:t>
      </w:r>
      <w:r w:rsidR="00BD38CF" w:rsidRPr="00B77D90">
        <w:rPr>
          <w:rFonts w:ascii="Arial" w:hAnsi="Arial" w:cs="Arial"/>
          <w:color w:val="000000" w:themeColor="text1"/>
          <w:sz w:val="22"/>
          <w:szCs w:val="22"/>
        </w:rPr>
        <w:t>since last review</w:t>
      </w:r>
    </w:p>
    <w:p w14:paraId="6E75EEA3" w14:textId="77777777" w:rsidR="00826CFE" w:rsidRDefault="00826CFE" w:rsidP="00105A6B">
      <w:pPr>
        <w:jc w:val="both"/>
        <w:rPr>
          <w:rFonts w:cs="Arial"/>
          <w:color w:val="000000" w:themeColor="text1"/>
          <w:sz w:val="22"/>
          <w:szCs w:val="22"/>
        </w:rPr>
      </w:pPr>
    </w:p>
    <w:p w14:paraId="310AF29B" w14:textId="5517E047" w:rsidR="00183F44" w:rsidRDefault="0012141B" w:rsidP="00183F44">
      <w:pPr>
        <w:jc w:val="both"/>
        <w:rPr>
          <w:rFonts w:cs="Arial"/>
          <w:color w:val="000000" w:themeColor="text1"/>
          <w:sz w:val="22"/>
          <w:szCs w:val="22"/>
        </w:rPr>
      </w:pPr>
      <w:r>
        <w:rPr>
          <w:rFonts w:cs="Arial"/>
          <w:color w:val="000000" w:themeColor="text1"/>
          <w:sz w:val="22"/>
          <w:szCs w:val="22"/>
        </w:rPr>
        <w:t xml:space="preserve">The </w:t>
      </w:r>
      <w:r w:rsidR="00105A6B" w:rsidRPr="00556A7E">
        <w:rPr>
          <w:rFonts w:cs="Arial"/>
          <w:color w:val="000000" w:themeColor="text1"/>
          <w:sz w:val="22"/>
          <w:szCs w:val="22"/>
        </w:rPr>
        <w:t xml:space="preserve">Carbon Initiative for Development (Ci-Dev) </w:t>
      </w:r>
      <w:r w:rsidR="00F2200F" w:rsidRPr="00556A7E">
        <w:rPr>
          <w:rFonts w:cs="Arial"/>
          <w:color w:val="000000" w:themeColor="text1"/>
          <w:sz w:val="22"/>
          <w:szCs w:val="22"/>
        </w:rPr>
        <w:t>aims to increase the flow of international carbon finance</w:t>
      </w:r>
      <w:r w:rsidR="00644E98" w:rsidRPr="00556A7E">
        <w:rPr>
          <w:rStyle w:val="FootnoteReference"/>
          <w:rFonts w:cs="Arial"/>
          <w:color w:val="000000" w:themeColor="text1"/>
          <w:sz w:val="22"/>
          <w:szCs w:val="22"/>
        </w:rPr>
        <w:footnoteReference w:id="3"/>
      </w:r>
      <w:r w:rsidR="00152BE4">
        <w:rPr>
          <w:rFonts w:cs="Arial"/>
          <w:color w:val="000000" w:themeColor="text1"/>
          <w:sz w:val="22"/>
          <w:szCs w:val="22"/>
        </w:rPr>
        <w:t>, primarily into Least Developed Countries (LDCs)</w:t>
      </w:r>
      <w:r w:rsidR="00E17765">
        <w:rPr>
          <w:rFonts w:cs="Arial"/>
          <w:color w:val="000000" w:themeColor="text1"/>
          <w:sz w:val="22"/>
          <w:szCs w:val="22"/>
        </w:rPr>
        <w:t xml:space="preserve">. It </w:t>
      </w:r>
      <w:r w:rsidR="00BE02C3">
        <w:rPr>
          <w:rFonts w:cs="Arial"/>
          <w:color w:val="000000" w:themeColor="text1"/>
          <w:sz w:val="22"/>
          <w:szCs w:val="22"/>
        </w:rPr>
        <w:t xml:space="preserve">launched in 2013 and </w:t>
      </w:r>
      <w:r w:rsidR="00F2200F" w:rsidRPr="00556A7E">
        <w:rPr>
          <w:rFonts w:cs="Arial"/>
          <w:color w:val="000000" w:themeColor="text1"/>
          <w:sz w:val="22"/>
          <w:szCs w:val="22"/>
        </w:rPr>
        <w:t>support</w:t>
      </w:r>
      <w:r w:rsidR="007C4E36">
        <w:rPr>
          <w:rFonts w:cs="Arial"/>
          <w:color w:val="000000" w:themeColor="text1"/>
          <w:sz w:val="22"/>
          <w:szCs w:val="22"/>
        </w:rPr>
        <w:t>s</w:t>
      </w:r>
      <w:r w:rsidR="00F2200F" w:rsidRPr="00556A7E">
        <w:rPr>
          <w:rFonts w:cs="Arial"/>
          <w:color w:val="000000" w:themeColor="text1"/>
          <w:sz w:val="22"/>
          <w:szCs w:val="22"/>
        </w:rPr>
        <w:t xml:space="preserve"> climate change mitigation</w:t>
      </w:r>
      <w:r w:rsidR="00992F45">
        <w:rPr>
          <w:rFonts w:cs="Arial"/>
          <w:color w:val="000000" w:themeColor="text1"/>
          <w:sz w:val="22"/>
          <w:szCs w:val="22"/>
        </w:rPr>
        <w:t xml:space="preserve"> in pursuit of </w:t>
      </w:r>
      <w:r w:rsidR="000A058F">
        <w:rPr>
          <w:rFonts w:cs="Arial"/>
          <w:color w:val="000000" w:themeColor="text1"/>
          <w:sz w:val="22"/>
          <w:szCs w:val="22"/>
        </w:rPr>
        <w:t xml:space="preserve">the </w:t>
      </w:r>
      <w:r w:rsidR="00992F45">
        <w:rPr>
          <w:rFonts w:cs="Arial"/>
          <w:color w:val="000000" w:themeColor="text1"/>
          <w:sz w:val="22"/>
          <w:szCs w:val="22"/>
        </w:rPr>
        <w:t>Paris Agreement</w:t>
      </w:r>
      <w:r w:rsidR="000A058F">
        <w:rPr>
          <w:rFonts w:cs="Arial"/>
          <w:color w:val="000000" w:themeColor="text1"/>
          <w:sz w:val="22"/>
          <w:szCs w:val="22"/>
        </w:rPr>
        <w:t>’s</w:t>
      </w:r>
      <w:r w:rsidR="00992F45">
        <w:rPr>
          <w:rFonts w:cs="Arial"/>
          <w:color w:val="000000" w:themeColor="text1"/>
          <w:sz w:val="22"/>
          <w:szCs w:val="22"/>
        </w:rPr>
        <w:t xml:space="preserve"> goals</w:t>
      </w:r>
      <w:r w:rsidR="00E17765">
        <w:rPr>
          <w:rFonts w:cs="Arial"/>
          <w:color w:val="000000" w:themeColor="text1"/>
          <w:sz w:val="22"/>
          <w:szCs w:val="22"/>
        </w:rPr>
        <w:t xml:space="preserve"> and </w:t>
      </w:r>
      <w:r w:rsidR="00DD64DB" w:rsidRPr="00556A7E">
        <w:rPr>
          <w:rFonts w:cs="Arial"/>
          <w:color w:val="000000" w:themeColor="text1"/>
          <w:sz w:val="22"/>
          <w:szCs w:val="22"/>
        </w:rPr>
        <w:t>facilitate</w:t>
      </w:r>
      <w:r w:rsidR="007C4E36">
        <w:rPr>
          <w:rFonts w:cs="Arial"/>
          <w:color w:val="000000" w:themeColor="text1"/>
          <w:sz w:val="22"/>
          <w:szCs w:val="22"/>
        </w:rPr>
        <w:t>s</w:t>
      </w:r>
      <w:r w:rsidR="00DD64DB" w:rsidRPr="00556A7E">
        <w:rPr>
          <w:rFonts w:cs="Arial"/>
          <w:color w:val="000000" w:themeColor="text1"/>
          <w:sz w:val="22"/>
          <w:szCs w:val="22"/>
        </w:rPr>
        <w:t xml:space="preserve"> </w:t>
      </w:r>
      <w:r w:rsidR="00F2200F" w:rsidRPr="00556A7E">
        <w:rPr>
          <w:rFonts w:cs="Arial"/>
          <w:color w:val="000000" w:themeColor="text1"/>
          <w:sz w:val="22"/>
          <w:szCs w:val="22"/>
        </w:rPr>
        <w:t>access to clean</w:t>
      </w:r>
      <w:r w:rsidR="007C4E36">
        <w:rPr>
          <w:rFonts w:cs="Arial"/>
          <w:color w:val="000000" w:themeColor="text1"/>
          <w:sz w:val="22"/>
          <w:szCs w:val="22"/>
        </w:rPr>
        <w:t>er</w:t>
      </w:r>
      <w:r w:rsidR="00F2200F" w:rsidRPr="00556A7E">
        <w:rPr>
          <w:rFonts w:cs="Arial"/>
          <w:color w:val="000000" w:themeColor="text1"/>
          <w:sz w:val="22"/>
          <w:szCs w:val="22"/>
        </w:rPr>
        <w:t xml:space="preserve"> energy and</w:t>
      </w:r>
      <w:r w:rsidR="00DD64DB" w:rsidRPr="00556A7E">
        <w:rPr>
          <w:rFonts w:cs="Arial"/>
          <w:color w:val="000000" w:themeColor="text1"/>
          <w:sz w:val="22"/>
          <w:szCs w:val="22"/>
        </w:rPr>
        <w:t xml:space="preserve"> </w:t>
      </w:r>
      <w:r w:rsidR="00F2200F" w:rsidRPr="00556A7E">
        <w:rPr>
          <w:rFonts w:cs="Arial"/>
          <w:color w:val="000000" w:themeColor="text1"/>
          <w:sz w:val="22"/>
          <w:szCs w:val="22"/>
        </w:rPr>
        <w:t>other poverty reducing t</w:t>
      </w:r>
      <w:r w:rsidR="009211FD" w:rsidRPr="00556A7E">
        <w:rPr>
          <w:rFonts w:cs="Arial"/>
          <w:color w:val="000000" w:themeColor="text1"/>
          <w:sz w:val="22"/>
          <w:szCs w:val="22"/>
        </w:rPr>
        <w:t>echnologies</w:t>
      </w:r>
      <w:r w:rsidR="00644E98" w:rsidRPr="00556A7E">
        <w:rPr>
          <w:rFonts w:cs="Arial"/>
          <w:color w:val="000000" w:themeColor="text1"/>
          <w:sz w:val="22"/>
          <w:szCs w:val="22"/>
        </w:rPr>
        <w:t>.</w:t>
      </w:r>
      <w:r w:rsidR="009B25E4" w:rsidRPr="00556A7E">
        <w:rPr>
          <w:rFonts w:cs="Arial"/>
          <w:color w:val="000000" w:themeColor="text1"/>
          <w:sz w:val="22"/>
          <w:szCs w:val="22"/>
        </w:rPr>
        <w:t xml:space="preserve"> </w:t>
      </w:r>
      <w:r w:rsidR="002D5160">
        <w:rPr>
          <w:rFonts w:cs="Arial"/>
          <w:color w:val="000000" w:themeColor="text1"/>
          <w:sz w:val="22"/>
          <w:szCs w:val="22"/>
        </w:rPr>
        <w:t>It</w:t>
      </w:r>
      <w:r w:rsidR="00FE72B4" w:rsidRPr="00556A7E">
        <w:rPr>
          <w:rFonts w:cs="Arial"/>
          <w:color w:val="000000" w:themeColor="text1"/>
          <w:sz w:val="22"/>
          <w:szCs w:val="22"/>
        </w:rPr>
        <w:t xml:space="preserve"> </w:t>
      </w:r>
      <w:r w:rsidR="009B25E4" w:rsidRPr="00556A7E">
        <w:rPr>
          <w:rFonts w:cs="Arial"/>
          <w:color w:val="000000" w:themeColor="text1"/>
          <w:sz w:val="22"/>
          <w:szCs w:val="22"/>
        </w:rPr>
        <w:t xml:space="preserve">guarantees a revenue stream if projects deliver </w:t>
      </w:r>
      <w:r w:rsidR="00A92F92" w:rsidRPr="00556A7E">
        <w:rPr>
          <w:rFonts w:cs="Arial"/>
          <w:color w:val="000000" w:themeColor="text1"/>
          <w:sz w:val="22"/>
          <w:szCs w:val="22"/>
        </w:rPr>
        <w:t xml:space="preserve">their </w:t>
      </w:r>
      <w:r w:rsidR="009B25E4" w:rsidRPr="00556A7E">
        <w:rPr>
          <w:rFonts w:cs="Arial"/>
          <w:color w:val="000000" w:themeColor="text1"/>
          <w:sz w:val="22"/>
          <w:szCs w:val="22"/>
        </w:rPr>
        <w:t>expected benefits</w:t>
      </w:r>
      <w:r w:rsidR="00A92F92" w:rsidRPr="00556A7E">
        <w:rPr>
          <w:rFonts w:cs="Arial"/>
          <w:color w:val="000000" w:themeColor="text1"/>
          <w:sz w:val="22"/>
          <w:szCs w:val="22"/>
        </w:rPr>
        <w:t xml:space="preserve">, </w:t>
      </w:r>
      <w:r w:rsidR="009B25E4" w:rsidRPr="00556A7E">
        <w:rPr>
          <w:rFonts w:cs="Arial"/>
          <w:color w:val="000000" w:themeColor="text1"/>
          <w:sz w:val="22"/>
          <w:szCs w:val="22"/>
        </w:rPr>
        <w:t xml:space="preserve">builds </w:t>
      </w:r>
      <w:r w:rsidR="00656629">
        <w:rPr>
          <w:rFonts w:cs="Arial"/>
          <w:color w:val="000000" w:themeColor="text1"/>
          <w:sz w:val="22"/>
          <w:szCs w:val="22"/>
        </w:rPr>
        <w:t xml:space="preserve">local </w:t>
      </w:r>
      <w:r w:rsidR="009B25E4" w:rsidRPr="00556A7E">
        <w:rPr>
          <w:rFonts w:cs="Arial"/>
          <w:color w:val="000000" w:themeColor="text1"/>
          <w:sz w:val="22"/>
          <w:szCs w:val="22"/>
        </w:rPr>
        <w:t xml:space="preserve">capacity to </w:t>
      </w:r>
      <w:r w:rsidR="00656629">
        <w:rPr>
          <w:rFonts w:cs="Arial"/>
          <w:color w:val="000000" w:themeColor="text1"/>
          <w:sz w:val="22"/>
          <w:szCs w:val="22"/>
        </w:rPr>
        <w:t xml:space="preserve">develop projects and </w:t>
      </w:r>
      <w:r w:rsidR="009B25E4" w:rsidRPr="00556A7E">
        <w:rPr>
          <w:rFonts w:cs="Arial"/>
          <w:color w:val="000000" w:themeColor="text1"/>
          <w:sz w:val="22"/>
          <w:szCs w:val="22"/>
        </w:rPr>
        <w:t>monitor carbon emissions</w:t>
      </w:r>
      <w:r w:rsidR="00CB5AE3" w:rsidRPr="00556A7E">
        <w:rPr>
          <w:rFonts w:cs="Arial"/>
          <w:color w:val="000000" w:themeColor="text1"/>
          <w:sz w:val="22"/>
          <w:szCs w:val="22"/>
        </w:rPr>
        <w:t>,</w:t>
      </w:r>
      <w:r w:rsidR="009B25E4" w:rsidRPr="00556A7E">
        <w:rPr>
          <w:rFonts w:cs="Arial"/>
          <w:color w:val="000000" w:themeColor="text1"/>
          <w:sz w:val="22"/>
          <w:szCs w:val="22"/>
        </w:rPr>
        <w:t xml:space="preserve"> and pilots proje</w:t>
      </w:r>
      <w:r w:rsidR="00A92F92" w:rsidRPr="00556A7E">
        <w:rPr>
          <w:rFonts w:cs="Arial"/>
          <w:color w:val="000000" w:themeColor="text1"/>
          <w:sz w:val="22"/>
          <w:szCs w:val="22"/>
        </w:rPr>
        <w:t xml:space="preserve">cts that could </w:t>
      </w:r>
      <w:r w:rsidR="00656629">
        <w:rPr>
          <w:rFonts w:cs="Arial"/>
          <w:color w:val="000000" w:themeColor="text1"/>
          <w:sz w:val="22"/>
          <w:szCs w:val="22"/>
        </w:rPr>
        <w:t xml:space="preserve">serve </w:t>
      </w:r>
      <w:r w:rsidR="00A92F92" w:rsidRPr="00556A7E">
        <w:rPr>
          <w:rFonts w:cs="Arial"/>
          <w:color w:val="000000" w:themeColor="text1"/>
          <w:sz w:val="22"/>
          <w:szCs w:val="22"/>
        </w:rPr>
        <w:t>as bluep</w:t>
      </w:r>
      <w:r w:rsidR="009B25E4" w:rsidRPr="00556A7E">
        <w:rPr>
          <w:rFonts w:cs="Arial"/>
          <w:color w:val="000000" w:themeColor="text1"/>
          <w:sz w:val="22"/>
          <w:szCs w:val="22"/>
        </w:rPr>
        <w:t>rints to increase LDC access to the international carbon market.</w:t>
      </w:r>
      <w:r w:rsidR="009B25E4">
        <w:rPr>
          <w:rFonts w:cs="Arial"/>
          <w:color w:val="000000" w:themeColor="text1"/>
          <w:sz w:val="22"/>
          <w:szCs w:val="22"/>
        </w:rPr>
        <w:t xml:space="preserve"> </w:t>
      </w:r>
    </w:p>
    <w:p w14:paraId="546EE5B0" w14:textId="7EAEEC54" w:rsidR="3CC38F1A" w:rsidRDefault="3CC38F1A" w:rsidP="3CC38F1A">
      <w:pPr>
        <w:jc w:val="both"/>
        <w:rPr>
          <w:rFonts w:cs="Arial"/>
          <w:b/>
          <w:bCs/>
          <w:color w:val="000000" w:themeColor="text1"/>
          <w:sz w:val="22"/>
          <w:szCs w:val="22"/>
        </w:rPr>
      </w:pPr>
    </w:p>
    <w:p w14:paraId="231F51DF" w14:textId="4A5184BC" w:rsidR="006A256D" w:rsidRDefault="00077F54" w:rsidP="00183F44">
      <w:pPr>
        <w:jc w:val="both"/>
        <w:rPr>
          <w:rFonts w:cs="Arial"/>
          <w:bCs/>
          <w:color w:val="000000" w:themeColor="text1"/>
          <w:sz w:val="22"/>
          <w:szCs w:val="22"/>
        </w:rPr>
      </w:pPr>
      <w:r>
        <w:rPr>
          <w:rFonts w:cs="Arial"/>
          <w:bCs/>
          <w:color w:val="000000" w:themeColor="text1"/>
          <w:sz w:val="22"/>
          <w:szCs w:val="22"/>
        </w:rPr>
        <w:t>In this review period</w:t>
      </w:r>
      <w:r w:rsidR="001B6C96">
        <w:rPr>
          <w:rFonts w:cs="Arial"/>
          <w:bCs/>
          <w:color w:val="000000" w:themeColor="text1"/>
          <w:sz w:val="22"/>
          <w:szCs w:val="22"/>
        </w:rPr>
        <w:t>,</w:t>
      </w:r>
      <w:r>
        <w:rPr>
          <w:rFonts w:cs="Arial"/>
          <w:bCs/>
          <w:color w:val="000000" w:themeColor="text1"/>
          <w:sz w:val="22"/>
          <w:szCs w:val="22"/>
        </w:rPr>
        <w:t xml:space="preserve"> t</w:t>
      </w:r>
      <w:r w:rsidR="00C23C4E">
        <w:rPr>
          <w:rFonts w:cs="Arial"/>
          <w:bCs/>
          <w:color w:val="000000" w:themeColor="text1"/>
          <w:sz w:val="22"/>
          <w:szCs w:val="22"/>
        </w:rPr>
        <w:t>he programme</w:t>
      </w:r>
      <w:r w:rsidR="009205EB">
        <w:rPr>
          <w:rFonts w:cs="Arial"/>
          <w:bCs/>
          <w:color w:val="000000" w:themeColor="text1"/>
          <w:sz w:val="22"/>
          <w:szCs w:val="22"/>
        </w:rPr>
        <w:t xml:space="preserve"> </w:t>
      </w:r>
      <w:r w:rsidR="009A174B">
        <w:rPr>
          <w:rFonts w:cs="Arial"/>
          <w:bCs/>
          <w:color w:val="000000" w:themeColor="text1"/>
          <w:sz w:val="22"/>
          <w:szCs w:val="22"/>
        </w:rPr>
        <w:t xml:space="preserve">generally </w:t>
      </w:r>
      <w:r w:rsidR="00B63209">
        <w:rPr>
          <w:rFonts w:cs="Arial"/>
          <w:bCs/>
          <w:color w:val="000000" w:themeColor="text1"/>
          <w:sz w:val="22"/>
          <w:szCs w:val="22"/>
        </w:rPr>
        <w:t>performed well against it</w:t>
      </w:r>
      <w:r w:rsidR="007D7EBB">
        <w:rPr>
          <w:rFonts w:cs="Arial"/>
          <w:bCs/>
          <w:color w:val="000000" w:themeColor="text1"/>
          <w:sz w:val="22"/>
          <w:szCs w:val="22"/>
        </w:rPr>
        <w:t>s</w:t>
      </w:r>
      <w:r w:rsidR="00B63209">
        <w:rPr>
          <w:rFonts w:cs="Arial"/>
          <w:bCs/>
          <w:color w:val="000000" w:themeColor="text1"/>
          <w:sz w:val="22"/>
          <w:szCs w:val="22"/>
        </w:rPr>
        <w:t xml:space="preserve"> outcome targets. It </w:t>
      </w:r>
      <w:r w:rsidR="009205EB">
        <w:rPr>
          <w:rFonts w:cs="Arial"/>
          <w:bCs/>
          <w:color w:val="000000" w:themeColor="text1"/>
          <w:sz w:val="22"/>
          <w:szCs w:val="22"/>
        </w:rPr>
        <w:t xml:space="preserve">exceeded </w:t>
      </w:r>
      <w:r w:rsidR="001F224D">
        <w:rPr>
          <w:rFonts w:cs="Arial"/>
          <w:bCs/>
          <w:color w:val="000000" w:themeColor="text1"/>
          <w:sz w:val="22"/>
          <w:szCs w:val="22"/>
        </w:rPr>
        <w:t>three</w:t>
      </w:r>
      <w:r w:rsidR="009205EB">
        <w:rPr>
          <w:rFonts w:cs="Arial"/>
          <w:bCs/>
          <w:color w:val="000000" w:themeColor="text1"/>
          <w:sz w:val="22"/>
          <w:szCs w:val="22"/>
        </w:rPr>
        <w:t xml:space="preserve"> of </w:t>
      </w:r>
      <w:r w:rsidR="00106213">
        <w:rPr>
          <w:rFonts w:cs="Arial"/>
          <w:bCs/>
          <w:color w:val="000000" w:themeColor="text1"/>
          <w:sz w:val="22"/>
          <w:szCs w:val="22"/>
        </w:rPr>
        <w:t>these</w:t>
      </w:r>
      <w:r w:rsidR="002D76B6">
        <w:rPr>
          <w:rFonts w:cs="Arial"/>
          <w:bCs/>
          <w:color w:val="000000" w:themeColor="text1"/>
          <w:sz w:val="22"/>
          <w:szCs w:val="22"/>
        </w:rPr>
        <w:t xml:space="preserve"> </w:t>
      </w:r>
      <w:r w:rsidR="001F224D">
        <w:rPr>
          <w:rFonts w:cs="Arial"/>
          <w:bCs/>
          <w:color w:val="000000" w:themeColor="text1"/>
          <w:sz w:val="22"/>
          <w:szCs w:val="22"/>
        </w:rPr>
        <w:t xml:space="preserve">(public finance mobilised, </w:t>
      </w:r>
      <w:r w:rsidR="005E08C4">
        <w:rPr>
          <w:rFonts w:cs="Arial"/>
          <w:bCs/>
          <w:color w:val="000000" w:themeColor="text1"/>
          <w:sz w:val="22"/>
          <w:szCs w:val="22"/>
        </w:rPr>
        <w:t xml:space="preserve">beneficiaries reached, and </w:t>
      </w:r>
      <w:r w:rsidR="00494360">
        <w:rPr>
          <w:rFonts w:cs="Arial"/>
          <w:bCs/>
          <w:color w:val="000000" w:themeColor="text1"/>
          <w:sz w:val="22"/>
          <w:szCs w:val="22"/>
        </w:rPr>
        <w:t>t</w:t>
      </w:r>
      <w:r>
        <w:rPr>
          <w:rFonts w:cs="Arial"/>
          <w:bCs/>
          <w:color w:val="000000" w:themeColor="text1"/>
          <w:sz w:val="22"/>
          <w:szCs w:val="22"/>
        </w:rPr>
        <w:t xml:space="preserve">onnes of </w:t>
      </w:r>
      <w:r w:rsidR="00494360">
        <w:rPr>
          <w:rFonts w:cs="Arial"/>
          <w:bCs/>
          <w:color w:val="000000" w:themeColor="text1"/>
          <w:sz w:val="22"/>
          <w:szCs w:val="22"/>
        </w:rPr>
        <w:t>CO2e reduced</w:t>
      </w:r>
      <w:r w:rsidR="005E08C4">
        <w:rPr>
          <w:rFonts w:cs="Arial"/>
          <w:bCs/>
          <w:color w:val="000000" w:themeColor="text1"/>
          <w:sz w:val="22"/>
          <w:szCs w:val="22"/>
        </w:rPr>
        <w:t xml:space="preserve">) </w:t>
      </w:r>
      <w:r w:rsidR="002D76B6">
        <w:rPr>
          <w:rFonts w:cs="Arial"/>
          <w:bCs/>
          <w:color w:val="000000" w:themeColor="text1"/>
          <w:sz w:val="22"/>
          <w:szCs w:val="22"/>
        </w:rPr>
        <w:t xml:space="preserve">and narrowly missed the </w:t>
      </w:r>
      <w:r w:rsidR="001F224D">
        <w:rPr>
          <w:rFonts w:cs="Arial"/>
          <w:bCs/>
          <w:color w:val="000000" w:themeColor="text1"/>
          <w:sz w:val="22"/>
          <w:szCs w:val="22"/>
        </w:rPr>
        <w:t>other two</w:t>
      </w:r>
      <w:r w:rsidR="005E08C4">
        <w:rPr>
          <w:rFonts w:cs="Arial"/>
          <w:bCs/>
          <w:color w:val="000000" w:themeColor="text1"/>
          <w:sz w:val="22"/>
          <w:szCs w:val="22"/>
        </w:rPr>
        <w:t xml:space="preserve"> (private finance mobilised, </w:t>
      </w:r>
      <w:r>
        <w:rPr>
          <w:rFonts w:cs="Arial"/>
          <w:bCs/>
          <w:color w:val="000000" w:themeColor="text1"/>
          <w:sz w:val="22"/>
          <w:szCs w:val="22"/>
        </w:rPr>
        <w:t>and megawatts of</w:t>
      </w:r>
      <w:r w:rsidR="00494360">
        <w:rPr>
          <w:rFonts w:cs="Arial"/>
          <w:bCs/>
          <w:color w:val="000000" w:themeColor="text1"/>
          <w:sz w:val="22"/>
          <w:szCs w:val="22"/>
        </w:rPr>
        <w:t xml:space="preserve"> capacity installed)</w:t>
      </w:r>
      <w:r w:rsidR="009205EB">
        <w:rPr>
          <w:rFonts w:cs="Arial"/>
          <w:bCs/>
          <w:color w:val="000000" w:themeColor="text1"/>
          <w:sz w:val="22"/>
          <w:szCs w:val="22"/>
        </w:rPr>
        <w:t>.</w:t>
      </w:r>
      <w:r w:rsidR="00C23C4E">
        <w:rPr>
          <w:rFonts w:cs="Arial"/>
          <w:bCs/>
          <w:color w:val="000000" w:themeColor="text1"/>
          <w:sz w:val="22"/>
          <w:szCs w:val="22"/>
        </w:rPr>
        <w:t xml:space="preserve"> </w:t>
      </w:r>
      <w:r w:rsidR="006A256D">
        <w:rPr>
          <w:rFonts w:cs="Arial"/>
          <w:bCs/>
          <w:color w:val="000000" w:themeColor="text1"/>
          <w:sz w:val="22"/>
          <w:szCs w:val="22"/>
        </w:rPr>
        <w:t>However, i</w:t>
      </w:r>
      <w:r w:rsidR="00C23C4E">
        <w:rPr>
          <w:rFonts w:cs="Arial"/>
          <w:bCs/>
          <w:color w:val="000000" w:themeColor="text1"/>
          <w:sz w:val="22"/>
          <w:szCs w:val="22"/>
        </w:rPr>
        <w:t>n the longer term</w:t>
      </w:r>
      <w:r w:rsidR="002B2A5C">
        <w:rPr>
          <w:rFonts w:cs="Arial"/>
          <w:bCs/>
          <w:color w:val="000000" w:themeColor="text1"/>
          <w:sz w:val="22"/>
          <w:szCs w:val="22"/>
        </w:rPr>
        <w:t>,</w:t>
      </w:r>
      <w:r w:rsidR="00AA67B4">
        <w:rPr>
          <w:rFonts w:cs="Arial"/>
          <w:bCs/>
          <w:color w:val="000000" w:themeColor="text1"/>
          <w:sz w:val="22"/>
          <w:szCs w:val="22"/>
        </w:rPr>
        <w:t xml:space="preserve"> with two of </w:t>
      </w:r>
      <w:r w:rsidR="00FB21A2">
        <w:rPr>
          <w:rFonts w:cs="Arial"/>
          <w:bCs/>
          <w:color w:val="000000" w:themeColor="text1"/>
          <w:sz w:val="22"/>
          <w:szCs w:val="22"/>
        </w:rPr>
        <w:t>the thirteen projects halted, and a third being reconfigured,</w:t>
      </w:r>
      <w:r w:rsidR="00C23C4E">
        <w:rPr>
          <w:rFonts w:cs="Arial"/>
          <w:bCs/>
          <w:color w:val="000000" w:themeColor="text1"/>
          <w:sz w:val="22"/>
          <w:szCs w:val="22"/>
        </w:rPr>
        <w:t xml:space="preserve"> the risk</w:t>
      </w:r>
      <w:r w:rsidR="006A256D">
        <w:rPr>
          <w:rFonts w:cs="Arial"/>
          <w:bCs/>
          <w:color w:val="000000" w:themeColor="text1"/>
          <w:sz w:val="22"/>
          <w:szCs w:val="22"/>
        </w:rPr>
        <w:t>s</w:t>
      </w:r>
      <w:r w:rsidR="00C23C4E">
        <w:rPr>
          <w:rFonts w:cs="Arial"/>
          <w:bCs/>
          <w:color w:val="000000" w:themeColor="text1"/>
          <w:sz w:val="22"/>
          <w:szCs w:val="22"/>
        </w:rPr>
        <w:t xml:space="preserve"> to</w:t>
      </w:r>
      <w:r w:rsidR="006A256D">
        <w:rPr>
          <w:rFonts w:cs="Arial"/>
          <w:bCs/>
          <w:color w:val="000000" w:themeColor="text1"/>
          <w:sz w:val="22"/>
          <w:szCs w:val="22"/>
        </w:rPr>
        <w:t xml:space="preserve"> Ci-Dev</w:t>
      </w:r>
      <w:r w:rsidR="00C23C4E">
        <w:rPr>
          <w:rFonts w:cs="Arial"/>
          <w:bCs/>
          <w:color w:val="000000" w:themeColor="text1"/>
          <w:sz w:val="22"/>
          <w:szCs w:val="22"/>
        </w:rPr>
        <w:t xml:space="preserve"> achieving </w:t>
      </w:r>
      <w:r w:rsidR="006A256D">
        <w:rPr>
          <w:rFonts w:cs="Arial"/>
          <w:bCs/>
          <w:color w:val="000000" w:themeColor="text1"/>
          <w:sz w:val="22"/>
          <w:szCs w:val="22"/>
        </w:rPr>
        <w:t xml:space="preserve">its </w:t>
      </w:r>
      <w:r w:rsidR="00C23C4E">
        <w:rPr>
          <w:rFonts w:cs="Arial"/>
          <w:bCs/>
          <w:color w:val="000000" w:themeColor="text1"/>
          <w:sz w:val="22"/>
          <w:szCs w:val="22"/>
        </w:rPr>
        <w:t xml:space="preserve">lifetime </w:t>
      </w:r>
      <w:r w:rsidR="002B2A5C">
        <w:rPr>
          <w:rFonts w:cs="Arial"/>
          <w:bCs/>
          <w:color w:val="000000" w:themeColor="text1"/>
          <w:sz w:val="22"/>
          <w:szCs w:val="22"/>
        </w:rPr>
        <w:t>outcome</w:t>
      </w:r>
      <w:r w:rsidR="00C23C4E">
        <w:rPr>
          <w:rFonts w:cs="Arial"/>
          <w:bCs/>
          <w:color w:val="000000" w:themeColor="text1"/>
          <w:sz w:val="22"/>
          <w:szCs w:val="22"/>
        </w:rPr>
        <w:t xml:space="preserve"> goals has increased. This is primarily driven by the relatively low </w:t>
      </w:r>
      <w:r w:rsidR="009657E1">
        <w:rPr>
          <w:rFonts w:cs="Arial"/>
          <w:bCs/>
          <w:color w:val="000000" w:themeColor="text1"/>
          <w:sz w:val="22"/>
          <w:szCs w:val="22"/>
        </w:rPr>
        <w:t xml:space="preserve">overall </w:t>
      </w:r>
      <w:r>
        <w:rPr>
          <w:rFonts w:cs="Arial"/>
          <w:bCs/>
          <w:color w:val="000000" w:themeColor="text1"/>
          <w:sz w:val="22"/>
          <w:szCs w:val="22"/>
        </w:rPr>
        <w:t>rate of implementation of new</w:t>
      </w:r>
      <w:r w:rsidR="00C23C4E">
        <w:rPr>
          <w:rFonts w:cs="Arial"/>
          <w:bCs/>
          <w:color w:val="000000" w:themeColor="text1"/>
          <w:sz w:val="22"/>
          <w:szCs w:val="22"/>
        </w:rPr>
        <w:t xml:space="preserve"> clean energy </w:t>
      </w:r>
      <w:r w:rsidR="00E21A4B">
        <w:rPr>
          <w:rFonts w:cs="Arial"/>
          <w:bCs/>
          <w:color w:val="000000" w:themeColor="text1"/>
          <w:sz w:val="22"/>
          <w:szCs w:val="22"/>
        </w:rPr>
        <w:t>technologies</w:t>
      </w:r>
      <w:r w:rsidR="009657E1">
        <w:rPr>
          <w:rFonts w:cs="Arial"/>
          <w:bCs/>
          <w:color w:val="000000" w:themeColor="text1"/>
          <w:sz w:val="22"/>
          <w:szCs w:val="22"/>
        </w:rPr>
        <w:t xml:space="preserve"> in </w:t>
      </w:r>
      <w:r>
        <w:rPr>
          <w:rFonts w:cs="Arial"/>
          <w:bCs/>
          <w:color w:val="000000" w:themeColor="text1"/>
          <w:sz w:val="22"/>
          <w:szCs w:val="22"/>
        </w:rPr>
        <w:t xml:space="preserve">projects supported by </w:t>
      </w:r>
      <w:r w:rsidR="009657E1">
        <w:rPr>
          <w:rFonts w:cs="Arial"/>
          <w:bCs/>
          <w:color w:val="000000" w:themeColor="text1"/>
          <w:sz w:val="22"/>
          <w:szCs w:val="22"/>
        </w:rPr>
        <w:t xml:space="preserve">Ci-Dev </w:t>
      </w:r>
      <w:r>
        <w:rPr>
          <w:rFonts w:cs="Arial"/>
          <w:bCs/>
          <w:color w:val="000000" w:themeColor="text1"/>
          <w:sz w:val="22"/>
          <w:szCs w:val="22"/>
        </w:rPr>
        <w:t>to date</w:t>
      </w:r>
      <w:r w:rsidR="00C23C4E">
        <w:rPr>
          <w:rFonts w:cs="Arial"/>
          <w:bCs/>
          <w:color w:val="000000" w:themeColor="text1"/>
          <w:sz w:val="22"/>
          <w:szCs w:val="22"/>
        </w:rPr>
        <w:t xml:space="preserve">, </w:t>
      </w:r>
      <w:r>
        <w:rPr>
          <w:rFonts w:cs="Arial"/>
          <w:bCs/>
          <w:color w:val="000000" w:themeColor="text1"/>
          <w:sz w:val="22"/>
          <w:szCs w:val="22"/>
        </w:rPr>
        <w:t xml:space="preserve">which </w:t>
      </w:r>
      <w:r w:rsidR="00BE0530">
        <w:rPr>
          <w:rFonts w:cs="Arial"/>
          <w:bCs/>
          <w:color w:val="000000" w:themeColor="text1"/>
          <w:sz w:val="22"/>
          <w:szCs w:val="22"/>
        </w:rPr>
        <w:t>has reduced the likelihood that planned</w:t>
      </w:r>
      <w:r w:rsidR="00C23C4E">
        <w:rPr>
          <w:rFonts w:cs="Arial"/>
          <w:bCs/>
          <w:color w:val="000000" w:themeColor="text1"/>
          <w:sz w:val="22"/>
          <w:szCs w:val="22"/>
        </w:rPr>
        <w:t xml:space="preserve"> emission reductions</w:t>
      </w:r>
      <w:r>
        <w:rPr>
          <w:rFonts w:cs="Arial"/>
          <w:bCs/>
          <w:color w:val="000000" w:themeColor="text1"/>
          <w:sz w:val="22"/>
          <w:szCs w:val="22"/>
        </w:rPr>
        <w:t xml:space="preserve"> </w:t>
      </w:r>
      <w:r w:rsidR="00BE0530">
        <w:rPr>
          <w:rFonts w:cs="Arial"/>
          <w:bCs/>
          <w:color w:val="000000" w:themeColor="text1"/>
          <w:sz w:val="22"/>
          <w:szCs w:val="22"/>
        </w:rPr>
        <w:t xml:space="preserve">will be realised </w:t>
      </w:r>
      <w:r>
        <w:rPr>
          <w:rFonts w:cs="Arial"/>
          <w:bCs/>
          <w:color w:val="000000" w:themeColor="text1"/>
          <w:sz w:val="22"/>
          <w:szCs w:val="22"/>
        </w:rPr>
        <w:t>in the longer term</w:t>
      </w:r>
      <w:r w:rsidR="000A2EB3">
        <w:rPr>
          <w:rFonts w:cs="Arial"/>
          <w:bCs/>
          <w:color w:val="000000" w:themeColor="text1"/>
          <w:sz w:val="22"/>
          <w:szCs w:val="22"/>
        </w:rPr>
        <w:t xml:space="preserve">. Just after this review period it was estimated that the portfolio, as configured, was on track to achieve 62% of its </w:t>
      </w:r>
      <w:r w:rsidR="009B32E6">
        <w:rPr>
          <w:rFonts w:cs="Arial"/>
          <w:bCs/>
          <w:color w:val="000000" w:themeColor="text1"/>
          <w:sz w:val="22"/>
          <w:szCs w:val="22"/>
        </w:rPr>
        <w:t>expected delivery volumes</w:t>
      </w:r>
      <w:r w:rsidR="00321091">
        <w:rPr>
          <w:rFonts w:cs="Arial"/>
          <w:bCs/>
          <w:color w:val="000000" w:themeColor="text1"/>
          <w:sz w:val="22"/>
          <w:szCs w:val="22"/>
        </w:rPr>
        <w:t>. T</w:t>
      </w:r>
      <w:r w:rsidR="006356E6">
        <w:rPr>
          <w:rFonts w:cs="Arial"/>
          <w:bCs/>
          <w:color w:val="000000" w:themeColor="text1"/>
          <w:sz w:val="22"/>
          <w:szCs w:val="22"/>
        </w:rPr>
        <w:t>his</w:t>
      </w:r>
      <w:r w:rsidR="006A256D">
        <w:rPr>
          <w:rFonts w:cs="Arial"/>
          <w:bCs/>
          <w:color w:val="000000" w:themeColor="text1"/>
          <w:sz w:val="22"/>
          <w:szCs w:val="22"/>
        </w:rPr>
        <w:t xml:space="preserve"> is the primary reason </w:t>
      </w:r>
      <w:r w:rsidR="006356E6">
        <w:rPr>
          <w:rFonts w:cs="Arial"/>
          <w:bCs/>
          <w:color w:val="000000" w:themeColor="text1"/>
          <w:sz w:val="22"/>
          <w:szCs w:val="22"/>
        </w:rPr>
        <w:t>BEIS</w:t>
      </w:r>
      <w:r w:rsidR="006A256D">
        <w:rPr>
          <w:rFonts w:cs="Arial"/>
          <w:bCs/>
          <w:color w:val="000000" w:themeColor="text1"/>
          <w:sz w:val="22"/>
          <w:szCs w:val="22"/>
        </w:rPr>
        <w:t xml:space="preserve"> ha</w:t>
      </w:r>
      <w:r w:rsidR="006356E6">
        <w:rPr>
          <w:rFonts w:cs="Arial"/>
          <w:bCs/>
          <w:color w:val="000000" w:themeColor="text1"/>
          <w:sz w:val="22"/>
          <w:szCs w:val="22"/>
        </w:rPr>
        <w:t>s</w:t>
      </w:r>
      <w:r w:rsidR="006A256D">
        <w:rPr>
          <w:rFonts w:cs="Arial"/>
          <w:bCs/>
          <w:color w:val="000000" w:themeColor="text1"/>
          <w:sz w:val="22"/>
          <w:szCs w:val="22"/>
        </w:rPr>
        <w:t xml:space="preserve"> adjusted </w:t>
      </w:r>
      <w:r w:rsidR="006356E6">
        <w:rPr>
          <w:rFonts w:cs="Arial"/>
          <w:bCs/>
          <w:color w:val="000000" w:themeColor="text1"/>
          <w:sz w:val="22"/>
          <w:szCs w:val="22"/>
        </w:rPr>
        <w:t xml:space="preserve">its </w:t>
      </w:r>
      <w:r w:rsidR="006A256D">
        <w:rPr>
          <w:rFonts w:cs="Arial"/>
          <w:bCs/>
          <w:color w:val="000000" w:themeColor="text1"/>
          <w:sz w:val="22"/>
          <w:szCs w:val="22"/>
        </w:rPr>
        <w:t>assessment of the overall delivery risk of the Department’s investment in Ci-Dev from moderate to major in this Annual Review</w:t>
      </w:r>
      <w:r w:rsidR="00321091">
        <w:rPr>
          <w:rFonts w:cs="Arial"/>
          <w:bCs/>
          <w:color w:val="000000" w:themeColor="text1"/>
          <w:sz w:val="22"/>
          <w:szCs w:val="22"/>
        </w:rPr>
        <w:t>, and</w:t>
      </w:r>
      <w:r w:rsidR="00730716">
        <w:rPr>
          <w:rFonts w:cs="Arial"/>
          <w:bCs/>
          <w:color w:val="000000" w:themeColor="text1"/>
          <w:sz w:val="22"/>
          <w:szCs w:val="22"/>
        </w:rPr>
        <w:t xml:space="preserve">, although the programme </w:t>
      </w:r>
      <w:r w:rsidR="001B31AA">
        <w:rPr>
          <w:rFonts w:cs="Arial"/>
          <w:bCs/>
          <w:color w:val="000000" w:themeColor="text1"/>
          <w:sz w:val="22"/>
          <w:szCs w:val="22"/>
        </w:rPr>
        <w:t>almost scored an ‘A’,</w:t>
      </w:r>
      <w:r w:rsidR="00321091">
        <w:rPr>
          <w:rFonts w:cs="Arial"/>
          <w:bCs/>
          <w:color w:val="000000" w:themeColor="text1"/>
          <w:sz w:val="22"/>
          <w:szCs w:val="22"/>
        </w:rPr>
        <w:t xml:space="preserve"> </w:t>
      </w:r>
      <w:r w:rsidR="00720C07">
        <w:rPr>
          <w:rFonts w:cs="Arial"/>
          <w:bCs/>
          <w:color w:val="000000" w:themeColor="text1"/>
          <w:sz w:val="22"/>
          <w:szCs w:val="22"/>
        </w:rPr>
        <w:t xml:space="preserve">awarded an overall </w:t>
      </w:r>
      <w:r w:rsidR="00321091">
        <w:rPr>
          <w:rFonts w:cs="Arial"/>
          <w:bCs/>
          <w:color w:val="000000" w:themeColor="text1"/>
          <w:sz w:val="22"/>
          <w:szCs w:val="22"/>
        </w:rPr>
        <w:t>score</w:t>
      </w:r>
      <w:r w:rsidR="00720C07">
        <w:rPr>
          <w:rFonts w:cs="Arial"/>
          <w:bCs/>
          <w:color w:val="000000" w:themeColor="text1"/>
          <w:sz w:val="22"/>
          <w:szCs w:val="22"/>
        </w:rPr>
        <w:t xml:space="preserve"> of</w:t>
      </w:r>
      <w:r w:rsidR="00321091">
        <w:rPr>
          <w:rFonts w:cs="Arial"/>
          <w:bCs/>
          <w:color w:val="000000" w:themeColor="text1"/>
          <w:sz w:val="22"/>
          <w:szCs w:val="22"/>
        </w:rPr>
        <w:t xml:space="preserve"> </w:t>
      </w:r>
      <w:r w:rsidR="00250459">
        <w:rPr>
          <w:rFonts w:cs="Arial"/>
          <w:bCs/>
          <w:color w:val="000000" w:themeColor="text1"/>
          <w:sz w:val="22"/>
          <w:szCs w:val="22"/>
        </w:rPr>
        <w:t xml:space="preserve">‘B: outputs moderately did not meet expectation’. </w:t>
      </w:r>
    </w:p>
    <w:p w14:paraId="79BA1266" w14:textId="77777777" w:rsidR="006A256D" w:rsidRDefault="006A256D" w:rsidP="00183F44">
      <w:pPr>
        <w:jc w:val="both"/>
        <w:rPr>
          <w:rFonts w:cs="Arial"/>
          <w:bCs/>
          <w:color w:val="000000" w:themeColor="text1"/>
          <w:sz w:val="22"/>
          <w:szCs w:val="22"/>
        </w:rPr>
      </w:pPr>
    </w:p>
    <w:p w14:paraId="76FF669D" w14:textId="4C32D761" w:rsidR="008A5342" w:rsidRDefault="008A5342" w:rsidP="00183F44">
      <w:pPr>
        <w:jc w:val="both"/>
        <w:rPr>
          <w:rFonts w:cs="Arial"/>
          <w:bCs/>
          <w:color w:val="000000" w:themeColor="text1"/>
          <w:sz w:val="22"/>
          <w:szCs w:val="22"/>
        </w:rPr>
      </w:pPr>
      <w:r>
        <w:rPr>
          <w:rFonts w:cs="Arial"/>
          <w:bCs/>
          <w:color w:val="000000" w:themeColor="text1"/>
          <w:sz w:val="22"/>
          <w:szCs w:val="22"/>
        </w:rPr>
        <w:t>The World Bank’s Ci-Dev team (‘the Trustee’) is taking remedial action, detailed below</w:t>
      </w:r>
      <w:r w:rsidR="00B349AE">
        <w:rPr>
          <w:rFonts w:cs="Arial"/>
          <w:bCs/>
          <w:color w:val="000000" w:themeColor="text1"/>
          <w:sz w:val="22"/>
          <w:szCs w:val="22"/>
        </w:rPr>
        <w:t>,</w:t>
      </w:r>
      <w:r>
        <w:rPr>
          <w:rFonts w:cs="Arial"/>
          <w:bCs/>
          <w:color w:val="000000" w:themeColor="text1"/>
          <w:sz w:val="22"/>
          <w:szCs w:val="22"/>
        </w:rPr>
        <w:t xml:space="preserve"> to improve </w:t>
      </w:r>
      <w:r w:rsidR="00E21A4B">
        <w:rPr>
          <w:rFonts w:cs="Arial"/>
          <w:bCs/>
          <w:color w:val="000000" w:themeColor="text1"/>
          <w:sz w:val="22"/>
          <w:szCs w:val="22"/>
        </w:rPr>
        <w:t>technology</w:t>
      </w:r>
      <w:r w:rsidR="006A256D">
        <w:rPr>
          <w:rFonts w:cs="Arial"/>
          <w:bCs/>
          <w:color w:val="000000" w:themeColor="text1"/>
          <w:sz w:val="22"/>
          <w:szCs w:val="22"/>
        </w:rPr>
        <w:t xml:space="preserve"> </w:t>
      </w:r>
      <w:r w:rsidR="00077F54">
        <w:rPr>
          <w:rFonts w:cs="Arial"/>
          <w:bCs/>
          <w:color w:val="000000" w:themeColor="text1"/>
          <w:sz w:val="22"/>
          <w:szCs w:val="22"/>
        </w:rPr>
        <w:t xml:space="preserve">implementation </w:t>
      </w:r>
      <w:r>
        <w:rPr>
          <w:rFonts w:cs="Arial"/>
          <w:bCs/>
          <w:color w:val="000000" w:themeColor="text1"/>
          <w:sz w:val="22"/>
          <w:szCs w:val="22"/>
        </w:rPr>
        <w:t xml:space="preserve">and emission reduction rates, </w:t>
      </w:r>
      <w:r w:rsidR="006A256D">
        <w:rPr>
          <w:rFonts w:cs="Arial"/>
          <w:bCs/>
          <w:color w:val="000000" w:themeColor="text1"/>
          <w:sz w:val="22"/>
          <w:szCs w:val="22"/>
        </w:rPr>
        <w:t xml:space="preserve">including </w:t>
      </w:r>
      <w:r w:rsidR="00DB32CB">
        <w:rPr>
          <w:rFonts w:cs="Arial"/>
          <w:bCs/>
          <w:color w:val="000000" w:themeColor="text1"/>
          <w:sz w:val="22"/>
          <w:szCs w:val="22"/>
        </w:rPr>
        <w:t>recommitting</w:t>
      </w:r>
      <w:r>
        <w:rPr>
          <w:rFonts w:cs="Arial"/>
          <w:bCs/>
          <w:color w:val="000000" w:themeColor="text1"/>
          <w:sz w:val="22"/>
          <w:szCs w:val="22"/>
        </w:rPr>
        <w:t xml:space="preserve"> capital from </w:t>
      </w:r>
      <w:r w:rsidR="006A256D">
        <w:rPr>
          <w:rFonts w:cs="Arial"/>
          <w:bCs/>
          <w:color w:val="000000" w:themeColor="text1"/>
          <w:sz w:val="22"/>
          <w:szCs w:val="22"/>
        </w:rPr>
        <w:t>projects that have slowed or halted</w:t>
      </w:r>
      <w:r>
        <w:rPr>
          <w:rFonts w:cs="Arial"/>
          <w:bCs/>
          <w:color w:val="000000" w:themeColor="text1"/>
          <w:sz w:val="22"/>
          <w:szCs w:val="22"/>
        </w:rPr>
        <w:t xml:space="preserve"> to existing, </w:t>
      </w:r>
      <w:r w:rsidR="006A256D">
        <w:rPr>
          <w:rFonts w:cs="Arial"/>
          <w:bCs/>
          <w:color w:val="000000" w:themeColor="text1"/>
          <w:sz w:val="22"/>
          <w:szCs w:val="22"/>
        </w:rPr>
        <w:t xml:space="preserve">strongly </w:t>
      </w:r>
      <w:r>
        <w:rPr>
          <w:rFonts w:cs="Arial"/>
          <w:bCs/>
          <w:color w:val="000000" w:themeColor="text1"/>
          <w:sz w:val="22"/>
          <w:szCs w:val="22"/>
        </w:rPr>
        <w:t>performing projects</w:t>
      </w:r>
      <w:r w:rsidR="005C59D4">
        <w:rPr>
          <w:rFonts w:cs="Arial"/>
          <w:bCs/>
          <w:color w:val="000000" w:themeColor="text1"/>
          <w:sz w:val="22"/>
          <w:szCs w:val="22"/>
        </w:rPr>
        <w:t>;</w:t>
      </w:r>
      <w:r>
        <w:rPr>
          <w:rFonts w:cs="Arial"/>
          <w:bCs/>
          <w:color w:val="000000" w:themeColor="text1"/>
          <w:sz w:val="22"/>
          <w:szCs w:val="22"/>
        </w:rPr>
        <w:t xml:space="preserve"> a</w:t>
      </w:r>
      <w:r w:rsidR="006A256D">
        <w:rPr>
          <w:rFonts w:cs="Arial"/>
          <w:bCs/>
          <w:color w:val="000000" w:themeColor="text1"/>
          <w:sz w:val="22"/>
          <w:szCs w:val="22"/>
        </w:rPr>
        <w:t xml:space="preserve">s well as bringing </w:t>
      </w:r>
      <w:r>
        <w:rPr>
          <w:rFonts w:cs="Arial"/>
          <w:bCs/>
          <w:color w:val="000000" w:themeColor="text1"/>
          <w:sz w:val="22"/>
          <w:szCs w:val="22"/>
        </w:rPr>
        <w:t xml:space="preserve">new </w:t>
      </w:r>
      <w:r w:rsidR="006A256D">
        <w:rPr>
          <w:rFonts w:cs="Arial"/>
          <w:bCs/>
          <w:color w:val="000000" w:themeColor="text1"/>
          <w:sz w:val="22"/>
          <w:szCs w:val="22"/>
        </w:rPr>
        <w:t>projects into Ci-Dev’s portfolio</w:t>
      </w:r>
      <w:r>
        <w:rPr>
          <w:rFonts w:cs="Arial"/>
          <w:bCs/>
          <w:color w:val="000000" w:themeColor="text1"/>
          <w:sz w:val="22"/>
          <w:szCs w:val="22"/>
        </w:rPr>
        <w:t xml:space="preserve">. </w:t>
      </w:r>
      <w:r w:rsidR="002B2A5C">
        <w:rPr>
          <w:rFonts w:cs="Arial"/>
          <w:bCs/>
          <w:color w:val="000000" w:themeColor="text1"/>
          <w:sz w:val="22"/>
          <w:szCs w:val="22"/>
        </w:rPr>
        <w:t>J</w:t>
      </w:r>
      <w:r>
        <w:rPr>
          <w:rFonts w:cs="Arial"/>
          <w:bCs/>
          <w:color w:val="000000" w:themeColor="text1"/>
          <w:sz w:val="22"/>
          <w:szCs w:val="22"/>
        </w:rPr>
        <w:t xml:space="preserve">ust after </w:t>
      </w:r>
      <w:r w:rsidR="006A256D">
        <w:rPr>
          <w:rFonts w:cs="Arial"/>
          <w:bCs/>
          <w:color w:val="000000" w:themeColor="text1"/>
          <w:sz w:val="22"/>
          <w:szCs w:val="22"/>
        </w:rPr>
        <w:t>the</w:t>
      </w:r>
      <w:r>
        <w:rPr>
          <w:rFonts w:cs="Arial"/>
          <w:bCs/>
          <w:color w:val="000000" w:themeColor="text1"/>
          <w:sz w:val="22"/>
          <w:szCs w:val="22"/>
        </w:rPr>
        <w:t xml:space="preserve"> period</w:t>
      </w:r>
      <w:r w:rsidR="006A256D">
        <w:rPr>
          <w:rFonts w:cs="Arial"/>
          <w:bCs/>
          <w:color w:val="000000" w:themeColor="text1"/>
          <w:sz w:val="22"/>
          <w:szCs w:val="22"/>
        </w:rPr>
        <w:t xml:space="preserve"> covered by this Annual Review</w:t>
      </w:r>
      <w:r>
        <w:rPr>
          <w:rFonts w:cs="Arial"/>
          <w:bCs/>
          <w:color w:val="000000" w:themeColor="text1"/>
          <w:sz w:val="22"/>
          <w:szCs w:val="22"/>
        </w:rPr>
        <w:t>, the Trustee presented, and Ci-Dev Contributors agreed, a</w:t>
      </w:r>
      <w:r w:rsidR="002B2A5C">
        <w:rPr>
          <w:rFonts w:cs="Arial"/>
          <w:bCs/>
          <w:color w:val="000000" w:themeColor="text1"/>
          <w:sz w:val="22"/>
          <w:szCs w:val="22"/>
        </w:rPr>
        <w:t xml:space="preserve"> capital recommitment exercise for </w:t>
      </w:r>
      <w:r w:rsidR="00051A79">
        <w:rPr>
          <w:rFonts w:cs="Arial"/>
          <w:bCs/>
          <w:color w:val="000000" w:themeColor="text1"/>
          <w:sz w:val="22"/>
          <w:szCs w:val="22"/>
        </w:rPr>
        <w:t xml:space="preserve">Ci-Dev </w:t>
      </w:r>
      <w:r w:rsidR="002B2A5C">
        <w:rPr>
          <w:rFonts w:cs="Arial"/>
          <w:bCs/>
          <w:color w:val="000000" w:themeColor="text1"/>
          <w:sz w:val="22"/>
          <w:szCs w:val="22"/>
        </w:rPr>
        <w:t xml:space="preserve">funding that should achieve this </w:t>
      </w:r>
      <w:r w:rsidR="00051A79">
        <w:rPr>
          <w:rFonts w:cs="Arial"/>
          <w:bCs/>
          <w:color w:val="000000" w:themeColor="text1"/>
          <w:sz w:val="22"/>
          <w:szCs w:val="22"/>
        </w:rPr>
        <w:t>over the</w:t>
      </w:r>
      <w:r>
        <w:rPr>
          <w:rFonts w:cs="Arial"/>
          <w:bCs/>
          <w:color w:val="000000" w:themeColor="text1"/>
          <w:sz w:val="22"/>
          <w:szCs w:val="22"/>
        </w:rPr>
        <w:t xml:space="preserve"> 12 months to May </w:t>
      </w:r>
      <w:r w:rsidR="009657E1">
        <w:rPr>
          <w:rFonts w:cs="Arial"/>
          <w:bCs/>
          <w:color w:val="000000" w:themeColor="text1"/>
          <w:sz w:val="22"/>
          <w:szCs w:val="22"/>
        </w:rPr>
        <w:t>20</w:t>
      </w:r>
      <w:r>
        <w:rPr>
          <w:rFonts w:cs="Arial"/>
          <w:bCs/>
          <w:color w:val="000000" w:themeColor="text1"/>
          <w:sz w:val="22"/>
          <w:szCs w:val="22"/>
        </w:rPr>
        <w:t>21.</w:t>
      </w:r>
      <w:r w:rsidR="009A41E2">
        <w:rPr>
          <w:rFonts w:cs="Arial"/>
          <w:bCs/>
          <w:color w:val="000000" w:themeColor="text1"/>
          <w:sz w:val="22"/>
          <w:szCs w:val="22"/>
        </w:rPr>
        <w:t xml:space="preserve"> </w:t>
      </w:r>
      <w:r w:rsidR="002B2A5C">
        <w:rPr>
          <w:rFonts w:cs="Arial"/>
          <w:bCs/>
          <w:color w:val="000000" w:themeColor="text1"/>
          <w:sz w:val="22"/>
          <w:szCs w:val="22"/>
        </w:rPr>
        <w:t xml:space="preserve">At this stage, it is hard to assess the impact this </w:t>
      </w:r>
      <w:r w:rsidR="00C77FF8">
        <w:rPr>
          <w:rFonts w:cs="Arial"/>
          <w:bCs/>
          <w:color w:val="000000" w:themeColor="text1"/>
          <w:sz w:val="22"/>
          <w:szCs w:val="22"/>
        </w:rPr>
        <w:t>remedial action</w:t>
      </w:r>
      <w:r w:rsidR="002B2A5C">
        <w:rPr>
          <w:rFonts w:cs="Arial"/>
          <w:bCs/>
          <w:color w:val="000000" w:themeColor="text1"/>
          <w:sz w:val="22"/>
          <w:szCs w:val="22"/>
        </w:rPr>
        <w:t xml:space="preserve"> will have on lifetime goals because credit volumes, prices and other elements of replacement projects are still being developed</w:t>
      </w:r>
      <w:r w:rsidR="00C77FF8">
        <w:rPr>
          <w:rFonts w:cs="Arial"/>
          <w:bCs/>
          <w:color w:val="000000" w:themeColor="text1"/>
          <w:sz w:val="22"/>
          <w:szCs w:val="22"/>
        </w:rPr>
        <w:t xml:space="preserve">, and the effects of Covid-19 on the number and commercial viability of potential replacements </w:t>
      </w:r>
      <w:r w:rsidR="009A41E2">
        <w:rPr>
          <w:rFonts w:cs="Arial"/>
          <w:bCs/>
          <w:color w:val="000000" w:themeColor="text1"/>
          <w:sz w:val="22"/>
          <w:szCs w:val="22"/>
        </w:rPr>
        <w:t>are</w:t>
      </w:r>
      <w:r w:rsidR="00C77FF8">
        <w:rPr>
          <w:rFonts w:cs="Arial"/>
          <w:bCs/>
          <w:color w:val="000000" w:themeColor="text1"/>
          <w:sz w:val="22"/>
          <w:szCs w:val="22"/>
        </w:rPr>
        <w:t xml:space="preserve"> still being worked through</w:t>
      </w:r>
      <w:r w:rsidR="002B2A5C">
        <w:rPr>
          <w:rFonts w:cs="Arial"/>
          <w:bCs/>
          <w:color w:val="000000" w:themeColor="text1"/>
          <w:sz w:val="22"/>
          <w:szCs w:val="22"/>
        </w:rPr>
        <w:t xml:space="preserve">. </w:t>
      </w:r>
      <w:r w:rsidR="00DA3455">
        <w:rPr>
          <w:rFonts w:cs="Arial"/>
          <w:bCs/>
          <w:color w:val="000000" w:themeColor="text1"/>
          <w:sz w:val="22"/>
          <w:szCs w:val="22"/>
        </w:rPr>
        <w:t>A clearer picture will emerge in the coming 12 months</w:t>
      </w:r>
      <w:r w:rsidR="0009240B">
        <w:rPr>
          <w:rFonts w:cs="Arial"/>
          <w:bCs/>
          <w:color w:val="000000" w:themeColor="text1"/>
          <w:sz w:val="22"/>
          <w:szCs w:val="22"/>
        </w:rPr>
        <w:t xml:space="preserve"> and may reduce the overall delivery risk</w:t>
      </w:r>
      <w:r w:rsidR="00A855A1">
        <w:rPr>
          <w:rFonts w:cs="Arial"/>
          <w:bCs/>
          <w:color w:val="000000" w:themeColor="text1"/>
          <w:sz w:val="22"/>
          <w:szCs w:val="22"/>
        </w:rPr>
        <w:t>,</w:t>
      </w:r>
      <w:r w:rsidR="0009240B">
        <w:rPr>
          <w:rFonts w:cs="Arial"/>
          <w:bCs/>
          <w:color w:val="000000" w:themeColor="text1"/>
          <w:sz w:val="22"/>
          <w:szCs w:val="22"/>
        </w:rPr>
        <w:t xml:space="preserve"> in time.</w:t>
      </w:r>
      <w:r w:rsidR="00566E18">
        <w:rPr>
          <w:rFonts w:cs="Arial"/>
          <w:bCs/>
          <w:color w:val="000000" w:themeColor="text1"/>
          <w:sz w:val="22"/>
          <w:szCs w:val="22"/>
        </w:rPr>
        <w:t xml:space="preserve"> </w:t>
      </w:r>
    </w:p>
    <w:p w14:paraId="7BC8EDCF" w14:textId="77777777" w:rsidR="008A5342" w:rsidRDefault="008A5342" w:rsidP="00183F44">
      <w:pPr>
        <w:jc w:val="both"/>
        <w:rPr>
          <w:rFonts w:cs="Arial"/>
          <w:bCs/>
          <w:color w:val="000000" w:themeColor="text1"/>
          <w:sz w:val="22"/>
          <w:szCs w:val="22"/>
        </w:rPr>
      </w:pPr>
    </w:p>
    <w:p w14:paraId="55360014" w14:textId="321E932C" w:rsidR="000D6B9A" w:rsidRDefault="00DA3455" w:rsidP="00183F44">
      <w:pPr>
        <w:jc w:val="both"/>
        <w:rPr>
          <w:rFonts w:cs="Arial"/>
          <w:bCs/>
          <w:color w:val="000000" w:themeColor="text1"/>
          <w:sz w:val="22"/>
          <w:szCs w:val="22"/>
        </w:rPr>
      </w:pPr>
      <w:r>
        <w:rPr>
          <w:rFonts w:cs="Arial"/>
          <w:bCs/>
          <w:color w:val="000000" w:themeColor="text1"/>
          <w:sz w:val="22"/>
          <w:szCs w:val="22"/>
        </w:rPr>
        <w:lastRenderedPageBreak/>
        <w:t xml:space="preserve">There were several positive developments during this review period. </w:t>
      </w:r>
      <w:r w:rsidR="00157F22">
        <w:rPr>
          <w:rFonts w:cs="Arial"/>
          <w:bCs/>
          <w:color w:val="000000" w:themeColor="text1"/>
          <w:sz w:val="22"/>
          <w:szCs w:val="22"/>
        </w:rPr>
        <w:t>Three</w:t>
      </w:r>
      <w:r w:rsidR="00A51007">
        <w:rPr>
          <w:rFonts w:cs="Arial"/>
          <w:bCs/>
          <w:color w:val="000000" w:themeColor="text1"/>
          <w:sz w:val="22"/>
          <w:szCs w:val="22"/>
        </w:rPr>
        <w:t xml:space="preserve"> of the portfolio’s </w:t>
      </w:r>
      <w:r w:rsidR="00566B33">
        <w:rPr>
          <w:rFonts w:cs="Arial"/>
          <w:bCs/>
          <w:color w:val="000000" w:themeColor="text1"/>
          <w:sz w:val="22"/>
          <w:szCs w:val="22"/>
        </w:rPr>
        <w:t>thirteen</w:t>
      </w:r>
      <w:r w:rsidR="00A51007">
        <w:rPr>
          <w:rFonts w:cs="Arial"/>
          <w:bCs/>
          <w:color w:val="000000" w:themeColor="text1"/>
          <w:sz w:val="22"/>
          <w:szCs w:val="22"/>
        </w:rPr>
        <w:t xml:space="preserve"> projects </w:t>
      </w:r>
      <w:r w:rsidR="00EC4DCB">
        <w:rPr>
          <w:rFonts w:cs="Arial"/>
          <w:bCs/>
          <w:color w:val="000000" w:themeColor="text1"/>
          <w:sz w:val="22"/>
          <w:szCs w:val="22"/>
        </w:rPr>
        <w:t>delivered their first UN-certified credits</w:t>
      </w:r>
      <w:r w:rsidR="000C6BDC">
        <w:rPr>
          <w:rFonts w:cs="Arial"/>
          <w:bCs/>
          <w:color w:val="000000" w:themeColor="text1"/>
          <w:sz w:val="22"/>
          <w:szCs w:val="22"/>
        </w:rPr>
        <w:t>. These are the Ethiopia: Biogas, Ethiopia</w:t>
      </w:r>
      <w:r w:rsidR="003A7811">
        <w:rPr>
          <w:rFonts w:cs="Arial"/>
          <w:bCs/>
          <w:color w:val="000000" w:themeColor="text1"/>
          <w:sz w:val="22"/>
          <w:szCs w:val="22"/>
        </w:rPr>
        <w:t>: Off-</w:t>
      </w:r>
      <w:r w:rsidR="00072B20">
        <w:rPr>
          <w:rFonts w:cs="Arial"/>
          <w:bCs/>
          <w:color w:val="000000" w:themeColor="text1"/>
          <w:sz w:val="22"/>
          <w:szCs w:val="22"/>
        </w:rPr>
        <w:t>G</w:t>
      </w:r>
      <w:r w:rsidR="003A7811">
        <w:rPr>
          <w:rFonts w:cs="Arial"/>
          <w:bCs/>
          <w:color w:val="000000" w:themeColor="text1"/>
          <w:sz w:val="22"/>
          <w:szCs w:val="22"/>
        </w:rPr>
        <w:t>rid</w:t>
      </w:r>
      <w:r w:rsidR="00072B20">
        <w:rPr>
          <w:rFonts w:cs="Arial"/>
          <w:bCs/>
          <w:color w:val="000000" w:themeColor="text1"/>
          <w:sz w:val="22"/>
          <w:szCs w:val="22"/>
        </w:rPr>
        <w:t xml:space="preserve"> Renewable Energy</w:t>
      </w:r>
      <w:r w:rsidR="003A7811">
        <w:rPr>
          <w:rFonts w:cs="Arial"/>
          <w:bCs/>
          <w:color w:val="000000" w:themeColor="text1"/>
          <w:sz w:val="22"/>
          <w:szCs w:val="22"/>
        </w:rPr>
        <w:t>, and Uganda: Rural Electrification projects</w:t>
      </w:r>
      <w:r w:rsidR="00676032" w:rsidRPr="00183F44">
        <w:rPr>
          <w:rFonts w:cs="Arial"/>
          <w:bCs/>
          <w:color w:val="000000" w:themeColor="text1"/>
          <w:sz w:val="22"/>
          <w:szCs w:val="22"/>
        </w:rPr>
        <w:t xml:space="preserve">. </w:t>
      </w:r>
      <w:r w:rsidR="006871F1">
        <w:rPr>
          <w:rFonts w:cs="Arial"/>
          <w:bCs/>
          <w:color w:val="000000" w:themeColor="text1"/>
          <w:sz w:val="22"/>
          <w:szCs w:val="22"/>
        </w:rPr>
        <w:t xml:space="preserve">Two other projects </w:t>
      </w:r>
      <w:r w:rsidR="00E11902">
        <w:rPr>
          <w:rFonts w:cs="Arial"/>
          <w:bCs/>
          <w:color w:val="000000" w:themeColor="text1"/>
          <w:sz w:val="22"/>
          <w:szCs w:val="22"/>
        </w:rPr>
        <w:t>recorded their second credit issuance. These were Madagascar: Clean Ethanol Cookstoves, and West Africa</w:t>
      </w:r>
      <w:r w:rsidR="004C217D">
        <w:rPr>
          <w:rFonts w:cs="Arial"/>
          <w:bCs/>
          <w:color w:val="000000" w:themeColor="text1"/>
          <w:sz w:val="22"/>
          <w:szCs w:val="22"/>
        </w:rPr>
        <w:t>:</w:t>
      </w:r>
      <w:r w:rsidR="00E11902">
        <w:rPr>
          <w:rFonts w:cs="Arial"/>
          <w:bCs/>
          <w:color w:val="000000" w:themeColor="text1"/>
          <w:sz w:val="22"/>
          <w:szCs w:val="22"/>
        </w:rPr>
        <w:t xml:space="preserve"> Biodigesters. </w:t>
      </w:r>
      <w:r w:rsidR="006C6060">
        <w:rPr>
          <w:rFonts w:cs="Arial"/>
          <w:bCs/>
          <w:color w:val="000000" w:themeColor="text1"/>
          <w:sz w:val="22"/>
          <w:szCs w:val="22"/>
        </w:rPr>
        <w:t xml:space="preserve">The former is the first </w:t>
      </w:r>
      <w:r w:rsidR="006C6060" w:rsidRPr="00956A7D">
        <w:rPr>
          <w:rFonts w:cs="Arial"/>
          <w:bCs/>
          <w:color w:val="000000" w:themeColor="text1"/>
          <w:sz w:val="22"/>
          <w:szCs w:val="22"/>
        </w:rPr>
        <w:t>C</w:t>
      </w:r>
      <w:r w:rsidR="00956A7D">
        <w:rPr>
          <w:rFonts w:cs="Arial"/>
          <w:bCs/>
          <w:color w:val="000000" w:themeColor="text1"/>
          <w:sz w:val="22"/>
          <w:szCs w:val="22"/>
        </w:rPr>
        <w:t xml:space="preserve">lean </w:t>
      </w:r>
      <w:r w:rsidR="006C6060" w:rsidRPr="00956A7D">
        <w:rPr>
          <w:rFonts w:cs="Arial"/>
          <w:bCs/>
          <w:color w:val="000000" w:themeColor="text1"/>
          <w:sz w:val="22"/>
          <w:szCs w:val="22"/>
        </w:rPr>
        <w:t>D</w:t>
      </w:r>
      <w:r w:rsidR="00956A7D">
        <w:rPr>
          <w:rFonts w:cs="Arial"/>
          <w:bCs/>
          <w:color w:val="000000" w:themeColor="text1"/>
          <w:sz w:val="22"/>
          <w:szCs w:val="22"/>
        </w:rPr>
        <w:t xml:space="preserve">evelopment </w:t>
      </w:r>
      <w:r w:rsidR="006C6060" w:rsidRPr="00956A7D">
        <w:rPr>
          <w:rFonts w:cs="Arial"/>
          <w:bCs/>
          <w:color w:val="000000" w:themeColor="text1"/>
          <w:sz w:val="22"/>
          <w:szCs w:val="22"/>
        </w:rPr>
        <w:t>M</w:t>
      </w:r>
      <w:r w:rsidR="00956A7D">
        <w:rPr>
          <w:rFonts w:cs="Arial"/>
          <w:bCs/>
          <w:color w:val="000000" w:themeColor="text1"/>
          <w:sz w:val="22"/>
          <w:szCs w:val="22"/>
        </w:rPr>
        <w:t>echanism</w:t>
      </w:r>
      <w:r w:rsidR="00A57FA5">
        <w:rPr>
          <w:rStyle w:val="FootnoteReference"/>
          <w:rFonts w:cs="Arial"/>
          <w:bCs/>
          <w:color w:val="000000" w:themeColor="text1"/>
          <w:sz w:val="22"/>
          <w:szCs w:val="22"/>
        </w:rPr>
        <w:footnoteReference w:id="4"/>
      </w:r>
      <w:r w:rsidR="006C6060">
        <w:rPr>
          <w:rFonts w:cs="Arial"/>
          <w:bCs/>
          <w:color w:val="000000" w:themeColor="text1"/>
          <w:sz w:val="22"/>
          <w:szCs w:val="22"/>
        </w:rPr>
        <w:t xml:space="preserve"> </w:t>
      </w:r>
      <w:r w:rsidR="00A57FA5">
        <w:rPr>
          <w:rFonts w:cs="Arial"/>
          <w:bCs/>
          <w:color w:val="000000" w:themeColor="text1"/>
          <w:sz w:val="22"/>
          <w:szCs w:val="22"/>
        </w:rPr>
        <w:t xml:space="preserve">(CDM) </w:t>
      </w:r>
      <w:r w:rsidR="006C6060">
        <w:rPr>
          <w:rFonts w:cs="Arial"/>
          <w:bCs/>
          <w:color w:val="000000" w:themeColor="text1"/>
          <w:sz w:val="22"/>
          <w:szCs w:val="22"/>
        </w:rPr>
        <w:t xml:space="preserve">project of its kind </w:t>
      </w:r>
      <w:r w:rsidR="003718F2">
        <w:rPr>
          <w:rFonts w:cs="Arial"/>
          <w:bCs/>
          <w:color w:val="000000" w:themeColor="text1"/>
          <w:sz w:val="22"/>
          <w:szCs w:val="22"/>
        </w:rPr>
        <w:t xml:space="preserve">to issue credits </w:t>
      </w:r>
      <w:r w:rsidR="006C6060">
        <w:rPr>
          <w:rFonts w:cs="Arial"/>
          <w:bCs/>
          <w:color w:val="000000" w:themeColor="text1"/>
          <w:sz w:val="22"/>
          <w:szCs w:val="22"/>
        </w:rPr>
        <w:t>in the country, and the latter the first CDM projec</w:t>
      </w:r>
      <w:r w:rsidR="001171C9">
        <w:rPr>
          <w:rFonts w:cs="Arial"/>
          <w:bCs/>
          <w:color w:val="000000" w:themeColor="text1"/>
          <w:sz w:val="22"/>
          <w:szCs w:val="22"/>
        </w:rPr>
        <w:t xml:space="preserve">t </w:t>
      </w:r>
      <w:r w:rsidR="008004CF">
        <w:rPr>
          <w:rFonts w:cs="Arial"/>
          <w:bCs/>
          <w:color w:val="000000" w:themeColor="text1"/>
          <w:sz w:val="22"/>
          <w:szCs w:val="22"/>
        </w:rPr>
        <w:t xml:space="preserve">to issue credits </w:t>
      </w:r>
      <w:r w:rsidR="001171C9">
        <w:rPr>
          <w:rFonts w:cs="Arial"/>
          <w:bCs/>
          <w:color w:val="000000" w:themeColor="text1"/>
          <w:sz w:val="22"/>
          <w:szCs w:val="22"/>
        </w:rPr>
        <w:t xml:space="preserve">in Burkina Faso. </w:t>
      </w:r>
      <w:r w:rsidR="000D6B9A">
        <w:rPr>
          <w:rFonts w:cs="Arial"/>
          <w:bCs/>
          <w:color w:val="000000" w:themeColor="text1"/>
          <w:sz w:val="22"/>
          <w:szCs w:val="22"/>
        </w:rPr>
        <w:t xml:space="preserve">This </w:t>
      </w:r>
      <w:r w:rsidR="002E59A2">
        <w:rPr>
          <w:rFonts w:cs="Arial"/>
          <w:bCs/>
          <w:color w:val="000000" w:themeColor="text1"/>
          <w:sz w:val="22"/>
          <w:szCs w:val="22"/>
        </w:rPr>
        <w:t>demonstrates</w:t>
      </w:r>
      <w:r w:rsidR="000D6B9A">
        <w:rPr>
          <w:rFonts w:cs="Arial"/>
          <w:bCs/>
          <w:color w:val="000000" w:themeColor="text1"/>
          <w:sz w:val="22"/>
          <w:szCs w:val="22"/>
        </w:rPr>
        <w:t xml:space="preserve"> progress towards Ci-Dev’s aim to enhance LDC participation in carbon markets. </w:t>
      </w:r>
    </w:p>
    <w:p w14:paraId="130968F8" w14:textId="77777777" w:rsidR="000D6B9A" w:rsidRDefault="000D6B9A" w:rsidP="00183F44">
      <w:pPr>
        <w:jc w:val="both"/>
        <w:rPr>
          <w:rFonts w:cs="Arial"/>
          <w:bCs/>
          <w:color w:val="000000" w:themeColor="text1"/>
          <w:sz w:val="22"/>
          <w:szCs w:val="22"/>
        </w:rPr>
      </w:pPr>
    </w:p>
    <w:p w14:paraId="5FE49CE0" w14:textId="474F268B" w:rsidR="00183F44" w:rsidRPr="00183F44" w:rsidRDefault="003D19B7" w:rsidP="00183F44">
      <w:pPr>
        <w:jc w:val="both"/>
        <w:rPr>
          <w:rFonts w:cs="Arial"/>
          <w:bCs/>
          <w:color w:val="000000" w:themeColor="text1"/>
          <w:sz w:val="22"/>
          <w:szCs w:val="22"/>
        </w:rPr>
      </w:pPr>
      <w:r>
        <w:rPr>
          <w:rFonts w:cs="Arial"/>
          <w:bCs/>
          <w:color w:val="000000" w:themeColor="text1"/>
          <w:sz w:val="22"/>
          <w:szCs w:val="22"/>
        </w:rPr>
        <w:t>T</w:t>
      </w:r>
      <w:r w:rsidR="00240FE5">
        <w:rPr>
          <w:rFonts w:cs="Arial"/>
          <w:bCs/>
          <w:color w:val="000000" w:themeColor="text1"/>
          <w:sz w:val="22"/>
          <w:szCs w:val="22"/>
        </w:rPr>
        <w:t xml:space="preserve">he Trustee </w:t>
      </w:r>
      <w:r w:rsidR="00871AEF">
        <w:rPr>
          <w:rFonts w:cs="Arial"/>
          <w:bCs/>
          <w:color w:val="000000" w:themeColor="text1"/>
          <w:sz w:val="22"/>
          <w:szCs w:val="22"/>
        </w:rPr>
        <w:t xml:space="preserve">provided excellent support to </w:t>
      </w:r>
      <w:r w:rsidR="00C52264">
        <w:rPr>
          <w:rFonts w:cs="Arial"/>
          <w:bCs/>
          <w:color w:val="000000" w:themeColor="text1"/>
          <w:sz w:val="22"/>
          <w:szCs w:val="22"/>
        </w:rPr>
        <w:t xml:space="preserve">the evaluators carrying out </w:t>
      </w:r>
      <w:r w:rsidR="0053755C">
        <w:rPr>
          <w:rFonts w:cs="Arial"/>
          <w:bCs/>
          <w:color w:val="000000" w:themeColor="text1"/>
          <w:sz w:val="22"/>
          <w:szCs w:val="22"/>
        </w:rPr>
        <w:t xml:space="preserve">the </w:t>
      </w:r>
      <w:r w:rsidR="00FB4AE6">
        <w:rPr>
          <w:rFonts w:cs="Arial"/>
          <w:bCs/>
          <w:color w:val="000000" w:themeColor="text1"/>
          <w:sz w:val="22"/>
          <w:szCs w:val="22"/>
        </w:rPr>
        <w:t>second independent evaluation of the programme</w:t>
      </w:r>
      <w:r w:rsidR="00CA35A0">
        <w:rPr>
          <w:rFonts w:cs="Arial"/>
          <w:bCs/>
          <w:color w:val="000000" w:themeColor="text1"/>
          <w:sz w:val="22"/>
          <w:szCs w:val="22"/>
        </w:rPr>
        <w:t xml:space="preserve"> by arranging timely access to projec</w:t>
      </w:r>
      <w:r w:rsidR="00205E97">
        <w:rPr>
          <w:rFonts w:cs="Arial"/>
          <w:bCs/>
          <w:color w:val="000000" w:themeColor="text1"/>
          <w:sz w:val="22"/>
          <w:szCs w:val="22"/>
        </w:rPr>
        <w:t xml:space="preserve">ts and data, </w:t>
      </w:r>
      <w:r w:rsidR="005763DB">
        <w:rPr>
          <w:rFonts w:cs="Arial"/>
          <w:bCs/>
          <w:color w:val="000000" w:themeColor="text1"/>
          <w:sz w:val="22"/>
          <w:szCs w:val="22"/>
        </w:rPr>
        <w:t xml:space="preserve">scheduling </w:t>
      </w:r>
      <w:r w:rsidR="00205E97">
        <w:rPr>
          <w:rFonts w:cs="Arial"/>
          <w:bCs/>
          <w:color w:val="000000" w:themeColor="text1"/>
          <w:sz w:val="22"/>
          <w:szCs w:val="22"/>
        </w:rPr>
        <w:t xml:space="preserve">interviews with </w:t>
      </w:r>
      <w:r w:rsidR="00C76680">
        <w:rPr>
          <w:rFonts w:cs="Arial"/>
          <w:bCs/>
          <w:color w:val="000000" w:themeColor="text1"/>
          <w:sz w:val="22"/>
          <w:szCs w:val="22"/>
        </w:rPr>
        <w:t xml:space="preserve">stakeholders, contracting an independent </w:t>
      </w:r>
      <w:r w:rsidR="007B660E">
        <w:rPr>
          <w:rFonts w:cs="Arial"/>
          <w:bCs/>
          <w:color w:val="000000" w:themeColor="text1"/>
          <w:sz w:val="22"/>
          <w:szCs w:val="22"/>
        </w:rPr>
        <w:t xml:space="preserve">supporting </w:t>
      </w:r>
      <w:r w:rsidR="00C76680">
        <w:rPr>
          <w:rFonts w:cs="Arial"/>
          <w:bCs/>
          <w:color w:val="000000" w:themeColor="text1"/>
          <w:sz w:val="22"/>
          <w:szCs w:val="22"/>
        </w:rPr>
        <w:t xml:space="preserve">expert, </w:t>
      </w:r>
      <w:r w:rsidR="00DA3455">
        <w:rPr>
          <w:rFonts w:cs="Arial"/>
          <w:bCs/>
          <w:color w:val="000000" w:themeColor="text1"/>
          <w:sz w:val="22"/>
          <w:szCs w:val="22"/>
        </w:rPr>
        <w:t xml:space="preserve">arranging additional </w:t>
      </w:r>
      <w:r w:rsidR="009B6ABB">
        <w:rPr>
          <w:rFonts w:cs="Arial"/>
          <w:bCs/>
          <w:color w:val="000000" w:themeColor="text1"/>
          <w:sz w:val="22"/>
          <w:szCs w:val="22"/>
        </w:rPr>
        <w:t>phone calls</w:t>
      </w:r>
      <w:r w:rsidR="00DA3455">
        <w:rPr>
          <w:rFonts w:cs="Arial"/>
          <w:bCs/>
          <w:color w:val="000000" w:themeColor="text1"/>
          <w:sz w:val="22"/>
          <w:szCs w:val="22"/>
        </w:rPr>
        <w:t xml:space="preserve"> and </w:t>
      </w:r>
      <w:r w:rsidR="005763DB">
        <w:rPr>
          <w:rFonts w:cs="Arial"/>
          <w:bCs/>
          <w:color w:val="000000" w:themeColor="text1"/>
          <w:sz w:val="22"/>
          <w:szCs w:val="22"/>
        </w:rPr>
        <w:t xml:space="preserve">commenting on </w:t>
      </w:r>
      <w:r w:rsidR="00DA3455">
        <w:rPr>
          <w:rFonts w:cs="Arial"/>
          <w:bCs/>
          <w:color w:val="000000" w:themeColor="text1"/>
          <w:sz w:val="22"/>
          <w:szCs w:val="22"/>
        </w:rPr>
        <w:t xml:space="preserve">several </w:t>
      </w:r>
      <w:r w:rsidR="005763DB">
        <w:rPr>
          <w:rFonts w:cs="Arial"/>
          <w:bCs/>
          <w:color w:val="000000" w:themeColor="text1"/>
          <w:sz w:val="22"/>
          <w:szCs w:val="22"/>
        </w:rPr>
        <w:t xml:space="preserve">draft </w:t>
      </w:r>
      <w:r w:rsidR="00E45060">
        <w:rPr>
          <w:rFonts w:cs="Arial"/>
          <w:bCs/>
          <w:color w:val="000000" w:themeColor="text1"/>
          <w:sz w:val="22"/>
          <w:szCs w:val="22"/>
        </w:rPr>
        <w:t>plans and reports</w:t>
      </w:r>
      <w:r w:rsidR="005763DB">
        <w:rPr>
          <w:rFonts w:cs="Arial"/>
          <w:bCs/>
          <w:color w:val="000000" w:themeColor="text1"/>
          <w:sz w:val="22"/>
          <w:szCs w:val="22"/>
        </w:rPr>
        <w:t xml:space="preserve">. </w:t>
      </w:r>
      <w:r w:rsidR="00AE7D62">
        <w:rPr>
          <w:rFonts w:cs="Arial"/>
          <w:bCs/>
          <w:color w:val="000000" w:themeColor="text1"/>
          <w:sz w:val="22"/>
          <w:szCs w:val="22"/>
        </w:rPr>
        <w:t>Some</w:t>
      </w:r>
      <w:r w:rsidR="001F1416" w:rsidRPr="00DA112F">
        <w:rPr>
          <w:rFonts w:cs="Arial"/>
          <w:bCs/>
          <w:color w:val="000000" w:themeColor="text1"/>
          <w:sz w:val="22"/>
          <w:szCs w:val="22"/>
        </w:rPr>
        <w:t xml:space="preserve"> of its recommendations and </w:t>
      </w:r>
      <w:r w:rsidR="00DB5863" w:rsidRPr="00DA112F">
        <w:rPr>
          <w:rFonts w:cs="Arial"/>
          <w:bCs/>
          <w:color w:val="000000" w:themeColor="text1"/>
          <w:sz w:val="22"/>
          <w:szCs w:val="22"/>
        </w:rPr>
        <w:t>conclusions are reflected in this review.</w:t>
      </w:r>
      <w:r w:rsidR="00DB5863">
        <w:rPr>
          <w:rFonts w:cs="Arial"/>
          <w:bCs/>
          <w:color w:val="000000" w:themeColor="text1"/>
          <w:sz w:val="22"/>
          <w:szCs w:val="22"/>
        </w:rPr>
        <w:t xml:space="preserve"> </w:t>
      </w:r>
    </w:p>
    <w:p w14:paraId="18D151FD" w14:textId="77777777" w:rsidR="006106F3" w:rsidRPr="00183F44" w:rsidRDefault="006106F3" w:rsidP="00183F44">
      <w:pPr>
        <w:jc w:val="both"/>
        <w:rPr>
          <w:rFonts w:cs="Arial"/>
          <w:bCs/>
          <w:color w:val="000000" w:themeColor="text1"/>
          <w:sz w:val="22"/>
          <w:szCs w:val="22"/>
        </w:rPr>
      </w:pPr>
    </w:p>
    <w:p w14:paraId="694914FB" w14:textId="63ABC539" w:rsidR="000D6B9A" w:rsidRDefault="0079621C" w:rsidP="00183F44">
      <w:pPr>
        <w:jc w:val="both"/>
        <w:rPr>
          <w:rFonts w:cs="Arial"/>
          <w:bCs/>
          <w:color w:val="000000" w:themeColor="text1"/>
          <w:sz w:val="22"/>
          <w:szCs w:val="22"/>
        </w:rPr>
      </w:pPr>
      <w:r w:rsidRPr="0079621C">
        <w:rPr>
          <w:sz w:val="22"/>
          <w:szCs w:val="22"/>
        </w:rPr>
        <w:t xml:space="preserve">Over the review period, methodological activities have been developed </w:t>
      </w:r>
      <w:r w:rsidR="006255F1">
        <w:rPr>
          <w:sz w:val="22"/>
          <w:szCs w:val="22"/>
        </w:rPr>
        <w:t xml:space="preserve">effectively </w:t>
      </w:r>
      <w:r w:rsidRPr="0079621C">
        <w:rPr>
          <w:sz w:val="22"/>
          <w:szCs w:val="22"/>
        </w:rPr>
        <w:t xml:space="preserve">and </w:t>
      </w:r>
      <w:r w:rsidR="00EB5D1D">
        <w:rPr>
          <w:sz w:val="22"/>
          <w:szCs w:val="22"/>
        </w:rPr>
        <w:t>delivered</w:t>
      </w:r>
      <w:r w:rsidR="00AA717C">
        <w:rPr>
          <w:sz w:val="22"/>
          <w:szCs w:val="22"/>
        </w:rPr>
        <w:t xml:space="preserve"> to a high standard</w:t>
      </w:r>
      <w:r w:rsidRPr="0079621C">
        <w:rPr>
          <w:sz w:val="22"/>
          <w:szCs w:val="22"/>
        </w:rPr>
        <w:t>. Methodological activities are ways for</w:t>
      </w:r>
      <w:r w:rsidR="006255F1">
        <w:rPr>
          <w:sz w:val="22"/>
          <w:szCs w:val="22"/>
        </w:rPr>
        <w:t xml:space="preserve"> Ci-Dev’s to support its partners, or</w:t>
      </w:r>
      <w:r w:rsidRPr="0079621C">
        <w:rPr>
          <w:sz w:val="22"/>
          <w:szCs w:val="22"/>
        </w:rPr>
        <w:t xml:space="preserve"> </w:t>
      </w:r>
      <w:r w:rsidR="006255F1">
        <w:rPr>
          <w:sz w:val="22"/>
          <w:szCs w:val="22"/>
        </w:rPr>
        <w:t>‘</w:t>
      </w:r>
      <w:r w:rsidRPr="0079621C">
        <w:rPr>
          <w:sz w:val="22"/>
          <w:szCs w:val="22"/>
        </w:rPr>
        <w:t>Project Entities</w:t>
      </w:r>
      <w:r w:rsidR="006255F1">
        <w:rPr>
          <w:sz w:val="22"/>
          <w:szCs w:val="22"/>
        </w:rPr>
        <w:t>’</w:t>
      </w:r>
      <w:r w:rsidRPr="0079621C">
        <w:rPr>
          <w:sz w:val="22"/>
          <w:szCs w:val="22"/>
        </w:rPr>
        <w:t xml:space="preserve"> (PEs)</w:t>
      </w:r>
      <w:r w:rsidR="006255F1">
        <w:rPr>
          <w:sz w:val="22"/>
          <w:szCs w:val="22"/>
        </w:rPr>
        <w:t>,</w:t>
      </w:r>
      <w:r w:rsidRPr="0079621C">
        <w:rPr>
          <w:sz w:val="22"/>
          <w:szCs w:val="22"/>
        </w:rPr>
        <w:t xml:space="preserve"> to verify that abatement activity has led to the creation of carbon </w:t>
      </w:r>
      <w:r w:rsidR="00DE441B" w:rsidRPr="0079621C">
        <w:rPr>
          <w:sz w:val="22"/>
          <w:szCs w:val="22"/>
        </w:rPr>
        <w:t>credits</w:t>
      </w:r>
      <w:r w:rsidR="00DE441B">
        <w:t>.</w:t>
      </w:r>
      <w:r w:rsidR="00715A05">
        <w:rPr>
          <w:rFonts w:cs="Arial"/>
          <w:bCs/>
          <w:color w:val="000000" w:themeColor="text1"/>
          <w:sz w:val="22"/>
          <w:szCs w:val="22"/>
        </w:rPr>
        <w:t xml:space="preserve"> Activit</w:t>
      </w:r>
      <w:r w:rsidR="00CA2052">
        <w:rPr>
          <w:rFonts w:cs="Arial"/>
          <w:bCs/>
          <w:color w:val="000000" w:themeColor="text1"/>
          <w:sz w:val="22"/>
          <w:szCs w:val="22"/>
        </w:rPr>
        <w:t xml:space="preserve">ies implemented </w:t>
      </w:r>
      <w:r w:rsidR="00715A05">
        <w:rPr>
          <w:rFonts w:cs="Arial"/>
          <w:bCs/>
          <w:color w:val="000000" w:themeColor="text1"/>
          <w:sz w:val="22"/>
          <w:szCs w:val="22"/>
        </w:rPr>
        <w:t xml:space="preserve">in this area include the </w:t>
      </w:r>
      <w:r w:rsidR="006676DC">
        <w:rPr>
          <w:rFonts w:cs="Arial"/>
          <w:bCs/>
          <w:color w:val="000000" w:themeColor="text1"/>
          <w:sz w:val="22"/>
          <w:szCs w:val="22"/>
        </w:rPr>
        <w:t xml:space="preserve">successful piloting of a second, national-scale approach (the Standardised Crediting Framework (SCF)) in Rwanda, following a previous </w:t>
      </w:r>
      <w:r w:rsidR="00BF40F2">
        <w:rPr>
          <w:rFonts w:cs="Arial"/>
          <w:bCs/>
          <w:color w:val="000000" w:themeColor="text1"/>
          <w:sz w:val="22"/>
          <w:szCs w:val="22"/>
        </w:rPr>
        <w:t>SCF in Senegal</w:t>
      </w:r>
      <w:r w:rsidR="00DA3455">
        <w:rPr>
          <w:rFonts w:cs="Arial"/>
          <w:bCs/>
          <w:color w:val="000000" w:themeColor="text1"/>
          <w:sz w:val="22"/>
          <w:szCs w:val="22"/>
        </w:rPr>
        <w:t xml:space="preserve">, which </w:t>
      </w:r>
      <w:r w:rsidR="00CB3D05">
        <w:rPr>
          <w:rFonts w:cs="Arial"/>
          <w:bCs/>
          <w:color w:val="000000" w:themeColor="text1"/>
          <w:sz w:val="22"/>
          <w:szCs w:val="22"/>
        </w:rPr>
        <w:t xml:space="preserve">in 2019 </w:t>
      </w:r>
      <w:r w:rsidR="00DA3455">
        <w:rPr>
          <w:rFonts w:cs="Arial"/>
          <w:bCs/>
          <w:color w:val="000000" w:themeColor="text1"/>
          <w:sz w:val="22"/>
          <w:szCs w:val="22"/>
        </w:rPr>
        <w:t>was independently assessed to have saved time and costs, and to offer lessons for similar schemes in other countries.</w:t>
      </w:r>
      <w:r w:rsidR="00EA5EF1">
        <w:rPr>
          <w:rFonts w:cs="Arial"/>
          <w:bCs/>
          <w:color w:val="000000" w:themeColor="text1"/>
          <w:sz w:val="22"/>
          <w:szCs w:val="22"/>
        </w:rPr>
        <w:t xml:space="preserve"> </w:t>
      </w:r>
      <w:r w:rsidR="00DA3455">
        <w:rPr>
          <w:rFonts w:cs="Arial"/>
          <w:bCs/>
          <w:color w:val="000000" w:themeColor="text1"/>
          <w:sz w:val="22"/>
          <w:szCs w:val="22"/>
        </w:rPr>
        <w:t xml:space="preserve">Plans for a third SCF in Lao PDR were postponed following discussions with </w:t>
      </w:r>
      <w:r w:rsidR="006255F1">
        <w:rPr>
          <w:rFonts w:cs="Arial"/>
          <w:bCs/>
          <w:color w:val="000000" w:themeColor="text1"/>
          <w:sz w:val="22"/>
          <w:szCs w:val="22"/>
        </w:rPr>
        <w:t>the relevant government m</w:t>
      </w:r>
      <w:r w:rsidR="00DA3455">
        <w:rPr>
          <w:rFonts w:cs="Arial"/>
          <w:bCs/>
          <w:color w:val="000000" w:themeColor="text1"/>
          <w:sz w:val="22"/>
          <w:szCs w:val="22"/>
        </w:rPr>
        <w:t>inistries</w:t>
      </w:r>
      <w:r w:rsidR="006255F1">
        <w:rPr>
          <w:rFonts w:cs="Arial"/>
          <w:bCs/>
          <w:color w:val="000000" w:themeColor="text1"/>
          <w:sz w:val="22"/>
          <w:szCs w:val="22"/>
        </w:rPr>
        <w:t xml:space="preserve"> in the country</w:t>
      </w:r>
      <w:r w:rsidR="00DA3455">
        <w:rPr>
          <w:rFonts w:cs="Arial"/>
          <w:bCs/>
          <w:color w:val="000000" w:themeColor="text1"/>
          <w:sz w:val="22"/>
          <w:szCs w:val="22"/>
        </w:rPr>
        <w:t xml:space="preserve">. </w:t>
      </w:r>
      <w:r w:rsidR="00CB3D05">
        <w:rPr>
          <w:rFonts w:cs="Arial"/>
          <w:bCs/>
          <w:color w:val="000000" w:themeColor="text1"/>
          <w:sz w:val="22"/>
          <w:szCs w:val="22"/>
        </w:rPr>
        <w:t>The Trustee’s work on plans to help Ci-Dev projects navigate the transition to the Paris Agreement carbon market met UK expectations</w:t>
      </w:r>
      <w:r w:rsidR="006255F1">
        <w:rPr>
          <w:rFonts w:cs="Arial"/>
          <w:bCs/>
          <w:color w:val="000000" w:themeColor="text1"/>
          <w:sz w:val="22"/>
          <w:szCs w:val="22"/>
        </w:rPr>
        <w:t>,</w:t>
      </w:r>
      <w:r w:rsidR="00CB3D05">
        <w:rPr>
          <w:rFonts w:cs="Arial"/>
          <w:bCs/>
          <w:color w:val="000000" w:themeColor="text1"/>
          <w:sz w:val="22"/>
          <w:szCs w:val="22"/>
        </w:rPr>
        <w:t xml:space="preserve"> and informed a Contributor decision on how this should happen in a way that allows LDCs </w:t>
      </w:r>
      <w:r w:rsidR="005577DE">
        <w:rPr>
          <w:rFonts w:cs="Arial"/>
          <w:bCs/>
          <w:color w:val="000000" w:themeColor="text1"/>
          <w:sz w:val="22"/>
          <w:szCs w:val="22"/>
        </w:rPr>
        <w:t xml:space="preserve">to access carbon market </w:t>
      </w:r>
      <w:r w:rsidR="00CB3D05">
        <w:rPr>
          <w:rFonts w:cs="Arial"/>
          <w:bCs/>
          <w:color w:val="000000" w:themeColor="text1"/>
          <w:sz w:val="22"/>
          <w:szCs w:val="22"/>
        </w:rPr>
        <w:t>opportunities</w:t>
      </w:r>
      <w:r w:rsidR="005577DE">
        <w:rPr>
          <w:rFonts w:cs="Arial"/>
          <w:bCs/>
          <w:color w:val="000000" w:themeColor="text1"/>
          <w:sz w:val="22"/>
          <w:szCs w:val="22"/>
        </w:rPr>
        <w:t xml:space="preserve">. Work under the </w:t>
      </w:r>
      <w:r w:rsidR="00676032" w:rsidRPr="00183F44">
        <w:rPr>
          <w:rFonts w:cs="Arial"/>
          <w:bCs/>
          <w:color w:val="000000" w:themeColor="text1"/>
          <w:sz w:val="22"/>
          <w:szCs w:val="22"/>
        </w:rPr>
        <w:t>Knowledge Management Work Programme</w:t>
      </w:r>
      <w:r w:rsidR="005577DE">
        <w:rPr>
          <w:rFonts w:cs="Arial"/>
          <w:bCs/>
          <w:color w:val="000000" w:themeColor="text1"/>
          <w:sz w:val="22"/>
          <w:szCs w:val="22"/>
        </w:rPr>
        <w:t xml:space="preserve"> in 2019</w:t>
      </w:r>
      <w:r w:rsidR="00C77FF8">
        <w:rPr>
          <w:rFonts w:cs="Arial"/>
          <w:bCs/>
          <w:color w:val="000000" w:themeColor="text1"/>
          <w:sz w:val="22"/>
          <w:szCs w:val="22"/>
        </w:rPr>
        <w:t xml:space="preserve"> </w:t>
      </w:r>
      <w:r w:rsidR="009657E1">
        <w:rPr>
          <w:rFonts w:cs="Arial"/>
          <w:bCs/>
          <w:color w:val="000000" w:themeColor="text1"/>
          <w:sz w:val="22"/>
          <w:szCs w:val="22"/>
        </w:rPr>
        <w:t>met</w:t>
      </w:r>
      <w:r w:rsidR="00C77FF8">
        <w:rPr>
          <w:rFonts w:cs="Arial"/>
          <w:bCs/>
          <w:color w:val="000000" w:themeColor="text1"/>
          <w:sz w:val="22"/>
          <w:szCs w:val="22"/>
        </w:rPr>
        <w:t xml:space="preserve"> expectations, and</w:t>
      </w:r>
      <w:r w:rsidR="005577DE">
        <w:rPr>
          <w:rFonts w:cs="Arial"/>
          <w:bCs/>
          <w:color w:val="000000" w:themeColor="text1"/>
          <w:sz w:val="22"/>
          <w:szCs w:val="22"/>
        </w:rPr>
        <w:t xml:space="preserve"> </w:t>
      </w:r>
      <w:r w:rsidR="00E86687">
        <w:rPr>
          <w:rFonts w:cs="Arial"/>
          <w:bCs/>
          <w:color w:val="000000" w:themeColor="text1"/>
          <w:sz w:val="22"/>
          <w:szCs w:val="22"/>
        </w:rPr>
        <w:t xml:space="preserve">included three </w:t>
      </w:r>
      <w:r w:rsidR="00C77FF8">
        <w:rPr>
          <w:rFonts w:cs="Arial"/>
          <w:bCs/>
          <w:color w:val="000000" w:themeColor="text1"/>
          <w:sz w:val="22"/>
          <w:szCs w:val="22"/>
        </w:rPr>
        <w:t xml:space="preserve">high-quality </w:t>
      </w:r>
      <w:r w:rsidR="00E86687">
        <w:rPr>
          <w:rFonts w:cs="Arial"/>
          <w:bCs/>
          <w:color w:val="000000" w:themeColor="text1"/>
          <w:sz w:val="22"/>
          <w:szCs w:val="22"/>
        </w:rPr>
        <w:t>reports</w:t>
      </w:r>
      <w:r w:rsidR="001D7F7D">
        <w:rPr>
          <w:rStyle w:val="FootnoteReference"/>
          <w:rFonts w:cs="Arial"/>
          <w:bCs/>
          <w:color w:val="000000" w:themeColor="text1"/>
          <w:sz w:val="22"/>
          <w:szCs w:val="22"/>
        </w:rPr>
        <w:footnoteReference w:id="5"/>
      </w:r>
      <w:r w:rsidR="00845FFC">
        <w:rPr>
          <w:rFonts w:cs="Arial"/>
          <w:bCs/>
          <w:color w:val="000000" w:themeColor="text1"/>
          <w:sz w:val="22"/>
          <w:szCs w:val="22"/>
        </w:rPr>
        <w:t xml:space="preserve">, four </w:t>
      </w:r>
      <w:r w:rsidR="00C77FF8">
        <w:rPr>
          <w:rFonts w:cs="Arial"/>
          <w:bCs/>
          <w:color w:val="000000" w:themeColor="text1"/>
          <w:sz w:val="22"/>
          <w:szCs w:val="22"/>
        </w:rPr>
        <w:t xml:space="preserve">well-targeted </w:t>
      </w:r>
      <w:r w:rsidR="00845FFC">
        <w:rPr>
          <w:rFonts w:cs="Arial"/>
          <w:bCs/>
          <w:color w:val="000000" w:themeColor="text1"/>
          <w:sz w:val="22"/>
          <w:szCs w:val="22"/>
        </w:rPr>
        <w:t>workshops, and six engagements at international events.</w:t>
      </w:r>
      <w:r w:rsidR="00253BED">
        <w:rPr>
          <w:rFonts w:cs="Arial"/>
          <w:color w:val="000000" w:themeColor="text1"/>
          <w:sz w:val="22"/>
          <w:szCs w:val="22"/>
        </w:rPr>
        <w:t xml:space="preserve"> </w:t>
      </w:r>
    </w:p>
    <w:p w14:paraId="67286107" w14:textId="7DABE98B" w:rsidR="003E40A1" w:rsidRDefault="003E40A1" w:rsidP="00292D03">
      <w:pPr>
        <w:jc w:val="both"/>
        <w:rPr>
          <w:rFonts w:cs="Arial"/>
          <w:color w:val="000000" w:themeColor="text1"/>
          <w:sz w:val="22"/>
          <w:szCs w:val="22"/>
        </w:rPr>
      </w:pPr>
    </w:p>
    <w:p w14:paraId="63A2F9F5" w14:textId="25385D53" w:rsidR="000429F8" w:rsidRDefault="00C77FF8" w:rsidP="00292D03">
      <w:pPr>
        <w:jc w:val="both"/>
        <w:rPr>
          <w:rFonts w:cs="Arial"/>
          <w:sz w:val="22"/>
          <w:szCs w:val="22"/>
        </w:rPr>
      </w:pPr>
      <w:r>
        <w:rPr>
          <w:rFonts w:cs="Arial"/>
          <w:sz w:val="22"/>
          <w:szCs w:val="22"/>
        </w:rPr>
        <w:t>A</w:t>
      </w:r>
      <w:r w:rsidR="00B526D7">
        <w:rPr>
          <w:rFonts w:cs="Arial"/>
          <w:sz w:val="22"/>
          <w:szCs w:val="22"/>
        </w:rPr>
        <w:t xml:space="preserve"> particular</w:t>
      </w:r>
      <w:r>
        <w:rPr>
          <w:rFonts w:cs="Arial"/>
          <w:sz w:val="22"/>
          <w:szCs w:val="22"/>
        </w:rPr>
        <w:t xml:space="preserve"> challenge</w:t>
      </w:r>
      <w:r w:rsidR="00301399">
        <w:rPr>
          <w:rFonts w:cs="Arial"/>
          <w:sz w:val="22"/>
          <w:szCs w:val="22"/>
        </w:rPr>
        <w:t>, mentioned above,</w:t>
      </w:r>
      <w:r>
        <w:rPr>
          <w:rFonts w:cs="Arial"/>
          <w:sz w:val="22"/>
          <w:szCs w:val="22"/>
        </w:rPr>
        <w:t xml:space="preserve"> has been that</w:t>
      </w:r>
      <w:r w:rsidR="00B526D7">
        <w:rPr>
          <w:rFonts w:cs="Arial"/>
          <w:sz w:val="22"/>
          <w:szCs w:val="22"/>
        </w:rPr>
        <w:t xml:space="preserve"> </w:t>
      </w:r>
      <w:r w:rsidR="00D6203D">
        <w:rPr>
          <w:rFonts w:cs="Arial"/>
          <w:sz w:val="22"/>
          <w:szCs w:val="22"/>
        </w:rPr>
        <w:t>private-sector</w:t>
      </w:r>
      <w:r w:rsidR="00BA5298">
        <w:rPr>
          <w:rFonts w:cs="Arial"/>
          <w:sz w:val="22"/>
          <w:szCs w:val="22"/>
        </w:rPr>
        <w:t>-</w:t>
      </w:r>
      <w:r w:rsidR="00D6203D">
        <w:rPr>
          <w:rFonts w:cs="Arial"/>
          <w:sz w:val="22"/>
          <w:szCs w:val="22"/>
        </w:rPr>
        <w:t xml:space="preserve">led </w:t>
      </w:r>
      <w:r w:rsidR="006C3F93">
        <w:rPr>
          <w:rFonts w:cs="Arial"/>
          <w:sz w:val="22"/>
          <w:szCs w:val="22"/>
        </w:rPr>
        <w:t xml:space="preserve">projects have found it difficult to secure the capital they need to run operations </w:t>
      </w:r>
      <w:r w:rsidR="005577DE">
        <w:rPr>
          <w:rFonts w:cs="Arial"/>
          <w:sz w:val="22"/>
          <w:szCs w:val="22"/>
        </w:rPr>
        <w:t>at the scale intended</w:t>
      </w:r>
      <w:r w:rsidR="006C3F93">
        <w:rPr>
          <w:rFonts w:cs="Arial"/>
          <w:sz w:val="22"/>
          <w:szCs w:val="22"/>
        </w:rPr>
        <w:t xml:space="preserve">. The </w:t>
      </w:r>
      <w:r w:rsidR="000B343F">
        <w:rPr>
          <w:rFonts w:cs="Arial"/>
          <w:sz w:val="22"/>
          <w:szCs w:val="22"/>
        </w:rPr>
        <w:t xml:space="preserve">sister company to a </w:t>
      </w:r>
      <w:r w:rsidR="00E46FF6">
        <w:rPr>
          <w:rFonts w:cs="Arial"/>
          <w:sz w:val="22"/>
          <w:szCs w:val="22"/>
        </w:rPr>
        <w:t xml:space="preserve">Ci-Dev </w:t>
      </w:r>
      <w:r w:rsidR="00CD4C35">
        <w:rPr>
          <w:rFonts w:cs="Arial"/>
          <w:sz w:val="22"/>
          <w:szCs w:val="22"/>
        </w:rPr>
        <w:t>P</w:t>
      </w:r>
      <w:r w:rsidR="00B466B5">
        <w:rPr>
          <w:rFonts w:cs="Arial"/>
          <w:sz w:val="22"/>
          <w:szCs w:val="22"/>
        </w:rPr>
        <w:t xml:space="preserve">E </w:t>
      </w:r>
      <w:r w:rsidR="00DD415A">
        <w:rPr>
          <w:rFonts w:cs="Arial"/>
          <w:sz w:val="22"/>
          <w:szCs w:val="22"/>
        </w:rPr>
        <w:t xml:space="preserve">was declared bankrupt in </w:t>
      </w:r>
      <w:r w:rsidR="00C4193D">
        <w:rPr>
          <w:rFonts w:cs="Arial"/>
          <w:sz w:val="22"/>
          <w:szCs w:val="22"/>
        </w:rPr>
        <w:t>November 2018, and th</w:t>
      </w:r>
      <w:r w:rsidR="004B01EE">
        <w:rPr>
          <w:rFonts w:cs="Arial"/>
          <w:sz w:val="22"/>
          <w:szCs w:val="22"/>
        </w:rPr>
        <w:t>e implications of this caused the</w:t>
      </w:r>
      <w:r w:rsidR="00980A61">
        <w:rPr>
          <w:rFonts w:cs="Arial"/>
          <w:sz w:val="22"/>
          <w:szCs w:val="22"/>
        </w:rPr>
        <w:t xml:space="preserve"> </w:t>
      </w:r>
      <w:r w:rsidR="001D5F8C">
        <w:rPr>
          <w:rFonts w:cs="Arial"/>
          <w:sz w:val="22"/>
          <w:szCs w:val="22"/>
        </w:rPr>
        <w:t xml:space="preserve">corresponding </w:t>
      </w:r>
      <w:r w:rsidR="004B01EE">
        <w:rPr>
          <w:rFonts w:cs="Arial"/>
          <w:sz w:val="22"/>
          <w:szCs w:val="22"/>
        </w:rPr>
        <w:t>project</w:t>
      </w:r>
      <w:r w:rsidR="001D5F8C">
        <w:rPr>
          <w:rFonts w:cs="Arial"/>
          <w:sz w:val="22"/>
          <w:szCs w:val="22"/>
        </w:rPr>
        <w:t xml:space="preserve">, a biodigester </w:t>
      </w:r>
      <w:r w:rsidR="008969B7">
        <w:rPr>
          <w:rFonts w:cs="Arial"/>
          <w:sz w:val="22"/>
          <w:szCs w:val="22"/>
        </w:rPr>
        <w:t>initiative in Kenya, called Simgas,</w:t>
      </w:r>
      <w:r w:rsidR="004B01EE">
        <w:rPr>
          <w:rFonts w:cs="Arial"/>
          <w:sz w:val="22"/>
          <w:szCs w:val="22"/>
        </w:rPr>
        <w:t xml:space="preserve"> to fail</w:t>
      </w:r>
      <w:r w:rsidR="00370D4D">
        <w:rPr>
          <w:rFonts w:cs="Arial"/>
          <w:sz w:val="22"/>
          <w:szCs w:val="22"/>
        </w:rPr>
        <w:t xml:space="preserve">. </w:t>
      </w:r>
      <w:r w:rsidR="000A4D72">
        <w:rPr>
          <w:rFonts w:cs="Arial"/>
          <w:sz w:val="22"/>
          <w:szCs w:val="22"/>
        </w:rPr>
        <w:t xml:space="preserve">The company </w:t>
      </w:r>
      <w:r w:rsidR="00EA2EC6">
        <w:rPr>
          <w:rFonts w:cs="Arial"/>
          <w:sz w:val="22"/>
          <w:szCs w:val="22"/>
        </w:rPr>
        <w:t>implementing a</w:t>
      </w:r>
      <w:r>
        <w:rPr>
          <w:rFonts w:cs="Arial"/>
          <w:sz w:val="22"/>
          <w:szCs w:val="22"/>
        </w:rPr>
        <w:t>nother</w:t>
      </w:r>
      <w:r w:rsidR="00EA2EC6">
        <w:rPr>
          <w:rFonts w:cs="Arial"/>
          <w:sz w:val="22"/>
          <w:szCs w:val="22"/>
        </w:rPr>
        <w:t xml:space="preserve"> </w:t>
      </w:r>
      <w:r>
        <w:rPr>
          <w:rFonts w:cs="Arial"/>
          <w:sz w:val="22"/>
          <w:szCs w:val="22"/>
        </w:rPr>
        <w:t xml:space="preserve">Ci-Dev </w:t>
      </w:r>
      <w:r w:rsidR="00370D4D">
        <w:rPr>
          <w:rFonts w:cs="Arial"/>
          <w:sz w:val="22"/>
          <w:szCs w:val="22"/>
        </w:rPr>
        <w:t xml:space="preserve">project, </w:t>
      </w:r>
      <w:r w:rsidR="000A4D72">
        <w:rPr>
          <w:rFonts w:cs="Arial"/>
          <w:sz w:val="22"/>
          <w:szCs w:val="22"/>
        </w:rPr>
        <w:t xml:space="preserve">Inyenyeri Cookstoves, </w:t>
      </w:r>
      <w:r w:rsidR="00EA2EC6">
        <w:rPr>
          <w:rFonts w:cs="Arial"/>
          <w:sz w:val="22"/>
          <w:szCs w:val="22"/>
        </w:rPr>
        <w:t>was declared bankrupt</w:t>
      </w:r>
      <w:r>
        <w:rPr>
          <w:rFonts w:cs="Arial"/>
          <w:sz w:val="22"/>
          <w:szCs w:val="22"/>
        </w:rPr>
        <w:t>. A</w:t>
      </w:r>
      <w:r w:rsidR="00EA2EC6">
        <w:rPr>
          <w:rFonts w:cs="Arial"/>
          <w:sz w:val="22"/>
          <w:szCs w:val="22"/>
        </w:rPr>
        <w:t xml:space="preserve"> third project</w:t>
      </w:r>
      <w:r>
        <w:rPr>
          <w:rFonts w:cs="Arial"/>
          <w:sz w:val="22"/>
          <w:szCs w:val="22"/>
        </w:rPr>
        <w:t>,</w:t>
      </w:r>
      <w:r w:rsidR="008778D4">
        <w:rPr>
          <w:rFonts w:cs="Arial"/>
          <w:sz w:val="22"/>
          <w:szCs w:val="22"/>
        </w:rPr>
        <w:t xml:space="preserve"> </w:t>
      </w:r>
      <w:r w:rsidR="002411B6">
        <w:rPr>
          <w:rFonts w:cs="Arial"/>
          <w:sz w:val="22"/>
          <w:szCs w:val="22"/>
        </w:rPr>
        <w:t xml:space="preserve">DelAgua Cookstoves, is unlikely to generate </w:t>
      </w:r>
      <w:r w:rsidR="000429F8">
        <w:rPr>
          <w:rFonts w:cs="Arial"/>
          <w:sz w:val="22"/>
          <w:szCs w:val="22"/>
        </w:rPr>
        <w:t xml:space="preserve">further </w:t>
      </w:r>
      <w:r w:rsidR="002411B6">
        <w:rPr>
          <w:rFonts w:cs="Arial"/>
          <w:sz w:val="22"/>
          <w:szCs w:val="22"/>
        </w:rPr>
        <w:t>results</w:t>
      </w:r>
      <w:r w:rsidR="000429F8">
        <w:rPr>
          <w:rFonts w:cs="Arial"/>
          <w:sz w:val="22"/>
          <w:szCs w:val="22"/>
        </w:rPr>
        <w:t xml:space="preserve"> as it </w:t>
      </w:r>
      <w:r w:rsidR="009B541F">
        <w:rPr>
          <w:rFonts w:cs="Arial"/>
          <w:sz w:val="22"/>
          <w:szCs w:val="22"/>
        </w:rPr>
        <w:t xml:space="preserve">adapts to a new </w:t>
      </w:r>
      <w:r w:rsidR="00F56AF2">
        <w:rPr>
          <w:rFonts w:cs="Arial"/>
          <w:sz w:val="22"/>
          <w:szCs w:val="22"/>
        </w:rPr>
        <w:t>business model</w:t>
      </w:r>
      <w:r w:rsidR="008778D4">
        <w:rPr>
          <w:rFonts w:cs="Arial"/>
          <w:sz w:val="22"/>
          <w:szCs w:val="22"/>
        </w:rPr>
        <w:t>.</w:t>
      </w:r>
      <w:r w:rsidR="006F2FF1">
        <w:rPr>
          <w:rFonts w:cs="Arial"/>
          <w:sz w:val="22"/>
          <w:szCs w:val="22"/>
        </w:rPr>
        <w:t xml:space="preserve"> </w:t>
      </w:r>
      <w:r w:rsidR="00B53F60">
        <w:rPr>
          <w:rFonts w:cs="Arial"/>
          <w:sz w:val="22"/>
          <w:szCs w:val="22"/>
        </w:rPr>
        <w:t xml:space="preserve">In the case of </w:t>
      </w:r>
      <w:r w:rsidR="008778D4">
        <w:rPr>
          <w:rFonts w:cs="Arial"/>
          <w:sz w:val="22"/>
          <w:szCs w:val="22"/>
        </w:rPr>
        <w:t>Simgas</w:t>
      </w:r>
      <w:r w:rsidR="00B53F60">
        <w:rPr>
          <w:rFonts w:cs="Arial"/>
          <w:sz w:val="22"/>
          <w:szCs w:val="22"/>
        </w:rPr>
        <w:t xml:space="preserve">, a </w:t>
      </w:r>
      <w:r w:rsidR="00027A3C">
        <w:rPr>
          <w:rFonts w:cs="Arial"/>
          <w:sz w:val="22"/>
          <w:szCs w:val="22"/>
        </w:rPr>
        <w:t xml:space="preserve">replacement countersignatory </w:t>
      </w:r>
      <w:r w:rsidR="007679E5">
        <w:rPr>
          <w:rFonts w:cs="Arial"/>
          <w:sz w:val="22"/>
          <w:szCs w:val="22"/>
        </w:rPr>
        <w:t xml:space="preserve">has been found, and a financial due diligence note </w:t>
      </w:r>
      <w:r w:rsidR="008778D4">
        <w:rPr>
          <w:rFonts w:cs="Arial"/>
          <w:sz w:val="22"/>
          <w:szCs w:val="22"/>
        </w:rPr>
        <w:t>agreed among</w:t>
      </w:r>
      <w:r w:rsidR="007679E5">
        <w:rPr>
          <w:rFonts w:cs="Arial"/>
          <w:sz w:val="22"/>
          <w:szCs w:val="22"/>
        </w:rPr>
        <w:t xml:space="preserve"> </w:t>
      </w:r>
      <w:r w:rsidR="008778D4">
        <w:rPr>
          <w:rFonts w:cs="Arial"/>
          <w:sz w:val="22"/>
          <w:szCs w:val="22"/>
        </w:rPr>
        <w:t>Contributors</w:t>
      </w:r>
      <w:r w:rsidR="00071A1B">
        <w:rPr>
          <w:rFonts w:cs="Arial"/>
          <w:sz w:val="22"/>
          <w:szCs w:val="22"/>
        </w:rPr>
        <w:t xml:space="preserve">. In the case of DelAgua, </w:t>
      </w:r>
      <w:r w:rsidR="00AC24C1">
        <w:rPr>
          <w:rFonts w:cs="Arial"/>
          <w:sz w:val="22"/>
          <w:szCs w:val="22"/>
        </w:rPr>
        <w:t xml:space="preserve">it is likely that </w:t>
      </w:r>
      <w:r w:rsidR="00E86366">
        <w:rPr>
          <w:rFonts w:cs="Arial"/>
          <w:sz w:val="22"/>
          <w:szCs w:val="22"/>
        </w:rPr>
        <w:t>Ci-Dev’s agreement with the project</w:t>
      </w:r>
      <w:r w:rsidR="00AC24C1">
        <w:rPr>
          <w:rFonts w:cs="Arial"/>
          <w:sz w:val="22"/>
          <w:szCs w:val="22"/>
        </w:rPr>
        <w:t xml:space="preserve"> will be renegotiated in </w:t>
      </w:r>
      <w:r w:rsidR="00FE0280">
        <w:rPr>
          <w:rFonts w:cs="Arial"/>
          <w:sz w:val="22"/>
          <w:szCs w:val="22"/>
        </w:rPr>
        <w:t>2020</w:t>
      </w:r>
      <w:r w:rsidR="00071A1B">
        <w:rPr>
          <w:rFonts w:cs="Arial"/>
          <w:sz w:val="22"/>
          <w:szCs w:val="22"/>
        </w:rPr>
        <w:t xml:space="preserve">, and the team behind Inyenyeri </w:t>
      </w:r>
      <w:r w:rsidR="005E0F4C">
        <w:rPr>
          <w:rFonts w:cs="Arial"/>
          <w:sz w:val="22"/>
          <w:szCs w:val="22"/>
        </w:rPr>
        <w:t xml:space="preserve">continue to seek </w:t>
      </w:r>
      <w:r w:rsidR="00F356E4">
        <w:rPr>
          <w:rFonts w:cs="Arial"/>
          <w:sz w:val="22"/>
          <w:szCs w:val="22"/>
        </w:rPr>
        <w:t>additional finance</w:t>
      </w:r>
      <w:r w:rsidR="00071A1B">
        <w:rPr>
          <w:rFonts w:cs="Arial"/>
          <w:sz w:val="22"/>
          <w:szCs w:val="22"/>
        </w:rPr>
        <w:t xml:space="preserve">. </w:t>
      </w:r>
    </w:p>
    <w:p w14:paraId="2DBD4598" w14:textId="77777777" w:rsidR="000429F8" w:rsidRDefault="000429F8" w:rsidP="00292D03">
      <w:pPr>
        <w:jc w:val="both"/>
        <w:rPr>
          <w:rFonts w:cs="Arial"/>
          <w:sz w:val="22"/>
          <w:szCs w:val="22"/>
        </w:rPr>
      </w:pPr>
    </w:p>
    <w:p w14:paraId="4CDF69CE" w14:textId="3920A7CE" w:rsidR="00867A6E" w:rsidRDefault="005C021C" w:rsidP="00292D03">
      <w:pPr>
        <w:jc w:val="both"/>
        <w:rPr>
          <w:rFonts w:cs="Arial"/>
          <w:sz w:val="22"/>
          <w:szCs w:val="22"/>
        </w:rPr>
      </w:pPr>
      <w:r>
        <w:rPr>
          <w:rFonts w:cs="Arial"/>
          <w:sz w:val="22"/>
          <w:szCs w:val="22"/>
        </w:rPr>
        <w:t>Some</w:t>
      </w:r>
      <w:r w:rsidR="002D2FCB">
        <w:rPr>
          <w:rFonts w:cs="Arial"/>
          <w:sz w:val="22"/>
          <w:szCs w:val="22"/>
        </w:rPr>
        <w:t xml:space="preserve"> </w:t>
      </w:r>
      <w:r w:rsidR="005551DF">
        <w:rPr>
          <w:rFonts w:cs="Arial"/>
          <w:sz w:val="22"/>
          <w:szCs w:val="22"/>
        </w:rPr>
        <w:t xml:space="preserve">implementation </w:t>
      </w:r>
      <w:r w:rsidR="002D2FCB">
        <w:rPr>
          <w:rFonts w:cs="Arial"/>
          <w:sz w:val="22"/>
          <w:szCs w:val="22"/>
        </w:rPr>
        <w:t>difficulties were expected when projects were signed off</w:t>
      </w:r>
      <w:r w:rsidR="00E00DD4">
        <w:rPr>
          <w:rFonts w:cs="Arial"/>
          <w:sz w:val="22"/>
          <w:szCs w:val="22"/>
        </w:rPr>
        <w:t xml:space="preserve"> and these can be </w:t>
      </w:r>
      <w:r w:rsidR="004F2CD0">
        <w:rPr>
          <w:rFonts w:cs="Arial"/>
          <w:sz w:val="22"/>
          <w:szCs w:val="22"/>
        </w:rPr>
        <w:t xml:space="preserve">beyond the control of the Trustee and Contributors. </w:t>
      </w:r>
      <w:r w:rsidR="00945EF9">
        <w:rPr>
          <w:rFonts w:cs="Arial"/>
          <w:sz w:val="22"/>
          <w:szCs w:val="22"/>
        </w:rPr>
        <w:t xml:space="preserve">The </w:t>
      </w:r>
      <w:r w:rsidR="00816E21">
        <w:rPr>
          <w:rFonts w:cs="Arial"/>
          <w:sz w:val="22"/>
          <w:szCs w:val="22"/>
        </w:rPr>
        <w:t xml:space="preserve">projects’ operating environments </w:t>
      </w:r>
      <w:r w:rsidR="00FA586C">
        <w:rPr>
          <w:rFonts w:cs="Arial"/>
          <w:sz w:val="22"/>
          <w:szCs w:val="22"/>
        </w:rPr>
        <w:t>can be challenging</w:t>
      </w:r>
      <w:r w:rsidR="00D24D91">
        <w:rPr>
          <w:rFonts w:cs="Arial"/>
          <w:sz w:val="22"/>
          <w:szCs w:val="22"/>
        </w:rPr>
        <w:t>,</w:t>
      </w:r>
      <w:r w:rsidR="00E86366">
        <w:rPr>
          <w:rFonts w:cs="Arial"/>
          <w:sz w:val="22"/>
          <w:szCs w:val="22"/>
        </w:rPr>
        <w:t xml:space="preserve"> </w:t>
      </w:r>
      <w:r w:rsidR="00FA586C">
        <w:rPr>
          <w:rFonts w:cs="Arial"/>
          <w:sz w:val="22"/>
          <w:szCs w:val="22"/>
        </w:rPr>
        <w:t xml:space="preserve">Ci-Dev </w:t>
      </w:r>
      <w:r w:rsidR="00002EB8">
        <w:rPr>
          <w:rFonts w:cs="Arial"/>
          <w:sz w:val="22"/>
          <w:szCs w:val="22"/>
        </w:rPr>
        <w:t xml:space="preserve">projects </w:t>
      </w:r>
      <w:r w:rsidR="00FA586C">
        <w:rPr>
          <w:rFonts w:cs="Arial"/>
          <w:sz w:val="22"/>
          <w:szCs w:val="22"/>
        </w:rPr>
        <w:t>are often reliant on larger lending operations</w:t>
      </w:r>
      <w:r w:rsidR="009C63B7">
        <w:rPr>
          <w:rFonts w:cs="Arial"/>
          <w:sz w:val="22"/>
          <w:szCs w:val="22"/>
        </w:rPr>
        <w:t>,</w:t>
      </w:r>
      <w:r w:rsidR="00136C69">
        <w:rPr>
          <w:rFonts w:cs="Arial"/>
          <w:sz w:val="22"/>
          <w:szCs w:val="22"/>
        </w:rPr>
        <w:t xml:space="preserve"> and there can be significant local capacity requirements, particularly in light of the fact that </w:t>
      </w:r>
      <w:r w:rsidR="00BB1876">
        <w:rPr>
          <w:rFonts w:cs="Arial"/>
          <w:sz w:val="22"/>
          <w:szCs w:val="22"/>
        </w:rPr>
        <w:t xml:space="preserve">global </w:t>
      </w:r>
      <w:r w:rsidR="00120895">
        <w:rPr>
          <w:rFonts w:cs="Arial"/>
          <w:sz w:val="22"/>
          <w:szCs w:val="22"/>
        </w:rPr>
        <w:t xml:space="preserve">CDM market activity remains very low, and </w:t>
      </w:r>
      <w:r w:rsidR="009A4253">
        <w:rPr>
          <w:rFonts w:cs="Arial"/>
          <w:sz w:val="22"/>
          <w:szCs w:val="22"/>
        </w:rPr>
        <w:t xml:space="preserve">so </w:t>
      </w:r>
      <w:r w:rsidR="00120895">
        <w:rPr>
          <w:rFonts w:cs="Arial"/>
          <w:sz w:val="22"/>
          <w:szCs w:val="22"/>
        </w:rPr>
        <w:t xml:space="preserve">the incentive for host governments to </w:t>
      </w:r>
      <w:r w:rsidR="00E52E53">
        <w:rPr>
          <w:rFonts w:cs="Arial"/>
          <w:sz w:val="22"/>
          <w:szCs w:val="22"/>
        </w:rPr>
        <w:t>fully resource related activi</w:t>
      </w:r>
      <w:r w:rsidR="00767235">
        <w:rPr>
          <w:rFonts w:cs="Arial"/>
          <w:sz w:val="22"/>
          <w:szCs w:val="22"/>
        </w:rPr>
        <w:t>t</w:t>
      </w:r>
      <w:r w:rsidR="00E52E53">
        <w:rPr>
          <w:rFonts w:cs="Arial"/>
          <w:sz w:val="22"/>
          <w:szCs w:val="22"/>
        </w:rPr>
        <w:t>y is generally weak.</w:t>
      </w:r>
      <w:r w:rsidR="009657E1">
        <w:rPr>
          <w:rFonts w:cs="Arial"/>
          <w:sz w:val="22"/>
          <w:szCs w:val="22"/>
        </w:rPr>
        <w:t xml:space="preserve"> The Covid-19 crisis is likely to exacerbate this, as governments hosting Ci-Dev projects focus on their health response.</w:t>
      </w:r>
      <w:r w:rsidR="006F2FF1">
        <w:rPr>
          <w:rFonts w:cs="Arial"/>
          <w:sz w:val="22"/>
          <w:szCs w:val="22"/>
        </w:rPr>
        <w:t xml:space="preserve"> </w:t>
      </w:r>
    </w:p>
    <w:p w14:paraId="19EDEB88" w14:textId="77777777" w:rsidR="00867A6E" w:rsidRDefault="00867A6E" w:rsidP="00292D03">
      <w:pPr>
        <w:jc w:val="both"/>
        <w:rPr>
          <w:rFonts w:cs="Arial"/>
          <w:sz w:val="22"/>
          <w:szCs w:val="22"/>
        </w:rPr>
      </w:pPr>
    </w:p>
    <w:p w14:paraId="64691DC5" w14:textId="30766910" w:rsidR="004F2CD0" w:rsidRDefault="0046382B" w:rsidP="00292D03">
      <w:pPr>
        <w:jc w:val="both"/>
        <w:rPr>
          <w:rFonts w:cs="Arial"/>
          <w:sz w:val="22"/>
          <w:szCs w:val="22"/>
        </w:rPr>
      </w:pPr>
      <w:r>
        <w:rPr>
          <w:rFonts w:cs="Arial"/>
          <w:sz w:val="22"/>
          <w:szCs w:val="22"/>
        </w:rPr>
        <w:t xml:space="preserve">The Trustee has responded to </w:t>
      </w:r>
      <w:r w:rsidR="00A266CC">
        <w:rPr>
          <w:rFonts w:cs="Arial"/>
          <w:sz w:val="22"/>
          <w:szCs w:val="22"/>
        </w:rPr>
        <w:t xml:space="preserve">implementation challenges, for example in </w:t>
      </w:r>
      <w:r w:rsidR="00DF5F5E">
        <w:rPr>
          <w:rFonts w:cs="Arial"/>
          <w:sz w:val="22"/>
          <w:szCs w:val="22"/>
        </w:rPr>
        <w:t xml:space="preserve">the Uganda: Rural Electrification project, </w:t>
      </w:r>
      <w:r w:rsidR="001D7247">
        <w:rPr>
          <w:rFonts w:cs="Arial"/>
          <w:sz w:val="22"/>
          <w:szCs w:val="22"/>
        </w:rPr>
        <w:t>through a readiness grant t</w:t>
      </w:r>
      <w:r w:rsidR="002438C8">
        <w:rPr>
          <w:rFonts w:cs="Arial"/>
          <w:sz w:val="22"/>
          <w:szCs w:val="22"/>
        </w:rPr>
        <w:t>hat supported technology infrastructure and capacity building</w:t>
      </w:r>
      <w:r w:rsidR="006914E2">
        <w:rPr>
          <w:rFonts w:cs="Arial"/>
          <w:sz w:val="22"/>
          <w:szCs w:val="22"/>
        </w:rPr>
        <w:t xml:space="preserve">, which </w:t>
      </w:r>
      <w:r w:rsidR="00CA0834">
        <w:rPr>
          <w:rFonts w:cs="Arial"/>
          <w:sz w:val="22"/>
          <w:szCs w:val="22"/>
        </w:rPr>
        <w:t>enhanced the</w:t>
      </w:r>
      <w:r w:rsidR="004F7B8B">
        <w:rPr>
          <w:rFonts w:cs="Arial"/>
          <w:sz w:val="22"/>
          <w:szCs w:val="22"/>
        </w:rPr>
        <w:t xml:space="preserve"> data processing system, storage and analysis capabilities for rural electrification in </w:t>
      </w:r>
      <w:r w:rsidR="0072613A">
        <w:rPr>
          <w:rFonts w:cs="Arial"/>
          <w:sz w:val="22"/>
          <w:szCs w:val="22"/>
        </w:rPr>
        <w:t xml:space="preserve">the country. </w:t>
      </w:r>
      <w:r w:rsidR="004F2CD0">
        <w:rPr>
          <w:rFonts w:cs="Arial"/>
          <w:sz w:val="22"/>
          <w:szCs w:val="22"/>
        </w:rPr>
        <w:t>Other m</w:t>
      </w:r>
      <w:r w:rsidR="00694FC1">
        <w:rPr>
          <w:rFonts w:cs="Arial"/>
          <w:sz w:val="22"/>
          <w:szCs w:val="22"/>
        </w:rPr>
        <w:t>easures taken in response to delivery challenges include</w:t>
      </w:r>
      <w:r w:rsidR="000C1F5E">
        <w:rPr>
          <w:rFonts w:cs="Arial"/>
          <w:sz w:val="22"/>
          <w:szCs w:val="22"/>
        </w:rPr>
        <w:t xml:space="preserve"> </w:t>
      </w:r>
      <w:r w:rsidR="00577589">
        <w:rPr>
          <w:rFonts w:cs="Arial"/>
          <w:sz w:val="22"/>
          <w:szCs w:val="22"/>
        </w:rPr>
        <w:t>enhanced</w:t>
      </w:r>
      <w:r w:rsidR="00A60708">
        <w:rPr>
          <w:rFonts w:cs="Arial"/>
          <w:sz w:val="22"/>
          <w:szCs w:val="22"/>
        </w:rPr>
        <w:t xml:space="preserve"> </w:t>
      </w:r>
      <w:r w:rsidR="001C05EC">
        <w:rPr>
          <w:rFonts w:cs="Arial"/>
          <w:sz w:val="22"/>
          <w:szCs w:val="22"/>
        </w:rPr>
        <w:t xml:space="preserve">training and </w:t>
      </w:r>
      <w:r w:rsidR="00010C5F">
        <w:rPr>
          <w:rFonts w:cs="Arial"/>
          <w:sz w:val="22"/>
          <w:szCs w:val="22"/>
        </w:rPr>
        <w:t xml:space="preserve">very close </w:t>
      </w:r>
      <w:r w:rsidR="00A60708">
        <w:rPr>
          <w:rFonts w:cs="Arial"/>
          <w:sz w:val="22"/>
          <w:szCs w:val="22"/>
        </w:rPr>
        <w:t xml:space="preserve">supervision to </w:t>
      </w:r>
      <w:r w:rsidR="001C05EC">
        <w:rPr>
          <w:rFonts w:cs="Arial"/>
          <w:sz w:val="22"/>
          <w:szCs w:val="22"/>
        </w:rPr>
        <w:t xml:space="preserve">help </w:t>
      </w:r>
      <w:r w:rsidR="00A60708">
        <w:rPr>
          <w:rFonts w:cs="Arial"/>
          <w:sz w:val="22"/>
          <w:szCs w:val="22"/>
        </w:rPr>
        <w:t xml:space="preserve">achieve first </w:t>
      </w:r>
      <w:r w:rsidR="008A3764">
        <w:rPr>
          <w:rFonts w:cs="Arial"/>
          <w:sz w:val="22"/>
          <w:szCs w:val="22"/>
        </w:rPr>
        <w:t xml:space="preserve">credit </w:t>
      </w:r>
      <w:r w:rsidR="00A60708">
        <w:rPr>
          <w:rFonts w:cs="Arial"/>
          <w:sz w:val="22"/>
          <w:szCs w:val="22"/>
        </w:rPr>
        <w:t>issuance</w:t>
      </w:r>
      <w:r w:rsidR="004F2CD0">
        <w:rPr>
          <w:rFonts w:cs="Arial"/>
          <w:sz w:val="22"/>
          <w:szCs w:val="22"/>
        </w:rPr>
        <w:t>s</w:t>
      </w:r>
      <w:r w:rsidR="008A3764">
        <w:rPr>
          <w:rFonts w:cs="Arial"/>
          <w:sz w:val="22"/>
          <w:szCs w:val="22"/>
        </w:rPr>
        <w:t xml:space="preserve">. </w:t>
      </w:r>
      <w:r w:rsidR="00320FD8">
        <w:rPr>
          <w:rFonts w:cs="Arial"/>
          <w:sz w:val="22"/>
          <w:szCs w:val="22"/>
        </w:rPr>
        <w:t xml:space="preserve">It </w:t>
      </w:r>
      <w:r w:rsidR="00E311FF">
        <w:rPr>
          <w:rFonts w:cs="Arial"/>
          <w:sz w:val="22"/>
          <w:szCs w:val="22"/>
        </w:rPr>
        <w:t xml:space="preserve">is important that everything possible is </w:t>
      </w:r>
      <w:r w:rsidR="00203B1C">
        <w:rPr>
          <w:rFonts w:cs="Arial"/>
          <w:sz w:val="22"/>
          <w:szCs w:val="22"/>
        </w:rPr>
        <w:t xml:space="preserve">done to help struggling projects and this includes making effective use of readiness grants to </w:t>
      </w:r>
      <w:r w:rsidR="00F80D7D">
        <w:rPr>
          <w:rFonts w:cs="Arial"/>
          <w:sz w:val="22"/>
          <w:szCs w:val="22"/>
        </w:rPr>
        <w:t xml:space="preserve">provide direct </w:t>
      </w:r>
      <w:r w:rsidR="009514C3">
        <w:rPr>
          <w:rFonts w:cs="Arial"/>
          <w:sz w:val="22"/>
          <w:szCs w:val="22"/>
        </w:rPr>
        <w:t xml:space="preserve">capacity building </w:t>
      </w:r>
      <w:r w:rsidR="00F80D7D">
        <w:rPr>
          <w:rFonts w:cs="Arial"/>
          <w:sz w:val="22"/>
          <w:szCs w:val="22"/>
        </w:rPr>
        <w:t xml:space="preserve">support. </w:t>
      </w:r>
      <w:r w:rsidR="00C14DC8">
        <w:rPr>
          <w:rFonts w:cs="Arial"/>
          <w:sz w:val="22"/>
          <w:szCs w:val="22"/>
        </w:rPr>
        <w:t xml:space="preserve">Currently </w:t>
      </w:r>
      <w:r w:rsidR="00824727">
        <w:rPr>
          <w:rFonts w:cs="Arial"/>
          <w:sz w:val="22"/>
          <w:szCs w:val="22"/>
        </w:rPr>
        <w:t>these appear underused, wi</w:t>
      </w:r>
      <w:r w:rsidR="009C63B7">
        <w:rPr>
          <w:rFonts w:cs="Arial"/>
          <w:sz w:val="22"/>
          <w:szCs w:val="22"/>
        </w:rPr>
        <w:t>th 1</w:t>
      </w:r>
      <w:r w:rsidR="00814C95">
        <w:rPr>
          <w:rFonts w:cs="Arial"/>
          <w:sz w:val="22"/>
          <w:szCs w:val="22"/>
        </w:rPr>
        <w:t>8</w:t>
      </w:r>
      <w:r w:rsidR="009C63B7">
        <w:rPr>
          <w:rFonts w:cs="Arial"/>
          <w:sz w:val="22"/>
          <w:szCs w:val="22"/>
        </w:rPr>
        <w:t>%</w:t>
      </w:r>
      <w:r w:rsidR="000B2E3D">
        <w:rPr>
          <w:rStyle w:val="FootnoteReference"/>
          <w:rFonts w:cs="Arial"/>
          <w:sz w:val="22"/>
          <w:szCs w:val="22"/>
        </w:rPr>
        <w:footnoteReference w:id="6"/>
      </w:r>
      <w:r w:rsidR="009C63B7">
        <w:rPr>
          <w:rFonts w:cs="Arial"/>
          <w:sz w:val="22"/>
          <w:szCs w:val="22"/>
        </w:rPr>
        <w:t xml:space="preserve"> of such funds spent, compared to financial forecasts. </w:t>
      </w:r>
    </w:p>
    <w:p w14:paraId="0F95B87D" w14:textId="7DD3575E" w:rsidR="000429F8" w:rsidRDefault="000429F8" w:rsidP="00292D03">
      <w:pPr>
        <w:jc w:val="both"/>
        <w:rPr>
          <w:rFonts w:cs="Arial"/>
          <w:sz w:val="22"/>
          <w:szCs w:val="22"/>
        </w:rPr>
      </w:pPr>
    </w:p>
    <w:p w14:paraId="32ECCC33" w14:textId="15C2D74F" w:rsidR="000429F8" w:rsidRDefault="00E43DD6" w:rsidP="000429F8">
      <w:pPr>
        <w:jc w:val="both"/>
        <w:rPr>
          <w:rFonts w:cs="Arial"/>
          <w:sz w:val="22"/>
          <w:szCs w:val="22"/>
        </w:rPr>
      </w:pPr>
      <w:r>
        <w:rPr>
          <w:rFonts w:cs="Arial"/>
          <w:sz w:val="22"/>
          <w:szCs w:val="22"/>
        </w:rPr>
        <w:lastRenderedPageBreak/>
        <w:t>Some</w:t>
      </w:r>
      <w:r w:rsidR="00BB1876">
        <w:rPr>
          <w:rFonts w:cs="Arial"/>
          <w:sz w:val="22"/>
          <w:szCs w:val="22"/>
        </w:rPr>
        <w:t xml:space="preserve"> </w:t>
      </w:r>
      <w:r w:rsidR="000429F8">
        <w:rPr>
          <w:rFonts w:cs="Arial"/>
          <w:sz w:val="22"/>
          <w:szCs w:val="22"/>
        </w:rPr>
        <w:t>projects are performing</w:t>
      </w:r>
      <w:r w:rsidR="009C63B7">
        <w:rPr>
          <w:rFonts w:cs="Arial"/>
          <w:sz w:val="22"/>
          <w:szCs w:val="22"/>
        </w:rPr>
        <w:t xml:space="preserve"> well</w:t>
      </w:r>
      <w:r w:rsidR="000429F8">
        <w:rPr>
          <w:rFonts w:cs="Arial"/>
          <w:sz w:val="22"/>
          <w:szCs w:val="22"/>
        </w:rPr>
        <w:t xml:space="preserve">. </w:t>
      </w:r>
      <w:r w:rsidR="00BB1876">
        <w:rPr>
          <w:rFonts w:cs="Arial"/>
          <w:sz w:val="22"/>
          <w:szCs w:val="22"/>
        </w:rPr>
        <w:t>For example t</w:t>
      </w:r>
      <w:r w:rsidR="000429F8">
        <w:rPr>
          <w:rFonts w:cs="Arial"/>
          <w:sz w:val="22"/>
          <w:szCs w:val="22"/>
        </w:rPr>
        <w:t xml:space="preserve">he Ethiopia: Offgrid Electricity Access and Mali: Rural Electrification projects have met or exceeded expectations in terms of technology </w:t>
      </w:r>
      <w:r w:rsidR="00BB1876">
        <w:rPr>
          <w:rFonts w:cs="Arial"/>
          <w:sz w:val="22"/>
          <w:szCs w:val="22"/>
        </w:rPr>
        <w:t>implemented</w:t>
      </w:r>
      <w:r w:rsidR="000429F8">
        <w:rPr>
          <w:rFonts w:cs="Arial"/>
          <w:sz w:val="22"/>
          <w:szCs w:val="22"/>
        </w:rPr>
        <w:t xml:space="preserve">. The Uganda: Rural Electrification project is also likely to deliver around double the initially expected </w:t>
      </w:r>
      <w:r w:rsidR="000F48D2">
        <w:rPr>
          <w:rFonts w:cs="Arial"/>
          <w:sz w:val="22"/>
          <w:szCs w:val="22"/>
        </w:rPr>
        <w:t xml:space="preserve">credit </w:t>
      </w:r>
      <w:r w:rsidR="000429F8">
        <w:rPr>
          <w:rFonts w:cs="Arial"/>
          <w:sz w:val="22"/>
          <w:szCs w:val="22"/>
        </w:rPr>
        <w:t xml:space="preserve">volume. </w:t>
      </w:r>
    </w:p>
    <w:p w14:paraId="2FCBA7B0" w14:textId="157F33A2" w:rsidR="000429F8" w:rsidRDefault="000429F8" w:rsidP="00292D03">
      <w:pPr>
        <w:jc w:val="both"/>
        <w:rPr>
          <w:rFonts w:cs="Arial"/>
          <w:sz w:val="22"/>
          <w:szCs w:val="22"/>
        </w:rPr>
      </w:pPr>
    </w:p>
    <w:p w14:paraId="1C35C258" w14:textId="71CCFFA8" w:rsidR="004F2CD0" w:rsidRDefault="004F2CD0" w:rsidP="004F2CD0">
      <w:pPr>
        <w:jc w:val="both"/>
        <w:rPr>
          <w:rFonts w:cs="Arial"/>
          <w:sz w:val="22"/>
          <w:szCs w:val="22"/>
        </w:rPr>
      </w:pPr>
      <w:r>
        <w:rPr>
          <w:rFonts w:cs="Arial"/>
          <w:sz w:val="22"/>
          <w:szCs w:val="22"/>
        </w:rPr>
        <w:t xml:space="preserve">Despite this, based on </w:t>
      </w:r>
      <w:r w:rsidR="001F0A1A">
        <w:rPr>
          <w:rFonts w:cs="Arial"/>
          <w:sz w:val="22"/>
          <w:szCs w:val="22"/>
        </w:rPr>
        <w:t>current delivery projections</w:t>
      </w:r>
      <w:r w:rsidR="00A83E53">
        <w:rPr>
          <w:rFonts w:cs="Arial"/>
          <w:sz w:val="22"/>
          <w:szCs w:val="22"/>
        </w:rPr>
        <w:t xml:space="preserve">, </w:t>
      </w:r>
      <w:r w:rsidR="00BB1876">
        <w:rPr>
          <w:rFonts w:cs="Arial"/>
          <w:sz w:val="22"/>
          <w:szCs w:val="22"/>
        </w:rPr>
        <w:t>including the</w:t>
      </w:r>
      <w:r w:rsidR="00A83E53">
        <w:rPr>
          <w:rFonts w:cs="Arial"/>
          <w:sz w:val="22"/>
          <w:szCs w:val="22"/>
        </w:rPr>
        <w:t xml:space="preserve"> </w:t>
      </w:r>
      <w:r w:rsidR="00A16E87">
        <w:rPr>
          <w:rFonts w:cs="Arial"/>
          <w:sz w:val="22"/>
          <w:szCs w:val="22"/>
        </w:rPr>
        <w:t xml:space="preserve">two </w:t>
      </w:r>
      <w:r w:rsidR="00E43DD6">
        <w:rPr>
          <w:rFonts w:cs="Arial"/>
          <w:sz w:val="22"/>
          <w:szCs w:val="22"/>
        </w:rPr>
        <w:t xml:space="preserve">halted </w:t>
      </w:r>
      <w:r w:rsidR="00A83E53">
        <w:rPr>
          <w:rFonts w:cs="Arial"/>
          <w:sz w:val="22"/>
          <w:szCs w:val="22"/>
        </w:rPr>
        <w:t>projects</w:t>
      </w:r>
      <w:r w:rsidR="00BB1876">
        <w:rPr>
          <w:rFonts w:cs="Arial"/>
          <w:sz w:val="22"/>
          <w:szCs w:val="22"/>
        </w:rPr>
        <w:t xml:space="preserve"> described above</w:t>
      </w:r>
      <w:r>
        <w:rPr>
          <w:rFonts w:cs="Arial"/>
          <w:sz w:val="22"/>
          <w:szCs w:val="22"/>
        </w:rPr>
        <w:t xml:space="preserve">, Ci-Dev is likely to miss </w:t>
      </w:r>
      <w:r w:rsidR="00BB1876">
        <w:rPr>
          <w:rFonts w:cs="Arial"/>
          <w:sz w:val="22"/>
          <w:szCs w:val="22"/>
        </w:rPr>
        <w:t xml:space="preserve">its </w:t>
      </w:r>
      <w:r>
        <w:rPr>
          <w:rFonts w:cs="Arial"/>
          <w:sz w:val="22"/>
          <w:szCs w:val="22"/>
        </w:rPr>
        <w:t xml:space="preserve">lifetime outcome targets. By recommitting capital to new projects as part of the exercise described above, the Trustee will </w:t>
      </w:r>
      <w:r w:rsidR="00A72AFA">
        <w:rPr>
          <w:rFonts w:cs="Arial"/>
          <w:sz w:val="22"/>
          <w:szCs w:val="22"/>
        </w:rPr>
        <w:t xml:space="preserve">reduce this risk, but the extent to which this is achieved will depend on elements </w:t>
      </w:r>
      <w:r w:rsidR="00F95085">
        <w:rPr>
          <w:rFonts w:cs="Arial"/>
          <w:sz w:val="22"/>
          <w:szCs w:val="22"/>
        </w:rPr>
        <w:t xml:space="preserve">still to be determined: </w:t>
      </w:r>
      <w:r w:rsidR="00A72AFA">
        <w:rPr>
          <w:rFonts w:cs="Arial"/>
          <w:sz w:val="22"/>
          <w:szCs w:val="22"/>
        </w:rPr>
        <w:t xml:space="preserve">including credit volumes and prices, development benefits, and extent to which new projects learn from past failures. Any </w:t>
      </w:r>
      <w:r w:rsidR="00F95085">
        <w:rPr>
          <w:rFonts w:cs="Arial"/>
          <w:sz w:val="22"/>
          <w:szCs w:val="22"/>
        </w:rPr>
        <w:t xml:space="preserve">new projects introduced into Ci-Dev’s portfolio as a result, that are </w:t>
      </w:r>
      <w:r>
        <w:rPr>
          <w:rFonts w:cs="Arial"/>
          <w:sz w:val="22"/>
          <w:szCs w:val="22"/>
        </w:rPr>
        <w:t>led by private companies</w:t>
      </w:r>
      <w:r w:rsidR="00F95085">
        <w:rPr>
          <w:rFonts w:cs="Arial"/>
          <w:sz w:val="22"/>
          <w:szCs w:val="22"/>
        </w:rPr>
        <w:t>,</w:t>
      </w:r>
      <w:r>
        <w:rPr>
          <w:rFonts w:cs="Arial"/>
          <w:sz w:val="22"/>
          <w:szCs w:val="22"/>
        </w:rPr>
        <w:t xml:space="preserve"> </w:t>
      </w:r>
      <w:r w:rsidR="00A72AFA">
        <w:rPr>
          <w:rFonts w:cs="Arial"/>
          <w:sz w:val="22"/>
          <w:szCs w:val="22"/>
        </w:rPr>
        <w:t xml:space="preserve">should demonstrate </w:t>
      </w:r>
      <w:r>
        <w:rPr>
          <w:rFonts w:cs="Arial"/>
          <w:sz w:val="22"/>
          <w:szCs w:val="22"/>
        </w:rPr>
        <w:t>that lessons have been learned, particularly around operating capital assumptions, when they undergo financial due diligence.</w:t>
      </w:r>
    </w:p>
    <w:p w14:paraId="2ABDE572" w14:textId="29D79537" w:rsidR="006C3B8E" w:rsidRDefault="00F95085" w:rsidP="008259A5">
      <w:pPr>
        <w:pStyle w:val="Heading3"/>
        <w:jc w:val="both"/>
        <w:rPr>
          <w:rFonts w:ascii="Arial" w:eastAsia="Times New Roman" w:hAnsi="Arial" w:cs="Arial"/>
          <w:b w:val="0"/>
          <w:bCs w:val="0"/>
          <w:color w:val="000000" w:themeColor="text1"/>
          <w:sz w:val="22"/>
          <w:szCs w:val="22"/>
        </w:rPr>
      </w:pPr>
      <w:r>
        <w:rPr>
          <w:rFonts w:ascii="Arial" w:hAnsi="Arial" w:cs="Arial"/>
          <w:b w:val="0"/>
          <w:color w:val="000000" w:themeColor="text1"/>
          <w:sz w:val="22"/>
          <w:szCs w:val="22"/>
        </w:rPr>
        <w:t>Ci-Dev’s</w:t>
      </w:r>
      <w:r w:rsidR="00253BED" w:rsidRPr="00183F44">
        <w:rPr>
          <w:rFonts w:ascii="Arial" w:hAnsi="Arial" w:cs="Arial"/>
          <w:b w:val="0"/>
          <w:color w:val="000000" w:themeColor="text1"/>
          <w:sz w:val="22"/>
          <w:szCs w:val="22"/>
        </w:rPr>
        <w:t xml:space="preserve"> expected </w:t>
      </w:r>
      <w:r>
        <w:rPr>
          <w:rFonts w:ascii="Arial" w:hAnsi="Arial" w:cs="Arial"/>
          <w:b w:val="0"/>
          <w:color w:val="000000" w:themeColor="text1"/>
          <w:sz w:val="22"/>
          <w:szCs w:val="22"/>
        </w:rPr>
        <w:t xml:space="preserve">overall </w:t>
      </w:r>
      <w:r w:rsidR="00253BED" w:rsidRPr="00183F44">
        <w:rPr>
          <w:rFonts w:ascii="Arial" w:hAnsi="Arial" w:cs="Arial"/>
          <w:b w:val="0"/>
          <w:color w:val="000000" w:themeColor="text1"/>
          <w:sz w:val="22"/>
          <w:szCs w:val="22"/>
        </w:rPr>
        <w:t>Outcome is</w:t>
      </w:r>
      <w:r>
        <w:rPr>
          <w:rFonts w:ascii="Arial" w:hAnsi="Arial" w:cs="Arial"/>
          <w:b w:val="0"/>
          <w:color w:val="000000" w:themeColor="text1"/>
          <w:sz w:val="22"/>
          <w:szCs w:val="22"/>
        </w:rPr>
        <w:t>:</w:t>
      </w:r>
      <w:r w:rsidR="00253BED" w:rsidRPr="00183F44">
        <w:rPr>
          <w:rFonts w:ascii="Arial" w:hAnsi="Arial" w:cs="Arial"/>
          <w:b w:val="0"/>
          <w:color w:val="000000" w:themeColor="text1"/>
          <w:sz w:val="22"/>
          <w:szCs w:val="22"/>
        </w:rPr>
        <w:t xml:space="preserve"> “</w:t>
      </w:r>
      <w:r w:rsidR="00253BED" w:rsidRPr="00183F44">
        <w:rPr>
          <w:rFonts w:ascii="Arial" w:hAnsi="Arial" w:cs="Arial"/>
          <w:b w:val="0"/>
          <w:i/>
          <w:color w:val="000000" w:themeColor="text1"/>
          <w:sz w:val="22"/>
          <w:szCs w:val="22"/>
          <w:lang w:eastAsia="en-GB"/>
        </w:rPr>
        <w:t xml:space="preserve">Increased carbon finance flows </w:t>
      </w:r>
      <w:r w:rsidR="00253BED" w:rsidRPr="00581E6D">
        <w:rPr>
          <w:rFonts w:ascii="Arial" w:hAnsi="Arial" w:cs="Arial"/>
          <w:b w:val="0"/>
          <w:i/>
          <w:color w:val="000000" w:themeColor="text1"/>
          <w:sz w:val="22"/>
          <w:szCs w:val="22"/>
          <w:lang w:eastAsia="en-GB"/>
        </w:rPr>
        <w:t>to poor countries for low carbon energy and other poverty reducing technologies”</w:t>
      </w:r>
      <w:r w:rsidR="00253BED" w:rsidRPr="00581E6D">
        <w:rPr>
          <w:rFonts w:ascii="Arial" w:hAnsi="Arial" w:cs="Arial"/>
          <w:b w:val="0"/>
          <w:color w:val="000000" w:themeColor="text1"/>
          <w:sz w:val="22"/>
          <w:szCs w:val="22"/>
          <w:lang w:eastAsia="en-GB"/>
        </w:rPr>
        <w:t>.</w:t>
      </w:r>
      <w:r w:rsidR="00292D03">
        <w:rPr>
          <w:rFonts w:ascii="Arial" w:hAnsi="Arial" w:cs="Arial"/>
          <w:b w:val="0"/>
          <w:color w:val="000000" w:themeColor="text1"/>
          <w:sz w:val="22"/>
          <w:szCs w:val="22"/>
          <w:lang w:eastAsia="en-GB"/>
        </w:rPr>
        <w:t xml:space="preserve"> </w:t>
      </w:r>
      <w:r>
        <w:rPr>
          <w:rFonts w:ascii="Arial" w:hAnsi="Arial" w:cs="Arial"/>
          <w:b w:val="0"/>
          <w:color w:val="000000" w:themeColor="text1"/>
          <w:sz w:val="22"/>
          <w:szCs w:val="22"/>
          <w:lang w:eastAsia="en-GB"/>
        </w:rPr>
        <w:t xml:space="preserve">To date </w:t>
      </w:r>
      <w:r>
        <w:rPr>
          <w:rFonts w:ascii="Arial" w:eastAsia="Times New Roman" w:hAnsi="Arial" w:cs="Arial"/>
          <w:b w:val="0"/>
          <w:bCs w:val="0"/>
          <w:color w:val="000000" w:themeColor="text1"/>
          <w:sz w:val="22"/>
          <w:szCs w:val="22"/>
        </w:rPr>
        <w:t>Ci-Dev</w:t>
      </w:r>
      <w:r w:rsidR="006C3B8E" w:rsidRPr="00292D03">
        <w:rPr>
          <w:rFonts w:ascii="Arial" w:eastAsia="Times New Roman" w:hAnsi="Arial" w:cs="Arial"/>
          <w:b w:val="0"/>
          <w:bCs w:val="0"/>
          <w:color w:val="000000" w:themeColor="text1"/>
          <w:sz w:val="22"/>
          <w:szCs w:val="22"/>
        </w:rPr>
        <w:t xml:space="preserve"> is </w:t>
      </w:r>
      <w:r w:rsidR="00EA4D2A">
        <w:rPr>
          <w:rFonts w:ascii="Arial" w:hAnsi="Arial" w:cs="Arial"/>
          <w:b w:val="0"/>
          <w:bCs w:val="0"/>
          <w:color w:val="000000" w:themeColor="text1"/>
          <w:sz w:val="22"/>
          <w:szCs w:val="22"/>
        </w:rPr>
        <w:t>slightly exceeding</w:t>
      </w:r>
      <w:r w:rsidR="00F86406">
        <w:rPr>
          <w:rFonts w:ascii="Arial" w:hAnsi="Arial" w:cs="Arial"/>
          <w:b w:val="0"/>
          <w:bCs w:val="0"/>
          <w:color w:val="000000" w:themeColor="text1"/>
          <w:sz w:val="22"/>
          <w:szCs w:val="22"/>
        </w:rPr>
        <w:t xml:space="preserve"> </w:t>
      </w:r>
      <w:r w:rsidR="00A72AFA">
        <w:rPr>
          <w:rFonts w:ascii="Arial" w:hAnsi="Arial" w:cs="Arial"/>
          <w:b w:val="0"/>
          <w:bCs w:val="0"/>
          <w:color w:val="000000" w:themeColor="text1"/>
          <w:sz w:val="22"/>
          <w:szCs w:val="22"/>
        </w:rPr>
        <w:t>three out</w:t>
      </w:r>
      <w:r w:rsidR="009657E1">
        <w:rPr>
          <w:rFonts w:ascii="Arial" w:hAnsi="Arial" w:cs="Arial"/>
          <w:b w:val="0"/>
          <w:bCs w:val="0"/>
          <w:color w:val="000000" w:themeColor="text1"/>
          <w:sz w:val="22"/>
          <w:szCs w:val="22"/>
        </w:rPr>
        <w:t>c</w:t>
      </w:r>
      <w:r w:rsidR="00A72AFA">
        <w:rPr>
          <w:rFonts w:ascii="Arial" w:hAnsi="Arial" w:cs="Arial"/>
          <w:b w:val="0"/>
          <w:bCs w:val="0"/>
          <w:color w:val="000000" w:themeColor="text1"/>
          <w:sz w:val="22"/>
          <w:szCs w:val="22"/>
        </w:rPr>
        <w:t>ome targets</w:t>
      </w:r>
      <w:r>
        <w:rPr>
          <w:rFonts w:ascii="Arial" w:hAnsi="Arial" w:cs="Arial"/>
          <w:b w:val="0"/>
          <w:bCs w:val="0"/>
          <w:color w:val="000000" w:themeColor="text1"/>
          <w:sz w:val="22"/>
          <w:szCs w:val="22"/>
        </w:rPr>
        <w:t xml:space="preserve"> </w:t>
      </w:r>
      <w:r w:rsidR="00323E5C">
        <w:rPr>
          <w:rFonts w:ascii="Arial" w:hAnsi="Arial" w:cs="Arial"/>
          <w:b w:val="0"/>
          <w:bCs w:val="0"/>
          <w:color w:val="000000" w:themeColor="text1"/>
          <w:sz w:val="22"/>
          <w:szCs w:val="22"/>
        </w:rPr>
        <w:t>related</w:t>
      </w:r>
      <w:r>
        <w:rPr>
          <w:rFonts w:ascii="Arial" w:hAnsi="Arial" w:cs="Arial"/>
          <w:b w:val="0"/>
          <w:bCs w:val="0"/>
          <w:color w:val="000000" w:themeColor="text1"/>
          <w:sz w:val="22"/>
          <w:szCs w:val="22"/>
        </w:rPr>
        <w:t xml:space="preserve"> to this</w:t>
      </w:r>
      <w:r w:rsidR="00A72AFA">
        <w:rPr>
          <w:rFonts w:ascii="Arial" w:hAnsi="Arial" w:cs="Arial"/>
          <w:b w:val="0"/>
          <w:bCs w:val="0"/>
          <w:color w:val="000000" w:themeColor="text1"/>
          <w:sz w:val="22"/>
          <w:szCs w:val="22"/>
        </w:rPr>
        <w:t xml:space="preserve">, and </w:t>
      </w:r>
      <w:r w:rsidR="003619BF">
        <w:rPr>
          <w:rFonts w:ascii="Arial" w:hAnsi="Arial" w:cs="Arial"/>
          <w:b w:val="0"/>
          <w:bCs w:val="0"/>
          <w:color w:val="000000" w:themeColor="text1"/>
          <w:sz w:val="22"/>
          <w:szCs w:val="22"/>
        </w:rPr>
        <w:t xml:space="preserve">narrowly </w:t>
      </w:r>
      <w:r w:rsidR="00A72AFA">
        <w:rPr>
          <w:rFonts w:ascii="Arial" w:hAnsi="Arial" w:cs="Arial"/>
          <w:b w:val="0"/>
          <w:bCs w:val="0"/>
          <w:color w:val="000000" w:themeColor="text1"/>
          <w:sz w:val="22"/>
          <w:szCs w:val="22"/>
        </w:rPr>
        <w:t>missing two</w:t>
      </w:r>
      <w:r w:rsidR="00292D03" w:rsidRPr="00292D03">
        <w:rPr>
          <w:rFonts w:ascii="Arial" w:hAnsi="Arial" w:cs="Arial"/>
          <w:b w:val="0"/>
          <w:bCs w:val="0"/>
          <w:color w:val="000000" w:themeColor="text1"/>
          <w:sz w:val="22"/>
          <w:szCs w:val="22"/>
        </w:rPr>
        <w:t>.</w:t>
      </w:r>
      <w:r w:rsidR="003619BF">
        <w:rPr>
          <w:rFonts w:ascii="Arial" w:hAnsi="Arial" w:cs="Arial"/>
          <w:b w:val="0"/>
          <w:bCs w:val="0"/>
          <w:color w:val="000000" w:themeColor="text1"/>
          <w:sz w:val="22"/>
          <w:szCs w:val="22"/>
        </w:rPr>
        <w:t xml:space="preserve"> </w:t>
      </w:r>
      <w:r w:rsidR="00E14A70">
        <w:rPr>
          <w:rFonts w:ascii="Arial" w:hAnsi="Arial" w:cs="Arial"/>
          <w:b w:val="0"/>
          <w:bCs w:val="0"/>
          <w:color w:val="000000" w:themeColor="text1"/>
          <w:sz w:val="22"/>
          <w:szCs w:val="22"/>
        </w:rPr>
        <w:t>C</w:t>
      </w:r>
      <w:r>
        <w:rPr>
          <w:rFonts w:ascii="Arial" w:hAnsi="Arial" w:cs="Arial"/>
          <w:b w:val="0"/>
          <w:bCs w:val="0"/>
          <w:color w:val="000000" w:themeColor="text1"/>
          <w:sz w:val="22"/>
          <w:szCs w:val="22"/>
        </w:rPr>
        <w:t>i-Dev’s p</w:t>
      </w:r>
      <w:r w:rsidR="003619BF">
        <w:rPr>
          <w:rFonts w:ascii="Arial" w:hAnsi="Arial" w:cs="Arial"/>
          <w:b w:val="0"/>
          <w:bCs w:val="0"/>
          <w:color w:val="000000" w:themeColor="text1"/>
          <w:sz w:val="22"/>
          <w:szCs w:val="22"/>
        </w:rPr>
        <w:t>rogress at the output level is mixed</w:t>
      </w:r>
      <w:r w:rsidR="00A83E53">
        <w:rPr>
          <w:rFonts w:ascii="Arial" w:hAnsi="Arial" w:cs="Arial"/>
          <w:b w:val="0"/>
          <w:bCs w:val="0"/>
          <w:color w:val="000000" w:themeColor="text1"/>
          <w:sz w:val="22"/>
          <w:szCs w:val="22"/>
        </w:rPr>
        <w:t xml:space="preserve">. Most (40%) of the output scoring </w:t>
      </w:r>
      <w:r>
        <w:rPr>
          <w:rFonts w:ascii="Arial" w:hAnsi="Arial" w:cs="Arial"/>
          <w:b w:val="0"/>
          <w:bCs w:val="0"/>
          <w:color w:val="000000" w:themeColor="text1"/>
          <w:sz w:val="22"/>
          <w:szCs w:val="22"/>
        </w:rPr>
        <w:t xml:space="preserve">in the Logical Framework (Logframe) that BEIS uses to assess progress, </w:t>
      </w:r>
      <w:r w:rsidR="00A83E53">
        <w:rPr>
          <w:rFonts w:ascii="Arial" w:hAnsi="Arial" w:cs="Arial"/>
          <w:b w:val="0"/>
          <w:bCs w:val="0"/>
          <w:color w:val="000000" w:themeColor="text1"/>
          <w:sz w:val="22"/>
          <w:szCs w:val="22"/>
        </w:rPr>
        <w:t xml:space="preserve">is weighted towards the implementation of projects and </w:t>
      </w:r>
      <w:r w:rsidR="006D70BA">
        <w:rPr>
          <w:rFonts w:ascii="Arial" w:hAnsi="Arial" w:cs="Arial"/>
          <w:b w:val="0"/>
          <w:bCs w:val="0"/>
          <w:color w:val="000000" w:themeColor="text1"/>
          <w:sz w:val="22"/>
          <w:szCs w:val="22"/>
        </w:rPr>
        <w:t xml:space="preserve">associated outputs from those. </w:t>
      </w:r>
      <w:r w:rsidR="009657E1">
        <w:rPr>
          <w:rFonts w:ascii="Arial" w:hAnsi="Arial" w:cs="Arial"/>
          <w:b w:val="0"/>
          <w:bCs w:val="0"/>
          <w:color w:val="000000" w:themeColor="text1"/>
          <w:sz w:val="22"/>
          <w:szCs w:val="22"/>
        </w:rPr>
        <w:t xml:space="preserve">While progress against </w:t>
      </w:r>
      <w:r w:rsidR="00A24AF2">
        <w:rPr>
          <w:rFonts w:ascii="Arial" w:hAnsi="Arial" w:cs="Arial"/>
          <w:b w:val="0"/>
          <w:bCs w:val="0"/>
          <w:color w:val="000000" w:themeColor="text1"/>
          <w:sz w:val="22"/>
          <w:szCs w:val="22"/>
        </w:rPr>
        <w:t xml:space="preserve">two </w:t>
      </w:r>
      <w:r w:rsidR="009657E1">
        <w:rPr>
          <w:rFonts w:ascii="Arial" w:hAnsi="Arial" w:cs="Arial"/>
          <w:b w:val="0"/>
          <w:bCs w:val="0"/>
          <w:color w:val="000000" w:themeColor="text1"/>
          <w:sz w:val="22"/>
          <w:szCs w:val="22"/>
        </w:rPr>
        <w:t>other output groups has been good, for this most heavily weighted group</w:t>
      </w:r>
      <w:r w:rsidR="0091152D">
        <w:rPr>
          <w:rFonts w:ascii="Arial" w:hAnsi="Arial" w:cs="Arial"/>
          <w:b w:val="0"/>
          <w:bCs w:val="0"/>
          <w:color w:val="000000" w:themeColor="text1"/>
          <w:sz w:val="22"/>
          <w:szCs w:val="22"/>
        </w:rPr>
        <w:t>, and in a second group,</w:t>
      </w:r>
      <w:r w:rsidR="009657E1">
        <w:rPr>
          <w:rFonts w:ascii="Arial" w:hAnsi="Arial" w:cs="Arial"/>
          <w:b w:val="0"/>
          <w:bCs w:val="0"/>
          <w:color w:val="000000" w:themeColor="text1"/>
          <w:sz w:val="22"/>
          <w:szCs w:val="22"/>
        </w:rPr>
        <w:t xml:space="preserve"> the programme has missed expectations. </w:t>
      </w:r>
    </w:p>
    <w:p w14:paraId="7DD7661E" w14:textId="77777777" w:rsidR="006C3B8E" w:rsidRDefault="006C3B8E" w:rsidP="001D7A4D">
      <w:pPr>
        <w:rPr>
          <w:sz w:val="22"/>
          <w:szCs w:val="22"/>
        </w:rPr>
      </w:pPr>
    </w:p>
    <w:p w14:paraId="23FC0EAD" w14:textId="26E5A61F" w:rsidR="00244665" w:rsidRDefault="00473EE7" w:rsidP="001D7A4D">
      <w:pPr>
        <w:rPr>
          <w:sz w:val="22"/>
          <w:szCs w:val="22"/>
        </w:rPr>
      </w:pPr>
      <w:r>
        <w:rPr>
          <w:sz w:val="22"/>
          <w:szCs w:val="22"/>
        </w:rPr>
        <w:t xml:space="preserve">This year </w:t>
      </w:r>
      <w:r w:rsidR="00D220E9">
        <w:rPr>
          <w:sz w:val="22"/>
          <w:szCs w:val="22"/>
        </w:rPr>
        <w:t xml:space="preserve">BEIS has </w:t>
      </w:r>
      <w:r>
        <w:rPr>
          <w:sz w:val="22"/>
          <w:szCs w:val="22"/>
        </w:rPr>
        <w:t>ma</w:t>
      </w:r>
      <w:r w:rsidR="00D220E9">
        <w:rPr>
          <w:sz w:val="22"/>
          <w:szCs w:val="22"/>
        </w:rPr>
        <w:t>de</w:t>
      </w:r>
      <w:r>
        <w:rPr>
          <w:sz w:val="22"/>
          <w:szCs w:val="22"/>
        </w:rPr>
        <w:t xml:space="preserve"> </w:t>
      </w:r>
      <w:r w:rsidR="00BA6E52">
        <w:rPr>
          <w:sz w:val="22"/>
          <w:szCs w:val="22"/>
        </w:rPr>
        <w:t>six</w:t>
      </w:r>
      <w:r w:rsidR="00744914">
        <w:rPr>
          <w:sz w:val="22"/>
          <w:szCs w:val="22"/>
        </w:rPr>
        <w:t xml:space="preserve"> </w:t>
      </w:r>
      <w:r w:rsidR="00D220E9">
        <w:rPr>
          <w:sz w:val="22"/>
          <w:szCs w:val="22"/>
        </w:rPr>
        <w:t xml:space="preserve">overarching </w:t>
      </w:r>
      <w:r>
        <w:rPr>
          <w:sz w:val="22"/>
          <w:szCs w:val="22"/>
        </w:rPr>
        <w:t>recommendations for</w:t>
      </w:r>
      <w:r w:rsidR="00D220E9">
        <w:rPr>
          <w:sz w:val="22"/>
          <w:szCs w:val="22"/>
        </w:rPr>
        <w:t xml:space="preserve"> implementation in </w:t>
      </w:r>
      <w:r>
        <w:rPr>
          <w:sz w:val="22"/>
          <w:szCs w:val="22"/>
        </w:rPr>
        <w:t>20</w:t>
      </w:r>
      <w:r w:rsidR="00AE1B30">
        <w:rPr>
          <w:sz w:val="22"/>
          <w:szCs w:val="22"/>
        </w:rPr>
        <w:t>20</w:t>
      </w:r>
      <w:r w:rsidR="009E6A5B">
        <w:rPr>
          <w:sz w:val="22"/>
          <w:szCs w:val="22"/>
        </w:rPr>
        <w:t xml:space="preserve">, the first of which </w:t>
      </w:r>
      <w:r w:rsidR="00D220E9">
        <w:rPr>
          <w:sz w:val="22"/>
          <w:szCs w:val="22"/>
        </w:rPr>
        <w:t>will comprise several areas of work following the recent evaluation of the initiative</w:t>
      </w:r>
      <w:r w:rsidR="00F15998">
        <w:rPr>
          <w:sz w:val="22"/>
          <w:szCs w:val="22"/>
        </w:rPr>
        <w:t>:</w:t>
      </w:r>
    </w:p>
    <w:p w14:paraId="384B6F81" w14:textId="41018C58" w:rsidR="00767235" w:rsidRDefault="00767235" w:rsidP="001D7A4D">
      <w:pPr>
        <w:rPr>
          <w:sz w:val="22"/>
          <w:szCs w:val="22"/>
        </w:rPr>
      </w:pPr>
    </w:p>
    <w:p w14:paraId="381592E5" w14:textId="49672494" w:rsidR="00B34703" w:rsidRDefault="00EA4D2A" w:rsidP="00DA112F">
      <w:pPr>
        <w:pStyle w:val="ListParagraph"/>
        <w:numPr>
          <w:ilvl w:val="0"/>
          <w:numId w:val="25"/>
        </w:numPr>
        <w:spacing w:after="60"/>
        <w:ind w:left="714" w:hanging="357"/>
        <w:contextualSpacing w:val="0"/>
        <w:jc w:val="both"/>
        <w:rPr>
          <w:sz w:val="22"/>
          <w:szCs w:val="22"/>
        </w:rPr>
      </w:pPr>
      <w:r w:rsidRPr="00EA4D2A">
        <w:rPr>
          <w:sz w:val="22"/>
          <w:szCs w:val="22"/>
        </w:rPr>
        <w:t>The Trustee and BEIS, with input from LTS (the independent evaluators)</w:t>
      </w:r>
      <w:r w:rsidR="00D220E9">
        <w:rPr>
          <w:sz w:val="22"/>
          <w:szCs w:val="22"/>
        </w:rPr>
        <w:t>,</w:t>
      </w:r>
      <w:r w:rsidRPr="00EA4D2A">
        <w:rPr>
          <w:sz w:val="22"/>
          <w:szCs w:val="22"/>
        </w:rPr>
        <w:t xml:space="preserve"> should agree a response plan to </w:t>
      </w:r>
      <w:r w:rsidR="0073484A">
        <w:rPr>
          <w:sz w:val="22"/>
          <w:szCs w:val="22"/>
        </w:rPr>
        <w:t xml:space="preserve">the recommendations made by </w:t>
      </w:r>
      <w:r w:rsidRPr="00EA4D2A">
        <w:rPr>
          <w:sz w:val="22"/>
          <w:szCs w:val="22"/>
        </w:rPr>
        <w:t xml:space="preserve">LTS’s </w:t>
      </w:r>
      <w:r w:rsidR="00D220E9">
        <w:rPr>
          <w:sz w:val="22"/>
          <w:szCs w:val="22"/>
        </w:rPr>
        <w:t>mid-term evaluation</w:t>
      </w:r>
      <w:r w:rsidR="00D220E9" w:rsidRPr="00EA4D2A">
        <w:rPr>
          <w:sz w:val="22"/>
          <w:szCs w:val="22"/>
        </w:rPr>
        <w:t xml:space="preserve"> </w:t>
      </w:r>
      <w:r w:rsidRPr="00EA4D2A">
        <w:rPr>
          <w:sz w:val="22"/>
          <w:szCs w:val="22"/>
        </w:rPr>
        <w:t>of the programme</w:t>
      </w:r>
      <w:r w:rsidR="00D220E9">
        <w:rPr>
          <w:sz w:val="22"/>
          <w:szCs w:val="22"/>
        </w:rPr>
        <w:t>,</w:t>
      </w:r>
      <w:r w:rsidR="00D220E9" w:rsidRPr="00EA4D2A" w:rsidDel="00D220E9">
        <w:rPr>
          <w:sz w:val="22"/>
          <w:szCs w:val="22"/>
        </w:rPr>
        <w:t xml:space="preserve"> </w:t>
      </w:r>
      <w:r w:rsidR="00D220E9">
        <w:rPr>
          <w:sz w:val="22"/>
          <w:szCs w:val="22"/>
        </w:rPr>
        <w:t>b</w:t>
      </w:r>
      <w:r w:rsidR="0044025E">
        <w:rPr>
          <w:sz w:val="22"/>
          <w:szCs w:val="22"/>
        </w:rPr>
        <w:t xml:space="preserve">y </w:t>
      </w:r>
      <w:r w:rsidR="00D220E9">
        <w:rPr>
          <w:sz w:val="22"/>
          <w:szCs w:val="22"/>
        </w:rPr>
        <w:t xml:space="preserve">the </w:t>
      </w:r>
      <w:r w:rsidR="0044025E">
        <w:rPr>
          <w:sz w:val="22"/>
          <w:szCs w:val="22"/>
        </w:rPr>
        <w:t xml:space="preserve">end </w:t>
      </w:r>
      <w:r w:rsidR="00D220E9">
        <w:rPr>
          <w:sz w:val="22"/>
          <w:szCs w:val="22"/>
        </w:rPr>
        <w:t xml:space="preserve">of </w:t>
      </w:r>
      <w:r w:rsidR="00CD020D">
        <w:rPr>
          <w:sz w:val="22"/>
          <w:szCs w:val="22"/>
        </w:rPr>
        <w:t>September</w:t>
      </w:r>
      <w:r w:rsidR="00D220E9">
        <w:rPr>
          <w:sz w:val="22"/>
          <w:szCs w:val="22"/>
        </w:rPr>
        <w:t xml:space="preserve"> 2020.</w:t>
      </w:r>
    </w:p>
    <w:p w14:paraId="7B3D4A15" w14:textId="465250A0" w:rsidR="00D84FF8" w:rsidRDefault="00D84FF8" w:rsidP="00DA112F">
      <w:pPr>
        <w:pStyle w:val="ListParagraph"/>
        <w:numPr>
          <w:ilvl w:val="0"/>
          <w:numId w:val="25"/>
        </w:numPr>
        <w:spacing w:after="60"/>
        <w:ind w:left="714" w:hanging="357"/>
        <w:contextualSpacing w:val="0"/>
        <w:jc w:val="both"/>
        <w:rPr>
          <w:sz w:val="22"/>
          <w:szCs w:val="22"/>
        </w:rPr>
      </w:pPr>
      <w:r>
        <w:rPr>
          <w:sz w:val="22"/>
          <w:szCs w:val="22"/>
        </w:rPr>
        <w:t>The Trustee should provide a short quarterly update o</w:t>
      </w:r>
      <w:r w:rsidR="00F82EEB">
        <w:rPr>
          <w:sz w:val="22"/>
          <w:szCs w:val="22"/>
        </w:rPr>
        <w:t>f</w:t>
      </w:r>
      <w:r>
        <w:rPr>
          <w:sz w:val="22"/>
          <w:szCs w:val="22"/>
        </w:rPr>
        <w:t xml:space="preserve"> </w:t>
      </w:r>
      <w:r w:rsidR="009C26F9">
        <w:rPr>
          <w:sz w:val="22"/>
          <w:szCs w:val="22"/>
        </w:rPr>
        <w:t xml:space="preserve">Covid-19 </w:t>
      </w:r>
      <w:r w:rsidR="00D220E9">
        <w:rPr>
          <w:sz w:val="22"/>
          <w:szCs w:val="22"/>
        </w:rPr>
        <w:t>risks to</w:t>
      </w:r>
      <w:r w:rsidR="00AD0D20">
        <w:rPr>
          <w:sz w:val="22"/>
          <w:szCs w:val="22"/>
        </w:rPr>
        <w:t xml:space="preserve"> Ci-Dev projects</w:t>
      </w:r>
      <w:r w:rsidR="00D220E9">
        <w:rPr>
          <w:sz w:val="22"/>
          <w:szCs w:val="22"/>
        </w:rPr>
        <w:t>, and mitigating actions,</w:t>
      </w:r>
      <w:r w:rsidR="00AD0D20">
        <w:rPr>
          <w:sz w:val="22"/>
          <w:szCs w:val="22"/>
        </w:rPr>
        <w:t xml:space="preserve"> either as part of </w:t>
      </w:r>
      <w:r w:rsidR="00F82EEB">
        <w:rPr>
          <w:sz w:val="22"/>
          <w:szCs w:val="22"/>
        </w:rPr>
        <w:t xml:space="preserve">semi-annual or annual meetings, or separately. </w:t>
      </w:r>
    </w:p>
    <w:p w14:paraId="09C84BD4" w14:textId="00C09B65" w:rsidR="00803221" w:rsidRPr="00E9396A" w:rsidRDefault="00A07849" w:rsidP="00DA112F">
      <w:pPr>
        <w:pStyle w:val="ListParagraph"/>
        <w:numPr>
          <w:ilvl w:val="0"/>
          <w:numId w:val="25"/>
        </w:numPr>
        <w:spacing w:after="60"/>
        <w:ind w:left="714" w:hanging="357"/>
        <w:contextualSpacing w:val="0"/>
        <w:jc w:val="both"/>
        <w:rPr>
          <w:sz w:val="22"/>
          <w:szCs w:val="22"/>
        </w:rPr>
      </w:pPr>
      <w:r>
        <w:rPr>
          <w:rFonts w:cs="Arial"/>
          <w:sz w:val="22"/>
          <w:szCs w:val="18"/>
          <w:lang w:eastAsia="en-GB"/>
        </w:rPr>
        <w:t xml:space="preserve">At each annual meeting, </w:t>
      </w:r>
      <w:r w:rsidRPr="00B34703">
        <w:rPr>
          <w:rFonts w:cs="Arial"/>
          <w:sz w:val="22"/>
          <w:szCs w:val="18"/>
          <w:lang w:eastAsia="en-GB"/>
        </w:rPr>
        <w:t xml:space="preserve">the Trustee and </w:t>
      </w:r>
      <w:r>
        <w:rPr>
          <w:rFonts w:cs="Arial"/>
          <w:sz w:val="22"/>
          <w:szCs w:val="18"/>
          <w:lang w:eastAsia="en-GB"/>
        </w:rPr>
        <w:t>Contributors</w:t>
      </w:r>
      <w:r w:rsidRPr="00B34703">
        <w:rPr>
          <w:rFonts w:cs="Arial"/>
          <w:sz w:val="22"/>
          <w:szCs w:val="18"/>
          <w:lang w:eastAsia="en-GB"/>
        </w:rPr>
        <w:t xml:space="preserve"> should </w:t>
      </w:r>
      <w:r>
        <w:rPr>
          <w:rFonts w:cs="Arial"/>
          <w:sz w:val="22"/>
          <w:szCs w:val="18"/>
          <w:lang w:eastAsia="en-GB"/>
        </w:rPr>
        <w:t>assess if there is a clear</w:t>
      </w:r>
      <w:r w:rsidRPr="00B34703">
        <w:rPr>
          <w:rFonts w:cs="Arial"/>
          <w:sz w:val="22"/>
          <w:szCs w:val="18"/>
          <w:lang w:eastAsia="en-GB"/>
        </w:rPr>
        <w:t xml:space="preserve"> justification for continued support</w:t>
      </w:r>
      <w:r>
        <w:rPr>
          <w:rFonts w:cs="Arial"/>
          <w:sz w:val="22"/>
          <w:szCs w:val="18"/>
          <w:lang w:eastAsia="en-GB"/>
        </w:rPr>
        <w:t xml:space="preserve"> for projects that </w:t>
      </w:r>
      <w:r w:rsidRPr="00B34703">
        <w:rPr>
          <w:rFonts w:cs="Arial"/>
          <w:sz w:val="22"/>
          <w:szCs w:val="18"/>
          <w:lang w:eastAsia="en-GB"/>
        </w:rPr>
        <w:t>underperform due to non-compliance</w:t>
      </w:r>
      <w:r>
        <w:rPr>
          <w:rFonts w:cs="Arial"/>
          <w:sz w:val="22"/>
          <w:szCs w:val="18"/>
          <w:lang w:eastAsia="en-GB"/>
        </w:rPr>
        <w:t xml:space="preserve"> with Ci-Dev’s requirements</w:t>
      </w:r>
      <w:r w:rsidRPr="00B34703">
        <w:rPr>
          <w:rFonts w:cs="Arial"/>
          <w:sz w:val="22"/>
          <w:szCs w:val="18"/>
          <w:lang w:eastAsia="en-GB"/>
        </w:rPr>
        <w:t xml:space="preserve"> or persistent and recurring challenges which are </w:t>
      </w:r>
      <w:r w:rsidR="0001798F">
        <w:rPr>
          <w:rFonts w:cs="Arial"/>
          <w:sz w:val="22"/>
          <w:szCs w:val="18"/>
          <w:lang w:eastAsia="en-GB"/>
        </w:rPr>
        <w:t>beyond</w:t>
      </w:r>
      <w:r w:rsidRPr="00B34703">
        <w:rPr>
          <w:rFonts w:cs="Arial"/>
          <w:sz w:val="22"/>
          <w:szCs w:val="18"/>
          <w:lang w:eastAsia="en-GB"/>
        </w:rPr>
        <w:t xml:space="preserve"> the Trustee’s </w:t>
      </w:r>
      <w:r>
        <w:rPr>
          <w:rFonts w:cs="Arial"/>
          <w:sz w:val="22"/>
          <w:szCs w:val="18"/>
          <w:lang w:eastAsia="en-GB"/>
        </w:rPr>
        <w:t>power</w:t>
      </w:r>
      <w:r w:rsidRPr="00B34703">
        <w:rPr>
          <w:rFonts w:cs="Arial"/>
          <w:sz w:val="22"/>
          <w:szCs w:val="18"/>
          <w:lang w:eastAsia="en-GB"/>
        </w:rPr>
        <w:t xml:space="preserve"> to resolve</w:t>
      </w:r>
      <w:r>
        <w:rPr>
          <w:rFonts w:cs="Arial"/>
          <w:sz w:val="22"/>
          <w:szCs w:val="18"/>
          <w:lang w:eastAsia="en-GB"/>
        </w:rPr>
        <w:t>.</w:t>
      </w:r>
      <w:r w:rsidRPr="00B34703" w:rsidDel="006D70BA">
        <w:rPr>
          <w:sz w:val="22"/>
          <w:szCs w:val="22"/>
        </w:rPr>
        <w:t xml:space="preserve"> </w:t>
      </w:r>
    </w:p>
    <w:p w14:paraId="0B164553" w14:textId="51F6F472" w:rsidR="00992F45" w:rsidRPr="00EA4D2A" w:rsidRDefault="00EA4D2A" w:rsidP="00DA112F">
      <w:pPr>
        <w:pStyle w:val="ListParagraph"/>
        <w:numPr>
          <w:ilvl w:val="0"/>
          <w:numId w:val="25"/>
        </w:numPr>
        <w:spacing w:after="60"/>
        <w:ind w:left="714" w:hanging="357"/>
        <w:contextualSpacing w:val="0"/>
        <w:jc w:val="both"/>
        <w:rPr>
          <w:sz w:val="22"/>
          <w:szCs w:val="22"/>
        </w:rPr>
      </w:pPr>
      <w:r w:rsidRPr="00EA4D2A">
        <w:rPr>
          <w:sz w:val="22"/>
          <w:szCs w:val="22"/>
        </w:rPr>
        <w:t xml:space="preserve">BEIS and the Trustee should revise and update the logframe impact indicators, </w:t>
      </w:r>
      <w:r w:rsidR="00D220E9">
        <w:rPr>
          <w:sz w:val="22"/>
          <w:szCs w:val="22"/>
        </w:rPr>
        <w:t xml:space="preserve">and its </w:t>
      </w:r>
      <w:r w:rsidR="005423CE">
        <w:rPr>
          <w:sz w:val="22"/>
          <w:szCs w:val="22"/>
        </w:rPr>
        <w:t xml:space="preserve">output </w:t>
      </w:r>
      <w:r w:rsidRPr="00EA4D2A">
        <w:rPr>
          <w:sz w:val="22"/>
          <w:szCs w:val="22"/>
        </w:rPr>
        <w:t>targets</w:t>
      </w:r>
      <w:r w:rsidR="00D220E9">
        <w:rPr>
          <w:sz w:val="22"/>
          <w:szCs w:val="22"/>
        </w:rPr>
        <w:t xml:space="preserve"> (including those related to methodological support)</w:t>
      </w:r>
      <w:r w:rsidR="005423CE">
        <w:rPr>
          <w:sz w:val="22"/>
          <w:szCs w:val="22"/>
        </w:rPr>
        <w:t xml:space="preserve">, </w:t>
      </w:r>
      <w:r w:rsidR="00B032A0">
        <w:rPr>
          <w:sz w:val="22"/>
          <w:szCs w:val="22"/>
        </w:rPr>
        <w:t>with an aim that more</w:t>
      </w:r>
      <w:r w:rsidR="00D220E9">
        <w:rPr>
          <w:sz w:val="22"/>
          <w:szCs w:val="22"/>
        </w:rPr>
        <w:t xml:space="preserve"> </w:t>
      </w:r>
      <w:r w:rsidR="00B032A0">
        <w:rPr>
          <w:sz w:val="22"/>
          <w:szCs w:val="22"/>
        </w:rPr>
        <w:t xml:space="preserve">of the logframe’s output indicators should assess </w:t>
      </w:r>
      <w:r w:rsidR="005423CE">
        <w:rPr>
          <w:sz w:val="22"/>
          <w:szCs w:val="22"/>
        </w:rPr>
        <w:t>the quality, and not just number</w:t>
      </w:r>
      <w:r w:rsidR="00B032A0">
        <w:rPr>
          <w:sz w:val="22"/>
          <w:szCs w:val="22"/>
        </w:rPr>
        <w:t>,</w:t>
      </w:r>
      <w:r w:rsidR="005423CE">
        <w:rPr>
          <w:sz w:val="22"/>
          <w:szCs w:val="22"/>
        </w:rPr>
        <w:t xml:space="preserve"> </w:t>
      </w:r>
      <w:r w:rsidR="00B032A0">
        <w:rPr>
          <w:sz w:val="22"/>
          <w:szCs w:val="22"/>
        </w:rPr>
        <w:t>of</w:t>
      </w:r>
      <w:r w:rsidR="005423CE">
        <w:rPr>
          <w:sz w:val="22"/>
          <w:szCs w:val="22"/>
        </w:rPr>
        <w:t xml:space="preserve"> outputs, e.g. events and publications</w:t>
      </w:r>
      <w:r w:rsidR="002B07DD">
        <w:rPr>
          <w:sz w:val="22"/>
          <w:szCs w:val="22"/>
        </w:rPr>
        <w:t xml:space="preserve">, by </w:t>
      </w:r>
      <w:r w:rsidR="00F54144">
        <w:rPr>
          <w:sz w:val="22"/>
          <w:szCs w:val="22"/>
        </w:rPr>
        <w:t xml:space="preserve">end </w:t>
      </w:r>
      <w:r w:rsidR="002B07DD">
        <w:rPr>
          <w:sz w:val="22"/>
          <w:szCs w:val="22"/>
        </w:rPr>
        <w:t>August</w:t>
      </w:r>
      <w:r w:rsidR="005423CE">
        <w:rPr>
          <w:sz w:val="22"/>
          <w:szCs w:val="22"/>
        </w:rPr>
        <w:t>.</w:t>
      </w:r>
    </w:p>
    <w:p w14:paraId="67ABC4F4" w14:textId="4A325019" w:rsidR="00B91D6D" w:rsidRDefault="00EA4D2A" w:rsidP="005364CA">
      <w:pPr>
        <w:pStyle w:val="ListParagraph"/>
        <w:numPr>
          <w:ilvl w:val="0"/>
          <w:numId w:val="25"/>
        </w:numPr>
        <w:spacing w:after="60"/>
        <w:ind w:left="714" w:hanging="357"/>
        <w:contextualSpacing w:val="0"/>
        <w:jc w:val="both"/>
        <w:rPr>
          <w:sz w:val="22"/>
          <w:szCs w:val="22"/>
        </w:rPr>
      </w:pPr>
      <w:r w:rsidRPr="00EA4D2A">
        <w:rPr>
          <w:sz w:val="22"/>
          <w:szCs w:val="22"/>
        </w:rPr>
        <w:t xml:space="preserve">The Bank should </w:t>
      </w:r>
      <w:r w:rsidR="00B91D6D">
        <w:rPr>
          <w:sz w:val="22"/>
          <w:szCs w:val="22"/>
        </w:rPr>
        <w:t xml:space="preserve">present options </w:t>
      </w:r>
      <w:r w:rsidR="005364CA">
        <w:rPr>
          <w:sz w:val="22"/>
          <w:szCs w:val="22"/>
        </w:rPr>
        <w:t xml:space="preserve">by the end of October 2020 </w:t>
      </w:r>
      <w:r w:rsidR="00B91D6D">
        <w:rPr>
          <w:sz w:val="22"/>
          <w:szCs w:val="22"/>
        </w:rPr>
        <w:t xml:space="preserve">for increasing the </w:t>
      </w:r>
      <w:r w:rsidR="00E20707">
        <w:rPr>
          <w:sz w:val="22"/>
          <w:szCs w:val="22"/>
        </w:rPr>
        <w:t>disbursement rate of readiness grants</w:t>
      </w:r>
      <w:r w:rsidR="00AF0C25">
        <w:rPr>
          <w:sz w:val="22"/>
          <w:szCs w:val="22"/>
        </w:rPr>
        <w:t xml:space="preserve"> to 100%</w:t>
      </w:r>
      <w:r w:rsidR="009B71E0">
        <w:rPr>
          <w:sz w:val="22"/>
          <w:szCs w:val="22"/>
        </w:rPr>
        <w:t xml:space="preserve"> by the end of 2021</w:t>
      </w:r>
      <w:r w:rsidR="00AF0C25">
        <w:rPr>
          <w:sz w:val="22"/>
          <w:szCs w:val="22"/>
        </w:rPr>
        <w:t>. Th</w:t>
      </w:r>
      <w:r w:rsidR="00603258">
        <w:rPr>
          <w:sz w:val="22"/>
          <w:szCs w:val="22"/>
        </w:rPr>
        <w:t>ese</w:t>
      </w:r>
      <w:r w:rsidR="00AF0C25">
        <w:rPr>
          <w:sz w:val="22"/>
          <w:szCs w:val="22"/>
        </w:rPr>
        <w:t xml:space="preserve"> could include</w:t>
      </w:r>
      <w:r w:rsidR="00C02147">
        <w:rPr>
          <w:sz w:val="22"/>
          <w:szCs w:val="22"/>
        </w:rPr>
        <w:t xml:space="preserve"> ‘pre-approving’ </w:t>
      </w:r>
      <w:r w:rsidR="00C16DB0">
        <w:rPr>
          <w:sz w:val="22"/>
          <w:szCs w:val="22"/>
        </w:rPr>
        <w:t xml:space="preserve">a standard readiness grant for each new or updated </w:t>
      </w:r>
      <w:r w:rsidR="00603258">
        <w:rPr>
          <w:sz w:val="22"/>
          <w:szCs w:val="22"/>
        </w:rPr>
        <w:t>Ci-Dev commercial agreement</w:t>
      </w:r>
      <w:r w:rsidR="00284001">
        <w:rPr>
          <w:sz w:val="22"/>
          <w:szCs w:val="22"/>
        </w:rPr>
        <w:t>, re-considering the proportion of bank-executed vs client-executed grants, revising the approach to budgeting</w:t>
      </w:r>
      <w:r w:rsidR="00664F9A">
        <w:rPr>
          <w:sz w:val="22"/>
          <w:szCs w:val="22"/>
        </w:rPr>
        <w:t xml:space="preserve"> so that forecasts are made more accurate</w:t>
      </w:r>
      <w:r w:rsidR="00284001">
        <w:rPr>
          <w:sz w:val="22"/>
          <w:szCs w:val="22"/>
        </w:rPr>
        <w:t xml:space="preserve">, or </w:t>
      </w:r>
      <w:r w:rsidR="0076715F">
        <w:rPr>
          <w:sz w:val="22"/>
          <w:szCs w:val="22"/>
        </w:rPr>
        <w:t xml:space="preserve">increasing support to </w:t>
      </w:r>
      <w:r w:rsidR="00CD7E40">
        <w:rPr>
          <w:sz w:val="22"/>
          <w:szCs w:val="22"/>
        </w:rPr>
        <w:t>PEs so they are better enabled to access readiness grants – which have been demonstrated as a</w:t>
      </w:r>
      <w:r w:rsidR="00997C0B">
        <w:rPr>
          <w:sz w:val="22"/>
          <w:szCs w:val="22"/>
        </w:rPr>
        <w:t xml:space="preserve"> very</w:t>
      </w:r>
      <w:r w:rsidR="00CD7E40">
        <w:rPr>
          <w:sz w:val="22"/>
          <w:szCs w:val="22"/>
        </w:rPr>
        <w:t xml:space="preserve"> effective </w:t>
      </w:r>
      <w:r w:rsidR="00997C0B">
        <w:rPr>
          <w:sz w:val="22"/>
          <w:szCs w:val="22"/>
        </w:rPr>
        <w:t>tool to build capa</w:t>
      </w:r>
      <w:r w:rsidR="00C26D42">
        <w:rPr>
          <w:sz w:val="22"/>
          <w:szCs w:val="22"/>
        </w:rPr>
        <w:t>city among Ci-Dev stakeholders.</w:t>
      </w:r>
      <w:r w:rsidR="00761BF6">
        <w:rPr>
          <w:sz w:val="22"/>
          <w:szCs w:val="22"/>
        </w:rPr>
        <w:t xml:space="preserve"> </w:t>
      </w:r>
    </w:p>
    <w:p w14:paraId="5948CAD4" w14:textId="0DC46805" w:rsidR="00CA51CC" w:rsidRDefault="00CA51CC" w:rsidP="005364CA">
      <w:pPr>
        <w:pStyle w:val="ListParagraph"/>
        <w:numPr>
          <w:ilvl w:val="0"/>
          <w:numId w:val="25"/>
        </w:numPr>
        <w:spacing w:after="60"/>
        <w:ind w:left="714" w:hanging="357"/>
        <w:contextualSpacing w:val="0"/>
        <w:jc w:val="both"/>
        <w:rPr>
          <w:sz w:val="22"/>
          <w:szCs w:val="22"/>
        </w:rPr>
      </w:pPr>
      <w:r>
        <w:rPr>
          <w:sz w:val="22"/>
          <w:szCs w:val="22"/>
        </w:rPr>
        <w:t xml:space="preserve">The Bank should </w:t>
      </w:r>
      <w:r w:rsidR="00924D39">
        <w:rPr>
          <w:sz w:val="22"/>
          <w:szCs w:val="22"/>
        </w:rPr>
        <w:t xml:space="preserve">conduct scoping work to </w:t>
      </w:r>
      <w:r w:rsidR="00040446">
        <w:rPr>
          <w:sz w:val="22"/>
          <w:szCs w:val="22"/>
        </w:rPr>
        <w:t xml:space="preserve">set out options for further work that could enhance gender considerations in </w:t>
      </w:r>
      <w:r w:rsidR="00BA6E52">
        <w:rPr>
          <w:sz w:val="22"/>
          <w:szCs w:val="22"/>
        </w:rPr>
        <w:t>Ci-Dev’s crediting operations, by the end of October 2020.</w:t>
      </w:r>
    </w:p>
    <w:p w14:paraId="10A02CCA" w14:textId="77777777" w:rsidR="00EA4D2A" w:rsidRPr="00EA4D2A" w:rsidRDefault="00EA4D2A" w:rsidP="00EA4D2A">
      <w:pPr>
        <w:rPr>
          <w:sz w:val="22"/>
          <w:szCs w:val="22"/>
        </w:rPr>
      </w:pPr>
    </w:p>
    <w:p w14:paraId="706E4303" w14:textId="77777777" w:rsidR="00992F45" w:rsidRDefault="00992F45" w:rsidP="00EC6DBD">
      <w:pPr>
        <w:ind w:left="720"/>
        <w:jc w:val="both"/>
        <w:rPr>
          <w:sz w:val="22"/>
        </w:rPr>
      </w:pPr>
    </w:p>
    <w:p w14:paraId="510DBD54" w14:textId="77777777" w:rsidR="00992F45" w:rsidRDefault="00992F45" w:rsidP="00EC6DBD">
      <w:pPr>
        <w:ind w:left="720"/>
        <w:jc w:val="both"/>
        <w:rPr>
          <w:sz w:val="22"/>
        </w:rPr>
      </w:pPr>
    </w:p>
    <w:p w14:paraId="6598A672" w14:textId="77777777" w:rsidR="00D56B10" w:rsidRDefault="00D56B10" w:rsidP="009C3ADD">
      <w:pPr>
        <w:ind w:left="720" w:hanging="540"/>
        <w:jc w:val="both"/>
        <w:rPr>
          <w:highlight w:val="yellow"/>
        </w:rPr>
      </w:pPr>
    </w:p>
    <w:p w14:paraId="12D1546B" w14:textId="1CB4AE6D" w:rsidR="00992F45" w:rsidRDefault="00811847" w:rsidP="00B34703">
      <w:pPr>
        <w:ind w:left="720" w:hanging="540"/>
        <w:jc w:val="both"/>
      </w:pPr>
      <w:r>
        <w:t xml:space="preserve"> </w:t>
      </w:r>
    </w:p>
    <w:p w14:paraId="04FB9008" w14:textId="77777777" w:rsidR="0001798F" w:rsidRDefault="0001798F" w:rsidP="00B34703">
      <w:pPr>
        <w:ind w:left="720" w:hanging="540"/>
        <w:jc w:val="both"/>
      </w:pPr>
    </w:p>
    <w:p w14:paraId="10AA7017" w14:textId="77777777" w:rsidR="0001798F" w:rsidRDefault="0001798F" w:rsidP="00B34703">
      <w:pPr>
        <w:ind w:left="720" w:hanging="540"/>
        <w:jc w:val="both"/>
      </w:pPr>
    </w:p>
    <w:p w14:paraId="4FC52127" w14:textId="77777777" w:rsidR="0001798F" w:rsidRDefault="0001798F" w:rsidP="00B34703">
      <w:pPr>
        <w:ind w:left="720" w:hanging="540"/>
        <w:jc w:val="both"/>
      </w:pPr>
    </w:p>
    <w:p w14:paraId="04AF0BA4" w14:textId="77777777" w:rsidR="0001798F" w:rsidRDefault="0001798F" w:rsidP="00B34703">
      <w:pPr>
        <w:ind w:left="720" w:hanging="540"/>
        <w:jc w:val="both"/>
      </w:pPr>
    </w:p>
    <w:p w14:paraId="07876E6F" w14:textId="77777777" w:rsidR="005C0822" w:rsidRDefault="005C0822" w:rsidP="00A450FA">
      <w:pPr>
        <w:jc w:val="both"/>
      </w:pPr>
    </w:p>
    <w:p w14:paraId="1FC2F85D" w14:textId="77777777" w:rsidR="003C6438" w:rsidRPr="00581E6D" w:rsidRDefault="00F2200F" w:rsidP="00FE0F00">
      <w:pPr>
        <w:pStyle w:val="Heading2"/>
        <w:jc w:val="both"/>
        <w:rPr>
          <w:i w:val="0"/>
          <w:color w:val="000000" w:themeColor="text1"/>
          <w:sz w:val="22"/>
          <w:szCs w:val="22"/>
        </w:rPr>
      </w:pPr>
      <w:r w:rsidRPr="00581E6D">
        <w:rPr>
          <w:i w:val="0"/>
          <w:color w:val="000000" w:themeColor="text1"/>
          <w:sz w:val="22"/>
          <w:szCs w:val="22"/>
        </w:rPr>
        <w:lastRenderedPageBreak/>
        <w:t>A</w:t>
      </w:r>
      <w:r w:rsidR="001E30A4" w:rsidRPr="00581E6D">
        <w:rPr>
          <w:i w:val="0"/>
          <w:color w:val="000000" w:themeColor="text1"/>
          <w:sz w:val="22"/>
          <w:szCs w:val="22"/>
        </w:rPr>
        <w:t xml:space="preserve">. </w:t>
      </w:r>
      <w:r w:rsidR="00144C58" w:rsidRPr="00581E6D">
        <w:rPr>
          <w:i w:val="0"/>
          <w:color w:val="000000" w:themeColor="text1"/>
          <w:sz w:val="22"/>
          <w:szCs w:val="22"/>
        </w:rPr>
        <w:t>Introduction and Context</w:t>
      </w:r>
      <w:r w:rsidR="004D47A2" w:rsidRPr="00581E6D">
        <w:rPr>
          <w:i w:val="0"/>
          <w:color w:val="000000" w:themeColor="text1"/>
          <w:sz w:val="22"/>
          <w:szCs w:val="22"/>
        </w:rPr>
        <w:t xml:space="preserve"> </w:t>
      </w:r>
    </w:p>
    <w:p w14:paraId="58F76C92" w14:textId="4BC8C4A5" w:rsidR="00A4556C" w:rsidRDefault="00A4556C" w:rsidP="00970FA5">
      <w:pPr>
        <w:ind w:firstLine="720"/>
        <w:contextualSpacing/>
        <w:rPr>
          <w:rFonts w:cs="Arial"/>
          <w:b/>
          <w:color w:val="000000" w:themeColor="text1"/>
          <w:sz w:val="22"/>
          <w:szCs w:val="22"/>
        </w:rPr>
      </w:pPr>
    </w:p>
    <w:p w14:paraId="702CC1EF" w14:textId="28370182" w:rsidR="006A67D0" w:rsidRDefault="00C7543E" w:rsidP="00FE0F00">
      <w:pPr>
        <w:contextualSpacing/>
        <w:rPr>
          <w:rFonts w:cs="Arial"/>
          <w:b/>
          <w:color w:val="000000" w:themeColor="text1"/>
          <w:sz w:val="22"/>
          <w:szCs w:val="22"/>
        </w:rPr>
      </w:pPr>
      <w:hyperlink r:id="rId12" w:history="1">
        <w:r w:rsidR="006A67D0" w:rsidRPr="00970FA5">
          <w:rPr>
            <w:rStyle w:val="Hyperlink"/>
            <w:rFonts w:cs="Arial"/>
            <w:b/>
            <w:sz w:val="22"/>
            <w:szCs w:val="22"/>
          </w:rPr>
          <w:t>Business Case</w:t>
        </w:r>
      </w:hyperlink>
      <w:r w:rsidR="00970FA5">
        <w:rPr>
          <w:rFonts w:cs="Arial"/>
          <w:b/>
          <w:color w:val="000000" w:themeColor="text1"/>
          <w:sz w:val="22"/>
          <w:szCs w:val="22"/>
        </w:rPr>
        <w:t xml:space="preserve"> </w:t>
      </w:r>
      <w:r w:rsidR="00A9201A">
        <w:rPr>
          <w:rFonts w:cs="Arial"/>
          <w:b/>
          <w:color w:val="000000" w:themeColor="text1"/>
          <w:sz w:val="22"/>
          <w:szCs w:val="22"/>
        </w:rPr>
        <w:t>(Intervention Summary 2014)</w:t>
      </w:r>
    </w:p>
    <w:p w14:paraId="3B22C241" w14:textId="532ECDE1" w:rsidR="006A67D0" w:rsidRDefault="00C7543E" w:rsidP="00FE0F00">
      <w:pPr>
        <w:contextualSpacing/>
        <w:rPr>
          <w:rFonts w:cs="Arial"/>
          <w:b/>
          <w:color w:val="000000" w:themeColor="text1"/>
          <w:sz w:val="22"/>
          <w:szCs w:val="22"/>
        </w:rPr>
      </w:pPr>
      <w:hyperlink r:id="rId13" w:history="1">
        <w:r w:rsidR="006A67D0" w:rsidRPr="00630F58">
          <w:rPr>
            <w:rStyle w:val="Hyperlink"/>
            <w:rFonts w:cs="Arial"/>
            <w:b/>
            <w:sz w:val="22"/>
            <w:szCs w:val="22"/>
          </w:rPr>
          <w:t>Logframe</w:t>
        </w:r>
      </w:hyperlink>
      <w:r w:rsidR="00970FA5">
        <w:rPr>
          <w:rFonts w:cs="Arial"/>
          <w:b/>
          <w:color w:val="000000" w:themeColor="text1"/>
          <w:sz w:val="22"/>
          <w:szCs w:val="22"/>
        </w:rPr>
        <w:t xml:space="preserve"> (September 2018)</w:t>
      </w:r>
    </w:p>
    <w:p w14:paraId="553FCD6F" w14:textId="77777777" w:rsidR="006A67D0" w:rsidRPr="00581E6D" w:rsidRDefault="006A67D0" w:rsidP="00FE0F00">
      <w:pPr>
        <w:contextualSpacing/>
        <w:rPr>
          <w:rFonts w:cs="Arial"/>
          <w:b/>
          <w:color w:val="000000" w:themeColor="text1"/>
          <w:sz w:val="22"/>
          <w:szCs w:val="22"/>
        </w:rPr>
      </w:pPr>
    </w:p>
    <w:p w14:paraId="270D0DF5" w14:textId="77777777" w:rsidR="005C3C5A" w:rsidRPr="00581E6D" w:rsidRDefault="00BD38CF" w:rsidP="00FE0F00">
      <w:pPr>
        <w:contextualSpacing/>
        <w:jc w:val="both"/>
        <w:rPr>
          <w:rFonts w:cs="Arial"/>
          <w:b/>
          <w:color w:val="000000" w:themeColor="text1"/>
          <w:sz w:val="22"/>
          <w:szCs w:val="22"/>
        </w:rPr>
      </w:pPr>
      <w:r w:rsidRPr="00581E6D">
        <w:rPr>
          <w:rFonts w:cs="Arial"/>
          <w:b/>
          <w:color w:val="000000" w:themeColor="text1"/>
          <w:sz w:val="22"/>
          <w:szCs w:val="22"/>
        </w:rPr>
        <w:t>Outline of the p</w:t>
      </w:r>
      <w:r w:rsidR="00583E29" w:rsidRPr="00581E6D">
        <w:rPr>
          <w:rFonts w:cs="Arial"/>
          <w:b/>
          <w:color w:val="000000" w:themeColor="text1"/>
          <w:sz w:val="22"/>
          <w:szCs w:val="22"/>
        </w:rPr>
        <w:t>rogramme</w:t>
      </w:r>
    </w:p>
    <w:p w14:paraId="3ADD3F94" w14:textId="77777777" w:rsidR="009E638F" w:rsidRPr="00581E6D" w:rsidRDefault="009E638F" w:rsidP="00FE0F00">
      <w:pPr>
        <w:contextualSpacing/>
        <w:jc w:val="both"/>
        <w:rPr>
          <w:rFonts w:cs="Arial"/>
          <w:b/>
          <w:color w:val="000000" w:themeColor="text1"/>
          <w:sz w:val="22"/>
          <w:szCs w:val="22"/>
        </w:rPr>
      </w:pPr>
    </w:p>
    <w:p w14:paraId="54DCE6DB" w14:textId="4A086FFD" w:rsidR="00CA298A" w:rsidRPr="00581E6D" w:rsidRDefault="00C33B8E" w:rsidP="00A85CFC">
      <w:pPr>
        <w:contextualSpacing/>
        <w:jc w:val="both"/>
        <w:rPr>
          <w:rFonts w:cs="Arial"/>
          <w:color w:val="000000" w:themeColor="text1"/>
          <w:sz w:val="22"/>
          <w:szCs w:val="22"/>
        </w:rPr>
      </w:pPr>
      <w:r>
        <w:rPr>
          <w:rFonts w:cs="Arial"/>
          <w:color w:val="000000" w:themeColor="text1"/>
          <w:sz w:val="22"/>
          <w:szCs w:val="22"/>
        </w:rPr>
        <w:t>Ci-Dev</w:t>
      </w:r>
      <w:r w:rsidR="00B420B5" w:rsidRPr="00581E6D">
        <w:rPr>
          <w:rFonts w:cs="Arial"/>
          <w:color w:val="000000" w:themeColor="text1"/>
          <w:sz w:val="22"/>
          <w:szCs w:val="22"/>
        </w:rPr>
        <w:t xml:space="preserve"> </w:t>
      </w:r>
      <w:r w:rsidR="002A11FA" w:rsidRPr="00581E6D">
        <w:rPr>
          <w:rFonts w:cs="Arial"/>
          <w:color w:val="000000" w:themeColor="text1"/>
          <w:sz w:val="22"/>
          <w:szCs w:val="22"/>
        </w:rPr>
        <w:t xml:space="preserve">is a key part </w:t>
      </w:r>
      <w:r w:rsidR="00B420B5" w:rsidRPr="00581E6D">
        <w:rPr>
          <w:rFonts w:cs="Arial"/>
          <w:color w:val="000000" w:themeColor="text1"/>
          <w:sz w:val="22"/>
          <w:szCs w:val="22"/>
        </w:rPr>
        <w:t xml:space="preserve">of </w:t>
      </w:r>
      <w:r w:rsidR="002306BA">
        <w:rPr>
          <w:rFonts w:cs="Arial"/>
          <w:color w:val="000000" w:themeColor="text1"/>
          <w:sz w:val="22"/>
          <w:szCs w:val="22"/>
        </w:rPr>
        <w:t xml:space="preserve">BEIS’s </w:t>
      </w:r>
      <w:r w:rsidR="002A11FA" w:rsidRPr="00581E6D">
        <w:rPr>
          <w:rFonts w:cs="Arial"/>
          <w:color w:val="000000" w:themeColor="text1"/>
          <w:sz w:val="22"/>
          <w:szCs w:val="22"/>
        </w:rPr>
        <w:t xml:space="preserve">portfolio of </w:t>
      </w:r>
      <w:r w:rsidR="00B420B5" w:rsidRPr="00581E6D">
        <w:rPr>
          <w:rFonts w:cs="Arial"/>
          <w:color w:val="000000" w:themeColor="text1"/>
          <w:sz w:val="22"/>
          <w:szCs w:val="22"/>
        </w:rPr>
        <w:t>carbon</w:t>
      </w:r>
      <w:r w:rsidR="00070A8A" w:rsidRPr="00581E6D">
        <w:rPr>
          <w:rFonts w:cs="Arial"/>
          <w:color w:val="000000" w:themeColor="text1"/>
          <w:sz w:val="22"/>
          <w:szCs w:val="22"/>
        </w:rPr>
        <w:t xml:space="preserve"> pricing </w:t>
      </w:r>
      <w:r w:rsidR="00644E98" w:rsidRPr="00581E6D">
        <w:rPr>
          <w:rFonts w:cs="Arial"/>
          <w:color w:val="000000" w:themeColor="text1"/>
          <w:sz w:val="22"/>
          <w:szCs w:val="22"/>
        </w:rPr>
        <w:t xml:space="preserve">funds </w:t>
      </w:r>
      <w:r w:rsidR="00070A8A" w:rsidRPr="00581E6D">
        <w:rPr>
          <w:rFonts w:cs="Arial"/>
          <w:color w:val="000000" w:themeColor="text1"/>
          <w:sz w:val="22"/>
          <w:szCs w:val="22"/>
        </w:rPr>
        <w:t>that</w:t>
      </w:r>
      <w:r w:rsidR="002A11FA" w:rsidRPr="00581E6D">
        <w:rPr>
          <w:rFonts w:cs="Arial"/>
          <w:color w:val="000000" w:themeColor="text1"/>
          <w:sz w:val="22"/>
          <w:szCs w:val="22"/>
        </w:rPr>
        <w:t xml:space="preserve"> </w:t>
      </w:r>
      <w:r w:rsidR="002306BA">
        <w:rPr>
          <w:rFonts w:cs="Arial"/>
          <w:color w:val="000000" w:themeColor="text1"/>
          <w:sz w:val="22"/>
          <w:szCs w:val="22"/>
        </w:rPr>
        <w:t xml:space="preserve">strengthen </w:t>
      </w:r>
      <w:r w:rsidR="005903AE" w:rsidRPr="00581E6D">
        <w:rPr>
          <w:rFonts w:cs="Arial"/>
          <w:color w:val="000000" w:themeColor="text1"/>
          <w:sz w:val="22"/>
          <w:szCs w:val="22"/>
        </w:rPr>
        <w:t xml:space="preserve">interconnected </w:t>
      </w:r>
      <w:r w:rsidR="002306BA">
        <w:rPr>
          <w:rFonts w:cs="Arial"/>
          <w:color w:val="000000" w:themeColor="text1"/>
          <w:sz w:val="22"/>
          <w:szCs w:val="22"/>
        </w:rPr>
        <w:t xml:space="preserve">carbon </w:t>
      </w:r>
      <w:r w:rsidR="005903AE" w:rsidRPr="00581E6D">
        <w:rPr>
          <w:rFonts w:cs="Arial"/>
          <w:color w:val="000000" w:themeColor="text1"/>
          <w:sz w:val="22"/>
          <w:szCs w:val="22"/>
        </w:rPr>
        <w:t xml:space="preserve">markets </w:t>
      </w:r>
      <w:r w:rsidR="002306BA">
        <w:rPr>
          <w:rFonts w:cs="Arial"/>
          <w:color w:val="000000" w:themeColor="text1"/>
          <w:sz w:val="22"/>
          <w:szCs w:val="22"/>
        </w:rPr>
        <w:t>and help</w:t>
      </w:r>
      <w:r w:rsidR="005903AE" w:rsidRPr="00581E6D">
        <w:rPr>
          <w:rFonts w:cs="Arial"/>
          <w:color w:val="000000" w:themeColor="text1"/>
          <w:sz w:val="22"/>
          <w:szCs w:val="22"/>
        </w:rPr>
        <w:t xml:space="preserve"> limit global temperature </w:t>
      </w:r>
      <w:r w:rsidR="002306BA">
        <w:rPr>
          <w:rFonts w:cs="Arial"/>
          <w:color w:val="000000" w:themeColor="text1"/>
          <w:sz w:val="22"/>
          <w:szCs w:val="22"/>
        </w:rPr>
        <w:t xml:space="preserve">increases </w:t>
      </w:r>
      <w:r w:rsidR="004152EB">
        <w:rPr>
          <w:rFonts w:cs="Arial"/>
          <w:color w:val="000000" w:themeColor="text1"/>
          <w:sz w:val="22"/>
          <w:szCs w:val="22"/>
        </w:rPr>
        <w:t>in line with the Paris Agreement’s goals</w:t>
      </w:r>
      <w:r w:rsidR="005903AE" w:rsidRPr="00581E6D">
        <w:rPr>
          <w:rFonts w:cs="Arial"/>
          <w:color w:val="000000" w:themeColor="text1"/>
          <w:sz w:val="22"/>
          <w:szCs w:val="22"/>
        </w:rPr>
        <w:t xml:space="preserve">. </w:t>
      </w:r>
      <w:r w:rsidR="00D60E9D">
        <w:rPr>
          <w:rFonts w:cs="Arial"/>
          <w:color w:val="000000" w:themeColor="text1"/>
          <w:sz w:val="22"/>
          <w:szCs w:val="22"/>
        </w:rPr>
        <w:t xml:space="preserve">It </w:t>
      </w:r>
      <w:r w:rsidR="00070A8A" w:rsidRPr="00581E6D">
        <w:rPr>
          <w:rFonts w:cs="Arial"/>
          <w:color w:val="000000" w:themeColor="text1"/>
          <w:sz w:val="22"/>
          <w:szCs w:val="22"/>
        </w:rPr>
        <w:t>sits alongside the Partnership for Market Readiness</w:t>
      </w:r>
      <w:r w:rsidR="003F32C7">
        <w:rPr>
          <w:rFonts w:cs="Arial"/>
          <w:color w:val="000000" w:themeColor="text1"/>
          <w:sz w:val="22"/>
          <w:szCs w:val="22"/>
        </w:rPr>
        <w:t xml:space="preserve"> and Partnership for Market Implementation, which focus </w:t>
      </w:r>
      <w:r w:rsidR="002A11FA" w:rsidRPr="00581E6D">
        <w:rPr>
          <w:rFonts w:cs="Arial"/>
          <w:color w:val="000000" w:themeColor="text1"/>
          <w:sz w:val="22"/>
          <w:szCs w:val="22"/>
        </w:rPr>
        <w:t>on capacity building for domestic carbon pricing mechanisms,</w:t>
      </w:r>
      <w:r w:rsidR="00070A8A" w:rsidRPr="00581E6D">
        <w:rPr>
          <w:rFonts w:cs="Arial"/>
          <w:color w:val="000000" w:themeColor="text1"/>
          <w:sz w:val="22"/>
          <w:szCs w:val="22"/>
        </w:rPr>
        <w:t xml:space="preserve"> and the Transformative Carbon Asset Facility (TCAF)</w:t>
      </w:r>
      <w:r w:rsidR="00E65970" w:rsidRPr="00581E6D">
        <w:rPr>
          <w:rFonts w:cs="Arial"/>
          <w:color w:val="000000" w:themeColor="text1"/>
          <w:sz w:val="22"/>
          <w:szCs w:val="22"/>
        </w:rPr>
        <w:t>, a fund supporting innovative</w:t>
      </w:r>
      <w:r w:rsidR="002306BA">
        <w:rPr>
          <w:rFonts w:cs="Arial"/>
          <w:color w:val="000000" w:themeColor="text1"/>
          <w:sz w:val="22"/>
          <w:szCs w:val="22"/>
        </w:rPr>
        <w:t>, scaled up crediting approaches</w:t>
      </w:r>
      <w:r w:rsidR="00E65970" w:rsidRPr="00581E6D">
        <w:rPr>
          <w:rFonts w:cs="Arial"/>
          <w:color w:val="000000" w:themeColor="text1"/>
          <w:sz w:val="22"/>
          <w:szCs w:val="22"/>
        </w:rPr>
        <w:t xml:space="preserve">. </w:t>
      </w:r>
    </w:p>
    <w:p w14:paraId="39915473" w14:textId="77777777" w:rsidR="00CA298A" w:rsidRPr="00581E6D" w:rsidRDefault="00CA298A" w:rsidP="00A85CFC">
      <w:pPr>
        <w:contextualSpacing/>
        <w:jc w:val="both"/>
        <w:rPr>
          <w:rFonts w:cs="Arial"/>
          <w:color w:val="000000" w:themeColor="text1"/>
          <w:sz w:val="22"/>
          <w:szCs w:val="22"/>
        </w:rPr>
      </w:pPr>
    </w:p>
    <w:p w14:paraId="1761810B" w14:textId="7020A435" w:rsidR="00644E98" w:rsidRPr="00581E6D" w:rsidRDefault="00A85CFC" w:rsidP="00FE0F00">
      <w:pPr>
        <w:contextualSpacing/>
        <w:jc w:val="both"/>
        <w:rPr>
          <w:rFonts w:cs="Arial"/>
          <w:color w:val="000000" w:themeColor="text1"/>
          <w:sz w:val="22"/>
          <w:szCs w:val="22"/>
        </w:rPr>
      </w:pPr>
      <w:r w:rsidRPr="00581E6D">
        <w:rPr>
          <w:rFonts w:cs="Arial"/>
          <w:color w:val="000000" w:themeColor="text1"/>
          <w:sz w:val="22"/>
          <w:szCs w:val="22"/>
        </w:rPr>
        <w:t xml:space="preserve">In the short to medium term, </w:t>
      </w:r>
      <w:r w:rsidR="00512DCC">
        <w:rPr>
          <w:rFonts w:cs="Arial"/>
          <w:color w:val="000000" w:themeColor="text1"/>
          <w:sz w:val="22"/>
          <w:szCs w:val="22"/>
        </w:rPr>
        <w:t>Ci-Dev</w:t>
      </w:r>
      <w:r w:rsidR="00CE224E" w:rsidRPr="00581E6D">
        <w:rPr>
          <w:rFonts w:cs="Arial"/>
          <w:color w:val="000000" w:themeColor="text1"/>
          <w:sz w:val="22"/>
          <w:szCs w:val="22"/>
        </w:rPr>
        <w:t xml:space="preserve"> </w:t>
      </w:r>
      <w:r w:rsidRPr="00581E6D">
        <w:rPr>
          <w:rFonts w:cs="Arial"/>
          <w:color w:val="000000" w:themeColor="text1"/>
          <w:sz w:val="22"/>
          <w:szCs w:val="22"/>
        </w:rPr>
        <w:t>deliver</w:t>
      </w:r>
      <w:r w:rsidR="002306BA">
        <w:rPr>
          <w:rFonts w:cs="Arial"/>
          <w:color w:val="000000" w:themeColor="text1"/>
          <w:sz w:val="22"/>
          <w:szCs w:val="22"/>
        </w:rPr>
        <w:t>s</w:t>
      </w:r>
      <w:r w:rsidRPr="00581E6D">
        <w:rPr>
          <w:rFonts w:cs="Arial"/>
          <w:color w:val="000000" w:themeColor="text1"/>
          <w:sz w:val="22"/>
          <w:szCs w:val="22"/>
        </w:rPr>
        <w:t xml:space="preserve"> direct climate and poverty reduction benefits in LDCs through</w:t>
      </w:r>
      <w:r w:rsidR="004A4221" w:rsidRPr="00581E6D">
        <w:rPr>
          <w:rFonts w:cs="Arial"/>
          <w:color w:val="000000" w:themeColor="text1"/>
          <w:sz w:val="22"/>
          <w:szCs w:val="22"/>
        </w:rPr>
        <w:t xml:space="preserve"> supporting</w:t>
      </w:r>
      <w:r w:rsidRPr="00581E6D">
        <w:rPr>
          <w:rFonts w:cs="Arial"/>
          <w:color w:val="000000" w:themeColor="text1"/>
          <w:sz w:val="22"/>
          <w:szCs w:val="22"/>
        </w:rPr>
        <w:t xml:space="preserve"> clean energy pilot projects such as household solar, biogas</w:t>
      </w:r>
      <w:r w:rsidR="00FA23BC">
        <w:rPr>
          <w:rFonts w:cs="Arial"/>
          <w:color w:val="000000" w:themeColor="text1"/>
          <w:sz w:val="22"/>
          <w:szCs w:val="22"/>
        </w:rPr>
        <w:t>, cookstoves</w:t>
      </w:r>
      <w:r w:rsidRPr="00581E6D">
        <w:rPr>
          <w:rFonts w:cs="Arial"/>
          <w:color w:val="000000" w:themeColor="text1"/>
          <w:sz w:val="22"/>
          <w:szCs w:val="22"/>
        </w:rPr>
        <w:t xml:space="preserve"> and micro-hydro systems.</w:t>
      </w:r>
      <w:r w:rsidR="004A4221" w:rsidRPr="00581E6D">
        <w:rPr>
          <w:rFonts w:cs="Arial"/>
          <w:color w:val="000000" w:themeColor="text1"/>
          <w:sz w:val="22"/>
          <w:szCs w:val="22"/>
        </w:rPr>
        <w:t xml:space="preserve"> </w:t>
      </w:r>
      <w:r w:rsidR="00EF10E4">
        <w:rPr>
          <w:rFonts w:cs="Arial"/>
          <w:color w:val="000000" w:themeColor="text1"/>
          <w:sz w:val="22"/>
          <w:szCs w:val="22"/>
        </w:rPr>
        <w:t xml:space="preserve">It uses </w:t>
      </w:r>
      <w:r w:rsidR="00E85B75" w:rsidRPr="00581E6D">
        <w:rPr>
          <w:rFonts w:cs="Arial"/>
          <w:color w:val="000000" w:themeColor="text1"/>
          <w:sz w:val="22"/>
          <w:szCs w:val="22"/>
        </w:rPr>
        <w:t>carbon finance</w:t>
      </w:r>
      <w:r w:rsidR="00EF10E4">
        <w:rPr>
          <w:rFonts w:cs="Arial"/>
          <w:color w:val="000000" w:themeColor="text1"/>
          <w:sz w:val="22"/>
          <w:szCs w:val="22"/>
        </w:rPr>
        <w:t xml:space="preserve"> to help </w:t>
      </w:r>
      <w:r w:rsidR="002306BA">
        <w:rPr>
          <w:rFonts w:cs="Arial"/>
          <w:color w:val="000000" w:themeColor="text1"/>
          <w:sz w:val="22"/>
          <w:szCs w:val="22"/>
        </w:rPr>
        <w:t>LDCs overcome</w:t>
      </w:r>
      <w:r w:rsidR="00E85B75" w:rsidRPr="00581E6D">
        <w:rPr>
          <w:rFonts w:cs="Arial"/>
          <w:color w:val="000000" w:themeColor="text1"/>
          <w:sz w:val="22"/>
          <w:szCs w:val="22"/>
        </w:rPr>
        <w:t xml:space="preserve"> barriers that </w:t>
      </w:r>
      <w:r w:rsidR="00EF10E4">
        <w:rPr>
          <w:rFonts w:cs="Arial"/>
          <w:color w:val="000000" w:themeColor="text1"/>
          <w:sz w:val="22"/>
          <w:szCs w:val="22"/>
        </w:rPr>
        <w:t xml:space="preserve">stop </w:t>
      </w:r>
      <w:r w:rsidR="002306BA">
        <w:rPr>
          <w:rFonts w:cs="Arial"/>
          <w:color w:val="000000" w:themeColor="text1"/>
          <w:sz w:val="22"/>
          <w:szCs w:val="22"/>
        </w:rPr>
        <w:t xml:space="preserve">them </w:t>
      </w:r>
      <w:r w:rsidR="00E85B75" w:rsidRPr="00581E6D">
        <w:rPr>
          <w:rFonts w:cs="Arial"/>
          <w:color w:val="000000" w:themeColor="text1"/>
          <w:sz w:val="22"/>
          <w:szCs w:val="22"/>
        </w:rPr>
        <w:t xml:space="preserve">accessing global carbon finance and the international carbon market, </w:t>
      </w:r>
      <w:r w:rsidR="00027173" w:rsidRPr="00581E6D">
        <w:rPr>
          <w:rFonts w:cs="Arial"/>
          <w:color w:val="000000" w:themeColor="text1"/>
          <w:sz w:val="22"/>
          <w:szCs w:val="22"/>
        </w:rPr>
        <w:t xml:space="preserve">including a lack of skills and experience in the UN methodologies used to </w:t>
      </w:r>
      <w:r w:rsidR="00DE346B">
        <w:rPr>
          <w:rFonts w:cs="Arial"/>
          <w:color w:val="000000" w:themeColor="text1"/>
          <w:sz w:val="22"/>
          <w:szCs w:val="22"/>
        </w:rPr>
        <w:t>generate</w:t>
      </w:r>
      <w:r w:rsidR="00027173" w:rsidRPr="00581E6D">
        <w:rPr>
          <w:rFonts w:cs="Arial"/>
          <w:color w:val="000000" w:themeColor="text1"/>
          <w:sz w:val="22"/>
          <w:szCs w:val="22"/>
        </w:rPr>
        <w:t xml:space="preserve"> credits</w:t>
      </w:r>
      <w:r w:rsidR="00300103" w:rsidRPr="00581E6D">
        <w:rPr>
          <w:rFonts w:cs="Arial"/>
          <w:color w:val="000000" w:themeColor="text1"/>
          <w:sz w:val="22"/>
          <w:szCs w:val="22"/>
        </w:rPr>
        <w:t>,</w:t>
      </w:r>
      <w:r w:rsidR="00027173" w:rsidRPr="00581E6D">
        <w:rPr>
          <w:rFonts w:cs="Arial"/>
          <w:color w:val="000000" w:themeColor="text1"/>
          <w:sz w:val="22"/>
          <w:szCs w:val="22"/>
        </w:rPr>
        <w:t xml:space="preserve"> high capital costs and unproven returns on investment. </w:t>
      </w:r>
    </w:p>
    <w:p w14:paraId="12A03E7E" w14:textId="77777777" w:rsidR="00644E98" w:rsidRPr="00581E6D" w:rsidRDefault="00644E98" w:rsidP="00FE0F00">
      <w:pPr>
        <w:contextualSpacing/>
        <w:jc w:val="both"/>
        <w:rPr>
          <w:rFonts w:cs="Arial"/>
          <w:color w:val="000000" w:themeColor="text1"/>
          <w:sz w:val="22"/>
          <w:szCs w:val="22"/>
        </w:rPr>
      </w:pPr>
    </w:p>
    <w:p w14:paraId="288A23CB" w14:textId="351155D6" w:rsidR="00027173" w:rsidRPr="00604D59" w:rsidRDefault="00512DCC" w:rsidP="00FE0F00">
      <w:pPr>
        <w:contextualSpacing/>
        <w:jc w:val="both"/>
        <w:rPr>
          <w:rFonts w:cs="Arial"/>
          <w:color w:val="000000" w:themeColor="text1"/>
          <w:sz w:val="22"/>
          <w:szCs w:val="22"/>
        </w:rPr>
      </w:pPr>
      <w:r>
        <w:rPr>
          <w:rFonts w:cs="Arial"/>
          <w:color w:val="000000" w:themeColor="text1"/>
          <w:sz w:val="22"/>
          <w:szCs w:val="22"/>
        </w:rPr>
        <w:t>Ci-Dev</w:t>
      </w:r>
      <w:r w:rsidR="00717CF5" w:rsidRPr="00581E6D">
        <w:rPr>
          <w:rFonts w:cs="Arial"/>
          <w:color w:val="000000" w:themeColor="text1"/>
          <w:sz w:val="22"/>
          <w:szCs w:val="22"/>
        </w:rPr>
        <w:t xml:space="preserve"> also</w:t>
      </w:r>
      <w:r w:rsidR="00CE224E" w:rsidRPr="00581E6D">
        <w:rPr>
          <w:rFonts w:cs="Arial"/>
          <w:color w:val="000000" w:themeColor="text1"/>
          <w:sz w:val="22"/>
          <w:szCs w:val="22"/>
        </w:rPr>
        <w:t xml:space="preserve"> </w:t>
      </w:r>
      <w:r w:rsidR="00E85B75" w:rsidRPr="00581E6D">
        <w:rPr>
          <w:rFonts w:cs="Arial"/>
          <w:color w:val="000000" w:themeColor="text1"/>
          <w:sz w:val="22"/>
          <w:szCs w:val="22"/>
        </w:rPr>
        <w:t>aims</w:t>
      </w:r>
      <w:r w:rsidR="00CE224E" w:rsidRPr="00581E6D">
        <w:rPr>
          <w:rFonts w:cs="Arial"/>
          <w:color w:val="000000" w:themeColor="text1"/>
          <w:sz w:val="22"/>
          <w:szCs w:val="22"/>
        </w:rPr>
        <w:t xml:space="preserve"> to </w:t>
      </w:r>
      <w:r w:rsidR="002306BA">
        <w:rPr>
          <w:rFonts w:cs="Arial"/>
          <w:color w:val="000000" w:themeColor="text1"/>
          <w:sz w:val="22"/>
          <w:szCs w:val="22"/>
        </w:rPr>
        <w:t xml:space="preserve">help </w:t>
      </w:r>
      <w:r w:rsidR="00CE224E" w:rsidRPr="00581E6D">
        <w:rPr>
          <w:rFonts w:cs="Arial"/>
          <w:color w:val="000000" w:themeColor="text1"/>
          <w:sz w:val="22"/>
          <w:szCs w:val="22"/>
        </w:rPr>
        <w:t>countries to access and benefit from carbon finance in the medium to long term.</w:t>
      </w:r>
      <w:r w:rsidR="009E7ABD" w:rsidRPr="00581E6D">
        <w:rPr>
          <w:rFonts w:cs="Arial"/>
          <w:color w:val="000000" w:themeColor="text1"/>
          <w:sz w:val="22"/>
          <w:szCs w:val="22"/>
        </w:rPr>
        <w:t xml:space="preserve"> This is particularly relevant following the Paris Agreement, which includes</w:t>
      </w:r>
      <w:r w:rsidR="002306BA">
        <w:rPr>
          <w:rFonts w:cs="Arial"/>
          <w:color w:val="000000" w:themeColor="text1"/>
          <w:sz w:val="22"/>
          <w:szCs w:val="22"/>
        </w:rPr>
        <w:t xml:space="preserve"> </w:t>
      </w:r>
      <w:r w:rsidR="009E7ABD" w:rsidRPr="00581E6D">
        <w:rPr>
          <w:rFonts w:cs="Arial"/>
          <w:color w:val="000000" w:themeColor="text1"/>
          <w:sz w:val="22"/>
          <w:szCs w:val="22"/>
        </w:rPr>
        <w:t xml:space="preserve">Article </w:t>
      </w:r>
      <w:r w:rsidR="00BB53A4">
        <w:rPr>
          <w:rFonts w:cs="Arial"/>
          <w:color w:val="000000" w:themeColor="text1"/>
          <w:sz w:val="22"/>
          <w:szCs w:val="22"/>
        </w:rPr>
        <w:t xml:space="preserve">6, that relates </w:t>
      </w:r>
      <w:r w:rsidR="009E7ABD" w:rsidRPr="00581E6D">
        <w:rPr>
          <w:rFonts w:cs="Arial"/>
          <w:color w:val="000000" w:themeColor="text1"/>
          <w:sz w:val="22"/>
          <w:szCs w:val="22"/>
        </w:rPr>
        <w:t xml:space="preserve">to </w:t>
      </w:r>
      <w:r w:rsidR="002306BA">
        <w:rPr>
          <w:rFonts w:cs="Arial"/>
          <w:color w:val="000000" w:themeColor="text1"/>
          <w:sz w:val="22"/>
          <w:szCs w:val="22"/>
        </w:rPr>
        <w:t>c</w:t>
      </w:r>
      <w:r w:rsidR="009E7ABD" w:rsidRPr="00581E6D">
        <w:rPr>
          <w:rFonts w:cs="Arial"/>
          <w:color w:val="000000" w:themeColor="text1"/>
          <w:sz w:val="22"/>
          <w:szCs w:val="22"/>
        </w:rPr>
        <w:t xml:space="preserve">o-operative </w:t>
      </w:r>
      <w:r w:rsidR="002306BA">
        <w:rPr>
          <w:rFonts w:cs="Arial"/>
          <w:color w:val="000000" w:themeColor="text1"/>
          <w:sz w:val="22"/>
          <w:szCs w:val="22"/>
        </w:rPr>
        <w:t>a</w:t>
      </w:r>
      <w:r w:rsidR="009E7ABD" w:rsidRPr="00581E6D">
        <w:rPr>
          <w:rFonts w:cs="Arial"/>
          <w:color w:val="000000" w:themeColor="text1"/>
          <w:sz w:val="22"/>
          <w:szCs w:val="22"/>
        </w:rPr>
        <w:t xml:space="preserve">pproaches </w:t>
      </w:r>
      <w:r w:rsidR="0021697D" w:rsidRPr="00581E6D">
        <w:rPr>
          <w:rFonts w:cs="Arial"/>
          <w:color w:val="000000" w:themeColor="text1"/>
          <w:sz w:val="22"/>
          <w:szCs w:val="22"/>
        </w:rPr>
        <w:t>for</w:t>
      </w:r>
      <w:r w:rsidR="009E7ABD" w:rsidRPr="00581E6D">
        <w:rPr>
          <w:rFonts w:cs="Arial"/>
          <w:color w:val="000000" w:themeColor="text1"/>
          <w:sz w:val="22"/>
          <w:szCs w:val="22"/>
        </w:rPr>
        <w:t xml:space="preserve"> </w:t>
      </w:r>
      <w:r w:rsidR="008B4DD7" w:rsidRPr="00581E6D">
        <w:rPr>
          <w:rFonts w:cs="Arial"/>
          <w:color w:val="000000" w:themeColor="text1"/>
          <w:sz w:val="22"/>
          <w:szCs w:val="22"/>
        </w:rPr>
        <w:t xml:space="preserve">voluntary </w:t>
      </w:r>
      <w:r w:rsidR="00300103" w:rsidRPr="00581E6D">
        <w:rPr>
          <w:rFonts w:cs="Arial"/>
          <w:color w:val="000000" w:themeColor="text1"/>
          <w:sz w:val="22"/>
          <w:szCs w:val="22"/>
        </w:rPr>
        <w:t xml:space="preserve">international </w:t>
      </w:r>
      <w:r w:rsidR="0021697D" w:rsidRPr="00581E6D">
        <w:rPr>
          <w:rFonts w:cs="Arial"/>
          <w:color w:val="000000" w:themeColor="text1"/>
          <w:sz w:val="22"/>
          <w:szCs w:val="22"/>
        </w:rPr>
        <w:t>cooperation</w:t>
      </w:r>
      <w:r w:rsidR="00873415" w:rsidRPr="00581E6D">
        <w:rPr>
          <w:rFonts w:cs="Arial"/>
          <w:color w:val="000000" w:themeColor="text1"/>
          <w:sz w:val="22"/>
          <w:szCs w:val="22"/>
        </w:rPr>
        <w:t>,</w:t>
      </w:r>
      <w:r w:rsidR="0021697D" w:rsidRPr="00581E6D">
        <w:rPr>
          <w:rFonts w:cs="Arial"/>
          <w:color w:val="000000" w:themeColor="text1"/>
          <w:sz w:val="22"/>
          <w:szCs w:val="22"/>
        </w:rPr>
        <w:t xml:space="preserve"> to allow for higher ambition in mitigation and adaptation actions</w:t>
      </w:r>
      <w:r w:rsidR="009E7ABD" w:rsidRPr="00581E6D">
        <w:rPr>
          <w:rFonts w:cs="Arial"/>
          <w:color w:val="000000" w:themeColor="text1"/>
          <w:sz w:val="22"/>
          <w:szCs w:val="22"/>
        </w:rPr>
        <w:t xml:space="preserve">. </w:t>
      </w:r>
      <w:r w:rsidR="00470AC1" w:rsidRPr="00581E6D">
        <w:rPr>
          <w:rFonts w:cs="Arial"/>
          <w:color w:val="000000" w:themeColor="text1"/>
          <w:sz w:val="22"/>
          <w:szCs w:val="22"/>
        </w:rPr>
        <w:t>T</w:t>
      </w:r>
      <w:r w:rsidR="008B4DD7" w:rsidRPr="00581E6D">
        <w:rPr>
          <w:rFonts w:cs="Arial"/>
          <w:color w:val="000000" w:themeColor="text1"/>
          <w:sz w:val="22"/>
          <w:szCs w:val="22"/>
        </w:rPr>
        <w:t xml:space="preserve">he infrastructure, capacity building and systems that Ci-Dev is piloting </w:t>
      </w:r>
      <w:r w:rsidR="002306BA">
        <w:rPr>
          <w:rFonts w:cs="Arial"/>
          <w:color w:val="000000" w:themeColor="text1"/>
          <w:sz w:val="22"/>
          <w:szCs w:val="22"/>
        </w:rPr>
        <w:t xml:space="preserve">are </w:t>
      </w:r>
      <w:r w:rsidR="00604D59">
        <w:rPr>
          <w:rFonts w:cs="Arial"/>
          <w:color w:val="000000" w:themeColor="text1"/>
          <w:sz w:val="22"/>
          <w:szCs w:val="22"/>
        </w:rPr>
        <w:t xml:space="preserve">strengthening </w:t>
      </w:r>
      <w:r w:rsidR="008B4DD7" w:rsidRPr="00581E6D">
        <w:rPr>
          <w:rFonts w:cs="Arial"/>
          <w:color w:val="000000" w:themeColor="text1"/>
          <w:sz w:val="22"/>
          <w:szCs w:val="22"/>
        </w:rPr>
        <w:t xml:space="preserve">cooperation and </w:t>
      </w:r>
      <w:r w:rsidR="00604D59">
        <w:rPr>
          <w:rFonts w:cs="Arial"/>
          <w:color w:val="000000" w:themeColor="text1"/>
          <w:sz w:val="22"/>
          <w:szCs w:val="22"/>
        </w:rPr>
        <w:t xml:space="preserve">unlocking </w:t>
      </w:r>
      <w:r w:rsidR="008B4DD7" w:rsidRPr="00581E6D">
        <w:rPr>
          <w:rFonts w:cs="Arial"/>
          <w:color w:val="000000" w:themeColor="text1"/>
          <w:sz w:val="22"/>
          <w:szCs w:val="22"/>
        </w:rPr>
        <w:t xml:space="preserve">finance flows </w:t>
      </w:r>
      <w:r w:rsidR="002306BA">
        <w:rPr>
          <w:rFonts w:cs="Arial"/>
          <w:color w:val="000000" w:themeColor="text1"/>
          <w:sz w:val="22"/>
          <w:szCs w:val="22"/>
        </w:rPr>
        <w:t xml:space="preserve">as well </w:t>
      </w:r>
      <w:r w:rsidR="002306BA" w:rsidRPr="00604D59">
        <w:rPr>
          <w:rFonts w:cs="Arial"/>
          <w:color w:val="000000" w:themeColor="text1"/>
          <w:sz w:val="22"/>
          <w:szCs w:val="22"/>
        </w:rPr>
        <w:t xml:space="preserve">as helping recipient countries to understand the costs and opportunities of meeting their international emissions targets. </w:t>
      </w:r>
    </w:p>
    <w:p w14:paraId="568BE92D" w14:textId="77777777" w:rsidR="00B46C14" w:rsidRPr="00604D59" w:rsidRDefault="00B46C14" w:rsidP="00FE0F00">
      <w:pPr>
        <w:contextualSpacing/>
        <w:jc w:val="both"/>
        <w:rPr>
          <w:rFonts w:cs="Arial"/>
          <w:color w:val="000000" w:themeColor="text1"/>
          <w:sz w:val="22"/>
          <w:szCs w:val="22"/>
        </w:rPr>
      </w:pPr>
    </w:p>
    <w:p w14:paraId="45AB3603" w14:textId="493BDFBE" w:rsidR="0010755A" w:rsidRPr="00604D59" w:rsidRDefault="00512DCC" w:rsidP="00FE0F00">
      <w:pPr>
        <w:contextualSpacing/>
        <w:jc w:val="both"/>
        <w:rPr>
          <w:rFonts w:cs="Arial"/>
          <w:color w:val="000000" w:themeColor="text1"/>
          <w:sz w:val="22"/>
          <w:szCs w:val="22"/>
        </w:rPr>
      </w:pPr>
      <w:r>
        <w:rPr>
          <w:rFonts w:cs="Arial"/>
          <w:color w:val="000000" w:themeColor="text1"/>
          <w:sz w:val="22"/>
          <w:szCs w:val="22"/>
        </w:rPr>
        <w:t>Ci-Dev</w:t>
      </w:r>
      <w:r w:rsidR="00B46C14" w:rsidRPr="00604D59">
        <w:rPr>
          <w:rFonts w:cs="Arial"/>
          <w:color w:val="000000" w:themeColor="text1"/>
          <w:sz w:val="22"/>
          <w:szCs w:val="22"/>
        </w:rPr>
        <w:t xml:space="preserve"> </w:t>
      </w:r>
      <w:r w:rsidR="0001318A" w:rsidRPr="00604D59">
        <w:rPr>
          <w:rFonts w:cs="Arial"/>
          <w:color w:val="000000" w:themeColor="text1"/>
          <w:sz w:val="22"/>
          <w:szCs w:val="22"/>
        </w:rPr>
        <w:t>started as</w:t>
      </w:r>
      <w:r w:rsidR="00B46C14" w:rsidRPr="00604D59">
        <w:rPr>
          <w:rFonts w:cs="Arial"/>
          <w:color w:val="000000" w:themeColor="text1"/>
          <w:sz w:val="22"/>
          <w:szCs w:val="22"/>
        </w:rPr>
        <w:t xml:space="preserve"> a joint DFID and </w:t>
      </w:r>
      <w:r w:rsidR="00BB477B">
        <w:rPr>
          <w:rFonts w:cs="Arial"/>
          <w:color w:val="000000" w:themeColor="text1"/>
          <w:sz w:val="22"/>
          <w:szCs w:val="22"/>
        </w:rPr>
        <w:t>DECC/</w:t>
      </w:r>
      <w:r w:rsidR="00B46C14" w:rsidRPr="00604D59">
        <w:rPr>
          <w:rFonts w:cs="Arial"/>
          <w:color w:val="000000" w:themeColor="text1"/>
          <w:sz w:val="22"/>
          <w:szCs w:val="22"/>
        </w:rPr>
        <w:t xml:space="preserve">BEIS programme. </w:t>
      </w:r>
      <w:r w:rsidR="00560208">
        <w:rPr>
          <w:rFonts w:cs="Arial"/>
          <w:color w:val="000000" w:themeColor="text1"/>
          <w:sz w:val="22"/>
          <w:szCs w:val="22"/>
        </w:rPr>
        <w:t>This was f</w:t>
      </w:r>
      <w:r w:rsidR="00D00FBA">
        <w:rPr>
          <w:rFonts w:cs="Arial"/>
          <w:color w:val="000000" w:themeColor="text1"/>
          <w:sz w:val="22"/>
          <w:szCs w:val="22"/>
        </w:rPr>
        <w:t>unded using</w:t>
      </w:r>
      <w:r w:rsidR="00BB477B">
        <w:rPr>
          <w:rFonts w:cs="Arial"/>
          <w:color w:val="000000" w:themeColor="text1"/>
          <w:sz w:val="22"/>
          <w:szCs w:val="22"/>
        </w:rPr>
        <w:t xml:space="preserve"> </w:t>
      </w:r>
      <w:r w:rsidR="00B46C14" w:rsidRPr="00604D59">
        <w:rPr>
          <w:rFonts w:cs="Arial"/>
          <w:color w:val="000000" w:themeColor="text1"/>
          <w:sz w:val="22"/>
          <w:szCs w:val="22"/>
        </w:rPr>
        <w:t xml:space="preserve">UK International Climate </w:t>
      </w:r>
      <w:r w:rsidR="004A1E83" w:rsidRPr="00604D59">
        <w:rPr>
          <w:rFonts w:cs="Arial"/>
          <w:color w:val="000000" w:themeColor="text1"/>
          <w:sz w:val="22"/>
          <w:szCs w:val="22"/>
        </w:rPr>
        <w:t xml:space="preserve">Finance </w:t>
      </w:r>
      <w:r w:rsidR="00B46C14" w:rsidRPr="00604D59">
        <w:rPr>
          <w:rFonts w:cs="Arial"/>
          <w:color w:val="000000" w:themeColor="text1"/>
          <w:sz w:val="22"/>
          <w:szCs w:val="22"/>
        </w:rPr>
        <w:t>(ICF)</w:t>
      </w:r>
      <w:r w:rsidR="00604D59" w:rsidRPr="00604D59">
        <w:rPr>
          <w:sz w:val="22"/>
          <w:szCs w:val="22"/>
        </w:rPr>
        <w:t xml:space="preserve"> which is classified as Official Development As</w:t>
      </w:r>
      <w:r w:rsidR="00604D59">
        <w:rPr>
          <w:sz w:val="22"/>
          <w:szCs w:val="22"/>
        </w:rPr>
        <w:t>s</w:t>
      </w:r>
      <w:r w:rsidR="00604D59" w:rsidRPr="00604D59">
        <w:rPr>
          <w:sz w:val="22"/>
          <w:szCs w:val="22"/>
        </w:rPr>
        <w:t>istance (ODA)</w:t>
      </w:r>
      <w:r w:rsidR="00B46C14" w:rsidRPr="00604D59">
        <w:rPr>
          <w:rFonts w:cs="Arial"/>
          <w:color w:val="000000" w:themeColor="text1"/>
          <w:sz w:val="22"/>
          <w:szCs w:val="22"/>
        </w:rPr>
        <w:t xml:space="preserve">. </w:t>
      </w:r>
      <w:r w:rsidR="009E638F" w:rsidRPr="00604D59">
        <w:rPr>
          <w:rFonts w:cs="Arial"/>
          <w:color w:val="000000" w:themeColor="text1"/>
          <w:sz w:val="22"/>
          <w:szCs w:val="22"/>
        </w:rPr>
        <w:t>Ci-Dev has a total value of $124m</w:t>
      </w:r>
      <w:r w:rsidR="00A12E28" w:rsidRPr="00604D59">
        <w:rPr>
          <w:rStyle w:val="FootnoteReference"/>
          <w:rFonts w:cs="Arial"/>
          <w:color w:val="000000" w:themeColor="text1"/>
          <w:sz w:val="22"/>
          <w:szCs w:val="22"/>
        </w:rPr>
        <w:footnoteReference w:id="7"/>
      </w:r>
      <w:r w:rsidR="009E638F" w:rsidRPr="00604D59">
        <w:rPr>
          <w:rFonts w:cs="Arial"/>
          <w:color w:val="000000" w:themeColor="text1"/>
          <w:sz w:val="22"/>
          <w:szCs w:val="22"/>
        </w:rPr>
        <w:t xml:space="preserve"> made up of a </w:t>
      </w:r>
      <w:r w:rsidR="00B46C14" w:rsidRPr="00604D59">
        <w:rPr>
          <w:rFonts w:cs="Arial"/>
          <w:color w:val="000000" w:themeColor="text1"/>
          <w:sz w:val="22"/>
          <w:szCs w:val="22"/>
        </w:rPr>
        <w:t>Carbon Fund ($96m) which purchases emissions reductions</w:t>
      </w:r>
      <w:r w:rsidR="00781D88" w:rsidRPr="00604D59">
        <w:rPr>
          <w:rFonts w:cs="Arial"/>
          <w:color w:val="000000" w:themeColor="text1"/>
          <w:sz w:val="22"/>
          <w:szCs w:val="22"/>
        </w:rPr>
        <w:t xml:space="preserve"> from pilot projects supported through the programme</w:t>
      </w:r>
      <w:r w:rsidR="00B46C14" w:rsidRPr="00604D59">
        <w:rPr>
          <w:rFonts w:cs="Arial"/>
          <w:color w:val="000000" w:themeColor="text1"/>
          <w:sz w:val="22"/>
          <w:szCs w:val="22"/>
        </w:rPr>
        <w:t xml:space="preserve">, and the Readiness Fund ($28m) that develops methodologies and shares </w:t>
      </w:r>
      <w:r w:rsidR="00BB477B">
        <w:rPr>
          <w:rFonts w:cs="Arial"/>
          <w:color w:val="000000" w:themeColor="text1"/>
          <w:sz w:val="22"/>
          <w:szCs w:val="22"/>
        </w:rPr>
        <w:t xml:space="preserve">lessons and experiences </w:t>
      </w:r>
      <w:r w:rsidR="00781D88" w:rsidRPr="00604D59">
        <w:rPr>
          <w:rFonts w:cs="Arial"/>
          <w:color w:val="000000" w:themeColor="text1"/>
          <w:sz w:val="22"/>
          <w:szCs w:val="22"/>
        </w:rPr>
        <w:t>with the international community</w:t>
      </w:r>
      <w:r w:rsidR="00B46C14" w:rsidRPr="00604D59">
        <w:rPr>
          <w:rFonts w:cs="Arial"/>
          <w:color w:val="000000" w:themeColor="text1"/>
          <w:sz w:val="22"/>
          <w:szCs w:val="22"/>
        </w:rPr>
        <w:t xml:space="preserve">. </w:t>
      </w:r>
      <w:r w:rsidR="009E638F" w:rsidRPr="00604D59">
        <w:rPr>
          <w:rFonts w:cs="Arial"/>
          <w:color w:val="000000" w:themeColor="text1"/>
          <w:sz w:val="22"/>
          <w:szCs w:val="22"/>
        </w:rPr>
        <w:t>BEIS</w:t>
      </w:r>
      <w:r w:rsidR="00B21C9C" w:rsidRPr="00604D59">
        <w:rPr>
          <w:rFonts w:cs="Arial"/>
          <w:color w:val="000000" w:themeColor="text1"/>
          <w:sz w:val="22"/>
          <w:szCs w:val="22"/>
        </w:rPr>
        <w:t xml:space="preserve"> </w:t>
      </w:r>
      <w:r w:rsidR="00246198" w:rsidRPr="00604D59">
        <w:rPr>
          <w:rFonts w:cs="Arial"/>
          <w:color w:val="000000" w:themeColor="text1"/>
          <w:sz w:val="22"/>
          <w:szCs w:val="22"/>
        </w:rPr>
        <w:t>contributes</w:t>
      </w:r>
      <w:r w:rsidR="009E638F" w:rsidRPr="00604D59">
        <w:rPr>
          <w:rFonts w:cs="Arial"/>
          <w:color w:val="000000" w:themeColor="text1"/>
          <w:sz w:val="22"/>
          <w:szCs w:val="22"/>
        </w:rPr>
        <w:t xml:space="preserve"> £3</w:t>
      </w:r>
      <w:r w:rsidR="00B21C9C" w:rsidRPr="00604D59">
        <w:rPr>
          <w:rFonts w:cs="Arial"/>
          <w:color w:val="000000" w:themeColor="text1"/>
          <w:sz w:val="22"/>
          <w:szCs w:val="22"/>
        </w:rPr>
        <w:t>5m</w:t>
      </w:r>
      <w:r w:rsidR="00B46C14" w:rsidRPr="00604D59">
        <w:rPr>
          <w:rFonts w:cs="Arial"/>
          <w:color w:val="000000" w:themeColor="text1"/>
          <w:sz w:val="22"/>
          <w:szCs w:val="22"/>
        </w:rPr>
        <w:t xml:space="preserve"> to the Carbon Fund</w:t>
      </w:r>
      <w:r w:rsidR="00AA7357" w:rsidRPr="00604D59">
        <w:rPr>
          <w:rFonts w:cs="Arial"/>
          <w:color w:val="000000" w:themeColor="text1"/>
          <w:sz w:val="22"/>
          <w:szCs w:val="22"/>
        </w:rPr>
        <w:t xml:space="preserve">. </w:t>
      </w:r>
      <w:r w:rsidR="00B46C14" w:rsidRPr="00604D59">
        <w:rPr>
          <w:rFonts w:cs="Arial"/>
          <w:color w:val="000000" w:themeColor="text1"/>
          <w:sz w:val="22"/>
          <w:szCs w:val="22"/>
        </w:rPr>
        <w:t>DF</w:t>
      </w:r>
      <w:r w:rsidR="009E638F" w:rsidRPr="00604D59">
        <w:rPr>
          <w:rFonts w:cs="Arial"/>
          <w:color w:val="000000" w:themeColor="text1"/>
          <w:sz w:val="22"/>
          <w:szCs w:val="22"/>
        </w:rPr>
        <w:t>ID</w:t>
      </w:r>
      <w:r w:rsidR="009A2950" w:rsidRPr="00604D59">
        <w:rPr>
          <w:rFonts w:cs="Arial"/>
          <w:color w:val="000000" w:themeColor="text1"/>
          <w:sz w:val="22"/>
          <w:szCs w:val="22"/>
        </w:rPr>
        <w:t xml:space="preserve"> contributed</w:t>
      </w:r>
      <w:r w:rsidR="009E638F" w:rsidRPr="00604D59">
        <w:rPr>
          <w:rFonts w:cs="Arial"/>
          <w:color w:val="000000" w:themeColor="text1"/>
          <w:sz w:val="22"/>
          <w:szCs w:val="22"/>
        </w:rPr>
        <w:t xml:space="preserve"> £1</w:t>
      </w:r>
      <w:r w:rsidR="00B46C14" w:rsidRPr="00604D59">
        <w:rPr>
          <w:rFonts w:cs="Arial"/>
          <w:color w:val="000000" w:themeColor="text1"/>
          <w:sz w:val="22"/>
          <w:szCs w:val="22"/>
        </w:rPr>
        <w:t>4</w:t>
      </w:r>
      <w:r w:rsidR="009E638F" w:rsidRPr="00604D59">
        <w:rPr>
          <w:rFonts w:cs="Arial"/>
          <w:color w:val="000000" w:themeColor="text1"/>
          <w:sz w:val="22"/>
          <w:szCs w:val="22"/>
        </w:rPr>
        <w:t>m to</w:t>
      </w:r>
      <w:r w:rsidR="00B21C9C" w:rsidRPr="00604D59">
        <w:rPr>
          <w:rFonts w:cs="Arial"/>
          <w:color w:val="000000" w:themeColor="text1"/>
          <w:sz w:val="22"/>
          <w:szCs w:val="22"/>
        </w:rPr>
        <w:t xml:space="preserve"> </w:t>
      </w:r>
      <w:r w:rsidR="00B46C14" w:rsidRPr="00604D59">
        <w:rPr>
          <w:rFonts w:cs="Arial"/>
          <w:color w:val="000000" w:themeColor="text1"/>
          <w:sz w:val="22"/>
          <w:szCs w:val="22"/>
        </w:rPr>
        <w:t>the Readiness Fund</w:t>
      </w:r>
      <w:r w:rsidR="00AA7357" w:rsidRPr="00604D59">
        <w:rPr>
          <w:rFonts w:cs="Arial"/>
          <w:color w:val="000000" w:themeColor="text1"/>
          <w:sz w:val="22"/>
          <w:szCs w:val="22"/>
        </w:rPr>
        <w:t xml:space="preserve"> and </w:t>
      </w:r>
      <w:r w:rsidR="009A2950" w:rsidRPr="00604D59">
        <w:rPr>
          <w:rFonts w:cs="Arial"/>
          <w:color w:val="000000" w:themeColor="text1"/>
          <w:sz w:val="22"/>
          <w:szCs w:val="22"/>
        </w:rPr>
        <w:t>£1m for independent evaluation</w:t>
      </w:r>
      <w:r w:rsidR="004D65BE" w:rsidRPr="00604D59">
        <w:rPr>
          <w:rFonts w:cs="Arial"/>
          <w:color w:val="000000" w:themeColor="text1"/>
          <w:sz w:val="22"/>
          <w:szCs w:val="22"/>
        </w:rPr>
        <w:t>s</w:t>
      </w:r>
      <w:r w:rsidR="009A2950" w:rsidRPr="00604D59">
        <w:rPr>
          <w:rFonts w:cs="Arial"/>
          <w:color w:val="000000" w:themeColor="text1"/>
          <w:sz w:val="22"/>
          <w:szCs w:val="22"/>
        </w:rPr>
        <w:t xml:space="preserve">. </w:t>
      </w:r>
      <w:r w:rsidR="00604D59">
        <w:rPr>
          <w:rFonts w:cs="Arial"/>
          <w:color w:val="000000" w:themeColor="text1"/>
          <w:sz w:val="22"/>
          <w:szCs w:val="22"/>
        </w:rPr>
        <w:t>Responsibility for DFID spend was novated to BEIS with effect from 1 Jan</w:t>
      </w:r>
      <w:r w:rsidR="0074136B">
        <w:rPr>
          <w:rFonts w:cs="Arial"/>
          <w:color w:val="000000" w:themeColor="text1"/>
          <w:sz w:val="22"/>
          <w:szCs w:val="22"/>
        </w:rPr>
        <w:t>uary</w:t>
      </w:r>
      <w:r w:rsidR="00604D59">
        <w:rPr>
          <w:rFonts w:cs="Arial"/>
          <w:color w:val="000000" w:themeColor="text1"/>
          <w:sz w:val="22"/>
          <w:szCs w:val="22"/>
        </w:rPr>
        <w:t xml:space="preserve"> 2018.</w:t>
      </w:r>
      <w:r w:rsidR="00F425C7" w:rsidRPr="00604D59">
        <w:rPr>
          <w:rFonts w:cs="Arial"/>
          <w:color w:val="000000" w:themeColor="text1"/>
          <w:sz w:val="22"/>
          <w:szCs w:val="22"/>
        </w:rPr>
        <w:t xml:space="preserve"> </w:t>
      </w:r>
      <w:r w:rsidR="00B46C14" w:rsidRPr="00604D59">
        <w:rPr>
          <w:rFonts w:cs="Arial"/>
          <w:color w:val="000000" w:themeColor="text1"/>
          <w:sz w:val="22"/>
          <w:szCs w:val="22"/>
        </w:rPr>
        <w:t xml:space="preserve">Other donors are </w:t>
      </w:r>
      <w:r w:rsidR="00352DB7" w:rsidRPr="00604D59">
        <w:rPr>
          <w:rFonts w:cs="Arial"/>
          <w:color w:val="000000" w:themeColor="text1"/>
          <w:sz w:val="22"/>
          <w:szCs w:val="22"/>
        </w:rPr>
        <w:t>Sweden ($</w:t>
      </w:r>
      <w:r w:rsidR="00B46C14" w:rsidRPr="00604D59">
        <w:rPr>
          <w:rFonts w:cs="Arial"/>
          <w:color w:val="000000" w:themeColor="text1"/>
          <w:sz w:val="22"/>
          <w:szCs w:val="22"/>
        </w:rPr>
        <w:t xml:space="preserve">23m) and the </w:t>
      </w:r>
      <w:r w:rsidR="00352DB7" w:rsidRPr="00604D59">
        <w:rPr>
          <w:rFonts w:cs="Arial"/>
          <w:color w:val="000000" w:themeColor="text1"/>
          <w:sz w:val="22"/>
          <w:szCs w:val="22"/>
        </w:rPr>
        <w:t>Swiss Climate Cent Foundation ($</w:t>
      </w:r>
      <w:r w:rsidR="00B46C14" w:rsidRPr="00604D59">
        <w:rPr>
          <w:rFonts w:cs="Arial"/>
          <w:color w:val="000000" w:themeColor="text1"/>
          <w:sz w:val="22"/>
          <w:szCs w:val="22"/>
        </w:rPr>
        <w:t>23m).</w:t>
      </w:r>
      <w:r w:rsidR="00246198" w:rsidRPr="00604D59">
        <w:rPr>
          <w:rFonts w:cs="Arial"/>
          <w:color w:val="000000" w:themeColor="text1"/>
          <w:sz w:val="22"/>
          <w:szCs w:val="22"/>
        </w:rPr>
        <w:t xml:space="preserve"> </w:t>
      </w:r>
      <w:r w:rsidR="0010755A" w:rsidRPr="00604D59">
        <w:rPr>
          <w:rFonts w:cs="Arial"/>
          <w:color w:val="000000" w:themeColor="text1"/>
          <w:sz w:val="22"/>
          <w:szCs w:val="22"/>
        </w:rPr>
        <w:t>The fund</w:t>
      </w:r>
      <w:r w:rsidR="0041540E" w:rsidRPr="00604D59">
        <w:rPr>
          <w:rFonts w:cs="Arial"/>
          <w:color w:val="000000" w:themeColor="text1"/>
          <w:sz w:val="22"/>
          <w:szCs w:val="22"/>
        </w:rPr>
        <w:t xml:space="preserve">s are used to: </w:t>
      </w:r>
    </w:p>
    <w:p w14:paraId="5443FAAA" w14:textId="77777777" w:rsidR="001D6CEE" w:rsidRPr="00604D59" w:rsidRDefault="001D6CEE" w:rsidP="00FE0F00">
      <w:pPr>
        <w:contextualSpacing/>
        <w:jc w:val="both"/>
        <w:rPr>
          <w:rFonts w:cs="Arial"/>
          <w:color w:val="000000" w:themeColor="text1"/>
          <w:sz w:val="22"/>
          <w:szCs w:val="22"/>
        </w:rPr>
      </w:pPr>
    </w:p>
    <w:p w14:paraId="06EE94C9" w14:textId="5D062E36" w:rsidR="00470AC1" w:rsidRPr="00604D59" w:rsidRDefault="0041540E" w:rsidP="00F309BE">
      <w:pPr>
        <w:pStyle w:val="ListParagraph"/>
        <w:numPr>
          <w:ilvl w:val="0"/>
          <w:numId w:val="1"/>
        </w:numPr>
        <w:jc w:val="both"/>
        <w:rPr>
          <w:rFonts w:cs="Arial"/>
          <w:b/>
          <w:color w:val="000000" w:themeColor="text1"/>
          <w:sz w:val="22"/>
          <w:szCs w:val="22"/>
        </w:rPr>
      </w:pPr>
      <w:r w:rsidRPr="00604D59">
        <w:rPr>
          <w:rFonts w:cs="Arial"/>
          <w:color w:val="000000" w:themeColor="text1"/>
          <w:sz w:val="22"/>
          <w:szCs w:val="22"/>
        </w:rPr>
        <w:t xml:space="preserve">Develop innovative </w:t>
      </w:r>
      <w:r w:rsidR="000C341E">
        <w:rPr>
          <w:rFonts w:cs="Arial"/>
          <w:color w:val="000000" w:themeColor="text1"/>
          <w:sz w:val="22"/>
          <w:szCs w:val="22"/>
        </w:rPr>
        <w:t xml:space="preserve">low </w:t>
      </w:r>
      <w:r w:rsidRPr="00604D59">
        <w:rPr>
          <w:rFonts w:cs="Arial"/>
          <w:color w:val="000000" w:themeColor="text1"/>
          <w:sz w:val="22"/>
          <w:szCs w:val="22"/>
        </w:rPr>
        <w:t>carbon methodologies to finance projects with high development benefits in LDCs and reduce carbon emissions. The</w:t>
      </w:r>
      <w:r w:rsidR="009A2950" w:rsidRPr="00604D59">
        <w:rPr>
          <w:rFonts w:cs="Arial"/>
          <w:color w:val="000000" w:themeColor="text1"/>
          <w:sz w:val="22"/>
          <w:szCs w:val="22"/>
        </w:rPr>
        <w:t>se</w:t>
      </w:r>
      <w:r w:rsidRPr="00604D59">
        <w:rPr>
          <w:rFonts w:cs="Arial"/>
          <w:color w:val="000000" w:themeColor="text1"/>
          <w:sz w:val="22"/>
          <w:szCs w:val="22"/>
        </w:rPr>
        <w:t xml:space="preserve"> </w:t>
      </w:r>
      <w:r w:rsidR="009A2950" w:rsidRPr="00604D59">
        <w:rPr>
          <w:rFonts w:cs="Arial"/>
          <w:color w:val="000000" w:themeColor="text1"/>
          <w:sz w:val="22"/>
          <w:szCs w:val="22"/>
        </w:rPr>
        <w:t xml:space="preserve">are </w:t>
      </w:r>
      <w:r w:rsidRPr="00604D59">
        <w:rPr>
          <w:rFonts w:cs="Arial"/>
          <w:color w:val="000000" w:themeColor="text1"/>
          <w:sz w:val="22"/>
          <w:szCs w:val="22"/>
        </w:rPr>
        <w:t>for low carbon technologies that deliver community/household level results, e.g. biogas, household solar and micro-hydro power.</w:t>
      </w:r>
    </w:p>
    <w:p w14:paraId="53FD887E" w14:textId="7F9E4C92" w:rsidR="00470AC1" w:rsidRPr="00604D59" w:rsidRDefault="00754AA2" w:rsidP="00F309BE">
      <w:pPr>
        <w:pStyle w:val="ListParagraph"/>
        <w:numPr>
          <w:ilvl w:val="0"/>
          <w:numId w:val="1"/>
        </w:numPr>
        <w:jc w:val="both"/>
        <w:rPr>
          <w:rFonts w:cs="Arial"/>
          <w:b/>
          <w:color w:val="000000" w:themeColor="text1"/>
          <w:sz w:val="22"/>
          <w:szCs w:val="22"/>
        </w:rPr>
      </w:pPr>
      <w:r w:rsidRPr="00604D59">
        <w:rPr>
          <w:rFonts w:cs="Arial"/>
          <w:color w:val="000000" w:themeColor="text1"/>
          <w:sz w:val="22"/>
          <w:szCs w:val="22"/>
        </w:rPr>
        <w:t xml:space="preserve">Test </w:t>
      </w:r>
      <w:r w:rsidR="00A4015E" w:rsidRPr="00604D59">
        <w:rPr>
          <w:rFonts w:cs="Arial"/>
          <w:color w:val="000000" w:themeColor="text1"/>
          <w:sz w:val="22"/>
          <w:szCs w:val="22"/>
        </w:rPr>
        <w:t>a</w:t>
      </w:r>
      <w:r w:rsidR="0041540E" w:rsidRPr="00604D59">
        <w:rPr>
          <w:rFonts w:cs="Arial"/>
          <w:color w:val="000000" w:themeColor="text1"/>
          <w:sz w:val="22"/>
          <w:szCs w:val="22"/>
        </w:rPr>
        <w:t xml:space="preserve"> results-based approach, by paying for </w:t>
      </w:r>
      <w:r w:rsidR="00017B20">
        <w:rPr>
          <w:rFonts w:cs="Arial"/>
          <w:color w:val="000000" w:themeColor="text1"/>
          <w:sz w:val="22"/>
          <w:szCs w:val="22"/>
        </w:rPr>
        <w:t>C</w:t>
      </w:r>
      <w:r w:rsidR="0041540E" w:rsidRPr="00604D59">
        <w:rPr>
          <w:rFonts w:cs="Arial"/>
          <w:color w:val="000000" w:themeColor="text1"/>
          <w:sz w:val="22"/>
          <w:szCs w:val="22"/>
        </w:rPr>
        <w:t xml:space="preserve">ertified </w:t>
      </w:r>
      <w:r w:rsidR="00017B20">
        <w:rPr>
          <w:rFonts w:cs="Arial"/>
          <w:color w:val="000000" w:themeColor="text1"/>
          <w:sz w:val="22"/>
          <w:szCs w:val="22"/>
        </w:rPr>
        <w:t>E</w:t>
      </w:r>
      <w:r w:rsidR="0041540E" w:rsidRPr="00604D59">
        <w:rPr>
          <w:rFonts w:cs="Arial"/>
          <w:color w:val="000000" w:themeColor="text1"/>
          <w:sz w:val="22"/>
          <w:szCs w:val="22"/>
        </w:rPr>
        <w:t xml:space="preserve">missions </w:t>
      </w:r>
      <w:r w:rsidR="00017B20">
        <w:rPr>
          <w:rFonts w:cs="Arial"/>
          <w:color w:val="000000" w:themeColor="text1"/>
          <w:sz w:val="22"/>
          <w:szCs w:val="22"/>
        </w:rPr>
        <w:t>R</w:t>
      </w:r>
      <w:r w:rsidR="0041540E" w:rsidRPr="00604D59">
        <w:rPr>
          <w:rFonts w:cs="Arial"/>
          <w:color w:val="000000" w:themeColor="text1"/>
          <w:sz w:val="22"/>
          <w:szCs w:val="22"/>
        </w:rPr>
        <w:t>eductions</w:t>
      </w:r>
      <w:r w:rsidR="00017B20">
        <w:rPr>
          <w:rFonts w:cs="Arial"/>
          <w:color w:val="000000" w:themeColor="text1"/>
          <w:sz w:val="22"/>
          <w:szCs w:val="22"/>
        </w:rPr>
        <w:t xml:space="preserve"> (CERS)</w:t>
      </w:r>
      <w:r w:rsidR="0041540E" w:rsidRPr="00604D59">
        <w:rPr>
          <w:rFonts w:cs="Arial"/>
          <w:color w:val="000000" w:themeColor="text1"/>
          <w:sz w:val="22"/>
          <w:szCs w:val="22"/>
        </w:rPr>
        <w:t>, to support a portfolio of pilot projects in LDCs</w:t>
      </w:r>
      <w:r w:rsidR="003B3746">
        <w:rPr>
          <w:rFonts w:cs="Arial"/>
          <w:color w:val="000000" w:themeColor="text1"/>
          <w:sz w:val="22"/>
          <w:szCs w:val="22"/>
        </w:rPr>
        <w:t xml:space="preserve"> that are </w:t>
      </w:r>
      <w:r w:rsidR="008A2AFE" w:rsidRPr="00581E6D">
        <w:rPr>
          <w:rFonts w:cs="Arial"/>
          <w:sz w:val="22"/>
          <w:szCs w:val="22"/>
        </w:rPr>
        <w:t>innovative and</w:t>
      </w:r>
      <w:r w:rsidR="0041540E" w:rsidRPr="00581E6D">
        <w:rPr>
          <w:rFonts w:cs="Arial"/>
          <w:sz w:val="22"/>
          <w:szCs w:val="22"/>
        </w:rPr>
        <w:t xml:space="preserve"> </w:t>
      </w:r>
      <w:r w:rsidR="003B3746">
        <w:rPr>
          <w:rFonts w:cs="Arial"/>
          <w:sz w:val="22"/>
          <w:szCs w:val="22"/>
        </w:rPr>
        <w:t xml:space="preserve">offer </w:t>
      </w:r>
      <w:r w:rsidR="0041540E" w:rsidRPr="00581E6D">
        <w:rPr>
          <w:rFonts w:cs="Arial"/>
          <w:sz w:val="22"/>
          <w:szCs w:val="22"/>
        </w:rPr>
        <w:t xml:space="preserve">household and community level </w:t>
      </w:r>
      <w:r w:rsidR="003B3746">
        <w:rPr>
          <w:rFonts w:cs="Arial"/>
          <w:sz w:val="22"/>
          <w:szCs w:val="22"/>
        </w:rPr>
        <w:t xml:space="preserve">development </w:t>
      </w:r>
      <w:r w:rsidR="0041540E" w:rsidRPr="00581E6D">
        <w:rPr>
          <w:rFonts w:cs="Arial"/>
          <w:sz w:val="22"/>
          <w:szCs w:val="22"/>
        </w:rPr>
        <w:t>benefits</w:t>
      </w:r>
      <w:r w:rsidR="008A2AFE" w:rsidRPr="00581E6D">
        <w:rPr>
          <w:rFonts w:cs="Arial"/>
          <w:sz w:val="22"/>
          <w:szCs w:val="22"/>
        </w:rPr>
        <w:t>.</w:t>
      </w:r>
      <w:r w:rsidR="0041540E" w:rsidRPr="00581E6D">
        <w:rPr>
          <w:rFonts w:cs="Arial"/>
          <w:color w:val="000000" w:themeColor="text1"/>
          <w:sz w:val="22"/>
          <w:szCs w:val="22"/>
        </w:rPr>
        <w:t xml:space="preserve"> </w:t>
      </w:r>
    </w:p>
    <w:p w14:paraId="4201F9ED" w14:textId="3B89650A" w:rsidR="009A2950" w:rsidRPr="00604D59" w:rsidRDefault="008A2AFE" w:rsidP="00F309BE">
      <w:pPr>
        <w:pStyle w:val="ListParagraph"/>
        <w:numPr>
          <w:ilvl w:val="0"/>
          <w:numId w:val="1"/>
        </w:numPr>
        <w:jc w:val="both"/>
        <w:rPr>
          <w:rFonts w:cs="Arial"/>
          <w:b/>
          <w:color w:val="000000" w:themeColor="text1"/>
          <w:sz w:val="22"/>
          <w:szCs w:val="22"/>
        </w:rPr>
      </w:pPr>
      <w:r w:rsidRPr="00604D59">
        <w:rPr>
          <w:rFonts w:cs="Arial"/>
          <w:color w:val="000000"/>
          <w:sz w:val="22"/>
          <w:szCs w:val="22"/>
          <w:lang w:eastAsia="en-GB"/>
        </w:rPr>
        <w:t>Determin</w:t>
      </w:r>
      <w:r w:rsidR="000037FB" w:rsidRPr="00604D59">
        <w:rPr>
          <w:rFonts w:cs="Arial"/>
          <w:color w:val="000000"/>
          <w:sz w:val="22"/>
          <w:szCs w:val="22"/>
          <w:lang w:eastAsia="en-GB"/>
        </w:rPr>
        <w:t xml:space="preserve">e, through </w:t>
      </w:r>
      <w:r w:rsidRPr="00604D59">
        <w:rPr>
          <w:rFonts w:cs="Arial"/>
          <w:color w:val="000000"/>
          <w:sz w:val="22"/>
          <w:szCs w:val="22"/>
          <w:lang w:eastAsia="en-GB"/>
        </w:rPr>
        <w:t>investments</w:t>
      </w:r>
      <w:r w:rsidR="000037FB" w:rsidRPr="00604D59">
        <w:rPr>
          <w:rFonts w:cs="Arial"/>
          <w:color w:val="000000"/>
          <w:sz w:val="22"/>
          <w:szCs w:val="22"/>
          <w:lang w:eastAsia="en-GB"/>
        </w:rPr>
        <w:t>,</w:t>
      </w:r>
      <w:r w:rsidRPr="00604D59">
        <w:rPr>
          <w:rFonts w:cs="Arial"/>
          <w:color w:val="000000"/>
          <w:sz w:val="22"/>
          <w:szCs w:val="22"/>
          <w:lang w:eastAsia="en-GB"/>
        </w:rPr>
        <w:t xml:space="preserve"> whether and how carbon results-based financing can be used in the energy access sector, and share lessons learned internationally to inspire further scaling and replication</w:t>
      </w:r>
      <w:r w:rsidR="00604D59" w:rsidRPr="00604D59">
        <w:rPr>
          <w:rFonts w:cs="Arial"/>
          <w:color w:val="000000"/>
          <w:sz w:val="22"/>
          <w:szCs w:val="22"/>
          <w:lang w:eastAsia="en-GB"/>
        </w:rPr>
        <w:t>.</w:t>
      </w:r>
    </w:p>
    <w:p w14:paraId="35ECD5A6" w14:textId="7E9B01DA" w:rsidR="00644E98" w:rsidRPr="00A8765B" w:rsidRDefault="001D6CEE" w:rsidP="00644E98">
      <w:pPr>
        <w:pStyle w:val="ListParagraph"/>
        <w:numPr>
          <w:ilvl w:val="0"/>
          <w:numId w:val="1"/>
        </w:numPr>
        <w:jc w:val="both"/>
        <w:rPr>
          <w:rFonts w:cs="Arial"/>
          <w:b/>
          <w:color w:val="000000" w:themeColor="text1"/>
          <w:sz w:val="22"/>
          <w:szCs w:val="22"/>
        </w:rPr>
      </w:pPr>
      <w:r w:rsidRPr="00581E6D">
        <w:rPr>
          <w:rFonts w:cs="Arial"/>
          <w:color w:val="000000" w:themeColor="text1"/>
          <w:sz w:val="22"/>
          <w:szCs w:val="22"/>
        </w:rPr>
        <w:t>Share</w:t>
      </w:r>
      <w:r w:rsidR="00403EB0" w:rsidRPr="00581E6D">
        <w:rPr>
          <w:rFonts w:cs="Arial"/>
          <w:color w:val="000000" w:themeColor="text1"/>
          <w:sz w:val="22"/>
          <w:szCs w:val="22"/>
        </w:rPr>
        <w:t xml:space="preserve"> new methodologies</w:t>
      </w:r>
      <w:r w:rsidR="007D3B2E" w:rsidRPr="00581E6D">
        <w:rPr>
          <w:rFonts w:cs="Arial"/>
          <w:color w:val="000000" w:themeColor="text1"/>
          <w:sz w:val="22"/>
          <w:szCs w:val="22"/>
        </w:rPr>
        <w:t xml:space="preserve"> applicable to the LDC context, and their practical demonstration,</w:t>
      </w:r>
      <w:r w:rsidR="00403EB0" w:rsidRPr="00581E6D">
        <w:rPr>
          <w:rFonts w:cs="Arial"/>
          <w:color w:val="000000" w:themeColor="text1"/>
          <w:sz w:val="22"/>
          <w:szCs w:val="22"/>
        </w:rPr>
        <w:t xml:space="preserve"> to i</w:t>
      </w:r>
      <w:r w:rsidR="0041540E" w:rsidRPr="00581E6D">
        <w:rPr>
          <w:rFonts w:cs="Arial"/>
          <w:color w:val="000000" w:themeColor="text1"/>
          <w:sz w:val="22"/>
          <w:szCs w:val="22"/>
        </w:rPr>
        <w:t>nfluence the fut</w:t>
      </w:r>
      <w:r w:rsidR="00403EB0" w:rsidRPr="00581E6D">
        <w:rPr>
          <w:rFonts w:cs="Arial"/>
          <w:color w:val="000000" w:themeColor="text1"/>
          <w:sz w:val="22"/>
          <w:szCs w:val="22"/>
        </w:rPr>
        <w:t xml:space="preserve">ure international carbon market </w:t>
      </w:r>
      <w:r w:rsidR="0041540E" w:rsidRPr="00581E6D">
        <w:rPr>
          <w:rFonts w:cs="Arial"/>
          <w:color w:val="000000" w:themeColor="text1"/>
          <w:sz w:val="22"/>
          <w:szCs w:val="22"/>
        </w:rPr>
        <w:t xml:space="preserve">so that </w:t>
      </w:r>
      <w:r w:rsidR="007D3B2E" w:rsidRPr="00581E6D">
        <w:rPr>
          <w:rFonts w:cs="Arial"/>
          <w:color w:val="000000" w:themeColor="text1"/>
          <w:sz w:val="22"/>
          <w:szCs w:val="22"/>
        </w:rPr>
        <w:t xml:space="preserve">LDCs </w:t>
      </w:r>
      <w:r w:rsidR="0041540E" w:rsidRPr="00581E6D">
        <w:rPr>
          <w:rFonts w:cs="Arial"/>
          <w:color w:val="000000" w:themeColor="text1"/>
          <w:sz w:val="22"/>
          <w:szCs w:val="22"/>
        </w:rPr>
        <w:t xml:space="preserve">can receive a greater share of carbon finance that results </w:t>
      </w:r>
      <w:r w:rsidR="00403EB0" w:rsidRPr="00581E6D">
        <w:rPr>
          <w:rFonts w:cs="Arial"/>
          <w:color w:val="000000" w:themeColor="text1"/>
          <w:sz w:val="22"/>
          <w:szCs w:val="22"/>
        </w:rPr>
        <w:t xml:space="preserve">in </w:t>
      </w:r>
      <w:r w:rsidR="0041540E" w:rsidRPr="00581E6D">
        <w:rPr>
          <w:rFonts w:cs="Arial"/>
          <w:color w:val="000000" w:themeColor="text1"/>
          <w:sz w:val="22"/>
          <w:szCs w:val="22"/>
        </w:rPr>
        <w:t>reduced carbon emissions</w:t>
      </w:r>
      <w:r w:rsidR="00403EB0" w:rsidRPr="00581E6D">
        <w:rPr>
          <w:rFonts w:cs="Arial"/>
          <w:color w:val="000000" w:themeColor="text1"/>
          <w:sz w:val="22"/>
          <w:szCs w:val="22"/>
        </w:rPr>
        <w:t xml:space="preserve"> and </w:t>
      </w:r>
      <w:r w:rsidR="00A4015E" w:rsidRPr="00581E6D">
        <w:rPr>
          <w:rFonts w:cs="Arial"/>
          <w:color w:val="000000" w:themeColor="text1"/>
          <w:sz w:val="22"/>
          <w:szCs w:val="22"/>
        </w:rPr>
        <w:t xml:space="preserve">increased </w:t>
      </w:r>
      <w:r w:rsidR="00403EB0" w:rsidRPr="00581E6D">
        <w:rPr>
          <w:rFonts w:cs="Arial"/>
          <w:color w:val="000000" w:themeColor="text1"/>
          <w:sz w:val="22"/>
          <w:szCs w:val="22"/>
        </w:rPr>
        <w:t>development benefits</w:t>
      </w:r>
      <w:r w:rsidR="0041540E" w:rsidRPr="00581E6D">
        <w:rPr>
          <w:rFonts w:cs="Arial"/>
          <w:color w:val="000000" w:themeColor="text1"/>
          <w:sz w:val="22"/>
          <w:szCs w:val="22"/>
        </w:rPr>
        <w:t>.</w:t>
      </w:r>
    </w:p>
    <w:p w14:paraId="31D37C02" w14:textId="77777777" w:rsidR="00A8765B" w:rsidRDefault="00A8765B" w:rsidP="00A8765B">
      <w:pPr>
        <w:jc w:val="both"/>
        <w:rPr>
          <w:rFonts w:cs="Arial"/>
          <w:b/>
          <w:color w:val="000000" w:themeColor="text1"/>
          <w:sz w:val="22"/>
          <w:szCs w:val="22"/>
        </w:rPr>
      </w:pPr>
    </w:p>
    <w:p w14:paraId="0134A7D1" w14:textId="77777777" w:rsidR="00A8765B" w:rsidRDefault="00A8765B" w:rsidP="00A8765B">
      <w:pPr>
        <w:jc w:val="both"/>
        <w:rPr>
          <w:rFonts w:cs="Arial"/>
          <w:b/>
          <w:color w:val="000000" w:themeColor="text1"/>
          <w:sz w:val="22"/>
          <w:szCs w:val="22"/>
        </w:rPr>
      </w:pPr>
    </w:p>
    <w:p w14:paraId="6AC57042" w14:textId="77777777" w:rsidR="00A8765B" w:rsidRDefault="00A8765B" w:rsidP="00A8765B">
      <w:pPr>
        <w:jc w:val="both"/>
        <w:rPr>
          <w:rFonts w:cs="Arial"/>
          <w:b/>
          <w:color w:val="000000" w:themeColor="text1"/>
          <w:sz w:val="22"/>
          <w:szCs w:val="22"/>
        </w:rPr>
      </w:pPr>
    </w:p>
    <w:p w14:paraId="7C347108" w14:textId="77777777" w:rsidR="00A8765B" w:rsidRPr="00A8765B" w:rsidRDefault="00A8765B" w:rsidP="00A8765B">
      <w:pPr>
        <w:jc w:val="both"/>
        <w:rPr>
          <w:rFonts w:cs="Arial"/>
          <w:b/>
          <w:color w:val="000000" w:themeColor="text1"/>
          <w:sz w:val="22"/>
          <w:szCs w:val="22"/>
        </w:rPr>
      </w:pPr>
    </w:p>
    <w:p w14:paraId="59CD16B9" w14:textId="77777777" w:rsidR="00FA23BC" w:rsidRDefault="00FA23BC" w:rsidP="00644E98">
      <w:pPr>
        <w:jc w:val="both"/>
        <w:rPr>
          <w:rFonts w:cs="Arial"/>
          <w:b/>
          <w:color w:val="000000" w:themeColor="text1"/>
          <w:sz w:val="22"/>
          <w:szCs w:val="22"/>
        </w:rPr>
      </w:pPr>
    </w:p>
    <w:p w14:paraId="77F77A97" w14:textId="77777777" w:rsidR="00A449FC" w:rsidRPr="00581E6D" w:rsidRDefault="001E30A4" w:rsidP="00E81F52">
      <w:pPr>
        <w:pStyle w:val="Heading2"/>
        <w:pBdr>
          <w:top w:val="single" w:sz="4" w:space="1" w:color="auto"/>
          <w:left w:val="single" w:sz="4" w:space="4" w:color="auto"/>
          <w:bottom w:val="single" w:sz="4" w:space="1" w:color="auto"/>
          <w:right w:val="single" w:sz="4" w:space="4" w:color="auto"/>
        </w:pBdr>
        <w:shd w:val="clear" w:color="auto" w:fill="DBE5F1" w:themeFill="accent1" w:themeFillTint="33"/>
        <w:spacing w:before="0" w:after="0"/>
        <w:contextualSpacing/>
        <w:rPr>
          <w:b w:val="0"/>
          <w:i w:val="0"/>
          <w:color w:val="000000" w:themeColor="text1"/>
          <w:sz w:val="22"/>
          <w:szCs w:val="22"/>
        </w:rPr>
      </w:pPr>
      <w:r w:rsidRPr="00581E6D">
        <w:rPr>
          <w:i w:val="0"/>
          <w:color w:val="000000" w:themeColor="text1"/>
          <w:sz w:val="22"/>
          <w:szCs w:val="22"/>
        </w:rPr>
        <w:lastRenderedPageBreak/>
        <w:t>B</w:t>
      </w:r>
      <w:r w:rsidR="00A449FC" w:rsidRPr="00581E6D">
        <w:rPr>
          <w:i w:val="0"/>
          <w:color w:val="000000" w:themeColor="text1"/>
          <w:sz w:val="22"/>
          <w:szCs w:val="22"/>
        </w:rPr>
        <w:t xml:space="preserve">: </w:t>
      </w:r>
      <w:r w:rsidR="00702FB2" w:rsidRPr="00581E6D">
        <w:rPr>
          <w:i w:val="0"/>
          <w:color w:val="000000" w:themeColor="text1"/>
          <w:sz w:val="22"/>
          <w:szCs w:val="22"/>
        </w:rPr>
        <w:t>P</w:t>
      </w:r>
      <w:r w:rsidR="00144C58" w:rsidRPr="00581E6D">
        <w:rPr>
          <w:i w:val="0"/>
          <w:color w:val="000000" w:themeColor="text1"/>
          <w:sz w:val="22"/>
          <w:szCs w:val="22"/>
        </w:rPr>
        <w:t xml:space="preserve">ERFORMANCE AND CONCLUSIONS </w:t>
      </w:r>
    </w:p>
    <w:p w14:paraId="6C26F3A8" w14:textId="77777777" w:rsidR="00A22568" w:rsidRPr="00581E6D" w:rsidRDefault="004E5A33" w:rsidP="002E723C">
      <w:pPr>
        <w:pStyle w:val="Heading3"/>
        <w:rPr>
          <w:rFonts w:ascii="Arial" w:hAnsi="Arial" w:cs="Arial"/>
          <w:color w:val="000000" w:themeColor="text1"/>
          <w:sz w:val="22"/>
          <w:szCs w:val="22"/>
        </w:rPr>
      </w:pPr>
      <w:r w:rsidRPr="00581E6D">
        <w:rPr>
          <w:rFonts w:ascii="Arial" w:hAnsi="Arial" w:cs="Arial"/>
          <w:color w:val="000000" w:themeColor="text1"/>
          <w:sz w:val="22"/>
          <w:szCs w:val="22"/>
        </w:rPr>
        <w:t>Annual O</w:t>
      </w:r>
      <w:r w:rsidR="00144C58" w:rsidRPr="00581E6D">
        <w:rPr>
          <w:rFonts w:ascii="Arial" w:hAnsi="Arial" w:cs="Arial"/>
          <w:color w:val="000000" w:themeColor="text1"/>
          <w:sz w:val="22"/>
          <w:szCs w:val="22"/>
        </w:rPr>
        <w:t xml:space="preserve">utcome </w:t>
      </w:r>
      <w:r w:rsidR="004B5652" w:rsidRPr="00581E6D">
        <w:rPr>
          <w:rFonts w:ascii="Arial" w:hAnsi="Arial" w:cs="Arial"/>
          <w:color w:val="000000" w:themeColor="text1"/>
          <w:sz w:val="22"/>
          <w:szCs w:val="22"/>
        </w:rPr>
        <w:t>a</w:t>
      </w:r>
      <w:r w:rsidR="00A22568" w:rsidRPr="00581E6D">
        <w:rPr>
          <w:rFonts w:ascii="Arial" w:hAnsi="Arial" w:cs="Arial"/>
          <w:color w:val="000000" w:themeColor="text1"/>
          <w:sz w:val="22"/>
          <w:szCs w:val="22"/>
        </w:rPr>
        <w:t>ssessment</w:t>
      </w:r>
      <w:r w:rsidR="00C82243" w:rsidRPr="00581E6D">
        <w:rPr>
          <w:rFonts w:ascii="Arial" w:hAnsi="Arial" w:cs="Arial"/>
          <w:color w:val="000000" w:themeColor="text1"/>
          <w:sz w:val="22"/>
          <w:szCs w:val="22"/>
        </w:rPr>
        <w:t xml:space="preserve">: </w:t>
      </w:r>
    </w:p>
    <w:p w14:paraId="2D5E572A" w14:textId="77777777" w:rsidR="00A22568" w:rsidRPr="00581E6D" w:rsidRDefault="00A22568" w:rsidP="00A337D7">
      <w:pPr>
        <w:jc w:val="both"/>
        <w:rPr>
          <w:rFonts w:cs="Arial"/>
          <w:color w:val="000000" w:themeColor="text1"/>
          <w:sz w:val="22"/>
          <w:szCs w:val="22"/>
        </w:rPr>
      </w:pPr>
    </w:p>
    <w:p w14:paraId="1742A5BA" w14:textId="2A476851" w:rsidR="00C23D92" w:rsidRDefault="005F0FD0" w:rsidP="00C23D92">
      <w:pPr>
        <w:jc w:val="both"/>
        <w:rPr>
          <w:rFonts w:cs="Arial"/>
          <w:color w:val="000000" w:themeColor="text1"/>
          <w:sz w:val="22"/>
          <w:szCs w:val="22"/>
        </w:rPr>
      </w:pPr>
      <w:r w:rsidRPr="00581E6D">
        <w:rPr>
          <w:rFonts w:cs="Arial"/>
          <w:color w:val="000000" w:themeColor="text1"/>
          <w:sz w:val="22"/>
          <w:szCs w:val="22"/>
        </w:rPr>
        <w:t xml:space="preserve">In order to understand whether </w:t>
      </w:r>
      <w:r w:rsidR="00512DCC">
        <w:rPr>
          <w:rFonts w:cs="Arial"/>
          <w:color w:val="000000" w:themeColor="text1"/>
          <w:sz w:val="22"/>
          <w:szCs w:val="22"/>
        </w:rPr>
        <w:t>Ci-Dev</w:t>
      </w:r>
      <w:r w:rsidRPr="00581E6D">
        <w:rPr>
          <w:rFonts w:cs="Arial"/>
          <w:color w:val="000000" w:themeColor="text1"/>
          <w:sz w:val="22"/>
          <w:szCs w:val="22"/>
        </w:rPr>
        <w:t xml:space="preserve"> is </w:t>
      </w:r>
      <w:r w:rsidR="00D52876" w:rsidRPr="00581E6D">
        <w:rPr>
          <w:rFonts w:cs="Arial"/>
          <w:color w:val="000000" w:themeColor="text1"/>
          <w:sz w:val="22"/>
          <w:szCs w:val="22"/>
        </w:rPr>
        <w:t xml:space="preserve">likely to achieve its expected </w:t>
      </w:r>
      <w:r w:rsidR="003B3746">
        <w:rPr>
          <w:rFonts w:cs="Arial"/>
          <w:color w:val="000000" w:themeColor="text1"/>
          <w:sz w:val="22"/>
          <w:szCs w:val="22"/>
        </w:rPr>
        <w:t>o</w:t>
      </w:r>
      <w:r w:rsidR="00D52876" w:rsidRPr="00581E6D">
        <w:rPr>
          <w:rFonts w:cs="Arial"/>
          <w:color w:val="000000" w:themeColor="text1"/>
          <w:sz w:val="22"/>
          <w:szCs w:val="22"/>
        </w:rPr>
        <w:t xml:space="preserve">utcome and wider </w:t>
      </w:r>
      <w:r w:rsidR="003B3746">
        <w:rPr>
          <w:rFonts w:cs="Arial"/>
          <w:color w:val="000000" w:themeColor="text1"/>
          <w:sz w:val="22"/>
          <w:szCs w:val="22"/>
        </w:rPr>
        <w:t>i</w:t>
      </w:r>
      <w:r w:rsidRPr="00581E6D">
        <w:rPr>
          <w:rFonts w:cs="Arial"/>
          <w:color w:val="000000" w:themeColor="text1"/>
          <w:sz w:val="22"/>
          <w:szCs w:val="22"/>
        </w:rPr>
        <w:t xml:space="preserve">mpact, a series of </w:t>
      </w:r>
      <w:r w:rsidR="00663CA6">
        <w:rPr>
          <w:rFonts w:cs="Arial"/>
          <w:color w:val="000000" w:themeColor="text1"/>
          <w:sz w:val="22"/>
          <w:szCs w:val="22"/>
        </w:rPr>
        <w:t>indicators</w:t>
      </w:r>
      <w:r w:rsidRPr="00581E6D">
        <w:rPr>
          <w:rFonts w:cs="Arial"/>
          <w:color w:val="000000" w:themeColor="text1"/>
          <w:sz w:val="22"/>
          <w:szCs w:val="22"/>
        </w:rPr>
        <w:t xml:space="preserve"> are tracked using </w:t>
      </w:r>
      <w:r w:rsidR="007F4D82" w:rsidRPr="00581E6D">
        <w:rPr>
          <w:rFonts w:cs="Arial"/>
          <w:color w:val="000000" w:themeColor="text1"/>
          <w:sz w:val="22"/>
          <w:szCs w:val="22"/>
        </w:rPr>
        <w:t>measurable</w:t>
      </w:r>
      <w:r w:rsidRPr="00581E6D">
        <w:rPr>
          <w:rFonts w:cs="Arial"/>
          <w:color w:val="000000" w:themeColor="text1"/>
          <w:sz w:val="22"/>
          <w:szCs w:val="22"/>
        </w:rPr>
        <w:t xml:space="preserve"> indicators</w:t>
      </w:r>
      <w:r w:rsidR="00BF0A34">
        <w:rPr>
          <w:rFonts w:cs="Arial"/>
          <w:color w:val="000000" w:themeColor="text1"/>
          <w:sz w:val="22"/>
          <w:szCs w:val="22"/>
        </w:rPr>
        <w:t xml:space="preserve"> in the Logframe</w:t>
      </w:r>
      <w:r w:rsidR="00FA23BC">
        <w:rPr>
          <w:rFonts w:cs="Arial"/>
          <w:color w:val="000000" w:themeColor="text1"/>
          <w:sz w:val="22"/>
          <w:szCs w:val="22"/>
        </w:rPr>
        <w:t xml:space="preserve"> (link above)</w:t>
      </w:r>
      <w:r w:rsidRPr="00581E6D">
        <w:rPr>
          <w:rFonts w:cs="Arial"/>
          <w:color w:val="000000" w:themeColor="text1"/>
          <w:sz w:val="22"/>
          <w:szCs w:val="22"/>
        </w:rPr>
        <w:t xml:space="preserve">. The progress made </w:t>
      </w:r>
      <w:r w:rsidR="00663CA6">
        <w:rPr>
          <w:rFonts w:cs="Arial"/>
          <w:color w:val="000000" w:themeColor="text1"/>
          <w:sz w:val="22"/>
          <w:szCs w:val="22"/>
        </w:rPr>
        <w:t xml:space="preserve">towards </w:t>
      </w:r>
      <w:r w:rsidRPr="00581E6D">
        <w:rPr>
          <w:rFonts w:cs="Arial"/>
          <w:color w:val="000000" w:themeColor="text1"/>
          <w:sz w:val="22"/>
          <w:szCs w:val="22"/>
        </w:rPr>
        <w:t>these</w:t>
      </w:r>
      <w:r w:rsidR="00537AD7">
        <w:rPr>
          <w:rFonts w:cs="Arial"/>
          <w:color w:val="000000" w:themeColor="text1"/>
          <w:sz w:val="22"/>
          <w:szCs w:val="22"/>
        </w:rPr>
        <w:t xml:space="preserve"> </w:t>
      </w:r>
      <w:r w:rsidRPr="00581E6D">
        <w:rPr>
          <w:rFonts w:cs="Arial"/>
          <w:color w:val="000000" w:themeColor="text1"/>
          <w:sz w:val="22"/>
          <w:szCs w:val="22"/>
        </w:rPr>
        <w:t xml:space="preserve">allows us to assess whether </w:t>
      </w:r>
      <w:r w:rsidR="00512DCC">
        <w:rPr>
          <w:rFonts w:cs="Arial"/>
          <w:color w:val="000000" w:themeColor="text1"/>
          <w:sz w:val="22"/>
          <w:szCs w:val="22"/>
        </w:rPr>
        <w:t>Ci-Dev</w:t>
      </w:r>
      <w:r w:rsidRPr="00581E6D">
        <w:rPr>
          <w:rFonts w:cs="Arial"/>
          <w:color w:val="000000" w:themeColor="text1"/>
          <w:sz w:val="22"/>
          <w:szCs w:val="22"/>
        </w:rPr>
        <w:t xml:space="preserve"> is on track. </w:t>
      </w:r>
    </w:p>
    <w:p w14:paraId="3EC7EC98" w14:textId="16CC612F" w:rsidR="006F6725" w:rsidRDefault="006F6725" w:rsidP="00C23D92">
      <w:pPr>
        <w:jc w:val="both"/>
        <w:rPr>
          <w:rFonts w:cs="Arial"/>
          <w:color w:val="000000" w:themeColor="text1"/>
          <w:sz w:val="22"/>
          <w:szCs w:val="22"/>
        </w:rPr>
      </w:pPr>
    </w:p>
    <w:p w14:paraId="39B8F302" w14:textId="1C3947D9" w:rsidR="006F6725" w:rsidRDefault="006F6725" w:rsidP="00C23D92">
      <w:pPr>
        <w:jc w:val="both"/>
        <w:rPr>
          <w:rFonts w:cs="Arial"/>
          <w:color w:val="000000" w:themeColor="text1"/>
          <w:sz w:val="22"/>
          <w:szCs w:val="22"/>
        </w:rPr>
      </w:pPr>
      <w:r>
        <w:rPr>
          <w:rFonts w:cs="Arial"/>
          <w:color w:val="000000" w:themeColor="text1"/>
          <w:sz w:val="22"/>
          <w:szCs w:val="22"/>
        </w:rPr>
        <w:t xml:space="preserve">As noted above, the UK was unable to </w:t>
      </w:r>
      <w:r w:rsidR="00612E96">
        <w:rPr>
          <w:rFonts w:cs="Arial"/>
          <w:color w:val="000000" w:themeColor="text1"/>
          <w:sz w:val="22"/>
          <w:szCs w:val="22"/>
        </w:rPr>
        <w:t xml:space="preserve">commit funds to </w:t>
      </w:r>
      <w:r>
        <w:rPr>
          <w:rFonts w:cs="Arial"/>
          <w:color w:val="000000" w:themeColor="text1"/>
          <w:sz w:val="22"/>
          <w:szCs w:val="22"/>
        </w:rPr>
        <w:t>the 13</w:t>
      </w:r>
      <w:r w:rsidRPr="006F6725">
        <w:rPr>
          <w:rFonts w:cs="Arial"/>
          <w:color w:val="000000" w:themeColor="text1"/>
          <w:sz w:val="22"/>
          <w:szCs w:val="22"/>
          <w:vertAlign w:val="superscript"/>
        </w:rPr>
        <w:t>th</w:t>
      </w:r>
      <w:r>
        <w:rPr>
          <w:rFonts w:cs="Arial"/>
          <w:color w:val="000000" w:themeColor="text1"/>
          <w:sz w:val="22"/>
          <w:szCs w:val="22"/>
        </w:rPr>
        <w:t xml:space="preserve"> and final </w:t>
      </w:r>
      <w:r w:rsidR="00D11C9E">
        <w:rPr>
          <w:rFonts w:cs="Arial"/>
          <w:color w:val="000000" w:themeColor="text1"/>
          <w:sz w:val="22"/>
          <w:szCs w:val="22"/>
        </w:rPr>
        <w:t xml:space="preserve">commercial agreement </w:t>
      </w:r>
      <w:r w:rsidR="00866AD5">
        <w:rPr>
          <w:rFonts w:cs="Arial"/>
          <w:color w:val="000000" w:themeColor="text1"/>
          <w:sz w:val="22"/>
          <w:szCs w:val="22"/>
        </w:rPr>
        <w:t xml:space="preserve">(known as an </w:t>
      </w:r>
      <w:r>
        <w:rPr>
          <w:rFonts w:cs="Arial"/>
          <w:color w:val="000000" w:themeColor="text1"/>
          <w:sz w:val="22"/>
          <w:szCs w:val="22"/>
        </w:rPr>
        <w:t>ERPA</w:t>
      </w:r>
      <w:r w:rsidR="00866AD5">
        <w:rPr>
          <w:rFonts w:cs="Arial"/>
          <w:color w:val="000000" w:themeColor="text1"/>
          <w:sz w:val="22"/>
          <w:szCs w:val="22"/>
        </w:rPr>
        <w:t>)</w:t>
      </w:r>
      <w:r>
        <w:rPr>
          <w:rFonts w:cs="Arial"/>
          <w:color w:val="000000" w:themeColor="text1"/>
          <w:sz w:val="22"/>
          <w:szCs w:val="22"/>
        </w:rPr>
        <w:t xml:space="preserve"> </w:t>
      </w:r>
      <w:r w:rsidR="00866AD5">
        <w:rPr>
          <w:rFonts w:cs="Arial"/>
          <w:color w:val="000000" w:themeColor="text1"/>
          <w:sz w:val="22"/>
          <w:szCs w:val="22"/>
        </w:rPr>
        <w:t xml:space="preserve">for a </w:t>
      </w:r>
      <w:r>
        <w:rPr>
          <w:rFonts w:cs="Arial"/>
          <w:color w:val="000000" w:themeColor="text1"/>
          <w:sz w:val="22"/>
          <w:szCs w:val="22"/>
        </w:rPr>
        <w:t>Cookstoves</w:t>
      </w:r>
      <w:r w:rsidR="00866AD5">
        <w:rPr>
          <w:rFonts w:cs="Arial"/>
          <w:color w:val="000000" w:themeColor="text1"/>
          <w:sz w:val="22"/>
          <w:szCs w:val="22"/>
        </w:rPr>
        <w:t xml:space="preserve"> project in Lao PDR,</w:t>
      </w:r>
      <w:r>
        <w:rPr>
          <w:rFonts w:cs="Arial"/>
          <w:color w:val="000000" w:themeColor="text1"/>
          <w:sz w:val="22"/>
          <w:szCs w:val="22"/>
        </w:rPr>
        <w:t xml:space="preserve"> because its share of the Carbon Fund, which is used to purchase emission reductions, was reduced by changes in the fore</w:t>
      </w:r>
      <w:r w:rsidR="006077ED">
        <w:rPr>
          <w:rFonts w:cs="Arial"/>
          <w:color w:val="000000" w:themeColor="text1"/>
          <w:sz w:val="22"/>
          <w:szCs w:val="22"/>
        </w:rPr>
        <w:t>ign e</w:t>
      </w:r>
      <w:r>
        <w:rPr>
          <w:rFonts w:cs="Arial"/>
          <w:color w:val="000000" w:themeColor="text1"/>
          <w:sz w:val="22"/>
          <w:szCs w:val="22"/>
        </w:rPr>
        <w:t>x</w:t>
      </w:r>
      <w:r w:rsidR="006077ED">
        <w:rPr>
          <w:rFonts w:cs="Arial"/>
          <w:color w:val="000000" w:themeColor="text1"/>
          <w:sz w:val="22"/>
          <w:szCs w:val="22"/>
        </w:rPr>
        <w:t>change</w:t>
      </w:r>
      <w:r>
        <w:rPr>
          <w:rFonts w:cs="Arial"/>
          <w:color w:val="000000" w:themeColor="text1"/>
          <w:sz w:val="22"/>
          <w:szCs w:val="22"/>
        </w:rPr>
        <w:t xml:space="preserve"> rate after the UK confirmed its support in 2013. However the UK has still supported the project through the Readiness Fund, which has helped project and methodology development and capacity building</w:t>
      </w:r>
      <w:r w:rsidR="00082C32">
        <w:rPr>
          <w:rFonts w:cs="Arial"/>
          <w:color w:val="000000" w:themeColor="text1"/>
          <w:sz w:val="22"/>
          <w:szCs w:val="22"/>
        </w:rPr>
        <w:t xml:space="preserve"> and so is likely to have had an effect on results</w:t>
      </w:r>
      <w:r>
        <w:rPr>
          <w:rFonts w:cs="Arial"/>
          <w:color w:val="000000" w:themeColor="text1"/>
          <w:sz w:val="22"/>
          <w:szCs w:val="22"/>
        </w:rPr>
        <w:t xml:space="preserve">. In agreement with BEIS analysts and the Trustee, we will therefore attribute </w:t>
      </w:r>
      <w:r w:rsidR="00082C32">
        <w:rPr>
          <w:rFonts w:cs="Arial"/>
          <w:color w:val="000000" w:themeColor="text1"/>
          <w:sz w:val="22"/>
          <w:szCs w:val="22"/>
        </w:rPr>
        <w:t>results</w:t>
      </w:r>
      <w:r w:rsidR="00EA6322">
        <w:rPr>
          <w:rFonts w:cs="Arial"/>
          <w:color w:val="000000" w:themeColor="text1"/>
          <w:sz w:val="22"/>
          <w:szCs w:val="22"/>
        </w:rPr>
        <w:t xml:space="preserve"> for this project</w:t>
      </w:r>
      <w:r w:rsidR="00082C32">
        <w:rPr>
          <w:rFonts w:cs="Arial"/>
          <w:color w:val="000000" w:themeColor="text1"/>
          <w:sz w:val="22"/>
          <w:szCs w:val="22"/>
        </w:rPr>
        <w:t xml:space="preserve"> from KPIs 11 and 12 to UK support, but not KPIs 2, 6 and 7, </w:t>
      </w:r>
      <w:r w:rsidR="0073242F">
        <w:rPr>
          <w:rFonts w:cs="Arial"/>
          <w:color w:val="000000" w:themeColor="text1"/>
          <w:sz w:val="22"/>
          <w:szCs w:val="22"/>
        </w:rPr>
        <w:t xml:space="preserve">where we judge that results are more closely associated with Carbon Fund support. </w:t>
      </w:r>
    </w:p>
    <w:p w14:paraId="3719F61D" w14:textId="7A0395C4" w:rsidR="0079324B" w:rsidRDefault="0079324B" w:rsidP="00C23D92">
      <w:pPr>
        <w:jc w:val="both"/>
        <w:rPr>
          <w:rFonts w:cs="Arial"/>
          <w:color w:val="000000" w:themeColor="text1"/>
          <w:sz w:val="22"/>
          <w:szCs w:val="22"/>
        </w:rPr>
      </w:pPr>
    </w:p>
    <w:p w14:paraId="76957B3B" w14:textId="329A179E" w:rsidR="0079324B" w:rsidRDefault="0079324B" w:rsidP="00C23D92">
      <w:pPr>
        <w:jc w:val="both"/>
        <w:rPr>
          <w:rFonts w:cs="Arial"/>
          <w:color w:val="000000" w:themeColor="text1"/>
          <w:sz w:val="22"/>
          <w:szCs w:val="22"/>
        </w:rPr>
      </w:pPr>
      <w:r>
        <w:rPr>
          <w:rFonts w:cs="Arial"/>
          <w:color w:val="000000" w:themeColor="text1"/>
          <w:sz w:val="22"/>
          <w:szCs w:val="22"/>
        </w:rPr>
        <w:t xml:space="preserve">Finally, figures from </w:t>
      </w:r>
      <w:r w:rsidR="00FE3CB2">
        <w:rPr>
          <w:rFonts w:cs="Arial"/>
          <w:color w:val="000000" w:themeColor="text1"/>
          <w:sz w:val="22"/>
          <w:szCs w:val="22"/>
        </w:rPr>
        <w:t>halted</w:t>
      </w:r>
      <w:r>
        <w:rPr>
          <w:rFonts w:cs="Arial"/>
          <w:color w:val="000000" w:themeColor="text1"/>
          <w:sz w:val="22"/>
          <w:szCs w:val="22"/>
        </w:rPr>
        <w:t xml:space="preserve"> projects (Kenya Simgas, and Rwanda Inyenyeri) and Rwanda Delagua, which is struggling, have been removed from lifetime projections below</w:t>
      </w:r>
      <w:r w:rsidR="00D024E6">
        <w:rPr>
          <w:rFonts w:cs="Arial"/>
          <w:color w:val="000000" w:themeColor="text1"/>
          <w:sz w:val="22"/>
          <w:szCs w:val="22"/>
        </w:rPr>
        <w:t xml:space="preserve">. If and when replacement signatories are found, or </w:t>
      </w:r>
      <w:r w:rsidR="00CB2EAE">
        <w:rPr>
          <w:rFonts w:cs="Arial"/>
          <w:color w:val="000000" w:themeColor="text1"/>
          <w:sz w:val="22"/>
          <w:szCs w:val="22"/>
        </w:rPr>
        <w:t xml:space="preserve">agreements are amended, the projected results will be added back to these forecasts. </w:t>
      </w:r>
    </w:p>
    <w:p w14:paraId="72DC7E46" w14:textId="77777777" w:rsidR="00C23D92" w:rsidRDefault="00C23D92" w:rsidP="00C23D92">
      <w:pPr>
        <w:jc w:val="both"/>
        <w:rPr>
          <w:rFonts w:cs="Arial"/>
          <w:color w:val="000000" w:themeColor="text1"/>
          <w:sz w:val="22"/>
          <w:szCs w:val="22"/>
        </w:rPr>
      </w:pPr>
    </w:p>
    <w:p w14:paraId="15A91AEE" w14:textId="1DA3A3ED" w:rsidR="005F0FD0" w:rsidRPr="003B3746" w:rsidRDefault="005F0FD0" w:rsidP="00A337D7">
      <w:pPr>
        <w:jc w:val="both"/>
        <w:rPr>
          <w:rFonts w:cs="Arial"/>
          <w:color w:val="000000" w:themeColor="text1"/>
          <w:sz w:val="22"/>
          <w:szCs w:val="22"/>
        </w:rPr>
      </w:pPr>
      <w:r w:rsidRPr="003B3746">
        <w:rPr>
          <w:rFonts w:cs="Arial"/>
          <w:color w:val="000000" w:themeColor="text1"/>
          <w:sz w:val="22"/>
          <w:szCs w:val="22"/>
        </w:rPr>
        <w:t xml:space="preserve">Progress made </w:t>
      </w:r>
      <w:r w:rsidR="003901D6">
        <w:rPr>
          <w:rFonts w:cs="Arial"/>
          <w:color w:val="000000" w:themeColor="text1"/>
          <w:sz w:val="22"/>
          <w:szCs w:val="22"/>
        </w:rPr>
        <w:t xml:space="preserve">towards outcomes </w:t>
      </w:r>
      <w:r w:rsidRPr="003B3746">
        <w:rPr>
          <w:rFonts w:cs="Arial"/>
          <w:color w:val="000000" w:themeColor="text1"/>
          <w:sz w:val="22"/>
          <w:szCs w:val="22"/>
        </w:rPr>
        <w:t>in the period covered by this Annual</w:t>
      </w:r>
      <w:r w:rsidR="00224D1C" w:rsidRPr="003B3746">
        <w:rPr>
          <w:rFonts w:cs="Arial"/>
          <w:color w:val="000000" w:themeColor="text1"/>
          <w:sz w:val="22"/>
          <w:szCs w:val="22"/>
        </w:rPr>
        <w:t xml:space="preserve"> Review (</w:t>
      </w:r>
      <w:r w:rsidR="00803327" w:rsidRPr="003B3746">
        <w:rPr>
          <w:rFonts w:cs="Arial"/>
          <w:color w:val="000000" w:themeColor="text1"/>
          <w:sz w:val="22"/>
          <w:szCs w:val="22"/>
        </w:rPr>
        <w:t>1 Jan 1</w:t>
      </w:r>
      <w:r w:rsidR="005833D6" w:rsidRPr="003B3746">
        <w:rPr>
          <w:rFonts w:cs="Arial"/>
          <w:color w:val="000000" w:themeColor="text1"/>
          <w:sz w:val="22"/>
          <w:szCs w:val="22"/>
        </w:rPr>
        <w:t>9</w:t>
      </w:r>
      <w:r w:rsidR="00803327" w:rsidRPr="003B3746">
        <w:rPr>
          <w:rFonts w:cs="Arial"/>
          <w:color w:val="000000" w:themeColor="text1"/>
          <w:sz w:val="22"/>
          <w:szCs w:val="22"/>
        </w:rPr>
        <w:t xml:space="preserve"> – 31 Dec </w:t>
      </w:r>
      <w:r w:rsidR="001A1101" w:rsidRPr="003B3746">
        <w:rPr>
          <w:rFonts w:cs="Arial"/>
          <w:color w:val="000000" w:themeColor="text1"/>
          <w:sz w:val="22"/>
          <w:szCs w:val="22"/>
        </w:rPr>
        <w:t>19</w:t>
      </w:r>
      <w:r w:rsidRPr="003B3746">
        <w:rPr>
          <w:rFonts w:cs="Arial"/>
          <w:color w:val="000000" w:themeColor="text1"/>
          <w:sz w:val="22"/>
          <w:szCs w:val="22"/>
        </w:rPr>
        <w:t xml:space="preserve">) has </w:t>
      </w:r>
      <w:r w:rsidR="00803327" w:rsidRPr="003B3746">
        <w:rPr>
          <w:rFonts w:cs="Arial"/>
          <w:color w:val="000000" w:themeColor="text1"/>
          <w:sz w:val="22"/>
          <w:szCs w:val="22"/>
        </w:rPr>
        <w:t xml:space="preserve">generally </w:t>
      </w:r>
      <w:r w:rsidRPr="003B3746">
        <w:rPr>
          <w:rFonts w:cs="Arial"/>
          <w:color w:val="000000" w:themeColor="text1"/>
          <w:sz w:val="22"/>
          <w:szCs w:val="22"/>
        </w:rPr>
        <w:t xml:space="preserve">been positive </w:t>
      </w:r>
      <w:r w:rsidR="00803327" w:rsidRPr="003B3746">
        <w:rPr>
          <w:rFonts w:cs="Arial"/>
          <w:color w:val="000000" w:themeColor="text1"/>
          <w:sz w:val="22"/>
          <w:szCs w:val="22"/>
        </w:rPr>
        <w:t xml:space="preserve">and helped to achieve the </w:t>
      </w:r>
      <w:r w:rsidR="003B3746" w:rsidRPr="003B3746">
        <w:rPr>
          <w:rFonts w:cs="Arial"/>
          <w:color w:val="000000" w:themeColor="text1"/>
          <w:sz w:val="22"/>
          <w:szCs w:val="22"/>
        </w:rPr>
        <w:t>o</w:t>
      </w:r>
      <w:r w:rsidRPr="003B3746">
        <w:rPr>
          <w:rFonts w:cs="Arial"/>
          <w:color w:val="000000" w:themeColor="text1"/>
          <w:sz w:val="22"/>
          <w:szCs w:val="22"/>
        </w:rPr>
        <w:t>utcome of ‘</w:t>
      </w:r>
      <w:r w:rsidR="000D00CB" w:rsidRPr="003B3746">
        <w:rPr>
          <w:color w:val="000000" w:themeColor="text1"/>
          <w:sz w:val="22"/>
          <w:szCs w:val="22"/>
          <w:lang w:eastAsia="en-GB"/>
        </w:rPr>
        <w:t xml:space="preserve">Increased carbon finance flows to poor countries for low carbon energy and other poverty reducing </w:t>
      </w:r>
      <w:r w:rsidR="007F4D82" w:rsidRPr="003B3746">
        <w:rPr>
          <w:color w:val="000000" w:themeColor="text1"/>
          <w:sz w:val="22"/>
          <w:szCs w:val="22"/>
          <w:lang w:eastAsia="en-GB"/>
        </w:rPr>
        <w:t>technologies</w:t>
      </w:r>
      <w:r w:rsidR="000D00CB" w:rsidRPr="003B3746">
        <w:rPr>
          <w:color w:val="000000" w:themeColor="text1"/>
          <w:sz w:val="22"/>
          <w:szCs w:val="22"/>
          <w:lang w:eastAsia="en-GB"/>
        </w:rPr>
        <w:t xml:space="preserve">. </w:t>
      </w:r>
      <w:r w:rsidR="00706D78" w:rsidRPr="003B3746">
        <w:rPr>
          <w:rFonts w:cs="Arial"/>
          <w:color w:val="000000" w:themeColor="text1"/>
          <w:sz w:val="22"/>
          <w:szCs w:val="22"/>
        </w:rPr>
        <w:t>To score this performance we use five</w:t>
      </w:r>
      <w:r w:rsidR="00BA286C" w:rsidRPr="003B3746">
        <w:rPr>
          <w:rFonts w:cs="Arial"/>
          <w:color w:val="000000" w:themeColor="text1"/>
          <w:sz w:val="22"/>
          <w:szCs w:val="22"/>
        </w:rPr>
        <w:t xml:space="preserve"> quantitative indicators</w:t>
      </w:r>
      <w:r w:rsidR="00176E3C" w:rsidRPr="003B3746">
        <w:rPr>
          <w:rFonts w:cs="Arial"/>
          <w:color w:val="000000" w:themeColor="text1"/>
          <w:sz w:val="22"/>
          <w:szCs w:val="22"/>
        </w:rPr>
        <w:t>, drawn from the group of ICF Key Performance Indicators (KPIs)</w:t>
      </w:r>
      <w:r w:rsidR="003E3217" w:rsidRPr="003B3746">
        <w:rPr>
          <w:rFonts w:cs="Arial"/>
          <w:color w:val="000000" w:themeColor="text1"/>
          <w:sz w:val="22"/>
          <w:szCs w:val="22"/>
        </w:rPr>
        <w:t>:</w:t>
      </w:r>
    </w:p>
    <w:p w14:paraId="137AD7F5" w14:textId="77777777" w:rsidR="00651588" w:rsidRPr="00581E6D" w:rsidRDefault="00651588" w:rsidP="00E81F52">
      <w:pPr>
        <w:rPr>
          <w:rFonts w:cs="Arial"/>
          <w:i/>
          <w:color w:val="000000" w:themeColor="text1"/>
          <w:sz w:val="22"/>
          <w:szCs w:val="22"/>
        </w:rPr>
      </w:pPr>
    </w:p>
    <w:tbl>
      <w:tblPr>
        <w:tblStyle w:val="TableGrid"/>
        <w:tblW w:w="0" w:type="auto"/>
        <w:tblInd w:w="108" w:type="dxa"/>
        <w:tblLook w:val="04A0" w:firstRow="1" w:lastRow="0" w:firstColumn="1" w:lastColumn="0" w:noHBand="0" w:noVBand="1"/>
      </w:tblPr>
      <w:tblGrid>
        <w:gridCol w:w="1447"/>
        <w:gridCol w:w="8639"/>
      </w:tblGrid>
      <w:tr w:rsidR="001416B6" w:rsidRPr="00581E6D" w14:paraId="2DBC50FC" w14:textId="77777777" w:rsidTr="00C44CB0">
        <w:tc>
          <w:tcPr>
            <w:tcW w:w="1447" w:type="dxa"/>
            <w:shd w:val="clear" w:color="auto" w:fill="BFBFBF" w:themeFill="background1" w:themeFillShade="BF"/>
          </w:tcPr>
          <w:p w14:paraId="6ABB8E05" w14:textId="77777777" w:rsidR="001416B6" w:rsidRPr="00581E6D" w:rsidRDefault="001416B6" w:rsidP="00E81F52">
            <w:pPr>
              <w:rPr>
                <w:rFonts w:cs="Arial"/>
                <w:b/>
                <w:color w:val="000000" w:themeColor="text1"/>
                <w:sz w:val="22"/>
                <w:szCs w:val="22"/>
              </w:rPr>
            </w:pPr>
            <w:r w:rsidRPr="00581E6D">
              <w:rPr>
                <w:rFonts w:cs="Arial"/>
                <w:b/>
                <w:color w:val="000000" w:themeColor="text1"/>
                <w:sz w:val="22"/>
                <w:szCs w:val="22"/>
              </w:rPr>
              <w:t>Outcome Indicator</w:t>
            </w:r>
          </w:p>
        </w:tc>
        <w:tc>
          <w:tcPr>
            <w:tcW w:w="8639" w:type="dxa"/>
            <w:shd w:val="clear" w:color="auto" w:fill="BFBFBF" w:themeFill="background1" w:themeFillShade="BF"/>
          </w:tcPr>
          <w:p w14:paraId="3844429D" w14:textId="0768C54E" w:rsidR="001416B6" w:rsidRPr="00581E6D" w:rsidRDefault="0073242F" w:rsidP="00E81F52">
            <w:pPr>
              <w:rPr>
                <w:rFonts w:cs="Arial"/>
                <w:b/>
                <w:color w:val="000000" w:themeColor="text1"/>
                <w:sz w:val="22"/>
                <w:szCs w:val="22"/>
              </w:rPr>
            </w:pPr>
            <w:r>
              <w:rPr>
                <w:rFonts w:cs="Arial"/>
                <w:b/>
                <w:color w:val="000000" w:themeColor="text1"/>
                <w:sz w:val="22"/>
                <w:szCs w:val="22"/>
              </w:rPr>
              <w:t>Performance during the review period and commentary</w:t>
            </w:r>
            <w:r w:rsidR="00176E3C">
              <w:t xml:space="preserve"> </w:t>
            </w:r>
            <w:r w:rsidR="00176E3C" w:rsidRPr="00176E3C">
              <w:rPr>
                <w:b/>
                <w:sz w:val="22"/>
              </w:rPr>
              <w:t xml:space="preserve">(all figures are cumulative </w:t>
            </w:r>
            <w:r w:rsidR="00710292">
              <w:rPr>
                <w:b/>
                <w:sz w:val="22"/>
              </w:rPr>
              <w:t xml:space="preserve">through </w:t>
            </w:r>
            <w:r w:rsidR="000A03F8">
              <w:rPr>
                <w:b/>
                <w:sz w:val="22"/>
              </w:rPr>
              <w:t xml:space="preserve">31 Dec </w:t>
            </w:r>
            <w:r w:rsidR="003B3746">
              <w:rPr>
                <w:b/>
                <w:sz w:val="22"/>
              </w:rPr>
              <w:t>2019</w:t>
            </w:r>
            <w:r w:rsidR="000A03F8">
              <w:rPr>
                <w:b/>
                <w:sz w:val="22"/>
              </w:rPr>
              <w:t xml:space="preserve">, </w:t>
            </w:r>
            <w:r w:rsidR="00176E3C" w:rsidRPr="00176E3C">
              <w:rPr>
                <w:b/>
                <w:sz w:val="22"/>
              </w:rPr>
              <w:t xml:space="preserve">and attributed </w:t>
            </w:r>
            <w:r w:rsidR="00A5749E">
              <w:rPr>
                <w:b/>
                <w:sz w:val="22"/>
              </w:rPr>
              <w:t xml:space="preserve">only </w:t>
            </w:r>
            <w:r w:rsidR="00176E3C" w:rsidRPr="00176E3C">
              <w:rPr>
                <w:b/>
                <w:sz w:val="22"/>
              </w:rPr>
              <w:t>to UK support)</w:t>
            </w:r>
          </w:p>
        </w:tc>
      </w:tr>
      <w:tr w:rsidR="001416B6" w:rsidRPr="00581E6D" w14:paraId="5E45A7D8" w14:textId="77777777" w:rsidTr="00C44CB0">
        <w:tc>
          <w:tcPr>
            <w:tcW w:w="1447" w:type="dxa"/>
            <w:vAlign w:val="center"/>
          </w:tcPr>
          <w:p w14:paraId="056777C0" w14:textId="77777777" w:rsidR="00706D78" w:rsidRDefault="00706D78" w:rsidP="00FE7770">
            <w:pPr>
              <w:rPr>
                <w:rFonts w:cs="Arial"/>
                <w:i/>
                <w:color w:val="000000" w:themeColor="text1"/>
                <w:sz w:val="22"/>
                <w:szCs w:val="22"/>
              </w:rPr>
            </w:pPr>
          </w:p>
          <w:p w14:paraId="5C38CEEA" w14:textId="77777777" w:rsidR="00176E3C" w:rsidRDefault="00AC6AA5" w:rsidP="00FE7770">
            <w:pPr>
              <w:rPr>
                <w:rFonts w:cs="Arial"/>
                <w:i/>
                <w:color w:val="000000" w:themeColor="text1"/>
                <w:sz w:val="22"/>
                <w:szCs w:val="22"/>
              </w:rPr>
            </w:pPr>
            <w:r>
              <w:rPr>
                <w:rFonts w:cs="Arial"/>
                <w:i/>
                <w:color w:val="000000" w:themeColor="text1"/>
                <w:sz w:val="22"/>
                <w:szCs w:val="22"/>
              </w:rPr>
              <w:t>Public</w:t>
            </w:r>
            <w:r w:rsidRPr="00581E6D">
              <w:rPr>
                <w:rFonts w:cs="Arial"/>
                <w:i/>
                <w:color w:val="000000" w:themeColor="text1"/>
                <w:sz w:val="22"/>
                <w:szCs w:val="22"/>
              </w:rPr>
              <w:t xml:space="preserve"> </w:t>
            </w:r>
            <w:r w:rsidR="001416B6" w:rsidRPr="00581E6D">
              <w:rPr>
                <w:rFonts w:cs="Arial"/>
                <w:i/>
                <w:color w:val="000000" w:themeColor="text1"/>
                <w:sz w:val="22"/>
                <w:szCs w:val="22"/>
              </w:rPr>
              <w:t>finance mobilised</w:t>
            </w:r>
            <w:r w:rsidR="00176E3C">
              <w:rPr>
                <w:rFonts w:cs="Arial"/>
                <w:i/>
                <w:color w:val="000000" w:themeColor="text1"/>
                <w:sz w:val="22"/>
                <w:szCs w:val="22"/>
              </w:rPr>
              <w:t xml:space="preserve"> </w:t>
            </w:r>
          </w:p>
          <w:p w14:paraId="0DF2113C" w14:textId="31C7E213" w:rsidR="001416B6" w:rsidRDefault="00176E3C" w:rsidP="00FE7770">
            <w:pPr>
              <w:rPr>
                <w:rFonts w:cs="Arial"/>
                <w:i/>
                <w:color w:val="000000" w:themeColor="text1"/>
                <w:sz w:val="22"/>
                <w:szCs w:val="22"/>
              </w:rPr>
            </w:pPr>
            <w:r>
              <w:rPr>
                <w:rFonts w:cs="Arial"/>
                <w:i/>
                <w:color w:val="000000" w:themeColor="text1"/>
                <w:sz w:val="22"/>
                <w:szCs w:val="22"/>
              </w:rPr>
              <w:t>(ICF KPI 11)</w:t>
            </w:r>
          </w:p>
          <w:p w14:paraId="1EA0AD2F" w14:textId="181F905D" w:rsidR="00706D78" w:rsidRPr="00581E6D" w:rsidRDefault="00706D78" w:rsidP="00FE7770">
            <w:pPr>
              <w:rPr>
                <w:rFonts w:cs="Arial"/>
                <w:i/>
                <w:color w:val="000000" w:themeColor="text1"/>
                <w:sz w:val="22"/>
                <w:szCs w:val="22"/>
              </w:rPr>
            </w:pPr>
          </w:p>
        </w:tc>
        <w:tc>
          <w:tcPr>
            <w:tcW w:w="8639" w:type="dxa"/>
          </w:tcPr>
          <w:p w14:paraId="34585771" w14:textId="77777777" w:rsidR="00706D78" w:rsidRDefault="00706D78" w:rsidP="00673030">
            <w:pPr>
              <w:jc w:val="both"/>
              <w:rPr>
                <w:rFonts w:cs="Arial"/>
                <w:color w:val="000000" w:themeColor="text1"/>
                <w:sz w:val="22"/>
                <w:szCs w:val="22"/>
              </w:rPr>
            </w:pPr>
          </w:p>
          <w:p w14:paraId="15AFB8FC" w14:textId="38EFD3B0" w:rsidR="00B07931" w:rsidRDefault="00FB19AB" w:rsidP="00673030">
            <w:pPr>
              <w:jc w:val="both"/>
              <w:rPr>
                <w:rFonts w:cs="Arial"/>
                <w:b/>
                <w:color w:val="000000" w:themeColor="text1"/>
                <w:sz w:val="22"/>
                <w:szCs w:val="22"/>
              </w:rPr>
            </w:pPr>
            <w:r w:rsidRPr="00581E6D">
              <w:rPr>
                <w:rFonts w:cs="Arial"/>
                <w:color w:val="000000" w:themeColor="text1"/>
                <w:sz w:val="22"/>
                <w:szCs w:val="22"/>
              </w:rPr>
              <w:t xml:space="preserve">Ci-Dev mobilised </w:t>
            </w:r>
            <w:r w:rsidRPr="00581E6D">
              <w:rPr>
                <w:rFonts w:cs="Arial"/>
                <w:b/>
                <w:color w:val="000000" w:themeColor="text1"/>
                <w:sz w:val="22"/>
                <w:szCs w:val="22"/>
              </w:rPr>
              <w:t>£</w:t>
            </w:r>
            <w:r w:rsidR="00D3005C">
              <w:rPr>
                <w:rFonts w:cs="Arial"/>
                <w:b/>
                <w:color w:val="000000" w:themeColor="text1"/>
                <w:sz w:val="22"/>
                <w:szCs w:val="22"/>
              </w:rPr>
              <w:t>72.8</w:t>
            </w:r>
            <w:r w:rsidR="007F6655">
              <w:rPr>
                <w:rStyle w:val="FootnoteReference"/>
                <w:rFonts w:cs="Arial"/>
                <w:b/>
                <w:color w:val="000000" w:themeColor="text1"/>
                <w:sz w:val="22"/>
                <w:szCs w:val="22"/>
              </w:rPr>
              <w:footnoteReference w:id="8"/>
            </w:r>
            <w:r w:rsidR="00803327">
              <w:rPr>
                <w:rFonts w:cs="Arial"/>
                <w:b/>
                <w:color w:val="000000" w:themeColor="text1"/>
                <w:sz w:val="22"/>
                <w:szCs w:val="22"/>
              </w:rPr>
              <w:t>m</w:t>
            </w:r>
            <w:r w:rsidRPr="00581E6D">
              <w:rPr>
                <w:rFonts w:cs="Arial"/>
                <w:b/>
                <w:color w:val="000000" w:themeColor="text1"/>
                <w:sz w:val="22"/>
                <w:szCs w:val="22"/>
              </w:rPr>
              <w:t xml:space="preserve"> of public finance</w:t>
            </w:r>
            <w:r w:rsidR="00803327">
              <w:rPr>
                <w:rFonts w:cs="Arial"/>
                <w:b/>
                <w:color w:val="000000" w:themeColor="text1"/>
                <w:sz w:val="22"/>
                <w:szCs w:val="22"/>
              </w:rPr>
              <w:t xml:space="preserve">, </w:t>
            </w:r>
            <w:r w:rsidR="00803327">
              <w:rPr>
                <w:rFonts w:cs="Arial"/>
                <w:color w:val="000000" w:themeColor="text1"/>
                <w:sz w:val="22"/>
                <w:szCs w:val="22"/>
              </w:rPr>
              <w:t xml:space="preserve">against a </w:t>
            </w:r>
            <w:r w:rsidR="00706D78">
              <w:rPr>
                <w:rFonts w:cs="Arial"/>
                <w:color w:val="000000" w:themeColor="text1"/>
                <w:sz w:val="22"/>
                <w:szCs w:val="22"/>
              </w:rPr>
              <w:t>2</w:t>
            </w:r>
            <w:r w:rsidR="00803327">
              <w:rPr>
                <w:rFonts w:cs="Arial"/>
                <w:color w:val="000000" w:themeColor="text1"/>
                <w:sz w:val="22"/>
                <w:szCs w:val="22"/>
              </w:rPr>
              <w:t>01</w:t>
            </w:r>
            <w:r w:rsidR="00D3005C">
              <w:rPr>
                <w:rFonts w:cs="Arial"/>
                <w:color w:val="000000" w:themeColor="text1"/>
                <w:sz w:val="22"/>
                <w:szCs w:val="22"/>
              </w:rPr>
              <w:t>9</w:t>
            </w:r>
            <w:r w:rsidR="00803327">
              <w:rPr>
                <w:rFonts w:cs="Arial"/>
                <w:color w:val="000000" w:themeColor="text1"/>
                <w:sz w:val="22"/>
                <w:szCs w:val="22"/>
              </w:rPr>
              <w:t xml:space="preserve"> target of </w:t>
            </w:r>
            <w:r w:rsidR="00803327" w:rsidRPr="00803327">
              <w:rPr>
                <w:rFonts w:cs="Arial"/>
                <w:b/>
                <w:color w:val="000000" w:themeColor="text1"/>
                <w:sz w:val="22"/>
                <w:szCs w:val="22"/>
              </w:rPr>
              <w:t>£</w:t>
            </w:r>
            <w:r w:rsidR="009D2A19">
              <w:rPr>
                <w:rFonts w:cs="Arial"/>
                <w:b/>
                <w:color w:val="000000" w:themeColor="text1"/>
                <w:sz w:val="22"/>
                <w:szCs w:val="22"/>
              </w:rPr>
              <w:t>55</w:t>
            </w:r>
            <w:r w:rsidR="00803327" w:rsidRPr="00803327">
              <w:rPr>
                <w:rFonts w:cs="Arial"/>
                <w:b/>
                <w:color w:val="000000" w:themeColor="text1"/>
                <w:sz w:val="22"/>
                <w:szCs w:val="22"/>
              </w:rPr>
              <w:t>m</w:t>
            </w:r>
            <w:r w:rsidR="00A8085C">
              <w:rPr>
                <w:rFonts w:cs="Arial"/>
                <w:b/>
                <w:color w:val="000000" w:themeColor="text1"/>
                <w:sz w:val="22"/>
                <w:szCs w:val="22"/>
              </w:rPr>
              <w:t>.</w:t>
            </w:r>
          </w:p>
          <w:p w14:paraId="26E0371F" w14:textId="02AF6114" w:rsidR="00176E3C" w:rsidRDefault="00176E3C" w:rsidP="00673030">
            <w:pPr>
              <w:jc w:val="both"/>
              <w:rPr>
                <w:rFonts w:cs="Arial"/>
                <w:b/>
                <w:color w:val="000000" w:themeColor="text1"/>
                <w:sz w:val="22"/>
                <w:szCs w:val="22"/>
              </w:rPr>
            </w:pPr>
          </w:p>
          <w:p w14:paraId="07B37EA0" w14:textId="0154484B" w:rsidR="001D0C44" w:rsidRDefault="0021596D" w:rsidP="00673030">
            <w:pPr>
              <w:jc w:val="both"/>
              <w:rPr>
                <w:rFonts w:cs="Arial"/>
                <w:color w:val="000000" w:themeColor="text1"/>
                <w:sz w:val="22"/>
                <w:szCs w:val="22"/>
              </w:rPr>
            </w:pPr>
            <w:r>
              <w:rPr>
                <w:rFonts w:cs="Arial"/>
                <w:color w:val="000000" w:themeColor="text1"/>
                <w:sz w:val="22"/>
                <w:szCs w:val="22"/>
              </w:rPr>
              <w:t>Public finance mobilised in 201</w:t>
            </w:r>
            <w:r w:rsidR="007F6655">
              <w:rPr>
                <w:rFonts w:cs="Arial"/>
                <w:color w:val="000000" w:themeColor="text1"/>
                <w:sz w:val="22"/>
                <w:szCs w:val="22"/>
              </w:rPr>
              <w:t xml:space="preserve">9 included $9.13m secured by the Mali: Rural Electrification project and $0.99m provided by the Government of Burkina Faso to support a customer-facing subsidy for biogas digesters. Without the Ci-Dev ERPA, the Government has noted that it would likely have discontinued the subsidy. </w:t>
            </w:r>
          </w:p>
          <w:p w14:paraId="0708CDD9" w14:textId="77CDC3AA" w:rsidR="0021596D" w:rsidRDefault="0021596D" w:rsidP="00673030">
            <w:pPr>
              <w:jc w:val="both"/>
              <w:rPr>
                <w:rFonts w:cs="Arial"/>
                <w:color w:val="000000" w:themeColor="text1"/>
                <w:sz w:val="22"/>
                <w:szCs w:val="22"/>
              </w:rPr>
            </w:pPr>
          </w:p>
          <w:p w14:paraId="47AD4BE7" w14:textId="7C5996AE" w:rsidR="001D0C44" w:rsidRPr="00706D78" w:rsidRDefault="007F7F2F" w:rsidP="00522CF5">
            <w:pPr>
              <w:jc w:val="both"/>
              <w:rPr>
                <w:rFonts w:cs="Arial"/>
                <w:color w:val="000000" w:themeColor="text1"/>
                <w:sz w:val="22"/>
                <w:szCs w:val="22"/>
              </w:rPr>
            </w:pPr>
            <w:r>
              <w:rPr>
                <w:rFonts w:cs="Arial"/>
                <w:color w:val="000000" w:themeColor="text1"/>
                <w:sz w:val="22"/>
                <w:szCs w:val="22"/>
              </w:rPr>
              <w:t xml:space="preserve">The overachievement against this indicator is welcome and mainly reflects </w:t>
            </w:r>
            <w:r w:rsidR="0002630C">
              <w:rPr>
                <w:rFonts w:cs="Arial"/>
                <w:color w:val="000000" w:themeColor="text1"/>
                <w:sz w:val="22"/>
                <w:szCs w:val="22"/>
              </w:rPr>
              <w:t xml:space="preserve">the fact that the Carbon Fund is </w:t>
            </w:r>
            <w:r w:rsidR="0093200E">
              <w:rPr>
                <w:rFonts w:cs="Arial"/>
                <w:color w:val="000000" w:themeColor="text1"/>
                <w:sz w:val="22"/>
                <w:szCs w:val="22"/>
              </w:rPr>
              <w:t>almost fully committed and has leveraged public finance</w:t>
            </w:r>
            <w:r w:rsidR="006D6C19">
              <w:rPr>
                <w:rFonts w:cs="Arial"/>
                <w:color w:val="000000" w:themeColor="text1"/>
                <w:sz w:val="22"/>
                <w:szCs w:val="22"/>
              </w:rPr>
              <w:t xml:space="preserve"> at the point of ERPA signature. Additional mobilisation is still possible. </w:t>
            </w:r>
            <w:r w:rsidR="0021596D">
              <w:rPr>
                <w:rFonts w:cs="Arial"/>
                <w:color w:val="000000" w:themeColor="text1"/>
                <w:sz w:val="22"/>
                <w:szCs w:val="22"/>
              </w:rPr>
              <w:t>The Trustee projects that lifetime (i</w:t>
            </w:r>
            <w:r w:rsidR="00517E9A">
              <w:rPr>
                <w:rFonts w:cs="Arial"/>
                <w:color w:val="000000" w:themeColor="text1"/>
                <w:sz w:val="22"/>
                <w:szCs w:val="22"/>
              </w:rPr>
              <w:t>.</w:t>
            </w:r>
            <w:r w:rsidR="0021596D">
              <w:rPr>
                <w:rFonts w:cs="Arial"/>
                <w:color w:val="000000" w:themeColor="text1"/>
                <w:sz w:val="22"/>
                <w:szCs w:val="22"/>
              </w:rPr>
              <w:t>e</w:t>
            </w:r>
            <w:r w:rsidR="00517E9A">
              <w:rPr>
                <w:rFonts w:cs="Arial"/>
                <w:color w:val="000000" w:themeColor="text1"/>
                <w:sz w:val="22"/>
                <w:szCs w:val="22"/>
              </w:rPr>
              <w:t>.</w:t>
            </w:r>
            <w:r w:rsidR="0021596D">
              <w:rPr>
                <w:rFonts w:cs="Arial"/>
                <w:color w:val="000000" w:themeColor="text1"/>
                <w:sz w:val="22"/>
                <w:szCs w:val="22"/>
              </w:rPr>
              <w:t xml:space="preserve"> up to 2025) public finance mobilised by Ci-Dev </w:t>
            </w:r>
            <w:r w:rsidR="007F6655">
              <w:rPr>
                <w:rFonts w:cs="Arial"/>
                <w:color w:val="000000" w:themeColor="text1"/>
                <w:sz w:val="22"/>
                <w:szCs w:val="22"/>
              </w:rPr>
              <w:t xml:space="preserve">and attributable to UK support </w:t>
            </w:r>
            <w:r w:rsidR="0021596D">
              <w:rPr>
                <w:rFonts w:cs="Arial"/>
                <w:color w:val="000000" w:themeColor="text1"/>
                <w:sz w:val="22"/>
                <w:szCs w:val="22"/>
              </w:rPr>
              <w:t>is likely to be around £8</w:t>
            </w:r>
            <w:r w:rsidR="007F6655">
              <w:rPr>
                <w:rFonts w:cs="Arial"/>
                <w:color w:val="000000" w:themeColor="text1"/>
                <w:sz w:val="22"/>
                <w:szCs w:val="22"/>
              </w:rPr>
              <w:t>4</w:t>
            </w:r>
            <w:r w:rsidR="0021596D">
              <w:rPr>
                <w:rFonts w:cs="Arial"/>
                <w:color w:val="000000" w:themeColor="text1"/>
                <w:sz w:val="22"/>
                <w:szCs w:val="22"/>
              </w:rPr>
              <w:t xml:space="preserve">m, lower than the £96m target in the logframe, and, </w:t>
            </w:r>
            <w:r w:rsidR="00FF2F1D">
              <w:rPr>
                <w:rFonts w:cs="Arial"/>
                <w:color w:val="000000" w:themeColor="text1"/>
                <w:sz w:val="22"/>
                <w:szCs w:val="22"/>
              </w:rPr>
              <w:t>alongside</w:t>
            </w:r>
            <w:r w:rsidR="0021596D">
              <w:rPr>
                <w:rFonts w:cs="Arial"/>
                <w:color w:val="000000" w:themeColor="text1"/>
                <w:sz w:val="22"/>
                <w:szCs w:val="22"/>
              </w:rPr>
              <w:t xml:space="preserve"> BEIS, </w:t>
            </w:r>
            <w:r w:rsidR="006077ED">
              <w:rPr>
                <w:rFonts w:cs="Arial"/>
                <w:color w:val="000000" w:themeColor="text1"/>
                <w:sz w:val="22"/>
                <w:szCs w:val="22"/>
              </w:rPr>
              <w:t xml:space="preserve">they </w:t>
            </w:r>
            <w:r w:rsidR="0021596D">
              <w:rPr>
                <w:rFonts w:cs="Arial"/>
                <w:color w:val="000000" w:themeColor="text1"/>
                <w:sz w:val="22"/>
                <w:szCs w:val="22"/>
              </w:rPr>
              <w:t>will monitor progress closely.</w:t>
            </w:r>
            <w:r w:rsidR="008741F4">
              <w:rPr>
                <w:rFonts w:cs="Arial"/>
                <w:color w:val="000000" w:themeColor="text1"/>
                <w:sz w:val="22"/>
                <w:szCs w:val="22"/>
              </w:rPr>
              <w:t xml:space="preserve"> </w:t>
            </w:r>
          </w:p>
        </w:tc>
      </w:tr>
      <w:tr w:rsidR="00706D78" w:rsidRPr="00581E6D" w14:paraId="1123CA78" w14:textId="77777777" w:rsidTr="00C44CB0">
        <w:tc>
          <w:tcPr>
            <w:tcW w:w="1447" w:type="dxa"/>
            <w:vAlign w:val="center"/>
          </w:tcPr>
          <w:p w14:paraId="235192E3" w14:textId="77777777" w:rsidR="00706D78" w:rsidRDefault="00706D78" w:rsidP="00FE7770">
            <w:pPr>
              <w:rPr>
                <w:rFonts w:cs="Arial"/>
                <w:i/>
                <w:color w:val="000000" w:themeColor="text1"/>
                <w:sz w:val="22"/>
                <w:szCs w:val="22"/>
              </w:rPr>
            </w:pPr>
            <w:r>
              <w:rPr>
                <w:rFonts w:cs="Arial"/>
                <w:i/>
                <w:color w:val="000000" w:themeColor="text1"/>
                <w:sz w:val="22"/>
                <w:szCs w:val="22"/>
              </w:rPr>
              <w:t>Private finance mobilised</w:t>
            </w:r>
          </w:p>
          <w:p w14:paraId="4B66116F" w14:textId="4BF96AE6" w:rsidR="00176E3C" w:rsidRDefault="00176E3C" w:rsidP="00FE7770">
            <w:pPr>
              <w:rPr>
                <w:rFonts w:cs="Arial"/>
                <w:i/>
                <w:color w:val="000000" w:themeColor="text1"/>
                <w:sz w:val="22"/>
                <w:szCs w:val="22"/>
              </w:rPr>
            </w:pPr>
            <w:r>
              <w:rPr>
                <w:rFonts w:cs="Arial"/>
                <w:i/>
                <w:color w:val="000000" w:themeColor="text1"/>
                <w:sz w:val="22"/>
                <w:szCs w:val="22"/>
              </w:rPr>
              <w:t>(ICF KPI 12)</w:t>
            </w:r>
          </w:p>
        </w:tc>
        <w:tc>
          <w:tcPr>
            <w:tcW w:w="8639" w:type="dxa"/>
          </w:tcPr>
          <w:p w14:paraId="526C42D5" w14:textId="77777777" w:rsidR="00706D78" w:rsidRDefault="00706D78" w:rsidP="00803327">
            <w:pPr>
              <w:rPr>
                <w:rFonts w:cs="Arial"/>
                <w:color w:val="000000" w:themeColor="text1"/>
                <w:sz w:val="22"/>
                <w:szCs w:val="22"/>
              </w:rPr>
            </w:pPr>
          </w:p>
          <w:p w14:paraId="0450167D" w14:textId="55224827" w:rsidR="00706D78" w:rsidRDefault="00706D78" w:rsidP="00673030">
            <w:pPr>
              <w:jc w:val="both"/>
              <w:rPr>
                <w:rFonts w:cs="Arial"/>
                <w:b/>
                <w:color w:val="000000" w:themeColor="text1"/>
                <w:sz w:val="22"/>
                <w:szCs w:val="22"/>
              </w:rPr>
            </w:pPr>
            <w:r w:rsidRPr="00581E6D">
              <w:rPr>
                <w:rFonts w:cs="Arial"/>
                <w:color w:val="000000" w:themeColor="text1"/>
                <w:sz w:val="22"/>
                <w:szCs w:val="22"/>
              </w:rPr>
              <w:t xml:space="preserve">Ci-Dev mobilised </w:t>
            </w:r>
            <w:r w:rsidRPr="00581E6D">
              <w:rPr>
                <w:rFonts w:cs="Arial"/>
                <w:b/>
                <w:color w:val="000000" w:themeColor="text1"/>
                <w:sz w:val="22"/>
                <w:szCs w:val="22"/>
              </w:rPr>
              <w:t>£</w:t>
            </w:r>
            <w:r>
              <w:rPr>
                <w:rFonts w:cs="Arial"/>
                <w:b/>
                <w:color w:val="000000" w:themeColor="text1"/>
                <w:sz w:val="22"/>
                <w:szCs w:val="22"/>
              </w:rPr>
              <w:t>1</w:t>
            </w:r>
            <w:r w:rsidR="00C91CCA">
              <w:rPr>
                <w:rFonts w:cs="Arial"/>
                <w:b/>
                <w:color w:val="000000" w:themeColor="text1"/>
                <w:sz w:val="22"/>
                <w:szCs w:val="22"/>
              </w:rPr>
              <w:t>1</w:t>
            </w:r>
            <w:r w:rsidR="00CB3E7A">
              <w:rPr>
                <w:rFonts w:cs="Arial"/>
                <w:b/>
                <w:color w:val="000000" w:themeColor="text1"/>
                <w:sz w:val="22"/>
                <w:szCs w:val="22"/>
              </w:rPr>
              <w:t>2.8</w:t>
            </w:r>
            <w:r>
              <w:rPr>
                <w:rFonts w:cs="Arial"/>
                <w:b/>
                <w:color w:val="000000" w:themeColor="text1"/>
                <w:sz w:val="22"/>
                <w:szCs w:val="22"/>
              </w:rPr>
              <w:t>m</w:t>
            </w:r>
            <w:r w:rsidRPr="00581E6D">
              <w:rPr>
                <w:rFonts w:cs="Arial"/>
                <w:b/>
                <w:color w:val="000000" w:themeColor="text1"/>
                <w:sz w:val="22"/>
                <w:szCs w:val="22"/>
              </w:rPr>
              <w:t xml:space="preserve"> of </w:t>
            </w:r>
            <w:r>
              <w:rPr>
                <w:rFonts w:cs="Arial"/>
                <w:b/>
                <w:color w:val="000000" w:themeColor="text1"/>
                <w:sz w:val="22"/>
                <w:szCs w:val="22"/>
              </w:rPr>
              <w:t xml:space="preserve">private </w:t>
            </w:r>
            <w:r w:rsidRPr="00581E6D">
              <w:rPr>
                <w:rFonts w:cs="Arial"/>
                <w:b/>
                <w:color w:val="000000" w:themeColor="text1"/>
                <w:sz w:val="22"/>
                <w:szCs w:val="22"/>
              </w:rPr>
              <w:t>finance</w:t>
            </w:r>
            <w:r>
              <w:rPr>
                <w:rFonts w:cs="Arial"/>
                <w:b/>
                <w:color w:val="000000" w:themeColor="text1"/>
                <w:sz w:val="22"/>
                <w:szCs w:val="22"/>
              </w:rPr>
              <w:t xml:space="preserve">, </w:t>
            </w:r>
            <w:r>
              <w:rPr>
                <w:rFonts w:cs="Arial"/>
                <w:color w:val="000000" w:themeColor="text1"/>
                <w:sz w:val="22"/>
                <w:szCs w:val="22"/>
              </w:rPr>
              <w:t>against a 201</w:t>
            </w:r>
            <w:r w:rsidR="00C91CCA">
              <w:rPr>
                <w:rFonts w:cs="Arial"/>
                <w:color w:val="000000" w:themeColor="text1"/>
                <w:sz w:val="22"/>
                <w:szCs w:val="22"/>
              </w:rPr>
              <w:t>9</w:t>
            </w:r>
            <w:r>
              <w:rPr>
                <w:rFonts w:cs="Arial"/>
                <w:color w:val="000000" w:themeColor="text1"/>
                <w:sz w:val="22"/>
                <w:szCs w:val="22"/>
              </w:rPr>
              <w:t xml:space="preserve"> target of </w:t>
            </w:r>
            <w:r w:rsidRPr="00803327">
              <w:rPr>
                <w:rFonts w:cs="Arial"/>
                <w:b/>
                <w:color w:val="000000" w:themeColor="text1"/>
                <w:sz w:val="22"/>
                <w:szCs w:val="22"/>
              </w:rPr>
              <w:t>£</w:t>
            </w:r>
            <w:r>
              <w:rPr>
                <w:rFonts w:cs="Arial"/>
                <w:b/>
                <w:color w:val="000000" w:themeColor="text1"/>
                <w:sz w:val="22"/>
                <w:szCs w:val="22"/>
              </w:rPr>
              <w:t>1</w:t>
            </w:r>
            <w:r w:rsidR="00C91CCA">
              <w:rPr>
                <w:rFonts w:cs="Arial"/>
                <w:b/>
                <w:color w:val="000000" w:themeColor="text1"/>
                <w:sz w:val="22"/>
                <w:szCs w:val="22"/>
              </w:rPr>
              <w:t>16</w:t>
            </w:r>
            <w:r w:rsidRPr="00803327">
              <w:rPr>
                <w:rFonts w:cs="Arial"/>
                <w:b/>
                <w:color w:val="000000" w:themeColor="text1"/>
                <w:sz w:val="22"/>
                <w:szCs w:val="22"/>
              </w:rPr>
              <w:t>m</w:t>
            </w:r>
            <w:r w:rsidR="00517E9A">
              <w:rPr>
                <w:rFonts w:cs="Arial"/>
                <w:b/>
                <w:color w:val="000000" w:themeColor="text1"/>
                <w:sz w:val="22"/>
                <w:szCs w:val="22"/>
              </w:rPr>
              <w:t>.</w:t>
            </w:r>
          </w:p>
          <w:p w14:paraId="37EBE64A" w14:textId="6FEE7A73" w:rsidR="0021596D" w:rsidRPr="00A5749E" w:rsidRDefault="0021596D" w:rsidP="00673030">
            <w:pPr>
              <w:jc w:val="both"/>
              <w:rPr>
                <w:rFonts w:cs="Arial"/>
                <w:color w:val="000000" w:themeColor="text1"/>
                <w:sz w:val="22"/>
                <w:szCs w:val="22"/>
              </w:rPr>
            </w:pPr>
          </w:p>
          <w:p w14:paraId="34723CC8" w14:textId="24D7456B" w:rsidR="00A5749E" w:rsidRDefault="007004F2" w:rsidP="00673030">
            <w:pPr>
              <w:jc w:val="both"/>
              <w:rPr>
                <w:rFonts w:cs="Arial"/>
                <w:color w:val="000000" w:themeColor="text1"/>
                <w:sz w:val="22"/>
                <w:szCs w:val="22"/>
              </w:rPr>
            </w:pPr>
            <w:r w:rsidRPr="00A5749E">
              <w:rPr>
                <w:rFonts w:cs="Arial"/>
                <w:color w:val="000000" w:themeColor="text1"/>
                <w:sz w:val="22"/>
                <w:szCs w:val="22"/>
              </w:rPr>
              <w:t>Private finance mobilised in 201</w:t>
            </w:r>
            <w:r w:rsidR="00C91CCA">
              <w:rPr>
                <w:rFonts w:cs="Arial"/>
                <w:color w:val="000000" w:themeColor="text1"/>
                <w:sz w:val="22"/>
                <w:szCs w:val="22"/>
              </w:rPr>
              <w:t>9</w:t>
            </w:r>
            <w:r w:rsidRPr="00A5749E">
              <w:rPr>
                <w:rFonts w:cs="Arial"/>
                <w:color w:val="000000" w:themeColor="text1"/>
                <w:sz w:val="22"/>
                <w:szCs w:val="22"/>
              </w:rPr>
              <w:t xml:space="preserve"> included </w:t>
            </w:r>
            <w:r w:rsidR="00C91CCA">
              <w:rPr>
                <w:rFonts w:cs="Arial"/>
                <w:color w:val="000000" w:themeColor="text1"/>
                <w:sz w:val="22"/>
                <w:szCs w:val="22"/>
              </w:rPr>
              <w:t xml:space="preserve">$10.9m mobilised by the Ethiopia: Off-grid project, to date, from a $20m credit line set up to provide access to finance for private sector solar home enterprises. Household investments in the Ethiopia: Biogas and West Africa Biodigesters projects mobilised $2.71m and $0.76m respectively. </w:t>
            </w:r>
            <w:r w:rsidR="00A5749E">
              <w:rPr>
                <w:rFonts w:cs="Arial"/>
                <w:color w:val="000000" w:themeColor="text1"/>
                <w:sz w:val="22"/>
                <w:szCs w:val="22"/>
              </w:rPr>
              <w:t>The Trustee projects that mobilised lifetime private finance is likely to be around £12</w:t>
            </w:r>
            <w:r w:rsidR="00C91CCA">
              <w:rPr>
                <w:rFonts w:cs="Arial"/>
                <w:color w:val="000000" w:themeColor="text1"/>
                <w:sz w:val="22"/>
                <w:szCs w:val="22"/>
              </w:rPr>
              <w:t>1</w:t>
            </w:r>
            <w:r w:rsidR="00A5749E">
              <w:rPr>
                <w:rFonts w:cs="Arial"/>
                <w:color w:val="000000" w:themeColor="text1"/>
                <w:sz w:val="22"/>
                <w:szCs w:val="22"/>
              </w:rPr>
              <w:t xml:space="preserve">m, lower than the £161m target in the logframe. </w:t>
            </w:r>
            <w:r w:rsidR="00C91CCA">
              <w:rPr>
                <w:rFonts w:cs="Arial"/>
                <w:color w:val="000000" w:themeColor="text1"/>
                <w:sz w:val="22"/>
                <w:szCs w:val="22"/>
              </w:rPr>
              <w:t>I</w:t>
            </w:r>
            <w:r w:rsidR="00A5749E">
              <w:rPr>
                <w:rFonts w:cs="Arial"/>
                <w:color w:val="000000" w:themeColor="text1"/>
                <w:sz w:val="22"/>
                <w:szCs w:val="22"/>
              </w:rPr>
              <w:t>t is important that the Trustee considers what action</w:t>
            </w:r>
            <w:r w:rsidR="00C91CCA">
              <w:rPr>
                <w:rFonts w:cs="Arial"/>
                <w:color w:val="000000" w:themeColor="text1"/>
                <w:sz w:val="22"/>
                <w:szCs w:val="22"/>
              </w:rPr>
              <w:t xml:space="preserve"> within its remit</w:t>
            </w:r>
            <w:r w:rsidR="00A5749E">
              <w:rPr>
                <w:rFonts w:cs="Arial"/>
                <w:color w:val="000000" w:themeColor="text1"/>
                <w:sz w:val="22"/>
                <w:szCs w:val="22"/>
              </w:rPr>
              <w:t xml:space="preserve"> could improve projections</w:t>
            </w:r>
            <w:r w:rsidR="00C91CCA">
              <w:rPr>
                <w:rFonts w:cs="Arial"/>
                <w:color w:val="000000" w:themeColor="text1"/>
                <w:sz w:val="22"/>
                <w:szCs w:val="22"/>
              </w:rPr>
              <w:t xml:space="preserve">, as it is clear that private-sector led projects are encountering difficulties that are likely to affect </w:t>
            </w:r>
            <w:r w:rsidR="00992516">
              <w:rPr>
                <w:rFonts w:cs="Arial"/>
                <w:color w:val="000000" w:themeColor="text1"/>
                <w:sz w:val="22"/>
                <w:szCs w:val="22"/>
              </w:rPr>
              <w:t xml:space="preserve">lifetime </w:t>
            </w:r>
            <w:r w:rsidR="00C91CCA">
              <w:rPr>
                <w:rFonts w:cs="Arial"/>
                <w:color w:val="000000" w:themeColor="text1"/>
                <w:sz w:val="22"/>
                <w:szCs w:val="22"/>
              </w:rPr>
              <w:t xml:space="preserve">achievement of this </w:t>
            </w:r>
            <w:r w:rsidR="006077ED">
              <w:rPr>
                <w:rFonts w:cs="Arial"/>
                <w:color w:val="000000" w:themeColor="text1"/>
                <w:sz w:val="22"/>
                <w:szCs w:val="22"/>
              </w:rPr>
              <w:t>objective</w:t>
            </w:r>
            <w:r w:rsidR="00C91CCA">
              <w:rPr>
                <w:rFonts w:cs="Arial"/>
                <w:color w:val="000000" w:themeColor="text1"/>
                <w:sz w:val="22"/>
                <w:szCs w:val="22"/>
              </w:rPr>
              <w:t>.</w:t>
            </w:r>
            <w:r w:rsidR="00A5749E">
              <w:rPr>
                <w:rFonts w:cs="Arial"/>
                <w:color w:val="000000" w:themeColor="text1"/>
                <w:sz w:val="22"/>
                <w:szCs w:val="22"/>
              </w:rPr>
              <w:t xml:space="preserve"> </w:t>
            </w:r>
          </w:p>
          <w:p w14:paraId="25B7A438" w14:textId="6FF8BCDC" w:rsidR="00A5749E" w:rsidRPr="00581E6D" w:rsidRDefault="00A5749E" w:rsidP="00803327">
            <w:pPr>
              <w:rPr>
                <w:rFonts w:cs="Arial"/>
                <w:color w:val="000000" w:themeColor="text1"/>
                <w:sz w:val="22"/>
                <w:szCs w:val="22"/>
              </w:rPr>
            </w:pPr>
          </w:p>
        </w:tc>
      </w:tr>
      <w:tr w:rsidR="001416B6" w:rsidRPr="00581E6D" w14:paraId="2151C2AB" w14:textId="77777777" w:rsidTr="00C44CB0">
        <w:trPr>
          <w:trHeight w:val="4958"/>
        </w:trPr>
        <w:tc>
          <w:tcPr>
            <w:tcW w:w="1447" w:type="dxa"/>
            <w:vAlign w:val="center"/>
          </w:tcPr>
          <w:p w14:paraId="0ED05DD6" w14:textId="77777777" w:rsidR="00706D78" w:rsidRDefault="00706D78" w:rsidP="00FE7770">
            <w:pPr>
              <w:rPr>
                <w:rFonts w:cs="Arial"/>
                <w:i/>
                <w:color w:val="000000" w:themeColor="text1"/>
                <w:sz w:val="22"/>
                <w:szCs w:val="22"/>
              </w:rPr>
            </w:pPr>
          </w:p>
          <w:p w14:paraId="3144FBE3" w14:textId="328E3F17" w:rsidR="001416B6" w:rsidRDefault="001416B6" w:rsidP="00FE7770">
            <w:pPr>
              <w:rPr>
                <w:rFonts w:cs="Arial"/>
                <w:i/>
                <w:color w:val="000000" w:themeColor="text1"/>
                <w:sz w:val="22"/>
                <w:szCs w:val="22"/>
              </w:rPr>
            </w:pPr>
            <w:r w:rsidRPr="00581E6D">
              <w:rPr>
                <w:rFonts w:cs="Arial"/>
                <w:i/>
                <w:color w:val="000000" w:themeColor="text1"/>
                <w:sz w:val="22"/>
                <w:szCs w:val="22"/>
              </w:rPr>
              <w:t>M tons CO2</w:t>
            </w:r>
            <w:r w:rsidR="00803327">
              <w:rPr>
                <w:rFonts w:cs="Arial"/>
                <w:i/>
                <w:color w:val="000000" w:themeColor="text1"/>
                <w:sz w:val="22"/>
                <w:szCs w:val="22"/>
              </w:rPr>
              <w:t xml:space="preserve"> equivalent (MtCO2e</w:t>
            </w:r>
            <w:r w:rsidR="005E1C27">
              <w:rPr>
                <w:rStyle w:val="FootnoteReference"/>
                <w:rFonts w:cs="Arial"/>
                <w:i/>
                <w:color w:val="000000" w:themeColor="text1"/>
                <w:sz w:val="22"/>
                <w:szCs w:val="22"/>
              </w:rPr>
              <w:footnoteReference w:id="9"/>
            </w:r>
            <w:r w:rsidR="00803327">
              <w:rPr>
                <w:rFonts w:cs="Arial"/>
                <w:i/>
                <w:color w:val="000000" w:themeColor="text1"/>
                <w:sz w:val="22"/>
                <w:szCs w:val="22"/>
              </w:rPr>
              <w:t>)</w:t>
            </w:r>
            <w:r w:rsidRPr="00581E6D">
              <w:rPr>
                <w:rFonts w:cs="Arial"/>
                <w:i/>
                <w:color w:val="000000" w:themeColor="text1"/>
                <w:sz w:val="22"/>
                <w:szCs w:val="22"/>
              </w:rPr>
              <w:t xml:space="preserve"> reduced through all </w:t>
            </w:r>
            <w:r w:rsidR="00512DCC">
              <w:rPr>
                <w:rFonts w:cs="Arial"/>
                <w:i/>
                <w:color w:val="000000" w:themeColor="text1"/>
                <w:sz w:val="22"/>
                <w:szCs w:val="22"/>
              </w:rPr>
              <w:t>Ci-Dev</w:t>
            </w:r>
            <w:r w:rsidRPr="00581E6D">
              <w:rPr>
                <w:rFonts w:cs="Arial"/>
                <w:i/>
                <w:color w:val="000000" w:themeColor="text1"/>
                <w:sz w:val="22"/>
                <w:szCs w:val="22"/>
              </w:rPr>
              <w:t xml:space="preserve"> supported projects</w:t>
            </w:r>
          </w:p>
          <w:p w14:paraId="64B89536" w14:textId="1A011DC4" w:rsidR="00176E3C" w:rsidRPr="00581E6D" w:rsidRDefault="00176E3C" w:rsidP="00FE7770">
            <w:pPr>
              <w:rPr>
                <w:rFonts w:cs="Arial"/>
                <w:i/>
                <w:color w:val="000000" w:themeColor="text1"/>
                <w:sz w:val="22"/>
                <w:szCs w:val="22"/>
              </w:rPr>
            </w:pPr>
            <w:r>
              <w:rPr>
                <w:rFonts w:cs="Arial"/>
                <w:i/>
                <w:color w:val="000000" w:themeColor="text1"/>
                <w:sz w:val="22"/>
                <w:szCs w:val="22"/>
              </w:rPr>
              <w:t>(ICF KPI 6)</w:t>
            </w:r>
          </w:p>
          <w:p w14:paraId="3E7FF4F4" w14:textId="77777777" w:rsidR="001416B6" w:rsidRPr="00581E6D" w:rsidRDefault="001416B6" w:rsidP="00FE7770">
            <w:pPr>
              <w:rPr>
                <w:rFonts w:cs="Arial"/>
                <w:b/>
                <w:i/>
                <w:color w:val="000000" w:themeColor="text1"/>
                <w:sz w:val="22"/>
                <w:szCs w:val="22"/>
              </w:rPr>
            </w:pPr>
          </w:p>
        </w:tc>
        <w:tc>
          <w:tcPr>
            <w:tcW w:w="8639" w:type="dxa"/>
          </w:tcPr>
          <w:p w14:paraId="798DE3DD" w14:textId="77777777" w:rsidR="00706D78" w:rsidRDefault="00706D78" w:rsidP="00803327">
            <w:pPr>
              <w:rPr>
                <w:rFonts w:cs="Arial"/>
                <w:color w:val="000000" w:themeColor="text1"/>
                <w:sz w:val="22"/>
                <w:szCs w:val="22"/>
              </w:rPr>
            </w:pPr>
          </w:p>
          <w:p w14:paraId="68CD8ED5" w14:textId="1F36D1FE" w:rsidR="00803327" w:rsidRPr="00803327" w:rsidRDefault="00803327" w:rsidP="00673030">
            <w:pPr>
              <w:jc w:val="both"/>
              <w:rPr>
                <w:rFonts w:cs="Arial"/>
                <w:color w:val="000000" w:themeColor="text1"/>
                <w:sz w:val="22"/>
                <w:szCs w:val="22"/>
              </w:rPr>
            </w:pPr>
            <w:r w:rsidRPr="00581E6D">
              <w:rPr>
                <w:rFonts w:cs="Arial"/>
                <w:color w:val="000000" w:themeColor="text1"/>
                <w:sz w:val="22"/>
                <w:szCs w:val="22"/>
              </w:rPr>
              <w:t xml:space="preserve">Ci-Dev </w:t>
            </w:r>
            <w:r>
              <w:rPr>
                <w:rFonts w:cs="Arial"/>
                <w:color w:val="000000" w:themeColor="text1"/>
                <w:sz w:val="22"/>
                <w:szCs w:val="22"/>
              </w:rPr>
              <w:t xml:space="preserve">achieved a total of </w:t>
            </w:r>
            <w:r w:rsidRPr="00706D78">
              <w:rPr>
                <w:rFonts w:cs="Arial"/>
                <w:b/>
                <w:color w:val="000000" w:themeColor="text1"/>
                <w:sz w:val="22"/>
                <w:szCs w:val="22"/>
              </w:rPr>
              <w:t>0.1</w:t>
            </w:r>
            <w:r w:rsidR="00A6761D">
              <w:rPr>
                <w:rFonts w:cs="Arial"/>
                <w:b/>
                <w:color w:val="000000" w:themeColor="text1"/>
                <w:sz w:val="22"/>
                <w:szCs w:val="22"/>
              </w:rPr>
              <w:t>7</w:t>
            </w:r>
            <w:r w:rsidRPr="00706D78">
              <w:rPr>
                <w:rFonts w:cs="Arial"/>
                <w:b/>
                <w:color w:val="000000" w:themeColor="text1"/>
                <w:sz w:val="22"/>
                <w:szCs w:val="22"/>
              </w:rPr>
              <w:t>MtCO2e</w:t>
            </w:r>
            <w:r>
              <w:rPr>
                <w:rFonts w:cs="Arial"/>
                <w:color w:val="000000" w:themeColor="text1"/>
                <w:sz w:val="22"/>
                <w:szCs w:val="22"/>
              </w:rPr>
              <w:t xml:space="preserve"> reduction, against a 201</w:t>
            </w:r>
            <w:r w:rsidR="00D469B8">
              <w:rPr>
                <w:rFonts w:cs="Arial"/>
                <w:color w:val="000000" w:themeColor="text1"/>
                <w:sz w:val="22"/>
                <w:szCs w:val="22"/>
              </w:rPr>
              <w:t>9</w:t>
            </w:r>
            <w:r>
              <w:rPr>
                <w:rFonts w:cs="Arial"/>
                <w:color w:val="000000" w:themeColor="text1"/>
                <w:sz w:val="22"/>
                <w:szCs w:val="22"/>
              </w:rPr>
              <w:t xml:space="preserve"> target of </w:t>
            </w:r>
            <w:r>
              <w:rPr>
                <w:rFonts w:cs="Arial"/>
                <w:b/>
                <w:color w:val="000000" w:themeColor="text1"/>
                <w:sz w:val="22"/>
                <w:szCs w:val="22"/>
              </w:rPr>
              <w:t>0.1</w:t>
            </w:r>
            <w:r w:rsidR="00A6761D">
              <w:rPr>
                <w:rFonts w:cs="Arial"/>
                <w:b/>
                <w:color w:val="000000" w:themeColor="text1"/>
                <w:sz w:val="22"/>
                <w:szCs w:val="22"/>
              </w:rPr>
              <w:t>3</w:t>
            </w:r>
            <w:r>
              <w:rPr>
                <w:rFonts w:cs="Arial"/>
                <w:b/>
                <w:color w:val="000000" w:themeColor="text1"/>
                <w:sz w:val="22"/>
                <w:szCs w:val="22"/>
              </w:rPr>
              <w:t>MtCO2e</w:t>
            </w:r>
          </w:p>
          <w:p w14:paraId="65FF26A6" w14:textId="0DC67762" w:rsidR="00FB19AB" w:rsidRDefault="00FB19AB" w:rsidP="00673030">
            <w:pPr>
              <w:jc w:val="both"/>
              <w:rPr>
                <w:rFonts w:cs="Arial"/>
                <w:b/>
                <w:i/>
                <w:color w:val="000000" w:themeColor="text1"/>
                <w:sz w:val="22"/>
                <w:szCs w:val="22"/>
              </w:rPr>
            </w:pPr>
          </w:p>
          <w:p w14:paraId="62C82274" w14:textId="69739BD1" w:rsidR="00E40040" w:rsidRDefault="00A6761D" w:rsidP="00673030">
            <w:pPr>
              <w:jc w:val="both"/>
              <w:rPr>
                <w:rFonts w:cs="Arial"/>
                <w:color w:val="000000" w:themeColor="text1"/>
                <w:sz w:val="22"/>
                <w:szCs w:val="22"/>
              </w:rPr>
            </w:pPr>
            <w:r>
              <w:rPr>
                <w:rFonts w:cs="Arial"/>
                <w:color w:val="000000" w:themeColor="text1"/>
                <w:sz w:val="22"/>
                <w:szCs w:val="22"/>
              </w:rPr>
              <w:t>T</w:t>
            </w:r>
            <w:r w:rsidR="002C214C">
              <w:rPr>
                <w:rFonts w:cs="Arial"/>
                <w:color w:val="000000" w:themeColor="text1"/>
                <w:sz w:val="22"/>
                <w:szCs w:val="22"/>
              </w:rPr>
              <w:t xml:space="preserve">his </w:t>
            </w:r>
            <w:r w:rsidR="006C432D">
              <w:rPr>
                <w:rFonts w:cs="Arial"/>
                <w:color w:val="000000" w:themeColor="text1"/>
                <w:sz w:val="22"/>
                <w:szCs w:val="22"/>
              </w:rPr>
              <w:t xml:space="preserve">figure </w:t>
            </w:r>
            <w:r>
              <w:rPr>
                <w:rFonts w:cs="Arial"/>
                <w:color w:val="000000" w:themeColor="text1"/>
                <w:sz w:val="22"/>
                <w:szCs w:val="22"/>
              </w:rPr>
              <w:t xml:space="preserve">is </w:t>
            </w:r>
            <w:r w:rsidR="006C432D">
              <w:rPr>
                <w:rFonts w:cs="Arial"/>
                <w:color w:val="000000" w:themeColor="text1"/>
                <w:sz w:val="22"/>
                <w:szCs w:val="22"/>
              </w:rPr>
              <w:t>derived from the emission reductions reported to the UNFCCC</w:t>
            </w:r>
            <w:r w:rsidR="003A7B2C">
              <w:rPr>
                <w:rFonts w:cs="Arial"/>
                <w:color w:val="000000" w:themeColor="text1"/>
                <w:sz w:val="22"/>
                <w:szCs w:val="22"/>
              </w:rPr>
              <w:t xml:space="preserve"> in the form of published monitoring reports</w:t>
            </w:r>
            <w:r w:rsidR="006C432D">
              <w:rPr>
                <w:rFonts w:cs="Arial"/>
                <w:color w:val="000000" w:themeColor="text1"/>
                <w:sz w:val="22"/>
                <w:szCs w:val="22"/>
              </w:rPr>
              <w:t xml:space="preserve">. </w:t>
            </w:r>
            <w:r w:rsidR="00DB0800">
              <w:rPr>
                <w:rFonts w:cs="Arial"/>
                <w:color w:val="000000" w:themeColor="text1"/>
                <w:sz w:val="22"/>
                <w:szCs w:val="22"/>
              </w:rPr>
              <w:t xml:space="preserve">It could be measured at an earlier stage, when </w:t>
            </w:r>
            <w:r w:rsidR="0011679C">
              <w:rPr>
                <w:rFonts w:cs="Arial"/>
                <w:color w:val="000000" w:themeColor="text1"/>
                <w:sz w:val="22"/>
                <w:szCs w:val="22"/>
              </w:rPr>
              <w:t>PEs</w:t>
            </w:r>
            <w:r w:rsidR="00DB0800">
              <w:rPr>
                <w:rFonts w:cs="Arial"/>
                <w:color w:val="000000" w:themeColor="text1"/>
                <w:sz w:val="22"/>
                <w:szCs w:val="22"/>
              </w:rPr>
              <w:t xml:space="preserve"> report to the Trustee; or later, </w:t>
            </w:r>
            <w:r w:rsidR="007C7989">
              <w:rPr>
                <w:rFonts w:cs="Arial"/>
                <w:color w:val="000000" w:themeColor="text1"/>
                <w:sz w:val="22"/>
                <w:szCs w:val="22"/>
              </w:rPr>
              <w:t xml:space="preserve">as CERs ultimately issued by the UNFCCC. The former is </w:t>
            </w:r>
            <w:r w:rsidR="00EC0C78">
              <w:rPr>
                <w:rFonts w:cs="Arial"/>
                <w:color w:val="000000" w:themeColor="text1"/>
                <w:sz w:val="22"/>
                <w:szCs w:val="22"/>
              </w:rPr>
              <w:t>less robust (as it involves less oversight and review) and the latter</w:t>
            </w:r>
            <w:r w:rsidR="00CA3C07">
              <w:rPr>
                <w:rFonts w:cs="Arial"/>
                <w:color w:val="000000" w:themeColor="text1"/>
                <w:sz w:val="22"/>
                <w:szCs w:val="22"/>
              </w:rPr>
              <w:t xml:space="preserve"> a less relevant measure over a given review period (as the issuance process can take over 18 months). </w:t>
            </w:r>
          </w:p>
          <w:p w14:paraId="7AF4A8A2" w14:textId="16F65B7F" w:rsidR="006A2167" w:rsidRDefault="006A2167" w:rsidP="00673030">
            <w:pPr>
              <w:jc w:val="both"/>
              <w:rPr>
                <w:rFonts w:cs="Arial"/>
                <w:color w:val="000000" w:themeColor="text1"/>
                <w:sz w:val="22"/>
                <w:szCs w:val="22"/>
              </w:rPr>
            </w:pPr>
          </w:p>
          <w:p w14:paraId="24633F8F" w14:textId="110E689D" w:rsidR="00A6761D" w:rsidRDefault="00286736" w:rsidP="00673030">
            <w:pPr>
              <w:jc w:val="both"/>
              <w:rPr>
                <w:rFonts w:cs="Arial"/>
                <w:color w:val="000000" w:themeColor="text1"/>
                <w:sz w:val="22"/>
                <w:szCs w:val="22"/>
              </w:rPr>
            </w:pPr>
            <w:r>
              <w:rPr>
                <w:rFonts w:cs="Arial"/>
                <w:color w:val="000000" w:themeColor="text1"/>
                <w:sz w:val="22"/>
                <w:szCs w:val="22"/>
              </w:rPr>
              <w:t xml:space="preserve">It was agreed that </w:t>
            </w:r>
            <w:r w:rsidR="00003E10">
              <w:rPr>
                <w:rFonts w:cs="Arial"/>
                <w:color w:val="000000" w:themeColor="text1"/>
                <w:sz w:val="22"/>
                <w:szCs w:val="22"/>
              </w:rPr>
              <w:t xml:space="preserve">to give added context to portfolio implementation, </w:t>
            </w:r>
            <w:r>
              <w:rPr>
                <w:rFonts w:cs="Arial"/>
                <w:color w:val="000000" w:themeColor="text1"/>
                <w:sz w:val="22"/>
                <w:szCs w:val="22"/>
              </w:rPr>
              <w:t>the former</w:t>
            </w:r>
            <w:r w:rsidR="000A0831">
              <w:rPr>
                <w:rFonts w:cs="Arial"/>
                <w:color w:val="000000" w:themeColor="text1"/>
                <w:sz w:val="22"/>
                <w:szCs w:val="22"/>
              </w:rPr>
              <w:t xml:space="preserve"> statistic could be included</w:t>
            </w:r>
            <w:r w:rsidR="00B151FF">
              <w:rPr>
                <w:rFonts w:cs="Arial"/>
                <w:color w:val="000000" w:themeColor="text1"/>
                <w:sz w:val="22"/>
                <w:szCs w:val="22"/>
              </w:rPr>
              <w:t>, but not scored,</w:t>
            </w:r>
            <w:r w:rsidR="000A0831">
              <w:rPr>
                <w:rFonts w:cs="Arial"/>
                <w:color w:val="000000" w:themeColor="text1"/>
                <w:sz w:val="22"/>
                <w:szCs w:val="22"/>
              </w:rPr>
              <w:t xml:space="preserve"> in annual re</w:t>
            </w:r>
            <w:r w:rsidR="0094755D">
              <w:rPr>
                <w:rFonts w:cs="Arial"/>
                <w:color w:val="000000" w:themeColor="text1"/>
                <w:sz w:val="22"/>
                <w:szCs w:val="22"/>
              </w:rPr>
              <w:t>vi</w:t>
            </w:r>
            <w:r w:rsidR="000A0831">
              <w:rPr>
                <w:rFonts w:cs="Arial"/>
                <w:color w:val="000000" w:themeColor="text1"/>
                <w:sz w:val="22"/>
                <w:szCs w:val="22"/>
              </w:rPr>
              <w:t>ews</w:t>
            </w:r>
            <w:r w:rsidR="00003E10">
              <w:rPr>
                <w:rFonts w:cs="Arial"/>
                <w:color w:val="000000" w:themeColor="text1"/>
                <w:sz w:val="22"/>
                <w:szCs w:val="22"/>
              </w:rPr>
              <w:t xml:space="preserve">. </w:t>
            </w:r>
            <w:r w:rsidR="000606A4">
              <w:rPr>
                <w:rFonts w:cs="Arial"/>
                <w:color w:val="000000" w:themeColor="text1"/>
                <w:sz w:val="22"/>
                <w:szCs w:val="22"/>
              </w:rPr>
              <w:t xml:space="preserve">When </w:t>
            </w:r>
            <w:r w:rsidR="00E07F3F">
              <w:rPr>
                <w:rFonts w:cs="Arial"/>
                <w:color w:val="000000" w:themeColor="text1"/>
                <w:sz w:val="22"/>
                <w:szCs w:val="22"/>
              </w:rPr>
              <w:t xml:space="preserve">including MtCO2e monitored and reported by </w:t>
            </w:r>
            <w:r w:rsidR="0011679C">
              <w:rPr>
                <w:rFonts w:cs="Arial"/>
                <w:color w:val="000000" w:themeColor="text1"/>
                <w:sz w:val="22"/>
                <w:szCs w:val="22"/>
              </w:rPr>
              <w:t>PEs to the Trustee, achieved cumulative generation increases to 0.</w:t>
            </w:r>
            <w:r w:rsidR="00A6761D">
              <w:rPr>
                <w:rFonts w:cs="Arial"/>
                <w:color w:val="000000" w:themeColor="text1"/>
                <w:sz w:val="22"/>
                <w:szCs w:val="22"/>
              </w:rPr>
              <w:t>9</w:t>
            </w:r>
            <w:r w:rsidR="004D127F">
              <w:rPr>
                <w:rFonts w:cs="Arial"/>
                <w:color w:val="000000" w:themeColor="text1"/>
                <w:sz w:val="22"/>
                <w:szCs w:val="22"/>
              </w:rPr>
              <w:t>7</w:t>
            </w:r>
            <w:r w:rsidR="0011679C">
              <w:rPr>
                <w:rFonts w:cs="Arial"/>
                <w:color w:val="000000" w:themeColor="text1"/>
                <w:sz w:val="22"/>
                <w:szCs w:val="22"/>
              </w:rPr>
              <w:t>MtCO2e, o</w:t>
            </w:r>
            <w:r w:rsidR="00D74FE7">
              <w:rPr>
                <w:rFonts w:cs="Arial"/>
                <w:color w:val="000000" w:themeColor="text1"/>
                <w:sz w:val="22"/>
                <w:szCs w:val="22"/>
              </w:rPr>
              <w:t>f</w:t>
            </w:r>
            <w:r w:rsidR="0011679C">
              <w:rPr>
                <w:rFonts w:cs="Arial"/>
                <w:color w:val="000000" w:themeColor="text1"/>
                <w:sz w:val="22"/>
                <w:szCs w:val="22"/>
              </w:rPr>
              <w:t xml:space="preserve"> which 0.</w:t>
            </w:r>
            <w:r w:rsidR="00A6761D">
              <w:rPr>
                <w:rFonts w:cs="Arial"/>
                <w:color w:val="000000" w:themeColor="text1"/>
                <w:sz w:val="22"/>
                <w:szCs w:val="22"/>
              </w:rPr>
              <w:t>5</w:t>
            </w:r>
            <w:r w:rsidR="004D127F">
              <w:rPr>
                <w:rFonts w:cs="Arial"/>
                <w:color w:val="000000" w:themeColor="text1"/>
                <w:sz w:val="22"/>
                <w:szCs w:val="22"/>
              </w:rPr>
              <w:t>7</w:t>
            </w:r>
            <w:r w:rsidR="0011679C">
              <w:rPr>
                <w:rFonts w:cs="Arial"/>
                <w:color w:val="000000" w:themeColor="text1"/>
                <w:sz w:val="22"/>
                <w:szCs w:val="22"/>
              </w:rPr>
              <w:t>MtCO2e is attributable to the UK.</w:t>
            </w:r>
            <w:r w:rsidR="001A70DC">
              <w:rPr>
                <w:rFonts w:cs="Arial"/>
                <w:color w:val="000000" w:themeColor="text1"/>
                <w:sz w:val="22"/>
                <w:szCs w:val="22"/>
              </w:rPr>
              <w:t xml:space="preserve"> </w:t>
            </w:r>
          </w:p>
          <w:p w14:paraId="6461E705" w14:textId="77777777" w:rsidR="00A6761D" w:rsidRDefault="00A6761D" w:rsidP="00673030">
            <w:pPr>
              <w:jc w:val="both"/>
              <w:rPr>
                <w:rFonts w:cs="Arial"/>
                <w:color w:val="000000" w:themeColor="text1"/>
                <w:sz w:val="22"/>
                <w:szCs w:val="22"/>
              </w:rPr>
            </w:pPr>
          </w:p>
          <w:p w14:paraId="1E3A4E97" w14:textId="48B48191" w:rsidR="00003E10" w:rsidRDefault="00A6761D" w:rsidP="00673030">
            <w:pPr>
              <w:jc w:val="both"/>
              <w:rPr>
                <w:rFonts w:cs="Arial"/>
                <w:color w:val="000000" w:themeColor="text1"/>
                <w:sz w:val="22"/>
                <w:szCs w:val="22"/>
              </w:rPr>
            </w:pPr>
            <w:r>
              <w:rPr>
                <w:rFonts w:cs="Arial"/>
                <w:color w:val="000000" w:themeColor="text1"/>
                <w:sz w:val="22"/>
                <w:szCs w:val="22"/>
              </w:rPr>
              <w:t xml:space="preserve">Despite this increase, in the longer term the current projection is for the portfolio to </w:t>
            </w:r>
            <w:r w:rsidR="003D281C">
              <w:rPr>
                <w:rFonts w:cs="Arial"/>
                <w:color w:val="000000" w:themeColor="text1"/>
                <w:sz w:val="22"/>
                <w:szCs w:val="22"/>
              </w:rPr>
              <w:t xml:space="preserve">deliver </w:t>
            </w:r>
            <w:r>
              <w:rPr>
                <w:rFonts w:cs="Arial"/>
                <w:color w:val="000000" w:themeColor="text1"/>
                <w:sz w:val="22"/>
                <w:szCs w:val="22"/>
              </w:rPr>
              <w:t>2.</w:t>
            </w:r>
            <w:r w:rsidR="007505A6">
              <w:rPr>
                <w:rFonts w:cs="Arial"/>
                <w:color w:val="000000" w:themeColor="text1"/>
                <w:sz w:val="22"/>
                <w:szCs w:val="22"/>
              </w:rPr>
              <w:t>76</w:t>
            </w:r>
            <w:r>
              <w:rPr>
                <w:rFonts w:cs="Arial"/>
                <w:color w:val="000000" w:themeColor="text1"/>
                <w:sz w:val="22"/>
                <w:szCs w:val="22"/>
              </w:rPr>
              <w:t>MtC</w:t>
            </w:r>
            <w:r w:rsidR="00855302">
              <w:rPr>
                <w:rFonts w:cs="Arial"/>
                <w:color w:val="000000" w:themeColor="text1"/>
                <w:sz w:val="22"/>
                <w:szCs w:val="22"/>
              </w:rPr>
              <w:t>O</w:t>
            </w:r>
            <w:r>
              <w:rPr>
                <w:rFonts w:cs="Arial"/>
                <w:color w:val="000000" w:themeColor="text1"/>
                <w:sz w:val="22"/>
                <w:szCs w:val="22"/>
              </w:rPr>
              <w:t xml:space="preserve">2e of the 4.11MtCO2e target (both UK attributed). </w:t>
            </w:r>
            <w:r w:rsidR="00266E04">
              <w:rPr>
                <w:rFonts w:cs="Arial"/>
                <w:color w:val="000000" w:themeColor="text1"/>
                <w:sz w:val="22"/>
                <w:szCs w:val="22"/>
              </w:rPr>
              <w:t>Most (</w:t>
            </w:r>
            <w:r w:rsidR="00A93BDF">
              <w:rPr>
                <w:rFonts w:cs="Arial"/>
                <w:color w:val="000000" w:themeColor="text1"/>
                <w:sz w:val="22"/>
                <w:szCs w:val="22"/>
              </w:rPr>
              <w:t>c</w:t>
            </w:r>
            <w:r w:rsidR="009E7F8C">
              <w:rPr>
                <w:rFonts w:cs="Arial"/>
                <w:color w:val="000000" w:themeColor="text1"/>
                <w:sz w:val="22"/>
                <w:szCs w:val="22"/>
              </w:rPr>
              <w:t xml:space="preserve">. </w:t>
            </w:r>
            <w:r w:rsidR="00A93BDF">
              <w:rPr>
                <w:rFonts w:cs="Arial"/>
                <w:color w:val="000000" w:themeColor="text1"/>
                <w:sz w:val="22"/>
                <w:szCs w:val="22"/>
              </w:rPr>
              <w:t>1</w:t>
            </w:r>
            <w:r w:rsidR="003D0A84">
              <w:rPr>
                <w:rFonts w:cs="Arial"/>
                <w:color w:val="000000" w:themeColor="text1"/>
                <w:sz w:val="22"/>
                <w:szCs w:val="22"/>
              </w:rPr>
              <w:t xml:space="preserve">MtCO2e) of this new anticipated shortfall </w:t>
            </w:r>
            <w:r w:rsidR="000B74D2">
              <w:rPr>
                <w:rFonts w:cs="Arial"/>
                <w:color w:val="000000" w:themeColor="text1"/>
                <w:sz w:val="22"/>
                <w:szCs w:val="22"/>
              </w:rPr>
              <w:t xml:space="preserve">comes from the </w:t>
            </w:r>
            <w:r w:rsidR="003B3746">
              <w:rPr>
                <w:rFonts w:cs="Arial"/>
                <w:color w:val="000000" w:themeColor="text1"/>
                <w:sz w:val="22"/>
                <w:szCs w:val="22"/>
              </w:rPr>
              <w:t xml:space="preserve">downward </w:t>
            </w:r>
            <w:r w:rsidR="000B74D2">
              <w:rPr>
                <w:rFonts w:cs="Arial"/>
                <w:color w:val="000000" w:themeColor="text1"/>
                <w:sz w:val="22"/>
                <w:szCs w:val="22"/>
              </w:rPr>
              <w:t>revision of</w:t>
            </w:r>
            <w:r>
              <w:rPr>
                <w:rFonts w:cs="Arial"/>
                <w:color w:val="000000" w:themeColor="text1"/>
                <w:sz w:val="22"/>
                <w:szCs w:val="22"/>
              </w:rPr>
              <w:t xml:space="preserve"> delivery projections </w:t>
            </w:r>
            <w:r w:rsidR="00537C1F">
              <w:rPr>
                <w:rFonts w:cs="Arial"/>
                <w:color w:val="000000" w:themeColor="text1"/>
                <w:sz w:val="22"/>
                <w:szCs w:val="22"/>
              </w:rPr>
              <w:t>to reflect bankrupt or struggling projects</w:t>
            </w:r>
            <w:r w:rsidR="000B74D2">
              <w:rPr>
                <w:rFonts w:cs="Arial"/>
                <w:color w:val="000000" w:themeColor="text1"/>
                <w:sz w:val="22"/>
                <w:szCs w:val="22"/>
              </w:rPr>
              <w:t>.</w:t>
            </w:r>
            <w:r>
              <w:rPr>
                <w:rFonts w:cs="Arial"/>
                <w:color w:val="000000" w:themeColor="text1"/>
                <w:sz w:val="22"/>
                <w:szCs w:val="22"/>
              </w:rPr>
              <w:t xml:space="preserve"> Should new signatories be identified, the lifetime projected result for this KPI will increase</w:t>
            </w:r>
            <w:r w:rsidR="00537C1F">
              <w:rPr>
                <w:rFonts w:cs="Arial"/>
                <w:color w:val="000000" w:themeColor="text1"/>
                <w:sz w:val="22"/>
                <w:szCs w:val="22"/>
              </w:rPr>
              <w:t xml:space="preserve"> and lifetime targets will be </w:t>
            </w:r>
            <w:r w:rsidR="00FB2C7C">
              <w:rPr>
                <w:rFonts w:cs="Arial"/>
                <w:color w:val="000000" w:themeColor="text1"/>
                <w:sz w:val="22"/>
                <w:szCs w:val="22"/>
              </w:rPr>
              <w:t xml:space="preserve">more </w:t>
            </w:r>
            <w:r w:rsidR="00537C1F">
              <w:rPr>
                <w:rFonts w:cs="Arial"/>
                <w:color w:val="000000" w:themeColor="text1"/>
                <w:sz w:val="22"/>
                <w:szCs w:val="22"/>
              </w:rPr>
              <w:t>viable</w:t>
            </w:r>
            <w:r>
              <w:rPr>
                <w:rFonts w:cs="Arial"/>
                <w:color w:val="000000" w:themeColor="text1"/>
                <w:sz w:val="22"/>
                <w:szCs w:val="22"/>
              </w:rPr>
              <w:t xml:space="preserve">. </w:t>
            </w:r>
          </w:p>
          <w:p w14:paraId="32DE9DA0" w14:textId="77777777" w:rsidR="00E40040" w:rsidRPr="00581E6D" w:rsidRDefault="00E40040" w:rsidP="00A6761D">
            <w:pPr>
              <w:rPr>
                <w:rFonts w:cs="Arial"/>
                <w:color w:val="000000" w:themeColor="text1"/>
                <w:sz w:val="22"/>
                <w:szCs w:val="22"/>
              </w:rPr>
            </w:pPr>
          </w:p>
        </w:tc>
      </w:tr>
      <w:tr w:rsidR="001416B6" w:rsidRPr="00581E6D" w14:paraId="4F1AC7F7" w14:textId="77777777" w:rsidTr="00C44CB0">
        <w:tc>
          <w:tcPr>
            <w:tcW w:w="1447" w:type="dxa"/>
            <w:vAlign w:val="center"/>
          </w:tcPr>
          <w:p w14:paraId="58A5CECB" w14:textId="0DC5733F" w:rsidR="001416B6" w:rsidRPr="00581E6D" w:rsidRDefault="001416B6" w:rsidP="00FE7770">
            <w:pPr>
              <w:rPr>
                <w:rFonts w:cs="Arial"/>
                <w:i/>
                <w:color w:val="000000" w:themeColor="text1"/>
                <w:sz w:val="22"/>
                <w:szCs w:val="22"/>
              </w:rPr>
            </w:pPr>
            <w:r w:rsidRPr="00581E6D">
              <w:rPr>
                <w:rFonts w:cs="Arial"/>
                <w:i/>
                <w:color w:val="000000" w:themeColor="text1"/>
                <w:sz w:val="22"/>
                <w:szCs w:val="22"/>
              </w:rPr>
              <w:t>Level of installed capacity of clean energy M</w:t>
            </w:r>
            <w:r w:rsidR="0072321E">
              <w:rPr>
                <w:rFonts w:cs="Arial"/>
                <w:i/>
                <w:color w:val="000000" w:themeColor="text1"/>
                <w:sz w:val="22"/>
                <w:szCs w:val="22"/>
              </w:rPr>
              <w:t>egawatts (M</w:t>
            </w:r>
            <w:r w:rsidRPr="00581E6D">
              <w:rPr>
                <w:rFonts w:cs="Arial"/>
                <w:i/>
                <w:color w:val="000000" w:themeColor="text1"/>
                <w:sz w:val="22"/>
                <w:szCs w:val="22"/>
              </w:rPr>
              <w:t xml:space="preserve">W) in all </w:t>
            </w:r>
            <w:r w:rsidR="00512DCC">
              <w:rPr>
                <w:rFonts w:cs="Arial"/>
                <w:i/>
                <w:color w:val="000000" w:themeColor="text1"/>
                <w:sz w:val="22"/>
                <w:szCs w:val="22"/>
              </w:rPr>
              <w:t>Ci-Dev</w:t>
            </w:r>
            <w:r w:rsidRPr="00581E6D">
              <w:rPr>
                <w:rFonts w:cs="Arial"/>
                <w:i/>
                <w:color w:val="000000" w:themeColor="text1"/>
                <w:sz w:val="22"/>
                <w:szCs w:val="22"/>
              </w:rPr>
              <w:t xml:space="preserve"> projects</w:t>
            </w:r>
          </w:p>
          <w:p w14:paraId="6BFB362F" w14:textId="480C2B6D" w:rsidR="001416B6" w:rsidRPr="00176E3C" w:rsidRDefault="00176E3C" w:rsidP="00FE7770">
            <w:pPr>
              <w:rPr>
                <w:rFonts w:cs="Arial"/>
                <w:i/>
                <w:color w:val="000000" w:themeColor="text1"/>
                <w:sz w:val="22"/>
                <w:szCs w:val="22"/>
              </w:rPr>
            </w:pPr>
            <w:r w:rsidRPr="00176E3C">
              <w:rPr>
                <w:rFonts w:cs="Arial"/>
                <w:i/>
                <w:color w:val="000000" w:themeColor="text1"/>
                <w:sz w:val="22"/>
                <w:szCs w:val="22"/>
              </w:rPr>
              <w:t>(ICF KPI 7)</w:t>
            </w:r>
          </w:p>
        </w:tc>
        <w:tc>
          <w:tcPr>
            <w:tcW w:w="8639" w:type="dxa"/>
          </w:tcPr>
          <w:p w14:paraId="62977F77" w14:textId="77777777" w:rsidR="00706D78" w:rsidRDefault="00706D78" w:rsidP="00673030">
            <w:pPr>
              <w:jc w:val="both"/>
              <w:rPr>
                <w:rFonts w:cs="Arial"/>
                <w:color w:val="000000" w:themeColor="text1"/>
                <w:sz w:val="22"/>
                <w:szCs w:val="22"/>
              </w:rPr>
            </w:pPr>
          </w:p>
          <w:p w14:paraId="64B62BF6" w14:textId="362D785C" w:rsidR="00706D78" w:rsidRPr="00803327" w:rsidRDefault="00706D78" w:rsidP="00673030">
            <w:pPr>
              <w:jc w:val="both"/>
              <w:rPr>
                <w:rFonts w:cs="Arial"/>
                <w:color w:val="000000" w:themeColor="text1"/>
                <w:sz w:val="22"/>
                <w:szCs w:val="22"/>
              </w:rPr>
            </w:pPr>
            <w:r w:rsidRPr="00581E6D">
              <w:rPr>
                <w:rFonts w:cs="Arial"/>
                <w:color w:val="000000" w:themeColor="text1"/>
                <w:sz w:val="22"/>
                <w:szCs w:val="22"/>
              </w:rPr>
              <w:t xml:space="preserve">Ci-Dev </w:t>
            </w:r>
            <w:r>
              <w:rPr>
                <w:rFonts w:cs="Arial"/>
                <w:color w:val="000000" w:themeColor="text1"/>
                <w:sz w:val="22"/>
                <w:szCs w:val="22"/>
              </w:rPr>
              <w:t xml:space="preserve">achieved an installed capacity of </w:t>
            </w:r>
            <w:r w:rsidR="00212D76">
              <w:rPr>
                <w:rFonts w:cs="Arial"/>
                <w:b/>
                <w:color w:val="000000" w:themeColor="text1"/>
                <w:sz w:val="22"/>
                <w:szCs w:val="22"/>
              </w:rPr>
              <w:t>54.6</w:t>
            </w:r>
            <w:r w:rsidRPr="00706D78">
              <w:rPr>
                <w:rFonts w:cs="Arial"/>
                <w:b/>
                <w:color w:val="000000" w:themeColor="text1"/>
                <w:sz w:val="22"/>
                <w:szCs w:val="22"/>
              </w:rPr>
              <w:t>MW</w:t>
            </w:r>
            <w:r>
              <w:rPr>
                <w:rFonts w:cs="Arial"/>
                <w:b/>
                <w:color w:val="000000" w:themeColor="text1"/>
                <w:sz w:val="22"/>
                <w:szCs w:val="22"/>
              </w:rPr>
              <w:t xml:space="preserve">, </w:t>
            </w:r>
            <w:r>
              <w:rPr>
                <w:rFonts w:cs="Arial"/>
                <w:color w:val="000000" w:themeColor="text1"/>
                <w:sz w:val="22"/>
                <w:szCs w:val="22"/>
              </w:rPr>
              <w:t>against a 201</w:t>
            </w:r>
            <w:r w:rsidR="006F6725">
              <w:rPr>
                <w:rFonts w:cs="Arial"/>
                <w:color w:val="000000" w:themeColor="text1"/>
                <w:sz w:val="22"/>
                <w:szCs w:val="22"/>
              </w:rPr>
              <w:t>9</w:t>
            </w:r>
            <w:r>
              <w:rPr>
                <w:rFonts w:cs="Arial"/>
                <w:color w:val="000000" w:themeColor="text1"/>
                <w:sz w:val="22"/>
                <w:szCs w:val="22"/>
              </w:rPr>
              <w:t xml:space="preserve"> target of </w:t>
            </w:r>
            <w:r w:rsidR="006F6725">
              <w:rPr>
                <w:rFonts w:cs="Arial"/>
                <w:b/>
                <w:color w:val="000000" w:themeColor="text1"/>
                <w:sz w:val="22"/>
                <w:szCs w:val="22"/>
              </w:rPr>
              <w:t>55</w:t>
            </w:r>
            <w:r>
              <w:rPr>
                <w:rFonts w:cs="Arial"/>
                <w:b/>
                <w:color w:val="000000" w:themeColor="text1"/>
                <w:sz w:val="22"/>
                <w:szCs w:val="22"/>
              </w:rPr>
              <w:t>MW</w:t>
            </w:r>
            <w:r w:rsidR="0058653C">
              <w:rPr>
                <w:rFonts w:cs="Arial"/>
                <w:b/>
                <w:color w:val="000000" w:themeColor="text1"/>
                <w:sz w:val="22"/>
                <w:szCs w:val="22"/>
              </w:rPr>
              <w:t>.</w:t>
            </w:r>
          </w:p>
          <w:p w14:paraId="771A0D61" w14:textId="77777777" w:rsidR="00743655" w:rsidRDefault="00743655" w:rsidP="00673030">
            <w:pPr>
              <w:jc w:val="both"/>
              <w:rPr>
                <w:rFonts w:cs="Arial"/>
                <w:b/>
                <w:color w:val="000000" w:themeColor="text1"/>
                <w:sz w:val="22"/>
                <w:szCs w:val="22"/>
              </w:rPr>
            </w:pPr>
          </w:p>
          <w:p w14:paraId="4078B692" w14:textId="51C986E7" w:rsidR="00216B9E" w:rsidRPr="00216B9E" w:rsidRDefault="00743655" w:rsidP="00673030">
            <w:pPr>
              <w:jc w:val="both"/>
              <w:rPr>
                <w:rFonts w:cs="Arial"/>
                <w:sz w:val="22"/>
                <w:szCs w:val="22"/>
                <w:lang w:val="en-US"/>
              </w:rPr>
            </w:pPr>
            <w:r w:rsidRPr="00A12E28">
              <w:rPr>
                <w:rFonts w:cs="Arial"/>
                <w:color w:val="000000" w:themeColor="text1"/>
                <w:sz w:val="22"/>
                <w:szCs w:val="22"/>
              </w:rPr>
              <w:t>T</w:t>
            </w:r>
            <w:r w:rsidR="00FB19AB" w:rsidRPr="00581E6D">
              <w:rPr>
                <w:rFonts w:cs="Arial"/>
                <w:color w:val="000000" w:themeColor="text1"/>
                <w:sz w:val="22"/>
                <w:szCs w:val="22"/>
              </w:rPr>
              <w:t xml:space="preserve">his figure includes the electrical capacity </w:t>
            </w:r>
            <w:r w:rsidR="00D058E6">
              <w:rPr>
                <w:rFonts w:cs="Arial"/>
                <w:color w:val="000000" w:themeColor="text1"/>
                <w:sz w:val="22"/>
                <w:szCs w:val="22"/>
              </w:rPr>
              <w:t xml:space="preserve">equivalent </w:t>
            </w:r>
            <w:r w:rsidR="00FB19AB" w:rsidRPr="00581E6D">
              <w:rPr>
                <w:rFonts w:cs="Arial"/>
                <w:color w:val="000000" w:themeColor="text1"/>
                <w:sz w:val="22"/>
                <w:szCs w:val="22"/>
              </w:rPr>
              <w:t>(in MW) of the</w:t>
            </w:r>
            <w:r w:rsidR="00A21E41">
              <w:rPr>
                <w:rFonts w:cs="Arial"/>
                <w:color w:val="000000" w:themeColor="text1"/>
                <w:sz w:val="22"/>
                <w:szCs w:val="22"/>
              </w:rPr>
              <w:t xml:space="preserve"> portfolio’s cookstove and</w:t>
            </w:r>
            <w:r w:rsidR="00FB19AB" w:rsidRPr="00581E6D">
              <w:rPr>
                <w:rFonts w:cs="Arial"/>
                <w:color w:val="000000" w:themeColor="text1"/>
                <w:sz w:val="22"/>
                <w:szCs w:val="22"/>
              </w:rPr>
              <w:t xml:space="preserve"> biogas digester </w:t>
            </w:r>
            <w:r w:rsidR="00FB19AB" w:rsidRPr="00216B9E">
              <w:rPr>
                <w:rFonts w:cs="Arial"/>
                <w:color w:val="000000" w:themeColor="text1"/>
                <w:sz w:val="22"/>
                <w:szCs w:val="22"/>
              </w:rPr>
              <w:t>projects, which hold thermal generation capacity.</w:t>
            </w:r>
            <w:r w:rsidR="00216B9E" w:rsidRPr="00216B9E">
              <w:rPr>
                <w:rFonts w:cs="Arial"/>
                <w:color w:val="000000" w:themeColor="text1"/>
                <w:sz w:val="22"/>
                <w:szCs w:val="22"/>
              </w:rPr>
              <w:t xml:space="preserve"> </w:t>
            </w:r>
            <w:r w:rsidR="00216B9E" w:rsidRPr="00216B9E">
              <w:rPr>
                <w:rFonts w:cs="Arial"/>
                <w:sz w:val="22"/>
                <w:szCs w:val="22"/>
                <w:lang w:val="en-US"/>
              </w:rPr>
              <w:t xml:space="preserve">Of the total installed capacity, </w:t>
            </w:r>
            <w:r w:rsidR="006F6725">
              <w:rPr>
                <w:rFonts w:cs="Arial"/>
                <w:sz w:val="22"/>
                <w:szCs w:val="22"/>
                <w:lang w:val="en-US"/>
              </w:rPr>
              <w:t>43.8</w:t>
            </w:r>
            <w:r w:rsidR="00216B9E" w:rsidRPr="00216B9E">
              <w:rPr>
                <w:rFonts w:cs="Arial"/>
                <w:sz w:val="22"/>
                <w:szCs w:val="22"/>
                <w:lang w:val="en-US"/>
              </w:rPr>
              <w:t>MW are the electrical capacity equivalent in MW of the project’s three biogas digester projects and three cookstoves projects, which hold thermal generation capacity</w:t>
            </w:r>
            <w:r w:rsidR="00216B9E" w:rsidRPr="00216B9E">
              <w:rPr>
                <w:rStyle w:val="FootnoteReference"/>
                <w:rFonts w:cs="Arial"/>
                <w:sz w:val="22"/>
                <w:szCs w:val="22"/>
                <w:lang w:val="en-US"/>
              </w:rPr>
              <w:footnoteReference w:id="10"/>
            </w:r>
            <w:r w:rsidR="00216B9E" w:rsidRPr="00216B9E">
              <w:rPr>
                <w:rFonts w:cs="Arial"/>
                <w:sz w:val="22"/>
                <w:szCs w:val="22"/>
                <w:lang w:val="en-US"/>
              </w:rPr>
              <w:t xml:space="preserve">. </w:t>
            </w:r>
            <w:r w:rsidR="006F6725">
              <w:rPr>
                <w:rFonts w:cs="Arial"/>
                <w:sz w:val="22"/>
                <w:szCs w:val="22"/>
                <w:lang w:val="en-US"/>
              </w:rPr>
              <w:t>T</w:t>
            </w:r>
            <w:r w:rsidR="00216B9E" w:rsidRPr="00216B9E">
              <w:rPr>
                <w:rFonts w:cs="Arial"/>
                <w:sz w:val="22"/>
                <w:szCs w:val="22"/>
                <w:lang w:val="en-US"/>
              </w:rPr>
              <w:t>h</w:t>
            </w:r>
            <w:r w:rsidR="00216B9E">
              <w:rPr>
                <w:rFonts w:cs="Arial"/>
                <w:sz w:val="22"/>
                <w:szCs w:val="22"/>
                <w:lang w:val="en-US"/>
              </w:rPr>
              <w:t xml:space="preserve">is is disaggregated from </w:t>
            </w:r>
            <w:r w:rsidR="001C0C8C">
              <w:rPr>
                <w:rFonts w:cs="Arial"/>
                <w:sz w:val="22"/>
                <w:szCs w:val="22"/>
                <w:lang w:val="en-US"/>
              </w:rPr>
              <w:t>10.7</w:t>
            </w:r>
            <w:r w:rsidR="00216B9E" w:rsidRPr="00216B9E">
              <w:rPr>
                <w:rFonts w:cs="Arial"/>
                <w:sz w:val="22"/>
                <w:szCs w:val="22"/>
                <w:lang w:val="en-US"/>
              </w:rPr>
              <w:t xml:space="preserve">MW </w:t>
            </w:r>
            <w:r w:rsidR="00216B9E">
              <w:rPr>
                <w:rFonts w:cs="Arial"/>
                <w:sz w:val="22"/>
                <w:szCs w:val="22"/>
                <w:lang w:val="en-US"/>
              </w:rPr>
              <w:t xml:space="preserve">of </w:t>
            </w:r>
            <w:r w:rsidR="00216B9E" w:rsidRPr="00216B9E">
              <w:rPr>
                <w:rFonts w:cs="Arial"/>
                <w:sz w:val="22"/>
                <w:szCs w:val="22"/>
                <w:lang w:val="en-US"/>
              </w:rPr>
              <w:t xml:space="preserve">electrical capacity </w:t>
            </w:r>
            <w:r w:rsidR="00216B9E">
              <w:rPr>
                <w:rFonts w:cs="Arial"/>
                <w:sz w:val="22"/>
                <w:szCs w:val="22"/>
                <w:lang w:val="en-US"/>
              </w:rPr>
              <w:t>(</w:t>
            </w:r>
            <w:r w:rsidR="00216B9E" w:rsidRPr="00216B9E">
              <w:rPr>
                <w:rFonts w:cs="Arial"/>
                <w:sz w:val="22"/>
                <w:szCs w:val="22"/>
                <w:lang w:val="en-US"/>
              </w:rPr>
              <w:t>from mini-grids, solar home systems, and micro-hydro plants</w:t>
            </w:r>
            <w:r w:rsidR="00216B9E">
              <w:rPr>
                <w:rFonts w:cs="Arial"/>
                <w:sz w:val="22"/>
                <w:szCs w:val="22"/>
                <w:lang w:val="en-US"/>
              </w:rPr>
              <w:t>)</w:t>
            </w:r>
            <w:r w:rsidR="00216B9E" w:rsidRPr="00216B9E">
              <w:rPr>
                <w:rFonts w:cs="Arial"/>
                <w:sz w:val="22"/>
                <w:szCs w:val="22"/>
                <w:lang w:val="en-US"/>
              </w:rPr>
              <w:t xml:space="preserve">. The portfolio’s grid connections do not contribute to this outcome indicator. </w:t>
            </w:r>
          </w:p>
          <w:p w14:paraId="225126A8" w14:textId="77777777" w:rsidR="00216B9E" w:rsidRPr="00216B9E" w:rsidRDefault="00216B9E" w:rsidP="00673030">
            <w:pPr>
              <w:jc w:val="both"/>
              <w:rPr>
                <w:rFonts w:cs="Arial"/>
                <w:sz w:val="22"/>
                <w:szCs w:val="22"/>
                <w:lang w:val="en-US"/>
              </w:rPr>
            </w:pPr>
          </w:p>
          <w:p w14:paraId="1C42431F" w14:textId="7D763DFC" w:rsidR="00216B9E" w:rsidRDefault="00216B9E" w:rsidP="00673030">
            <w:pPr>
              <w:jc w:val="both"/>
              <w:rPr>
                <w:rFonts w:cs="Arial"/>
                <w:color w:val="000000" w:themeColor="text1"/>
                <w:sz w:val="22"/>
                <w:szCs w:val="22"/>
              </w:rPr>
            </w:pPr>
            <w:r w:rsidRPr="00216B9E">
              <w:rPr>
                <w:rFonts w:cs="Arial"/>
                <w:sz w:val="22"/>
                <w:szCs w:val="22"/>
                <w:lang w:val="en-US"/>
              </w:rPr>
              <w:t xml:space="preserve">Current analysis indicates that </w:t>
            </w:r>
            <w:r w:rsidR="006F6725">
              <w:rPr>
                <w:rFonts w:cs="Arial"/>
                <w:sz w:val="22"/>
                <w:szCs w:val="22"/>
                <w:lang w:val="en-US"/>
              </w:rPr>
              <w:t xml:space="preserve">the lifetime </w:t>
            </w:r>
            <w:r w:rsidRPr="00216B9E">
              <w:rPr>
                <w:rFonts w:cs="Arial"/>
                <w:sz w:val="22"/>
                <w:szCs w:val="22"/>
                <w:lang w:val="en-US"/>
              </w:rPr>
              <w:t xml:space="preserve">target for this outcome indicator </w:t>
            </w:r>
            <w:r w:rsidR="006F6725">
              <w:rPr>
                <w:rFonts w:cs="Arial"/>
                <w:sz w:val="22"/>
                <w:szCs w:val="22"/>
                <w:lang w:val="en-US"/>
              </w:rPr>
              <w:t xml:space="preserve">(202MW) </w:t>
            </w:r>
            <w:r w:rsidRPr="00216B9E">
              <w:rPr>
                <w:rFonts w:cs="Arial"/>
                <w:sz w:val="22"/>
                <w:szCs w:val="22"/>
                <w:lang w:val="en-US"/>
              </w:rPr>
              <w:t xml:space="preserve">will be </w:t>
            </w:r>
            <w:r w:rsidR="006F6725">
              <w:rPr>
                <w:rFonts w:cs="Arial"/>
                <w:sz w:val="22"/>
                <w:szCs w:val="22"/>
                <w:lang w:val="en-US"/>
              </w:rPr>
              <w:t>missed</w:t>
            </w:r>
            <w:r w:rsidRPr="00216B9E">
              <w:rPr>
                <w:rFonts w:cs="Arial"/>
                <w:sz w:val="22"/>
                <w:szCs w:val="22"/>
                <w:lang w:val="en-US"/>
              </w:rPr>
              <w:t xml:space="preserve">, with progress </w:t>
            </w:r>
            <w:r w:rsidR="006F6725">
              <w:rPr>
                <w:rFonts w:cs="Arial"/>
                <w:sz w:val="22"/>
                <w:szCs w:val="22"/>
                <w:lang w:val="en-US"/>
              </w:rPr>
              <w:t>expected</w:t>
            </w:r>
            <w:r w:rsidRPr="00216B9E">
              <w:rPr>
                <w:rFonts w:cs="Arial"/>
                <w:sz w:val="22"/>
                <w:szCs w:val="22"/>
                <w:lang w:val="en-US"/>
              </w:rPr>
              <w:t xml:space="preserve"> to be </w:t>
            </w:r>
            <w:r w:rsidR="006F6725">
              <w:rPr>
                <w:rFonts w:cs="Arial"/>
                <w:sz w:val="22"/>
                <w:szCs w:val="22"/>
                <w:lang w:val="en-US"/>
              </w:rPr>
              <w:t>1</w:t>
            </w:r>
            <w:r w:rsidR="00300B4B">
              <w:rPr>
                <w:rFonts w:cs="Arial"/>
                <w:sz w:val="22"/>
                <w:szCs w:val="22"/>
                <w:lang w:val="en-US"/>
              </w:rPr>
              <w:t>49</w:t>
            </w:r>
            <w:r w:rsidRPr="00216B9E">
              <w:rPr>
                <w:rFonts w:cs="Arial"/>
                <w:sz w:val="22"/>
                <w:szCs w:val="22"/>
                <w:lang w:val="en-US"/>
              </w:rPr>
              <w:t>MW</w:t>
            </w:r>
            <w:r w:rsidR="0058653C">
              <w:rPr>
                <w:rFonts w:cs="Arial"/>
                <w:sz w:val="22"/>
                <w:szCs w:val="22"/>
                <w:lang w:val="en-US"/>
              </w:rPr>
              <w:t>.</w:t>
            </w:r>
            <w:r w:rsidR="006F6725">
              <w:rPr>
                <w:rFonts w:cs="Arial"/>
                <w:sz w:val="22"/>
                <w:szCs w:val="22"/>
                <w:lang w:val="en-US"/>
              </w:rPr>
              <w:t xml:space="preserve"> </w:t>
            </w:r>
            <w:r w:rsidR="009E7FC2">
              <w:rPr>
                <w:rFonts w:cs="Arial"/>
                <w:sz w:val="22"/>
                <w:szCs w:val="22"/>
                <w:lang w:val="en-US"/>
              </w:rPr>
              <w:t>Most (</w:t>
            </w:r>
            <w:r w:rsidR="0072321E">
              <w:rPr>
                <w:rFonts w:cs="Arial"/>
                <w:sz w:val="22"/>
                <w:szCs w:val="22"/>
                <w:lang w:val="en-US"/>
              </w:rPr>
              <w:t>c.40MW) of the shortfall</w:t>
            </w:r>
            <w:r w:rsidR="006F6725">
              <w:rPr>
                <w:rFonts w:cs="Arial"/>
                <w:sz w:val="22"/>
                <w:szCs w:val="22"/>
                <w:lang w:val="en-US"/>
              </w:rPr>
              <w:t xml:space="preserve"> is </w:t>
            </w:r>
            <w:r w:rsidR="00C064BD">
              <w:rPr>
                <w:rFonts w:cs="Arial"/>
                <w:sz w:val="22"/>
                <w:szCs w:val="22"/>
                <w:lang w:val="en-US"/>
              </w:rPr>
              <w:t xml:space="preserve">due </w:t>
            </w:r>
            <w:r w:rsidR="006F6725">
              <w:rPr>
                <w:rFonts w:cs="Arial"/>
                <w:sz w:val="22"/>
                <w:szCs w:val="22"/>
                <w:lang w:val="en-US"/>
              </w:rPr>
              <w:t xml:space="preserve">to the removal of projections from </w:t>
            </w:r>
            <w:r w:rsidR="006333CB">
              <w:rPr>
                <w:rFonts w:cs="Arial"/>
                <w:sz w:val="22"/>
                <w:szCs w:val="22"/>
                <w:lang w:val="en-US"/>
              </w:rPr>
              <w:t xml:space="preserve">the three </w:t>
            </w:r>
            <w:r w:rsidR="006F6725">
              <w:rPr>
                <w:rFonts w:cs="Arial"/>
                <w:sz w:val="22"/>
                <w:szCs w:val="22"/>
                <w:lang w:val="en-US"/>
              </w:rPr>
              <w:t>projects</w:t>
            </w:r>
            <w:r w:rsidR="006333CB">
              <w:rPr>
                <w:rFonts w:cs="Arial"/>
                <w:sz w:val="22"/>
                <w:szCs w:val="22"/>
                <w:lang w:val="en-US"/>
              </w:rPr>
              <w:t xml:space="preserve"> mentioned above</w:t>
            </w:r>
            <w:r w:rsidR="006F6725">
              <w:rPr>
                <w:rFonts w:cs="Arial"/>
                <w:sz w:val="22"/>
                <w:szCs w:val="22"/>
                <w:lang w:val="en-US"/>
              </w:rPr>
              <w:t xml:space="preserve">. </w:t>
            </w:r>
            <w:r w:rsidR="00FB2C7C">
              <w:rPr>
                <w:rFonts w:cs="Arial"/>
                <w:sz w:val="22"/>
                <w:szCs w:val="22"/>
                <w:lang w:val="en-US"/>
              </w:rPr>
              <w:t>Should replacement projects be found, lifetime targets will be more viable</w:t>
            </w:r>
            <w:r w:rsidR="00B10CD6">
              <w:rPr>
                <w:rFonts w:cs="Arial"/>
                <w:sz w:val="22"/>
                <w:szCs w:val="22"/>
                <w:lang w:val="en-US"/>
              </w:rPr>
              <w:t xml:space="preserve"> and could still be exceeded in some scenarios</w:t>
            </w:r>
            <w:r w:rsidR="00FB2C7C">
              <w:rPr>
                <w:rFonts w:cs="Arial"/>
                <w:sz w:val="22"/>
                <w:szCs w:val="22"/>
                <w:lang w:val="en-US"/>
              </w:rPr>
              <w:t xml:space="preserve">. </w:t>
            </w:r>
            <w:r w:rsidR="006F6725">
              <w:rPr>
                <w:rFonts w:cs="Arial"/>
                <w:sz w:val="22"/>
                <w:szCs w:val="22"/>
                <w:lang w:val="en-US"/>
              </w:rPr>
              <w:t xml:space="preserve">The </w:t>
            </w:r>
            <w:r w:rsidR="00B10CD6">
              <w:rPr>
                <w:rFonts w:cs="Arial"/>
                <w:sz w:val="22"/>
                <w:szCs w:val="22"/>
                <w:lang w:val="en-US"/>
              </w:rPr>
              <w:t xml:space="preserve">Ci-Dev </w:t>
            </w:r>
            <w:r w:rsidR="006F6725">
              <w:rPr>
                <w:rFonts w:cs="Arial"/>
                <w:sz w:val="22"/>
                <w:szCs w:val="22"/>
                <w:lang w:val="en-US"/>
              </w:rPr>
              <w:t xml:space="preserve">portfolio as a whole is likely to see a slightly higher proportional result here, because results from </w:t>
            </w:r>
            <w:r w:rsidR="00B10CD6">
              <w:rPr>
                <w:rFonts w:cs="Arial"/>
                <w:sz w:val="22"/>
                <w:szCs w:val="22"/>
                <w:lang w:val="en-US"/>
              </w:rPr>
              <w:t xml:space="preserve">Ci-Dev’s contract with </w:t>
            </w:r>
            <w:r w:rsidR="006F6725">
              <w:rPr>
                <w:rFonts w:cs="Arial"/>
                <w:sz w:val="22"/>
                <w:szCs w:val="22"/>
                <w:lang w:val="en-US"/>
              </w:rPr>
              <w:t xml:space="preserve">the Lao PDR Cookstoves ERPA, which as explained above the UK </w:t>
            </w:r>
            <w:r w:rsidR="00B10CD6">
              <w:rPr>
                <w:rFonts w:cs="Arial"/>
                <w:sz w:val="22"/>
                <w:szCs w:val="22"/>
                <w:lang w:val="en-US"/>
              </w:rPr>
              <w:t xml:space="preserve">is not </w:t>
            </w:r>
            <w:r w:rsidR="00E73879">
              <w:rPr>
                <w:rFonts w:cs="Arial"/>
                <w:sz w:val="22"/>
                <w:szCs w:val="22"/>
                <w:lang w:val="en-US"/>
              </w:rPr>
              <w:t>committing</w:t>
            </w:r>
            <w:r w:rsidR="003D32B5">
              <w:rPr>
                <w:rFonts w:cs="Arial"/>
                <w:sz w:val="22"/>
                <w:szCs w:val="22"/>
                <w:lang w:val="en-US"/>
              </w:rPr>
              <w:t xml:space="preserve"> funds to</w:t>
            </w:r>
            <w:r w:rsidR="006F6725">
              <w:rPr>
                <w:rFonts w:cs="Arial"/>
                <w:sz w:val="22"/>
                <w:szCs w:val="22"/>
                <w:lang w:val="en-US"/>
              </w:rPr>
              <w:t>, will not be attributed to UK support.</w:t>
            </w:r>
            <w:r w:rsidR="006F2FF1">
              <w:rPr>
                <w:rFonts w:cs="Arial"/>
                <w:sz w:val="22"/>
                <w:szCs w:val="22"/>
                <w:lang w:val="en-US"/>
              </w:rPr>
              <w:t xml:space="preserve"> </w:t>
            </w:r>
          </w:p>
          <w:p w14:paraId="7C25BEEF" w14:textId="2ABFD45A" w:rsidR="00216B9E" w:rsidRPr="00581E6D" w:rsidRDefault="00216B9E" w:rsidP="00673030">
            <w:pPr>
              <w:jc w:val="both"/>
              <w:rPr>
                <w:rFonts w:cs="Arial"/>
                <w:color w:val="000000" w:themeColor="text1"/>
                <w:sz w:val="22"/>
                <w:szCs w:val="22"/>
              </w:rPr>
            </w:pPr>
          </w:p>
        </w:tc>
      </w:tr>
      <w:tr w:rsidR="001416B6" w:rsidRPr="00581E6D" w14:paraId="6C4C5EB2" w14:textId="77777777" w:rsidTr="00C44CB0">
        <w:tc>
          <w:tcPr>
            <w:tcW w:w="1447" w:type="dxa"/>
            <w:vAlign w:val="center"/>
          </w:tcPr>
          <w:p w14:paraId="0AC735F5" w14:textId="77777777" w:rsidR="00706D78" w:rsidRDefault="00706D78" w:rsidP="00FE7770">
            <w:pPr>
              <w:rPr>
                <w:rFonts w:cs="Arial"/>
                <w:i/>
                <w:color w:val="000000" w:themeColor="text1"/>
                <w:sz w:val="22"/>
                <w:szCs w:val="22"/>
              </w:rPr>
            </w:pPr>
          </w:p>
          <w:p w14:paraId="66D6AE27" w14:textId="207EF7B1" w:rsidR="001416B6" w:rsidRDefault="001416B6" w:rsidP="00FE7770">
            <w:pPr>
              <w:rPr>
                <w:rFonts w:cs="Arial"/>
                <w:i/>
                <w:color w:val="000000" w:themeColor="text1"/>
                <w:sz w:val="22"/>
                <w:szCs w:val="22"/>
              </w:rPr>
            </w:pPr>
            <w:r w:rsidRPr="00581E6D">
              <w:rPr>
                <w:rFonts w:cs="Arial"/>
                <w:i/>
                <w:color w:val="000000" w:themeColor="text1"/>
                <w:sz w:val="22"/>
                <w:szCs w:val="22"/>
              </w:rPr>
              <w:t xml:space="preserve">Number of people with improved access to clean energy from all </w:t>
            </w:r>
            <w:r w:rsidR="00512DCC">
              <w:rPr>
                <w:rFonts w:cs="Arial"/>
                <w:i/>
                <w:color w:val="000000" w:themeColor="text1"/>
                <w:sz w:val="22"/>
                <w:szCs w:val="22"/>
              </w:rPr>
              <w:t>Ci-Dev</w:t>
            </w:r>
            <w:r w:rsidRPr="00581E6D">
              <w:rPr>
                <w:rFonts w:cs="Arial"/>
                <w:i/>
                <w:color w:val="000000" w:themeColor="text1"/>
                <w:sz w:val="22"/>
                <w:szCs w:val="22"/>
              </w:rPr>
              <w:t xml:space="preserve"> supported projects</w:t>
            </w:r>
          </w:p>
          <w:p w14:paraId="6DC77BCB" w14:textId="0E0AAA38" w:rsidR="00176E3C" w:rsidRDefault="00176E3C" w:rsidP="00FE7770">
            <w:pPr>
              <w:rPr>
                <w:rFonts w:cs="Arial"/>
                <w:i/>
                <w:color w:val="000000" w:themeColor="text1"/>
                <w:sz w:val="22"/>
                <w:szCs w:val="22"/>
              </w:rPr>
            </w:pPr>
            <w:r>
              <w:rPr>
                <w:rFonts w:cs="Arial"/>
                <w:i/>
                <w:color w:val="000000" w:themeColor="text1"/>
                <w:sz w:val="22"/>
                <w:szCs w:val="22"/>
              </w:rPr>
              <w:t>(ICF KPI 2)</w:t>
            </w:r>
          </w:p>
          <w:p w14:paraId="5176335C" w14:textId="176DB573" w:rsidR="00706D78" w:rsidRPr="00581E6D" w:rsidRDefault="00706D78" w:rsidP="00FE7770">
            <w:pPr>
              <w:rPr>
                <w:rFonts w:cs="Arial"/>
                <w:i/>
                <w:color w:val="000000" w:themeColor="text1"/>
                <w:sz w:val="22"/>
                <w:szCs w:val="22"/>
              </w:rPr>
            </w:pPr>
          </w:p>
        </w:tc>
        <w:tc>
          <w:tcPr>
            <w:tcW w:w="8639" w:type="dxa"/>
          </w:tcPr>
          <w:p w14:paraId="4A5057F8" w14:textId="77777777" w:rsidR="00706D78" w:rsidRDefault="00706D78" w:rsidP="00706D78">
            <w:pPr>
              <w:rPr>
                <w:rFonts w:cs="Arial"/>
                <w:color w:val="000000" w:themeColor="text1"/>
                <w:sz w:val="22"/>
                <w:szCs w:val="22"/>
              </w:rPr>
            </w:pPr>
          </w:p>
          <w:p w14:paraId="64F510A3" w14:textId="5F620FBF" w:rsidR="00216B9E" w:rsidRPr="00216B9E" w:rsidRDefault="00A9180C" w:rsidP="00673030">
            <w:pPr>
              <w:jc w:val="both"/>
              <w:rPr>
                <w:rFonts w:cs="Arial"/>
                <w:b/>
                <w:color w:val="000000" w:themeColor="text1"/>
                <w:sz w:val="22"/>
                <w:szCs w:val="22"/>
              </w:rPr>
            </w:pPr>
            <w:r>
              <w:rPr>
                <w:rFonts w:cs="Arial"/>
                <w:b/>
                <w:color w:val="000000" w:themeColor="text1"/>
                <w:sz w:val="22"/>
                <w:szCs w:val="22"/>
              </w:rPr>
              <w:t>3.7</w:t>
            </w:r>
            <w:r w:rsidR="00706D78" w:rsidRPr="00706D78">
              <w:rPr>
                <w:rFonts w:cs="Arial"/>
                <w:b/>
                <w:color w:val="000000" w:themeColor="text1"/>
                <w:sz w:val="22"/>
                <w:szCs w:val="22"/>
              </w:rPr>
              <w:t>m</w:t>
            </w:r>
            <w:r w:rsidR="00706D78">
              <w:rPr>
                <w:rFonts w:cs="Arial"/>
                <w:color w:val="000000" w:themeColor="text1"/>
                <w:sz w:val="22"/>
                <w:szCs w:val="22"/>
              </w:rPr>
              <w:t xml:space="preserve"> people had improved access to energy through Ci-Dev projects, </w:t>
            </w:r>
            <w:r w:rsidR="00706D78" w:rsidRPr="00216B9E">
              <w:rPr>
                <w:rFonts w:cs="Arial"/>
                <w:color w:val="000000" w:themeColor="text1"/>
                <w:sz w:val="22"/>
                <w:szCs w:val="22"/>
              </w:rPr>
              <w:t xml:space="preserve">against a </w:t>
            </w:r>
            <w:r w:rsidR="00542EC3">
              <w:rPr>
                <w:rFonts w:cs="Arial"/>
                <w:color w:val="000000" w:themeColor="text1"/>
                <w:sz w:val="22"/>
                <w:szCs w:val="22"/>
              </w:rPr>
              <w:t>201</w:t>
            </w:r>
            <w:r w:rsidR="0073242F">
              <w:rPr>
                <w:rFonts w:cs="Arial"/>
                <w:color w:val="000000" w:themeColor="text1"/>
                <w:sz w:val="22"/>
                <w:szCs w:val="22"/>
              </w:rPr>
              <w:t>9</w:t>
            </w:r>
            <w:r w:rsidR="00542EC3">
              <w:rPr>
                <w:rFonts w:cs="Arial"/>
                <w:color w:val="000000" w:themeColor="text1"/>
                <w:sz w:val="22"/>
                <w:szCs w:val="22"/>
              </w:rPr>
              <w:t xml:space="preserve"> </w:t>
            </w:r>
            <w:r w:rsidR="00706D78" w:rsidRPr="00216B9E">
              <w:rPr>
                <w:rFonts w:cs="Arial"/>
                <w:color w:val="000000" w:themeColor="text1"/>
                <w:sz w:val="22"/>
                <w:szCs w:val="22"/>
              </w:rPr>
              <w:t xml:space="preserve">target of </w:t>
            </w:r>
            <w:r w:rsidR="0073242F">
              <w:rPr>
                <w:rFonts w:cs="Arial"/>
                <w:b/>
                <w:color w:val="000000" w:themeColor="text1"/>
                <w:sz w:val="22"/>
                <w:szCs w:val="22"/>
              </w:rPr>
              <w:t>3.4</w:t>
            </w:r>
            <w:r w:rsidR="00706D78" w:rsidRPr="00216B9E">
              <w:rPr>
                <w:rFonts w:cs="Arial"/>
                <w:b/>
                <w:color w:val="000000" w:themeColor="text1"/>
                <w:sz w:val="22"/>
                <w:szCs w:val="22"/>
              </w:rPr>
              <w:t>m</w:t>
            </w:r>
            <w:r w:rsidR="0058653C">
              <w:rPr>
                <w:rFonts w:cs="Arial"/>
                <w:b/>
                <w:color w:val="000000" w:themeColor="text1"/>
                <w:sz w:val="22"/>
                <w:szCs w:val="22"/>
              </w:rPr>
              <w:t>.</w:t>
            </w:r>
          </w:p>
          <w:p w14:paraId="24E6BD06" w14:textId="77777777" w:rsidR="00216B9E" w:rsidRPr="00216B9E" w:rsidRDefault="00216B9E" w:rsidP="00673030">
            <w:pPr>
              <w:jc w:val="both"/>
              <w:rPr>
                <w:rFonts w:cs="Arial"/>
                <w:sz w:val="22"/>
                <w:szCs w:val="22"/>
                <w:lang w:val="en-US"/>
              </w:rPr>
            </w:pPr>
          </w:p>
          <w:p w14:paraId="46DC93B8" w14:textId="1A013ECB" w:rsidR="00216B9E" w:rsidRPr="00216B9E" w:rsidRDefault="0073242F" w:rsidP="00673030">
            <w:pPr>
              <w:jc w:val="both"/>
              <w:rPr>
                <w:rFonts w:cs="Arial"/>
                <w:color w:val="000000" w:themeColor="text1"/>
                <w:sz w:val="22"/>
                <w:szCs w:val="22"/>
              </w:rPr>
            </w:pPr>
            <w:r>
              <w:rPr>
                <w:rFonts w:cs="Arial"/>
                <w:sz w:val="22"/>
                <w:szCs w:val="22"/>
                <w:lang w:val="en-US"/>
              </w:rPr>
              <w:t>T</w:t>
            </w:r>
            <w:r w:rsidR="00216B9E">
              <w:rPr>
                <w:rFonts w:cs="Arial"/>
                <w:sz w:val="22"/>
                <w:szCs w:val="22"/>
                <w:lang w:val="en-US"/>
              </w:rPr>
              <w:t xml:space="preserve">his score is disaggregated by gender. Of the </w:t>
            </w:r>
            <w:r>
              <w:rPr>
                <w:rFonts w:cs="Arial"/>
                <w:sz w:val="22"/>
                <w:szCs w:val="22"/>
                <w:lang w:val="en-US"/>
              </w:rPr>
              <w:t>3.</w:t>
            </w:r>
            <w:r w:rsidR="006E2B6D">
              <w:rPr>
                <w:rFonts w:cs="Arial"/>
                <w:sz w:val="22"/>
                <w:szCs w:val="22"/>
                <w:lang w:val="en-US"/>
              </w:rPr>
              <w:t>7</w:t>
            </w:r>
            <w:r w:rsidR="00216B9E">
              <w:rPr>
                <w:rFonts w:cs="Arial"/>
                <w:sz w:val="22"/>
                <w:szCs w:val="22"/>
                <w:lang w:val="en-US"/>
              </w:rPr>
              <w:t xml:space="preserve">m total, around </w:t>
            </w:r>
            <w:r w:rsidR="00216B9E" w:rsidRPr="00216B9E">
              <w:rPr>
                <w:rFonts w:cs="Arial"/>
                <w:sz w:val="22"/>
                <w:szCs w:val="22"/>
                <w:lang w:val="en-US"/>
              </w:rPr>
              <w:t>1.</w:t>
            </w:r>
            <w:r w:rsidR="006E2B6D">
              <w:rPr>
                <w:rFonts w:cs="Arial"/>
                <w:sz w:val="22"/>
                <w:szCs w:val="22"/>
                <w:lang w:val="en-US"/>
              </w:rPr>
              <w:t>87</w:t>
            </w:r>
            <w:r w:rsidR="00216B9E">
              <w:rPr>
                <w:rFonts w:cs="Arial"/>
                <w:sz w:val="22"/>
                <w:szCs w:val="22"/>
                <w:lang w:val="en-US"/>
              </w:rPr>
              <w:t xml:space="preserve">m were </w:t>
            </w:r>
            <w:r w:rsidR="00216B9E" w:rsidRPr="00216B9E">
              <w:rPr>
                <w:rFonts w:cs="Arial"/>
                <w:sz w:val="22"/>
                <w:szCs w:val="22"/>
                <w:lang w:val="en-US"/>
              </w:rPr>
              <w:t xml:space="preserve">female, </w:t>
            </w:r>
            <w:r w:rsidR="00216B9E">
              <w:rPr>
                <w:rFonts w:cs="Arial"/>
                <w:sz w:val="22"/>
                <w:szCs w:val="22"/>
                <w:lang w:val="en-US"/>
              </w:rPr>
              <w:t xml:space="preserve">and </w:t>
            </w:r>
            <w:r w:rsidR="00216B9E" w:rsidRPr="00216B9E">
              <w:rPr>
                <w:rFonts w:cs="Arial"/>
                <w:sz w:val="22"/>
                <w:szCs w:val="22"/>
                <w:lang w:val="en-US"/>
              </w:rPr>
              <w:t>1.</w:t>
            </w:r>
            <w:r w:rsidR="006E2B6D">
              <w:rPr>
                <w:rFonts w:cs="Arial"/>
                <w:sz w:val="22"/>
                <w:szCs w:val="22"/>
                <w:lang w:val="en-US"/>
              </w:rPr>
              <w:t>865</w:t>
            </w:r>
            <w:r w:rsidR="00216B9E">
              <w:rPr>
                <w:rFonts w:cs="Arial"/>
                <w:sz w:val="22"/>
                <w:szCs w:val="22"/>
                <w:lang w:val="en-US"/>
              </w:rPr>
              <w:t>m</w:t>
            </w:r>
            <w:r w:rsidR="00216B9E" w:rsidRPr="00216B9E">
              <w:rPr>
                <w:rFonts w:cs="Arial"/>
                <w:sz w:val="22"/>
                <w:szCs w:val="22"/>
                <w:lang w:val="en-US"/>
              </w:rPr>
              <w:t xml:space="preserve"> male</w:t>
            </w:r>
            <w:r w:rsidR="00216B9E" w:rsidRPr="00216B9E">
              <w:rPr>
                <w:rStyle w:val="FootnoteReference"/>
                <w:rFonts w:cs="Arial"/>
                <w:sz w:val="22"/>
                <w:szCs w:val="22"/>
                <w:lang w:val="en-US"/>
              </w:rPr>
              <w:footnoteReference w:id="11"/>
            </w:r>
            <w:r w:rsidR="00216B9E">
              <w:rPr>
                <w:rFonts w:cs="Arial"/>
                <w:sz w:val="22"/>
                <w:szCs w:val="22"/>
                <w:lang w:val="en-US"/>
              </w:rPr>
              <w:t>.</w:t>
            </w:r>
            <w:r w:rsidR="00216B9E" w:rsidRPr="00216B9E">
              <w:rPr>
                <w:rFonts w:cs="Arial"/>
                <w:sz w:val="22"/>
                <w:szCs w:val="22"/>
                <w:lang w:val="en-US"/>
              </w:rPr>
              <w:t xml:space="preserve"> </w:t>
            </w:r>
          </w:p>
          <w:p w14:paraId="4A5D4EBF" w14:textId="77777777" w:rsidR="00216B9E" w:rsidRPr="00216B9E" w:rsidRDefault="00216B9E" w:rsidP="00673030">
            <w:pPr>
              <w:jc w:val="both"/>
              <w:rPr>
                <w:rFonts w:cs="Arial"/>
                <w:sz w:val="22"/>
                <w:szCs w:val="22"/>
                <w:lang w:val="en-US"/>
              </w:rPr>
            </w:pPr>
          </w:p>
          <w:p w14:paraId="71D75107" w14:textId="71D6D0EC" w:rsidR="001416B6" w:rsidRPr="00EE4625" w:rsidRDefault="00216B9E" w:rsidP="00673030">
            <w:pPr>
              <w:jc w:val="both"/>
              <w:rPr>
                <w:rFonts w:cs="Arial"/>
                <w:color w:val="000000" w:themeColor="text1"/>
                <w:sz w:val="22"/>
                <w:szCs w:val="22"/>
              </w:rPr>
            </w:pPr>
            <w:r w:rsidRPr="00216B9E">
              <w:rPr>
                <w:rFonts w:cs="Arial"/>
                <w:sz w:val="22"/>
                <w:szCs w:val="22"/>
                <w:lang w:val="en-US"/>
              </w:rPr>
              <w:t xml:space="preserve">Based on current projections, the portfolio will ultimately provide improved clean energy access to </w:t>
            </w:r>
            <w:r w:rsidR="00F06A81">
              <w:rPr>
                <w:rFonts w:cs="Arial"/>
                <w:sz w:val="22"/>
                <w:szCs w:val="22"/>
                <w:lang w:val="en-US"/>
              </w:rPr>
              <w:t>5.7</w:t>
            </w:r>
            <w:r w:rsidR="0073242F">
              <w:rPr>
                <w:rFonts w:cs="Arial"/>
                <w:sz w:val="22"/>
                <w:szCs w:val="22"/>
                <w:lang w:val="en-US"/>
              </w:rPr>
              <w:t>m</w:t>
            </w:r>
            <w:r w:rsidRPr="00216B9E">
              <w:rPr>
                <w:rFonts w:cs="Arial"/>
                <w:sz w:val="22"/>
                <w:szCs w:val="22"/>
                <w:lang w:val="en-US"/>
              </w:rPr>
              <w:t xml:space="preserve"> beneficiaries compared to the target of 8</w:t>
            </w:r>
            <w:r w:rsidR="0073242F">
              <w:rPr>
                <w:rFonts w:cs="Arial"/>
                <w:sz w:val="22"/>
                <w:szCs w:val="22"/>
                <w:lang w:val="en-US"/>
              </w:rPr>
              <w:t>m</w:t>
            </w:r>
            <w:r w:rsidRPr="00216B9E">
              <w:rPr>
                <w:rFonts w:cs="Arial"/>
                <w:sz w:val="22"/>
                <w:szCs w:val="22"/>
                <w:lang w:val="en-US"/>
              </w:rPr>
              <w:t xml:space="preserve">. </w:t>
            </w:r>
            <w:r w:rsidR="005F6EAF">
              <w:rPr>
                <w:rFonts w:cs="Arial"/>
                <w:sz w:val="22"/>
                <w:szCs w:val="22"/>
                <w:lang w:val="en-US"/>
              </w:rPr>
              <w:t xml:space="preserve">This gap will be partially or fully closed if replacement projects are found. </w:t>
            </w:r>
          </w:p>
        </w:tc>
      </w:tr>
    </w:tbl>
    <w:p w14:paraId="2574585E" w14:textId="429F4893" w:rsidR="0022185B" w:rsidRDefault="0092080F" w:rsidP="00127BB1">
      <w:pPr>
        <w:jc w:val="both"/>
        <w:rPr>
          <w:rFonts w:cs="Arial"/>
          <w:color w:val="000000" w:themeColor="text1"/>
          <w:sz w:val="22"/>
          <w:szCs w:val="22"/>
        </w:rPr>
      </w:pPr>
      <w:r w:rsidRPr="00581E6D">
        <w:rPr>
          <w:rFonts w:cs="Arial"/>
          <w:color w:val="000000" w:themeColor="text1"/>
          <w:sz w:val="22"/>
          <w:szCs w:val="22"/>
        </w:rPr>
        <w:lastRenderedPageBreak/>
        <w:t>The results in the above table show</w:t>
      </w:r>
      <w:r w:rsidR="0058653C">
        <w:rPr>
          <w:rFonts w:cs="Arial"/>
          <w:color w:val="000000" w:themeColor="text1"/>
          <w:sz w:val="22"/>
          <w:szCs w:val="22"/>
        </w:rPr>
        <w:t xml:space="preserve"> </w:t>
      </w:r>
      <w:r w:rsidR="008C1F54">
        <w:rPr>
          <w:rFonts w:cs="Arial"/>
          <w:color w:val="000000" w:themeColor="text1"/>
          <w:sz w:val="22"/>
          <w:szCs w:val="22"/>
        </w:rPr>
        <w:t>overachievement against three outcome targets (public finance mobilised</w:t>
      </w:r>
      <w:r w:rsidR="00600673">
        <w:rPr>
          <w:rFonts w:cs="Arial"/>
          <w:color w:val="000000" w:themeColor="text1"/>
          <w:sz w:val="22"/>
          <w:szCs w:val="22"/>
        </w:rPr>
        <w:t xml:space="preserve"> (</w:t>
      </w:r>
      <w:r w:rsidR="009B15BA">
        <w:rPr>
          <w:rFonts w:cs="Arial"/>
          <w:color w:val="000000" w:themeColor="text1"/>
          <w:sz w:val="22"/>
          <w:szCs w:val="22"/>
        </w:rPr>
        <w:t>32</w:t>
      </w:r>
      <w:r w:rsidR="00600673">
        <w:rPr>
          <w:rFonts w:cs="Arial"/>
          <w:color w:val="000000" w:themeColor="text1"/>
          <w:sz w:val="22"/>
          <w:szCs w:val="22"/>
        </w:rPr>
        <w:t>% overachievement)</w:t>
      </w:r>
      <w:r w:rsidR="008C1F54">
        <w:rPr>
          <w:rFonts w:cs="Arial"/>
          <w:color w:val="000000" w:themeColor="text1"/>
          <w:sz w:val="22"/>
          <w:szCs w:val="22"/>
        </w:rPr>
        <w:t xml:space="preserve">, MtCO2e abated </w:t>
      </w:r>
      <w:r w:rsidR="00774733">
        <w:rPr>
          <w:rFonts w:cs="Arial"/>
          <w:color w:val="000000" w:themeColor="text1"/>
          <w:sz w:val="22"/>
          <w:szCs w:val="22"/>
        </w:rPr>
        <w:t>(</w:t>
      </w:r>
      <w:r w:rsidR="00DF5ED1">
        <w:rPr>
          <w:rFonts w:cs="Arial"/>
          <w:color w:val="000000" w:themeColor="text1"/>
          <w:sz w:val="22"/>
          <w:szCs w:val="22"/>
        </w:rPr>
        <w:t>31</w:t>
      </w:r>
      <w:r w:rsidR="00774733">
        <w:rPr>
          <w:rFonts w:cs="Arial"/>
          <w:color w:val="000000" w:themeColor="text1"/>
          <w:sz w:val="22"/>
          <w:szCs w:val="22"/>
        </w:rPr>
        <w:t xml:space="preserve">%) </w:t>
      </w:r>
      <w:r w:rsidR="008C1F54">
        <w:rPr>
          <w:rFonts w:cs="Arial"/>
          <w:color w:val="000000" w:themeColor="text1"/>
          <w:sz w:val="22"/>
          <w:szCs w:val="22"/>
        </w:rPr>
        <w:t>and beneficiaries reached</w:t>
      </w:r>
      <w:r w:rsidR="00774733">
        <w:rPr>
          <w:rFonts w:cs="Arial"/>
          <w:color w:val="000000" w:themeColor="text1"/>
          <w:sz w:val="22"/>
          <w:szCs w:val="22"/>
        </w:rPr>
        <w:t xml:space="preserve"> (9%)</w:t>
      </w:r>
      <w:r w:rsidR="008C1F54">
        <w:rPr>
          <w:rFonts w:cs="Arial"/>
          <w:color w:val="000000" w:themeColor="text1"/>
          <w:sz w:val="22"/>
          <w:szCs w:val="22"/>
        </w:rPr>
        <w:t xml:space="preserve">); and </w:t>
      </w:r>
      <w:r w:rsidR="00774733">
        <w:rPr>
          <w:rFonts w:cs="Arial"/>
          <w:color w:val="000000" w:themeColor="text1"/>
          <w:sz w:val="22"/>
          <w:szCs w:val="22"/>
        </w:rPr>
        <w:t>under</w:t>
      </w:r>
      <w:r w:rsidR="008C1F54">
        <w:rPr>
          <w:rFonts w:cs="Arial"/>
          <w:color w:val="000000" w:themeColor="text1"/>
          <w:sz w:val="22"/>
          <w:szCs w:val="22"/>
        </w:rPr>
        <w:t xml:space="preserve">achievement of the other two (private finance mobilised </w:t>
      </w:r>
      <w:r w:rsidR="00774733">
        <w:rPr>
          <w:rFonts w:cs="Arial"/>
          <w:color w:val="000000" w:themeColor="text1"/>
          <w:sz w:val="22"/>
          <w:szCs w:val="22"/>
        </w:rPr>
        <w:t>(</w:t>
      </w:r>
      <w:r w:rsidR="00F62CC4">
        <w:rPr>
          <w:rFonts w:cs="Arial"/>
          <w:color w:val="000000" w:themeColor="text1"/>
          <w:sz w:val="22"/>
          <w:szCs w:val="22"/>
        </w:rPr>
        <w:t xml:space="preserve">3%) </w:t>
      </w:r>
      <w:r w:rsidR="008C1F54">
        <w:rPr>
          <w:rFonts w:cs="Arial"/>
          <w:color w:val="000000" w:themeColor="text1"/>
          <w:sz w:val="22"/>
          <w:szCs w:val="22"/>
        </w:rPr>
        <w:t>and MW capacity installed</w:t>
      </w:r>
      <w:r w:rsidR="001F224D">
        <w:rPr>
          <w:rFonts w:cs="Arial"/>
          <w:color w:val="000000" w:themeColor="text1"/>
          <w:sz w:val="22"/>
          <w:szCs w:val="22"/>
        </w:rPr>
        <w:t xml:space="preserve"> (1%)</w:t>
      </w:r>
      <w:r w:rsidR="008C1F54">
        <w:rPr>
          <w:rFonts w:cs="Arial"/>
          <w:color w:val="000000" w:themeColor="text1"/>
          <w:sz w:val="22"/>
          <w:szCs w:val="22"/>
        </w:rPr>
        <w:t xml:space="preserve">). </w:t>
      </w:r>
    </w:p>
    <w:p w14:paraId="64B61565" w14:textId="77777777" w:rsidR="0022185B" w:rsidRDefault="0022185B" w:rsidP="00127BB1">
      <w:pPr>
        <w:jc w:val="both"/>
        <w:rPr>
          <w:rFonts w:cs="Arial"/>
          <w:color w:val="000000" w:themeColor="text1"/>
          <w:sz w:val="22"/>
          <w:szCs w:val="22"/>
        </w:rPr>
      </w:pPr>
    </w:p>
    <w:p w14:paraId="764E1D10" w14:textId="5B715909" w:rsidR="0058653C" w:rsidRDefault="008C1F54" w:rsidP="00127BB1">
      <w:pPr>
        <w:jc w:val="both"/>
        <w:rPr>
          <w:rFonts w:cs="Arial"/>
          <w:color w:val="000000" w:themeColor="text1"/>
          <w:sz w:val="22"/>
          <w:szCs w:val="22"/>
        </w:rPr>
      </w:pPr>
      <w:r>
        <w:rPr>
          <w:rFonts w:cs="Arial"/>
          <w:color w:val="000000" w:themeColor="text1"/>
          <w:sz w:val="22"/>
          <w:szCs w:val="22"/>
        </w:rPr>
        <w:t>B</w:t>
      </w:r>
      <w:r w:rsidR="0073242F">
        <w:rPr>
          <w:rFonts w:cs="Arial"/>
          <w:color w:val="000000" w:themeColor="text1"/>
          <w:sz w:val="22"/>
          <w:szCs w:val="22"/>
        </w:rPr>
        <w:t xml:space="preserve">ased on </w:t>
      </w:r>
      <w:r>
        <w:rPr>
          <w:rFonts w:cs="Arial"/>
          <w:color w:val="000000" w:themeColor="text1"/>
          <w:sz w:val="22"/>
          <w:szCs w:val="22"/>
        </w:rPr>
        <w:t>current projections, which exclude results from struggling projects</w:t>
      </w:r>
      <w:r w:rsidR="0073242F">
        <w:rPr>
          <w:rFonts w:cs="Arial"/>
          <w:color w:val="000000" w:themeColor="text1"/>
          <w:sz w:val="22"/>
          <w:szCs w:val="22"/>
        </w:rPr>
        <w:t xml:space="preserve">, </w:t>
      </w:r>
      <w:r>
        <w:rPr>
          <w:rFonts w:cs="Arial"/>
          <w:color w:val="000000" w:themeColor="text1"/>
          <w:sz w:val="22"/>
          <w:szCs w:val="22"/>
        </w:rPr>
        <w:t xml:space="preserve">some </w:t>
      </w:r>
      <w:r w:rsidR="0058653C">
        <w:rPr>
          <w:rFonts w:cs="Arial"/>
          <w:color w:val="000000" w:themeColor="text1"/>
          <w:sz w:val="22"/>
          <w:szCs w:val="22"/>
        </w:rPr>
        <w:t>lifetime targets</w:t>
      </w:r>
      <w:r w:rsidR="0073242F">
        <w:rPr>
          <w:rFonts w:cs="Arial"/>
          <w:color w:val="000000" w:themeColor="text1"/>
          <w:sz w:val="22"/>
          <w:szCs w:val="22"/>
        </w:rPr>
        <w:t xml:space="preserve"> </w:t>
      </w:r>
      <w:r w:rsidR="005A7519">
        <w:rPr>
          <w:rFonts w:cs="Arial"/>
          <w:color w:val="000000" w:themeColor="text1"/>
          <w:sz w:val="22"/>
          <w:szCs w:val="22"/>
        </w:rPr>
        <w:t>are likely to be</w:t>
      </w:r>
      <w:r>
        <w:rPr>
          <w:rFonts w:cs="Arial"/>
          <w:color w:val="000000" w:themeColor="text1"/>
          <w:sz w:val="22"/>
          <w:szCs w:val="22"/>
        </w:rPr>
        <w:t xml:space="preserve"> missed. The Trustee should ensure replacement projects are identified and taken forward to help ensure these results are achieved.</w:t>
      </w:r>
      <w:r w:rsidR="005E4328">
        <w:rPr>
          <w:rFonts w:cs="Arial"/>
          <w:color w:val="000000" w:themeColor="text1"/>
          <w:sz w:val="22"/>
          <w:szCs w:val="22"/>
        </w:rPr>
        <w:t xml:space="preserve"> This will include:</w:t>
      </w:r>
    </w:p>
    <w:p w14:paraId="75573BD9" w14:textId="2E9FDD8F" w:rsidR="005E4328" w:rsidRDefault="005E4328" w:rsidP="00127BB1">
      <w:pPr>
        <w:jc w:val="both"/>
        <w:rPr>
          <w:rFonts w:cs="Arial"/>
          <w:color w:val="000000" w:themeColor="text1"/>
          <w:sz w:val="22"/>
          <w:szCs w:val="22"/>
        </w:rPr>
      </w:pPr>
    </w:p>
    <w:p w14:paraId="4603815A" w14:textId="145B7CE7" w:rsidR="005E4328" w:rsidRPr="002E3D48" w:rsidRDefault="009B2AAE" w:rsidP="002E3D48">
      <w:pPr>
        <w:pStyle w:val="ListParagraph"/>
        <w:numPr>
          <w:ilvl w:val="0"/>
          <w:numId w:val="26"/>
        </w:numPr>
        <w:jc w:val="both"/>
        <w:rPr>
          <w:rFonts w:cs="Arial"/>
          <w:color w:val="000000" w:themeColor="text1"/>
          <w:sz w:val="22"/>
          <w:szCs w:val="22"/>
        </w:rPr>
      </w:pPr>
      <w:r w:rsidRPr="002E3D48">
        <w:rPr>
          <w:rFonts w:cs="Arial"/>
          <w:color w:val="000000" w:themeColor="text1"/>
          <w:sz w:val="22"/>
          <w:szCs w:val="22"/>
        </w:rPr>
        <w:t>a</w:t>
      </w:r>
      <w:r w:rsidR="005E4328" w:rsidRPr="002E3D48">
        <w:rPr>
          <w:rFonts w:cs="Arial"/>
          <w:color w:val="000000" w:themeColor="text1"/>
          <w:sz w:val="22"/>
          <w:szCs w:val="22"/>
        </w:rPr>
        <w:t xml:space="preserve">n assessment of the compliance position of </w:t>
      </w:r>
      <w:r w:rsidR="003500EF" w:rsidRPr="002E3D48">
        <w:rPr>
          <w:rFonts w:cs="Arial"/>
          <w:color w:val="000000" w:themeColor="text1"/>
          <w:sz w:val="22"/>
          <w:szCs w:val="22"/>
        </w:rPr>
        <w:t>all Ci-Dev projects, with amendments and terminations considered in the case of poor performance</w:t>
      </w:r>
      <w:r w:rsidRPr="002E3D48">
        <w:rPr>
          <w:rFonts w:cs="Arial"/>
          <w:color w:val="000000" w:themeColor="text1"/>
          <w:sz w:val="22"/>
          <w:szCs w:val="22"/>
        </w:rPr>
        <w:t>;</w:t>
      </w:r>
    </w:p>
    <w:p w14:paraId="524B2408" w14:textId="336B2691" w:rsidR="003500EF" w:rsidRPr="002E3D48" w:rsidRDefault="009B2AAE" w:rsidP="002E3D48">
      <w:pPr>
        <w:pStyle w:val="ListParagraph"/>
        <w:numPr>
          <w:ilvl w:val="0"/>
          <w:numId w:val="26"/>
        </w:numPr>
        <w:jc w:val="both"/>
        <w:rPr>
          <w:rFonts w:cs="Arial"/>
          <w:color w:val="000000" w:themeColor="text1"/>
          <w:sz w:val="22"/>
          <w:szCs w:val="22"/>
        </w:rPr>
      </w:pPr>
      <w:r w:rsidRPr="002E3D48">
        <w:rPr>
          <w:rFonts w:cs="Arial"/>
          <w:color w:val="000000" w:themeColor="text1"/>
          <w:sz w:val="22"/>
          <w:szCs w:val="22"/>
        </w:rPr>
        <w:t>t</w:t>
      </w:r>
      <w:r w:rsidR="003500EF" w:rsidRPr="002E3D48">
        <w:rPr>
          <w:rFonts w:cs="Arial"/>
          <w:color w:val="000000" w:themeColor="text1"/>
          <w:sz w:val="22"/>
          <w:szCs w:val="22"/>
        </w:rPr>
        <w:t xml:space="preserve">he </w:t>
      </w:r>
      <w:r w:rsidR="00EC1C6A" w:rsidRPr="002E3D48">
        <w:rPr>
          <w:rFonts w:cs="Arial"/>
          <w:color w:val="000000" w:themeColor="text1"/>
          <w:sz w:val="22"/>
          <w:szCs w:val="22"/>
        </w:rPr>
        <w:t xml:space="preserve">development of a clear rationale for </w:t>
      </w:r>
      <w:r w:rsidR="00B10CD6">
        <w:rPr>
          <w:rFonts w:cs="Arial"/>
          <w:color w:val="000000" w:themeColor="text1"/>
          <w:sz w:val="22"/>
          <w:szCs w:val="22"/>
        </w:rPr>
        <w:t xml:space="preserve">continuing or halting </w:t>
      </w:r>
      <w:r w:rsidR="00EC1C6A" w:rsidRPr="002E3D48">
        <w:rPr>
          <w:rFonts w:cs="Arial"/>
          <w:color w:val="000000" w:themeColor="text1"/>
          <w:sz w:val="22"/>
          <w:szCs w:val="22"/>
        </w:rPr>
        <w:t xml:space="preserve">support for projects that are struggling for reasons beyond the Trustee and/or </w:t>
      </w:r>
      <w:r w:rsidR="00F77245">
        <w:rPr>
          <w:rFonts w:cs="Arial"/>
          <w:color w:val="000000" w:themeColor="text1"/>
          <w:sz w:val="22"/>
          <w:szCs w:val="22"/>
        </w:rPr>
        <w:t>Contributors</w:t>
      </w:r>
      <w:r w:rsidR="00EC1C6A" w:rsidRPr="002E3D48">
        <w:rPr>
          <w:rFonts w:cs="Arial"/>
          <w:color w:val="000000" w:themeColor="text1"/>
          <w:sz w:val="22"/>
          <w:szCs w:val="22"/>
        </w:rPr>
        <w:t>’ control</w:t>
      </w:r>
      <w:r w:rsidRPr="002E3D48">
        <w:rPr>
          <w:rFonts w:cs="Arial"/>
          <w:color w:val="000000" w:themeColor="text1"/>
          <w:sz w:val="22"/>
          <w:szCs w:val="22"/>
        </w:rPr>
        <w:t xml:space="preserve">; </w:t>
      </w:r>
    </w:p>
    <w:p w14:paraId="46273B1A" w14:textId="3077BB18" w:rsidR="00EC1C6A" w:rsidRDefault="009B2AAE" w:rsidP="009B2AAE">
      <w:pPr>
        <w:pStyle w:val="ListParagraph"/>
        <w:numPr>
          <w:ilvl w:val="0"/>
          <w:numId w:val="26"/>
        </w:numPr>
        <w:jc w:val="both"/>
        <w:rPr>
          <w:rFonts w:cs="Arial"/>
          <w:color w:val="000000" w:themeColor="text1"/>
          <w:sz w:val="22"/>
          <w:szCs w:val="22"/>
        </w:rPr>
      </w:pPr>
      <w:r w:rsidRPr="002E3D48">
        <w:rPr>
          <w:rFonts w:cs="Arial"/>
          <w:color w:val="000000" w:themeColor="text1"/>
          <w:sz w:val="22"/>
          <w:szCs w:val="22"/>
        </w:rPr>
        <w:t>s</w:t>
      </w:r>
      <w:r w:rsidR="002E687B" w:rsidRPr="002E3D48">
        <w:rPr>
          <w:rFonts w:cs="Arial"/>
          <w:color w:val="000000" w:themeColor="text1"/>
          <w:sz w:val="22"/>
          <w:szCs w:val="22"/>
        </w:rPr>
        <w:t>ustained efforts to find replacement signatories for projects</w:t>
      </w:r>
      <w:r w:rsidR="00B10CD6">
        <w:rPr>
          <w:rFonts w:cs="Arial"/>
          <w:color w:val="000000" w:themeColor="text1"/>
          <w:sz w:val="22"/>
          <w:szCs w:val="22"/>
        </w:rPr>
        <w:t xml:space="preserve"> that have failed - t</w:t>
      </w:r>
      <w:r w:rsidR="00236A17" w:rsidRPr="002E3D48">
        <w:rPr>
          <w:rFonts w:cs="Arial"/>
          <w:color w:val="000000" w:themeColor="text1"/>
          <w:sz w:val="22"/>
          <w:szCs w:val="22"/>
        </w:rPr>
        <w:t>his is underway and demonstrated by the identification of such a partner for the Kenya Simgas project</w:t>
      </w:r>
      <w:r w:rsidR="00B10CD6">
        <w:rPr>
          <w:rFonts w:cs="Arial"/>
          <w:color w:val="000000" w:themeColor="text1"/>
          <w:sz w:val="22"/>
          <w:szCs w:val="22"/>
        </w:rPr>
        <w:t xml:space="preserve">; and </w:t>
      </w:r>
    </w:p>
    <w:p w14:paraId="24CB2DC8" w14:textId="7C515AF6" w:rsidR="002E3D48" w:rsidRPr="002E3D48" w:rsidRDefault="00B10CD6" w:rsidP="002E3D48">
      <w:pPr>
        <w:pStyle w:val="ListParagraph"/>
        <w:numPr>
          <w:ilvl w:val="0"/>
          <w:numId w:val="26"/>
        </w:numPr>
        <w:jc w:val="both"/>
        <w:rPr>
          <w:rFonts w:cs="Arial"/>
          <w:color w:val="000000" w:themeColor="text1"/>
          <w:sz w:val="22"/>
          <w:szCs w:val="22"/>
        </w:rPr>
      </w:pPr>
      <w:r>
        <w:rPr>
          <w:rFonts w:cs="Arial"/>
          <w:color w:val="000000" w:themeColor="text1"/>
          <w:sz w:val="22"/>
          <w:szCs w:val="22"/>
        </w:rPr>
        <w:t>d</w:t>
      </w:r>
      <w:r w:rsidR="002E3D48">
        <w:rPr>
          <w:rFonts w:cs="Arial"/>
          <w:color w:val="000000" w:themeColor="text1"/>
          <w:sz w:val="22"/>
          <w:szCs w:val="22"/>
        </w:rPr>
        <w:t xml:space="preserve">ue diligence on replacement projects that accounts for the experience of the </w:t>
      </w:r>
      <w:r>
        <w:rPr>
          <w:rFonts w:cs="Arial"/>
          <w:color w:val="000000" w:themeColor="text1"/>
          <w:sz w:val="22"/>
          <w:szCs w:val="22"/>
        </w:rPr>
        <w:t xml:space="preserve">Ci-Dev </w:t>
      </w:r>
      <w:r w:rsidR="002E3D48">
        <w:rPr>
          <w:rFonts w:cs="Arial"/>
          <w:color w:val="000000" w:themeColor="text1"/>
          <w:sz w:val="22"/>
          <w:szCs w:val="22"/>
        </w:rPr>
        <w:t xml:space="preserve">portfolio to date, particularly with regard to private sector led projects. </w:t>
      </w:r>
    </w:p>
    <w:p w14:paraId="68DAF18B" w14:textId="227D2CA1" w:rsidR="0058653C" w:rsidRDefault="0058653C" w:rsidP="00127BB1">
      <w:pPr>
        <w:jc w:val="both"/>
        <w:rPr>
          <w:rFonts w:cs="Arial"/>
          <w:color w:val="000000" w:themeColor="text1"/>
          <w:sz w:val="22"/>
          <w:szCs w:val="22"/>
        </w:rPr>
      </w:pPr>
    </w:p>
    <w:p w14:paraId="3725E505" w14:textId="3326DC93" w:rsidR="009B2AAE" w:rsidRDefault="003B3746" w:rsidP="00127BB1">
      <w:pPr>
        <w:jc w:val="both"/>
        <w:rPr>
          <w:rFonts w:cs="Arial"/>
          <w:color w:val="000000" w:themeColor="text1"/>
          <w:sz w:val="22"/>
          <w:szCs w:val="22"/>
        </w:rPr>
      </w:pPr>
      <w:r>
        <w:rPr>
          <w:rFonts w:cs="Arial"/>
          <w:color w:val="000000" w:themeColor="text1"/>
          <w:sz w:val="22"/>
          <w:szCs w:val="22"/>
        </w:rPr>
        <w:t>Some of this work is underway</w:t>
      </w:r>
      <w:r w:rsidR="00275182">
        <w:rPr>
          <w:rFonts w:cs="Arial"/>
          <w:color w:val="000000" w:themeColor="text1"/>
          <w:sz w:val="22"/>
          <w:szCs w:val="22"/>
        </w:rPr>
        <w:t xml:space="preserve"> and there is</w:t>
      </w:r>
      <w:r w:rsidR="009B2AAE">
        <w:rPr>
          <w:rFonts w:cs="Arial"/>
          <w:color w:val="000000" w:themeColor="text1"/>
          <w:sz w:val="22"/>
          <w:szCs w:val="22"/>
        </w:rPr>
        <w:t xml:space="preserve"> evidence that some projects are on course to overachieve against their projected delivery. </w:t>
      </w:r>
    </w:p>
    <w:p w14:paraId="14A16C16" w14:textId="77777777" w:rsidR="009B2AAE" w:rsidRDefault="009B2AAE" w:rsidP="00127BB1">
      <w:pPr>
        <w:jc w:val="both"/>
        <w:rPr>
          <w:rFonts w:cs="Arial"/>
          <w:color w:val="000000" w:themeColor="text1"/>
          <w:sz w:val="22"/>
          <w:szCs w:val="22"/>
        </w:rPr>
      </w:pPr>
    </w:p>
    <w:p w14:paraId="6B6CF3C9" w14:textId="77777777" w:rsidR="007F2B33" w:rsidRPr="0058653C" w:rsidRDefault="007F2B33" w:rsidP="00127BB1">
      <w:pPr>
        <w:jc w:val="both"/>
        <w:rPr>
          <w:rFonts w:cs="Arial"/>
          <w:b/>
          <w:color w:val="000000" w:themeColor="text1"/>
          <w:sz w:val="22"/>
          <w:szCs w:val="22"/>
        </w:rPr>
      </w:pPr>
      <w:r w:rsidRPr="0058653C">
        <w:rPr>
          <w:rFonts w:cs="Arial"/>
          <w:b/>
          <w:color w:val="000000" w:themeColor="text1"/>
          <w:sz w:val="22"/>
          <w:szCs w:val="22"/>
        </w:rPr>
        <w:t>Impact</w:t>
      </w:r>
    </w:p>
    <w:p w14:paraId="0A4879B4" w14:textId="77777777" w:rsidR="0058653C" w:rsidRDefault="0058653C" w:rsidP="00D25630">
      <w:pPr>
        <w:jc w:val="both"/>
        <w:rPr>
          <w:rFonts w:cs="Arial"/>
          <w:color w:val="000000" w:themeColor="text1"/>
          <w:sz w:val="22"/>
          <w:szCs w:val="22"/>
        </w:rPr>
      </w:pPr>
    </w:p>
    <w:p w14:paraId="340E019E" w14:textId="5F3A2733" w:rsidR="00F925F3" w:rsidRDefault="00651588" w:rsidP="00446BAF">
      <w:pPr>
        <w:jc w:val="both"/>
        <w:rPr>
          <w:rFonts w:cs="Arial"/>
          <w:color w:val="000000" w:themeColor="text1"/>
          <w:sz w:val="22"/>
          <w:szCs w:val="22"/>
        </w:rPr>
      </w:pPr>
      <w:r w:rsidRPr="00581E6D">
        <w:rPr>
          <w:rFonts w:cs="Arial"/>
          <w:color w:val="000000" w:themeColor="text1"/>
          <w:sz w:val="22"/>
          <w:szCs w:val="22"/>
        </w:rPr>
        <w:t xml:space="preserve">The </w:t>
      </w:r>
      <w:r w:rsidR="003323E8" w:rsidRPr="00581E6D">
        <w:rPr>
          <w:rFonts w:cs="Arial"/>
          <w:color w:val="000000" w:themeColor="text1"/>
          <w:sz w:val="22"/>
          <w:szCs w:val="22"/>
        </w:rPr>
        <w:t xml:space="preserve">intended </w:t>
      </w:r>
      <w:r w:rsidRPr="00581E6D">
        <w:rPr>
          <w:rFonts w:cs="Arial"/>
          <w:color w:val="000000" w:themeColor="text1"/>
          <w:sz w:val="22"/>
          <w:szCs w:val="22"/>
        </w:rPr>
        <w:t xml:space="preserve">Impact of Ci-Dev is that </w:t>
      </w:r>
      <w:r w:rsidRPr="00581E6D">
        <w:rPr>
          <w:rFonts w:cs="Arial"/>
          <w:i/>
          <w:color w:val="000000" w:themeColor="text1"/>
          <w:sz w:val="22"/>
          <w:szCs w:val="22"/>
        </w:rPr>
        <w:t>‘Carbon financing reduces greenhouse gas emissions and poverty in less developed countries</w:t>
      </w:r>
      <w:r w:rsidR="00622496" w:rsidRPr="00581E6D">
        <w:rPr>
          <w:rFonts w:cs="Arial"/>
          <w:color w:val="000000" w:themeColor="text1"/>
          <w:sz w:val="22"/>
          <w:szCs w:val="22"/>
        </w:rPr>
        <w:t>’</w:t>
      </w:r>
      <w:r w:rsidRPr="00581E6D">
        <w:rPr>
          <w:rFonts w:cs="Arial"/>
          <w:color w:val="000000" w:themeColor="text1"/>
          <w:sz w:val="22"/>
          <w:szCs w:val="22"/>
        </w:rPr>
        <w:t xml:space="preserve">. </w:t>
      </w:r>
      <w:r w:rsidR="001E3A80">
        <w:rPr>
          <w:rFonts w:cs="Arial"/>
          <w:color w:val="000000" w:themeColor="text1"/>
          <w:sz w:val="22"/>
          <w:szCs w:val="22"/>
        </w:rPr>
        <w:t>R</w:t>
      </w:r>
      <w:r w:rsidR="000A00C5" w:rsidRPr="00581E6D">
        <w:rPr>
          <w:rFonts w:cs="Arial"/>
          <w:color w:val="000000" w:themeColor="text1"/>
          <w:sz w:val="22"/>
          <w:szCs w:val="22"/>
        </w:rPr>
        <w:t xml:space="preserve">esults </w:t>
      </w:r>
      <w:r w:rsidR="00191BFE" w:rsidRPr="00581E6D">
        <w:rPr>
          <w:rFonts w:cs="Arial"/>
          <w:color w:val="000000" w:themeColor="text1"/>
          <w:sz w:val="22"/>
          <w:szCs w:val="22"/>
        </w:rPr>
        <w:t xml:space="preserve">towards </w:t>
      </w:r>
      <w:r w:rsidR="001E3A80">
        <w:rPr>
          <w:rFonts w:cs="Arial"/>
          <w:color w:val="000000" w:themeColor="text1"/>
          <w:sz w:val="22"/>
          <w:szCs w:val="22"/>
        </w:rPr>
        <w:t xml:space="preserve">Impact indicators were </w:t>
      </w:r>
      <w:r w:rsidR="000A00C5" w:rsidRPr="00581E6D">
        <w:rPr>
          <w:rFonts w:cs="Arial"/>
          <w:color w:val="000000" w:themeColor="text1"/>
          <w:sz w:val="22"/>
          <w:szCs w:val="22"/>
        </w:rPr>
        <w:t xml:space="preserve">expected </w:t>
      </w:r>
      <w:r w:rsidR="001E3A80">
        <w:rPr>
          <w:rFonts w:cs="Arial"/>
          <w:color w:val="000000" w:themeColor="text1"/>
          <w:sz w:val="22"/>
          <w:szCs w:val="22"/>
        </w:rPr>
        <w:t xml:space="preserve">in </w:t>
      </w:r>
      <w:r w:rsidR="000A00C5" w:rsidRPr="00581E6D">
        <w:rPr>
          <w:rFonts w:cs="Arial"/>
          <w:color w:val="000000" w:themeColor="text1"/>
          <w:sz w:val="22"/>
          <w:szCs w:val="22"/>
        </w:rPr>
        <w:t>2019</w:t>
      </w:r>
      <w:r w:rsidR="00121F82">
        <w:rPr>
          <w:rFonts w:cs="Arial"/>
          <w:color w:val="000000" w:themeColor="text1"/>
          <w:sz w:val="22"/>
          <w:szCs w:val="22"/>
        </w:rPr>
        <w:t xml:space="preserve">. These </w:t>
      </w:r>
      <w:r w:rsidR="007B6B11">
        <w:rPr>
          <w:rFonts w:cs="Arial"/>
          <w:color w:val="000000" w:themeColor="text1"/>
          <w:sz w:val="22"/>
          <w:szCs w:val="22"/>
        </w:rPr>
        <w:t xml:space="preserve">indicators </w:t>
      </w:r>
      <w:r w:rsidR="00121F82">
        <w:rPr>
          <w:rFonts w:cs="Arial"/>
          <w:color w:val="000000" w:themeColor="text1"/>
          <w:sz w:val="22"/>
          <w:szCs w:val="22"/>
        </w:rPr>
        <w:t>were set in 2013</w:t>
      </w:r>
      <w:r w:rsidR="00390FFC">
        <w:rPr>
          <w:rFonts w:cs="Arial"/>
          <w:color w:val="000000" w:themeColor="text1"/>
          <w:sz w:val="22"/>
          <w:szCs w:val="22"/>
        </w:rPr>
        <w:t xml:space="preserve">. </w:t>
      </w:r>
      <w:r w:rsidR="00DC0A8A">
        <w:rPr>
          <w:rFonts w:cs="Arial"/>
          <w:color w:val="000000" w:themeColor="text1"/>
          <w:sz w:val="22"/>
          <w:szCs w:val="22"/>
        </w:rPr>
        <w:t>Since then t</w:t>
      </w:r>
      <w:r w:rsidR="008E7338">
        <w:rPr>
          <w:rFonts w:cs="Arial"/>
          <w:color w:val="000000" w:themeColor="text1"/>
          <w:sz w:val="22"/>
          <w:szCs w:val="22"/>
        </w:rPr>
        <w:t xml:space="preserve">he continued oversupply of the CDM credit market has reduced the incentive for new </w:t>
      </w:r>
      <w:r w:rsidR="000B5AB9">
        <w:rPr>
          <w:rFonts w:cs="Arial"/>
          <w:color w:val="000000" w:themeColor="text1"/>
          <w:sz w:val="22"/>
          <w:szCs w:val="22"/>
        </w:rPr>
        <w:t>projects to come forward</w:t>
      </w:r>
      <w:r w:rsidR="00C042DC">
        <w:rPr>
          <w:rFonts w:cs="Arial"/>
          <w:color w:val="000000" w:themeColor="text1"/>
          <w:sz w:val="22"/>
          <w:szCs w:val="22"/>
        </w:rPr>
        <w:t xml:space="preserve"> and to replicate or scale up Ci-Dev approaches</w:t>
      </w:r>
      <w:r w:rsidR="00EE337F">
        <w:rPr>
          <w:rFonts w:cs="Arial"/>
          <w:color w:val="000000" w:themeColor="text1"/>
          <w:sz w:val="22"/>
          <w:szCs w:val="22"/>
        </w:rPr>
        <w:t>.</w:t>
      </w:r>
      <w:r w:rsidR="00DC0A8A">
        <w:rPr>
          <w:rFonts w:cs="Arial"/>
          <w:color w:val="000000" w:themeColor="text1"/>
          <w:sz w:val="22"/>
          <w:szCs w:val="22"/>
        </w:rPr>
        <w:t xml:space="preserve"> This </w:t>
      </w:r>
      <w:r w:rsidR="00A65BE6">
        <w:rPr>
          <w:rFonts w:cs="Arial"/>
          <w:color w:val="000000" w:themeColor="text1"/>
          <w:sz w:val="22"/>
          <w:szCs w:val="22"/>
        </w:rPr>
        <w:t>m</w:t>
      </w:r>
      <w:r w:rsidR="002B773D">
        <w:rPr>
          <w:rFonts w:cs="Arial"/>
          <w:color w:val="000000" w:themeColor="text1"/>
          <w:sz w:val="22"/>
          <w:szCs w:val="22"/>
        </w:rPr>
        <w:t xml:space="preserve">eans that tracking Ci-Dev </w:t>
      </w:r>
      <w:r w:rsidR="00DC0A8A">
        <w:rPr>
          <w:rFonts w:cs="Arial"/>
          <w:color w:val="000000" w:themeColor="text1"/>
          <w:sz w:val="22"/>
          <w:szCs w:val="22"/>
        </w:rPr>
        <w:t>i</w:t>
      </w:r>
      <w:r w:rsidR="002B773D">
        <w:rPr>
          <w:rFonts w:cs="Arial"/>
          <w:color w:val="000000" w:themeColor="text1"/>
          <w:sz w:val="22"/>
          <w:szCs w:val="22"/>
        </w:rPr>
        <w:t>mpacts through the CDM</w:t>
      </w:r>
      <w:r w:rsidR="000F216F">
        <w:rPr>
          <w:rFonts w:cs="Arial"/>
          <w:color w:val="000000" w:themeColor="text1"/>
          <w:sz w:val="22"/>
          <w:szCs w:val="22"/>
        </w:rPr>
        <w:t xml:space="preserve"> may be a less reliable measure of the programmes’ </w:t>
      </w:r>
      <w:r w:rsidR="00C042DC">
        <w:rPr>
          <w:rFonts w:cs="Arial"/>
          <w:color w:val="000000" w:themeColor="text1"/>
          <w:sz w:val="22"/>
          <w:szCs w:val="22"/>
        </w:rPr>
        <w:t>success than was first intended</w:t>
      </w:r>
      <w:r w:rsidR="000B5AB9">
        <w:rPr>
          <w:rFonts w:cs="Arial"/>
          <w:color w:val="000000" w:themeColor="text1"/>
          <w:sz w:val="22"/>
          <w:szCs w:val="22"/>
        </w:rPr>
        <w:t xml:space="preserve">. </w:t>
      </w:r>
      <w:r w:rsidR="001E3A80">
        <w:rPr>
          <w:rFonts w:cs="Arial"/>
          <w:color w:val="000000" w:themeColor="text1"/>
          <w:sz w:val="22"/>
          <w:szCs w:val="22"/>
        </w:rPr>
        <w:t xml:space="preserve">BEIS and the Trustee intended to update the Impact indicators in time for this review, but other priorities meant that this did not conclude in time to qualify for inclusion. As per new UK International Climate Finance (ICF) guidance, these will be updated </w:t>
      </w:r>
      <w:r w:rsidR="005F6EAF">
        <w:rPr>
          <w:rFonts w:cs="Arial"/>
          <w:color w:val="000000" w:themeColor="text1"/>
          <w:sz w:val="22"/>
          <w:szCs w:val="22"/>
        </w:rPr>
        <w:t>as soon as possible following completion</w:t>
      </w:r>
      <w:r w:rsidR="001E3A80">
        <w:rPr>
          <w:rFonts w:cs="Arial"/>
          <w:color w:val="000000" w:themeColor="text1"/>
          <w:sz w:val="22"/>
          <w:szCs w:val="22"/>
        </w:rPr>
        <w:t xml:space="preserve"> of this review, as reflected in this report’s recommendations. </w:t>
      </w:r>
    </w:p>
    <w:p w14:paraId="18C9C18D" w14:textId="77777777" w:rsidR="005A21FA" w:rsidRDefault="005A21FA" w:rsidP="00446BAF">
      <w:pPr>
        <w:jc w:val="both"/>
        <w:rPr>
          <w:rFonts w:cs="Arial"/>
          <w:color w:val="000000" w:themeColor="text1"/>
          <w:sz w:val="22"/>
          <w:szCs w:val="22"/>
        </w:rPr>
      </w:pPr>
    </w:p>
    <w:p w14:paraId="4229785B" w14:textId="77777777" w:rsidR="00555B98" w:rsidRPr="00581E6D" w:rsidRDefault="00555B98" w:rsidP="00C6516F">
      <w:pPr>
        <w:rPr>
          <w:rFonts w:cs="Arial"/>
          <w:color w:val="000000" w:themeColor="text1"/>
          <w:sz w:val="22"/>
          <w:szCs w:val="22"/>
        </w:rPr>
      </w:pPr>
      <w:r w:rsidRPr="00581E6D">
        <w:rPr>
          <w:rFonts w:cs="Arial"/>
          <w:b/>
          <w:color w:val="000000" w:themeColor="text1"/>
          <w:sz w:val="22"/>
          <w:szCs w:val="22"/>
        </w:rPr>
        <w:t>Overall output score and description</w:t>
      </w:r>
    </w:p>
    <w:p w14:paraId="4BFB1652" w14:textId="77777777" w:rsidR="00555B98" w:rsidRPr="00581E6D" w:rsidRDefault="00555B98" w:rsidP="00F96E0B">
      <w:pPr>
        <w:jc w:val="center"/>
        <w:rPr>
          <w:rFonts w:cs="Arial"/>
          <w:color w:val="000000" w:themeColor="text1"/>
          <w:sz w:val="22"/>
          <w:szCs w:val="22"/>
        </w:rPr>
      </w:pPr>
    </w:p>
    <w:tbl>
      <w:tblPr>
        <w:tblStyle w:val="TableGrid"/>
        <w:tblW w:w="0" w:type="auto"/>
        <w:tblInd w:w="2093" w:type="dxa"/>
        <w:tblLook w:val="04A0" w:firstRow="1" w:lastRow="0" w:firstColumn="1" w:lastColumn="0" w:noHBand="0" w:noVBand="1"/>
      </w:tblPr>
      <w:tblGrid>
        <w:gridCol w:w="1134"/>
        <w:gridCol w:w="5103"/>
      </w:tblGrid>
      <w:tr w:rsidR="00555B98" w:rsidRPr="00581E6D" w14:paraId="3AA447F2" w14:textId="77777777" w:rsidTr="00F96E0B">
        <w:tc>
          <w:tcPr>
            <w:tcW w:w="1134" w:type="dxa"/>
            <w:shd w:val="clear" w:color="auto" w:fill="BFBFBF" w:themeFill="background1" w:themeFillShade="BF"/>
          </w:tcPr>
          <w:p w14:paraId="7A942AC4" w14:textId="77777777" w:rsidR="00555B98" w:rsidRPr="00581E6D" w:rsidRDefault="00555B98" w:rsidP="00F96E0B">
            <w:pPr>
              <w:jc w:val="center"/>
              <w:rPr>
                <w:rFonts w:cs="Arial"/>
                <w:b/>
                <w:color w:val="000000" w:themeColor="text1"/>
                <w:sz w:val="22"/>
                <w:szCs w:val="22"/>
              </w:rPr>
            </w:pPr>
            <w:r w:rsidRPr="00581E6D">
              <w:rPr>
                <w:rFonts w:cs="Arial"/>
                <w:b/>
                <w:color w:val="000000" w:themeColor="text1"/>
                <w:sz w:val="22"/>
                <w:szCs w:val="22"/>
              </w:rPr>
              <w:t>Score</w:t>
            </w:r>
          </w:p>
        </w:tc>
        <w:tc>
          <w:tcPr>
            <w:tcW w:w="5103" w:type="dxa"/>
            <w:shd w:val="clear" w:color="auto" w:fill="BFBFBF" w:themeFill="background1" w:themeFillShade="BF"/>
          </w:tcPr>
          <w:p w14:paraId="21399F62" w14:textId="77777777" w:rsidR="00555B98" w:rsidRPr="00581E6D" w:rsidRDefault="00555B98" w:rsidP="00F96E0B">
            <w:pPr>
              <w:jc w:val="center"/>
              <w:rPr>
                <w:rFonts w:cs="Arial"/>
                <w:b/>
                <w:color w:val="000000" w:themeColor="text1"/>
                <w:sz w:val="22"/>
                <w:szCs w:val="22"/>
              </w:rPr>
            </w:pPr>
            <w:r w:rsidRPr="00581E6D">
              <w:rPr>
                <w:rFonts w:cs="Arial"/>
                <w:b/>
                <w:color w:val="000000" w:themeColor="text1"/>
                <w:sz w:val="22"/>
                <w:szCs w:val="22"/>
              </w:rPr>
              <w:t>Output Description</w:t>
            </w:r>
          </w:p>
        </w:tc>
      </w:tr>
      <w:tr w:rsidR="00555B98" w:rsidRPr="00581E6D" w14:paraId="5E5B35A4" w14:textId="77777777" w:rsidTr="00F96E0B">
        <w:tc>
          <w:tcPr>
            <w:tcW w:w="1134" w:type="dxa"/>
          </w:tcPr>
          <w:p w14:paraId="4B68E47B" w14:textId="77777777" w:rsidR="00555B98" w:rsidRPr="00581E6D" w:rsidRDefault="00555B98" w:rsidP="00F96E0B">
            <w:pPr>
              <w:jc w:val="center"/>
              <w:rPr>
                <w:rFonts w:cs="Arial"/>
                <w:color w:val="000000" w:themeColor="text1"/>
                <w:sz w:val="22"/>
                <w:szCs w:val="22"/>
              </w:rPr>
            </w:pPr>
            <w:r w:rsidRPr="00581E6D">
              <w:rPr>
                <w:rFonts w:cs="Arial"/>
                <w:color w:val="000000" w:themeColor="text1"/>
                <w:sz w:val="22"/>
                <w:szCs w:val="22"/>
              </w:rPr>
              <w:t>A++</w:t>
            </w:r>
          </w:p>
        </w:tc>
        <w:tc>
          <w:tcPr>
            <w:tcW w:w="5103" w:type="dxa"/>
          </w:tcPr>
          <w:p w14:paraId="12122D29" w14:textId="77777777" w:rsidR="00555B98" w:rsidRPr="00581E6D" w:rsidRDefault="00555B98" w:rsidP="00F96E0B">
            <w:pPr>
              <w:jc w:val="center"/>
              <w:rPr>
                <w:rFonts w:cs="Arial"/>
                <w:color w:val="000000" w:themeColor="text1"/>
                <w:sz w:val="22"/>
                <w:szCs w:val="22"/>
              </w:rPr>
            </w:pPr>
            <w:r w:rsidRPr="00581E6D">
              <w:rPr>
                <w:rFonts w:cs="Arial"/>
                <w:color w:val="000000" w:themeColor="text1"/>
                <w:sz w:val="22"/>
                <w:szCs w:val="22"/>
              </w:rPr>
              <w:t>Outputs substantially exceeded expectation</w:t>
            </w:r>
          </w:p>
        </w:tc>
      </w:tr>
      <w:tr w:rsidR="00555B98" w:rsidRPr="00581E6D" w14:paraId="4DD2462A" w14:textId="77777777" w:rsidTr="00F96E0B">
        <w:tc>
          <w:tcPr>
            <w:tcW w:w="1134" w:type="dxa"/>
          </w:tcPr>
          <w:p w14:paraId="6C25B3CF" w14:textId="77777777" w:rsidR="00555B98" w:rsidRPr="00581E6D" w:rsidRDefault="00555B98" w:rsidP="00F96E0B">
            <w:pPr>
              <w:jc w:val="center"/>
              <w:rPr>
                <w:rFonts w:cs="Arial"/>
                <w:color w:val="000000" w:themeColor="text1"/>
                <w:sz w:val="22"/>
                <w:szCs w:val="22"/>
              </w:rPr>
            </w:pPr>
            <w:r w:rsidRPr="00581E6D">
              <w:rPr>
                <w:rFonts w:cs="Arial"/>
                <w:color w:val="000000" w:themeColor="text1"/>
                <w:sz w:val="22"/>
                <w:szCs w:val="22"/>
              </w:rPr>
              <w:t>A+</w:t>
            </w:r>
          </w:p>
        </w:tc>
        <w:tc>
          <w:tcPr>
            <w:tcW w:w="5103" w:type="dxa"/>
          </w:tcPr>
          <w:p w14:paraId="7D70073A" w14:textId="77777777" w:rsidR="00555B98" w:rsidRPr="00581E6D" w:rsidRDefault="00555B98" w:rsidP="00F96E0B">
            <w:pPr>
              <w:jc w:val="center"/>
              <w:rPr>
                <w:rFonts w:cs="Arial"/>
                <w:color w:val="000000" w:themeColor="text1"/>
                <w:sz w:val="22"/>
                <w:szCs w:val="22"/>
              </w:rPr>
            </w:pPr>
            <w:r w:rsidRPr="00581E6D">
              <w:rPr>
                <w:rFonts w:cs="Arial"/>
                <w:color w:val="000000" w:themeColor="text1"/>
                <w:sz w:val="22"/>
                <w:szCs w:val="22"/>
              </w:rPr>
              <w:t>Outputs moderately exceeded expectation</w:t>
            </w:r>
          </w:p>
        </w:tc>
      </w:tr>
      <w:tr w:rsidR="00555B98" w:rsidRPr="00581E6D" w14:paraId="31B0DDA0" w14:textId="77777777" w:rsidTr="00F96E0B">
        <w:tc>
          <w:tcPr>
            <w:tcW w:w="1134" w:type="dxa"/>
          </w:tcPr>
          <w:p w14:paraId="16DA8A1C" w14:textId="77777777" w:rsidR="00555B98" w:rsidRPr="00581E6D" w:rsidRDefault="00555B98" w:rsidP="00F96E0B">
            <w:pPr>
              <w:jc w:val="center"/>
              <w:rPr>
                <w:rFonts w:cs="Arial"/>
                <w:color w:val="000000" w:themeColor="text1"/>
                <w:sz w:val="22"/>
                <w:szCs w:val="22"/>
              </w:rPr>
            </w:pPr>
            <w:r w:rsidRPr="00581E6D">
              <w:rPr>
                <w:rFonts w:cs="Arial"/>
                <w:color w:val="000000" w:themeColor="text1"/>
                <w:sz w:val="22"/>
                <w:szCs w:val="22"/>
              </w:rPr>
              <w:t>A</w:t>
            </w:r>
          </w:p>
        </w:tc>
        <w:tc>
          <w:tcPr>
            <w:tcW w:w="5103" w:type="dxa"/>
          </w:tcPr>
          <w:p w14:paraId="58F10746" w14:textId="77777777" w:rsidR="00555B98" w:rsidRPr="00581E6D" w:rsidRDefault="00555B98" w:rsidP="00F96E0B">
            <w:pPr>
              <w:jc w:val="center"/>
              <w:rPr>
                <w:rFonts w:cs="Arial"/>
                <w:color w:val="000000" w:themeColor="text1"/>
                <w:sz w:val="22"/>
                <w:szCs w:val="22"/>
              </w:rPr>
            </w:pPr>
            <w:r w:rsidRPr="00581E6D">
              <w:rPr>
                <w:rFonts w:cs="Arial"/>
                <w:color w:val="000000" w:themeColor="text1"/>
                <w:sz w:val="22"/>
                <w:szCs w:val="22"/>
              </w:rPr>
              <w:t>Outputs met expectation</w:t>
            </w:r>
          </w:p>
        </w:tc>
      </w:tr>
      <w:tr w:rsidR="00555B98" w:rsidRPr="00581E6D" w14:paraId="6DCB2260" w14:textId="77777777" w:rsidTr="00F96E0B">
        <w:tc>
          <w:tcPr>
            <w:tcW w:w="1134" w:type="dxa"/>
          </w:tcPr>
          <w:p w14:paraId="69330AC1" w14:textId="77777777" w:rsidR="00555B98" w:rsidRPr="00581E6D" w:rsidRDefault="00555B98" w:rsidP="00F96E0B">
            <w:pPr>
              <w:jc w:val="center"/>
              <w:rPr>
                <w:rFonts w:cs="Arial"/>
                <w:color w:val="000000" w:themeColor="text1"/>
                <w:sz w:val="22"/>
                <w:szCs w:val="22"/>
              </w:rPr>
            </w:pPr>
            <w:r w:rsidRPr="00581E6D">
              <w:rPr>
                <w:rFonts w:cs="Arial"/>
                <w:color w:val="000000" w:themeColor="text1"/>
                <w:sz w:val="22"/>
                <w:szCs w:val="22"/>
              </w:rPr>
              <w:t>B</w:t>
            </w:r>
          </w:p>
        </w:tc>
        <w:tc>
          <w:tcPr>
            <w:tcW w:w="5103" w:type="dxa"/>
          </w:tcPr>
          <w:p w14:paraId="663080D4" w14:textId="77777777" w:rsidR="00555B98" w:rsidRPr="00581E6D" w:rsidRDefault="00555B98" w:rsidP="00F96E0B">
            <w:pPr>
              <w:jc w:val="center"/>
              <w:rPr>
                <w:rFonts w:cs="Arial"/>
                <w:color w:val="000000" w:themeColor="text1"/>
                <w:sz w:val="22"/>
                <w:szCs w:val="22"/>
              </w:rPr>
            </w:pPr>
            <w:r w:rsidRPr="00581E6D">
              <w:rPr>
                <w:rFonts w:cs="Arial"/>
                <w:color w:val="000000" w:themeColor="text1"/>
                <w:sz w:val="22"/>
                <w:szCs w:val="22"/>
              </w:rPr>
              <w:t>Outputs moderately did not meet expectation</w:t>
            </w:r>
          </w:p>
        </w:tc>
      </w:tr>
      <w:tr w:rsidR="00555B98" w:rsidRPr="00581E6D" w14:paraId="78C68746" w14:textId="77777777" w:rsidTr="00F96E0B">
        <w:tc>
          <w:tcPr>
            <w:tcW w:w="1134" w:type="dxa"/>
          </w:tcPr>
          <w:p w14:paraId="24F2A327" w14:textId="77777777" w:rsidR="00555B98" w:rsidRPr="00581E6D" w:rsidRDefault="00555B98" w:rsidP="00F96E0B">
            <w:pPr>
              <w:jc w:val="center"/>
              <w:rPr>
                <w:rFonts w:cs="Arial"/>
                <w:color w:val="000000" w:themeColor="text1"/>
                <w:sz w:val="22"/>
                <w:szCs w:val="22"/>
              </w:rPr>
            </w:pPr>
            <w:r w:rsidRPr="00581E6D">
              <w:rPr>
                <w:rFonts w:cs="Arial"/>
                <w:color w:val="000000" w:themeColor="text1"/>
                <w:sz w:val="22"/>
                <w:szCs w:val="22"/>
              </w:rPr>
              <w:t>C</w:t>
            </w:r>
          </w:p>
        </w:tc>
        <w:tc>
          <w:tcPr>
            <w:tcW w:w="5103" w:type="dxa"/>
          </w:tcPr>
          <w:p w14:paraId="0B69E6C3" w14:textId="77777777" w:rsidR="00555B98" w:rsidRPr="00581E6D" w:rsidRDefault="00555B98" w:rsidP="00F96E0B">
            <w:pPr>
              <w:jc w:val="center"/>
              <w:rPr>
                <w:rFonts w:cs="Arial"/>
                <w:color w:val="000000" w:themeColor="text1"/>
                <w:sz w:val="22"/>
                <w:szCs w:val="22"/>
              </w:rPr>
            </w:pPr>
            <w:r w:rsidRPr="00581E6D">
              <w:rPr>
                <w:rFonts w:cs="Arial"/>
                <w:color w:val="000000" w:themeColor="text1"/>
                <w:sz w:val="22"/>
                <w:szCs w:val="22"/>
              </w:rPr>
              <w:t>Outputs substantially did not meet expectation</w:t>
            </w:r>
          </w:p>
        </w:tc>
      </w:tr>
    </w:tbl>
    <w:p w14:paraId="734090B9" w14:textId="77777777" w:rsidR="002A6DBC" w:rsidRPr="00581E6D" w:rsidRDefault="002A6DBC" w:rsidP="00F96E0B">
      <w:pPr>
        <w:jc w:val="center"/>
        <w:rPr>
          <w:rFonts w:cs="Arial"/>
          <w:color w:val="000000" w:themeColor="text1"/>
          <w:sz w:val="22"/>
          <w:szCs w:val="22"/>
        </w:rPr>
      </w:pPr>
    </w:p>
    <w:p w14:paraId="0EFCF2A2" w14:textId="5996F6D0" w:rsidR="00F96E0B" w:rsidRDefault="00555B98" w:rsidP="00F96E0B">
      <w:pPr>
        <w:jc w:val="center"/>
        <w:rPr>
          <w:rFonts w:cs="Arial"/>
          <w:color w:val="000000" w:themeColor="text1"/>
          <w:sz w:val="22"/>
          <w:szCs w:val="22"/>
        </w:rPr>
      </w:pPr>
      <w:r w:rsidRPr="00581E6D">
        <w:rPr>
          <w:rFonts w:cs="Arial"/>
          <w:color w:val="000000" w:themeColor="text1"/>
          <w:sz w:val="22"/>
          <w:szCs w:val="22"/>
        </w:rPr>
        <w:t xml:space="preserve">For this reporting period the programme has been given an overall output score of </w:t>
      </w:r>
    </w:p>
    <w:p w14:paraId="0F8779CF" w14:textId="77777777" w:rsidR="003868F4" w:rsidRPr="00581E6D" w:rsidRDefault="003868F4" w:rsidP="00F96E0B">
      <w:pPr>
        <w:jc w:val="center"/>
        <w:rPr>
          <w:rFonts w:cs="Arial"/>
          <w:color w:val="000000" w:themeColor="text1"/>
          <w:sz w:val="22"/>
          <w:szCs w:val="22"/>
        </w:rPr>
      </w:pPr>
    </w:p>
    <w:p w14:paraId="18F4FA36" w14:textId="4888CA23" w:rsidR="00555B98" w:rsidRPr="00581E6D" w:rsidRDefault="005F6EAF" w:rsidP="00F96E0B">
      <w:pPr>
        <w:jc w:val="center"/>
        <w:rPr>
          <w:rFonts w:cs="Arial"/>
          <w:color w:val="000000" w:themeColor="text1"/>
          <w:sz w:val="22"/>
          <w:szCs w:val="22"/>
        </w:rPr>
      </w:pPr>
      <w:r>
        <w:rPr>
          <w:rFonts w:cs="Arial"/>
          <w:b/>
          <w:color w:val="000000" w:themeColor="text1"/>
          <w:sz w:val="22"/>
          <w:szCs w:val="22"/>
        </w:rPr>
        <w:t>B – Outputs moderately did not meet expectation</w:t>
      </w:r>
    </w:p>
    <w:p w14:paraId="092F966E" w14:textId="77777777" w:rsidR="00555B98" w:rsidRPr="00581E6D" w:rsidRDefault="00555B98" w:rsidP="00E81F52">
      <w:pPr>
        <w:rPr>
          <w:rFonts w:cs="Arial"/>
          <w:i/>
          <w:color w:val="000000" w:themeColor="text1"/>
          <w:sz w:val="22"/>
          <w:szCs w:val="22"/>
        </w:rPr>
      </w:pPr>
    </w:p>
    <w:p w14:paraId="01AA9EE8" w14:textId="2B1F9E53" w:rsidR="009D3924" w:rsidRDefault="00D67956" w:rsidP="00673030">
      <w:pPr>
        <w:jc w:val="both"/>
        <w:rPr>
          <w:rFonts w:cs="Arial"/>
          <w:color w:val="000000"/>
          <w:sz w:val="22"/>
          <w:szCs w:val="22"/>
          <w:bdr w:val="none" w:sz="0" w:space="0" w:color="auto" w:frame="1"/>
          <w:lang w:eastAsia="en-GB"/>
        </w:rPr>
      </w:pPr>
      <w:r>
        <w:rPr>
          <w:sz w:val="22"/>
          <w:szCs w:val="22"/>
        </w:rPr>
        <w:t xml:space="preserve">This is </w:t>
      </w:r>
      <w:r w:rsidR="001C2A7F">
        <w:rPr>
          <w:sz w:val="22"/>
          <w:szCs w:val="22"/>
        </w:rPr>
        <w:t xml:space="preserve">reached by </w:t>
      </w:r>
      <w:r w:rsidRPr="00D67956">
        <w:rPr>
          <w:rFonts w:cs="Arial"/>
          <w:color w:val="000000"/>
          <w:sz w:val="22"/>
          <w:szCs w:val="22"/>
          <w:bdr w:val="none" w:sz="0" w:space="0" w:color="auto" w:frame="1"/>
          <w:lang w:eastAsia="en-GB"/>
        </w:rPr>
        <w:t xml:space="preserve">scoring </w:t>
      </w:r>
      <w:r w:rsidR="006335EF">
        <w:rPr>
          <w:rFonts w:cs="Arial"/>
          <w:color w:val="000000"/>
          <w:sz w:val="22"/>
          <w:szCs w:val="22"/>
          <w:bdr w:val="none" w:sz="0" w:space="0" w:color="auto" w:frame="1"/>
          <w:lang w:eastAsia="en-GB"/>
        </w:rPr>
        <w:t>the programme’s</w:t>
      </w:r>
      <w:r w:rsidRPr="00D67956">
        <w:rPr>
          <w:rFonts w:cs="Arial"/>
          <w:color w:val="000000"/>
          <w:sz w:val="22"/>
          <w:szCs w:val="22"/>
          <w:bdr w:val="none" w:sz="0" w:space="0" w:color="auto" w:frame="1"/>
          <w:lang w:eastAsia="en-GB"/>
        </w:rPr>
        <w:t xml:space="preserve"> performance against logframe output indicators </w:t>
      </w:r>
      <w:r w:rsidR="001C2A7F">
        <w:rPr>
          <w:rFonts w:cs="Arial"/>
          <w:color w:val="000000"/>
          <w:sz w:val="22"/>
          <w:szCs w:val="22"/>
          <w:bdr w:val="none" w:sz="0" w:space="0" w:color="auto" w:frame="1"/>
          <w:lang w:eastAsia="en-GB"/>
        </w:rPr>
        <w:t>and combining that</w:t>
      </w:r>
      <w:r w:rsidRPr="00D67956">
        <w:rPr>
          <w:rFonts w:cs="Arial"/>
          <w:color w:val="000000"/>
          <w:sz w:val="22"/>
          <w:szCs w:val="22"/>
          <w:bdr w:val="none" w:sz="0" w:space="0" w:color="auto" w:frame="1"/>
          <w:lang w:eastAsia="en-GB"/>
        </w:rPr>
        <w:t xml:space="preserve"> with an assessment of progress towards outcome indicators</w:t>
      </w:r>
      <w:r>
        <w:rPr>
          <w:rFonts w:cs="Arial"/>
          <w:color w:val="000000"/>
          <w:sz w:val="22"/>
          <w:szCs w:val="22"/>
          <w:bdr w:val="none" w:sz="0" w:space="0" w:color="auto" w:frame="1"/>
          <w:lang w:eastAsia="en-GB"/>
        </w:rPr>
        <w:t xml:space="preserve">. </w:t>
      </w:r>
      <w:r w:rsidR="009D3924">
        <w:rPr>
          <w:rFonts w:cs="Arial"/>
          <w:color w:val="000000"/>
          <w:sz w:val="22"/>
          <w:szCs w:val="22"/>
          <w:bdr w:val="none" w:sz="0" w:space="0" w:color="auto" w:frame="1"/>
          <w:lang w:eastAsia="en-GB"/>
        </w:rPr>
        <w:t>The scores</w:t>
      </w:r>
      <w:r w:rsidR="00565551">
        <w:rPr>
          <w:rFonts w:cs="Arial"/>
          <w:color w:val="000000"/>
          <w:sz w:val="22"/>
          <w:szCs w:val="22"/>
          <w:bdr w:val="none" w:sz="0" w:space="0" w:color="auto" w:frame="1"/>
          <w:lang w:eastAsia="en-GB"/>
        </w:rPr>
        <w:t xml:space="preserve"> awarded to the outputs, and </w:t>
      </w:r>
      <w:r w:rsidR="009D3924">
        <w:rPr>
          <w:rFonts w:cs="Arial"/>
          <w:color w:val="000000"/>
          <w:sz w:val="22"/>
          <w:szCs w:val="22"/>
          <w:bdr w:val="none" w:sz="0" w:space="0" w:color="auto" w:frame="1"/>
          <w:lang w:eastAsia="en-GB"/>
        </w:rPr>
        <w:t>their weighting</w:t>
      </w:r>
      <w:r w:rsidR="006335EF">
        <w:rPr>
          <w:rFonts w:cs="Arial"/>
          <w:color w:val="000000"/>
          <w:sz w:val="22"/>
          <w:szCs w:val="22"/>
          <w:bdr w:val="none" w:sz="0" w:space="0" w:color="auto" w:frame="1"/>
          <w:lang w:eastAsia="en-GB"/>
        </w:rPr>
        <w:t>,</w:t>
      </w:r>
      <w:r w:rsidR="009D3924">
        <w:rPr>
          <w:rFonts w:cs="Arial"/>
          <w:color w:val="000000"/>
          <w:sz w:val="22"/>
          <w:szCs w:val="22"/>
          <w:bdr w:val="none" w:sz="0" w:space="0" w:color="auto" w:frame="1"/>
          <w:lang w:eastAsia="en-GB"/>
        </w:rPr>
        <w:t xml:space="preserve"> are</w:t>
      </w:r>
      <w:r w:rsidR="00C938DC">
        <w:rPr>
          <w:rFonts w:cs="Arial"/>
          <w:color w:val="000000"/>
          <w:sz w:val="22"/>
          <w:szCs w:val="22"/>
          <w:bdr w:val="none" w:sz="0" w:space="0" w:color="auto" w:frame="1"/>
          <w:lang w:eastAsia="en-GB"/>
        </w:rPr>
        <w:t xml:space="preserve"> below, with more details and narrative in Section C: </w:t>
      </w:r>
    </w:p>
    <w:p w14:paraId="16AA2DB9" w14:textId="19A8DC17" w:rsidR="003B3746" w:rsidRDefault="003B3746" w:rsidP="00673030">
      <w:pPr>
        <w:jc w:val="both"/>
        <w:rPr>
          <w:rFonts w:cs="Arial"/>
          <w:color w:val="000000"/>
          <w:sz w:val="22"/>
          <w:szCs w:val="22"/>
          <w:bdr w:val="none" w:sz="0" w:space="0" w:color="auto" w:frame="1"/>
          <w:lang w:eastAsia="en-GB"/>
        </w:rPr>
      </w:pPr>
    </w:p>
    <w:p w14:paraId="7E101593" w14:textId="4A18A396" w:rsidR="003B3746" w:rsidRDefault="003B3746" w:rsidP="00673030">
      <w:pPr>
        <w:jc w:val="both"/>
        <w:rPr>
          <w:rFonts w:cs="Arial"/>
          <w:color w:val="000000"/>
          <w:sz w:val="22"/>
          <w:szCs w:val="22"/>
          <w:bdr w:val="none" w:sz="0" w:space="0" w:color="auto" w:frame="1"/>
          <w:lang w:eastAsia="en-GB"/>
        </w:rPr>
      </w:pPr>
    </w:p>
    <w:p w14:paraId="2E487CA6" w14:textId="77777777" w:rsidR="003B3746" w:rsidRDefault="003B3746" w:rsidP="00673030">
      <w:pPr>
        <w:jc w:val="both"/>
        <w:rPr>
          <w:rFonts w:cs="Arial"/>
          <w:color w:val="000000"/>
          <w:sz w:val="22"/>
          <w:szCs w:val="22"/>
          <w:bdr w:val="none" w:sz="0" w:space="0" w:color="auto" w:frame="1"/>
          <w:lang w:eastAsia="en-GB"/>
        </w:rPr>
      </w:pPr>
    </w:p>
    <w:p w14:paraId="099ECC74" w14:textId="77777777" w:rsidR="009D3924" w:rsidRDefault="009D3924" w:rsidP="001C2A7F">
      <w:pPr>
        <w:rPr>
          <w:rFonts w:cs="Arial"/>
          <w:color w:val="000000"/>
          <w:sz w:val="22"/>
          <w:szCs w:val="22"/>
          <w:bdr w:val="none" w:sz="0" w:space="0" w:color="auto" w:frame="1"/>
          <w:lang w:eastAsia="en-GB"/>
        </w:rPr>
      </w:pPr>
    </w:p>
    <w:tbl>
      <w:tblPr>
        <w:tblStyle w:val="TableGrid"/>
        <w:tblW w:w="0" w:type="auto"/>
        <w:tblLook w:val="04A0" w:firstRow="1" w:lastRow="0" w:firstColumn="1" w:lastColumn="0" w:noHBand="0" w:noVBand="1"/>
      </w:tblPr>
      <w:tblGrid>
        <w:gridCol w:w="8208"/>
        <w:gridCol w:w="791"/>
        <w:gridCol w:w="1195"/>
      </w:tblGrid>
      <w:tr w:rsidR="009D3924" w14:paraId="65069D0F" w14:textId="77777777" w:rsidTr="006211A8">
        <w:tc>
          <w:tcPr>
            <w:tcW w:w="8359" w:type="dxa"/>
          </w:tcPr>
          <w:p w14:paraId="2C162B07" w14:textId="77777777" w:rsidR="009D3924" w:rsidRDefault="009D3924" w:rsidP="00702D01">
            <w:pPr>
              <w:jc w:val="center"/>
              <w:rPr>
                <w:rFonts w:cs="Arial"/>
                <w:color w:val="000000"/>
                <w:sz w:val="22"/>
                <w:szCs w:val="22"/>
                <w:bdr w:val="none" w:sz="0" w:space="0" w:color="auto" w:frame="1"/>
                <w:lang w:eastAsia="en-GB"/>
              </w:rPr>
            </w:pPr>
            <w:r>
              <w:rPr>
                <w:rFonts w:cs="Arial"/>
                <w:color w:val="000000"/>
                <w:sz w:val="22"/>
                <w:szCs w:val="22"/>
                <w:bdr w:val="none" w:sz="0" w:space="0" w:color="auto" w:frame="1"/>
                <w:lang w:eastAsia="en-GB"/>
              </w:rPr>
              <w:t>Output number and name</w:t>
            </w:r>
          </w:p>
        </w:tc>
        <w:tc>
          <w:tcPr>
            <w:tcW w:w="640" w:type="dxa"/>
          </w:tcPr>
          <w:p w14:paraId="697D6E71" w14:textId="77777777" w:rsidR="009D3924" w:rsidRDefault="009D3924" w:rsidP="000829BA">
            <w:pPr>
              <w:jc w:val="center"/>
              <w:rPr>
                <w:rFonts w:cs="Arial"/>
                <w:color w:val="000000"/>
                <w:sz w:val="22"/>
                <w:szCs w:val="22"/>
                <w:bdr w:val="none" w:sz="0" w:space="0" w:color="auto" w:frame="1"/>
                <w:lang w:eastAsia="en-GB"/>
              </w:rPr>
            </w:pPr>
            <w:r>
              <w:rPr>
                <w:rFonts w:cs="Arial"/>
                <w:color w:val="000000"/>
                <w:sz w:val="22"/>
                <w:szCs w:val="22"/>
                <w:bdr w:val="none" w:sz="0" w:space="0" w:color="auto" w:frame="1"/>
                <w:lang w:eastAsia="en-GB"/>
              </w:rPr>
              <w:t>Score</w:t>
            </w:r>
          </w:p>
        </w:tc>
        <w:tc>
          <w:tcPr>
            <w:tcW w:w="1195" w:type="dxa"/>
          </w:tcPr>
          <w:p w14:paraId="0C02DDE0" w14:textId="77777777" w:rsidR="009D3924" w:rsidRDefault="009D3924" w:rsidP="000829BA">
            <w:pPr>
              <w:jc w:val="center"/>
              <w:rPr>
                <w:rFonts w:cs="Arial"/>
                <w:color w:val="000000"/>
                <w:sz w:val="22"/>
                <w:szCs w:val="22"/>
                <w:bdr w:val="none" w:sz="0" w:space="0" w:color="auto" w:frame="1"/>
                <w:lang w:eastAsia="en-GB"/>
              </w:rPr>
            </w:pPr>
            <w:r>
              <w:rPr>
                <w:rFonts w:cs="Arial"/>
                <w:color w:val="000000"/>
                <w:sz w:val="22"/>
                <w:szCs w:val="22"/>
                <w:bdr w:val="none" w:sz="0" w:space="0" w:color="auto" w:frame="1"/>
                <w:lang w:eastAsia="en-GB"/>
              </w:rPr>
              <w:t>Weighting (%)</w:t>
            </w:r>
          </w:p>
        </w:tc>
      </w:tr>
      <w:tr w:rsidR="009D3924" w14:paraId="178B9B95" w14:textId="77777777" w:rsidTr="006211A8">
        <w:tc>
          <w:tcPr>
            <w:tcW w:w="8359" w:type="dxa"/>
          </w:tcPr>
          <w:p w14:paraId="362DFA58" w14:textId="3B692C26" w:rsidR="00702D01" w:rsidRPr="00702D01" w:rsidRDefault="00702D01" w:rsidP="00F309BE">
            <w:pPr>
              <w:pStyle w:val="ListParagraph"/>
              <w:numPr>
                <w:ilvl w:val="0"/>
                <w:numId w:val="4"/>
              </w:numPr>
              <w:ind w:left="310"/>
              <w:rPr>
                <w:rFonts w:cs="Arial"/>
                <w:sz w:val="22"/>
                <w:szCs w:val="22"/>
              </w:rPr>
            </w:pPr>
            <w:r w:rsidRPr="00702D01">
              <w:rPr>
                <w:rFonts w:cs="Arial"/>
                <w:sz w:val="22"/>
                <w:szCs w:val="22"/>
              </w:rPr>
              <w:t>Pilot projects that can generate CERs and direct development benefits are implemented</w:t>
            </w:r>
          </w:p>
          <w:p w14:paraId="49C43B9D" w14:textId="126C60E1" w:rsidR="009D3924" w:rsidRPr="00702D01" w:rsidRDefault="009D3924" w:rsidP="00702D01">
            <w:pPr>
              <w:ind w:left="310"/>
              <w:rPr>
                <w:rFonts w:cs="Arial"/>
                <w:color w:val="000000"/>
                <w:sz w:val="22"/>
                <w:szCs w:val="22"/>
                <w:bdr w:val="none" w:sz="0" w:space="0" w:color="auto" w:frame="1"/>
                <w:lang w:eastAsia="en-GB"/>
              </w:rPr>
            </w:pPr>
          </w:p>
        </w:tc>
        <w:tc>
          <w:tcPr>
            <w:tcW w:w="640" w:type="dxa"/>
          </w:tcPr>
          <w:p w14:paraId="082FD6D9" w14:textId="7433CD02" w:rsidR="009D3924" w:rsidRDefault="000829BA" w:rsidP="000829BA">
            <w:pPr>
              <w:jc w:val="center"/>
              <w:rPr>
                <w:rFonts w:cs="Arial"/>
                <w:color w:val="000000"/>
                <w:sz w:val="22"/>
                <w:szCs w:val="22"/>
                <w:bdr w:val="none" w:sz="0" w:space="0" w:color="auto" w:frame="1"/>
                <w:lang w:eastAsia="en-GB"/>
              </w:rPr>
            </w:pPr>
            <w:r>
              <w:rPr>
                <w:rFonts w:cs="Arial"/>
                <w:color w:val="000000"/>
                <w:sz w:val="22"/>
                <w:szCs w:val="22"/>
                <w:bdr w:val="none" w:sz="0" w:space="0" w:color="auto" w:frame="1"/>
                <w:lang w:eastAsia="en-GB"/>
              </w:rPr>
              <w:t>B</w:t>
            </w:r>
          </w:p>
        </w:tc>
        <w:tc>
          <w:tcPr>
            <w:tcW w:w="1195" w:type="dxa"/>
          </w:tcPr>
          <w:p w14:paraId="2E51EA05" w14:textId="5307D32D" w:rsidR="009D3924" w:rsidRDefault="000829BA" w:rsidP="000829BA">
            <w:pPr>
              <w:jc w:val="center"/>
              <w:rPr>
                <w:rFonts w:cs="Arial"/>
                <w:color w:val="000000"/>
                <w:sz w:val="22"/>
                <w:szCs w:val="22"/>
                <w:bdr w:val="none" w:sz="0" w:space="0" w:color="auto" w:frame="1"/>
                <w:lang w:eastAsia="en-GB"/>
              </w:rPr>
            </w:pPr>
            <w:r>
              <w:rPr>
                <w:rFonts w:cs="Arial"/>
                <w:color w:val="000000"/>
                <w:sz w:val="22"/>
                <w:szCs w:val="22"/>
                <w:bdr w:val="none" w:sz="0" w:space="0" w:color="auto" w:frame="1"/>
                <w:lang w:eastAsia="en-GB"/>
              </w:rPr>
              <w:t>40</w:t>
            </w:r>
          </w:p>
        </w:tc>
      </w:tr>
      <w:tr w:rsidR="009D3924" w14:paraId="074E237D" w14:textId="77777777" w:rsidTr="006211A8">
        <w:tc>
          <w:tcPr>
            <w:tcW w:w="8359" w:type="dxa"/>
          </w:tcPr>
          <w:p w14:paraId="6ECE2AFC" w14:textId="4FA65304" w:rsidR="00702D01" w:rsidRPr="00702D01" w:rsidRDefault="00702D01" w:rsidP="00F309BE">
            <w:pPr>
              <w:pStyle w:val="NormalWeb"/>
              <w:numPr>
                <w:ilvl w:val="0"/>
                <w:numId w:val="4"/>
              </w:numPr>
              <w:spacing w:before="0" w:beforeAutospacing="0" w:after="0" w:afterAutospacing="0"/>
              <w:ind w:left="310"/>
              <w:rPr>
                <w:rFonts w:ascii="Arial" w:hAnsi="Arial" w:cs="Arial"/>
                <w:sz w:val="22"/>
                <w:szCs w:val="22"/>
              </w:rPr>
            </w:pPr>
            <w:r w:rsidRPr="00702D01">
              <w:rPr>
                <w:rFonts w:ascii="Arial" w:hAnsi="Arial" w:cs="Arial"/>
                <w:sz w:val="22"/>
                <w:szCs w:val="22"/>
              </w:rPr>
              <w:lastRenderedPageBreak/>
              <w:t>Ci-Dev prepared for projects to be registered under the UNFCCC mechanism for transferring emission reductions (either pre-2020 CDM or post-2020 Article 6 collaborative approaches)</w:t>
            </w:r>
          </w:p>
          <w:p w14:paraId="61DC6DD5" w14:textId="5001C422" w:rsidR="009D3924" w:rsidRPr="00702D01" w:rsidRDefault="009D3924" w:rsidP="00702D01">
            <w:pPr>
              <w:ind w:left="310"/>
              <w:rPr>
                <w:rFonts w:cs="Arial"/>
                <w:color w:val="000000"/>
                <w:sz w:val="22"/>
                <w:szCs w:val="22"/>
                <w:bdr w:val="none" w:sz="0" w:space="0" w:color="auto" w:frame="1"/>
                <w:lang w:eastAsia="en-GB"/>
              </w:rPr>
            </w:pPr>
          </w:p>
        </w:tc>
        <w:tc>
          <w:tcPr>
            <w:tcW w:w="640" w:type="dxa"/>
          </w:tcPr>
          <w:p w14:paraId="606E61E3" w14:textId="770991F1" w:rsidR="009D3924" w:rsidRDefault="005F6EAF" w:rsidP="000829BA">
            <w:pPr>
              <w:jc w:val="center"/>
              <w:rPr>
                <w:rFonts w:cs="Arial"/>
                <w:color w:val="000000"/>
                <w:sz w:val="22"/>
                <w:szCs w:val="22"/>
                <w:bdr w:val="none" w:sz="0" w:space="0" w:color="auto" w:frame="1"/>
                <w:lang w:eastAsia="en-GB"/>
              </w:rPr>
            </w:pPr>
            <w:r>
              <w:rPr>
                <w:rFonts w:cs="Arial"/>
                <w:color w:val="000000"/>
                <w:sz w:val="22"/>
                <w:szCs w:val="22"/>
                <w:bdr w:val="none" w:sz="0" w:space="0" w:color="auto" w:frame="1"/>
                <w:lang w:eastAsia="en-GB"/>
              </w:rPr>
              <w:t>B</w:t>
            </w:r>
          </w:p>
        </w:tc>
        <w:tc>
          <w:tcPr>
            <w:tcW w:w="1195" w:type="dxa"/>
          </w:tcPr>
          <w:p w14:paraId="05AE35AF" w14:textId="506BB80D" w:rsidR="009D3924" w:rsidRDefault="000829BA" w:rsidP="000829BA">
            <w:pPr>
              <w:jc w:val="center"/>
              <w:rPr>
                <w:rFonts w:cs="Arial"/>
                <w:color w:val="000000"/>
                <w:sz w:val="22"/>
                <w:szCs w:val="22"/>
                <w:bdr w:val="none" w:sz="0" w:space="0" w:color="auto" w:frame="1"/>
                <w:lang w:eastAsia="en-GB"/>
              </w:rPr>
            </w:pPr>
            <w:r>
              <w:rPr>
                <w:rFonts w:cs="Arial"/>
                <w:color w:val="000000"/>
                <w:sz w:val="22"/>
                <w:szCs w:val="22"/>
                <w:bdr w:val="none" w:sz="0" w:space="0" w:color="auto" w:frame="1"/>
                <w:lang w:eastAsia="en-GB"/>
              </w:rPr>
              <w:t>25</w:t>
            </w:r>
          </w:p>
        </w:tc>
      </w:tr>
      <w:tr w:rsidR="009D3924" w14:paraId="65388348" w14:textId="77777777" w:rsidTr="006211A8">
        <w:tc>
          <w:tcPr>
            <w:tcW w:w="8359" w:type="dxa"/>
          </w:tcPr>
          <w:p w14:paraId="5BB42CA1" w14:textId="1D327463" w:rsidR="009D3924" w:rsidRPr="00702D01" w:rsidRDefault="00702D01" w:rsidP="00F309BE">
            <w:pPr>
              <w:pStyle w:val="ListParagraph"/>
              <w:numPr>
                <w:ilvl w:val="0"/>
                <w:numId w:val="4"/>
              </w:numPr>
              <w:ind w:left="310"/>
              <w:rPr>
                <w:rFonts w:cs="Arial"/>
                <w:color w:val="000000"/>
                <w:sz w:val="22"/>
                <w:szCs w:val="22"/>
                <w:bdr w:val="none" w:sz="0" w:space="0" w:color="auto" w:frame="1"/>
                <w:lang w:eastAsia="en-GB"/>
              </w:rPr>
            </w:pPr>
            <w:r w:rsidRPr="00702D01">
              <w:rPr>
                <w:rFonts w:cs="Arial"/>
                <w:sz w:val="22"/>
                <w:szCs w:val="22"/>
              </w:rPr>
              <w:t>Ci-Dev’s Knowledge Management Strategy helps to increase capacity among communities, the private sector and governments to implement new methodologies</w:t>
            </w:r>
            <w:r w:rsidR="00D24490">
              <w:rPr>
                <w:rFonts w:cs="Arial"/>
                <w:sz w:val="22"/>
                <w:szCs w:val="22"/>
              </w:rPr>
              <w:t xml:space="preserve"> developed by Ci-Dev</w:t>
            </w:r>
          </w:p>
        </w:tc>
        <w:tc>
          <w:tcPr>
            <w:tcW w:w="640" w:type="dxa"/>
          </w:tcPr>
          <w:p w14:paraId="2A20FB80" w14:textId="3DAE289F" w:rsidR="009D3924" w:rsidRDefault="000829BA" w:rsidP="000829BA">
            <w:pPr>
              <w:jc w:val="center"/>
              <w:rPr>
                <w:rFonts w:cs="Arial"/>
                <w:color w:val="000000"/>
                <w:sz w:val="22"/>
                <w:szCs w:val="22"/>
                <w:bdr w:val="none" w:sz="0" w:space="0" w:color="auto" w:frame="1"/>
                <w:lang w:eastAsia="en-GB"/>
              </w:rPr>
            </w:pPr>
            <w:r>
              <w:rPr>
                <w:rFonts w:cs="Arial"/>
                <w:color w:val="000000"/>
                <w:sz w:val="22"/>
                <w:szCs w:val="22"/>
                <w:bdr w:val="none" w:sz="0" w:space="0" w:color="auto" w:frame="1"/>
                <w:lang w:eastAsia="en-GB"/>
              </w:rPr>
              <w:t>A</w:t>
            </w:r>
          </w:p>
        </w:tc>
        <w:tc>
          <w:tcPr>
            <w:tcW w:w="1195" w:type="dxa"/>
          </w:tcPr>
          <w:p w14:paraId="4E5D1D43" w14:textId="14E57D9C" w:rsidR="009D3924" w:rsidRDefault="000829BA" w:rsidP="000829BA">
            <w:pPr>
              <w:jc w:val="center"/>
              <w:rPr>
                <w:rFonts w:cs="Arial"/>
                <w:color w:val="000000"/>
                <w:sz w:val="22"/>
                <w:szCs w:val="22"/>
                <w:bdr w:val="none" w:sz="0" w:space="0" w:color="auto" w:frame="1"/>
                <w:lang w:eastAsia="en-GB"/>
              </w:rPr>
            </w:pPr>
            <w:r>
              <w:rPr>
                <w:rFonts w:cs="Arial"/>
                <w:color w:val="000000"/>
                <w:sz w:val="22"/>
                <w:szCs w:val="22"/>
                <w:bdr w:val="none" w:sz="0" w:space="0" w:color="auto" w:frame="1"/>
                <w:lang w:eastAsia="en-GB"/>
              </w:rPr>
              <w:t>25</w:t>
            </w:r>
          </w:p>
        </w:tc>
      </w:tr>
      <w:tr w:rsidR="009D3924" w14:paraId="276B211C" w14:textId="77777777" w:rsidTr="006211A8">
        <w:tc>
          <w:tcPr>
            <w:tcW w:w="8359" w:type="dxa"/>
          </w:tcPr>
          <w:p w14:paraId="5B7B06AF" w14:textId="0421D75A" w:rsidR="00702D01" w:rsidRPr="00702D01" w:rsidRDefault="00702D01" w:rsidP="00F309BE">
            <w:pPr>
              <w:pStyle w:val="NormalWeb"/>
              <w:numPr>
                <w:ilvl w:val="0"/>
                <w:numId w:val="4"/>
              </w:numPr>
              <w:spacing w:before="0" w:beforeAutospacing="0" w:after="0" w:afterAutospacing="0"/>
              <w:ind w:left="310"/>
              <w:rPr>
                <w:rFonts w:ascii="Arial" w:hAnsi="Arial" w:cs="Arial"/>
                <w:sz w:val="22"/>
                <w:szCs w:val="22"/>
              </w:rPr>
            </w:pPr>
            <w:r w:rsidRPr="00702D01">
              <w:rPr>
                <w:rFonts w:ascii="Arial" w:hAnsi="Arial" w:cs="Arial"/>
                <w:sz w:val="22"/>
                <w:szCs w:val="22"/>
              </w:rPr>
              <w:t>Effective fund management of Ci-Dev ensures efficient use of funding and creates conditions for robust, independent evaluation</w:t>
            </w:r>
          </w:p>
          <w:p w14:paraId="4411493B" w14:textId="362F9BDC" w:rsidR="009D3924" w:rsidRPr="00702D01" w:rsidRDefault="009D3924" w:rsidP="00702D01">
            <w:pPr>
              <w:ind w:left="310"/>
              <w:rPr>
                <w:rFonts w:cs="Arial"/>
                <w:color w:val="000000"/>
                <w:sz w:val="22"/>
                <w:szCs w:val="22"/>
                <w:bdr w:val="none" w:sz="0" w:space="0" w:color="auto" w:frame="1"/>
                <w:lang w:eastAsia="en-GB"/>
              </w:rPr>
            </w:pPr>
          </w:p>
        </w:tc>
        <w:tc>
          <w:tcPr>
            <w:tcW w:w="640" w:type="dxa"/>
          </w:tcPr>
          <w:p w14:paraId="663341BC" w14:textId="443611ED" w:rsidR="009D3924" w:rsidRDefault="000829BA" w:rsidP="000829BA">
            <w:pPr>
              <w:jc w:val="center"/>
              <w:rPr>
                <w:rFonts w:cs="Arial"/>
                <w:color w:val="000000"/>
                <w:sz w:val="22"/>
                <w:szCs w:val="22"/>
                <w:bdr w:val="none" w:sz="0" w:space="0" w:color="auto" w:frame="1"/>
                <w:lang w:eastAsia="en-GB"/>
              </w:rPr>
            </w:pPr>
            <w:r>
              <w:rPr>
                <w:rFonts w:cs="Arial"/>
                <w:color w:val="000000"/>
                <w:sz w:val="22"/>
                <w:szCs w:val="22"/>
                <w:bdr w:val="none" w:sz="0" w:space="0" w:color="auto" w:frame="1"/>
                <w:lang w:eastAsia="en-GB"/>
              </w:rPr>
              <w:t>A+</w:t>
            </w:r>
          </w:p>
        </w:tc>
        <w:tc>
          <w:tcPr>
            <w:tcW w:w="1195" w:type="dxa"/>
          </w:tcPr>
          <w:p w14:paraId="576DB950" w14:textId="6A982CBC" w:rsidR="009D3924" w:rsidRDefault="000829BA" w:rsidP="000829BA">
            <w:pPr>
              <w:jc w:val="center"/>
              <w:rPr>
                <w:rFonts w:cs="Arial"/>
                <w:color w:val="000000"/>
                <w:sz w:val="22"/>
                <w:szCs w:val="22"/>
                <w:bdr w:val="none" w:sz="0" w:space="0" w:color="auto" w:frame="1"/>
                <w:lang w:eastAsia="en-GB"/>
              </w:rPr>
            </w:pPr>
            <w:r>
              <w:rPr>
                <w:rFonts w:cs="Arial"/>
                <w:color w:val="000000"/>
                <w:sz w:val="22"/>
                <w:szCs w:val="22"/>
                <w:bdr w:val="none" w:sz="0" w:space="0" w:color="auto" w:frame="1"/>
                <w:lang w:eastAsia="en-GB"/>
              </w:rPr>
              <w:t>10</w:t>
            </w:r>
          </w:p>
        </w:tc>
      </w:tr>
    </w:tbl>
    <w:p w14:paraId="74E47607" w14:textId="2ECD761F" w:rsidR="00295CDC" w:rsidRPr="00581E6D" w:rsidRDefault="00295CDC" w:rsidP="002E723C">
      <w:pPr>
        <w:pStyle w:val="Heading3"/>
        <w:rPr>
          <w:rFonts w:ascii="Arial" w:hAnsi="Arial" w:cs="Arial"/>
          <w:color w:val="000000" w:themeColor="text1"/>
          <w:sz w:val="22"/>
          <w:szCs w:val="22"/>
        </w:rPr>
      </w:pPr>
      <w:r w:rsidRPr="00581E6D">
        <w:rPr>
          <w:rFonts w:ascii="Arial" w:hAnsi="Arial" w:cs="Arial"/>
          <w:color w:val="000000" w:themeColor="text1"/>
          <w:sz w:val="22"/>
          <w:szCs w:val="22"/>
        </w:rPr>
        <w:t xml:space="preserve">Key actions </w:t>
      </w:r>
    </w:p>
    <w:p w14:paraId="7B90DD1B" w14:textId="77777777" w:rsidR="008402AB" w:rsidRPr="00581E6D" w:rsidRDefault="008402AB" w:rsidP="008402AB">
      <w:pPr>
        <w:rPr>
          <w:rFonts w:cs="Arial"/>
          <w:bCs/>
          <w:color w:val="000000" w:themeColor="text1"/>
          <w:sz w:val="22"/>
          <w:szCs w:val="22"/>
        </w:rPr>
      </w:pPr>
    </w:p>
    <w:p w14:paraId="7F7F4AAB" w14:textId="05AE1D5B" w:rsidR="00052563" w:rsidRDefault="001C51E9" w:rsidP="00673030">
      <w:pPr>
        <w:jc w:val="both"/>
        <w:rPr>
          <w:rFonts w:cs="Arial"/>
          <w:bCs/>
          <w:color w:val="000000" w:themeColor="text1"/>
          <w:sz w:val="22"/>
          <w:szCs w:val="22"/>
        </w:rPr>
      </w:pPr>
      <w:r>
        <w:rPr>
          <w:rFonts w:cs="Arial"/>
          <w:bCs/>
          <w:color w:val="000000" w:themeColor="text1"/>
          <w:sz w:val="22"/>
          <w:szCs w:val="22"/>
        </w:rPr>
        <w:t>BEIS’</w:t>
      </w:r>
      <w:r w:rsidRPr="00CE6895">
        <w:rPr>
          <w:rFonts w:cs="Arial"/>
          <w:bCs/>
          <w:color w:val="000000" w:themeColor="text1"/>
          <w:sz w:val="22"/>
          <w:szCs w:val="22"/>
        </w:rPr>
        <w:t xml:space="preserve"> </w:t>
      </w:r>
      <w:r w:rsidR="00494A50">
        <w:rPr>
          <w:rFonts w:cs="Arial"/>
          <w:bCs/>
          <w:color w:val="000000" w:themeColor="text1"/>
          <w:sz w:val="22"/>
          <w:szCs w:val="22"/>
        </w:rPr>
        <w:t>2019</w:t>
      </w:r>
      <w:r>
        <w:rPr>
          <w:rFonts w:cs="Arial"/>
          <w:bCs/>
          <w:color w:val="000000" w:themeColor="text1"/>
          <w:sz w:val="22"/>
          <w:szCs w:val="22"/>
        </w:rPr>
        <w:t xml:space="preserve"> A</w:t>
      </w:r>
      <w:r w:rsidR="005F3A68">
        <w:rPr>
          <w:rFonts w:cs="Arial"/>
          <w:bCs/>
          <w:color w:val="000000" w:themeColor="text1"/>
          <w:sz w:val="22"/>
          <w:szCs w:val="22"/>
        </w:rPr>
        <w:t xml:space="preserve">nnual </w:t>
      </w:r>
      <w:r>
        <w:rPr>
          <w:rFonts w:cs="Arial"/>
          <w:bCs/>
          <w:color w:val="000000" w:themeColor="text1"/>
          <w:sz w:val="22"/>
          <w:szCs w:val="22"/>
        </w:rPr>
        <w:t>R</w:t>
      </w:r>
      <w:r w:rsidR="005F3A68">
        <w:rPr>
          <w:rFonts w:cs="Arial"/>
          <w:bCs/>
          <w:color w:val="000000" w:themeColor="text1"/>
          <w:sz w:val="22"/>
          <w:szCs w:val="22"/>
        </w:rPr>
        <w:t xml:space="preserve">eview </w:t>
      </w:r>
      <w:r w:rsidR="00AC5633">
        <w:rPr>
          <w:rFonts w:cs="Arial"/>
          <w:bCs/>
          <w:color w:val="000000" w:themeColor="text1"/>
          <w:sz w:val="22"/>
          <w:szCs w:val="22"/>
        </w:rPr>
        <w:t>made</w:t>
      </w:r>
      <w:r w:rsidR="00104B28" w:rsidRPr="00CE6895">
        <w:rPr>
          <w:rFonts w:cs="Arial"/>
          <w:bCs/>
          <w:color w:val="000000" w:themeColor="text1"/>
          <w:sz w:val="22"/>
          <w:szCs w:val="22"/>
        </w:rPr>
        <w:t xml:space="preserve"> </w:t>
      </w:r>
      <w:r w:rsidR="005F3A68">
        <w:rPr>
          <w:rFonts w:cs="Arial"/>
          <w:bCs/>
          <w:color w:val="000000" w:themeColor="text1"/>
          <w:sz w:val="22"/>
          <w:szCs w:val="22"/>
        </w:rPr>
        <w:t>five</w:t>
      </w:r>
      <w:r w:rsidR="008402AB" w:rsidRPr="00CE6895">
        <w:rPr>
          <w:rFonts w:cs="Arial"/>
          <w:bCs/>
          <w:color w:val="000000" w:themeColor="text1"/>
          <w:sz w:val="22"/>
          <w:szCs w:val="22"/>
        </w:rPr>
        <w:t xml:space="preserve"> recommendations</w:t>
      </w:r>
      <w:r w:rsidR="00702D01">
        <w:rPr>
          <w:rFonts w:cs="Arial"/>
          <w:bCs/>
          <w:color w:val="000000" w:themeColor="text1"/>
          <w:sz w:val="22"/>
          <w:szCs w:val="22"/>
        </w:rPr>
        <w:t xml:space="preserve"> for the Trustee</w:t>
      </w:r>
      <w:r w:rsidR="005F3A68">
        <w:rPr>
          <w:rFonts w:cs="Arial"/>
          <w:bCs/>
          <w:color w:val="000000" w:themeColor="text1"/>
          <w:sz w:val="22"/>
          <w:szCs w:val="22"/>
        </w:rPr>
        <w:t>:</w:t>
      </w:r>
    </w:p>
    <w:p w14:paraId="7653C986" w14:textId="076715C4" w:rsidR="00AC5633" w:rsidRDefault="00AC5633" w:rsidP="00673030">
      <w:pPr>
        <w:jc w:val="both"/>
        <w:rPr>
          <w:rFonts w:cs="Arial"/>
          <w:bCs/>
          <w:color w:val="000000" w:themeColor="text1"/>
          <w:sz w:val="22"/>
          <w:szCs w:val="22"/>
        </w:rPr>
      </w:pPr>
    </w:p>
    <w:p w14:paraId="459E7E76" w14:textId="73C8E7E5" w:rsidR="00AC5633" w:rsidRDefault="00AC5633" w:rsidP="00673030">
      <w:pPr>
        <w:pStyle w:val="ListParagraph"/>
        <w:numPr>
          <w:ilvl w:val="0"/>
          <w:numId w:val="15"/>
        </w:numPr>
        <w:ind w:left="426"/>
        <w:jc w:val="both"/>
        <w:rPr>
          <w:rFonts w:eastAsia="Times New Roman" w:cs="Arial"/>
          <w:sz w:val="22"/>
          <w:szCs w:val="22"/>
          <w:lang w:eastAsia="en-GB"/>
        </w:rPr>
      </w:pPr>
      <w:r w:rsidRPr="00AC5633">
        <w:rPr>
          <w:rFonts w:eastAsia="Times New Roman" w:cs="Arial"/>
          <w:sz w:val="22"/>
          <w:szCs w:val="22"/>
          <w:lang w:eastAsia="en-GB"/>
        </w:rPr>
        <w:t xml:space="preserve">BEIS and the </w:t>
      </w:r>
      <w:r w:rsidR="00632C9E">
        <w:rPr>
          <w:rFonts w:eastAsia="Times New Roman" w:cs="Arial"/>
          <w:sz w:val="22"/>
          <w:szCs w:val="22"/>
          <w:lang w:eastAsia="en-GB"/>
        </w:rPr>
        <w:t>Trustee</w:t>
      </w:r>
      <w:r w:rsidRPr="00AC5633">
        <w:rPr>
          <w:rFonts w:eastAsia="Times New Roman" w:cs="Arial"/>
          <w:sz w:val="22"/>
          <w:szCs w:val="22"/>
          <w:lang w:eastAsia="en-GB"/>
        </w:rPr>
        <w:t xml:space="preserve"> should work together to review and update the Logframe impact indicators. </w:t>
      </w:r>
      <w:r w:rsidR="00494A50">
        <w:rPr>
          <w:rFonts w:eastAsia="Times New Roman" w:cs="Arial"/>
          <w:sz w:val="22"/>
          <w:szCs w:val="22"/>
          <w:lang w:eastAsia="en-GB"/>
        </w:rPr>
        <w:t>(</w:t>
      </w:r>
      <w:r w:rsidRPr="00AC5633">
        <w:rPr>
          <w:rFonts w:eastAsia="Times New Roman" w:cs="Arial"/>
          <w:sz w:val="22"/>
          <w:szCs w:val="22"/>
          <w:lang w:eastAsia="en-GB"/>
        </w:rPr>
        <w:t>by Aug 2019</w:t>
      </w:r>
      <w:r w:rsidR="00494A50">
        <w:rPr>
          <w:rFonts w:eastAsia="Times New Roman" w:cs="Arial"/>
          <w:sz w:val="22"/>
          <w:szCs w:val="22"/>
          <w:lang w:eastAsia="en-GB"/>
        </w:rPr>
        <w:t>)</w:t>
      </w:r>
    </w:p>
    <w:p w14:paraId="6458E4DC" w14:textId="3CDA232E" w:rsidR="00AC5633" w:rsidRDefault="00AC5633" w:rsidP="00673030">
      <w:pPr>
        <w:jc w:val="both"/>
        <w:rPr>
          <w:rFonts w:eastAsia="Times New Roman" w:cs="Arial"/>
          <w:sz w:val="22"/>
          <w:szCs w:val="22"/>
          <w:lang w:eastAsia="en-GB"/>
        </w:rPr>
      </w:pPr>
    </w:p>
    <w:p w14:paraId="17846C90" w14:textId="52FB8FA2" w:rsidR="00AC5633" w:rsidRDefault="00AC5633" w:rsidP="00673030">
      <w:pPr>
        <w:jc w:val="both"/>
        <w:rPr>
          <w:rFonts w:eastAsia="Times New Roman" w:cs="Arial"/>
          <w:sz w:val="22"/>
          <w:szCs w:val="22"/>
          <w:lang w:eastAsia="en-GB"/>
        </w:rPr>
      </w:pPr>
      <w:r w:rsidRPr="00AC5633">
        <w:rPr>
          <w:rFonts w:eastAsia="Times New Roman" w:cs="Arial"/>
          <w:b/>
          <w:bCs/>
          <w:sz w:val="22"/>
          <w:szCs w:val="22"/>
          <w:lang w:eastAsia="en-GB"/>
        </w:rPr>
        <w:t>Carried over</w:t>
      </w:r>
      <w:r>
        <w:rPr>
          <w:rFonts w:eastAsia="Times New Roman" w:cs="Arial"/>
          <w:sz w:val="22"/>
          <w:szCs w:val="22"/>
          <w:lang w:eastAsia="en-GB"/>
        </w:rPr>
        <w:t xml:space="preserve"> – work towards this recommendation </w:t>
      </w:r>
      <w:r w:rsidR="00A74682">
        <w:rPr>
          <w:rFonts w:eastAsia="Times New Roman" w:cs="Arial"/>
          <w:sz w:val="22"/>
          <w:szCs w:val="22"/>
          <w:lang w:eastAsia="en-GB"/>
        </w:rPr>
        <w:t>began</w:t>
      </w:r>
      <w:r>
        <w:rPr>
          <w:rFonts w:eastAsia="Times New Roman" w:cs="Arial"/>
          <w:sz w:val="22"/>
          <w:szCs w:val="22"/>
          <w:lang w:eastAsia="en-GB"/>
        </w:rPr>
        <w:t xml:space="preserve"> in 2019</w:t>
      </w:r>
      <w:r w:rsidR="005A7622">
        <w:rPr>
          <w:rFonts w:eastAsia="Times New Roman" w:cs="Arial"/>
          <w:sz w:val="22"/>
          <w:szCs w:val="22"/>
          <w:lang w:eastAsia="en-GB"/>
        </w:rPr>
        <w:t xml:space="preserve">. This </w:t>
      </w:r>
      <w:r w:rsidR="000C02AB">
        <w:rPr>
          <w:rFonts w:eastAsia="Times New Roman" w:cs="Arial"/>
          <w:sz w:val="22"/>
          <w:szCs w:val="22"/>
          <w:lang w:eastAsia="en-GB"/>
        </w:rPr>
        <w:t>included</w:t>
      </w:r>
      <w:r w:rsidR="00B629D4">
        <w:rPr>
          <w:rFonts w:eastAsia="Times New Roman" w:cs="Arial"/>
          <w:sz w:val="22"/>
          <w:szCs w:val="22"/>
          <w:lang w:eastAsia="en-GB"/>
        </w:rPr>
        <w:t>:</w:t>
      </w:r>
      <w:r w:rsidR="000C02AB">
        <w:rPr>
          <w:rFonts w:eastAsia="Times New Roman" w:cs="Arial"/>
          <w:sz w:val="22"/>
          <w:szCs w:val="22"/>
          <w:lang w:eastAsia="en-GB"/>
        </w:rPr>
        <w:t xml:space="preserve"> work by the Trustee to assess the appropriateness of impac</w:t>
      </w:r>
      <w:r w:rsidR="008A4A37">
        <w:rPr>
          <w:rFonts w:eastAsia="Times New Roman" w:cs="Arial"/>
          <w:sz w:val="22"/>
          <w:szCs w:val="22"/>
          <w:lang w:eastAsia="en-GB"/>
        </w:rPr>
        <w:t>t</w:t>
      </w:r>
      <w:r w:rsidR="000C02AB">
        <w:rPr>
          <w:rFonts w:eastAsia="Times New Roman" w:cs="Arial"/>
          <w:sz w:val="22"/>
          <w:szCs w:val="22"/>
          <w:lang w:eastAsia="en-GB"/>
        </w:rPr>
        <w:t xml:space="preserve"> indicators that were </w:t>
      </w:r>
      <w:r w:rsidR="00B629D4">
        <w:rPr>
          <w:rFonts w:eastAsia="Times New Roman" w:cs="Arial"/>
          <w:sz w:val="22"/>
          <w:szCs w:val="22"/>
          <w:lang w:eastAsia="en-GB"/>
        </w:rPr>
        <w:t>agreed with</w:t>
      </w:r>
      <w:r w:rsidR="000C02AB">
        <w:rPr>
          <w:rFonts w:eastAsia="Times New Roman" w:cs="Arial"/>
          <w:sz w:val="22"/>
          <w:szCs w:val="22"/>
          <w:lang w:eastAsia="en-GB"/>
        </w:rPr>
        <w:t xml:space="preserve"> BEIS after business case approval in 2013, and the</w:t>
      </w:r>
      <w:r w:rsidR="008A4A37">
        <w:rPr>
          <w:rFonts w:eastAsia="Times New Roman" w:cs="Arial"/>
          <w:sz w:val="22"/>
          <w:szCs w:val="22"/>
          <w:lang w:eastAsia="en-GB"/>
        </w:rPr>
        <w:t>ir relevance in the context of today’s carbon market</w:t>
      </w:r>
      <w:r w:rsidR="00B629D4">
        <w:rPr>
          <w:rFonts w:eastAsia="Times New Roman" w:cs="Arial"/>
          <w:sz w:val="22"/>
          <w:szCs w:val="22"/>
          <w:lang w:eastAsia="en-GB"/>
        </w:rPr>
        <w:t>; as well as to</w:t>
      </w:r>
      <w:r w:rsidR="006F2FF1">
        <w:rPr>
          <w:rFonts w:eastAsia="Times New Roman" w:cs="Arial"/>
          <w:sz w:val="22"/>
          <w:szCs w:val="22"/>
          <w:lang w:eastAsia="en-GB"/>
        </w:rPr>
        <w:t xml:space="preserve"> </w:t>
      </w:r>
      <w:r w:rsidR="008A4A37">
        <w:rPr>
          <w:rFonts w:eastAsia="Times New Roman" w:cs="Arial"/>
          <w:sz w:val="22"/>
          <w:szCs w:val="22"/>
          <w:lang w:eastAsia="en-GB"/>
        </w:rPr>
        <w:t>update</w:t>
      </w:r>
      <w:r w:rsidR="00B629D4">
        <w:rPr>
          <w:rFonts w:eastAsia="Times New Roman" w:cs="Arial"/>
          <w:sz w:val="22"/>
          <w:szCs w:val="22"/>
          <w:lang w:eastAsia="en-GB"/>
        </w:rPr>
        <w:t xml:space="preserve"> Ci-Dev’s</w:t>
      </w:r>
      <w:r w:rsidR="008A4A37">
        <w:rPr>
          <w:rFonts w:eastAsia="Times New Roman" w:cs="Arial"/>
          <w:sz w:val="22"/>
          <w:szCs w:val="22"/>
          <w:lang w:eastAsia="en-GB"/>
        </w:rPr>
        <w:t xml:space="preserve"> outcome and output targets. Th</w:t>
      </w:r>
      <w:r w:rsidR="00B629D4">
        <w:rPr>
          <w:rFonts w:eastAsia="Times New Roman" w:cs="Arial"/>
          <w:sz w:val="22"/>
          <w:szCs w:val="22"/>
          <w:lang w:eastAsia="en-GB"/>
        </w:rPr>
        <w:t>is</w:t>
      </w:r>
      <w:r w:rsidR="008A4A37">
        <w:rPr>
          <w:rFonts w:eastAsia="Times New Roman" w:cs="Arial"/>
          <w:sz w:val="22"/>
          <w:szCs w:val="22"/>
          <w:lang w:eastAsia="en-GB"/>
        </w:rPr>
        <w:t xml:space="preserve"> work </w:t>
      </w:r>
      <w:r>
        <w:rPr>
          <w:rFonts w:eastAsia="Times New Roman" w:cs="Arial"/>
          <w:sz w:val="22"/>
          <w:szCs w:val="22"/>
          <w:lang w:eastAsia="en-GB"/>
        </w:rPr>
        <w:t>did not conclude in time for inclusion in this review, so is carried over into this review’s recommendations.</w:t>
      </w:r>
    </w:p>
    <w:p w14:paraId="5BCF4EB3" w14:textId="77777777" w:rsidR="00AC5633" w:rsidRPr="00AC5633" w:rsidRDefault="00AC5633" w:rsidP="00673030">
      <w:pPr>
        <w:jc w:val="both"/>
        <w:rPr>
          <w:rFonts w:eastAsia="Times New Roman" w:cs="Arial"/>
          <w:sz w:val="22"/>
          <w:szCs w:val="22"/>
          <w:lang w:eastAsia="en-GB"/>
        </w:rPr>
      </w:pPr>
    </w:p>
    <w:p w14:paraId="5A3498F2" w14:textId="277E2877" w:rsidR="00AC5633" w:rsidRDefault="00AC5633" w:rsidP="00673030">
      <w:pPr>
        <w:pStyle w:val="ListParagraph"/>
        <w:numPr>
          <w:ilvl w:val="0"/>
          <w:numId w:val="15"/>
        </w:numPr>
        <w:ind w:left="426"/>
        <w:jc w:val="both"/>
        <w:rPr>
          <w:rFonts w:eastAsia="Times New Roman" w:cs="Arial"/>
          <w:sz w:val="22"/>
          <w:szCs w:val="22"/>
          <w:lang w:eastAsia="en-GB"/>
        </w:rPr>
      </w:pPr>
      <w:r w:rsidRPr="00AC5633">
        <w:rPr>
          <w:rFonts w:eastAsia="Times New Roman" w:cs="Arial"/>
          <w:sz w:val="22"/>
          <w:szCs w:val="22"/>
          <w:lang w:eastAsia="en-GB"/>
        </w:rPr>
        <w:t xml:space="preserve">The </w:t>
      </w:r>
      <w:r w:rsidR="00632C9E">
        <w:rPr>
          <w:rFonts w:eastAsia="Times New Roman" w:cs="Arial"/>
          <w:sz w:val="22"/>
          <w:szCs w:val="22"/>
          <w:lang w:eastAsia="en-GB"/>
        </w:rPr>
        <w:t>Trustee</w:t>
      </w:r>
      <w:r w:rsidRPr="00AC5633">
        <w:rPr>
          <w:rFonts w:eastAsia="Times New Roman" w:cs="Arial"/>
          <w:sz w:val="22"/>
          <w:szCs w:val="22"/>
          <w:lang w:eastAsia="en-GB"/>
        </w:rPr>
        <w:t xml:space="preserve"> should engage early with BEIS on any development of a Ci-Dev successor programme and allow opportunities to influence its design. </w:t>
      </w:r>
      <w:r w:rsidR="00494A50">
        <w:rPr>
          <w:rFonts w:eastAsia="Times New Roman" w:cs="Arial"/>
          <w:sz w:val="22"/>
          <w:szCs w:val="22"/>
          <w:lang w:eastAsia="en-GB"/>
        </w:rPr>
        <w:t>(</w:t>
      </w:r>
      <w:r w:rsidR="001D4D4D">
        <w:rPr>
          <w:rFonts w:eastAsia="Times New Roman" w:cs="Arial"/>
          <w:sz w:val="22"/>
          <w:szCs w:val="22"/>
          <w:lang w:eastAsia="en-GB"/>
        </w:rPr>
        <w:t>T</w:t>
      </w:r>
      <w:r w:rsidRPr="00AC5633">
        <w:rPr>
          <w:rFonts w:eastAsia="Times New Roman" w:cs="Arial"/>
          <w:sz w:val="22"/>
          <w:szCs w:val="22"/>
          <w:lang w:eastAsia="en-GB"/>
        </w:rPr>
        <w:t>hrough 2019</w:t>
      </w:r>
      <w:r w:rsidR="00494A50">
        <w:rPr>
          <w:rFonts w:eastAsia="Times New Roman" w:cs="Arial"/>
          <w:sz w:val="22"/>
          <w:szCs w:val="22"/>
          <w:lang w:eastAsia="en-GB"/>
        </w:rPr>
        <w:t>)</w:t>
      </w:r>
    </w:p>
    <w:p w14:paraId="1830D7F9" w14:textId="1E75ACC6" w:rsidR="00AC5633" w:rsidRDefault="00AC5633" w:rsidP="00673030">
      <w:pPr>
        <w:jc w:val="both"/>
        <w:rPr>
          <w:rFonts w:eastAsia="Times New Roman" w:cs="Arial"/>
          <w:sz w:val="22"/>
          <w:szCs w:val="22"/>
          <w:lang w:eastAsia="en-GB"/>
        </w:rPr>
      </w:pPr>
    </w:p>
    <w:p w14:paraId="2371F4E2" w14:textId="1361DAC8" w:rsidR="00AC5633" w:rsidRDefault="00AC5633" w:rsidP="00673030">
      <w:pPr>
        <w:jc w:val="both"/>
        <w:rPr>
          <w:rFonts w:eastAsia="Times New Roman" w:cs="Arial"/>
          <w:sz w:val="22"/>
          <w:szCs w:val="22"/>
          <w:lang w:eastAsia="en-GB"/>
        </w:rPr>
      </w:pPr>
      <w:r w:rsidRPr="00AC5633">
        <w:rPr>
          <w:rFonts w:eastAsia="Times New Roman" w:cs="Arial"/>
          <w:b/>
          <w:bCs/>
          <w:sz w:val="22"/>
          <w:szCs w:val="22"/>
          <w:lang w:eastAsia="en-GB"/>
        </w:rPr>
        <w:t>Considered complete</w:t>
      </w:r>
      <w:r>
        <w:rPr>
          <w:rFonts w:eastAsia="Times New Roman" w:cs="Arial"/>
          <w:sz w:val="22"/>
          <w:szCs w:val="22"/>
          <w:lang w:eastAsia="en-GB"/>
        </w:rPr>
        <w:t xml:space="preserve"> – </w:t>
      </w:r>
      <w:r w:rsidR="001D4D4D">
        <w:rPr>
          <w:rFonts w:eastAsia="Times New Roman" w:cs="Arial"/>
          <w:sz w:val="22"/>
          <w:szCs w:val="22"/>
          <w:lang w:eastAsia="en-GB"/>
        </w:rPr>
        <w:t>a</w:t>
      </w:r>
      <w:r w:rsidR="00EC52F0">
        <w:rPr>
          <w:rFonts w:eastAsia="Times New Roman" w:cs="Arial"/>
          <w:sz w:val="22"/>
          <w:szCs w:val="22"/>
          <w:lang w:eastAsia="en-GB"/>
        </w:rPr>
        <w:t xml:space="preserve">part from some early conversations between BEIS and the Trustee, </w:t>
      </w:r>
      <w:r>
        <w:rPr>
          <w:rFonts w:eastAsia="Times New Roman" w:cs="Arial"/>
          <w:sz w:val="22"/>
          <w:szCs w:val="22"/>
          <w:lang w:eastAsia="en-GB"/>
        </w:rPr>
        <w:t>development of a potential successor programme has</w:t>
      </w:r>
      <w:r w:rsidR="001D4D4D">
        <w:rPr>
          <w:rFonts w:eastAsia="Times New Roman" w:cs="Arial"/>
          <w:sz w:val="22"/>
          <w:szCs w:val="22"/>
          <w:lang w:eastAsia="en-GB"/>
        </w:rPr>
        <w:t>,</w:t>
      </w:r>
      <w:r>
        <w:rPr>
          <w:rFonts w:eastAsia="Times New Roman" w:cs="Arial"/>
          <w:sz w:val="22"/>
          <w:szCs w:val="22"/>
          <w:lang w:eastAsia="en-GB"/>
        </w:rPr>
        <w:t xml:space="preserve"> to date</w:t>
      </w:r>
      <w:r w:rsidR="001D4D4D">
        <w:rPr>
          <w:rFonts w:eastAsia="Times New Roman" w:cs="Arial"/>
          <w:sz w:val="22"/>
          <w:szCs w:val="22"/>
          <w:lang w:eastAsia="en-GB"/>
        </w:rPr>
        <w:t>,</w:t>
      </w:r>
      <w:r>
        <w:rPr>
          <w:rFonts w:eastAsia="Times New Roman" w:cs="Arial"/>
          <w:sz w:val="22"/>
          <w:szCs w:val="22"/>
          <w:lang w:eastAsia="en-GB"/>
        </w:rPr>
        <w:t xml:space="preserve"> been carried out inside the World Bank and </w:t>
      </w:r>
      <w:r w:rsidR="005F6EAF">
        <w:rPr>
          <w:rFonts w:eastAsia="Times New Roman" w:cs="Arial"/>
          <w:sz w:val="22"/>
          <w:szCs w:val="22"/>
          <w:lang w:eastAsia="en-GB"/>
        </w:rPr>
        <w:t xml:space="preserve">has been incorporated into </w:t>
      </w:r>
      <w:r>
        <w:rPr>
          <w:rFonts w:eastAsia="Times New Roman" w:cs="Arial"/>
          <w:sz w:val="22"/>
          <w:szCs w:val="22"/>
          <w:lang w:eastAsia="en-GB"/>
        </w:rPr>
        <w:t xml:space="preserve">broader discussions </w:t>
      </w:r>
      <w:r w:rsidR="005F6EAF">
        <w:rPr>
          <w:rFonts w:eastAsia="Times New Roman" w:cs="Arial"/>
          <w:sz w:val="22"/>
          <w:szCs w:val="22"/>
          <w:lang w:eastAsia="en-GB"/>
        </w:rPr>
        <w:t xml:space="preserve">about </w:t>
      </w:r>
      <w:r>
        <w:rPr>
          <w:rFonts w:eastAsia="Times New Roman" w:cs="Arial"/>
          <w:sz w:val="22"/>
          <w:szCs w:val="22"/>
          <w:lang w:eastAsia="en-GB"/>
        </w:rPr>
        <w:t xml:space="preserve">trust fund reform. </w:t>
      </w:r>
      <w:r w:rsidR="005F6EAF">
        <w:rPr>
          <w:rFonts w:eastAsia="Times New Roman" w:cs="Arial"/>
          <w:sz w:val="22"/>
          <w:szCs w:val="22"/>
          <w:lang w:eastAsia="en-GB"/>
        </w:rPr>
        <w:t xml:space="preserve">BEIS understands that the Bank will consult on these reforms, and </w:t>
      </w:r>
      <w:r w:rsidR="00C670AD">
        <w:rPr>
          <w:rFonts w:eastAsia="Times New Roman" w:cs="Arial"/>
          <w:sz w:val="22"/>
          <w:szCs w:val="22"/>
          <w:lang w:eastAsia="en-GB"/>
        </w:rPr>
        <w:t xml:space="preserve">any new </w:t>
      </w:r>
      <w:r w:rsidR="005F6EAF">
        <w:rPr>
          <w:rFonts w:eastAsia="Times New Roman" w:cs="Arial"/>
          <w:sz w:val="22"/>
          <w:szCs w:val="22"/>
          <w:lang w:eastAsia="en-GB"/>
        </w:rPr>
        <w:t xml:space="preserve">funding opportunities, </w:t>
      </w:r>
      <w:r w:rsidR="001D4D4D">
        <w:rPr>
          <w:rFonts w:eastAsia="Times New Roman" w:cs="Arial"/>
          <w:sz w:val="22"/>
          <w:szCs w:val="22"/>
          <w:lang w:eastAsia="en-GB"/>
        </w:rPr>
        <w:t>in the</w:t>
      </w:r>
      <w:r w:rsidR="005F6EAF">
        <w:rPr>
          <w:rFonts w:eastAsia="Times New Roman" w:cs="Arial"/>
          <w:sz w:val="22"/>
          <w:szCs w:val="22"/>
          <w:lang w:eastAsia="en-GB"/>
        </w:rPr>
        <w:t xml:space="preserve"> summer</w:t>
      </w:r>
      <w:r w:rsidR="001D4D4D">
        <w:rPr>
          <w:rFonts w:eastAsia="Times New Roman" w:cs="Arial"/>
          <w:sz w:val="22"/>
          <w:szCs w:val="22"/>
          <w:lang w:eastAsia="en-GB"/>
        </w:rPr>
        <w:t xml:space="preserve"> of 2020</w:t>
      </w:r>
      <w:r>
        <w:rPr>
          <w:rFonts w:eastAsia="Times New Roman" w:cs="Arial"/>
          <w:sz w:val="22"/>
          <w:szCs w:val="22"/>
          <w:lang w:eastAsia="en-GB"/>
        </w:rPr>
        <w:t xml:space="preserve">. </w:t>
      </w:r>
    </w:p>
    <w:p w14:paraId="69523C5A" w14:textId="77777777" w:rsidR="00AC5633" w:rsidRPr="00AC5633" w:rsidRDefault="00AC5633" w:rsidP="00673030">
      <w:pPr>
        <w:jc w:val="both"/>
        <w:rPr>
          <w:rFonts w:eastAsia="Times New Roman" w:cs="Arial"/>
          <w:sz w:val="22"/>
          <w:szCs w:val="22"/>
          <w:lang w:eastAsia="en-GB"/>
        </w:rPr>
      </w:pPr>
    </w:p>
    <w:p w14:paraId="00C41123" w14:textId="4FA950FB" w:rsidR="00AC5633" w:rsidRDefault="00AC5633" w:rsidP="00673030">
      <w:pPr>
        <w:pStyle w:val="ListParagraph"/>
        <w:numPr>
          <w:ilvl w:val="0"/>
          <w:numId w:val="15"/>
        </w:numPr>
        <w:ind w:left="426"/>
        <w:jc w:val="both"/>
        <w:rPr>
          <w:rFonts w:eastAsia="Times New Roman" w:cs="Arial"/>
          <w:sz w:val="22"/>
          <w:szCs w:val="22"/>
          <w:lang w:eastAsia="en-GB"/>
        </w:rPr>
      </w:pPr>
      <w:r w:rsidRPr="00AC5633">
        <w:rPr>
          <w:rFonts w:eastAsia="Times New Roman" w:cs="Arial"/>
          <w:sz w:val="22"/>
          <w:szCs w:val="22"/>
          <w:lang w:eastAsia="en-GB"/>
        </w:rPr>
        <w:t xml:space="preserve">The </w:t>
      </w:r>
      <w:r w:rsidR="00632C9E">
        <w:rPr>
          <w:rFonts w:eastAsia="Times New Roman" w:cs="Arial"/>
          <w:sz w:val="22"/>
          <w:szCs w:val="22"/>
          <w:lang w:eastAsia="en-GB"/>
        </w:rPr>
        <w:t>Trustee</w:t>
      </w:r>
      <w:r w:rsidRPr="00AC5633">
        <w:rPr>
          <w:rFonts w:eastAsia="Times New Roman" w:cs="Arial"/>
          <w:sz w:val="22"/>
          <w:szCs w:val="22"/>
          <w:lang w:eastAsia="en-GB"/>
        </w:rPr>
        <w:t xml:space="preserve"> should continue efforts to increase the disbursement rate of the Readiness Fund </w:t>
      </w:r>
      <w:r w:rsidR="00C670AD">
        <w:rPr>
          <w:rFonts w:eastAsia="Times New Roman" w:cs="Arial"/>
          <w:sz w:val="22"/>
          <w:szCs w:val="22"/>
          <w:lang w:eastAsia="en-GB"/>
        </w:rPr>
        <w:t xml:space="preserve">(RF) </w:t>
      </w:r>
      <w:r w:rsidRPr="00AC5633">
        <w:rPr>
          <w:rFonts w:eastAsia="Times New Roman" w:cs="Arial"/>
          <w:sz w:val="22"/>
          <w:szCs w:val="22"/>
          <w:lang w:eastAsia="en-GB"/>
        </w:rPr>
        <w:t xml:space="preserve">so that the rate increases to at least 65% </w:t>
      </w:r>
      <w:r w:rsidR="00494A50">
        <w:rPr>
          <w:rFonts w:eastAsia="Times New Roman" w:cs="Arial"/>
          <w:sz w:val="22"/>
          <w:szCs w:val="22"/>
          <w:lang w:eastAsia="en-GB"/>
        </w:rPr>
        <w:t>(</w:t>
      </w:r>
      <w:r w:rsidRPr="00AC5633">
        <w:rPr>
          <w:rFonts w:eastAsia="Times New Roman" w:cs="Arial"/>
          <w:sz w:val="22"/>
          <w:szCs w:val="22"/>
          <w:lang w:eastAsia="en-GB"/>
        </w:rPr>
        <w:t>by the 2020 Semi Annual meeting</w:t>
      </w:r>
      <w:r w:rsidR="00494A50">
        <w:rPr>
          <w:rFonts w:eastAsia="Times New Roman" w:cs="Arial"/>
          <w:sz w:val="22"/>
          <w:szCs w:val="22"/>
          <w:lang w:eastAsia="en-GB"/>
        </w:rPr>
        <w:t>)</w:t>
      </w:r>
    </w:p>
    <w:p w14:paraId="3B09C08C" w14:textId="677A2A32" w:rsidR="00AC5633" w:rsidRDefault="00AC5633" w:rsidP="00673030">
      <w:pPr>
        <w:jc w:val="both"/>
        <w:rPr>
          <w:rFonts w:eastAsia="Times New Roman" w:cs="Arial"/>
          <w:sz w:val="22"/>
          <w:szCs w:val="22"/>
          <w:lang w:eastAsia="en-GB"/>
        </w:rPr>
      </w:pPr>
    </w:p>
    <w:p w14:paraId="54B1B401" w14:textId="3CBCF074" w:rsidR="00AC5633" w:rsidRDefault="00C670AD" w:rsidP="00673030">
      <w:pPr>
        <w:jc w:val="both"/>
        <w:rPr>
          <w:rFonts w:eastAsia="Times New Roman" w:cs="Arial"/>
          <w:sz w:val="22"/>
          <w:szCs w:val="22"/>
          <w:lang w:eastAsia="en-GB"/>
        </w:rPr>
      </w:pPr>
      <w:r w:rsidRPr="00C670AD">
        <w:rPr>
          <w:rFonts w:eastAsia="Times New Roman" w:cs="Arial"/>
          <w:b/>
          <w:bCs/>
          <w:sz w:val="22"/>
          <w:szCs w:val="22"/>
          <w:lang w:eastAsia="en-GB"/>
        </w:rPr>
        <w:t>Unlikely to meet</w:t>
      </w:r>
      <w:r>
        <w:rPr>
          <w:rFonts w:eastAsia="Times New Roman" w:cs="Arial"/>
          <w:sz w:val="22"/>
          <w:szCs w:val="22"/>
          <w:lang w:eastAsia="en-GB"/>
        </w:rPr>
        <w:t xml:space="preserve"> – at the time of writing, the disbursement rate </w:t>
      </w:r>
      <w:r w:rsidR="000B269F">
        <w:rPr>
          <w:rFonts w:eastAsia="Times New Roman" w:cs="Arial"/>
          <w:sz w:val="22"/>
          <w:szCs w:val="22"/>
          <w:lang w:eastAsia="en-GB"/>
        </w:rPr>
        <w:t xml:space="preserve">of the </w:t>
      </w:r>
      <w:r w:rsidR="00A32D71">
        <w:rPr>
          <w:rFonts w:eastAsia="Times New Roman" w:cs="Arial"/>
          <w:sz w:val="22"/>
          <w:szCs w:val="22"/>
          <w:lang w:eastAsia="en-GB"/>
        </w:rPr>
        <w:t>RF</w:t>
      </w:r>
      <w:r w:rsidR="000B269F">
        <w:rPr>
          <w:rFonts w:eastAsia="Times New Roman" w:cs="Arial"/>
          <w:sz w:val="22"/>
          <w:szCs w:val="22"/>
          <w:lang w:eastAsia="en-GB"/>
        </w:rPr>
        <w:t xml:space="preserve"> </w:t>
      </w:r>
      <w:r>
        <w:rPr>
          <w:rFonts w:eastAsia="Times New Roman" w:cs="Arial"/>
          <w:sz w:val="22"/>
          <w:szCs w:val="22"/>
          <w:lang w:eastAsia="en-GB"/>
        </w:rPr>
        <w:t>was 47% (actual disbursement)</w:t>
      </w:r>
      <w:r w:rsidR="00E2590C">
        <w:rPr>
          <w:rFonts w:eastAsia="Times New Roman" w:cs="Arial"/>
          <w:sz w:val="22"/>
          <w:szCs w:val="22"/>
          <w:lang w:eastAsia="en-GB"/>
        </w:rPr>
        <w:t>.</w:t>
      </w:r>
      <w:r w:rsidR="006F2FF1">
        <w:rPr>
          <w:rFonts w:eastAsia="Times New Roman" w:cs="Arial"/>
          <w:sz w:val="22"/>
          <w:szCs w:val="22"/>
          <w:lang w:eastAsia="en-GB"/>
        </w:rPr>
        <w:t xml:space="preserve"> </w:t>
      </w:r>
      <w:r w:rsidR="00761224">
        <w:rPr>
          <w:rFonts w:eastAsia="Times New Roman" w:cs="Arial"/>
          <w:sz w:val="22"/>
          <w:szCs w:val="22"/>
          <w:lang w:eastAsia="en-GB"/>
        </w:rPr>
        <w:t xml:space="preserve">If </w:t>
      </w:r>
      <w:r w:rsidR="001B3CD8">
        <w:rPr>
          <w:rFonts w:eastAsia="Times New Roman" w:cs="Arial"/>
          <w:sz w:val="22"/>
          <w:szCs w:val="22"/>
          <w:lang w:eastAsia="en-GB"/>
        </w:rPr>
        <w:t xml:space="preserve">contractually </w:t>
      </w:r>
      <w:r w:rsidR="0008232D">
        <w:rPr>
          <w:rFonts w:eastAsia="Times New Roman" w:cs="Arial"/>
          <w:sz w:val="22"/>
          <w:szCs w:val="22"/>
          <w:lang w:eastAsia="en-GB"/>
        </w:rPr>
        <w:t>committed</w:t>
      </w:r>
      <w:r>
        <w:rPr>
          <w:rFonts w:eastAsia="Times New Roman" w:cs="Arial"/>
          <w:sz w:val="22"/>
          <w:szCs w:val="22"/>
          <w:lang w:eastAsia="en-GB"/>
        </w:rPr>
        <w:t xml:space="preserve"> spending over the final 5 months of the financial year is </w:t>
      </w:r>
      <w:r w:rsidR="001B3CD8">
        <w:rPr>
          <w:rFonts w:eastAsia="Times New Roman" w:cs="Arial"/>
          <w:sz w:val="22"/>
          <w:szCs w:val="22"/>
          <w:lang w:eastAsia="en-GB"/>
        </w:rPr>
        <w:t xml:space="preserve">included, the figure is </w:t>
      </w:r>
      <w:r>
        <w:rPr>
          <w:rFonts w:eastAsia="Times New Roman" w:cs="Arial"/>
          <w:sz w:val="22"/>
          <w:szCs w:val="22"/>
          <w:lang w:eastAsia="en-GB"/>
        </w:rPr>
        <w:t xml:space="preserve">74%. </w:t>
      </w:r>
      <w:r w:rsidR="00712206">
        <w:rPr>
          <w:rFonts w:eastAsia="Times New Roman" w:cs="Arial"/>
          <w:sz w:val="22"/>
          <w:szCs w:val="22"/>
          <w:lang w:eastAsia="en-GB"/>
        </w:rPr>
        <w:t xml:space="preserve">Delays in readiness grant disbursement </w:t>
      </w:r>
      <w:r w:rsidR="00FE5F09">
        <w:rPr>
          <w:rFonts w:eastAsia="Times New Roman" w:cs="Arial"/>
          <w:sz w:val="22"/>
          <w:szCs w:val="22"/>
          <w:lang w:eastAsia="en-GB"/>
        </w:rPr>
        <w:t xml:space="preserve">(a component of the RF) </w:t>
      </w:r>
      <w:r w:rsidR="00712206">
        <w:rPr>
          <w:rFonts w:eastAsia="Times New Roman" w:cs="Arial"/>
          <w:sz w:val="22"/>
          <w:szCs w:val="22"/>
          <w:lang w:eastAsia="en-GB"/>
        </w:rPr>
        <w:t xml:space="preserve">are the main driver behind </w:t>
      </w:r>
      <w:r w:rsidR="0085091F">
        <w:rPr>
          <w:rFonts w:eastAsia="Times New Roman" w:cs="Arial"/>
          <w:sz w:val="22"/>
          <w:szCs w:val="22"/>
          <w:lang w:eastAsia="en-GB"/>
        </w:rPr>
        <w:t xml:space="preserve">RF underspend and this is reflected in the </w:t>
      </w:r>
      <w:r w:rsidR="00A61EDA">
        <w:rPr>
          <w:rFonts w:eastAsia="Times New Roman" w:cs="Arial"/>
          <w:sz w:val="22"/>
          <w:szCs w:val="22"/>
          <w:lang w:eastAsia="en-GB"/>
        </w:rPr>
        <w:t>final recommendation of this review</w:t>
      </w:r>
      <w:r w:rsidR="002A72F7">
        <w:rPr>
          <w:rFonts w:eastAsia="Times New Roman" w:cs="Arial"/>
          <w:sz w:val="22"/>
          <w:szCs w:val="22"/>
          <w:lang w:eastAsia="en-GB"/>
        </w:rPr>
        <w:t>,</w:t>
      </w:r>
      <w:r w:rsidR="00FE5F09">
        <w:rPr>
          <w:rFonts w:eastAsia="Times New Roman" w:cs="Arial"/>
          <w:sz w:val="22"/>
          <w:szCs w:val="22"/>
          <w:lang w:eastAsia="en-GB"/>
        </w:rPr>
        <w:t xml:space="preserve"> which focusses on those grants</w:t>
      </w:r>
      <w:r w:rsidR="00A61EDA">
        <w:rPr>
          <w:rFonts w:eastAsia="Times New Roman" w:cs="Arial"/>
          <w:sz w:val="22"/>
          <w:szCs w:val="22"/>
          <w:lang w:eastAsia="en-GB"/>
        </w:rPr>
        <w:t>.</w:t>
      </w:r>
    </w:p>
    <w:p w14:paraId="5929BCB8" w14:textId="77777777" w:rsidR="00AC5633" w:rsidRPr="00AC5633" w:rsidRDefault="00AC5633" w:rsidP="00673030">
      <w:pPr>
        <w:jc w:val="both"/>
        <w:rPr>
          <w:rFonts w:eastAsia="Times New Roman" w:cs="Arial"/>
          <w:sz w:val="22"/>
          <w:szCs w:val="22"/>
          <w:lang w:eastAsia="en-GB"/>
        </w:rPr>
      </w:pPr>
    </w:p>
    <w:p w14:paraId="116ACAD8" w14:textId="64FE46EE" w:rsidR="00AC5633" w:rsidRDefault="00AC5633" w:rsidP="00673030">
      <w:pPr>
        <w:pStyle w:val="ListParagraph"/>
        <w:numPr>
          <w:ilvl w:val="0"/>
          <w:numId w:val="15"/>
        </w:numPr>
        <w:ind w:left="426"/>
        <w:jc w:val="both"/>
        <w:rPr>
          <w:rFonts w:eastAsia="Times New Roman" w:cs="Arial"/>
          <w:sz w:val="22"/>
          <w:szCs w:val="22"/>
          <w:lang w:eastAsia="en-GB"/>
        </w:rPr>
      </w:pPr>
      <w:r w:rsidRPr="00AC5633">
        <w:rPr>
          <w:rFonts w:eastAsia="Times New Roman" w:cs="Arial"/>
          <w:sz w:val="22"/>
          <w:szCs w:val="22"/>
          <w:lang w:eastAsia="en-GB"/>
        </w:rPr>
        <w:t xml:space="preserve">The </w:t>
      </w:r>
      <w:r w:rsidR="00632C9E">
        <w:rPr>
          <w:rFonts w:eastAsia="Times New Roman" w:cs="Arial"/>
          <w:sz w:val="22"/>
          <w:szCs w:val="22"/>
          <w:lang w:eastAsia="en-GB"/>
        </w:rPr>
        <w:t>Trustee</w:t>
      </w:r>
      <w:r w:rsidRPr="00AC5633">
        <w:rPr>
          <w:rFonts w:eastAsia="Times New Roman" w:cs="Arial"/>
          <w:sz w:val="22"/>
          <w:szCs w:val="22"/>
          <w:lang w:eastAsia="en-GB"/>
        </w:rPr>
        <w:t xml:space="preserve"> should work with BEIS and the evaluators to help ensure that a robust, independent </w:t>
      </w:r>
      <w:r w:rsidR="00FF682E">
        <w:rPr>
          <w:rFonts w:eastAsia="Times New Roman" w:cs="Arial"/>
          <w:sz w:val="22"/>
          <w:szCs w:val="22"/>
          <w:lang w:eastAsia="en-GB"/>
        </w:rPr>
        <w:t>M</w:t>
      </w:r>
      <w:r w:rsidR="001D4D4D">
        <w:rPr>
          <w:rFonts w:eastAsia="Times New Roman" w:cs="Arial"/>
          <w:sz w:val="22"/>
          <w:szCs w:val="22"/>
          <w:lang w:eastAsia="en-GB"/>
        </w:rPr>
        <w:t>id-</w:t>
      </w:r>
      <w:r w:rsidR="00FF682E">
        <w:rPr>
          <w:rFonts w:eastAsia="Times New Roman" w:cs="Arial"/>
          <w:sz w:val="22"/>
          <w:szCs w:val="22"/>
          <w:lang w:eastAsia="en-GB"/>
        </w:rPr>
        <w:t>T</w:t>
      </w:r>
      <w:r w:rsidR="001D4D4D">
        <w:rPr>
          <w:rFonts w:eastAsia="Times New Roman" w:cs="Arial"/>
          <w:sz w:val="22"/>
          <w:szCs w:val="22"/>
          <w:lang w:eastAsia="en-GB"/>
        </w:rPr>
        <w:t xml:space="preserve">erm </w:t>
      </w:r>
      <w:r w:rsidR="00FF682E">
        <w:rPr>
          <w:rFonts w:eastAsia="Times New Roman" w:cs="Arial"/>
          <w:sz w:val="22"/>
          <w:szCs w:val="22"/>
          <w:lang w:eastAsia="en-GB"/>
        </w:rPr>
        <w:t>E</w:t>
      </w:r>
      <w:r w:rsidR="001D4D4D">
        <w:rPr>
          <w:rFonts w:eastAsia="Times New Roman" w:cs="Arial"/>
          <w:sz w:val="22"/>
          <w:szCs w:val="22"/>
          <w:lang w:eastAsia="en-GB"/>
        </w:rPr>
        <w:t>valuation</w:t>
      </w:r>
      <w:r w:rsidR="00FF682E">
        <w:rPr>
          <w:rFonts w:eastAsia="Times New Roman" w:cs="Arial"/>
          <w:sz w:val="22"/>
          <w:szCs w:val="22"/>
          <w:lang w:eastAsia="en-GB"/>
        </w:rPr>
        <w:t xml:space="preserve"> (MTE)</w:t>
      </w:r>
      <w:r w:rsidR="001D4D4D" w:rsidRPr="00AC5633">
        <w:rPr>
          <w:rFonts w:eastAsia="Times New Roman" w:cs="Arial"/>
          <w:sz w:val="22"/>
          <w:szCs w:val="22"/>
          <w:lang w:eastAsia="en-GB"/>
        </w:rPr>
        <w:t xml:space="preserve"> </w:t>
      </w:r>
      <w:r w:rsidRPr="00AC5633">
        <w:rPr>
          <w:rFonts w:eastAsia="Times New Roman" w:cs="Arial"/>
          <w:sz w:val="22"/>
          <w:szCs w:val="22"/>
          <w:lang w:eastAsia="en-GB"/>
        </w:rPr>
        <w:t xml:space="preserve">is completed by end 2019 </w:t>
      </w:r>
      <w:r w:rsidR="00DE1F9E">
        <w:rPr>
          <w:rFonts w:eastAsia="Times New Roman" w:cs="Arial"/>
          <w:sz w:val="22"/>
          <w:szCs w:val="22"/>
          <w:lang w:eastAsia="en-GB"/>
        </w:rPr>
        <w:t>(</w:t>
      </w:r>
      <w:r w:rsidRPr="00AC5633">
        <w:rPr>
          <w:rFonts w:eastAsia="Times New Roman" w:cs="Arial"/>
          <w:sz w:val="22"/>
          <w:szCs w:val="22"/>
          <w:lang w:eastAsia="en-GB"/>
        </w:rPr>
        <w:t>through 2019</w:t>
      </w:r>
      <w:r w:rsidR="00DE1F9E">
        <w:rPr>
          <w:rFonts w:eastAsia="Times New Roman" w:cs="Arial"/>
          <w:sz w:val="22"/>
          <w:szCs w:val="22"/>
          <w:lang w:eastAsia="en-GB"/>
        </w:rPr>
        <w:t>)</w:t>
      </w:r>
      <w:r w:rsidR="00697582">
        <w:rPr>
          <w:rFonts w:eastAsia="Times New Roman" w:cs="Arial"/>
          <w:sz w:val="22"/>
          <w:szCs w:val="22"/>
          <w:lang w:eastAsia="en-GB"/>
        </w:rPr>
        <w:t>.</w:t>
      </w:r>
    </w:p>
    <w:p w14:paraId="448D94B8" w14:textId="6590ADBC" w:rsidR="00C670AD" w:rsidRDefault="00C670AD" w:rsidP="00673030">
      <w:pPr>
        <w:jc w:val="both"/>
        <w:rPr>
          <w:rFonts w:eastAsia="Times New Roman" w:cs="Arial"/>
          <w:sz w:val="22"/>
          <w:szCs w:val="22"/>
          <w:lang w:eastAsia="en-GB"/>
        </w:rPr>
      </w:pPr>
    </w:p>
    <w:p w14:paraId="7A65E8A6" w14:textId="6FD4BC2C" w:rsidR="00C670AD" w:rsidRDefault="00DA32D6" w:rsidP="00673030">
      <w:pPr>
        <w:jc w:val="both"/>
        <w:rPr>
          <w:rFonts w:eastAsia="Times New Roman" w:cs="Arial"/>
          <w:sz w:val="22"/>
          <w:szCs w:val="22"/>
          <w:lang w:eastAsia="en-GB"/>
        </w:rPr>
      </w:pPr>
      <w:r w:rsidRPr="00DA32D6">
        <w:rPr>
          <w:rFonts w:eastAsia="Times New Roman" w:cs="Arial"/>
          <w:b/>
          <w:bCs/>
          <w:sz w:val="22"/>
          <w:szCs w:val="22"/>
          <w:lang w:eastAsia="en-GB"/>
        </w:rPr>
        <w:t>Considered complete</w:t>
      </w:r>
      <w:r>
        <w:rPr>
          <w:rFonts w:eastAsia="Times New Roman" w:cs="Arial"/>
          <w:sz w:val="22"/>
          <w:szCs w:val="22"/>
          <w:lang w:eastAsia="en-GB"/>
        </w:rPr>
        <w:t xml:space="preserve"> – </w:t>
      </w:r>
      <w:r w:rsidR="00D77E33">
        <w:rPr>
          <w:rFonts w:cs="Arial"/>
          <w:bCs/>
          <w:color w:val="000000" w:themeColor="text1"/>
          <w:sz w:val="22"/>
          <w:szCs w:val="22"/>
        </w:rPr>
        <w:t xml:space="preserve">The Trustee provided excellent support to the evaluators carrying out the second independent evaluation of the programme by arranging timely access to projects and data, scheduling interviews with stakeholders, contracting an independent supporting expert, and commenting on draft plans and reports. </w:t>
      </w:r>
    </w:p>
    <w:p w14:paraId="04991E8C" w14:textId="77777777" w:rsidR="00C670AD" w:rsidRPr="00C670AD" w:rsidRDefault="00C670AD" w:rsidP="00673030">
      <w:pPr>
        <w:jc w:val="both"/>
        <w:rPr>
          <w:rFonts w:eastAsia="Times New Roman" w:cs="Arial"/>
          <w:sz w:val="22"/>
          <w:szCs w:val="22"/>
          <w:lang w:eastAsia="en-GB"/>
        </w:rPr>
      </w:pPr>
    </w:p>
    <w:p w14:paraId="35555CAD" w14:textId="6D0DBF61" w:rsidR="00AC5633" w:rsidRPr="00AC5633" w:rsidRDefault="00AC5633" w:rsidP="00673030">
      <w:pPr>
        <w:pStyle w:val="ListParagraph"/>
        <w:numPr>
          <w:ilvl w:val="0"/>
          <w:numId w:val="15"/>
        </w:numPr>
        <w:ind w:left="426"/>
        <w:jc w:val="both"/>
        <w:rPr>
          <w:rFonts w:eastAsia="Times New Roman" w:cs="Arial"/>
          <w:sz w:val="22"/>
          <w:szCs w:val="22"/>
          <w:lang w:eastAsia="en-GB"/>
        </w:rPr>
      </w:pPr>
      <w:r w:rsidRPr="00AC5633">
        <w:rPr>
          <w:rFonts w:eastAsia="Times New Roman" w:cs="Arial"/>
          <w:sz w:val="22"/>
          <w:szCs w:val="22"/>
          <w:lang w:eastAsia="en-GB"/>
        </w:rPr>
        <w:t xml:space="preserve">The </w:t>
      </w:r>
      <w:r w:rsidR="00632C9E">
        <w:rPr>
          <w:rFonts w:eastAsia="Times New Roman" w:cs="Arial"/>
          <w:sz w:val="22"/>
          <w:szCs w:val="22"/>
          <w:lang w:eastAsia="en-GB"/>
        </w:rPr>
        <w:t>Trustee</w:t>
      </w:r>
      <w:r w:rsidRPr="00AC5633">
        <w:rPr>
          <w:rFonts w:eastAsia="Times New Roman" w:cs="Arial"/>
          <w:sz w:val="22"/>
          <w:szCs w:val="22"/>
          <w:lang w:eastAsia="en-GB"/>
        </w:rPr>
        <w:t xml:space="preserve"> should continue work on its transition strategy, building on its post-2020 Ci-Dev portfolio transition report to ensure the fund is prepared for potential outcomes from UNFCCC negotiations at COP25 and, through Knowledge Management activity, that potential host countries better understand the relationship between crediting activities and their NDCs </w:t>
      </w:r>
      <w:r w:rsidR="00241D3E">
        <w:rPr>
          <w:rFonts w:eastAsia="Times New Roman" w:cs="Arial"/>
          <w:sz w:val="22"/>
          <w:szCs w:val="22"/>
          <w:lang w:eastAsia="en-GB"/>
        </w:rPr>
        <w:t>(</w:t>
      </w:r>
      <w:r w:rsidRPr="00AC5633">
        <w:rPr>
          <w:rFonts w:eastAsia="Times New Roman" w:cs="Arial"/>
          <w:sz w:val="22"/>
          <w:szCs w:val="22"/>
          <w:lang w:eastAsia="en-GB"/>
        </w:rPr>
        <w:t>end 2019</w:t>
      </w:r>
      <w:r w:rsidR="00241D3E">
        <w:rPr>
          <w:rFonts w:eastAsia="Times New Roman" w:cs="Arial"/>
          <w:sz w:val="22"/>
          <w:szCs w:val="22"/>
          <w:lang w:eastAsia="en-GB"/>
        </w:rPr>
        <w:t>)</w:t>
      </w:r>
      <w:r w:rsidRPr="00AC5633">
        <w:rPr>
          <w:rFonts w:eastAsia="Times New Roman" w:cs="Arial"/>
          <w:sz w:val="22"/>
          <w:szCs w:val="22"/>
          <w:lang w:eastAsia="en-GB"/>
        </w:rPr>
        <w:t>.</w:t>
      </w:r>
    </w:p>
    <w:p w14:paraId="011DD31A" w14:textId="77777777" w:rsidR="00F91ACA" w:rsidRDefault="00F91ACA" w:rsidP="00673030">
      <w:pPr>
        <w:contextualSpacing/>
        <w:jc w:val="both"/>
        <w:rPr>
          <w:rFonts w:cs="Arial"/>
          <w:b/>
          <w:color w:val="000000" w:themeColor="text1"/>
          <w:sz w:val="22"/>
          <w:szCs w:val="22"/>
        </w:rPr>
      </w:pPr>
    </w:p>
    <w:p w14:paraId="1E308E1B" w14:textId="14737D6E" w:rsidR="00DA32D6" w:rsidRDefault="00DA32D6" w:rsidP="00673030">
      <w:pPr>
        <w:contextualSpacing/>
        <w:jc w:val="both"/>
        <w:rPr>
          <w:rFonts w:cs="Arial"/>
          <w:b/>
          <w:color w:val="000000" w:themeColor="text1"/>
          <w:sz w:val="22"/>
          <w:szCs w:val="22"/>
        </w:rPr>
      </w:pPr>
      <w:r w:rsidRPr="00DA32D6">
        <w:rPr>
          <w:rFonts w:cs="Arial"/>
          <w:b/>
          <w:color w:val="000000" w:themeColor="text1"/>
          <w:sz w:val="22"/>
          <w:szCs w:val="22"/>
        </w:rPr>
        <w:t>Complete</w:t>
      </w:r>
      <w:r>
        <w:rPr>
          <w:rFonts w:cs="Arial"/>
          <w:bCs/>
          <w:color w:val="000000" w:themeColor="text1"/>
          <w:sz w:val="22"/>
          <w:szCs w:val="22"/>
        </w:rPr>
        <w:t xml:space="preserve"> - The Trustee has continued work on the Ci-Dev transition strategy (i.e. how existing Ci-Dev projects might transition into Paris Agreement carbon markets) but in the absence of decisions and wider certainty at the UNFCCC level, work towards this has been limited. However, building on transition work, the </w:t>
      </w:r>
      <w:r w:rsidR="00D348B2">
        <w:rPr>
          <w:rFonts w:cs="Arial"/>
          <w:bCs/>
          <w:color w:val="000000" w:themeColor="text1"/>
          <w:sz w:val="22"/>
          <w:szCs w:val="22"/>
        </w:rPr>
        <w:t>Trustee</w:t>
      </w:r>
      <w:r>
        <w:rPr>
          <w:rFonts w:cs="Arial"/>
          <w:bCs/>
          <w:color w:val="000000" w:themeColor="text1"/>
          <w:sz w:val="22"/>
          <w:szCs w:val="22"/>
        </w:rPr>
        <w:t xml:space="preserve"> proposed, and </w:t>
      </w:r>
      <w:r w:rsidR="00F77245">
        <w:rPr>
          <w:rFonts w:cs="Arial"/>
          <w:bCs/>
          <w:color w:val="000000" w:themeColor="text1"/>
          <w:sz w:val="22"/>
          <w:szCs w:val="22"/>
        </w:rPr>
        <w:t>Contributors</w:t>
      </w:r>
      <w:r>
        <w:rPr>
          <w:rFonts w:cs="Arial"/>
          <w:bCs/>
          <w:color w:val="000000" w:themeColor="text1"/>
          <w:sz w:val="22"/>
          <w:szCs w:val="22"/>
        </w:rPr>
        <w:t xml:space="preserve"> approved, a methodological framework for Ci-Dev portfolio </w:t>
      </w:r>
      <w:r>
        <w:rPr>
          <w:rFonts w:cs="Arial"/>
          <w:bCs/>
          <w:color w:val="000000" w:themeColor="text1"/>
          <w:sz w:val="22"/>
          <w:szCs w:val="22"/>
        </w:rPr>
        <w:lastRenderedPageBreak/>
        <w:t xml:space="preserve">transition as part of the financial year 2020 knowledge management work. </w:t>
      </w:r>
      <w:r w:rsidR="00A40065">
        <w:rPr>
          <w:rFonts w:cs="Arial"/>
          <w:bCs/>
          <w:color w:val="000000" w:themeColor="text1"/>
          <w:sz w:val="22"/>
          <w:szCs w:val="22"/>
        </w:rPr>
        <w:t>Ci-Dev staff have shaped and delivered work to help hosts understand the relationship between crediting activity and their NDC achievement, for example in a workshop following the annual Designated National Authority forum in June at the UNFCCC in Bonn.</w:t>
      </w:r>
    </w:p>
    <w:p w14:paraId="6B6E43D6" w14:textId="77777777" w:rsidR="00DA32D6" w:rsidRDefault="00DA32D6" w:rsidP="00E81F52">
      <w:pPr>
        <w:contextualSpacing/>
        <w:rPr>
          <w:rFonts w:cs="Arial"/>
          <w:b/>
          <w:color w:val="000000" w:themeColor="text1"/>
          <w:sz w:val="22"/>
          <w:szCs w:val="22"/>
        </w:rPr>
      </w:pPr>
    </w:p>
    <w:p w14:paraId="39C1AD45" w14:textId="5F87A5CC" w:rsidR="00A449FC" w:rsidRPr="00581E6D" w:rsidRDefault="00144C58" w:rsidP="00673030">
      <w:pPr>
        <w:contextualSpacing/>
        <w:jc w:val="both"/>
        <w:rPr>
          <w:rFonts w:cs="Arial"/>
          <w:b/>
          <w:color w:val="000000" w:themeColor="text1"/>
          <w:sz w:val="22"/>
          <w:szCs w:val="22"/>
        </w:rPr>
      </w:pPr>
      <w:r w:rsidRPr="00581E6D">
        <w:rPr>
          <w:rFonts w:cs="Arial"/>
          <w:b/>
          <w:color w:val="000000" w:themeColor="text1"/>
          <w:sz w:val="22"/>
          <w:szCs w:val="22"/>
        </w:rPr>
        <w:t>Has the logframe been updated since the last review?</w:t>
      </w:r>
    </w:p>
    <w:p w14:paraId="5620F78C" w14:textId="77777777" w:rsidR="008402AB" w:rsidRPr="00581E6D" w:rsidRDefault="008402AB" w:rsidP="00673030">
      <w:pPr>
        <w:contextualSpacing/>
        <w:jc w:val="both"/>
        <w:rPr>
          <w:rFonts w:cs="Arial"/>
          <w:color w:val="000000" w:themeColor="text1"/>
          <w:sz w:val="22"/>
          <w:szCs w:val="22"/>
        </w:rPr>
      </w:pPr>
    </w:p>
    <w:p w14:paraId="3BFF5C86" w14:textId="5739EBA4" w:rsidR="00226D64" w:rsidRDefault="008C0D41" w:rsidP="00673030">
      <w:pPr>
        <w:jc w:val="both"/>
        <w:rPr>
          <w:rFonts w:cs="Arial"/>
          <w:sz w:val="22"/>
          <w:szCs w:val="22"/>
          <w:lang w:eastAsia="en-GB"/>
        </w:rPr>
      </w:pPr>
      <w:r>
        <w:rPr>
          <w:rFonts w:cs="Arial"/>
          <w:sz w:val="22"/>
          <w:szCs w:val="22"/>
          <w:lang w:eastAsia="en-GB"/>
        </w:rPr>
        <w:t xml:space="preserve">The logframe has not been updated since the last review. </w:t>
      </w:r>
      <w:r w:rsidR="00702D01">
        <w:rPr>
          <w:rFonts w:cs="Arial"/>
          <w:sz w:val="22"/>
          <w:szCs w:val="22"/>
          <w:lang w:eastAsia="en-GB"/>
        </w:rPr>
        <w:t xml:space="preserve">The Logframe </w:t>
      </w:r>
      <w:r w:rsidR="001F767D">
        <w:rPr>
          <w:rFonts w:cs="Arial"/>
          <w:sz w:val="22"/>
          <w:szCs w:val="22"/>
          <w:lang w:eastAsia="en-GB"/>
        </w:rPr>
        <w:t xml:space="preserve">(Annex </w:t>
      </w:r>
      <w:r w:rsidR="00C72ADC">
        <w:rPr>
          <w:rFonts w:cs="Arial"/>
          <w:sz w:val="22"/>
          <w:szCs w:val="22"/>
          <w:lang w:eastAsia="en-GB"/>
        </w:rPr>
        <w:t>2</w:t>
      </w:r>
      <w:r w:rsidR="001F767D">
        <w:rPr>
          <w:rFonts w:cs="Arial"/>
          <w:sz w:val="22"/>
          <w:szCs w:val="22"/>
          <w:lang w:eastAsia="en-GB"/>
        </w:rPr>
        <w:t xml:space="preserve">) </w:t>
      </w:r>
      <w:r w:rsidR="00702D01">
        <w:rPr>
          <w:rFonts w:cs="Arial"/>
          <w:sz w:val="22"/>
          <w:szCs w:val="22"/>
          <w:lang w:eastAsia="en-GB"/>
        </w:rPr>
        <w:t xml:space="preserve">was reviewed and updated in September 2018 to reflect the programme’s move into </w:t>
      </w:r>
      <w:r w:rsidR="006A22F9">
        <w:rPr>
          <w:rFonts w:cs="Arial"/>
          <w:sz w:val="22"/>
          <w:szCs w:val="22"/>
          <w:lang w:eastAsia="en-GB"/>
        </w:rPr>
        <w:t xml:space="preserve">the </w:t>
      </w:r>
      <w:r w:rsidR="00702D01">
        <w:rPr>
          <w:rFonts w:cs="Arial"/>
          <w:sz w:val="22"/>
          <w:szCs w:val="22"/>
          <w:lang w:eastAsia="en-GB"/>
        </w:rPr>
        <w:t xml:space="preserve">implementation phase, and </w:t>
      </w:r>
      <w:r w:rsidR="00B06830">
        <w:rPr>
          <w:rFonts w:cs="Arial"/>
          <w:sz w:val="22"/>
          <w:szCs w:val="22"/>
          <w:lang w:eastAsia="en-GB"/>
        </w:rPr>
        <w:t xml:space="preserve">to include targets based on the project portfolio, rather than business case projections. </w:t>
      </w:r>
      <w:r w:rsidR="001F767D">
        <w:rPr>
          <w:rFonts w:cs="Arial"/>
          <w:sz w:val="22"/>
          <w:szCs w:val="22"/>
          <w:lang w:eastAsia="en-GB"/>
        </w:rPr>
        <w:t xml:space="preserve">An overall rationale for the update, and </w:t>
      </w:r>
      <w:r w:rsidR="00DA32D6">
        <w:rPr>
          <w:rFonts w:cs="Arial"/>
          <w:sz w:val="22"/>
          <w:szCs w:val="22"/>
          <w:lang w:eastAsia="en-GB"/>
        </w:rPr>
        <w:t xml:space="preserve">detailed </w:t>
      </w:r>
      <w:r w:rsidR="001F767D">
        <w:rPr>
          <w:rFonts w:cs="Arial"/>
          <w:sz w:val="22"/>
          <w:szCs w:val="22"/>
          <w:lang w:eastAsia="en-GB"/>
        </w:rPr>
        <w:t xml:space="preserve">commentary on the updated indicators </w:t>
      </w:r>
      <w:r w:rsidR="00DA32D6">
        <w:rPr>
          <w:rFonts w:cs="Arial"/>
          <w:sz w:val="22"/>
          <w:szCs w:val="22"/>
          <w:lang w:eastAsia="en-GB"/>
        </w:rPr>
        <w:t xml:space="preserve">was provided in the previous annual review. </w:t>
      </w:r>
    </w:p>
    <w:p w14:paraId="40FF12D9" w14:textId="77777777" w:rsidR="00B34703" w:rsidRDefault="00B34703" w:rsidP="00DA32D6">
      <w:pPr>
        <w:rPr>
          <w:rFonts w:cs="Arial"/>
          <w:sz w:val="22"/>
          <w:szCs w:val="22"/>
          <w:lang w:eastAsia="en-GB"/>
        </w:rPr>
      </w:pPr>
    </w:p>
    <w:p w14:paraId="32652FE5" w14:textId="2DE2A6E6" w:rsidR="00F91ACA" w:rsidRDefault="00F91ACA" w:rsidP="004653DE">
      <w:pPr>
        <w:rPr>
          <w:rFonts w:cs="Arial"/>
          <w:sz w:val="22"/>
          <w:szCs w:val="22"/>
          <w:lang w:eastAsia="en-GB"/>
        </w:rPr>
      </w:pPr>
    </w:p>
    <w:p w14:paraId="6B29A10A" w14:textId="3713F485" w:rsidR="003B3746" w:rsidRDefault="003B3746" w:rsidP="004653DE">
      <w:pPr>
        <w:rPr>
          <w:rFonts w:cs="Arial"/>
          <w:sz w:val="22"/>
          <w:szCs w:val="22"/>
          <w:lang w:eastAsia="en-GB"/>
        </w:rPr>
      </w:pPr>
    </w:p>
    <w:p w14:paraId="13985DC6" w14:textId="57522508" w:rsidR="003B3746" w:rsidRDefault="003B3746" w:rsidP="004653DE">
      <w:pPr>
        <w:rPr>
          <w:rFonts w:cs="Arial"/>
          <w:sz w:val="22"/>
          <w:szCs w:val="22"/>
          <w:lang w:eastAsia="en-GB"/>
        </w:rPr>
      </w:pPr>
    </w:p>
    <w:p w14:paraId="05639547" w14:textId="58627173" w:rsidR="003B3746" w:rsidRDefault="003B3746" w:rsidP="004653DE">
      <w:pPr>
        <w:rPr>
          <w:rFonts w:cs="Arial"/>
          <w:sz w:val="22"/>
          <w:szCs w:val="22"/>
          <w:lang w:eastAsia="en-GB"/>
        </w:rPr>
      </w:pPr>
    </w:p>
    <w:p w14:paraId="53A72C82" w14:textId="4F634800" w:rsidR="003B3746" w:rsidRDefault="003B3746" w:rsidP="004653DE">
      <w:pPr>
        <w:rPr>
          <w:rFonts w:cs="Arial"/>
          <w:sz w:val="22"/>
          <w:szCs w:val="22"/>
          <w:lang w:eastAsia="en-GB"/>
        </w:rPr>
      </w:pPr>
    </w:p>
    <w:p w14:paraId="2ECDFA7F" w14:textId="2F0FB374" w:rsidR="003B3746" w:rsidRDefault="003B3746" w:rsidP="004653DE">
      <w:pPr>
        <w:rPr>
          <w:rFonts w:cs="Arial"/>
          <w:sz w:val="22"/>
          <w:szCs w:val="22"/>
          <w:lang w:eastAsia="en-GB"/>
        </w:rPr>
      </w:pPr>
    </w:p>
    <w:p w14:paraId="08643067" w14:textId="06A188EF" w:rsidR="003B3746" w:rsidRDefault="003B3746" w:rsidP="004653DE">
      <w:pPr>
        <w:rPr>
          <w:rFonts w:cs="Arial"/>
          <w:sz w:val="22"/>
          <w:szCs w:val="22"/>
          <w:lang w:eastAsia="en-GB"/>
        </w:rPr>
      </w:pPr>
    </w:p>
    <w:p w14:paraId="7E0EDE0F" w14:textId="1B69F038" w:rsidR="003B3746" w:rsidRDefault="003B3746" w:rsidP="004653DE">
      <w:pPr>
        <w:rPr>
          <w:rFonts w:cs="Arial"/>
          <w:sz w:val="22"/>
          <w:szCs w:val="22"/>
          <w:lang w:eastAsia="en-GB"/>
        </w:rPr>
      </w:pPr>
    </w:p>
    <w:p w14:paraId="4A31571B" w14:textId="61E77A94" w:rsidR="003B3746" w:rsidRDefault="003B3746" w:rsidP="004653DE">
      <w:pPr>
        <w:rPr>
          <w:rFonts w:cs="Arial"/>
          <w:sz w:val="22"/>
          <w:szCs w:val="22"/>
          <w:lang w:eastAsia="en-GB"/>
        </w:rPr>
      </w:pPr>
    </w:p>
    <w:p w14:paraId="08565C75" w14:textId="74259C10" w:rsidR="003B3746" w:rsidRDefault="003B3746" w:rsidP="004653DE">
      <w:pPr>
        <w:rPr>
          <w:rFonts w:cs="Arial"/>
          <w:sz w:val="22"/>
          <w:szCs w:val="22"/>
          <w:lang w:eastAsia="en-GB"/>
        </w:rPr>
      </w:pPr>
    </w:p>
    <w:p w14:paraId="61E10E6B" w14:textId="11F2FB69" w:rsidR="003B3746" w:rsidRDefault="003B3746" w:rsidP="004653DE">
      <w:pPr>
        <w:rPr>
          <w:rFonts w:cs="Arial"/>
          <w:sz w:val="22"/>
          <w:szCs w:val="22"/>
          <w:lang w:eastAsia="en-GB"/>
        </w:rPr>
      </w:pPr>
    </w:p>
    <w:p w14:paraId="31A3AB22" w14:textId="6EE915D5" w:rsidR="003B3746" w:rsidRDefault="003B3746" w:rsidP="004653DE">
      <w:pPr>
        <w:rPr>
          <w:rFonts w:cs="Arial"/>
          <w:sz w:val="22"/>
          <w:szCs w:val="22"/>
          <w:lang w:eastAsia="en-GB"/>
        </w:rPr>
      </w:pPr>
    </w:p>
    <w:p w14:paraId="7EF78E73" w14:textId="7A20DE90" w:rsidR="003B3746" w:rsidRDefault="003B3746" w:rsidP="004653DE">
      <w:pPr>
        <w:rPr>
          <w:rFonts w:cs="Arial"/>
          <w:sz w:val="22"/>
          <w:szCs w:val="22"/>
          <w:lang w:eastAsia="en-GB"/>
        </w:rPr>
      </w:pPr>
    </w:p>
    <w:p w14:paraId="5A074634" w14:textId="641D1786" w:rsidR="003B3746" w:rsidRDefault="003B3746" w:rsidP="004653DE">
      <w:pPr>
        <w:rPr>
          <w:rFonts w:cs="Arial"/>
          <w:sz w:val="22"/>
          <w:szCs w:val="22"/>
          <w:lang w:eastAsia="en-GB"/>
        </w:rPr>
      </w:pPr>
    </w:p>
    <w:p w14:paraId="4B1C5954" w14:textId="199BC9B4" w:rsidR="003B3746" w:rsidRDefault="003B3746" w:rsidP="004653DE">
      <w:pPr>
        <w:rPr>
          <w:rFonts w:cs="Arial"/>
          <w:sz w:val="22"/>
          <w:szCs w:val="22"/>
          <w:lang w:eastAsia="en-GB"/>
        </w:rPr>
      </w:pPr>
    </w:p>
    <w:p w14:paraId="0895BE3C" w14:textId="73AFADFB" w:rsidR="003B3746" w:rsidRDefault="003B3746" w:rsidP="004653DE">
      <w:pPr>
        <w:rPr>
          <w:rFonts w:cs="Arial"/>
          <w:sz w:val="22"/>
          <w:szCs w:val="22"/>
          <w:lang w:eastAsia="en-GB"/>
        </w:rPr>
      </w:pPr>
    </w:p>
    <w:p w14:paraId="32E6795C" w14:textId="77777777" w:rsidR="00A22666" w:rsidRDefault="00A22666" w:rsidP="004653DE">
      <w:pPr>
        <w:rPr>
          <w:rFonts w:cs="Arial"/>
          <w:sz w:val="22"/>
          <w:szCs w:val="22"/>
          <w:lang w:eastAsia="en-GB"/>
        </w:rPr>
      </w:pPr>
    </w:p>
    <w:p w14:paraId="4D1AB5B1" w14:textId="77777777" w:rsidR="00A22666" w:rsidRDefault="00A22666" w:rsidP="004653DE">
      <w:pPr>
        <w:rPr>
          <w:rFonts w:cs="Arial"/>
          <w:sz w:val="22"/>
          <w:szCs w:val="22"/>
          <w:lang w:eastAsia="en-GB"/>
        </w:rPr>
      </w:pPr>
    </w:p>
    <w:p w14:paraId="1F6F7A46" w14:textId="77777777" w:rsidR="00A22666" w:rsidRDefault="00A22666" w:rsidP="004653DE">
      <w:pPr>
        <w:rPr>
          <w:rFonts w:cs="Arial"/>
          <w:sz w:val="22"/>
          <w:szCs w:val="22"/>
          <w:lang w:eastAsia="en-GB"/>
        </w:rPr>
      </w:pPr>
    </w:p>
    <w:p w14:paraId="6A14B93F" w14:textId="77777777" w:rsidR="00A22666" w:rsidRDefault="00A22666" w:rsidP="004653DE">
      <w:pPr>
        <w:rPr>
          <w:rFonts w:cs="Arial"/>
          <w:sz w:val="22"/>
          <w:szCs w:val="22"/>
          <w:lang w:eastAsia="en-GB"/>
        </w:rPr>
      </w:pPr>
    </w:p>
    <w:p w14:paraId="623F8FE6" w14:textId="77777777" w:rsidR="00A22666" w:rsidRDefault="00A22666" w:rsidP="004653DE">
      <w:pPr>
        <w:rPr>
          <w:rFonts w:cs="Arial"/>
          <w:sz w:val="22"/>
          <w:szCs w:val="22"/>
          <w:lang w:eastAsia="en-GB"/>
        </w:rPr>
      </w:pPr>
    </w:p>
    <w:p w14:paraId="476A1336" w14:textId="77777777" w:rsidR="00A22666" w:rsidRDefault="00A22666" w:rsidP="004653DE">
      <w:pPr>
        <w:rPr>
          <w:rFonts w:cs="Arial"/>
          <w:sz w:val="22"/>
          <w:szCs w:val="22"/>
          <w:lang w:eastAsia="en-GB"/>
        </w:rPr>
      </w:pPr>
    </w:p>
    <w:p w14:paraId="1BE13CEA" w14:textId="77777777" w:rsidR="00A22666" w:rsidRDefault="00A22666" w:rsidP="004653DE">
      <w:pPr>
        <w:rPr>
          <w:rFonts w:cs="Arial"/>
          <w:sz w:val="22"/>
          <w:szCs w:val="22"/>
          <w:lang w:eastAsia="en-GB"/>
        </w:rPr>
      </w:pPr>
    </w:p>
    <w:p w14:paraId="0328DD0F" w14:textId="77777777" w:rsidR="00A22666" w:rsidRDefault="00A22666" w:rsidP="004653DE">
      <w:pPr>
        <w:rPr>
          <w:rFonts w:cs="Arial"/>
          <w:sz w:val="22"/>
          <w:szCs w:val="22"/>
          <w:lang w:eastAsia="en-GB"/>
        </w:rPr>
      </w:pPr>
    </w:p>
    <w:p w14:paraId="323B9417" w14:textId="77777777" w:rsidR="00A22666" w:rsidRDefault="00A22666" w:rsidP="004653DE">
      <w:pPr>
        <w:rPr>
          <w:rFonts w:cs="Arial"/>
          <w:sz w:val="22"/>
          <w:szCs w:val="22"/>
          <w:lang w:eastAsia="en-GB"/>
        </w:rPr>
      </w:pPr>
    </w:p>
    <w:p w14:paraId="32C671AF" w14:textId="77777777" w:rsidR="00A22666" w:rsidRDefault="00A22666" w:rsidP="004653DE">
      <w:pPr>
        <w:rPr>
          <w:rFonts w:cs="Arial"/>
          <w:sz w:val="22"/>
          <w:szCs w:val="22"/>
          <w:lang w:eastAsia="en-GB"/>
        </w:rPr>
      </w:pPr>
    </w:p>
    <w:p w14:paraId="72486098" w14:textId="77777777" w:rsidR="00A22666" w:rsidRDefault="00A22666" w:rsidP="004653DE">
      <w:pPr>
        <w:rPr>
          <w:rFonts w:cs="Arial"/>
          <w:sz w:val="22"/>
          <w:szCs w:val="22"/>
          <w:lang w:eastAsia="en-GB"/>
        </w:rPr>
      </w:pPr>
    </w:p>
    <w:p w14:paraId="0C54B136" w14:textId="77777777" w:rsidR="00A22666" w:rsidRDefault="00A22666" w:rsidP="004653DE">
      <w:pPr>
        <w:rPr>
          <w:rFonts w:cs="Arial"/>
          <w:sz w:val="22"/>
          <w:szCs w:val="22"/>
          <w:lang w:eastAsia="en-GB"/>
        </w:rPr>
      </w:pPr>
    </w:p>
    <w:p w14:paraId="4D1FB48D" w14:textId="77777777" w:rsidR="00A22666" w:rsidRDefault="00A22666" w:rsidP="004653DE">
      <w:pPr>
        <w:rPr>
          <w:rFonts w:cs="Arial"/>
          <w:sz w:val="22"/>
          <w:szCs w:val="22"/>
          <w:lang w:eastAsia="en-GB"/>
        </w:rPr>
      </w:pPr>
    </w:p>
    <w:p w14:paraId="4648F9C4" w14:textId="77777777" w:rsidR="00A22666" w:rsidRDefault="00A22666" w:rsidP="004653DE">
      <w:pPr>
        <w:rPr>
          <w:rFonts w:cs="Arial"/>
          <w:sz w:val="22"/>
          <w:szCs w:val="22"/>
          <w:lang w:eastAsia="en-GB"/>
        </w:rPr>
      </w:pPr>
    </w:p>
    <w:p w14:paraId="12E4DA37" w14:textId="77777777" w:rsidR="00A22666" w:rsidRDefault="00A22666" w:rsidP="004653DE">
      <w:pPr>
        <w:rPr>
          <w:rFonts w:cs="Arial"/>
          <w:sz w:val="22"/>
          <w:szCs w:val="22"/>
          <w:lang w:eastAsia="en-GB"/>
        </w:rPr>
      </w:pPr>
    </w:p>
    <w:p w14:paraId="007CB606" w14:textId="77777777" w:rsidR="00A22666" w:rsidRDefault="00A22666" w:rsidP="004653DE">
      <w:pPr>
        <w:rPr>
          <w:rFonts w:cs="Arial"/>
          <w:sz w:val="22"/>
          <w:szCs w:val="22"/>
          <w:lang w:eastAsia="en-GB"/>
        </w:rPr>
      </w:pPr>
    </w:p>
    <w:p w14:paraId="2ECE1F78" w14:textId="77777777" w:rsidR="00A22666" w:rsidRDefault="00A22666" w:rsidP="004653DE">
      <w:pPr>
        <w:rPr>
          <w:rFonts w:cs="Arial"/>
          <w:sz w:val="22"/>
          <w:szCs w:val="22"/>
          <w:lang w:eastAsia="en-GB"/>
        </w:rPr>
      </w:pPr>
    </w:p>
    <w:p w14:paraId="14AB62E4" w14:textId="77777777" w:rsidR="00A22666" w:rsidRDefault="00A22666" w:rsidP="004653DE">
      <w:pPr>
        <w:rPr>
          <w:rFonts w:cs="Arial"/>
          <w:sz w:val="22"/>
          <w:szCs w:val="22"/>
          <w:lang w:eastAsia="en-GB"/>
        </w:rPr>
      </w:pPr>
    </w:p>
    <w:p w14:paraId="4FFFF9E1" w14:textId="77777777" w:rsidR="00A22666" w:rsidRDefault="00A22666" w:rsidP="004653DE">
      <w:pPr>
        <w:rPr>
          <w:rFonts w:cs="Arial"/>
          <w:sz w:val="22"/>
          <w:szCs w:val="22"/>
          <w:lang w:eastAsia="en-GB"/>
        </w:rPr>
      </w:pPr>
    </w:p>
    <w:p w14:paraId="75B3D553" w14:textId="77777777" w:rsidR="00A22666" w:rsidRDefault="00A22666" w:rsidP="004653DE">
      <w:pPr>
        <w:rPr>
          <w:rFonts w:cs="Arial"/>
          <w:sz w:val="22"/>
          <w:szCs w:val="22"/>
          <w:lang w:eastAsia="en-GB"/>
        </w:rPr>
      </w:pPr>
    </w:p>
    <w:p w14:paraId="50C7E01F" w14:textId="77777777" w:rsidR="00A22666" w:rsidRDefault="00A22666" w:rsidP="004653DE">
      <w:pPr>
        <w:rPr>
          <w:rFonts w:cs="Arial"/>
          <w:sz w:val="22"/>
          <w:szCs w:val="22"/>
          <w:lang w:eastAsia="en-GB"/>
        </w:rPr>
      </w:pPr>
    </w:p>
    <w:p w14:paraId="27EACABB" w14:textId="77777777" w:rsidR="00A22666" w:rsidRDefault="00A22666" w:rsidP="004653DE">
      <w:pPr>
        <w:rPr>
          <w:rFonts w:cs="Arial"/>
          <w:sz w:val="22"/>
          <w:szCs w:val="22"/>
          <w:lang w:eastAsia="en-GB"/>
        </w:rPr>
      </w:pPr>
    </w:p>
    <w:p w14:paraId="6A062F3C" w14:textId="77777777" w:rsidR="00A22666" w:rsidRDefault="00A22666" w:rsidP="004653DE">
      <w:pPr>
        <w:rPr>
          <w:rFonts w:cs="Arial"/>
          <w:sz w:val="22"/>
          <w:szCs w:val="22"/>
          <w:lang w:eastAsia="en-GB"/>
        </w:rPr>
      </w:pPr>
    </w:p>
    <w:p w14:paraId="14A291D1" w14:textId="77777777" w:rsidR="00A22666" w:rsidRDefault="00A22666" w:rsidP="004653DE">
      <w:pPr>
        <w:rPr>
          <w:rFonts w:cs="Arial"/>
          <w:sz w:val="22"/>
          <w:szCs w:val="22"/>
          <w:lang w:eastAsia="en-GB"/>
        </w:rPr>
      </w:pPr>
    </w:p>
    <w:p w14:paraId="35B25A24" w14:textId="1638D68C" w:rsidR="003B3746" w:rsidRDefault="003B3746" w:rsidP="004653DE">
      <w:pPr>
        <w:rPr>
          <w:rFonts w:cs="Arial"/>
          <w:sz w:val="22"/>
          <w:szCs w:val="22"/>
          <w:lang w:eastAsia="en-GB"/>
        </w:rPr>
      </w:pPr>
    </w:p>
    <w:p w14:paraId="1D8B6691" w14:textId="07EA9AE0" w:rsidR="003B3746" w:rsidRDefault="003B3746" w:rsidP="004653DE">
      <w:pPr>
        <w:rPr>
          <w:rFonts w:cs="Arial"/>
          <w:sz w:val="22"/>
          <w:szCs w:val="22"/>
          <w:lang w:eastAsia="en-GB"/>
        </w:rPr>
      </w:pPr>
    </w:p>
    <w:p w14:paraId="63C9718D" w14:textId="77777777" w:rsidR="00E01759" w:rsidRDefault="00E01759" w:rsidP="004653DE">
      <w:pPr>
        <w:rPr>
          <w:rFonts w:cs="Arial"/>
          <w:sz w:val="22"/>
          <w:szCs w:val="22"/>
          <w:lang w:eastAsia="en-GB"/>
        </w:rPr>
      </w:pPr>
    </w:p>
    <w:p w14:paraId="621DA109" w14:textId="77777777" w:rsidR="00E01759" w:rsidRDefault="00E01759" w:rsidP="004653DE">
      <w:pPr>
        <w:rPr>
          <w:rFonts w:cs="Arial"/>
          <w:sz w:val="22"/>
          <w:szCs w:val="22"/>
          <w:lang w:eastAsia="en-GB"/>
        </w:rPr>
      </w:pPr>
    </w:p>
    <w:p w14:paraId="4E4440D1" w14:textId="2B7769AB" w:rsidR="003B3746" w:rsidRDefault="003B3746" w:rsidP="004653DE">
      <w:pPr>
        <w:rPr>
          <w:rFonts w:cs="Arial"/>
          <w:sz w:val="22"/>
          <w:szCs w:val="22"/>
          <w:lang w:eastAsia="en-GB"/>
        </w:rPr>
      </w:pPr>
    </w:p>
    <w:p w14:paraId="0795ED9F" w14:textId="77777777" w:rsidR="00F82D5D" w:rsidRPr="00581E6D" w:rsidRDefault="00F82D5D" w:rsidP="00E81F52">
      <w:pPr>
        <w:pStyle w:val="Heading2"/>
        <w:pBdr>
          <w:top w:val="single" w:sz="4" w:space="1" w:color="auto"/>
          <w:left w:val="single" w:sz="4" w:space="4" w:color="auto"/>
          <w:bottom w:val="single" w:sz="4" w:space="1" w:color="auto"/>
          <w:right w:val="single" w:sz="4" w:space="4" w:color="auto"/>
        </w:pBdr>
        <w:shd w:val="clear" w:color="auto" w:fill="DBE5F1" w:themeFill="accent1" w:themeFillTint="33"/>
        <w:spacing w:before="0" w:after="0"/>
        <w:contextualSpacing/>
        <w:rPr>
          <w:b w:val="0"/>
          <w:i w:val="0"/>
          <w:color w:val="000000" w:themeColor="text1"/>
          <w:sz w:val="22"/>
          <w:szCs w:val="22"/>
        </w:rPr>
      </w:pPr>
      <w:r w:rsidRPr="00581E6D">
        <w:rPr>
          <w:i w:val="0"/>
          <w:color w:val="000000" w:themeColor="text1"/>
          <w:sz w:val="22"/>
          <w:szCs w:val="22"/>
        </w:rPr>
        <w:lastRenderedPageBreak/>
        <w:t>C: DETAILED OUTPUT SCORING</w:t>
      </w:r>
      <w:r w:rsidR="00976906" w:rsidRPr="00581E6D">
        <w:rPr>
          <w:b w:val="0"/>
          <w:i w:val="0"/>
          <w:color w:val="000000" w:themeColor="text1"/>
          <w:sz w:val="22"/>
          <w:szCs w:val="22"/>
        </w:rPr>
        <w:t xml:space="preserve"> </w:t>
      </w:r>
    </w:p>
    <w:p w14:paraId="1DC993F4" w14:textId="77777777" w:rsidR="00F82D5D" w:rsidRDefault="00F82D5D" w:rsidP="00E81F52">
      <w:pPr>
        <w:contextualSpacing/>
        <w:rPr>
          <w:rFonts w:cs="Arial"/>
          <w:color w:val="000000" w:themeColor="text1"/>
          <w:sz w:val="22"/>
          <w:szCs w:val="22"/>
        </w:rPr>
      </w:pPr>
    </w:p>
    <w:p w14:paraId="593DAB0A" w14:textId="77777777" w:rsidR="007C5813" w:rsidRPr="00581E6D" w:rsidRDefault="007C5813" w:rsidP="007C5813">
      <w:pPr>
        <w:jc w:val="both"/>
        <w:rPr>
          <w:rFonts w:cs="Arial"/>
          <w:color w:val="000000" w:themeColor="text1"/>
          <w:sz w:val="22"/>
          <w:szCs w:val="22"/>
        </w:rPr>
      </w:pPr>
    </w:p>
    <w:tbl>
      <w:tblPr>
        <w:tblStyle w:val="TableGrid"/>
        <w:tblW w:w="0" w:type="auto"/>
        <w:tblInd w:w="108" w:type="dxa"/>
        <w:tblLook w:val="04A0" w:firstRow="1" w:lastRow="0" w:firstColumn="1" w:lastColumn="0" w:noHBand="0" w:noVBand="1"/>
      </w:tblPr>
      <w:tblGrid>
        <w:gridCol w:w="1653"/>
        <w:gridCol w:w="1462"/>
        <w:gridCol w:w="1935"/>
        <w:gridCol w:w="2989"/>
        <w:gridCol w:w="2047"/>
      </w:tblGrid>
      <w:tr w:rsidR="00DB7454" w:rsidRPr="00581E6D" w14:paraId="307EB2FC" w14:textId="77777777" w:rsidTr="00322F2D">
        <w:trPr>
          <w:trHeight w:val="405"/>
        </w:trPr>
        <w:tc>
          <w:tcPr>
            <w:tcW w:w="1679" w:type="dxa"/>
            <w:shd w:val="clear" w:color="auto" w:fill="DBE5F1" w:themeFill="accent1" w:themeFillTint="33"/>
          </w:tcPr>
          <w:p w14:paraId="2DD78FB3" w14:textId="77777777" w:rsidR="001F43A7" w:rsidRPr="00581E6D" w:rsidRDefault="001F43A7" w:rsidP="00E81F52">
            <w:pPr>
              <w:contextualSpacing/>
              <w:rPr>
                <w:rFonts w:cs="Arial"/>
                <w:b/>
                <w:bCs/>
                <w:color w:val="000000" w:themeColor="text1"/>
                <w:sz w:val="22"/>
                <w:szCs w:val="22"/>
              </w:rPr>
            </w:pPr>
            <w:r w:rsidRPr="00581E6D">
              <w:rPr>
                <w:rFonts w:cs="Arial"/>
                <w:b/>
                <w:bCs/>
                <w:color w:val="000000" w:themeColor="text1"/>
                <w:sz w:val="22"/>
                <w:szCs w:val="22"/>
              </w:rPr>
              <w:t xml:space="preserve">Output Title </w:t>
            </w:r>
          </w:p>
        </w:tc>
        <w:tc>
          <w:tcPr>
            <w:tcW w:w="8633" w:type="dxa"/>
            <w:gridSpan w:val="4"/>
            <w:shd w:val="clear" w:color="auto" w:fill="FFFFFF" w:themeFill="background1"/>
          </w:tcPr>
          <w:p w14:paraId="41B0A38A" w14:textId="280600FF" w:rsidR="001F43A7" w:rsidRPr="00E466C8" w:rsidRDefault="00E466C8" w:rsidP="005C72A9">
            <w:pPr>
              <w:rPr>
                <w:rFonts w:cs="Arial"/>
                <w:b/>
                <w:sz w:val="22"/>
                <w:szCs w:val="22"/>
                <w:lang w:eastAsia="en-GB"/>
              </w:rPr>
            </w:pPr>
            <w:r w:rsidRPr="00E466C8">
              <w:rPr>
                <w:rFonts w:cs="Arial"/>
                <w:b/>
                <w:color w:val="000000"/>
                <w:sz w:val="22"/>
                <w:szCs w:val="22"/>
              </w:rPr>
              <w:t xml:space="preserve">Pilot projects that can generate CERs and direct development benefits are implemented </w:t>
            </w:r>
          </w:p>
        </w:tc>
      </w:tr>
      <w:tr w:rsidR="00DB7454" w:rsidRPr="00581E6D" w14:paraId="1D45CC7F" w14:textId="77777777" w:rsidTr="00322F2D">
        <w:trPr>
          <w:trHeight w:val="405"/>
        </w:trPr>
        <w:tc>
          <w:tcPr>
            <w:tcW w:w="3193" w:type="dxa"/>
            <w:gridSpan w:val="2"/>
            <w:shd w:val="clear" w:color="auto" w:fill="DBE5F1" w:themeFill="accent1" w:themeFillTint="33"/>
          </w:tcPr>
          <w:p w14:paraId="07A53CD3" w14:textId="77777777" w:rsidR="00746853" w:rsidRPr="00581E6D" w:rsidRDefault="00746853" w:rsidP="00E81F52">
            <w:pPr>
              <w:contextualSpacing/>
              <w:rPr>
                <w:rFonts w:cs="Arial"/>
                <w:bCs/>
                <w:color w:val="000000" w:themeColor="text1"/>
                <w:sz w:val="22"/>
                <w:szCs w:val="22"/>
              </w:rPr>
            </w:pPr>
            <w:r w:rsidRPr="00581E6D">
              <w:rPr>
                <w:rFonts w:cs="Arial"/>
                <w:bCs/>
                <w:color w:val="000000" w:themeColor="text1"/>
                <w:sz w:val="22"/>
                <w:szCs w:val="22"/>
              </w:rPr>
              <w:t>Output number per LF</w:t>
            </w:r>
          </w:p>
        </w:tc>
        <w:tc>
          <w:tcPr>
            <w:tcW w:w="1977" w:type="dxa"/>
          </w:tcPr>
          <w:p w14:paraId="691B24DF" w14:textId="77777777" w:rsidR="00746853" w:rsidRPr="00581E6D" w:rsidRDefault="00A01BDE" w:rsidP="00E81F52">
            <w:pPr>
              <w:contextualSpacing/>
              <w:rPr>
                <w:rFonts w:cs="Arial"/>
                <w:color w:val="000000" w:themeColor="text1"/>
                <w:sz w:val="22"/>
                <w:szCs w:val="22"/>
              </w:rPr>
            </w:pPr>
            <w:r w:rsidRPr="00581E6D">
              <w:rPr>
                <w:rFonts w:cs="Arial"/>
                <w:color w:val="000000" w:themeColor="text1"/>
                <w:sz w:val="22"/>
                <w:szCs w:val="22"/>
              </w:rPr>
              <w:t>1</w:t>
            </w:r>
          </w:p>
        </w:tc>
        <w:tc>
          <w:tcPr>
            <w:tcW w:w="3055" w:type="dxa"/>
            <w:shd w:val="clear" w:color="auto" w:fill="DBE5F1" w:themeFill="accent1" w:themeFillTint="33"/>
          </w:tcPr>
          <w:p w14:paraId="51625E05" w14:textId="77777777" w:rsidR="00746853" w:rsidRPr="00581E6D" w:rsidRDefault="00746853" w:rsidP="00E81F52">
            <w:pPr>
              <w:contextualSpacing/>
              <w:rPr>
                <w:rFonts w:cs="Arial"/>
                <w:b/>
                <w:color w:val="000000" w:themeColor="text1"/>
                <w:sz w:val="22"/>
                <w:szCs w:val="22"/>
              </w:rPr>
            </w:pPr>
            <w:r w:rsidRPr="00581E6D">
              <w:rPr>
                <w:rFonts w:cs="Arial"/>
                <w:b/>
                <w:bCs/>
                <w:color w:val="000000" w:themeColor="text1"/>
                <w:sz w:val="22"/>
                <w:szCs w:val="22"/>
              </w:rPr>
              <w:t xml:space="preserve">Output Score </w:t>
            </w:r>
          </w:p>
        </w:tc>
        <w:tc>
          <w:tcPr>
            <w:tcW w:w="2087" w:type="dxa"/>
          </w:tcPr>
          <w:p w14:paraId="45BDCBF2" w14:textId="05B24ED6" w:rsidR="00746853" w:rsidRPr="00581E6D" w:rsidRDefault="00F75B19" w:rsidP="00E81F52">
            <w:pPr>
              <w:contextualSpacing/>
              <w:rPr>
                <w:rFonts w:cs="Arial"/>
                <w:b/>
                <w:bCs/>
                <w:color w:val="000000" w:themeColor="text1"/>
                <w:sz w:val="22"/>
                <w:szCs w:val="22"/>
              </w:rPr>
            </w:pPr>
            <w:r>
              <w:rPr>
                <w:rFonts w:cs="Arial"/>
                <w:b/>
                <w:bCs/>
                <w:color w:val="000000" w:themeColor="text1"/>
                <w:sz w:val="22"/>
                <w:szCs w:val="22"/>
              </w:rPr>
              <w:t>B</w:t>
            </w:r>
          </w:p>
        </w:tc>
      </w:tr>
      <w:tr w:rsidR="00DB7454" w:rsidRPr="00581E6D" w14:paraId="72A658FB" w14:textId="77777777" w:rsidTr="00322F2D">
        <w:trPr>
          <w:trHeight w:val="405"/>
        </w:trPr>
        <w:tc>
          <w:tcPr>
            <w:tcW w:w="3193" w:type="dxa"/>
            <w:gridSpan w:val="2"/>
            <w:shd w:val="clear" w:color="auto" w:fill="DBE5F1" w:themeFill="accent1" w:themeFillTint="33"/>
          </w:tcPr>
          <w:p w14:paraId="19C2E5DA" w14:textId="77777777" w:rsidR="001F43A7" w:rsidRPr="00581E6D" w:rsidRDefault="001F43A7" w:rsidP="00E81F52">
            <w:pPr>
              <w:contextualSpacing/>
              <w:rPr>
                <w:rFonts w:cs="Arial"/>
                <w:color w:val="000000" w:themeColor="text1"/>
                <w:sz w:val="22"/>
                <w:szCs w:val="22"/>
              </w:rPr>
            </w:pPr>
            <w:r w:rsidRPr="00581E6D">
              <w:rPr>
                <w:rFonts w:cs="Arial"/>
                <w:bCs/>
                <w:color w:val="000000" w:themeColor="text1"/>
                <w:sz w:val="22"/>
                <w:szCs w:val="22"/>
              </w:rPr>
              <w:t>Risk:</w:t>
            </w:r>
            <w:r w:rsidR="003E02DC" w:rsidRPr="00581E6D">
              <w:rPr>
                <w:rFonts w:cs="Arial"/>
                <w:bCs/>
                <w:color w:val="000000" w:themeColor="text1"/>
                <w:sz w:val="22"/>
                <w:szCs w:val="22"/>
              </w:rPr>
              <w:t xml:space="preserve"> </w:t>
            </w:r>
          </w:p>
        </w:tc>
        <w:tc>
          <w:tcPr>
            <w:tcW w:w="1977" w:type="dxa"/>
          </w:tcPr>
          <w:p w14:paraId="64F89B22" w14:textId="6769F32D" w:rsidR="001F43A7" w:rsidRPr="00581E6D" w:rsidRDefault="00A72A37" w:rsidP="00E81F52">
            <w:pPr>
              <w:contextualSpacing/>
              <w:rPr>
                <w:rFonts w:cs="Arial"/>
                <w:bCs/>
                <w:i/>
                <w:color w:val="000000" w:themeColor="text1"/>
                <w:sz w:val="22"/>
                <w:szCs w:val="22"/>
              </w:rPr>
            </w:pPr>
            <w:r>
              <w:rPr>
                <w:rFonts w:cs="Arial"/>
                <w:color w:val="000000" w:themeColor="text1"/>
                <w:sz w:val="22"/>
                <w:szCs w:val="22"/>
              </w:rPr>
              <w:t>Major</w:t>
            </w:r>
          </w:p>
        </w:tc>
        <w:tc>
          <w:tcPr>
            <w:tcW w:w="3055" w:type="dxa"/>
            <w:shd w:val="clear" w:color="auto" w:fill="DBE5F1" w:themeFill="accent1" w:themeFillTint="33"/>
          </w:tcPr>
          <w:p w14:paraId="3064575F" w14:textId="77777777" w:rsidR="001F43A7" w:rsidRPr="00581E6D" w:rsidRDefault="001F43A7" w:rsidP="00E81F52">
            <w:pPr>
              <w:contextualSpacing/>
              <w:rPr>
                <w:rFonts w:cs="Arial"/>
                <w:bCs/>
                <w:color w:val="000000" w:themeColor="text1"/>
                <w:sz w:val="22"/>
                <w:szCs w:val="22"/>
              </w:rPr>
            </w:pPr>
            <w:r w:rsidRPr="00581E6D">
              <w:rPr>
                <w:rFonts w:cs="Arial"/>
                <w:bCs/>
                <w:color w:val="000000" w:themeColor="text1"/>
                <w:sz w:val="22"/>
                <w:szCs w:val="22"/>
              </w:rPr>
              <w:t>Impact weighting (%):</w:t>
            </w:r>
          </w:p>
        </w:tc>
        <w:tc>
          <w:tcPr>
            <w:tcW w:w="2087" w:type="dxa"/>
          </w:tcPr>
          <w:p w14:paraId="1478A032" w14:textId="58C40198" w:rsidR="001F43A7" w:rsidRPr="00581E6D" w:rsidRDefault="00E466C8" w:rsidP="00E81F52">
            <w:pPr>
              <w:contextualSpacing/>
              <w:rPr>
                <w:rFonts w:cs="Arial"/>
                <w:color w:val="000000" w:themeColor="text1"/>
                <w:sz w:val="22"/>
                <w:szCs w:val="22"/>
              </w:rPr>
            </w:pPr>
            <w:r>
              <w:rPr>
                <w:rFonts w:cs="Arial"/>
                <w:color w:val="000000" w:themeColor="text1"/>
                <w:sz w:val="22"/>
                <w:szCs w:val="22"/>
              </w:rPr>
              <w:t>40%</w:t>
            </w:r>
          </w:p>
        </w:tc>
      </w:tr>
      <w:tr w:rsidR="00DB7454" w:rsidRPr="00581E6D" w14:paraId="70B3D5F8" w14:textId="77777777" w:rsidTr="00322F2D">
        <w:tc>
          <w:tcPr>
            <w:tcW w:w="3193" w:type="dxa"/>
            <w:gridSpan w:val="2"/>
            <w:shd w:val="clear" w:color="auto" w:fill="DBE5F1" w:themeFill="accent1" w:themeFillTint="33"/>
          </w:tcPr>
          <w:p w14:paraId="72B08593" w14:textId="77777777" w:rsidR="001F43A7" w:rsidRPr="00581E6D" w:rsidRDefault="001F43A7" w:rsidP="00E81F52">
            <w:pPr>
              <w:contextualSpacing/>
              <w:rPr>
                <w:rFonts w:cs="Arial"/>
                <w:color w:val="000000" w:themeColor="text1"/>
                <w:sz w:val="22"/>
                <w:szCs w:val="22"/>
              </w:rPr>
            </w:pPr>
            <w:r w:rsidRPr="00581E6D">
              <w:rPr>
                <w:rFonts w:cs="Arial"/>
                <w:bCs/>
                <w:color w:val="000000" w:themeColor="text1"/>
                <w:sz w:val="22"/>
                <w:szCs w:val="22"/>
              </w:rPr>
              <w:t xml:space="preserve">Risk revised since last AR? </w:t>
            </w:r>
          </w:p>
        </w:tc>
        <w:tc>
          <w:tcPr>
            <w:tcW w:w="1977" w:type="dxa"/>
          </w:tcPr>
          <w:p w14:paraId="4097A7C0" w14:textId="7B28E897" w:rsidR="001F43A7" w:rsidRPr="00F75B19" w:rsidRDefault="00563555" w:rsidP="0066694D">
            <w:pPr>
              <w:contextualSpacing/>
              <w:rPr>
                <w:rFonts w:cs="Arial"/>
                <w:bCs/>
                <w:color w:val="000000" w:themeColor="text1"/>
                <w:sz w:val="22"/>
                <w:szCs w:val="22"/>
              </w:rPr>
            </w:pPr>
            <w:r>
              <w:rPr>
                <w:rFonts w:cs="Arial"/>
                <w:bCs/>
                <w:color w:val="000000" w:themeColor="text1"/>
                <w:sz w:val="22"/>
                <w:szCs w:val="22"/>
              </w:rPr>
              <w:t>Y</w:t>
            </w:r>
            <w:r w:rsidR="00A72A37">
              <w:rPr>
                <w:rFonts w:cs="Arial"/>
                <w:bCs/>
                <w:color w:val="000000" w:themeColor="text1"/>
                <w:sz w:val="22"/>
                <w:szCs w:val="22"/>
              </w:rPr>
              <w:t>es</w:t>
            </w:r>
          </w:p>
        </w:tc>
        <w:tc>
          <w:tcPr>
            <w:tcW w:w="3055" w:type="dxa"/>
            <w:shd w:val="clear" w:color="auto" w:fill="DBE5F1" w:themeFill="accent1" w:themeFillTint="33"/>
          </w:tcPr>
          <w:p w14:paraId="150B43B3" w14:textId="77777777" w:rsidR="001F43A7" w:rsidRPr="00581E6D" w:rsidRDefault="001F43A7" w:rsidP="00E81F52">
            <w:pPr>
              <w:contextualSpacing/>
              <w:rPr>
                <w:rFonts w:cs="Arial"/>
                <w:bCs/>
                <w:color w:val="000000" w:themeColor="text1"/>
                <w:sz w:val="22"/>
                <w:szCs w:val="22"/>
              </w:rPr>
            </w:pPr>
            <w:r w:rsidRPr="00581E6D">
              <w:rPr>
                <w:rFonts w:cs="Arial"/>
                <w:bCs/>
                <w:color w:val="000000" w:themeColor="text1"/>
                <w:sz w:val="22"/>
                <w:szCs w:val="22"/>
              </w:rPr>
              <w:t xml:space="preserve">Impact weighting % revised since last AR? </w:t>
            </w:r>
          </w:p>
        </w:tc>
        <w:tc>
          <w:tcPr>
            <w:tcW w:w="2087" w:type="dxa"/>
          </w:tcPr>
          <w:p w14:paraId="6C30E06C" w14:textId="11AFAFDC" w:rsidR="001F43A7" w:rsidRPr="00581E6D" w:rsidRDefault="0066694D" w:rsidP="00E81F52">
            <w:pPr>
              <w:contextualSpacing/>
              <w:rPr>
                <w:rFonts w:cs="Arial"/>
                <w:bCs/>
                <w:color w:val="000000" w:themeColor="text1"/>
                <w:sz w:val="22"/>
                <w:szCs w:val="22"/>
              </w:rPr>
            </w:pPr>
            <w:r>
              <w:rPr>
                <w:rFonts w:cs="Arial"/>
                <w:bCs/>
                <w:color w:val="000000" w:themeColor="text1"/>
                <w:sz w:val="22"/>
                <w:szCs w:val="22"/>
              </w:rPr>
              <w:t>Last revised 2018</w:t>
            </w:r>
          </w:p>
          <w:p w14:paraId="2A1E8A7E" w14:textId="77777777" w:rsidR="001F43A7" w:rsidRPr="00581E6D" w:rsidRDefault="001F43A7" w:rsidP="00E81F52">
            <w:pPr>
              <w:contextualSpacing/>
              <w:rPr>
                <w:rFonts w:cs="Arial"/>
                <w:color w:val="000000" w:themeColor="text1"/>
                <w:sz w:val="22"/>
                <w:szCs w:val="22"/>
              </w:rPr>
            </w:pPr>
          </w:p>
        </w:tc>
      </w:tr>
    </w:tbl>
    <w:tbl>
      <w:tblPr>
        <w:tblStyle w:val="TableGrid"/>
        <w:tblpPr w:leftFromText="180" w:rightFromText="180" w:vertAnchor="text" w:horzAnchor="margin" w:tblpXSpec="right" w:tblpY="51"/>
        <w:tblOverlap w:val="never"/>
        <w:tblW w:w="10308" w:type="dxa"/>
        <w:tblLook w:val="04A0" w:firstRow="1" w:lastRow="0" w:firstColumn="1" w:lastColumn="0" w:noHBand="0" w:noVBand="1"/>
      </w:tblPr>
      <w:tblGrid>
        <w:gridCol w:w="2235"/>
        <w:gridCol w:w="1984"/>
        <w:gridCol w:w="6089"/>
      </w:tblGrid>
      <w:tr w:rsidR="006340A7" w:rsidRPr="00581E6D" w14:paraId="1760973D" w14:textId="77777777" w:rsidTr="005C6CE1">
        <w:trPr>
          <w:trHeight w:val="273"/>
        </w:trPr>
        <w:tc>
          <w:tcPr>
            <w:tcW w:w="2235" w:type="dxa"/>
            <w:shd w:val="clear" w:color="auto" w:fill="DBE5F1" w:themeFill="accent1" w:themeFillTint="33"/>
          </w:tcPr>
          <w:p w14:paraId="3E246EE6" w14:textId="77777777" w:rsidR="006340A7" w:rsidRPr="00581E6D" w:rsidRDefault="006340A7" w:rsidP="006340A7">
            <w:pPr>
              <w:contextualSpacing/>
              <w:rPr>
                <w:rFonts w:cs="Arial"/>
                <w:b/>
                <w:bCs/>
                <w:color w:val="000000" w:themeColor="text1"/>
                <w:sz w:val="22"/>
                <w:szCs w:val="22"/>
              </w:rPr>
            </w:pPr>
            <w:r w:rsidRPr="00581E6D">
              <w:rPr>
                <w:rFonts w:cs="Arial"/>
                <w:b/>
                <w:bCs/>
                <w:color w:val="000000" w:themeColor="text1"/>
                <w:sz w:val="22"/>
                <w:szCs w:val="22"/>
              </w:rPr>
              <w:t>Indicator(s)</w:t>
            </w:r>
          </w:p>
        </w:tc>
        <w:tc>
          <w:tcPr>
            <w:tcW w:w="1984" w:type="dxa"/>
            <w:shd w:val="clear" w:color="auto" w:fill="DBE5F1" w:themeFill="accent1" w:themeFillTint="33"/>
          </w:tcPr>
          <w:p w14:paraId="16BF454C" w14:textId="77777777" w:rsidR="006340A7" w:rsidRPr="00581E6D" w:rsidRDefault="006340A7" w:rsidP="006340A7">
            <w:pPr>
              <w:contextualSpacing/>
              <w:rPr>
                <w:rFonts w:cs="Arial"/>
                <w:b/>
                <w:bCs/>
                <w:color w:val="000000" w:themeColor="text1"/>
                <w:sz w:val="22"/>
                <w:szCs w:val="22"/>
              </w:rPr>
            </w:pPr>
            <w:r w:rsidRPr="00581E6D">
              <w:rPr>
                <w:rFonts w:cs="Arial"/>
                <w:b/>
                <w:bCs/>
                <w:color w:val="000000" w:themeColor="text1"/>
                <w:sz w:val="22"/>
                <w:szCs w:val="22"/>
              </w:rPr>
              <w:t>Milestones</w:t>
            </w:r>
          </w:p>
        </w:tc>
        <w:tc>
          <w:tcPr>
            <w:tcW w:w="6089" w:type="dxa"/>
            <w:shd w:val="clear" w:color="auto" w:fill="DBE5F1" w:themeFill="accent1" w:themeFillTint="33"/>
          </w:tcPr>
          <w:p w14:paraId="42D242FC" w14:textId="77777777" w:rsidR="006340A7" w:rsidRPr="00581E6D" w:rsidRDefault="006340A7" w:rsidP="006340A7">
            <w:pPr>
              <w:contextualSpacing/>
              <w:rPr>
                <w:rFonts w:cs="Arial"/>
                <w:b/>
                <w:bCs/>
                <w:color w:val="000000" w:themeColor="text1"/>
                <w:sz w:val="22"/>
                <w:szCs w:val="22"/>
              </w:rPr>
            </w:pPr>
            <w:r w:rsidRPr="00581E6D">
              <w:rPr>
                <w:rFonts w:cs="Arial"/>
                <w:b/>
                <w:bCs/>
                <w:color w:val="000000" w:themeColor="text1"/>
                <w:sz w:val="22"/>
                <w:szCs w:val="22"/>
              </w:rPr>
              <w:t xml:space="preserve">Progress </w:t>
            </w:r>
          </w:p>
        </w:tc>
      </w:tr>
      <w:tr w:rsidR="006340A7" w:rsidRPr="00581E6D" w14:paraId="4E062DB9" w14:textId="77777777" w:rsidTr="005523AE">
        <w:trPr>
          <w:trHeight w:val="1128"/>
        </w:trPr>
        <w:tc>
          <w:tcPr>
            <w:tcW w:w="2235" w:type="dxa"/>
            <w:vAlign w:val="center"/>
          </w:tcPr>
          <w:p w14:paraId="05BFACD4" w14:textId="2DC547D6" w:rsidR="00F2753C" w:rsidRPr="00581E6D" w:rsidRDefault="00C2479F" w:rsidP="005523AE">
            <w:pPr>
              <w:contextualSpacing/>
              <w:rPr>
                <w:rFonts w:cs="Arial"/>
                <w:bCs/>
                <w:color w:val="000000" w:themeColor="text1"/>
                <w:sz w:val="22"/>
                <w:szCs w:val="22"/>
              </w:rPr>
            </w:pPr>
            <w:r>
              <w:rPr>
                <w:rFonts w:cs="Arial"/>
                <w:bCs/>
                <w:color w:val="000000" w:themeColor="text1"/>
                <w:sz w:val="22"/>
                <w:szCs w:val="22"/>
              </w:rPr>
              <w:t>1.1 Number of ERPAs negotiated and agreed</w:t>
            </w:r>
            <w:r w:rsidR="0057622E">
              <w:rPr>
                <w:rFonts w:cs="Arial"/>
                <w:bCs/>
                <w:color w:val="000000" w:themeColor="text1"/>
                <w:sz w:val="22"/>
                <w:szCs w:val="22"/>
              </w:rPr>
              <w:t xml:space="preserve"> (fund wide)</w:t>
            </w:r>
          </w:p>
        </w:tc>
        <w:tc>
          <w:tcPr>
            <w:tcW w:w="1984" w:type="dxa"/>
            <w:vAlign w:val="center"/>
          </w:tcPr>
          <w:p w14:paraId="629BAC80" w14:textId="7ED78AF2" w:rsidR="00DA4AD1" w:rsidRPr="0066694D" w:rsidRDefault="00DA4AD1" w:rsidP="005523AE">
            <w:pPr>
              <w:contextualSpacing/>
              <w:rPr>
                <w:rFonts w:cs="Arial"/>
                <w:color w:val="000000" w:themeColor="text1"/>
                <w:sz w:val="22"/>
                <w:szCs w:val="22"/>
              </w:rPr>
            </w:pPr>
            <w:r w:rsidRPr="0066694D">
              <w:rPr>
                <w:rFonts w:cs="Arial"/>
                <w:color w:val="000000" w:themeColor="text1"/>
                <w:sz w:val="22"/>
                <w:szCs w:val="22"/>
              </w:rPr>
              <w:t>201</w:t>
            </w:r>
            <w:r w:rsidR="005376F7" w:rsidRPr="0066694D">
              <w:rPr>
                <w:rFonts w:cs="Arial"/>
                <w:color w:val="000000" w:themeColor="text1"/>
                <w:sz w:val="22"/>
                <w:szCs w:val="22"/>
              </w:rPr>
              <w:t>8</w:t>
            </w:r>
            <w:r w:rsidRPr="0066694D">
              <w:rPr>
                <w:rFonts w:cs="Arial"/>
                <w:color w:val="000000" w:themeColor="text1"/>
                <w:sz w:val="22"/>
                <w:szCs w:val="22"/>
              </w:rPr>
              <w:t>: 1</w:t>
            </w:r>
            <w:r w:rsidR="007E038E" w:rsidRPr="0066694D">
              <w:rPr>
                <w:rFonts w:cs="Arial"/>
                <w:color w:val="000000" w:themeColor="text1"/>
                <w:sz w:val="22"/>
                <w:szCs w:val="22"/>
              </w:rPr>
              <w:t>2</w:t>
            </w:r>
          </w:p>
          <w:p w14:paraId="2DFA5E53" w14:textId="373B250E" w:rsidR="0066694D" w:rsidRPr="00DA4AD1" w:rsidRDefault="0066694D" w:rsidP="005523AE">
            <w:pPr>
              <w:contextualSpacing/>
              <w:rPr>
                <w:rFonts w:cs="Arial"/>
                <w:b/>
                <w:bCs/>
                <w:color w:val="000000" w:themeColor="text1"/>
                <w:sz w:val="22"/>
                <w:szCs w:val="22"/>
              </w:rPr>
            </w:pPr>
            <w:r>
              <w:rPr>
                <w:rFonts w:cs="Arial"/>
                <w:b/>
                <w:bCs/>
                <w:color w:val="000000" w:themeColor="text1"/>
                <w:sz w:val="22"/>
                <w:szCs w:val="22"/>
              </w:rPr>
              <w:t>2019: 13</w:t>
            </w:r>
          </w:p>
          <w:p w14:paraId="56B8B3BC" w14:textId="6CF74D28" w:rsidR="00DA4AD1" w:rsidRPr="00581E6D" w:rsidRDefault="00DA4AD1" w:rsidP="005523AE">
            <w:pPr>
              <w:contextualSpacing/>
              <w:rPr>
                <w:rFonts w:cs="Arial"/>
                <w:bCs/>
                <w:color w:val="000000" w:themeColor="text1"/>
                <w:sz w:val="22"/>
                <w:szCs w:val="22"/>
              </w:rPr>
            </w:pPr>
            <w:r>
              <w:rPr>
                <w:rFonts w:cs="Arial"/>
                <w:bCs/>
                <w:color w:val="000000" w:themeColor="text1"/>
                <w:sz w:val="22"/>
                <w:szCs w:val="22"/>
              </w:rPr>
              <w:t>2025: 13</w:t>
            </w:r>
          </w:p>
        </w:tc>
        <w:tc>
          <w:tcPr>
            <w:tcW w:w="6089" w:type="dxa"/>
            <w:vAlign w:val="center"/>
          </w:tcPr>
          <w:p w14:paraId="3F557F6C" w14:textId="6B3596C6" w:rsidR="007E038E" w:rsidRPr="00581E6D" w:rsidRDefault="00866CFF" w:rsidP="008C22E9">
            <w:pPr>
              <w:contextualSpacing/>
              <w:rPr>
                <w:rFonts w:cs="Arial"/>
                <w:bCs/>
                <w:color w:val="000000" w:themeColor="text1"/>
                <w:sz w:val="22"/>
                <w:szCs w:val="22"/>
                <w:lang w:eastAsia="en-GB"/>
              </w:rPr>
            </w:pPr>
            <w:r>
              <w:rPr>
                <w:rFonts w:cs="Arial"/>
                <w:b/>
                <w:bCs/>
                <w:color w:val="000000" w:themeColor="text1"/>
                <w:sz w:val="22"/>
                <w:szCs w:val="22"/>
                <w:lang w:eastAsia="en-GB"/>
              </w:rPr>
              <w:t>Achieved: 13.</w:t>
            </w:r>
            <w:r w:rsidR="004829E5">
              <w:rPr>
                <w:rFonts w:cs="Arial"/>
                <w:bCs/>
                <w:color w:val="000000" w:themeColor="text1"/>
                <w:sz w:val="22"/>
                <w:szCs w:val="22"/>
                <w:lang w:eastAsia="en-GB"/>
              </w:rPr>
              <w:t xml:space="preserve"> The 1</w:t>
            </w:r>
            <w:r w:rsidR="001313DD">
              <w:rPr>
                <w:rFonts w:cs="Arial"/>
                <w:bCs/>
                <w:color w:val="000000" w:themeColor="text1"/>
                <w:sz w:val="22"/>
                <w:szCs w:val="22"/>
                <w:lang w:eastAsia="en-GB"/>
              </w:rPr>
              <w:t>3</w:t>
            </w:r>
            <w:r w:rsidR="001313DD" w:rsidRPr="001313DD">
              <w:rPr>
                <w:rFonts w:cs="Arial"/>
                <w:bCs/>
                <w:color w:val="000000" w:themeColor="text1"/>
                <w:sz w:val="22"/>
                <w:szCs w:val="22"/>
                <w:vertAlign w:val="superscript"/>
                <w:lang w:eastAsia="en-GB"/>
              </w:rPr>
              <w:t>th</w:t>
            </w:r>
            <w:r w:rsidR="001313DD">
              <w:rPr>
                <w:rFonts w:cs="Arial"/>
                <w:bCs/>
                <w:color w:val="000000" w:themeColor="text1"/>
                <w:sz w:val="22"/>
                <w:szCs w:val="22"/>
                <w:lang w:eastAsia="en-GB"/>
              </w:rPr>
              <w:t xml:space="preserve"> and final ERPA (Lao PDR Cookstoves)</w:t>
            </w:r>
            <w:r w:rsidR="004829E5">
              <w:rPr>
                <w:rFonts w:cs="Arial"/>
                <w:bCs/>
                <w:color w:val="000000" w:themeColor="text1"/>
                <w:sz w:val="22"/>
                <w:szCs w:val="22"/>
                <w:lang w:eastAsia="en-GB"/>
              </w:rPr>
              <w:t xml:space="preserve"> was signed in </w:t>
            </w:r>
            <w:r w:rsidR="00F01F11">
              <w:rPr>
                <w:rFonts w:cs="Arial"/>
                <w:bCs/>
                <w:color w:val="000000" w:themeColor="text1"/>
                <w:sz w:val="22"/>
                <w:szCs w:val="22"/>
                <w:lang w:eastAsia="en-GB"/>
              </w:rPr>
              <w:t>August 2019</w:t>
            </w:r>
            <w:r w:rsidR="004829E5">
              <w:rPr>
                <w:rFonts w:cs="Arial"/>
                <w:bCs/>
                <w:color w:val="000000" w:themeColor="text1"/>
                <w:sz w:val="22"/>
                <w:szCs w:val="22"/>
                <w:lang w:eastAsia="en-GB"/>
              </w:rPr>
              <w:t xml:space="preserve">. </w:t>
            </w:r>
          </w:p>
        </w:tc>
      </w:tr>
      <w:tr w:rsidR="006340A7" w:rsidRPr="00581E6D" w14:paraId="343FE1B2" w14:textId="77777777" w:rsidTr="005C6CE1">
        <w:tc>
          <w:tcPr>
            <w:tcW w:w="2235" w:type="dxa"/>
            <w:vAlign w:val="center"/>
          </w:tcPr>
          <w:p w14:paraId="62714862" w14:textId="74F40AEB" w:rsidR="006340A7" w:rsidRPr="00581E6D" w:rsidRDefault="00DA4AD1" w:rsidP="005523AE">
            <w:pPr>
              <w:contextualSpacing/>
              <w:rPr>
                <w:rFonts w:cs="Arial"/>
                <w:bCs/>
                <w:color w:val="000000" w:themeColor="text1"/>
                <w:sz w:val="22"/>
                <w:szCs w:val="22"/>
              </w:rPr>
            </w:pPr>
            <w:r>
              <w:rPr>
                <w:rFonts w:cs="Arial"/>
                <w:bCs/>
                <w:color w:val="000000" w:themeColor="text1"/>
                <w:sz w:val="22"/>
                <w:szCs w:val="22"/>
              </w:rPr>
              <w:t>1.2 Median % of energy access technologies distributed annually</w:t>
            </w:r>
            <w:r w:rsidR="001A0086">
              <w:rPr>
                <w:rFonts w:cs="Arial"/>
                <w:bCs/>
                <w:color w:val="000000" w:themeColor="text1"/>
                <w:sz w:val="22"/>
                <w:szCs w:val="22"/>
              </w:rPr>
              <w:t xml:space="preserve"> compared to annual forecast</w:t>
            </w:r>
          </w:p>
        </w:tc>
        <w:tc>
          <w:tcPr>
            <w:tcW w:w="1984" w:type="dxa"/>
            <w:vAlign w:val="center"/>
          </w:tcPr>
          <w:p w14:paraId="69305357" w14:textId="40CD3121" w:rsidR="00DA4AD1" w:rsidRPr="0066694D" w:rsidRDefault="00DA4AD1" w:rsidP="005523AE">
            <w:pPr>
              <w:contextualSpacing/>
              <w:rPr>
                <w:rFonts w:cs="Arial"/>
                <w:color w:val="000000" w:themeColor="text1"/>
                <w:sz w:val="22"/>
                <w:szCs w:val="22"/>
              </w:rPr>
            </w:pPr>
            <w:r w:rsidRPr="0066694D">
              <w:rPr>
                <w:rFonts w:cs="Arial"/>
                <w:color w:val="000000" w:themeColor="text1"/>
                <w:sz w:val="22"/>
                <w:szCs w:val="22"/>
              </w:rPr>
              <w:t>201</w:t>
            </w:r>
            <w:r w:rsidR="005376F7" w:rsidRPr="0066694D">
              <w:rPr>
                <w:rFonts w:cs="Arial"/>
                <w:color w:val="000000" w:themeColor="text1"/>
                <w:sz w:val="22"/>
                <w:szCs w:val="22"/>
              </w:rPr>
              <w:t>8</w:t>
            </w:r>
            <w:r w:rsidRPr="0066694D">
              <w:rPr>
                <w:rFonts w:cs="Arial"/>
                <w:color w:val="000000" w:themeColor="text1"/>
                <w:sz w:val="22"/>
                <w:szCs w:val="22"/>
              </w:rPr>
              <w:t>:</w:t>
            </w:r>
            <w:r w:rsidR="00C32F60" w:rsidRPr="0066694D">
              <w:rPr>
                <w:rFonts w:cs="Arial"/>
                <w:color w:val="000000" w:themeColor="text1"/>
                <w:sz w:val="22"/>
                <w:szCs w:val="22"/>
              </w:rPr>
              <w:t xml:space="preserve"> 80%</w:t>
            </w:r>
          </w:p>
          <w:p w14:paraId="4834A4D3" w14:textId="2593522C" w:rsidR="0066694D" w:rsidRPr="00F75B19" w:rsidRDefault="0066694D" w:rsidP="005523AE">
            <w:pPr>
              <w:contextualSpacing/>
              <w:rPr>
                <w:rFonts w:cs="Arial"/>
                <w:b/>
                <w:color w:val="000000" w:themeColor="text1"/>
                <w:sz w:val="22"/>
                <w:szCs w:val="22"/>
              </w:rPr>
            </w:pPr>
            <w:r w:rsidRPr="00F75B19">
              <w:rPr>
                <w:rFonts w:cs="Arial"/>
                <w:b/>
                <w:color w:val="000000" w:themeColor="text1"/>
                <w:sz w:val="22"/>
                <w:szCs w:val="22"/>
              </w:rPr>
              <w:t>2019:</w:t>
            </w:r>
            <w:r w:rsidR="001313DD" w:rsidRPr="00F75B19">
              <w:rPr>
                <w:rFonts w:cs="Arial"/>
                <w:b/>
                <w:color w:val="000000" w:themeColor="text1"/>
                <w:sz w:val="22"/>
                <w:szCs w:val="22"/>
              </w:rPr>
              <w:t xml:space="preserve"> 80%</w:t>
            </w:r>
          </w:p>
          <w:p w14:paraId="2224768A" w14:textId="730955FC" w:rsidR="00DA4AD1" w:rsidRPr="00581E6D" w:rsidRDefault="00DA4AD1" w:rsidP="005523AE">
            <w:pPr>
              <w:contextualSpacing/>
              <w:rPr>
                <w:rFonts w:cs="Arial"/>
                <w:bCs/>
                <w:color w:val="000000" w:themeColor="text1"/>
                <w:sz w:val="22"/>
                <w:szCs w:val="22"/>
              </w:rPr>
            </w:pPr>
            <w:r>
              <w:rPr>
                <w:rFonts w:cs="Arial"/>
                <w:bCs/>
                <w:color w:val="000000" w:themeColor="text1"/>
                <w:sz w:val="22"/>
                <w:szCs w:val="22"/>
              </w:rPr>
              <w:t>2025:</w:t>
            </w:r>
            <w:r w:rsidR="00C32F60">
              <w:rPr>
                <w:rFonts w:cs="Arial"/>
                <w:bCs/>
                <w:color w:val="000000" w:themeColor="text1"/>
                <w:sz w:val="22"/>
                <w:szCs w:val="22"/>
              </w:rPr>
              <w:t xml:space="preserve"> 80%</w:t>
            </w:r>
          </w:p>
        </w:tc>
        <w:tc>
          <w:tcPr>
            <w:tcW w:w="6089" w:type="dxa"/>
            <w:vAlign w:val="center"/>
          </w:tcPr>
          <w:p w14:paraId="34477428" w14:textId="01E62019" w:rsidR="00E22782" w:rsidRPr="00452ED8" w:rsidRDefault="00866CFF" w:rsidP="005523AE">
            <w:pPr>
              <w:contextualSpacing/>
              <w:rPr>
                <w:rFonts w:cs="Arial"/>
                <w:bCs/>
                <w:color w:val="000000" w:themeColor="text1"/>
                <w:sz w:val="22"/>
                <w:szCs w:val="22"/>
              </w:rPr>
            </w:pPr>
            <w:r>
              <w:rPr>
                <w:rFonts w:cs="Arial"/>
                <w:b/>
                <w:bCs/>
                <w:color w:val="000000" w:themeColor="text1"/>
                <w:sz w:val="22"/>
                <w:szCs w:val="22"/>
              </w:rPr>
              <w:t>Missed: 46%.</w:t>
            </w:r>
            <w:r w:rsidR="000C2A37">
              <w:rPr>
                <w:rFonts w:cs="Arial"/>
                <w:b/>
                <w:bCs/>
                <w:color w:val="000000" w:themeColor="text1"/>
                <w:sz w:val="22"/>
                <w:szCs w:val="22"/>
              </w:rPr>
              <w:t xml:space="preserve"> </w:t>
            </w:r>
            <w:r w:rsidR="009F4474">
              <w:rPr>
                <w:rFonts w:cs="Arial"/>
                <w:bCs/>
                <w:color w:val="000000" w:themeColor="text1"/>
                <w:sz w:val="22"/>
                <w:szCs w:val="22"/>
              </w:rPr>
              <w:t>T</w:t>
            </w:r>
            <w:r w:rsidR="001313DD">
              <w:rPr>
                <w:rFonts w:cs="Arial"/>
                <w:bCs/>
                <w:color w:val="000000" w:themeColor="text1"/>
                <w:sz w:val="22"/>
                <w:szCs w:val="22"/>
              </w:rPr>
              <w:t>his continues a shortfall in distribution of energy access technology rates.</w:t>
            </w:r>
          </w:p>
        </w:tc>
      </w:tr>
      <w:tr w:rsidR="00384694" w:rsidRPr="00581E6D" w14:paraId="08AB3730" w14:textId="77777777" w:rsidTr="005C6CE1">
        <w:tc>
          <w:tcPr>
            <w:tcW w:w="2235" w:type="dxa"/>
            <w:vAlign w:val="center"/>
          </w:tcPr>
          <w:p w14:paraId="3586DDEB" w14:textId="514B1ACB" w:rsidR="00384694" w:rsidRPr="00581E6D" w:rsidRDefault="00DA4AD1" w:rsidP="005523AE">
            <w:pPr>
              <w:contextualSpacing/>
              <w:rPr>
                <w:rFonts w:cs="Arial"/>
                <w:bCs/>
                <w:color w:val="000000" w:themeColor="text1"/>
                <w:sz w:val="22"/>
                <w:szCs w:val="22"/>
              </w:rPr>
            </w:pPr>
            <w:r>
              <w:rPr>
                <w:rFonts w:cs="Arial"/>
                <w:bCs/>
                <w:color w:val="000000" w:themeColor="text1"/>
                <w:sz w:val="22"/>
                <w:szCs w:val="22"/>
              </w:rPr>
              <w:t>1.3 Mean % of MtCO2e reductions realised annually</w:t>
            </w:r>
            <w:r w:rsidR="006F2FF1">
              <w:rPr>
                <w:rFonts w:cs="Arial"/>
                <w:bCs/>
                <w:color w:val="000000" w:themeColor="text1"/>
                <w:sz w:val="22"/>
                <w:szCs w:val="22"/>
              </w:rPr>
              <w:t xml:space="preserve"> </w:t>
            </w:r>
            <w:r w:rsidR="001A0086">
              <w:rPr>
                <w:rFonts w:cs="Arial"/>
                <w:bCs/>
                <w:color w:val="000000" w:themeColor="text1"/>
                <w:sz w:val="22"/>
                <w:szCs w:val="22"/>
              </w:rPr>
              <w:t>compared to annual forecast</w:t>
            </w:r>
          </w:p>
        </w:tc>
        <w:tc>
          <w:tcPr>
            <w:tcW w:w="1984" w:type="dxa"/>
            <w:vAlign w:val="center"/>
          </w:tcPr>
          <w:p w14:paraId="53F26A5E" w14:textId="672A39C0" w:rsidR="00DA4AD1" w:rsidRPr="0066694D" w:rsidRDefault="00DA4AD1" w:rsidP="005523AE">
            <w:pPr>
              <w:contextualSpacing/>
              <w:rPr>
                <w:rFonts w:cs="Arial"/>
                <w:color w:val="000000" w:themeColor="text1"/>
                <w:sz w:val="22"/>
                <w:szCs w:val="22"/>
              </w:rPr>
            </w:pPr>
            <w:r w:rsidRPr="0066694D">
              <w:rPr>
                <w:rFonts w:cs="Arial"/>
                <w:color w:val="000000" w:themeColor="text1"/>
                <w:sz w:val="22"/>
                <w:szCs w:val="22"/>
              </w:rPr>
              <w:t>201</w:t>
            </w:r>
            <w:r w:rsidR="005376F7" w:rsidRPr="0066694D">
              <w:rPr>
                <w:rFonts w:cs="Arial"/>
                <w:color w:val="000000" w:themeColor="text1"/>
                <w:sz w:val="22"/>
                <w:szCs w:val="22"/>
              </w:rPr>
              <w:t>8</w:t>
            </w:r>
            <w:r w:rsidRPr="0066694D">
              <w:rPr>
                <w:rFonts w:cs="Arial"/>
                <w:color w:val="000000" w:themeColor="text1"/>
                <w:sz w:val="22"/>
                <w:szCs w:val="22"/>
              </w:rPr>
              <w:t>:</w:t>
            </w:r>
            <w:r w:rsidR="00C32F60" w:rsidRPr="0066694D">
              <w:rPr>
                <w:rFonts w:cs="Arial"/>
                <w:color w:val="000000" w:themeColor="text1"/>
                <w:sz w:val="22"/>
                <w:szCs w:val="22"/>
              </w:rPr>
              <w:t xml:space="preserve"> 80%</w:t>
            </w:r>
          </w:p>
          <w:p w14:paraId="7374EE47" w14:textId="27446DBB" w:rsidR="0066694D" w:rsidRPr="00F75B19" w:rsidRDefault="0066694D" w:rsidP="005523AE">
            <w:pPr>
              <w:contextualSpacing/>
              <w:rPr>
                <w:rFonts w:cs="Arial"/>
                <w:b/>
                <w:color w:val="000000" w:themeColor="text1"/>
                <w:sz w:val="22"/>
                <w:szCs w:val="22"/>
              </w:rPr>
            </w:pPr>
            <w:r w:rsidRPr="00F75B19">
              <w:rPr>
                <w:rFonts w:cs="Arial"/>
                <w:b/>
                <w:color w:val="000000" w:themeColor="text1"/>
                <w:sz w:val="22"/>
                <w:szCs w:val="22"/>
              </w:rPr>
              <w:t>2019:</w:t>
            </w:r>
            <w:r w:rsidR="00603E49" w:rsidRPr="00F75B19">
              <w:rPr>
                <w:rFonts w:cs="Arial"/>
                <w:b/>
                <w:color w:val="000000" w:themeColor="text1"/>
                <w:sz w:val="22"/>
                <w:szCs w:val="22"/>
              </w:rPr>
              <w:t xml:space="preserve"> 80%</w:t>
            </w:r>
          </w:p>
          <w:p w14:paraId="11FC4875" w14:textId="7FEE4909" w:rsidR="00384694" w:rsidRPr="00581E6D" w:rsidRDefault="00DA4AD1" w:rsidP="005523AE">
            <w:pPr>
              <w:contextualSpacing/>
              <w:rPr>
                <w:rFonts w:cs="Arial"/>
                <w:bCs/>
                <w:color w:val="000000" w:themeColor="text1"/>
                <w:sz w:val="22"/>
                <w:szCs w:val="22"/>
              </w:rPr>
            </w:pPr>
            <w:r>
              <w:rPr>
                <w:rFonts w:cs="Arial"/>
                <w:bCs/>
                <w:color w:val="000000" w:themeColor="text1"/>
                <w:sz w:val="22"/>
                <w:szCs w:val="22"/>
              </w:rPr>
              <w:t>2025:</w:t>
            </w:r>
            <w:r w:rsidR="00C32F60">
              <w:rPr>
                <w:rFonts w:cs="Arial"/>
                <w:bCs/>
                <w:color w:val="000000" w:themeColor="text1"/>
                <w:sz w:val="22"/>
                <w:szCs w:val="22"/>
              </w:rPr>
              <w:t xml:space="preserve"> 80%</w:t>
            </w:r>
          </w:p>
        </w:tc>
        <w:tc>
          <w:tcPr>
            <w:tcW w:w="6089" w:type="dxa"/>
            <w:vAlign w:val="center"/>
          </w:tcPr>
          <w:p w14:paraId="167459F1" w14:textId="4F86291C" w:rsidR="00384694" w:rsidRPr="00044E2A" w:rsidRDefault="00866CFF" w:rsidP="005523AE">
            <w:pPr>
              <w:contextualSpacing/>
              <w:rPr>
                <w:rFonts w:cs="Arial"/>
                <w:b/>
                <w:bCs/>
                <w:color w:val="000000" w:themeColor="text1"/>
                <w:sz w:val="22"/>
                <w:szCs w:val="22"/>
              </w:rPr>
            </w:pPr>
            <w:r>
              <w:rPr>
                <w:rFonts w:cs="Arial"/>
                <w:b/>
                <w:bCs/>
                <w:color w:val="000000" w:themeColor="text1"/>
                <w:sz w:val="22"/>
                <w:szCs w:val="22"/>
              </w:rPr>
              <w:t>Missed: 37%.</w:t>
            </w:r>
            <w:r w:rsidR="001313DD">
              <w:rPr>
                <w:rFonts w:cs="Arial"/>
                <w:bCs/>
                <w:color w:val="000000" w:themeColor="text1"/>
                <w:sz w:val="22"/>
                <w:szCs w:val="22"/>
              </w:rPr>
              <w:t xml:space="preserve"> Although an increase on last year’s achievement of 18%, this continues a shortfall in actual vs planned reductions</w:t>
            </w:r>
            <w:r w:rsidR="00044E2A" w:rsidRPr="00044E2A">
              <w:rPr>
                <w:rFonts w:cs="Arial"/>
                <w:bCs/>
                <w:color w:val="000000" w:themeColor="text1"/>
                <w:sz w:val="22"/>
                <w:szCs w:val="22"/>
              </w:rPr>
              <w:t>.</w:t>
            </w:r>
            <w:r w:rsidR="00044E2A" w:rsidRPr="00044E2A">
              <w:rPr>
                <w:rFonts w:cs="Arial"/>
                <w:b/>
                <w:bCs/>
                <w:color w:val="000000" w:themeColor="text1"/>
                <w:sz w:val="22"/>
                <w:szCs w:val="22"/>
              </w:rPr>
              <w:t xml:space="preserve"> </w:t>
            </w:r>
          </w:p>
        </w:tc>
      </w:tr>
      <w:tr w:rsidR="00384694" w:rsidRPr="00581E6D" w14:paraId="283C2486" w14:textId="77777777" w:rsidTr="005C6CE1">
        <w:tc>
          <w:tcPr>
            <w:tcW w:w="2235" w:type="dxa"/>
            <w:vAlign w:val="center"/>
          </w:tcPr>
          <w:p w14:paraId="6A9BD2E9" w14:textId="23DB063A" w:rsidR="00384694" w:rsidRPr="00581E6D" w:rsidRDefault="00DA4AD1" w:rsidP="005523AE">
            <w:pPr>
              <w:contextualSpacing/>
              <w:rPr>
                <w:rFonts w:cs="Arial"/>
                <w:bCs/>
                <w:color w:val="000000" w:themeColor="text1"/>
                <w:sz w:val="22"/>
                <w:szCs w:val="22"/>
              </w:rPr>
            </w:pPr>
            <w:r>
              <w:rPr>
                <w:rFonts w:cs="Arial"/>
                <w:bCs/>
                <w:color w:val="000000" w:themeColor="text1"/>
                <w:sz w:val="22"/>
                <w:szCs w:val="22"/>
              </w:rPr>
              <w:t>1.4</w:t>
            </w:r>
            <w:r w:rsidR="001A0086">
              <w:rPr>
                <w:rFonts w:cs="Arial"/>
                <w:bCs/>
                <w:color w:val="000000" w:themeColor="text1"/>
                <w:sz w:val="22"/>
                <w:szCs w:val="22"/>
              </w:rPr>
              <w:t xml:space="preserve"> </w:t>
            </w:r>
            <w:r>
              <w:rPr>
                <w:rFonts w:cs="Arial"/>
                <w:bCs/>
                <w:color w:val="000000" w:themeColor="text1"/>
                <w:sz w:val="22"/>
                <w:szCs w:val="22"/>
              </w:rPr>
              <w:t xml:space="preserve">% of </w:t>
            </w:r>
            <w:r w:rsidR="00B32A96">
              <w:rPr>
                <w:rFonts w:cs="Arial"/>
                <w:bCs/>
                <w:color w:val="000000" w:themeColor="text1"/>
                <w:sz w:val="22"/>
                <w:szCs w:val="22"/>
              </w:rPr>
              <w:t xml:space="preserve">in-year </w:t>
            </w:r>
            <w:r>
              <w:rPr>
                <w:rFonts w:cs="Arial"/>
                <w:bCs/>
                <w:color w:val="000000" w:themeColor="text1"/>
                <w:sz w:val="22"/>
                <w:szCs w:val="22"/>
              </w:rPr>
              <w:t>MtCO2e reductions from Ci-Dev projects submitted to UNFCC</w:t>
            </w:r>
            <w:r w:rsidR="00B32A96">
              <w:rPr>
                <w:rFonts w:cs="Arial"/>
                <w:bCs/>
                <w:color w:val="000000" w:themeColor="text1"/>
                <w:sz w:val="22"/>
                <w:szCs w:val="22"/>
              </w:rPr>
              <w:t>C</w:t>
            </w:r>
            <w:r>
              <w:rPr>
                <w:rFonts w:cs="Arial"/>
                <w:bCs/>
                <w:color w:val="000000" w:themeColor="text1"/>
                <w:sz w:val="22"/>
                <w:szCs w:val="22"/>
              </w:rPr>
              <w:t xml:space="preserve"> that are issued as CERs</w:t>
            </w:r>
          </w:p>
        </w:tc>
        <w:tc>
          <w:tcPr>
            <w:tcW w:w="1984" w:type="dxa"/>
            <w:vAlign w:val="center"/>
          </w:tcPr>
          <w:p w14:paraId="0E0EF082" w14:textId="6D31ED52" w:rsidR="00DA4AD1" w:rsidRPr="0066694D" w:rsidRDefault="00DA4AD1" w:rsidP="005523AE">
            <w:pPr>
              <w:contextualSpacing/>
              <w:rPr>
                <w:rFonts w:cs="Arial"/>
                <w:color w:val="000000" w:themeColor="text1"/>
                <w:sz w:val="22"/>
                <w:szCs w:val="22"/>
              </w:rPr>
            </w:pPr>
            <w:r w:rsidRPr="0066694D">
              <w:rPr>
                <w:rFonts w:cs="Arial"/>
                <w:color w:val="000000" w:themeColor="text1"/>
                <w:sz w:val="22"/>
                <w:szCs w:val="22"/>
              </w:rPr>
              <w:t>201</w:t>
            </w:r>
            <w:r w:rsidR="005376F7" w:rsidRPr="0066694D">
              <w:rPr>
                <w:rFonts w:cs="Arial"/>
                <w:color w:val="000000" w:themeColor="text1"/>
                <w:sz w:val="22"/>
                <w:szCs w:val="22"/>
              </w:rPr>
              <w:t>8</w:t>
            </w:r>
            <w:r w:rsidRPr="0066694D">
              <w:rPr>
                <w:rFonts w:cs="Arial"/>
                <w:color w:val="000000" w:themeColor="text1"/>
                <w:sz w:val="22"/>
                <w:szCs w:val="22"/>
              </w:rPr>
              <w:t>:</w:t>
            </w:r>
            <w:r w:rsidR="00F2490E" w:rsidRPr="0066694D">
              <w:rPr>
                <w:rFonts w:cs="Arial"/>
                <w:color w:val="000000" w:themeColor="text1"/>
                <w:sz w:val="22"/>
                <w:szCs w:val="22"/>
              </w:rPr>
              <w:t xml:space="preserve"> 6</w:t>
            </w:r>
            <w:r w:rsidR="001313DD">
              <w:rPr>
                <w:rFonts w:cs="Arial"/>
                <w:color w:val="000000" w:themeColor="text1"/>
                <w:sz w:val="22"/>
                <w:szCs w:val="22"/>
              </w:rPr>
              <w:t>0</w:t>
            </w:r>
            <w:r w:rsidR="00F2490E" w:rsidRPr="0066694D">
              <w:rPr>
                <w:rFonts w:cs="Arial"/>
                <w:color w:val="000000" w:themeColor="text1"/>
                <w:sz w:val="22"/>
                <w:szCs w:val="22"/>
              </w:rPr>
              <w:t>%</w:t>
            </w:r>
          </w:p>
          <w:p w14:paraId="4DD02991" w14:textId="79B84EFE" w:rsidR="0066694D" w:rsidRPr="00F75B19" w:rsidRDefault="0066694D" w:rsidP="005523AE">
            <w:pPr>
              <w:contextualSpacing/>
              <w:rPr>
                <w:rFonts w:cs="Arial"/>
                <w:b/>
                <w:color w:val="000000" w:themeColor="text1"/>
                <w:sz w:val="22"/>
                <w:szCs w:val="22"/>
              </w:rPr>
            </w:pPr>
            <w:r w:rsidRPr="00F75B19">
              <w:rPr>
                <w:rFonts w:cs="Arial"/>
                <w:b/>
                <w:color w:val="000000" w:themeColor="text1"/>
                <w:sz w:val="22"/>
                <w:szCs w:val="22"/>
              </w:rPr>
              <w:t>2019:</w:t>
            </w:r>
            <w:r w:rsidR="001313DD" w:rsidRPr="00F75B19">
              <w:rPr>
                <w:rFonts w:cs="Arial"/>
                <w:b/>
                <w:color w:val="000000" w:themeColor="text1"/>
                <w:sz w:val="22"/>
                <w:szCs w:val="22"/>
              </w:rPr>
              <w:t xml:space="preserve"> 65%</w:t>
            </w:r>
          </w:p>
          <w:p w14:paraId="76F7270F" w14:textId="74CB6384" w:rsidR="00384694" w:rsidRPr="00581E6D" w:rsidRDefault="00384694" w:rsidP="005523AE">
            <w:pPr>
              <w:contextualSpacing/>
              <w:rPr>
                <w:rFonts w:cs="Arial"/>
                <w:bCs/>
                <w:color w:val="000000" w:themeColor="text1"/>
                <w:sz w:val="22"/>
                <w:szCs w:val="22"/>
              </w:rPr>
            </w:pPr>
          </w:p>
        </w:tc>
        <w:tc>
          <w:tcPr>
            <w:tcW w:w="6089" w:type="dxa"/>
            <w:vAlign w:val="center"/>
          </w:tcPr>
          <w:p w14:paraId="02A2524E" w14:textId="722D3066" w:rsidR="00384694" w:rsidRPr="000223AB" w:rsidRDefault="00512093" w:rsidP="005523AE">
            <w:pPr>
              <w:contextualSpacing/>
              <w:rPr>
                <w:rFonts w:cs="Arial"/>
                <w:bCs/>
                <w:color w:val="000000" w:themeColor="text1"/>
                <w:sz w:val="22"/>
                <w:szCs w:val="22"/>
              </w:rPr>
            </w:pPr>
            <w:r>
              <w:rPr>
                <w:rFonts w:cs="Arial"/>
                <w:b/>
                <w:bCs/>
                <w:color w:val="000000" w:themeColor="text1"/>
                <w:sz w:val="22"/>
                <w:szCs w:val="22"/>
              </w:rPr>
              <w:t xml:space="preserve">Exceeding: </w:t>
            </w:r>
            <w:r w:rsidR="001313DD">
              <w:rPr>
                <w:rFonts w:cs="Arial"/>
                <w:b/>
                <w:bCs/>
                <w:color w:val="000000" w:themeColor="text1"/>
                <w:sz w:val="22"/>
                <w:szCs w:val="22"/>
              </w:rPr>
              <w:t>80</w:t>
            </w:r>
            <w:r w:rsidR="000223AB" w:rsidRPr="000223AB">
              <w:rPr>
                <w:rFonts w:cs="Arial"/>
                <w:b/>
                <w:bCs/>
                <w:color w:val="000000" w:themeColor="text1"/>
                <w:sz w:val="22"/>
                <w:szCs w:val="22"/>
              </w:rPr>
              <w:t>%.</w:t>
            </w:r>
            <w:r w:rsidR="000223AB">
              <w:rPr>
                <w:rFonts w:cs="Arial"/>
                <w:b/>
                <w:bCs/>
                <w:color w:val="000000" w:themeColor="text1"/>
                <w:sz w:val="22"/>
                <w:szCs w:val="22"/>
              </w:rPr>
              <w:t xml:space="preserve"> </w:t>
            </w:r>
            <w:r w:rsidR="00C64CF5">
              <w:rPr>
                <w:rFonts w:cs="Arial"/>
                <w:bCs/>
                <w:color w:val="000000" w:themeColor="text1"/>
                <w:sz w:val="22"/>
                <w:szCs w:val="22"/>
              </w:rPr>
              <w:t xml:space="preserve">Of </w:t>
            </w:r>
            <w:r w:rsidR="001313DD">
              <w:rPr>
                <w:rFonts w:cs="Arial"/>
                <w:bCs/>
                <w:color w:val="000000" w:themeColor="text1"/>
                <w:sz w:val="22"/>
                <w:szCs w:val="22"/>
              </w:rPr>
              <w:t>328</w:t>
            </w:r>
            <w:r w:rsidR="00C64CF5">
              <w:rPr>
                <w:rFonts w:cs="Arial"/>
                <w:bCs/>
                <w:color w:val="000000" w:themeColor="text1"/>
                <w:sz w:val="22"/>
                <w:szCs w:val="22"/>
              </w:rPr>
              <w:t xml:space="preserve">k </w:t>
            </w:r>
            <w:r w:rsidR="00CF49E0">
              <w:rPr>
                <w:rFonts w:cs="Arial"/>
                <w:bCs/>
                <w:color w:val="000000" w:themeColor="text1"/>
                <w:sz w:val="22"/>
                <w:szCs w:val="22"/>
              </w:rPr>
              <w:t xml:space="preserve">submitted units, </w:t>
            </w:r>
            <w:r w:rsidR="001313DD">
              <w:rPr>
                <w:rFonts w:cs="Arial"/>
                <w:bCs/>
                <w:color w:val="000000" w:themeColor="text1"/>
                <w:sz w:val="22"/>
                <w:szCs w:val="22"/>
              </w:rPr>
              <w:t>263</w:t>
            </w:r>
            <w:r w:rsidR="00CF49E0">
              <w:rPr>
                <w:rFonts w:cs="Arial"/>
                <w:bCs/>
                <w:color w:val="000000" w:themeColor="text1"/>
                <w:sz w:val="22"/>
                <w:szCs w:val="22"/>
              </w:rPr>
              <w:t>k were issued as CERs by the UNFCCC.</w:t>
            </w:r>
          </w:p>
        </w:tc>
      </w:tr>
      <w:tr w:rsidR="00384694" w:rsidRPr="00581E6D" w14:paraId="680D9947" w14:textId="77777777" w:rsidTr="005C6CE1">
        <w:tc>
          <w:tcPr>
            <w:tcW w:w="2235" w:type="dxa"/>
            <w:vAlign w:val="center"/>
          </w:tcPr>
          <w:p w14:paraId="5A6D1030" w14:textId="278A164F" w:rsidR="00384694" w:rsidRPr="00581E6D" w:rsidRDefault="00DA4AD1" w:rsidP="005523AE">
            <w:pPr>
              <w:contextualSpacing/>
              <w:rPr>
                <w:rFonts w:cs="Arial"/>
                <w:bCs/>
                <w:color w:val="000000" w:themeColor="text1"/>
                <w:sz w:val="22"/>
                <w:szCs w:val="22"/>
              </w:rPr>
            </w:pPr>
            <w:r>
              <w:rPr>
                <w:rFonts w:cs="Arial"/>
                <w:bCs/>
                <w:color w:val="000000" w:themeColor="text1"/>
                <w:sz w:val="22"/>
                <w:szCs w:val="22"/>
              </w:rPr>
              <w:t xml:space="preserve">1.5 </w:t>
            </w:r>
            <w:r w:rsidR="00E46133">
              <w:rPr>
                <w:rFonts w:cs="Arial"/>
                <w:bCs/>
                <w:color w:val="000000" w:themeColor="text1"/>
                <w:sz w:val="22"/>
                <w:szCs w:val="22"/>
              </w:rPr>
              <w:t>Number of Ci-Dev CERs a) issued; b) cancelled; c) sold</w:t>
            </w:r>
          </w:p>
        </w:tc>
        <w:tc>
          <w:tcPr>
            <w:tcW w:w="1984" w:type="dxa"/>
            <w:vAlign w:val="center"/>
          </w:tcPr>
          <w:p w14:paraId="2512E46B" w14:textId="1AB78413" w:rsidR="00384694" w:rsidRPr="00581E6D" w:rsidRDefault="00E46133" w:rsidP="005523AE">
            <w:pPr>
              <w:contextualSpacing/>
              <w:rPr>
                <w:rFonts w:cs="Arial"/>
                <w:bCs/>
                <w:color w:val="000000" w:themeColor="text1"/>
                <w:sz w:val="22"/>
                <w:szCs w:val="22"/>
              </w:rPr>
            </w:pPr>
            <w:r>
              <w:rPr>
                <w:rFonts w:cs="Arial"/>
                <w:bCs/>
                <w:color w:val="000000" w:themeColor="text1"/>
                <w:sz w:val="22"/>
                <w:szCs w:val="22"/>
              </w:rPr>
              <w:t>NOT SCORED</w:t>
            </w:r>
          </w:p>
        </w:tc>
        <w:tc>
          <w:tcPr>
            <w:tcW w:w="6089" w:type="dxa"/>
            <w:vAlign w:val="center"/>
          </w:tcPr>
          <w:p w14:paraId="4AB0512B" w14:textId="6C2144A5" w:rsidR="00603E49" w:rsidRPr="00603E49" w:rsidRDefault="00603E49" w:rsidP="00673030">
            <w:pPr>
              <w:pStyle w:val="ListParagraph"/>
              <w:numPr>
                <w:ilvl w:val="0"/>
                <w:numId w:val="16"/>
              </w:numPr>
              <w:spacing w:after="120"/>
              <w:jc w:val="both"/>
              <w:rPr>
                <w:rFonts w:cs="Arial"/>
                <w:bCs/>
                <w:sz w:val="22"/>
                <w:szCs w:val="22"/>
                <w:lang w:eastAsia="en-GB"/>
              </w:rPr>
            </w:pPr>
            <w:r w:rsidRPr="00603E49">
              <w:rPr>
                <w:rFonts w:cs="Arial"/>
                <w:bCs/>
                <w:sz w:val="22"/>
                <w:szCs w:val="22"/>
                <w:lang w:eastAsia="en-GB"/>
              </w:rPr>
              <w:t>147</w:t>
            </w:r>
            <w:r w:rsidR="0075650A" w:rsidRPr="00603E49">
              <w:rPr>
                <w:rFonts w:cs="Arial"/>
                <w:bCs/>
                <w:sz w:val="22"/>
                <w:szCs w:val="22"/>
                <w:lang w:eastAsia="en-GB"/>
              </w:rPr>
              <w:t>k CERs were issued</w:t>
            </w:r>
            <w:r w:rsidRPr="00603E49">
              <w:rPr>
                <w:rFonts w:cs="Arial"/>
                <w:bCs/>
                <w:sz w:val="22"/>
                <w:szCs w:val="22"/>
                <w:lang w:eastAsia="en-GB"/>
              </w:rPr>
              <w:t>:</w:t>
            </w:r>
          </w:p>
          <w:p w14:paraId="0C3A8728" w14:textId="3702538A" w:rsidR="00603E49" w:rsidRPr="00F75B19" w:rsidRDefault="00603E49" w:rsidP="00D3627C">
            <w:pPr>
              <w:pStyle w:val="ListParagraph"/>
              <w:numPr>
                <w:ilvl w:val="0"/>
                <w:numId w:val="17"/>
              </w:numPr>
              <w:ind w:left="1049"/>
              <w:jc w:val="both"/>
              <w:rPr>
                <w:rFonts w:cs="Arial"/>
                <w:bCs/>
                <w:sz w:val="22"/>
                <w:szCs w:val="22"/>
                <w:lang w:eastAsia="en-GB"/>
              </w:rPr>
            </w:pPr>
            <w:r w:rsidRPr="00F75B19">
              <w:rPr>
                <w:rFonts w:cs="Arial"/>
                <w:bCs/>
                <w:sz w:val="22"/>
                <w:szCs w:val="22"/>
                <w:lang w:eastAsia="en-GB"/>
              </w:rPr>
              <w:t>Madagascar Clean Ethanol (25k)</w:t>
            </w:r>
          </w:p>
          <w:p w14:paraId="6F4B9665" w14:textId="34057F1D" w:rsidR="00603E49" w:rsidRPr="00F75B19" w:rsidRDefault="00AE2495" w:rsidP="00D30EBC">
            <w:pPr>
              <w:pStyle w:val="ListParagraph"/>
              <w:numPr>
                <w:ilvl w:val="0"/>
                <w:numId w:val="17"/>
              </w:numPr>
              <w:ind w:left="1049"/>
              <w:jc w:val="both"/>
              <w:rPr>
                <w:rFonts w:cs="Arial"/>
                <w:bCs/>
                <w:sz w:val="22"/>
                <w:szCs w:val="22"/>
                <w:lang w:eastAsia="en-GB"/>
              </w:rPr>
            </w:pPr>
            <w:r w:rsidRPr="00F75B19">
              <w:rPr>
                <w:rFonts w:cs="Arial"/>
                <w:bCs/>
                <w:sz w:val="22"/>
                <w:szCs w:val="22"/>
                <w:lang w:eastAsia="en-GB"/>
              </w:rPr>
              <w:t>Ethiopia</w:t>
            </w:r>
            <w:r w:rsidR="00603E49" w:rsidRPr="00F75B19">
              <w:rPr>
                <w:rFonts w:cs="Arial"/>
                <w:bCs/>
                <w:sz w:val="22"/>
                <w:szCs w:val="22"/>
                <w:lang w:eastAsia="en-GB"/>
              </w:rPr>
              <w:t xml:space="preserve"> Biogas </w:t>
            </w:r>
            <w:r w:rsidR="00F75B19" w:rsidRPr="00F75B19">
              <w:rPr>
                <w:rFonts w:cs="Arial"/>
                <w:bCs/>
                <w:sz w:val="22"/>
                <w:szCs w:val="22"/>
                <w:lang w:eastAsia="en-GB"/>
              </w:rPr>
              <w:t>(34k)</w:t>
            </w:r>
          </w:p>
          <w:p w14:paraId="5A296B39" w14:textId="27D7C3EF" w:rsidR="00F75B19" w:rsidRPr="00F75B19" w:rsidRDefault="00F75B19" w:rsidP="00C23C4E">
            <w:pPr>
              <w:pStyle w:val="ListParagraph"/>
              <w:numPr>
                <w:ilvl w:val="0"/>
                <w:numId w:val="17"/>
              </w:numPr>
              <w:ind w:left="1049"/>
              <w:jc w:val="both"/>
              <w:rPr>
                <w:rFonts w:cs="Arial"/>
                <w:bCs/>
                <w:sz w:val="22"/>
                <w:szCs w:val="22"/>
                <w:lang w:eastAsia="en-GB"/>
              </w:rPr>
            </w:pPr>
            <w:r w:rsidRPr="00F75B19">
              <w:rPr>
                <w:rFonts w:cs="Arial"/>
                <w:bCs/>
                <w:sz w:val="22"/>
                <w:szCs w:val="22"/>
                <w:lang w:eastAsia="en-GB"/>
              </w:rPr>
              <w:t>Ethiopia Off-Grid Renewable Energy (39k)</w:t>
            </w:r>
          </w:p>
          <w:p w14:paraId="1B848064" w14:textId="0E334C51" w:rsidR="00F75B19" w:rsidRPr="00F75B19" w:rsidRDefault="00F75B19" w:rsidP="002B2A5C">
            <w:pPr>
              <w:pStyle w:val="ListParagraph"/>
              <w:numPr>
                <w:ilvl w:val="0"/>
                <w:numId w:val="17"/>
              </w:numPr>
              <w:ind w:left="1049"/>
              <w:jc w:val="both"/>
              <w:rPr>
                <w:rFonts w:cs="Arial"/>
                <w:bCs/>
                <w:sz w:val="22"/>
                <w:szCs w:val="22"/>
                <w:lang w:eastAsia="en-GB"/>
              </w:rPr>
            </w:pPr>
            <w:r w:rsidRPr="00F75B19">
              <w:rPr>
                <w:rFonts w:cs="Arial"/>
                <w:bCs/>
                <w:sz w:val="22"/>
                <w:szCs w:val="22"/>
                <w:lang w:eastAsia="en-GB"/>
              </w:rPr>
              <w:t>West Africa Biodigesters (20k)</w:t>
            </w:r>
          </w:p>
          <w:p w14:paraId="61036D5B" w14:textId="2FFF4CB1" w:rsidR="00F75B19" w:rsidRPr="00F75B19" w:rsidRDefault="00F75B19" w:rsidP="00DA3455">
            <w:pPr>
              <w:pStyle w:val="ListParagraph"/>
              <w:numPr>
                <w:ilvl w:val="0"/>
                <w:numId w:val="17"/>
              </w:numPr>
              <w:ind w:left="1049"/>
              <w:jc w:val="both"/>
              <w:rPr>
                <w:rFonts w:cs="Arial"/>
                <w:bCs/>
                <w:sz w:val="22"/>
                <w:szCs w:val="22"/>
                <w:lang w:eastAsia="en-GB"/>
              </w:rPr>
            </w:pPr>
            <w:r w:rsidRPr="00F75B19">
              <w:rPr>
                <w:rFonts w:cs="Arial"/>
                <w:bCs/>
                <w:sz w:val="22"/>
                <w:szCs w:val="22"/>
                <w:lang w:eastAsia="en-GB"/>
              </w:rPr>
              <w:t>Uganda Rural Electrification (29k)</w:t>
            </w:r>
          </w:p>
          <w:p w14:paraId="409D9EFE" w14:textId="77777777" w:rsidR="00603E49" w:rsidRDefault="00603E49" w:rsidP="00673030">
            <w:pPr>
              <w:spacing w:after="120"/>
              <w:jc w:val="both"/>
              <w:rPr>
                <w:rFonts w:cs="Arial"/>
                <w:bCs/>
                <w:sz w:val="22"/>
                <w:szCs w:val="22"/>
                <w:lang w:eastAsia="en-GB"/>
              </w:rPr>
            </w:pPr>
          </w:p>
          <w:p w14:paraId="6FA4FFF9" w14:textId="77777777" w:rsidR="00F75B19" w:rsidRDefault="00F75B19" w:rsidP="00D3627C">
            <w:pPr>
              <w:pStyle w:val="ListParagraph"/>
              <w:numPr>
                <w:ilvl w:val="0"/>
                <w:numId w:val="16"/>
              </w:numPr>
              <w:spacing w:after="120"/>
              <w:ind w:left="765"/>
              <w:jc w:val="both"/>
              <w:rPr>
                <w:rFonts w:cs="Arial"/>
                <w:bCs/>
                <w:sz w:val="22"/>
                <w:szCs w:val="22"/>
                <w:lang w:eastAsia="en-GB"/>
              </w:rPr>
            </w:pPr>
            <w:r>
              <w:rPr>
                <w:rFonts w:cs="Arial"/>
                <w:bCs/>
                <w:sz w:val="22"/>
                <w:szCs w:val="22"/>
                <w:lang w:eastAsia="en-GB"/>
              </w:rPr>
              <w:t>56.9k CERs were cancelled on the UK’s behalf</w:t>
            </w:r>
          </w:p>
          <w:p w14:paraId="60D1B4AF" w14:textId="5DCA7C51" w:rsidR="00384694" w:rsidRPr="00920E9D" w:rsidRDefault="00F75B19" w:rsidP="00673030">
            <w:pPr>
              <w:pStyle w:val="ListParagraph"/>
              <w:numPr>
                <w:ilvl w:val="0"/>
                <w:numId w:val="16"/>
              </w:numPr>
              <w:spacing w:after="120"/>
              <w:ind w:left="767"/>
              <w:jc w:val="both"/>
              <w:rPr>
                <w:rFonts w:cs="Arial"/>
                <w:bCs/>
                <w:color w:val="000000" w:themeColor="text1"/>
                <w:sz w:val="22"/>
                <w:szCs w:val="22"/>
              </w:rPr>
            </w:pPr>
            <w:r>
              <w:rPr>
                <w:rFonts w:cs="Arial"/>
                <w:bCs/>
                <w:sz w:val="22"/>
                <w:szCs w:val="22"/>
                <w:lang w:eastAsia="en-GB"/>
              </w:rPr>
              <w:t xml:space="preserve">42k CERs were sold to the other two Ci-Dev </w:t>
            </w:r>
            <w:r w:rsidR="00F77245">
              <w:rPr>
                <w:rFonts w:cs="Arial"/>
                <w:bCs/>
                <w:sz w:val="22"/>
                <w:szCs w:val="22"/>
                <w:lang w:eastAsia="en-GB"/>
              </w:rPr>
              <w:t>Contributors</w:t>
            </w:r>
            <w:r>
              <w:rPr>
                <w:rFonts w:cs="Arial"/>
                <w:bCs/>
                <w:sz w:val="22"/>
                <w:szCs w:val="22"/>
                <w:lang w:eastAsia="en-GB"/>
              </w:rPr>
              <w:t>, with the balance expected to be processed in CY20.</w:t>
            </w:r>
          </w:p>
        </w:tc>
      </w:tr>
    </w:tbl>
    <w:p w14:paraId="11C2483A" w14:textId="77777777" w:rsidR="003E11BF" w:rsidRPr="00581E6D" w:rsidRDefault="003E11BF" w:rsidP="00E81F52">
      <w:pPr>
        <w:contextualSpacing/>
        <w:rPr>
          <w:rFonts w:cs="Arial"/>
          <w:b/>
          <w:bCs/>
          <w:color w:val="000000" w:themeColor="text1"/>
          <w:sz w:val="22"/>
          <w:szCs w:val="22"/>
        </w:rPr>
      </w:pPr>
    </w:p>
    <w:p w14:paraId="65599563" w14:textId="77777777" w:rsidR="00BE7AF0" w:rsidRPr="00581E6D" w:rsidRDefault="00D25C0A" w:rsidP="00E81F52">
      <w:pPr>
        <w:contextualSpacing/>
        <w:rPr>
          <w:rFonts w:cs="Arial"/>
          <w:b/>
          <w:color w:val="000000" w:themeColor="text1"/>
          <w:sz w:val="22"/>
          <w:szCs w:val="22"/>
        </w:rPr>
      </w:pPr>
      <w:r w:rsidRPr="00581E6D">
        <w:rPr>
          <w:rFonts w:cs="Arial"/>
          <w:b/>
          <w:bCs/>
          <w:color w:val="000000" w:themeColor="text1"/>
          <w:sz w:val="22"/>
          <w:szCs w:val="22"/>
        </w:rPr>
        <w:t>Key Points</w:t>
      </w:r>
    </w:p>
    <w:p w14:paraId="38C4D946" w14:textId="6490C1E7" w:rsidR="005643D7" w:rsidRDefault="005643D7" w:rsidP="00E22782">
      <w:pPr>
        <w:contextualSpacing/>
        <w:rPr>
          <w:rFonts w:cs="Arial"/>
          <w:bCs/>
          <w:color w:val="000000" w:themeColor="text1"/>
          <w:sz w:val="22"/>
          <w:szCs w:val="22"/>
        </w:rPr>
      </w:pPr>
    </w:p>
    <w:p w14:paraId="206BA17F" w14:textId="0D2284AC" w:rsidR="00EF3358" w:rsidRDefault="00EF3358" w:rsidP="00673030">
      <w:pPr>
        <w:contextualSpacing/>
        <w:jc w:val="both"/>
        <w:rPr>
          <w:rFonts w:cs="Arial"/>
          <w:bCs/>
          <w:color w:val="000000" w:themeColor="text1"/>
          <w:sz w:val="22"/>
          <w:szCs w:val="22"/>
        </w:rPr>
      </w:pPr>
      <w:r>
        <w:rPr>
          <w:rFonts w:cs="Arial"/>
          <w:bCs/>
          <w:color w:val="000000" w:themeColor="text1"/>
          <w:sz w:val="22"/>
          <w:szCs w:val="22"/>
        </w:rPr>
        <w:t>The indicators in th</w:t>
      </w:r>
      <w:r w:rsidR="00B255CB">
        <w:rPr>
          <w:rFonts w:cs="Arial"/>
          <w:bCs/>
          <w:color w:val="000000" w:themeColor="text1"/>
          <w:sz w:val="22"/>
          <w:szCs w:val="22"/>
        </w:rPr>
        <w:t>is</w:t>
      </w:r>
      <w:r>
        <w:rPr>
          <w:rFonts w:cs="Arial"/>
          <w:bCs/>
          <w:color w:val="000000" w:themeColor="text1"/>
          <w:sz w:val="22"/>
          <w:szCs w:val="22"/>
        </w:rPr>
        <w:t xml:space="preserve"> output group measure results at key points in the Ci-Dev project p</w:t>
      </w:r>
      <w:r w:rsidR="00A577BF">
        <w:rPr>
          <w:rFonts w:cs="Arial"/>
          <w:bCs/>
          <w:color w:val="000000" w:themeColor="text1"/>
          <w:sz w:val="22"/>
          <w:szCs w:val="22"/>
        </w:rPr>
        <w:t xml:space="preserve">rocess, from commercial agreement signature (1.1), </w:t>
      </w:r>
      <w:r w:rsidR="00B255CB">
        <w:rPr>
          <w:rFonts w:cs="Arial"/>
          <w:bCs/>
          <w:color w:val="000000" w:themeColor="text1"/>
          <w:sz w:val="22"/>
          <w:szCs w:val="22"/>
        </w:rPr>
        <w:t xml:space="preserve">to </w:t>
      </w:r>
      <w:r w:rsidR="001A0086">
        <w:rPr>
          <w:rFonts w:cs="Arial"/>
          <w:bCs/>
          <w:color w:val="000000" w:themeColor="text1"/>
          <w:sz w:val="22"/>
          <w:szCs w:val="22"/>
        </w:rPr>
        <w:t>implementation</w:t>
      </w:r>
      <w:r w:rsidR="00A577BF">
        <w:rPr>
          <w:rFonts w:cs="Arial"/>
          <w:bCs/>
          <w:color w:val="000000" w:themeColor="text1"/>
          <w:sz w:val="22"/>
          <w:szCs w:val="22"/>
        </w:rPr>
        <w:t xml:space="preserve"> of technology (1.2), </w:t>
      </w:r>
      <w:r w:rsidR="00B255CB">
        <w:rPr>
          <w:rFonts w:cs="Arial"/>
          <w:bCs/>
          <w:color w:val="000000" w:themeColor="text1"/>
          <w:sz w:val="22"/>
          <w:szCs w:val="22"/>
        </w:rPr>
        <w:t xml:space="preserve">to </w:t>
      </w:r>
      <w:r w:rsidR="00A577BF">
        <w:rPr>
          <w:rFonts w:cs="Arial"/>
          <w:bCs/>
          <w:color w:val="000000" w:themeColor="text1"/>
          <w:sz w:val="22"/>
          <w:szCs w:val="22"/>
        </w:rPr>
        <w:t xml:space="preserve">reduction of emissions (1.3), and </w:t>
      </w:r>
      <w:r w:rsidR="00B255CB">
        <w:rPr>
          <w:rFonts w:cs="Arial"/>
          <w:bCs/>
          <w:color w:val="000000" w:themeColor="text1"/>
          <w:sz w:val="22"/>
          <w:szCs w:val="22"/>
        </w:rPr>
        <w:t>finally to recognition of those reductions as compliance-grade CERs by the UNFCCC</w:t>
      </w:r>
      <w:r w:rsidR="00497518">
        <w:rPr>
          <w:rFonts w:cs="Arial"/>
          <w:bCs/>
          <w:color w:val="000000" w:themeColor="text1"/>
          <w:sz w:val="22"/>
          <w:szCs w:val="22"/>
        </w:rPr>
        <w:t xml:space="preserve"> (1.4)</w:t>
      </w:r>
      <w:r w:rsidR="00B255CB">
        <w:rPr>
          <w:rFonts w:cs="Arial"/>
          <w:bCs/>
          <w:color w:val="000000" w:themeColor="text1"/>
          <w:sz w:val="22"/>
          <w:szCs w:val="22"/>
        </w:rPr>
        <w:t>.</w:t>
      </w:r>
      <w:r w:rsidR="00620219">
        <w:rPr>
          <w:rFonts w:cs="Arial"/>
          <w:bCs/>
          <w:color w:val="000000" w:themeColor="text1"/>
          <w:sz w:val="22"/>
          <w:szCs w:val="22"/>
        </w:rPr>
        <w:t xml:space="preserve"> </w:t>
      </w:r>
    </w:p>
    <w:p w14:paraId="389FE49C" w14:textId="77777777" w:rsidR="00EF3358" w:rsidRDefault="00EF3358" w:rsidP="00673030">
      <w:pPr>
        <w:contextualSpacing/>
        <w:jc w:val="both"/>
        <w:rPr>
          <w:rFonts w:cs="Arial"/>
          <w:bCs/>
          <w:color w:val="000000" w:themeColor="text1"/>
          <w:sz w:val="22"/>
          <w:szCs w:val="22"/>
        </w:rPr>
      </w:pPr>
    </w:p>
    <w:p w14:paraId="141118EE" w14:textId="75887A30" w:rsidR="00857073" w:rsidRPr="00D26331" w:rsidRDefault="00C53E43" w:rsidP="00673030">
      <w:pPr>
        <w:jc w:val="both"/>
        <w:rPr>
          <w:rFonts w:cs="Arial"/>
          <w:bCs/>
          <w:color w:val="000000" w:themeColor="text1"/>
          <w:sz w:val="22"/>
          <w:szCs w:val="22"/>
        </w:rPr>
      </w:pPr>
      <w:r>
        <w:rPr>
          <w:rFonts w:cs="Arial"/>
          <w:bCs/>
          <w:color w:val="000000" w:themeColor="text1"/>
          <w:sz w:val="22"/>
          <w:szCs w:val="22"/>
        </w:rPr>
        <w:t xml:space="preserve">While </w:t>
      </w:r>
      <w:r w:rsidR="00F75B19">
        <w:rPr>
          <w:rFonts w:cs="Arial"/>
          <w:bCs/>
          <w:color w:val="000000" w:themeColor="text1"/>
          <w:sz w:val="22"/>
          <w:szCs w:val="22"/>
        </w:rPr>
        <w:t xml:space="preserve">some </w:t>
      </w:r>
      <w:r>
        <w:rPr>
          <w:rFonts w:cs="Arial"/>
          <w:bCs/>
          <w:color w:val="000000" w:themeColor="text1"/>
          <w:sz w:val="22"/>
          <w:szCs w:val="22"/>
        </w:rPr>
        <w:t xml:space="preserve">indicators </w:t>
      </w:r>
      <w:r w:rsidR="002164ED">
        <w:rPr>
          <w:rFonts w:cs="Arial"/>
          <w:bCs/>
          <w:color w:val="000000" w:themeColor="text1"/>
          <w:sz w:val="22"/>
          <w:szCs w:val="22"/>
        </w:rPr>
        <w:t xml:space="preserve">have been met for this output, </w:t>
      </w:r>
      <w:r w:rsidR="003B75D1" w:rsidRPr="00D26331">
        <w:rPr>
          <w:rFonts w:cs="Arial"/>
          <w:bCs/>
          <w:color w:val="000000" w:themeColor="text1"/>
          <w:sz w:val="22"/>
          <w:szCs w:val="22"/>
        </w:rPr>
        <w:t>we consider</w:t>
      </w:r>
      <w:r w:rsidR="001A0086">
        <w:rPr>
          <w:rFonts w:cs="Arial"/>
          <w:bCs/>
          <w:color w:val="000000" w:themeColor="text1"/>
          <w:sz w:val="22"/>
          <w:szCs w:val="22"/>
        </w:rPr>
        <w:t>,</w:t>
      </w:r>
      <w:r w:rsidR="003B75D1" w:rsidRPr="00D26331">
        <w:rPr>
          <w:rFonts w:cs="Arial"/>
          <w:bCs/>
          <w:color w:val="000000" w:themeColor="text1"/>
          <w:sz w:val="22"/>
          <w:szCs w:val="22"/>
        </w:rPr>
        <w:t xml:space="preserve"> </w:t>
      </w:r>
      <w:r w:rsidR="00EB4EE0">
        <w:rPr>
          <w:rFonts w:cs="Arial"/>
          <w:bCs/>
          <w:color w:val="000000" w:themeColor="text1"/>
          <w:sz w:val="22"/>
          <w:szCs w:val="22"/>
        </w:rPr>
        <w:t>on balance</w:t>
      </w:r>
      <w:r w:rsidR="001A0086">
        <w:rPr>
          <w:rFonts w:cs="Arial"/>
          <w:bCs/>
          <w:color w:val="000000" w:themeColor="text1"/>
          <w:sz w:val="22"/>
          <w:szCs w:val="22"/>
        </w:rPr>
        <w:t>,</w:t>
      </w:r>
      <w:r w:rsidR="003B75D1" w:rsidRPr="00D26331">
        <w:rPr>
          <w:rFonts w:cs="Arial"/>
          <w:bCs/>
          <w:color w:val="000000" w:themeColor="text1"/>
          <w:sz w:val="22"/>
          <w:szCs w:val="22"/>
        </w:rPr>
        <w:t xml:space="preserve"> </w:t>
      </w:r>
      <w:r w:rsidR="002164ED">
        <w:rPr>
          <w:rFonts w:cs="Arial"/>
          <w:bCs/>
          <w:color w:val="000000" w:themeColor="text1"/>
          <w:sz w:val="22"/>
          <w:szCs w:val="22"/>
        </w:rPr>
        <w:t xml:space="preserve">that overall </w:t>
      </w:r>
      <w:r w:rsidR="00673962" w:rsidRPr="00D26331">
        <w:rPr>
          <w:rFonts w:cs="Arial"/>
          <w:bCs/>
          <w:color w:val="000000" w:themeColor="text1"/>
          <w:sz w:val="22"/>
          <w:szCs w:val="22"/>
        </w:rPr>
        <w:t xml:space="preserve">performance </w:t>
      </w:r>
      <w:r w:rsidR="002164ED">
        <w:rPr>
          <w:rFonts w:cs="Arial"/>
          <w:bCs/>
          <w:color w:val="000000" w:themeColor="text1"/>
          <w:sz w:val="22"/>
          <w:szCs w:val="22"/>
        </w:rPr>
        <w:t xml:space="preserve">is </w:t>
      </w:r>
      <w:r w:rsidR="00F75B19">
        <w:rPr>
          <w:rFonts w:cs="Arial"/>
          <w:bCs/>
          <w:color w:val="000000" w:themeColor="text1"/>
          <w:sz w:val="22"/>
          <w:szCs w:val="22"/>
        </w:rPr>
        <w:t>moderately below</w:t>
      </w:r>
      <w:r w:rsidR="003B75D1" w:rsidRPr="00D26331">
        <w:rPr>
          <w:rFonts w:cs="Arial"/>
          <w:bCs/>
          <w:color w:val="000000" w:themeColor="text1"/>
          <w:sz w:val="22"/>
          <w:szCs w:val="22"/>
        </w:rPr>
        <w:t xml:space="preserve"> expectations</w:t>
      </w:r>
      <w:r w:rsidR="002164ED">
        <w:rPr>
          <w:rFonts w:cs="Arial"/>
          <w:bCs/>
          <w:color w:val="000000" w:themeColor="text1"/>
          <w:sz w:val="22"/>
          <w:szCs w:val="22"/>
        </w:rPr>
        <w:t>.</w:t>
      </w:r>
      <w:r w:rsidR="00CA4E3C">
        <w:rPr>
          <w:rFonts w:cs="Arial"/>
          <w:bCs/>
          <w:color w:val="000000" w:themeColor="text1"/>
          <w:sz w:val="22"/>
          <w:szCs w:val="22"/>
        </w:rPr>
        <w:t xml:space="preserve"> </w:t>
      </w:r>
      <w:r w:rsidR="00502BF2">
        <w:rPr>
          <w:rFonts w:cs="Arial"/>
          <w:bCs/>
          <w:color w:val="000000" w:themeColor="text1"/>
          <w:sz w:val="22"/>
          <w:szCs w:val="22"/>
        </w:rPr>
        <w:t>I</w:t>
      </w:r>
      <w:r w:rsidR="004B7BD5">
        <w:rPr>
          <w:rFonts w:cs="Arial"/>
          <w:bCs/>
          <w:color w:val="000000" w:themeColor="text1"/>
          <w:sz w:val="22"/>
          <w:szCs w:val="22"/>
        </w:rPr>
        <w:t xml:space="preserve">ndicator </w:t>
      </w:r>
      <w:r w:rsidR="00502BF2">
        <w:rPr>
          <w:rFonts w:cs="Arial"/>
          <w:bCs/>
          <w:color w:val="000000" w:themeColor="text1"/>
          <w:sz w:val="22"/>
          <w:szCs w:val="22"/>
        </w:rPr>
        <w:t xml:space="preserve">1.4 </w:t>
      </w:r>
      <w:r w:rsidR="004B7BD5">
        <w:rPr>
          <w:rFonts w:cs="Arial"/>
          <w:bCs/>
          <w:color w:val="000000" w:themeColor="text1"/>
          <w:sz w:val="22"/>
          <w:szCs w:val="22"/>
        </w:rPr>
        <w:t xml:space="preserve">has been exceeded, </w:t>
      </w:r>
      <w:r w:rsidR="00502BF2">
        <w:rPr>
          <w:rFonts w:cs="Arial"/>
          <w:bCs/>
          <w:color w:val="000000" w:themeColor="text1"/>
          <w:sz w:val="22"/>
          <w:szCs w:val="22"/>
        </w:rPr>
        <w:t>1.1</w:t>
      </w:r>
      <w:r w:rsidR="004B7BD5">
        <w:rPr>
          <w:rFonts w:cs="Arial"/>
          <w:bCs/>
          <w:color w:val="000000" w:themeColor="text1"/>
          <w:sz w:val="22"/>
          <w:szCs w:val="22"/>
        </w:rPr>
        <w:t xml:space="preserve"> met, and</w:t>
      </w:r>
      <w:r w:rsidR="00502BF2">
        <w:rPr>
          <w:rFonts w:cs="Arial"/>
          <w:bCs/>
          <w:color w:val="000000" w:themeColor="text1"/>
          <w:sz w:val="22"/>
          <w:szCs w:val="22"/>
        </w:rPr>
        <w:t xml:space="preserve"> </w:t>
      </w:r>
      <w:r w:rsidR="004A36E3">
        <w:rPr>
          <w:rFonts w:cs="Arial"/>
          <w:bCs/>
          <w:color w:val="000000" w:themeColor="text1"/>
          <w:sz w:val="22"/>
          <w:szCs w:val="22"/>
        </w:rPr>
        <w:t xml:space="preserve">performance against </w:t>
      </w:r>
      <w:r w:rsidR="00502BF2">
        <w:rPr>
          <w:rFonts w:cs="Arial"/>
          <w:bCs/>
          <w:color w:val="000000" w:themeColor="text1"/>
          <w:sz w:val="22"/>
          <w:szCs w:val="22"/>
        </w:rPr>
        <w:t>1.2</w:t>
      </w:r>
      <w:r w:rsidR="005A16F5">
        <w:rPr>
          <w:rFonts w:cs="Arial"/>
          <w:bCs/>
          <w:color w:val="000000" w:themeColor="text1"/>
          <w:sz w:val="22"/>
          <w:szCs w:val="22"/>
        </w:rPr>
        <w:t xml:space="preserve"> </w:t>
      </w:r>
      <w:r w:rsidR="004A36E3">
        <w:rPr>
          <w:rFonts w:cs="Arial"/>
          <w:bCs/>
          <w:color w:val="000000" w:themeColor="text1"/>
          <w:sz w:val="22"/>
          <w:szCs w:val="22"/>
        </w:rPr>
        <w:t xml:space="preserve">and </w:t>
      </w:r>
      <w:r w:rsidR="005A16F5">
        <w:rPr>
          <w:rFonts w:cs="Arial"/>
          <w:bCs/>
          <w:color w:val="000000" w:themeColor="text1"/>
          <w:sz w:val="22"/>
          <w:szCs w:val="22"/>
        </w:rPr>
        <w:t xml:space="preserve">1.3 </w:t>
      </w:r>
      <w:r w:rsidR="004A36E3">
        <w:rPr>
          <w:rFonts w:cs="Arial"/>
          <w:bCs/>
          <w:color w:val="000000" w:themeColor="text1"/>
          <w:sz w:val="22"/>
          <w:szCs w:val="22"/>
        </w:rPr>
        <w:t>was missed. R</w:t>
      </w:r>
      <w:r w:rsidR="00434263">
        <w:rPr>
          <w:rFonts w:cs="Arial"/>
          <w:bCs/>
          <w:color w:val="000000" w:themeColor="text1"/>
          <w:sz w:val="22"/>
          <w:szCs w:val="22"/>
        </w:rPr>
        <w:t>emedial action is being taken, as described below.</w:t>
      </w:r>
    </w:p>
    <w:p w14:paraId="7C9691C0" w14:textId="77777777" w:rsidR="00D26331" w:rsidRDefault="00D26331" w:rsidP="00673030">
      <w:pPr>
        <w:jc w:val="both"/>
        <w:rPr>
          <w:rFonts w:cs="Arial"/>
          <w:b/>
          <w:bCs/>
          <w:color w:val="000000" w:themeColor="text1"/>
          <w:sz w:val="22"/>
          <w:szCs w:val="22"/>
        </w:rPr>
      </w:pPr>
    </w:p>
    <w:p w14:paraId="143D1DD7" w14:textId="13EF4163" w:rsidR="00E45550" w:rsidRPr="00D26331" w:rsidRDefault="00EC1806" w:rsidP="00673030">
      <w:pPr>
        <w:jc w:val="both"/>
        <w:rPr>
          <w:rFonts w:cs="Arial"/>
          <w:bCs/>
          <w:color w:val="000000" w:themeColor="text1"/>
          <w:sz w:val="22"/>
          <w:szCs w:val="22"/>
        </w:rPr>
      </w:pPr>
      <w:r w:rsidRPr="00D26331">
        <w:rPr>
          <w:rFonts w:cs="Arial"/>
          <w:b/>
          <w:bCs/>
          <w:color w:val="000000" w:themeColor="text1"/>
          <w:sz w:val="22"/>
          <w:szCs w:val="22"/>
        </w:rPr>
        <w:lastRenderedPageBreak/>
        <w:t>1.1</w:t>
      </w:r>
      <w:r w:rsidRPr="00D26331">
        <w:rPr>
          <w:rFonts w:cs="Arial"/>
          <w:bCs/>
          <w:color w:val="000000" w:themeColor="text1"/>
          <w:sz w:val="22"/>
          <w:szCs w:val="22"/>
        </w:rPr>
        <w:t xml:space="preserve"> </w:t>
      </w:r>
      <w:r w:rsidR="00D30EBC">
        <w:rPr>
          <w:rFonts w:cs="Arial"/>
          <w:bCs/>
          <w:color w:val="000000" w:themeColor="text1"/>
          <w:sz w:val="22"/>
          <w:szCs w:val="22"/>
        </w:rPr>
        <w:t xml:space="preserve">This fund-wide target </w:t>
      </w:r>
      <w:r w:rsidR="002123E8">
        <w:rPr>
          <w:rFonts w:cs="Arial"/>
          <w:bCs/>
          <w:color w:val="000000" w:themeColor="text1"/>
          <w:sz w:val="22"/>
          <w:szCs w:val="22"/>
        </w:rPr>
        <w:t xml:space="preserve">measures the number of commercial agreements that have been negotiated and signed. It </w:t>
      </w:r>
      <w:r w:rsidR="00D30EBC">
        <w:rPr>
          <w:rFonts w:cs="Arial"/>
          <w:bCs/>
          <w:color w:val="000000" w:themeColor="text1"/>
          <w:sz w:val="22"/>
          <w:szCs w:val="22"/>
        </w:rPr>
        <w:t>is intended to ensure that all</w:t>
      </w:r>
      <w:r w:rsidR="00B15839">
        <w:rPr>
          <w:rFonts w:cs="Arial"/>
          <w:bCs/>
          <w:color w:val="000000" w:themeColor="text1"/>
          <w:sz w:val="22"/>
          <w:szCs w:val="22"/>
        </w:rPr>
        <w:t xml:space="preserve"> Ci-Dev funds allocated for credit purchase </w:t>
      </w:r>
      <w:r w:rsidR="001A0086">
        <w:rPr>
          <w:rFonts w:cs="Arial"/>
          <w:bCs/>
          <w:color w:val="000000" w:themeColor="text1"/>
          <w:sz w:val="22"/>
          <w:szCs w:val="22"/>
        </w:rPr>
        <w:t>are</w:t>
      </w:r>
      <w:r w:rsidR="00B15839">
        <w:rPr>
          <w:rFonts w:cs="Arial"/>
          <w:bCs/>
          <w:color w:val="000000" w:themeColor="text1"/>
          <w:sz w:val="22"/>
          <w:szCs w:val="22"/>
        </w:rPr>
        <w:t xml:space="preserve"> fully committed. </w:t>
      </w:r>
      <w:r w:rsidR="004A36E3">
        <w:rPr>
          <w:rFonts w:cs="Arial"/>
          <w:bCs/>
          <w:color w:val="000000" w:themeColor="text1"/>
          <w:sz w:val="22"/>
          <w:szCs w:val="22"/>
        </w:rPr>
        <w:t>Although</w:t>
      </w:r>
      <w:r w:rsidR="00F16CFB">
        <w:rPr>
          <w:rFonts w:cs="Arial"/>
          <w:bCs/>
          <w:color w:val="000000" w:themeColor="text1"/>
          <w:sz w:val="22"/>
          <w:szCs w:val="22"/>
        </w:rPr>
        <w:t xml:space="preserve"> this has been achieved </w:t>
      </w:r>
      <w:r w:rsidR="006743E4">
        <w:rPr>
          <w:rFonts w:cs="Arial"/>
          <w:bCs/>
          <w:color w:val="000000" w:themeColor="text1"/>
          <w:sz w:val="22"/>
          <w:szCs w:val="22"/>
        </w:rPr>
        <w:t>as</w:t>
      </w:r>
      <w:r w:rsidR="004A36E3">
        <w:rPr>
          <w:rFonts w:cs="Arial"/>
          <w:bCs/>
          <w:color w:val="000000" w:themeColor="text1"/>
          <w:sz w:val="22"/>
          <w:szCs w:val="22"/>
        </w:rPr>
        <w:t xml:space="preserve"> the Carbon Fund is fully committed to ERPAs, funding committed to </w:t>
      </w:r>
      <w:r w:rsidR="00A76ACB">
        <w:rPr>
          <w:rFonts w:cs="Arial"/>
          <w:bCs/>
          <w:color w:val="000000" w:themeColor="text1"/>
          <w:sz w:val="22"/>
          <w:szCs w:val="22"/>
        </w:rPr>
        <w:t xml:space="preserve">the Simgas and DelAgua projects is unlikely to support </w:t>
      </w:r>
      <w:r w:rsidR="004A36E3">
        <w:rPr>
          <w:rFonts w:cs="Arial"/>
          <w:bCs/>
          <w:color w:val="000000" w:themeColor="text1"/>
          <w:sz w:val="22"/>
          <w:szCs w:val="22"/>
        </w:rPr>
        <w:t xml:space="preserve">results until new agreements are negotiated and signed off. It is therefore important that the Trustee takes this forward at pace. </w:t>
      </w:r>
    </w:p>
    <w:p w14:paraId="6F06F94A" w14:textId="77777777" w:rsidR="00D26331" w:rsidRDefault="00D26331" w:rsidP="00673030">
      <w:pPr>
        <w:jc w:val="both"/>
        <w:rPr>
          <w:rFonts w:cs="Arial"/>
          <w:bCs/>
          <w:color w:val="000000" w:themeColor="text1"/>
          <w:sz w:val="22"/>
          <w:szCs w:val="22"/>
        </w:rPr>
      </w:pPr>
    </w:p>
    <w:p w14:paraId="6954FA7C" w14:textId="04E170C8" w:rsidR="00EB7E62" w:rsidRDefault="004750D0" w:rsidP="00673030">
      <w:pPr>
        <w:jc w:val="both"/>
        <w:rPr>
          <w:rFonts w:cs="Arial"/>
          <w:bCs/>
          <w:color w:val="000000" w:themeColor="text1"/>
          <w:sz w:val="22"/>
          <w:szCs w:val="22"/>
        </w:rPr>
      </w:pPr>
      <w:r w:rsidRPr="00D26331">
        <w:rPr>
          <w:rFonts w:cs="Arial"/>
          <w:b/>
          <w:bCs/>
          <w:color w:val="000000" w:themeColor="text1"/>
          <w:sz w:val="22"/>
          <w:szCs w:val="22"/>
        </w:rPr>
        <w:t>1.2</w:t>
      </w:r>
      <w:r w:rsidRPr="00D26331">
        <w:rPr>
          <w:rFonts w:cs="Arial"/>
          <w:bCs/>
          <w:color w:val="000000" w:themeColor="text1"/>
          <w:sz w:val="22"/>
          <w:szCs w:val="22"/>
        </w:rPr>
        <w:t xml:space="preserve"> </w:t>
      </w:r>
      <w:r w:rsidR="002803A0">
        <w:rPr>
          <w:rFonts w:cs="Arial"/>
          <w:bCs/>
          <w:color w:val="000000" w:themeColor="text1"/>
          <w:sz w:val="22"/>
          <w:szCs w:val="22"/>
        </w:rPr>
        <w:t xml:space="preserve">This </w:t>
      </w:r>
      <w:r w:rsidR="00B902C1">
        <w:rPr>
          <w:rFonts w:cs="Arial"/>
          <w:bCs/>
          <w:color w:val="000000" w:themeColor="text1"/>
          <w:sz w:val="22"/>
          <w:szCs w:val="22"/>
        </w:rPr>
        <w:t xml:space="preserve">measures the </w:t>
      </w:r>
      <w:r w:rsidR="006743E4">
        <w:rPr>
          <w:rFonts w:cs="Arial"/>
          <w:bCs/>
          <w:color w:val="000000" w:themeColor="text1"/>
          <w:sz w:val="22"/>
          <w:szCs w:val="22"/>
        </w:rPr>
        <w:t>percentage</w:t>
      </w:r>
      <w:r w:rsidR="00CD399D">
        <w:rPr>
          <w:rFonts w:cs="Arial"/>
          <w:bCs/>
          <w:color w:val="000000" w:themeColor="text1"/>
          <w:sz w:val="22"/>
          <w:szCs w:val="22"/>
        </w:rPr>
        <w:t xml:space="preserve"> </w:t>
      </w:r>
      <w:r w:rsidR="001A0086">
        <w:rPr>
          <w:rFonts w:cs="Arial"/>
          <w:bCs/>
          <w:color w:val="000000" w:themeColor="text1"/>
          <w:sz w:val="22"/>
          <w:szCs w:val="22"/>
        </w:rPr>
        <w:t>implementation</w:t>
      </w:r>
      <w:r w:rsidR="00B902C1">
        <w:rPr>
          <w:rFonts w:cs="Arial"/>
          <w:bCs/>
          <w:color w:val="000000" w:themeColor="text1"/>
          <w:sz w:val="22"/>
          <w:szCs w:val="22"/>
        </w:rPr>
        <w:t xml:space="preserve"> rate of </w:t>
      </w:r>
      <w:r w:rsidR="00171F22">
        <w:rPr>
          <w:rFonts w:cs="Arial"/>
          <w:bCs/>
          <w:color w:val="000000" w:themeColor="text1"/>
          <w:sz w:val="22"/>
          <w:szCs w:val="22"/>
        </w:rPr>
        <w:t xml:space="preserve">clean </w:t>
      </w:r>
      <w:r w:rsidR="00B902C1">
        <w:rPr>
          <w:rFonts w:cs="Arial"/>
          <w:bCs/>
          <w:color w:val="000000" w:themeColor="text1"/>
          <w:sz w:val="22"/>
          <w:szCs w:val="22"/>
        </w:rPr>
        <w:t xml:space="preserve">technology </w:t>
      </w:r>
      <w:r w:rsidR="00171F22">
        <w:rPr>
          <w:rFonts w:cs="Arial"/>
          <w:bCs/>
          <w:color w:val="000000" w:themeColor="text1"/>
          <w:sz w:val="22"/>
          <w:szCs w:val="22"/>
        </w:rPr>
        <w:t xml:space="preserve">and grid connections </w:t>
      </w:r>
      <w:r w:rsidR="00B902C1">
        <w:rPr>
          <w:rFonts w:cs="Arial"/>
          <w:bCs/>
          <w:color w:val="000000" w:themeColor="text1"/>
          <w:sz w:val="22"/>
          <w:szCs w:val="22"/>
        </w:rPr>
        <w:t xml:space="preserve">by comparing </w:t>
      </w:r>
      <w:r w:rsidR="00796618">
        <w:rPr>
          <w:rFonts w:cs="Arial"/>
          <w:bCs/>
          <w:color w:val="000000" w:themeColor="text1"/>
          <w:sz w:val="22"/>
          <w:szCs w:val="22"/>
        </w:rPr>
        <w:t xml:space="preserve">actual vs planned </w:t>
      </w:r>
      <w:r w:rsidR="001A0086">
        <w:rPr>
          <w:rFonts w:cs="Arial"/>
          <w:bCs/>
          <w:color w:val="000000" w:themeColor="text1"/>
          <w:sz w:val="22"/>
          <w:szCs w:val="22"/>
        </w:rPr>
        <w:t>impleme</w:t>
      </w:r>
      <w:r w:rsidR="006743E4">
        <w:rPr>
          <w:rFonts w:cs="Arial"/>
          <w:bCs/>
          <w:color w:val="000000" w:themeColor="text1"/>
          <w:sz w:val="22"/>
          <w:szCs w:val="22"/>
        </w:rPr>
        <w:t>nt</w:t>
      </w:r>
      <w:r w:rsidR="001A0086">
        <w:rPr>
          <w:rFonts w:cs="Arial"/>
          <w:bCs/>
          <w:color w:val="000000" w:themeColor="text1"/>
          <w:sz w:val="22"/>
          <w:szCs w:val="22"/>
        </w:rPr>
        <w:t>ation</w:t>
      </w:r>
      <w:r w:rsidR="00171F22">
        <w:rPr>
          <w:rFonts w:cs="Arial"/>
          <w:bCs/>
          <w:color w:val="000000" w:themeColor="text1"/>
          <w:sz w:val="22"/>
          <w:szCs w:val="22"/>
        </w:rPr>
        <w:t>/connection</w:t>
      </w:r>
      <w:r w:rsidR="00796618">
        <w:rPr>
          <w:rFonts w:cs="Arial"/>
          <w:bCs/>
          <w:color w:val="000000" w:themeColor="text1"/>
          <w:sz w:val="22"/>
          <w:szCs w:val="22"/>
        </w:rPr>
        <w:t xml:space="preserve"> over the calendar year. </w:t>
      </w:r>
      <w:r w:rsidR="00CD399D">
        <w:rPr>
          <w:rFonts w:cs="Arial"/>
          <w:bCs/>
          <w:color w:val="000000" w:themeColor="text1"/>
          <w:sz w:val="22"/>
          <w:szCs w:val="22"/>
        </w:rPr>
        <w:t xml:space="preserve">As agreed with BEIS analysts, a median </w:t>
      </w:r>
      <w:r w:rsidR="00C318CB">
        <w:rPr>
          <w:rFonts w:cs="Arial"/>
          <w:bCs/>
          <w:color w:val="000000" w:themeColor="text1"/>
          <w:sz w:val="22"/>
          <w:szCs w:val="22"/>
        </w:rPr>
        <w:t xml:space="preserve">overall </w:t>
      </w:r>
      <w:r w:rsidR="00A970AB">
        <w:rPr>
          <w:rFonts w:cs="Arial"/>
          <w:bCs/>
          <w:color w:val="000000" w:themeColor="text1"/>
          <w:sz w:val="22"/>
          <w:szCs w:val="22"/>
        </w:rPr>
        <w:t xml:space="preserve">score is presented. This </w:t>
      </w:r>
      <w:r w:rsidR="00F00974" w:rsidRPr="00D26331">
        <w:rPr>
          <w:rFonts w:cs="Arial"/>
          <w:bCs/>
          <w:color w:val="000000" w:themeColor="text1"/>
          <w:sz w:val="22"/>
          <w:szCs w:val="22"/>
        </w:rPr>
        <w:t xml:space="preserve">is </w:t>
      </w:r>
      <w:r w:rsidR="00C318CB">
        <w:rPr>
          <w:rFonts w:cs="Arial"/>
          <w:bCs/>
          <w:color w:val="000000" w:themeColor="text1"/>
          <w:sz w:val="22"/>
          <w:szCs w:val="22"/>
        </w:rPr>
        <w:t>calculated as follows</w:t>
      </w:r>
      <w:r w:rsidR="00F00974" w:rsidRPr="00D26331">
        <w:rPr>
          <w:rFonts w:cs="Arial"/>
          <w:bCs/>
          <w:color w:val="000000" w:themeColor="text1"/>
          <w:sz w:val="22"/>
          <w:szCs w:val="22"/>
        </w:rPr>
        <w:t xml:space="preserve">: </w:t>
      </w:r>
    </w:p>
    <w:p w14:paraId="21B77791" w14:textId="77777777" w:rsidR="00BA71CF" w:rsidRPr="00D26331" w:rsidRDefault="00BA71CF" w:rsidP="00673030">
      <w:pPr>
        <w:jc w:val="both"/>
        <w:rPr>
          <w:rFonts w:cs="Arial"/>
          <w:bCs/>
          <w:color w:val="000000" w:themeColor="text1"/>
          <w:sz w:val="22"/>
          <w:szCs w:val="22"/>
        </w:rPr>
      </w:pPr>
    </w:p>
    <w:p w14:paraId="492062E5" w14:textId="16B637C4" w:rsidR="00F00974" w:rsidRPr="00F00974" w:rsidRDefault="006F30A5" w:rsidP="00F00974">
      <w:pPr>
        <w:rPr>
          <w:rFonts w:cs="Arial"/>
          <w:bCs/>
          <w:color w:val="000000" w:themeColor="text1"/>
          <w:sz w:val="22"/>
          <w:szCs w:val="22"/>
        </w:rPr>
      </w:pPr>
      <w:r>
        <w:rPr>
          <w:noProof/>
        </w:rPr>
        <w:drawing>
          <wp:inline distT="0" distB="0" distL="0" distR="0" wp14:anchorId="67861B9D" wp14:editId="7103C130">
            <wp:extent cx="6012180" cy="5770888"/>
            <wp:effectExtent l="0" t="0" r="0" b="0"/>
            <wp:docPr id="180780917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6012180" cy="5770888"/>
                    </a:xfrm>
                    <a:prstGeom prst="rect">
                      <a:avLst/>
                    </a:prstGeom>
                  </pic:spPr>
                </pic:pic>
              </a:graphicData>
            </a:graphic>
          </wp:inline>
        </w:drawing>
      </w:r>
    </w:p>
    <w:p w14:paraId="27EDF34F" w14:textId="3B459EBF" w:rsidR="00E231B5" w:rsidRPr="00E55378" w:rsidRDefault="00E231B5" w:rsidP="00E22782">
      <w:pPr>
        <w:contextualSpacing/>
        <w:rPr>
          <w:rFonts w:cs="Arial"/>
          <w:bCs/>
          <w:color w:val="000000" w:themeColor="text1"/>
          <w:sz w:val="22"/>
          <w:szCs w:val="22"/>
        </w:rPr>
      </w:pPr>
    </w:p>
    <w:p w14:paraId="5158659A" w14:textId="18DBE539" w:rsidR="00F725C7" w:rsidRPr="00E55378" w:rsidRDefault="00A76ACB" w:rsidP="00673030">
      <w:pPr>
        <w:pStyle w:val="Heading3"/>
        <w:jc w:val="both"/>
        <w:rPr>
          <w:rFonts w:ascii="Arial" w:hAnsi="Arial" w:cs="Arial"/>
          <w:b w:val="0"/>
          <w:color w:val="000000" w:themeColor="text1"/>
          <w:sz w:val="22"/>
          <w:szCs w:val="22"/>
        </w:rPr>
      </w:pPr>
      <w:r>
        <w:rPr>
          <w:rFonts w:ascii="Arial" w:hAnsi="Arial" w:cs="Arial"/>
          <w:b w:val="0"/>
          <w:color w:val="000000" w:themeColor="text1"/>
          <w:sz w:val="22"/>
          <w:szCs w:val="22"/>
        </w:rPr>
        <w:t>Four projects are above the 80% target. T</w:t>
      </w:r>
      <w:r w:rsidR="00DD4E69" w:rsidRPr="00E55378">
        <w:rPr>
          <w:rFonts w:ascii="Arial" w:hAnsi="Arial" w:cs="Arial"/>
          <w:b w:val="0"/>
          <w:color w:val="000000" w:themeColor="text1"/>
          <w:sz w:val="22"/>
          <w:szCs w:val="22"/>
        </w:rPr>
        <w:t xml:space="preserve">he main driver </w:t>
      </w:r>
      <w:r w:rsidR="008F3F51" w:rsidRPr="00E55378">
        <w:rPr>
          <w:rFonts w:ascii="Arial" w:hAnsi="Arial" w:cs="Arial"/>
          <w:b w:val="0"/>
          <w:color w:val="000000" w:themeColor="text1"/>
          <w:sz w:val="22"/>
          <w:szCs w:val="22"/>
        </w:rPr>
        <w:t xml:space="preserve">of </w:t>
      </w:r>
      <w:r>
        <w:rPr>
          <w:rFonts w:ascii="Arial" w:hAnsi="Arial" w:cs="Arial"/>
          <w:b w:val="0"/>
          <w:color w:val="000000" w:themeColor="text1"/>
          <w:sz w:val="22"/>
          <w:szCs w:val="22"/>
        </w:rPr>
        <w:t xml:space="preserve">overall </w:t>
      </w:r>
      <w:r w:rsidR="00EB1366" w:rsidRPr="00E55378">
        <w:rPr>
          <w:rFonts w:ascii="Arial" w:hAnsi="Arial" w:cs="Arial"/>
          <w:b w:val="0"/>
          <w:color w:val="000000" w:themeColor="text1"/>
          <w:sz w:val="22"/>
          <w:szCs w:val="22"/>
        </w:rPr>
        <w:t xml:space="preserve">underperformance </w:t>
      </w:r>
      <w:r w:rsidR="00DD4E69" w:rsidRPr="00E55378">
        <w:rPr>
          <w:rFonts w:ascii="Arial" w:hAnsi="Arial" w:cs="Arial"/>
          <w:b w:val="0"/>
          <w:color w:val="000000" w:themeColor="text1"/>
          <w:sz w:val="22"/>
          <w:szCs w:val="22"/>
        </w:rPr>
        <w:t>is the Kenya: Solar Lighting Program</w:t>
      </w:r>
      <w:r>
        <w:rPr>
          <w:rFonts w:ascii="Arial" w:hAnsi="Arial" w:cs="Arial"/>
          <w:b w:val="0"/>
          <w:color w:val="000000" w:themeColor="text1"/>
          <w:sz w:val="22"/>
          <w:szCs w:val="22"/>
        </w:rPr>
        <w:t>, where a delay in implementing an associated International Development Association (IDA) operation in Kenya</w:t>
      </w:r>
      <w:r w:rsidR="007C0150">
        <w:rPr>
          <w:rFonts w:ascii="Arial" w:hAnsi="Arial" w:cs="Arial"/>
          <w:b w:val="0"/>
          <w:color w:val="000000" w:themeColor="text1"/>
          <w:sz w:val="22"/>
          <w:szCs w:val="22"/>
        </w:rPr>
        <w:t xml:space="preserve"> meant that no progress could be made</w:t>
      </w:r>
      <w:r w:rsidR="00336A02">
        <w:rPr>
          <w:rFonts w:ascii="Arial" w:hAnsi="Arial" w:cs="Arial"/>
          <w:b w:val="0"/>
          <w:color w:val="000000" w:themeColor="text1"/>
          <w:sz w:val="22"/>
          <w:szCs w:val="22"/>
        </w:rPr>
        <w:t>.</w:t>
      </w:r>
      <w:r w:rsidR="007C0150">
        <w:rPr>
          <w:rFonts w:ascii="Arial" w:hAnsi="Arial" w:cs="Arial"/>
          <w:b w:val="0"/>
          <w:color w:val="000000" w:themeColor="text1"/>
          <w:sz w:val="22"/>
          <w:szCs w:val="22"/>
        </w:rPr>
        <w:t xml:space="preserve"> The Trustee</w:t>
      </w:r>
      <w:r w:rsidR="00C07346">
        <w:rPr>
          <w:rFonts w:ascii="Arial" w:hAnsi="Arial" w:cs="Arial"/>
          <w:b w:val="0"/>
          <w:color w:val="000000" w:themeColor="text1"/>
          <w:sz w:val="22"/>
          <w:szCs w:val="22"/>
        </w:rPr>
        <w:t xml:space="preserve"> made progress on </w:t>
      </w:r>
      <w:r w:rsidR="00F173E6">
        <w:rPr>
          <w:rFonts w:ascii="Arial" w:hAnsi="Arial" w:cs="Arial"/>
          <w:b w:val="0"/>
          <w:color w:val="000000" w:themeColor="text1"/>
          <w:sz w:val="22"/>
          <w:szCs w:val="22"/>
        </w:rPr>
        <w:t>carbon aspects of the pro</w:t>
      </w:r>
      <w:r w:rsidR="002C0C99">
        <w:rPr>
          <w:rFonts w:ascii="Arial" w:hAnsi="Arial" w:cs="Arial"/>
          <w:b w:val="0"/>
          <w:color w:val="000000" w:themeColor="text1"/>
          <w:sz w:val="22"/>
          <w:szCs w:val="22"/>
        </w:rPr>
        <w:t xml:space="preserve">ject, </w:t>
      </w:r>
      <w:r w:rsidR="007F6A8E">
        <w:rPr>
          <w:rFonts w:ascii="Arial" w:hAnsi="Arial" w:cs="Arial"/>
          <w:b w:val="0"/>
          <w:color w:val="000000" w:themeColor="text1"/>
          <w:sz w:val="22"/>
          <w:szCs w:val="22"/>
        </w:rPr>
        <w:t xml:space="preserve">deploying extra resource to help complete </w:t>
      </w:r>
      <w:r w:rsidR="00537C15">
        <w:rPr>
          <w:rFonts w:ascii="Arial" w:hAnsi="Arial" w:cs="Arial"/>
          <w:b w:val="0"/>
          <w:color w:val="000000" w:themeColor="text1"/>
          <w:sz w:val="22"/>
          <w:szCs w:val="22"/>
        </w:rPr>
        <w:t>due diligence and</w:t>
      </w:r>
      <w:r w:rsidR="00F81D95">
        <w:rPr>
          <w:rFonts w:ascii="Arial" w:hAnsi="Arial" w:cs="Arial"/>
          <w:b w:val="0"/>
          <w:color w:val="000000" w:themeColor="text1"/>
          <w:sz w:val="22"/>
          <w:szCs w:val="22"/>
        </w:rPr>
        <w:t xml:space="preserve"> the PE’s operational manual</w:t>
      </w:r>
      <w:r>
        <w:rPr>
          <w:rFonts w:ascii="Arial" w:hAnsi="Arial" w:cs="Arial"/>
          <w:b w:val="0"/>
          <w:color w:val="000000" w:themeColor="text1"/>
          <w:sz w:val="22"/>
          <w:szCs w:val="22"/>
        </w:rPr>
        <w:t>. The Trustee also reported that cost overruns in an IDA project in Mali, as well as the challenging security situation there, have delayed results, but the additional public finance leveraged (see outcome scoring) is likely to help overcome these delays.</w:t>
      </w:r>
    </w:p>
    <w:p w14:paraId="2CBEF6FD" w14:textId="685A5228" w:rsidR="005A7831" w:rsidRPr="00E55378" w:rsidRDefault="005A7831" w:rsidP="00673030">
      <w:pPr>
        <w:jc w:val="both"/>
        <w:rPr>
          <w:rFonts w:cs="Arial"/>
          <w:sz w:val="22"/>
          <w:szCs w:val="22"/>
        </w:rPr>
      </w:pPr>
    </w:p>
    <w:p w14:paraId="5F42B79D" w14:textId="49999674" w:rsidR="00784345" w:rsidRDefault="00A76ACB" w:rsidP="00673030">
      <w:pPr>
        <w:jc w:val="both"/>
        <w:rPr>
          <w:rFonts w:cs="Arial"/>
          <w:sz w:val="22"/>
          <w:szCs w:val="22"/>
        </w:rPr>
      </w:pPr>
      <w:r>
        <w:rPr>
          <w:rFonts w:cs="Arial"/>
          <w:sz w:val="22"/>
          <w:szCs w:val="22"/>
        </w:rPr>
        <w:t xml:space="preserve">In Ethiopia: Biogas, </w:t>
      </w:r>
      <w:r w:rsidR="00187A87">
        <w:rPr>
          <w:rFonts w:cs="Arial"/>
          <w:sz w:val="22"/>
          <w:szCs w:val="22"/>
        </w:rPr>
        <w:t xml:space="preserve">the Trustee has worked to ensure </w:t>
      </w:r>
      <w:r>
        <w:rPr>
          <w:rFonts w:cs="Arial"/>
          <w:sz w:val="22"/>
          <w:szCs w:val="22"/>
        </w:rPr>
        <w:t xml:space="preserve">closer alignment to some EU activity </w:t>
      </w:r>
      <w:r w:rsidR="00187A87">
        <w:rPr>
          <w:rFonts w:cs="Arial"/>
          <w:sz w:val="22"/>
          <w:szCs w:val="22"/>
        </w:rPr>
        <w:t xml:space="preserve">so that </w:t>
      </w:r>
      <w:r w:rsidR="003227EB">
        <w:rPr>
          <w:rFonts w:cs="Arial"/>
          <w:sz w:val="22"/>
          <w:szCs w:val="22"/>
        </w:rPr>
        <w:t>EU</w:t>
      </w:r>
      <w:r w:rsidR="00187A87">
        <w:rPr>
          <w:rFonts w:cs="Arial"/>
          <w:sz w:val="22"/>
          <w:szCs w:val="22"/>
        </w:rPr>
        <w:t xml:space="preserve"> </w:t>
      </w:r>
      <w:r w:rsidR="003227EB">
        <w:rPr>
          <w:rFonts w:cs="Arial"/>
          <w:sz w:val="22"/>
          <w:szCs w:val="22"/>
        </w:rPr>
        <w:t xml:space="preserve">financing for a national biogas programme will also benefit areas of the market targeted by the Ci-Dev </w:t>
      </w:r>
      <w:r w:rsidR="003227EB">
        <w:rPr>
          <w:rFonts w:cs="Arial"/>
          <w:sz w:val="22"/>
          <w:szCs w:val="22"/>
        </w:rPr>
        <w:lastRenderedPageBreak/>
        <w:t>project. Readiness grant disbursal in Uganda helped to upgrade the country’s capacity for national rural electrification</w:t>
      </w:r>
      <w:r w:rsidR="00AE6882">
        <w:rPr>
          <w:rFonts w:cs="Arial"/>
          <w:sz w:val="22"/>
          <w:szCs w:val="22"/>
        </w:rPr>
        <w:t xml:space="preserve"> and this project</w:t>
      </w:r>
      <w:r w:rsidR="00AD11B6">
        <w:rPr>
          <w:rFonts w:cs="Arial"/>
          <w:sz w:val="22"/>
          <w:szCs w:val="22"/>
        </w:rPr>
        <w:t xml:space="preserve">’s ERPA is being amended to reflect that </w:t>
      </w:r>
      <w:r w:rsidR="005D10BE">
        <w:rPr>
          <w:rFonts w:cs="Arial"/>
          <w:sz w:val="22"/>
          <w:szCs w:val="22"/>
        </w:rPr>
        <w:t xml:space="preserve">in the longer term </w:t>
      </w:r>
      <w:r w:rsidR="00AD11B6">
        <w:rPr>
          <w:rFonts w:cs="Arial"/>
          <w:sz w:val="22"/>
          <w:szCs w:val="22"/>
        </w:rPr>
        <w:t>it is likely to over</w:t>
      </w:r>
      <w:r w:rsidR="005D10BE">
        <w:rPr>
          <w:rFonts w:cs="Arial"/>
          <w:sz w:val="22"/>
          <w:szCs w:val="22"/>
        </w:rPr>
        <w:t xml:space="preserve">achieve </w:t>
      </w:r>
      <w:r w:rsidR="00AD11B6">
        <w:rPr>
          <w:rFonts w:cs="Arial"/>
          <w:sz w:val="22"/>
          <w:szCs w:val="22"/>
        </w:rPr>
        <w:t xml:space="preserve">original ERPA </w:t>
      </w:r>
      <w:r w:rsidR="005D10BE">
        <w:rPr>
          <w:rFonts w:cs="Arial"/>
          <w:sz w:val="22"/>
          <w:szCs w:val="22"/>
        </w:rPr>
        <w:t xml:space="preserve">volumes </w:t>
      </w:r>
      <w:r w:rsidR="00AD11B6">
        <w:rPr>
          <w:rFonts w:cs="Arial"/>
          <w:sz w:val="22"/>
          <w:szCs w:val="22"/>
        </w:rPr>
        <w:t>by</w:t>
      </w:r>
      <w:r w:rsidR="005D10BE">
        <w:rPr>
          <w:rFonts w:cs="Arial"/>
          <w:sz w:val="22"/>
          <w:szCs w:val="22"/>
        </w:rPr>
        <w:t xml:space="preserve"> around 100%</w:t>
      </w:r>
      <w:r w:rsidR="003227EB">
        <w:rPr>
          <w:rFonts w:cs="Arial"/>
          <w:sz w:val="22"/>
          <w:szCs w:val="22"/>
        </w:rPr>
        <w:t xml:space="preserve">. </w:t>
      </w:r>
    </w:p>
    <w:p w14:paraId="753899FD" w14:textId="77777777" w:rsidR="00784345" w:rsidRDefault="00784345" w:rsidP="00673030">
      <w:pPr>
        <w:jc w:val="both"/>
        <w:rPr>
          <w:rFonts w:cs="Arial"/>
          <w:sz w:val="22"/>
          <w:szCs w:val="22"/>
        </w:rPr>
      </w:pPr>
    </w:p>
    <w:p w14:paraId="13197F8F" w14:textId="66B8621B" w:rsidR="00F725C7" w:rsidRDefault="00E550FC" w:rsidP="00673030">
      <w:pPr>
        <w:jc w:val="both"/>
        <w:rPr>
          <w:rFonts w:cs="Arial"/>
          <w:sz w:val="22"/>
          <w:szCs w:val="22"/>
        </w:rPr>
      </w:pPr>
      <w:r>
        <w:rPr>
          <w:rFonts w:cs="Arial"/>
          <w:sz w:val="22"/>
          <w:szCs w:val="22"/>
        </w:rPr>
        <w:t xml:space="preserve">BEIS </w:t>
      </w:r>
      <w:r w:rsidR="00784345">
        <w:rPr>
          <w:rFonts w:cs="Arial"/>
          <w:sz w:val="22"/>
          <w:szCs w:val="22"/>
        </w:rPr>
        <w:t xml:space="preserve">draws </w:t>
      </w:r>
      <w:r>
        <w:rPr>
          <w:rFonts w:cs="Arial"/>
          <w:sz w:val="22"/>
          <w:szCs w:val="22"/>
        </w:rPr>
        <w:t>some confidence from this</w:t>
      </w:r>
      <w:r w:rsidR="00784345">
        <w:rPr>
          <w:rFonts w:cs="Arial"/>
          <w:sz w:val="22"/>
          <w:szCs w:val="22"/>
        </w:rPr>
        <w:t xml:space="preserve"> remedial</w:t>
      </w:r>
      <w:r>
        <w:rPr>
          <w:rFonts w:cs="Arial"/>
          <w:sz w:val="22"/>
          <w:szCs w:val="22"/>
        </w:rPr>
        <w:t xml:space="preserve"> action and </w:t>
      </w:r>
      <w:r w:rsidR="004750D0">
        <w:rPr>
          <w:rFonts w:cs="Arial"/>
          <w:sz w:val="22"/>
          <w:szCs w:val="22"/>
        </w:rPr>
        <w:t>the transpare</w:t>
      </w:r>
      <w:r w:rsidR="00256629">
        <w:rPr>
          <w:rFonts w:cs="Arial"/>
          <w:sz w:val="22"/>
          <w:szCs w:val="22"/>
        </w:rPr>
        <w:t xml:space="preserve">ncy offered by the Trustee’s databases and </w:t>
      </w:r>
      <w:r>
        <w:rPr>
          <w:rFonts w:cs="Arial"/>
          <w:sz w:val="22"/>
          <w:szCs w:val="22"/>
        </w:rPr>
        <w:t xml:space="preserve">recognises </w:t>
      </w:r>
      <w:r w:rsidR="007F263C">
        <w:rPr>
          <w:rFonts w:cs="Arial"/>
          <w:sz w:val="22"/>
          <w:szCs w:val="22"/>
        </w:rPr>
        <w:t>some of the constraints Ci-Dev funding operates under</w:t>
      </w:r>
      <w:r w:rsidR="00E86E5F">
        <w:rPr>
          <w:rFonts w:cs="Arial"/>
          <w:sz w:val="22"/>
          <w:szCs w:val="22"/>
        </w:rPr>
        <w:t xml:space="preserve">, </w:t>
      </w:r>
      <w:r w:rsidR="0085593C">
        <w:rPr>
          <w:rFonts w:cs="Arial"/>
          <w:sz w:val="22"/>
          <w:szCs w:val="22"/>
        </w:rPr>
        <w:t>e.g. with some projects being the first of their kind</w:t>
      </w:r>
      <w:r w:rsidR="00F51D9F">
        <w:rPr>
          <w:rFonts w:cs="Arial"/>
          <w:sz w:val="22"/>
          <w:szCs w:val="22"/>
        </w:rPr>
        <w:t xml:space="preserve"> in a host country</w:t>
      </w:r>
      <w:r w:rsidR="00E86E5F">
        <w:rPr>
          <w:rFonts w:cs="Arial"/>
          <w:sz w:val="22"/>
          <w:szCs w:val="22"/>
        </w:rPr>
        <w:t>, in a difficult operating environment</w:t>
      </w:r>
      <w:r w:rsidR="007F263C">
        <w:rPr>
          <w:rFonts w:cs="Arial"/>
          <w:sz w:val="22"/>
          <w:szCs w:val="22"/>
        </w:rPr>
        <w:t xml:space="preserve">. </w:t>
      </w:r>
      <w:r w:rsidR="00E86E5F">
        <w:rPr>
          <w:rFonts w:cs="Arial"/>
          <w:sz w:val="22"/>
          <w:szCs w:val="22"/>
        </w:rPr>
        <w:t>There is</w:t>
      </w:r>
      <w:r w:rsidR="00940B2A">
        <w:rPr>
          <w:rFonts w:cs="Arial"/>
          <w:sz w:val="22"/>
          <w:szCs w:val="22"/>
        </w:rPr>
        <w:t xml:space="preserve"> therefore a focus on capacity building </w:t>
      </w:r>
      <w:r w:rsidR="003E2DD6">
        <w:rPr>
          <w:rFonts w:cs="Arial"/>
          <w:sz w:val="22"/>
          <w:szCs w:val="22"/>
        </w:rPr>
        <w:t>rather than the quick</w:t>
      </w:r>
      <w:r w:rsidR="00503D8D">
        <w:rPr>
          <w:rFonts w:cs="Arial"/>
          <w:sz w:val="22"/>
          <w:szCs w:val="22"/>
        </w:rPr>
        <w:t xml:space="preserve"> </w:t>
      </w:r>
      <w:r w:rsidR="00940B2A">
        <w:rPr>
          <w:rFonts w:cs="Arial"/>
          <w:sz w:val="22"/>
          <w:szCs w:val="22"/>
        </w:rPr>
        <w:t>deliver</w:t>
      </w:r>
      <w:r w:rsidR="003E2DD6">
        <w:rPr>
          <w:rFonts w:cs="Arial"/>
          <w:sz w:val="22"/>
          <w:szCs w:val="22"/>
        </w:rPr>
        <w:t>y of</w:t>
      </w:r>
      <w:r w:rsidR="00940B2A">
        <w:rPr>
          <w:rFonts w:cs="Arial"/>
          <w:sz w:val="22"/>
          <w:szCs w:val="22"/>
        </w:rPr>
        <w:t xml:space="preserve"> high volumes of CERs</w:t>
      </w:r>
      <w:r w:rsidR="00503D8D">
        <w:rPr>
          <w:rFonts w:cs="Arial"/>
          <w:sz w:val="22"/>
          <w:szCs w:val="22"/>
        </w:rPr>
        <w:t xml:space="preserve">. </w:t>
      </w:r>
      <w:r w:rsidR="00443802">
        <w:rPr>
          <w:rFonts w:cs="Arial"/>
          <w:sz w:val="22"/>
          <w:szCs w:val="22"/>
        </w:rPr>
        <w:t>However</w:t>
      </w:r>
      <w:r w:rsidR="003911B2">
        <w:rPr>
          <w:rFonts w:cs="Arial"/>
          <w:sz w:val="22"/>
          <w:szCs w:val="22"/>
        </w:rPr>
        <w:t>, a 46% achievement means</w:t>
      </w:r>
      <w:r w:rsidR="00443802">
        <w:rPr>
          <w:rFonts w:cs="Arial"/>
          <w:sz w:val="22"/>
          <w:szCs w:val="22"/>
        </w:rPr>
        <w:t xml:space="preserve"> </w:t>
      </w:r>
      <w:r w:rsidR="00C64411">
        <w:rPr>
          <w:rFonts w:cs="Arial"/>
          <w:sz w:val="22"/>
          <w:szCs w:val="22"/>
        </w:rPr>
        <w:t xml:space="preserve">this indicator has been missed. </w:t>
      </w:r>
    </w:p>
    <w:p w14:paraId="34A5767B" w14:textId="4ABF17E9" w:rsidR="00256629" w:rsidRDefault="00256629" w:rsidP="00673030">
      <w:pPr>
        <w:jc w:val="both"/>
        <w:rPr>
          <w:rFonts w:cs="Arial"/>
          <w:sz w:val="22"/>
          <w:szCs w:val="22"/>
        </w:rPr>
      </w:pPr>
    </w:p>
    <w:p w14:paraId="2E599AB2" w14:textId="604D6B30" w:rsidR="00183E57" w:rsidRDefault="00530D16" w:rsidP="00673030">
      <w:pPr>
        <w:jc w:val="both"/>
        <w:rPr>
          <w:rFonts w:cs="Arial"/>
          <w:sz w:val="22"/>
          <w:szCs w:val="22"/>
          <w:lang w:val="en-US"/>
        </w:rPr>
      </w:pPr>
      <w:r w:rsidRPr="00212030">
        <w:rPr>
          <w:rFonts w:cs="Arial"/>
          <w:b/>
          <w:sz w:val="22"/>
          <w:szCs w:val="22"/>
        </w:rPr>
        <w:t>1.3</w:t>
      </w:r>
      <w:r>
        <w:rPr>
          <w:rFonts w:cs="Arial"/>
          <w:sz w:val="22"/>
          <w:szCs w:val="22"/>
        </w:rPr>
        <w:t xml:space="preserve"> </w:t>
      </w:r>
      <w:r w:rsidR="002803A0">
        <w:rPr>
          <w:rFonts w:cs="Arial"/>
          <w:sz w:val="22"/>
          <w:szCs w:val="22"/>
        </w:rPr>
        <w:t xml:space="preserve">This </w:t>
      </w:r>
      <w:r>
        <w:rPr>
          <w:rFonts w:cs="Arial"/>
          <w:sz w:val="22"/>
          <w:szCs w:val="22"/>
        </w:rPr>
        <w:t>m</w:t>
      </w:r>
      <w:r w:rsidRPr="006D1A68">
        <w:rPr>
          <w:rFonts w:cs="Arial"/>
          <w:sz w:val="22"/>
          <w:szCs w:val="22"/>
        </w:rPr>
        <w:t xml:space="preserve">easures </w:t>
      </w:r>
      <w:r w:rsidR="002803A0">
        <w:rPr>
          <w:rFonts w:cs="Arial"/>
          <w:sz w:val="22"/>
          <w:szCs w:val="22"/>
        </w:rPr>
        <w:t xml:space="preserve">the percentage of </w:t>
      </w:r>
      <w:r w:rsidR="00D81F59">
        <w:rPr>
          <w:rFonts w:cs="Arial"/>
          <w:sz w:val="22"/>
          <w:szCs w:val="22"/>
        </w:rPr>
        <w:t xml:space="preserve">actually </w:t>
      </w:r>
      <w:r w:rsidR="002803A0">
        <w:rPr>
          <w:rFonts w:cs="Arial"/>
          <w:sz w:val="22"/>
          <w:szCs w:val="22"/>
        </w:rPr>
        <w:t>achieved emission reductions against</w:t>
      </w:r>
      <w:r w:rsidR="00D81F59">
        <w:rPr>
          <w:rFonts w:cs="Arial"/>
          <w:sz w:val="22"/>
          <w:szCs w:val="22"/>
        </w:rPr>
        <w:t xml:space="preserve"> planned emission reductions over the</w:t>
      </w:r>
      <w:r w:rsidR="008709E3">
        <w:rPr>
          <w:rFonts w:cs="Arial"/>
          <w:sz w:val="22"/>
          <w:szCs w:val="22"/>
        </w:rPr>
        <w:t xml:space="preserve"> review period</w:t>
      </w:r>
      <w:r w:rsidR="00BD03A0" w:rsidRPr="006D1A68">
        <w:rPr>
          <w:rFonts w:cs="Arial"/>
          <w:sz w:val="22"/>
          <w:szCs w:val="22"/>
        </w:rPr>
        <w:t xml:space="preserve">. </w:t>
      </w:r>
      <w:r w:rsidR="00100F00">
        <w:rPr>
          <w:rFonts w:cs="Arial"/>
          <w:bCs/>
          <w:sz w:val="22"/>
          <w:szCs w:val="22"/>
          <w:lang w:eastAsia="en-GB"/>
        </w:rPr>
        <w:t>T</w:t>
      </w:r>
      <w:r w:rsidR="00BD03A0" w:rsidRPr="006D1A68">
        <w:rPr>
          <w:rFonts w:cs="Arial"/>
          <w:bCs/>
          <w:sz w:val="22"/>
          <w:szCs w:val="22"/>
          <w:lang w:eastAsia="en-GB"/>
        </w:rPr>
        <w:t xml:space="preserve">he Trustee </w:t>
      </w:r>
      <w:r w:rsidR="008709E3">
        <w:rPr>
          <w:rFonts w:cs="Arial"/>
          <w:bCs/>
          <w:sz w:val="22"/>
          <w:szCs w:val="22"/>
          <w:lang w:eastAsia="en-GB"/>
        </w:rPr>
        <w:t>achieved</w:t>
      </w:r>
      <w:r w:rsidR="00BD03A0" w:rsidRPr="006D1A68">
        <w:rPr>
          <w:rFonts w:cs="Arial"/>
          <w:bCs/>
          <w:sz w:val="22"/>
          <w:szCs w:val="22"/>
          <w:lang w:eastAsia="en-GB"/>
        </w:rPr>
        <w:t xml:space="preserve"> </w:t>
      </w:r>
      <w:r w:rsidR="00100F00">
        <w:rPr>
          <w:rFonts w:cs="Arial"/>
          <w:bCs/>
          <w:sz w:val="22"/>
          <w:szCs w:val="22"/>
          <w:lang w:eastAsia="en-GB"/>
        </w:rPr>
        <w:t xml:space="preserve">37% </w:t>
      </w:r>
      <w:r w:rsidR="00575CA5">
        <w:rPr>
          <w:rFonts w:cs="Arial"/>
          <w:bCs/>
          <w:sz w:val="22"/>
          <w:szCs w:val="22"/>
          <w:lang w:eastAsia="en-GB"/>
        </w:rPr>
        <w:t>against</w:t>
      </w:r>
      <w:r w:rsidR="00BD03A0" w:rsidRPr="006D1A68">
        <w:rPr>
          <w:rFonts w:cs="Arial"/>
          <w:bCs/>
          <w:sz w:val="22"/>
          <w:szCs w:val="22"/>
          <w:lang w:eastAsia="en-GB"/>
        </w:rPr>
        <w:t xml:space="preserve"> the </w:t>
      </w:r>
      <w:r w:rsidR="00100F00">
        <w:rPr>
          <w:rFonts w:cs="Arial"/>
          <w:bCs/>
          <w:sz w:val="22"/>
          <w:szCs w:val="22"/>
          <w:lang w:eastAsia="en-GB"/>
        </w:rPr>
        <w:t xml:space="preserve">80% </w:t>
      </w:r>
      <w:r w:rsidR="00BD03A0" w:rsidRPr="006D1A68">
        <w:rPr>
          <w:rFonts w:cs="Arial"/>
          <w:bCs/>
          <w:sz w:val="22"/>
          <w:szCs w:val="22"/>
          <w:lang w:eastAsia="en-GB"/>
        </w:rPr>
        <w:t xml:space="preserve">target. </w:t>
      </w:r>
      <w:r w:rsidR="00100F00">
        <w:rPr>
          <w:rFonts w:cs="Arial"/>
          <w:bCs/>
          <w:sz w:val="22"/>
          <w:szCs w:val="22"/>
          <w:lang w:eastAsia="en-GB"/>
        </w:rPr>
        <w:t xml:space="preserve">Three projects saw their first issuances, and two others their second. These included the portfolio’s first electricity access credits, and first issuances from public sector PEs. Other projects had their issuances pushed to 2020. </w:t>
      </w:r>
      <w:r w:rsidR="002F02C7" w:rsidRPr="006D1A68">
        <w:rPr>
          <w:rFonts w:cs="Arial"/>
          <w:bCs/>
          <w:sz w:val="22"/>
          <w:szCs w:val="22"/>
          <w:lang w:eastAsia="en-GB"/>
        </w:rPr>
        <w:t xml:space="preserve">The Trustee has reported that </w:t>
      </w:r>
      <w:r w:rsidR="00BD03A0" w:rsidRPr="006D1A68">
        <w:rPr>
          <w:rFonts w:cs="Arial"/>
          <w:bCs/>
          <w:sz w:val="22"/>
          <w:szCs w:val="22"/>
          <w:lang w:eastAsia="en-GB"/>
        </w:rPr>
        <w:t xml:space="preserve">even with the proper project </w:t>
      </w:r>
      <w:r w:rsidR="00BD03A0" w:rsidRPr="00182A05">
        <w:rPr>
          <w:rFonts w:cs="Arial"/>
          <w:bCs/>
          <w:sz w:val="22"/>
          <w:szCs w:val="22"/>
          <w:lang w:eastAsia="en-GB"/>
        </w:rPr>
        <w:t>design and extensive due diligence, projects in LICs and LDCs continue to require capacity building support.</w:t>
      </w:r>
      <w:r w:rsidR="004560FC">
        <w:rPr>
          <w:rFonts w:cs="Arial"/>
          <w:bCs/>
          <w:sz w:val="22"/>
          <w:szCs w:val="22"/>
          <w:lang w:eastAsia="en-GB"/>
        </w:rPr>
        <w:t xml:space="preserve"> </w:t>
      </w:r>
      <w:r w:rsidR="00183E57">
        <w:rPr>
          <w:rFonts w:cs="Arial"/>
          <w:sz w:val="22"/>
          <w:szCs w:val="22"/>
          <w:lang w:val="en-US"/>
        </w:rPr>
        <w:t xml:space="preserve">While BEIS </w:t>
      </w:r>
      <w:r w:rsidR="004560FC">
        <w:rPr>
          <w:rFonts w:cs="Arial"/>
          <w:sz w:val="22"/>
          <w:szCs w:val="22"/>
          <w:lang w:val="en-US"/>
        </w:rPr>
        <w:t xml:space="preserve">recognises an improvement on last year’s 18% realisation rate, </w:t>
      </w:r>
      <w:r w:rsidR="003911B2">
        <w:rPr>
          <w:rFonts w:cs="Arial"/>
          <w:sz w:val="22"/>
          <w:szCs w:val="22"/>
          <w:lang w:val="en-US"/>
        </w:rPr>
        <w:t xml:space="preserve">a 37% achievement this year means </w:t>
      </w:r>
      <w:r w:rsidR="00F04455">
        <w:rPr>
          <w:rFonts w:cs="Arial"/>
          <w:sz w:val="22"/>
          <w:szCs w:val="22"/>
          <w:lang w:val="en-US"/>
        </w:rPr>
        <w:t xml:space="preserve">this indicator has been </w:t>
      </w:r>
      <w:r w:rsidR="00F56F6E">
        <w:rPr>
          <w:rFonts w:cs="Arial"/>
          <w:sz w:val="22"/>
          <w:szCs w:val="22"/>
          <w:lang w:val="en-US"/>
        </w:rPr>
        <w:t>missed</w:t>
      </w:r>
      <w:r w:rsidR="00F04455">
        <w:rPr>
          <w:rFonts w:cs="Arial"/>
          <w:sz w:val="22"/>
          <w:szCs w:val="22"/>
          <w:lang w:val="en-US"/>
        </w:rPr>
        <w:t xml:space="preserve">. </w:t>
      </w:r>
    </w:p>
    <w:p w14:paraId="13402E8A" w14:textId="77777777" w:rsidR="00874EB8" w:rsidRDefault="00874EB8" w:rsidP="00673030">
      <w:pPr>
        <w:jc w:val="both"/>
        <w:rPr>
          <w:rFonts w:cs="Arial"/>
          <w:sz w:val="22"/>
          <w:szCs w:val="22"/>
          <w:lang w:val="en-US"/>
        </w:rPr>
      </w:pPr>
    </w:p>
    <w:p w14:paraId="10A572A8" w14:textId="64F46F88" w:rsidR="00AA4C6F" w:rsidRDefault="00F04455" w:rsidP="00673030">
      <w:pPr>
        <w:jc w:val="both"/>
        <w:rPr>
          <w:rFonts w:cs="Arial"/>
          <w:sz w:val="22"/>
          <w:szCs w:val="22"/>
          <w:lang w:val="en-US"/>
        </w:rPr>
      </w:pPr>
      <w:r w:rsidRPr="00F04455">
        <w:rPr>
          <w:rFonts w:cs="Arial"/>
          <w:b/>
          <w:sz w:val="22"/>
          <w:szCs w:val="22"/>
          <w:lang w:val="en-US"/>
        </w:rPr>
        <w:t xml:space="preserve">1.4 </w:t>
      </w:r>
      <w:r w:rsidR="00055619">
        <w:rPr>
          <w:rFonts w:cs="Arial"/>
          <w:bCs/>
          <w:sz w:val="22"/>
          <w:szCs w:val="22"/>
          <w:lang w:val="en-US"/>
        </w:rPr>
        <w:t xml:space="preserve">This measures the </w:t>
      </w:r>
      <w:r w:rsidR="00E27802">
        <w:rPr>
          <w:rFonts w:cs="Arial"/>
          <w:bCs/>
          <w:sz w:val="22"/>
          <w:szCs w:val="22"/>
          <w:lang w:val="en-US"/>
        </w:rPr>
        <w:t>percentage of emission reductions that are reported to the UNFCCC</w:t>
      </w:r>
      <w:r w:rsidR="008611E2">
        <w:rPr>
          <w:rFonts w:cs="Arial"/>
          <w:bCs/>
          <w:sz w:val="22"/>
          <w:szCs w:val="22"/>
          <w:lang w:val="en-US"/>
        </w:rPr>
        <w:t xml:space="preserve"> </w:t>
      </w:r>
      <w:r w:rsidR="002F7024">
        <w:rPr>
          <w:rFonts w:cs="Arial"/>
          <w:bCs/>
          <w:sz w:val="22"/>
          <w:szCs w:val="22"/>
          <w:lang w:val="en-US"/>
        </w:rPr>
        <w:t>that</w:t>
      </w:r>
      <w:r w:rsidR="008611E2">
        <w:rPr>
          <w:rFonts w:cs="Arial"/>
          <w:bCs/>
          <w:sz w:val="22"/>
          <w:szCs w:val="22"/>
          <w:lang w:val="en-US"/>
        </w:rPr>
        <w:t xml:space="preserve"> satisfy their criteria</w:t>
      </w:r>
      <w:r w:rsidR="002F7024">
        <w:rPr>
          <w:rFonts w:cs="Arial"/>
          <w:bCs/>
          <w:sz w:val="22"/>
          <w:szCs w:val="22"/>
          <w:lang w:val="en-US"/>
        </w:rPr>
        <w:t xml:space="preserve"> and so are recognized as CDM-grade credits</w:t>
      </w:r>
      <w:r w:rsidR="008611E2">
        <w:rPr>
          <w:rFonts w:cs="Arial"/>
          <w:bCs/>
          <w:sz w:val="22"/>
          <w:szCs w:val="22"/>
          <w:lang w:val="en-US"/>
        </w:rPr>
        <w:t>.</w:t>
      </w:r>
      <w:r w:rsidR="00E27802">
        <w:rPr>
          <w:rFonts w:cs="Arial"/>
          <w:bCs/>
          <w:sz w:val="22"/>
          <w:szCs w:val="22"/>
          <w:lang w:val="en-US"/>
        </w:rPr>
        <w:t xml:space="preserve"> </w:t>
      </w:r>
      <w:r w:rsidR="00512460">
        <w:rPr>
          <w:rFonts w:cs="Arial"/>
          <w:sz w:val="22"/>
          <w:szCs w:val="22"/>
          <w:lang w:val="en-US"/>
        </w:rPr>
        <w:t>We welcome the significant overperformance against this indicator</w:t>
      </w:r>
      <w:r w:rsidR="00C862E1">
        <w:rPr>
          <w:rFonts w:cs="Arial"/>
          <w:sz w:val="22"/>
          <w:szCs w:val="22"/>
          <w:lang w:val="en-US"/>
        </w:rPr>
        <w:t xml:space="preserve"> (80% against a 65% target)</w:t>
      </w:r>
      <w:r w:rsidR="00512460">
        <w:rPr>
          <w:rFonts w:cs="Arial"/>
          <w:sz w:val="22"/>
          <w:szCs w:val="22"/>
          <w:lang w:val="en-US"/>
        </w:rPr>
        <w:t xml:space="preserve">, which </w:t>
      </w:r>
      <w:r w:rsidR="005A47F8">
        <w:rPr>
          <w:rFonts w:cs="Arial"/>
          <w:sz w:val="22"/>
          <w:szCs w:val="22"/>
          <w:lang w:val="en-US"/>
        </w:rPr>
        <w:t xml:space="preserve">suggests </w:t>
      </w:r>
      <w:r w:rsidR="002D5BD4">
        <w:rPr>
          <w:rFonts w:cs="Arial"/>
          <w:sz w:val="22"/>
          <w:szCs w:val="22"/>
          <w:lang w:val="en-US"/>
        </w:rPr>
        <w:t xml:space="preserve">that </w:t>
      </w:r>
      <w:r w:rsidR="00C862E1">
        <w:rPr>
          <w:rFonts w:cs="Arial"/>
          <w:sz w:val="22"/>
          <w:szCs w:val="22"/>
          <w:lang w:val="en-US"/>
        </w:rPr>
        <w:t xml:space="preserve">emission reductions generated by Ci-Dev projects </w:t>
      </w:r>
      <w:r w:rsidR="001E6CF4">
        <w:rPr>
          <w:rFonts w:cs="Arial"/>
          <w:sz w:val="22"/>
          <w:szCs w:val="22"/>
          <w:lang w:val="en-US"/>
        </w:rPr>
        <w:t xml:space="preserve">are good quality </w:t>
      </w:r>
      <w:r w:rsidR="00D14C76">
        <w:rPr>
          <w:rFonts w:cs="Arial"/>
          <w:sz w:val="22"/>
          <w:szCs w:val="22"/>
          <w:lang w:val="en-US"/>
        </w:rPr>
        <w:t xml:space="preserve">and comply </w:t>
      </w:r>
      <w:r w:rsidR="005A47F8">
        <w:rPr>
          <w:rFonts w:cs="Arial"/>
          <w:sz w:val="22"/>
          <w:szCs w:val="22"/>
          <w:lang w:val="en-US"/>
        </w:rPr>
        <w:t xml:space="preserve">closely </w:t>
      </w:r>
      <w:r w:rsidR="00D14C76">
        <w:rPr>
          <w:rFonts w:cs="Arial"/>
          <w:sz w:val="22"/>
          <w:szCs w:val="22"/>
          <w:lang w:val="en-US"/>
        </w:rPr>
        <w:t xml:space="preserve">with </w:t>
      </w:r>
      <w:r w:rsidR="00B152B6">
        <w:rPr>
          <w:rFonts w:cs="Arial"/>
          <w:sz w:val="22"/>
          <w:szCs w:val="22"/>
          <w:lang w:val="en-US"/>
        </w:rPr>
        <w:t xml:space="preserve">UNFCCC </w:t>
      </w:r>
      <w:r w:rsidR="005A47F8">
        <w:rPr>
          <w:rFonts w:cs="Arial"/>
          <w:sz w:val="22"/>
          <w:szCs w:val="22"/>
          <w:lang w:val="en-US"/>
        </w:rPr>
        <w:t xml:space="preserve">requirements. </w:t>
      </w:r>
    </w:p>
    <w:p w14:paraId="3C7133A2" w14:textId="77777777" w:rsidR="00D26331" w:rsidRPr="003E4854" w:rsidRDefault="00D26331" w:rsidP="00673030">
      <w:pPr>
        <w:jc w:val="both"/>
        <w:rPr>
          <w:rFonts w:cs="Arial"/>
          <w:color w:val="000000" w:themeColor="text1"/>
          <w:sz w:val="22"/>
          <w:szCs w:val="22"/>
          <w:lang w:eastAsia="en-GB"/>
        </w:rPr>
      </w:pPr>
    </w:p>
    <w:p w14:paraId="2795EA21" w14:textId="72EA00DE" w:rsidR="0066694D" w:rsidRDefault="0066694D" w:rsidP="00673030">
      <w:pPr>
        <w:contextualSpacing/>
        <w:jc w:val="both"/>
        <w:rPr>
          <w:rFonts w:cs="Arial"/>
          <w:b/>
          <w:bCs/>
          <w:color w:val="000000" w:themeColor="text1"/>
          <w:sz w:val="22"/>
          <w:szCs w:val="22"/>
        </w:rPr>
      </w:pPr>
      <w:r w:rsidRPr="00E40148">
        <w:rPr>
          <w:rFonts w:cs="Arial"/>
          <w:b/>
          <w:bCs/>
          <w:color w:val="000000" w:themeColor="text1"/>
          <w:sz w:val="22"/>
          <w:szCs w:val="22"/>
        </w:rPr>
        <w:t xml:space="preserve">Summary of responses to issues raised in previous annual reviews (where relevant) </w:t>
      </w:r>
    </w:p>
    <w:p w14:paraId="16303DBC" w14:textId="53BD1D27" w:rsidR="00E04CE7" w:rsidRDefault="00E04CE7" w:rsidP="00673030">
      <w:pPr>
        <w:contextualSpacing/>
        <w:jc w:val="both"/>
        <w:rPr>
          <w:rFonts w:cs="Arial"/>
          <w:b/>
          <w:bCs/>
          <w:color w:val="000000" w:themeColor="text1"/>
          <w:sz w:val="22"/>
          <w:szCs w:val="22"/>
        </w:rPr>
      </w:pPr>
    </w:p>
    <w:p w14:paraId="39452099" w14:textId="4EF8172E" w:rsidR="00E04CE7" w:rsidRDefault="00E04CE7" w:rsidP="00673030">
      <w:pPr>
        <w:pStyle w:val="ListParagraph"/>
        <w:numPr>
          <w:ilvl w:val="0"/>
          <w:numId w:val="19"/>
        </w:numPr>
        <w:jc w:val="both"/>
        <w:rPr>
          <w:rFonts w:eastAsia="Times New Roman" w:cs="Arial"/>
          <w:sz w:val="22"/>
          <w:szCs w:val="22"/>
          <w:lang w:eastAsia="en-GB"/>
        </w:rPr>
      </w:pPr>
      <w:r w:rsidRPr="00E04CE7">
        <w:rPr>
          <w:rFonts w:eastAsia="Times New Roman" w:cs="Arial"/>
          <w:sz w:val="22"/>
          <w:szCs w:val="22"/>
          <w:lang w:eastAsia="en-GB"/>
        </w:rPr>
        <w:t xml:space="preserve">The </w:t>
      </w:r>
      <w:r w:rsidR="00632C9E">
        <w:rPr>
          <w:rFonts w:eastAsia="Times New Roman" w:cs="Arial"/>
          <w:sz w:val="22"/>
          <w:szCs w:val="22"/>
          <w:lang w:eastAsia="en-GB"/>
        </w:rPr>
        <w:t>Trustee</w:t>
      </w:r>
      <w:r w:rsidRPr="00E04CE7">
        <w:rPr>
          <w:rFonts w:eastAsia="Times New Roman" w:cs="Arial"/>
          <w:sz w:val="22"/>
          <w:szCs w:val="22"/>
          <w:lang w:eastAsia="en-GB"/>
        </w:rPr>
        <w:t xml:space="preserve"> should continue efforts to increase the disbursement rate of the Readiness Fund (RF) so that the rate increases to at least 65% </w:t>
      </w:r>
      <w:r w:rsidR="00FC4521">
        <w:rPr>
          <w:rFonts w:eastAsia="Times New Roman" w:cs="Arial"/>
          <w:sz w:val="22"/>
          <w:szCs w:val="22"/>
          <w:lang w:eastAsia="en-GB"/>
        </w:rPr>
        <w:t>(</w:t>
      </w:r>
      <w:r w:rsidRPr="00E04CE7">
        <w:rPr>
          <w:rFonts w:eastAsia="Times New Roman" w:cs="Arial"/>
          <w:sz w:val="22"/>
          <w:szCs w:val="22"/>
          <w:lang w:eastAsia="en-GB"/>
        </w:rPr>
        <w:t>by the 2020 Semi Annual meeting</w:t>
      </w:r>
      <w:r w:rsidR="00FC4521">
        <w:rPr>
          <w:rFonts w:eastAsia="Times New Roman" w:cs="Arial"/>
          <w:sz w:val="22"/>
          <w:szCs w:val="22"/>
          <w:lang w:eastAsia="en-GB"/>
        </w:rPr>
        <w:t>)</w:t>
      </w:r>
    </w:p>
    <w:p w14:paraId="02CC3376" w14:textId="1045CA0A" w:rsidR="00CF69A1" w:rsidRDefault="00CF69A1" w:rsidP="00CF69A1">
      <w:pPr>
        <w:jc w:val="both"/>
        <w:rPr>
          <w:rFonts w:eastAsia="Times New Roman" w:cs="Arial"/>
          <w:sz w:val="22"/>
          <w:szCs w:val="22"/>
          <w:lang w:eastAsia="en-GB"/>
        </w:rPr>
      </w:pPr>
    </w:p>
    <w:p w14:paraId="6064A837" w14:textId="1044F604" w:rsidR="00CF69A1" w:rsidRPr="00CF69A1" w:rsidRDefault="00CF69A1" w:rsidP="00CF69A1">
      <w:pPr>
        <w:jc w:val="both"/>
        <w:rPr>
          <w:rFonts w:eastAsia="Times New Roman" w:cs="Arial"/>
          <w:sz w:val="22"/>
          <w:szCs w:val="22"/>
          <w:lang w:eastAsia="en-GB"/>
        </w:rPr>
      </w:pPr>
      <w:r w:rsidRPr="00C670AD">
        <w:rPr>
          <w:rFonts w:eastAsia="Times New Roman" w:cs="Arial"/>
          <w:b/>
          <w:bCs/>
          <w:sz w:val="22"/>
          <w:szCs w:val="22"/>
          <w:lang w:eastAsia="en-GB"/>
        </w:rPr>
        <w:t>Unlikely to meet</w:t>
      </w:r>
      <w:r>
        <w:rPr>
          <w:rFonts w:eastAsia="Times New Roman" w:cs="Arial"/>
          <w:sz w:val="22"/>
          <w:szCs w:val="22"/>
          <w:lang w:eastAsia="en-GB"/>
        </w:rPr>
        <w:t xml:space="preserve"> – at the time of writing, the disbursement rate was 47% (actual disbursement) with most of the shortfall attributed to a 15% disbursement rate of readiness grants. The overall RF rate including committed spending over the final 5 months of the financial year is 74%. Delays in readiness grant disbursement </w:t>
      </w:r>
      <w:r w:rsidR="00446146">
        <w:rPr>
          <w:rFonts w:eastAsia="Times New Roman" w:cs="Arial"/>
          <w:sz w:val="22"/>
          <w:szCs w:val="22"/>
          <w:lang w:eastAsia="en-GB"/>
        </w:rPr>
        <w:t xml:space="preserve">(a component of the RF) </w:t>
      </w:r>
      <w:r>
        <w:rPr>
          <w:rFonts w:eastAsia="Times New Roman" w:cs="Arial"/>
          <w:sz w:val="22"/>
          <w:szCs w:val="22"/>
          <w:lang w:eastAsia="en-GB"/>
        </w:rPr>
        <w:t>are the main driver behind RF underspend and this is reflected in the final recommendation of this review</w:t>
      </w:r>
      <w:r w:rsidR="00446146">
        <w:rPr>
          <w:rFonts w:eastAsia="Times New Roman" w:cs="Arial"/>
          <w:sz w:val="22"/>
          <w:szCs w:val="22"/>
          <w:lang w:eastAsia="en-GB"/>
        </w:rPr>
        <w:t>, which focusses on those grants</w:t>
      </w:r>
      <w:r>
        <w:rPr>
          <w:rFonts w:eastAsia="Times New Roman" w:cs="Arial"/>
          <w:sz w:val="22"/>
          <w:szCs w:val="22"/>
          <w:lang w:eastAsia="en-GB"/>
        </w:rPr>
        <w:t>.</w:t>
      </w:r>
    </w:p>
    <w:p w14:paraId="517D8863" w14:textId="77777777" w:rsidR="0066694D" w:rsidRPr="00313EBA" w:rsidRDefault="0066694D" w:rsidP="00673030">
      <w:pPr>
        <w:jc w:val="both"/>
        <w:rPr>
          <w:rFonts w:cs="Arial"/>
          <w:b/>
          <w:bCs/>
          <w:color w:val="000000" w:themeColor="text1"/>
          <w:sz w:val="22"/>
          <w:szCs w:val="22"/>
        </w:rPr>
      </w:pPr>
    </w:p>
    <w:p w14:paraId="57E62DD5" w14:textId="6CE5D279" w:rsidR="0066694D" w:rsidRDefault="0066694D" w:rsidP="00673030">
      <w:pPr>
        <w:contextualSpacing/>
        <w:jc w:val="both"/>
        <w:rPr>
          <w:rFonts w:cs="Arial"/>
          <w:b/>
          <w:bCs/>
          <w:color w:val="000000" w:themeColor="text1"/>
          <w:sz w:val="22"/>
          <w:szCs w:val="22"/>
        </w:rPr>
      </w:pPr>
      <w:r>
        <w:rPr>
          <w:rFonts w:cs="Arial"/>
          <w:b/>
          <w:bCs/>
          <w:color w:val="000000" w:themeColor="text1"/>
          <w:sz w:val="22"/>
          <w:szCs w:val="22"/>
        </w:rPr>
        <w:t>Recommendations from this Annual Review</w:t>
      </w:r>
      <w:r w:rsidR="00EA4D2A">
        <w:rPr>
          <w:rFonts w:cs="Arial"/>
          <w:b/>
          <w:bCs/>
          <w:color w:val="000000" w:themeColor="text1"/>
          <w:sz w:val="22"/>
          <w:szCs w:val="22"/>
        </w:rPr>
        <w:t xml:space="preserve"> </w:t>
      </w:r>
    </w:p>
    <w:p w14:paraId="7CD27FF7" w14:textId="328429C8" w:rsidR="00E5001C" w:rsidRDefault="00E5001C" w:rsidP="00673030">
      <w:pPr>
        <w:contextualSpacing/>
        <w:jc w:val="both"/>
        <w:rPr>
          <w:rFonts w:cs="Arial"/>
          <w:b/>
          <w:bCs/>
          <w:color w:val="000000" w:themeColor="text1"/>
          <w:sz w:val="22"/>
          <w:szCs w:val="22"/>
        </w:rPr>
      </w:pPr>
    </w:p>
    <w:p w14:paraId="3DAC2C4B" w14:textId="1803DFFA" w:rsidR="003F7F9D" w:rsidRPr="0062752A" w:rsidRDefault="00533DAF" w:rsidP="0062752A">
      <w:pPr>
        <w:pStyle w:val="ListParagraph"/>
        <w:numPr>
          <w:ilvl w:val="0"/>
          <w:numId w:val="25"/>
        </w:numPr>
        <w:spacing w:after="60"/>
        <w:ind w:left="714" w:hanging="357"/>
        <w:contextualSpacing w:val="0"/>
        <w:jc w:val="both"/>
        <w:rPr>
          <w:sz w:val="22"/>
          <w:szCs w:val="22"/>
        </w:rPr>
      </w:pPr>
      <w:r w:rsidRPr="00EA4D2A">
        <w:rPr>
          <w:sz w:val="22"/>
          <w:szCs w:val="22"/>
        </w:rPr>
        <w:t>The Trustee and BEIS, with input from LTS (the independent evaluators)</w:t>
      </w:r>
      <w:r>
        <w:rPr>
          <w:sz w:val="22"/>
          <w:szCs w:val="22"/>
        </w:rPr>
        <w:t>,</w:t>
      </w:r>
      <w:r w:rsidRPr="00EA4D2A">
        <w:rPr>
          <w:sz w:val="22"/>
          <w:szCs w:val="22"/>
        </w:rPr>
        <w:t xml:space="preserve"> should agree a response plan to </w:t>
      </w:r>
      <w:r>
        <w:rPr>
          <w:sz w:val="22"/>
          <w:szCs w:val="22"/>
        </w:rPr>
        <w:t xml:space="preserve">the recommendations made by </w:t>
      </w:r>
      <w:r w:rsidRPr="00EA4D2A">
        <w:rPr>
          <w:sz w:val="22"/>
          <w:szCs w:val="22"/>
        </w:rPr>
        <w:t xml:space="preserve">LTS’s </w:t>
      </w:r>
      <w:r>
        <w:rPr>
          <w:sz w:val="22"/>
          <w:szCs w:val="22"/>
        </w:rPr>
        <w:t>mid-term evaluation</w:t>
      </w:r>
      <w:r w:rsidRPr="00EA4D2A">
        <w:rPr>
          <w:sz w:val="22"/>
          <w:szCs w:val="22"/>
        </w:rPr>
        <w:t xml:space="preserve"> of the programme</w:t>
      </w:r>
      <w:r>
        <w:rPr>
          <w:sz w:val="22"/>
          <w:szCs w:val="22"/>
        </w:rPr>
        <w:t>,</w:t>
      </w:r>
      <w:r w:rsidRPr="00EA4D2A" w:rsidDel="00D220E9">
        <w:rPr>
          <w:sz w:val="22"/>
          <w:szCs w:val="22"/>
        </w:rPr>
        <w:t xml:space="preserve"> </w:t>
      </w:r>
      <w:r>
        <w:rPr>
          <w:sz w:val="22"/>
          <w:szCs w:val="22"/>
        </w:rPr>
        <w:t>by the end of September 2020.</w:t>
      </w:r>
    </w:p>
    <w:p w14:paraId="55CD934C" w14:textId="63111A9B" w:rsidR="00CB541C" w:rsidRPr="0062752A" w:rsidRDefault="001649D9" w:rsidP="0062752A">
      <w:pPr>
        <w:pStyle w:val="ListParagraph"/>
        <w:numPr>
          <w:ilvl w:val="0"/>
          <w:numId w:val="25"/>
        </w:numPr>
        <w:spacing w:after="60"/>
        <w:ind w:left="714" w:hanging="357"/>
        <w:contextualSpacing w:val="0"/>
        <w:jc w:val="both"/>
        <w:rPr>
          <w:sz w:val="22"/>
          <w:szCs w:val="22"/>
        </w:rPr>
      </w:pPr>
      <w:r>
        <w:rPr>
          <w:rFonts w:cs="Arial"/>
          <w:sz w:val="22"/>
          <w:szCs w:val="18"/>
          <w:lang w:eastAsia="en-GB"/>
        </w:rPr>
        <w:t xml:space="preserve">At each annual meeting, </w:t>
      </w:r>
      <w:r w:rsidRPr="00B34703">
        <w:rPr>
          <w:rFonts w:cs="Arial"/>
          <w:sz w:val="22"/>
          <w:szCs w:val="18"/>
          <w:lang w:eastAsia="en-GB"/>
        </w:rPr>
        <w:t xml:space="preserve">the Trustee and </w:t>
      </w:r>
      <w:r>
        <w:rPr>
          <w:rFonts w:cs="Arial"/>
          <w:sz w:val="22"/>
          <w:szCs w:val="18"/>
          <w:lang w:eastAsia="en-GB"/>
        </w:rPr>
        <w:t>Contributors</w:t>
      </w:r>
      <w:r w:rsidRPr="00B34703">
        <w:rPr>
          <w:rFonts w:cs="Arial"/>
          <w:sz w:val="22"/>
          <w:szCs w:val="18"/>
          <w:lang w:eastAsia="en-GB"/>
        </w:rPr>
        <w:t xml:space="preserve"> should </w:t>
      </w:r>
      <w:r>
        <w:rPr>
          <w:rFonts w:cs="Arial"/>
          <w:sz w:val="22"/>
          <w:szCs w:val="18"/>
          <w:lang w:eastAsia="en-GB"/>
        </w:rPr>
        <w:t>assess if there is a clear</w:t>
      </w:r>
      <w:r w:rsidRPr="00B34703">
        <w:rPr>
          <w:rFonts w:cs="Arial"/>
          <w:sz w:val="22"/>
          <w:szCs w:val="18"/>
          <w:lang w:eastAsia="en-GB"/>
        </w:rPr>
        <w:t xml:space="preserve"> justification for continued support</w:t>
      </w:r>
      <w:r>
        <w:rPr>
          <w:rFonts w:cs="Arial"/>
          <w:sz w:val="22"/>
          <w:szCs w:val="18"/>
          <w:lang w:eastAsia="en-GB"/>
        </w:rPr>
        <w:t xml:space="preserve"> for projects that </w:t>
      </w:r>
      <w:r w:rsidRPr="00B34703">
        <w:rPr>
          <w:rFonts w:cs="Arial"/>
          <w:sz w:val="22"/>
          <w:szCs w:val="18"/>
          <w:lang w:eastAsia="en-GB"/>
        </w:rPr>
        <w:t>underperform due to non-compliance</w:t>
      </w:r>
      <w:r>
        <w:rPr>
          <w:rFonts w:cs="Arial"/>
          <w:sz w:val="22"/>
          <w:szCs w:val="18"/>
          <w:lang w:eastAsia="en-GB"/>
        </w:rPr>
        <w:t xml:space="preserve"> with Ci-Dev’s requirements</w:t>
      </w:r>
      <w:r w:rsidRPr="00B34703">
        <w:rPr>
          <w:rFonts w:cs="Arial"/>
          <w:sz w:val="22"/>
          <w:szCs w:val="18"/>
          <w:lang w:eastAsia="en-GB"/>
        </w:rPr>
        <w:t xml:space="preserve"> or persistent and recurring challenges which are not within the Trustee’s </w:t>
      </w:r>
      <w:r>
        <w:rPr>
          <w:rFonts w:cs="Arial"/>
          <w:sz w:val="22"/>
          <w:szCs w:val="18"/>
          <w:lang w:eastAsia="en-GB"/>
        </w:rPr>
        <w:t>power</w:t>
      </w:r>
      <w:r w:rsidRPr="00B34703">
        <w:rPr>
          <w:rFonts w:cs="Arial"/>
          <w:sz w:val="22"/>
          <w:szCs w:val="18"/>
          <w:lang w:eastAsia="en-GB"/>
        </w:rPr>
        <w:t xml:space="preserve"> to resolve</w:t>
      </w:r>
      <w:r>
        <w:rPr>
          <w:rFonts w:cs="Arial"/>
          <w:sz w:val="22"/>
          <w:szCs w:val="18"/>
          <w:lang w:eastAsia="en-GB"/>
        </w:rPr>
        <w:t>.</w:t>
      </w:r>
      <w:r w:rsidRPr="00B34703" w:rsidDel="006D70BA">
        <w:rPr>
          <w:sz w:val="22"/>
          <w:szCs w:val="22"/>
        </w:rPr>
        <w:t xml:space="preserve"> </w:t>
      </w:r>
    </w:p>
    <w:p w14:paraId="76DA68C7" w14:textId="1384609F" w:rsidR="00322F1D" w:rsidRPr="0062752A" w:rsidRDefault="006D5626" w:rsidP="00322F1D">
      <w:pPr>
        <w:pStyle w:val="ListParagraph"/>
        <w:numPr>
          <w:ilvl w:val="0"/>
          <w:numId w:val="25"/>
        </w:numPr>
        <w:spacing w:after="60"/>
        <w:ind w:left="714" w:hanging="357"/>
        <w:contextualSpacing w:val="0"/>
        <w:jc w:val="both"/>
        <w:rPr>
          <w:sz w:val="22"/>
          <w:szCs w:val="22"/>
        </w:rPr>
      </w:pPr>
      <w:r w:rsidRPr="00EA4D2A">
        <w:rPr>
          <w:sz w:val="22"/>
          <w:szCs w:val="22"/>
        </w:rPr>
        <w:t xml:space="preserve">The Bank should </w:t>
      </w:r>
      <w:r>
        <w:rPr>
          <w:sz w:val="22"/>
          <w:szCs w:val="22"/>
        </w:rPr>
        <w:t>present options by the end of October 2020 for increasing the disbursement rate of readiness grants to 100% by the end of 2021. These could include ‘pre-approving’ a standard readiness grant for each new or updated Ci-Dev commercial agreement, re-considering the proportion of bank-executed vs client-executed grants, revising the approach to budgeting</w:t>
      </w:r>
      <w:r w:rsidR="00ED2C75">
        <w:rPr>
          <w:sz w:val="22"/>
          <w:szCs w:val="22"/>
        </w:rPr>
        <w:t xml:space="preserve"> so that forecasts are made more accurate</w:t>
      </w:r>
      <w:r>
        <w:rPr>
          <w:sz w:val="22"/>
          <w:szCs w:val="22"/>
        </w:rPr>
        <w:t xml:space="preserve">, or increasing support to PEs so they are better enabled to access readiness grants – which have been demonstrated as a very effective tool to build capacity among Ci-Dev stakeholders. </w:t>
      </w:r>
    </w:p>
    <w:p w14:paraId="3FE04840" w14:textId="77777777" w:rsidR="00E70FEE" w:rsidRDefault="00E70FEE" w:rsidP="00E70FEE">
      <w:pPr>
        <w:pStyle w:val="ListParagraph"/>
        <w:numPr>
          <w:ilvl w:val="0"/>
          <w:numId w:val="25"/>
        </w:numPr>
        <w:spacing w:after="60"/>
        <w:ind w:left="714" w:hanging="357"/>
        <w:contextualSpacing w:val="0"/>
        <w:jc w:val="both"/>
        <w:rPr>
          <w:sz w:val="22"/>
          <w:szCs w:val="22"/>
        </w:rPr>
      </w:pPr>
      <w:r>
        <w:rPr>
          <w:sz w:val="22"/>
          <w:szCs w:val="22"/>
        </w:rPr>
        <w:t xml:space="preserve">The Trustee should provide a short quarterly update of Covid-19 risks to Ci-Dev projects, and mitigating actions, either as part of semi-annual or annual meetings, or separately. </w:t>
      </w:r>
    </w:p>
    <w:p w14:paraId="37B68B84" w14:textId="77777777" w:rsidR="00E70FEE" w:rsidRPr="00E70FEE" w:rsidRDefault="00E70FEE" w:rsidP="00E70FEE">
      <w:pPr>
        <w:pStyle w:val="ListParagraph"/>
        <w:rPr>
          <w:sz w:val="22"/>
          <w:szCs w:val="22"/>
        </w:rPr>
      </w:pPr>
    </w:p>
    <w:p w14:paraId="1E8D8F13" w14:textId="77777777" w:rsidR="00E70FEE" w:rsidRDefault="00E70FEE" w:rsidP="00E70FEE">
      <w:pPr>
        <w:spacing w:after="60"/>
        <w:jc w:val="both"/>
        <w:rPr>
          <w:sz w:val="22"/>
          <w:szCs w:val="22"/>
        </w:rPr>
      </w:pPr>
    </w:p>
    <w:p w14:paraId="317A608D" w14:textId="77777777" w:rsidR="00E70FEE" w:rsidRDefault="00E70FEE" w:rsidP="00E70FEE">
      <w:pPr>
        <w:spacing w:after="60"/>
        <w:jc w:val="both"/>
        <w:rPr>
          <w:sz w:val="22"/>
          <w:szCs w:val="22"/>
        </w:rPr>
      </w:pPr>
    </w:p>
    <w:tbl>
      <w:tblPr>
        <w:tblStyle w:val="TableGrid"/>
        <w:tblW w:w="0" w:type="auto"/>
        <w:tblInd w:w="108" w:type="dxa"/>
        <w:tblLook w:val="04A0" w:firstRow="1" w:lastRow="0" w:firstColumn="1" w:lastColumn="0" w:noHBand="0" w:noVBand="1"/>
      </w:tblPr>
      <w:tblGrid>
        <w:gridCol w:w="1652"/>
        <w:gridCol w:w="1459"/>
        <w:gridCol w:w="1946"/>
        <w:gridCol w:w="2985"/>
        <w:gridCol w:w="2044"/>
      </w:tblGrid>
      <w:tr w:rsidR="00DB7454" w:rsidRPr="00B77D90" w14:paraId="48DFF2CD" w14:textId="77777777" w:rsidTr="00A22666">
        <w:trPr>
          <w:trHeight w:val="405"/>
        </w:trPr>
        <w:tc>
          <w:tcPr>
            <w:tcW w:w="1652" w:type="dxa"/>
            <w:shd w:val="clear" w:color="auto" w:fill="DBE5F1" w:themeFill="accent1" w:themeFillTint="33"/>
          </w:tcPr>
          <w:p w14:paraId="4D329AE2" w14:textId="77777777" w:rsidR="0091694C" w:rsidRPr="00E40148" w:rsidRDefault="00C95FF7" w:rsidP="00E81F52">
            <w:pPr>
              <w:contextualSpacing/>
              <w:rPr>
                <w:rFonts w:cs="Arial"/>
                <w:b/>
                <w:bCs/>
                <w:color w:val="000000" w:themeColor="text1"/>
                <w:sz w:val="22"/>
                <w:szCs w:val="22"/>
              </w:rPr>
            </w:pPr>
            <w:r w:rsidRPr="00E40148">
              <w:rPr>
                <w:rFonts w:cs="Arial"/>
                <w:bCs/>
                <w:color w:val="000000" w:themeColor="text1"/>
                <w:sz w:val="22"/>
                <w:szCs w:val="22"/>
              </w:rPr>
              <w:lastRenderedPageBreak/>
              <w:br w:type="page"/>
            </w:r>
            <w:r w:rsidR="0091694C" w:rsidRPr="00E40148">
              <w:rPr>
                <w:rFonts w:cs="Arial"/>
                <w:b/>
                <w:bCs/>
                <w:color w:val="000000" w:themeColor="text1"/>
                <w:sz w:val="22"/>
                <w:szCs w:val="22"/>
              </w:rPr>
              <w:t xml:space="preserve">Output Title </w:t>
            </w:r>
          </w:p>
        </w:tc>
        <w:tc>
          <w:tcPr>
            <w:tcW w:w="8434" w:type="dxa"/>
            <w:gridSpan w:val="4"/>
            <w:shd w:val="clear" w:color="auto" w:fill="FFFFFF" w:themeFill="background1"/>
          </w:tcPr>
          <w:p w14:paraId="296CAAC4" w14:textId="4AAE9CA5" w:rsidR="0091694C" w:rsidRPr="00AE2ED1" w:rsidRDefault="00AE2ED1" w:rsidP="00AE2ED1">
            <w:pPr>
              <w:pStyle w:val="NormalWeb"/>
              <w:spacing w:before="0" w:beforeAutospacing="0" w:after="0" w:afterAutospacing="0"/>
              <w:rPr>
                <w:rFonts w:ascii="Arial" w:hAnsi="Arial" w:cs="Arial"/>
                <w:b/>
                <w:sz w:val="22"/>
                <w:szCs w:val="22"/>
              </w:rPr>
            </w:pPr>
            <w:r w:rsidRPr="008E2C22">
              <w:rPr>
                <w:rFonts w:ascii="Arial" w:hAnsi="Arial" w:cs="Arial"/>
                <w:b/>
                <w:sz w:val="22"/>
                <w:szCs w:val="22"/>
              </w:rPr>
              <w:t xml:space="preserve">Ci-Dev </w:t>
            </w:r>
            <w:r w:rsidR="00D00FF5">
              <w:rPr>
                <w:rFonts w:ascii="Arial" w:hAnsi="Arial" w:cs="Arial"/>
                <w:b/>
                <w:sz w:val="22"/>
                <w:szCs w:val="22"/>
              </w:rPr>
              <w:t xml:space="preserve">is </w:t>
            </w:r>
            <w:r w:rsidRPr="008E2C22">
              <w:rPr>
                <w:rFonts w:ascii="Arial" w:hAnsi="Arial" w:cs="Arial"/>
                <w:b/>
                <w:sz w:val="22"/>
                <w:szCs w:val="22"/>
              </w:rPr>
              <w:t xml:space="preserve">prepared for projects to be registered under the UNFCCC mechanism for transferring emission reductions (either pre-2020 CDM or post-2020 Article 6 </w:t>
            </w:r>
            <w:r w:rsidR="003054D1">
              <w:rPr>
                <w:rFonts w:ascii="Arial" w:hAnsi="Arial" w:cs="Arial"/>
                <w:b/>
                <w:sz w:val="22"/>
                <w:szCs w:val="22"/>
              </w:rPr>
              <w:t>co-operative</w:t>
            </w:r>
            <w:r w:rsidR="003054D1" w:rsidRPr="008E2C22">
              <w:rPr>
                <w:rFonts w:ascii="Arial" w:hAnsi="Arial" w:cs="Arial"/>
                <w:b/>
                <w:sz w:val="22"/>
                <w:szCs w:val="22"/>
              </w:rPr>
              <w:t xml:space="preserve"> </w:t>
            </w:r>
            <w:r w:rsidRPr="008E2C22">
              <w:rPr>
                <w:rFonts w:ascii="Arial" w:hAnsi="Arial" w:cs="Arial"/>
                <w:b/>
                <w:sz w:val="22"/>
                <w:szCs w:val="22"/>
              </w:rPr>
              <w:t>approaches)</w:t>
            </w:r>
          </w:p>
        </w:tc>
      </w:tr>
      <w:tr w:rsidR="001D5A21" w:rsidRPr="00B77D90" w14:paraId="219CB27B" w14:textId="77777777" w:rsidTr="00A22666">
        <w:trPr>
          <w:trHeight w:val="405"/>
        </w:trPr>
        <w:tc>
          <w:tcPr>
            <w:tcW w:w="3111" w:type="dxa"/>
            <w:gridSpan w:val="2"/>
            <w:shd w:val="clear" w:color="auto" w:fill="DBE5F1" w:themeFill="accent1" w:themeFillTint="33"/>
          </w:tcPr>
          <w:p w14:paraId="527274E5" w14:textId="77777777" w:rsidR="0091694C" w:rsidRPr="00E40148" w:rsidRDefault="0091694C" w:rsidP="00E81F52">
            <w:pPr>
              <w:contextualSpacing/>
              <w:rPr>
                <w:rFonts w:cs="Arial"/>
                <w:bCs/>
                <w:color w:val="000000" w:themeColor="text1"/>
                <w:sz w:val="22"/>
                <w:szCs w:val="22"/>
              </w:rPr>
            </w:pPr>
            <w:r w:rsidRPr="00E40148">
              <w:rPr>
                <w:rFonts w:cs="Arial"/>
                <w:bCs/>
                <w:color w:val="000000" w:themeColor="text1"/>
                <w:sz w:val="22"/>
                <w:szCs w:val="22"/>
              </w:rPr>
              <w:t>Output number per LF</w:t>
            </w:r>
          </w:p>
        </w:tc>
        <w:tc>
          <w:tcPr>
            <w:tcW w:w="1946" w:type="dxa"/>
          </w:tcPr>
          <w:p w14:paraId="0BFB478B" w14:textId="77777777" w:rsidR="0091694C" w:rsidRPr="00E40148" w:rsidRDefault="00A01BDE" w:rsidP="00E81F52">
            <w:pPr>
              <w:contextualSpacing/>
              <w:rPr>
                <w:rFonts w:cs="Arial"/>
                <w:color w:val="000000" w:themeColor="text1"/>
                <w:sz w:val="22"/>
                <w:szCs w:val="22"/>
              </w:rPr>
            </w:pPr>
            <w:r w:rsidRPr="00E40148">
              <w:rPr>
                <w:rFonts w:cs="Arial"/>
                <w:color w:val="000000" w:themeColor="text1"/>
                <w:sz w:val="22"/>
                <w:szCs w:val="22"/>
              </w:rPr>
              <w:t>2</w:t>
            </w:r>
          </w:p>
        </w:tc>
        <w:tc>
          <w:tcPr>
            <w:tcW w:w="2985" w:type="dxa"/>
            <w:shd w:val="clear" w:color="auto" w:fill="DBE5F1" w:themeFill="accent1" w:themeFillTint="33"/>
          </w:tcPr>
          <w:p w14:paraId="41F44483" w14:textId="77777777" w:rsidR="0091694C" w:rsidRPr="00E40148" w:rsidRDefault="0091694C" w:rsidP="00E81F52">
            <w:pPr>
              <w:contextualSpacing/>
              <w:rPr>
                <w:rFonts w:cs="Arial"/>
                <w:b/>
                <w:color w:val="000000" w:themeColor="text1"/>
                <w:sz w:val="22"/>
                <w:szCs w:val="22"/>
              </w:rPr>
            </w:pPr>
            <w:r w:rsidRPr="00E40148">
              <w:rPr>
                <w:rFonts w:cs="Arial"/>
                <w:b/>
                <w:bCs/>
                <w:color w:val="000000" w:themeColor="text1"/>
                <w:sz w:val="22"/>
                <w:szCs w:val="22"/>
              </w:rPr>
              <w:t xml:space="preserve">Output Score </w:t>
            </w:r>
          </w:p>
        </w:tc>
        <w:tc>
          <w:tcPr>
            <w:tcW w:w="2044" w:type="dxa"/>
          </w:tcPr>
          <w:p w14:paraId="52F52517" w14:textId="2621B51A" w:rsidR="0091694C" w:rsidRPr="00E04CE7" w:rsidRDefault="002E45E4" w:rsidP="00840B58">
            <w:pPr>
              <w:contextualSpacing/>
              <w:rPr>
                <w:rFonts w:cs="Arial"/>
                <w:b/>
                <w:bCs/>
                <w:iCs/>
                <w:color w:val="000000" w:themeColor="text1"/>
                <w:sz w:val="22"/>
                <w:szCs w:val="22"/>
              </w:rPr>
            </w:pPr>
            <w:r>
              <w:rPr>
                <w:rFonts w:cs="Arial"/>
                <w:b/>
                <w:bCs/>
                <w:iCs/>
                <w:color w:val="000000" w:themeColor="text1"/>
                <w:sz w:val="22"/>
                <w:szCs w:val="22"/>
              </w:rPr>
              <w:t>B</w:t>
            </w:r>
          </w:p>
        </w:tc>
      </w:tr>
      <w:tr w:rsidR="001D5A21" w:rsidRPr="00B77D90" w14:paraId="6F47548A" w14:textId="77777777" w:rsidTr="00A22666">
        <w:trPr>
          <w:trHeight w:val="405"/>
        </w:trPr>
        <w:tc>
          <w:tcPr>
            <w:tcW w:w="3111" w:type="dxa"/>
            <w:gridSpan w:val="2"/>
            <w:shd w:val="clear" w:color="auto" w:fill="DBE5F1" w:themeFill="accent1" w:themeFillTint="33"/>
          </w:tcPr>
          <w:p w14:paraId="1377EB55" w14:textId="77777777" w:rsidR="0091694C" w:rsidRPr="00E40148" w:rsidRDefault="0091694C" w:rsidP="00E81F52">
            <w:pPr>
              <w:contextualSpacing/>
              <w:rPr>
                <w:rFonts w:cs="Arial"/>
                <w:color w:val="000000" w:themeColor="text1"/>
                <w:sz w:val="22"/>
                <w:szCs w:val="22"/>
              </w:rPr>
            </w:pPr>
            <w:r w:rsidRPr="00E40148">
              <w:rPr>
                <w:rFonts w:cs="Arial"/>
                <w:bCs/>
                <w:color w:val="000000" w:themeColor="text1"/>
                <w:sz w:val="22"/>
                <w:szCs w:val="22"/>
              </w:rPr>
              <w:t>Risk:</w:t>
            </w:r>
            <w:r w:rsidR="003E02DC" w:rsidRPr="00E40148">
              <w:rPr>
                <w:rFonts w:cs="Arial"/>
                <w:bCs/>
                <w:color w:val="000000" w:themeColor="text1"/>
                <w:sz w:val="22"/>
                <w:szCs w:val="22"/>
              </w:rPr>
              <w:t xml:space="preserve"> </w:t>
            </w:r>
          </w:p>
        </w:tc>
        <w:tc>
          <w:tcPr>
            <w:tcW w:w="1946" w:type="dxa"/>
          </w:tcPr>
          <w:p w14:paraId="7A8BDCC3" w14:textId="53F1AC7E" w:rsidR="0091694C" w:rsidRPr="00E40148" w:rsidRDefault="00641044" w:rsidP="00E81F52">
            <w:pPr>
              <w:contextualSpacing/>
              <w:rPr>
                <w:rFonts w:cs="Arial"/>
                <w:color w:val="000000" w:themeColor="text1"/>
                <w:sz w:val="22"/>
                <w:szCs w:val="22"/>
              </w:rPr>
            </w:pPr>
            <w:r>
              <w:rPr>
                <w:rFonts w:cs="Arial"/>
                <w:color w:val="000000" w:themeColor="text1"/>
                <w:sz w:val="22"/>
                <w:szCs w:val="22"/>
              </w:rPr>
              <w:t>Moderate</w:t>
            </w:r>
          </w:p>
        </w:tc>
        <w:tc>
          <w:tcPr>
            <w:tcW w:w="2985" w:type="dxa"/>
            <w:shd w:val="clear" w:color="auto" w:fill="DBE5F1" w:themeFill="accent1" w:themeFillTint="33"/>
          </w:tcPr>
          <w:p w14:paraId="62A13094" w14:textId="77777777" w:rsidR="0091694C" w:rsidRPr="00E40148" w:rsidRDefault="0091694C" w:rsidP="00E81F52">
            <w:pPr>
              <w:contextualSpacing/>
              <w:rPr>
                <w:rFonts w:cs="Arial"/>
                <w:bCs/>
                <w:color w:val="000000" w:themeColor="text1"/>
                <w:sz w:val="22"/>
                <w:szCs w:val="22"/>
              </w:rPr>
            </w:pPr>
            <w:r w:rsidRPr="00E40148">
              <w:rPr>
                <w:rFonts w:cs="Arial"/>
                <w:bCs/>
                <w:color w:val="000000" w:themeColor="text1"/>
                <w:sz w:val="22"/>
                <w:szCs w:val="22"/>
              </w:rPr>
              <w:t>Impact weighting (%):</w:t>
            </w:r>
          </w:p>
        </w:tc>
        <w:tc>
          <w:tcPr>
            <w:tcW w:w="2044" w:type="dxa"/>
          </w:tcPr>
          <w:p w14:paraId="5CD194D3" w14:textId="734B428C" w:rsidR="0091694C" w:rsidRPr="00E40148" w:rsidRDefault="00641044" w:rsidP="0064722A">
            <w:pPr>
              <w:contextualSpacing/>
              <w:rPr>
                <w:rFonts w:cs="Arial"/>
                <w:color w:val="000000" w:themeColor="text1"/>
                <w:sz w:val="22"/>
                <w:szCs w:val="22"/>
              </w:rPr>
            </w:pPr>
            <w:r>
              <w:rPr>
                <w:rFonts w:cs="Arial"/>
                <w:bCs/>
                <w:color w:val="000000" w:themeColor="text1"/>
                <w:sz w:val="22"/>
                <w:szCs w:val="22"/>
              </w:rPr>
              <w:t>25%</w:t>
            </w:r>
          </w:p>
        </w:tc>
      </w:tr>
      <w:tr w:rsidR="001D5A21" w:rsidRPr="00B77D90" w14:paraId="4A811CF7" w14:textId="77777777" w:rsidTr="00A22666">
        <w:tc>
          <w:tcPr>
            <w:tcW w:w="3111" w:type="dxa"/>
            <w:gridSpan w:val="2"/>
            <w:shd w:val="clear" w:color="auto" w:fill="DBE5F1" w:themeFill="accent1" w:themeFillTint="33"/>
          </w:tcPr>
          <w:p w14:paraId="1E8335EF" w14:textId="77777777" w:rsidR="0091694C" w:rsidRPr="00E40148" w:rsidRDefault="0091694C" w:rsidP="00E81F52">
            <w:pPr>
              <w:contextualSpacing/>
              <w:rPr>
                <w:rFonts w:cs="Arial"/>
                <w:color w:val="000000" w:themeColor="text1"/>
                <w:sz w:val="22"/>
                <w:szCs w:val="22"/>
              </w:rPr>
            </w:pPr>
            <w:r w:rsidRPr="00E40148">
              <w:rPr>
                <w:rFonts w:cs="Arial"/>
                <w:bCs/>
                <w:color w:val="000000" w:themeColor="text1"/>
                <w:sz w:val="22"/>
                <w:szCs w:val="22"/>
              </w:rPr>
              <w:t xml:space="preserve">Risk revised since last AR? </w:t>
            </w:r>
          </w:p>
        </w:tc>
        <w:tc>
          <w:tcPr>
            <w:tcW w:w="1946" w:type="dxa"/>
          </w:tcPr>
          <w:p w14:paraId="10614B06" w14:textId="7EA62267" w:rsidR="0091694C" w:rsidRPr="00E40148" w:rsidRDefault="00515735" w:rsidP="0066694D">
            <w:pPr>
              <w:contextualSpacing/>
              <w:rPr>
                <w:rFonts w:cs="Arial"/>
                <w:color w:val="000000" w:themeColor="text1"/>
                <w:sz w:val="22"/>
                <w:szCs w:val="22"/>
              </w:rPr>
            </w:pPr>
            <w:r>
              <w:rPr>
                <w:rFonts w:cs="Arial"/>
                <w:color w:val="000000" w:themeColor="text1"/>
                <w:sz w:val="22"/>
                <w:szCs w:val="22"/>
              </w:rPr>
              <w:t>N</w:t>
            </w:r>
            <w:r w:rsidR="00E04CE7">
              <w:rPr>
                <w:rFonts w:cs="Arial"/>
                <w:color w:val="000000" w:themeColor="text1"/>
                <w:sz w:val="22"/>
                <w:szCs w:val="22"/>
              </w:rPr>
              <w:t>o</w:t>
            </w:r>
          </w:p>
        </w:tc>
        <w:tc>
          <w:tcPr>
            <w:tcW w:w="2985" w:type="dxa"/>
            <w:shd w:val="clear" w:color="auto" w:fill="DBE5F1" w:themeFill="accent1" w:themeFillTint="33"/>
          </w:tcPr>
          <w:p w14:paraId="7F87DAE6" w14:textId="77777777" w:rsidR="0091694C" w:rsidRPr="00E40148" w:rsidRDefault="0091694C" w:rsidP="00E81F52">
            <w:pPr>
              <w:contextualSpacing/>
              <w:rPr>
                <w:rFonts w:cs="Arial"/>
                <w:bCs/>
                <w:color w:val="000000" w:themeColor="text1"/>
                <w:sz w:val="22"/>
                <w:szCs w:val="22"/>
              </w:rPr>
            </w:pPr>
            <w:r w:rsidRPr="00E40148">
              <w:rPr>
                <w:rFonts w:cs="Arial"/>
                <w:bCs/>
                <w:color w:val="000000" w:themeColor="text1"/>
                <w:sz w:val="22"/>
                <w:szCs w:val="22"/>
              </w:rPr>
              <w:t xml:space="preserve">Impact weighting % revised since last AR? </w:t>
            </w:r>
          </w:p>
        </w:tc>
        <w:tc>
          <w:tcPr>
            <w:tcW w:w="2044" w:type="dxa"/>
          </w:tcPr>
          <w:p w14:paraId="5A3010C7" w14:textId="77777777" w:rsidR="0066694D" w:rsidRPr="00581E6D" w:rsidRDefault="0066694D" w:rsidP="0066694D">
            <w:pPr>
              <w:contextualSpacing/>
              <w:rPr>
                <w:rFonts w:cs="Arial"/>
                <w:bCs/>
                <w:color w:val="000000" w:themeColor="text1"/>
                <w:sz w:val="22"/>
                <w:szCs w:val="22"/>
              </w:rPr>
            </w:pPr>
            <w:r>
              <w:rPr>
                <w:rFonts w:cs="Arial"/>
                <w:bCs/>
                <w:color w:val="000000" w:themeColor="text1"/>
                <w:sz w:val="22"/>
                <w:szCs w:val="22"/>
              </w:rPr>
              <w:t>Last revised 2018</w:t>
            </w:r>
          </w:p>
          <w:p w14:paraId="1C0A1981" w14:textId="77777777" w:rsidR="0091694C" w:rsidRPr="00E40148" w:rsidRDefault="0091694C" w:rsidP="00E81F52">
            <w:pPr>
              <w:contextualSpacing/>
              <w:rPr>
                <w:rFonts w:cs="Arial"/>
                <w:color w:val="000000" w:themeColor="text1"/>
                <w:sz w:val="22"/>
                <w:szCs w:val="22"/>
              </w:rPr>
            </w:pPr>
          </w:p>
        </w:tc>
      </w:tr>
    </w:tbl>
    <w:p w14:paraId="564104EC" w14:textId="04B7AE4A" w:rsidR="0091694C" w:rsidRPr="00E40148" w:rsidRDefault="003628C0" w:rsidP="00E81F52">
      <w:pPr>
        <w:contextualSpacing/>
        <w:rPr>
          <w:rFonts w:cs="Arial"/>
          <w:b/>
          <w:color w:val="000000" w:themeColor="text1"/>
          <w:sz w:val="22"/>
          <w:szCs w:val="22"/>
        </w:rPr>
      </w:pPr>
      <w:r>
        <w:rPr>
          <w:rFonts w:cs="Arial"/>
          <w:b/>
          <w:color w:val="000000" w:themeColor="text1"/>
          <w:sz w:val="22"/>
          <w:szCs w:val="22"/>
        </w:rPr>
        <w:tab/>
      </w:r>
      <w:r>
        <w:rPr>
          <w:rFonts w:cs="Arial"/>
          <w:b/>
          <w:color w:val="000000" w:themeColor="text1"/>
          <w:sz w:val="22"/>
          <w:szCs w:val="22"/>
        </w:rPr>
        <w:tab/>
      </w:r>
      <w:r>
        <w:rPr>
          <w:rFonts w:cs="Arial"/>
          <w:b/>
          <w:color w:val="000000" w:themeColor="text1"/>
          <w:sz w:val="22"/>
          <w:szCs w:val="22"/>
        </w:rPr>
        <w:tab/>
      </w:r>
      <w:r>
        <w:rPr>
          <w:rFonts w:cs="Arial"/>
          <w:b/>
          <w:color w:val="000000" w:themeColor="text1"/>
          <w:sz w:val="22"/>
          <w:szCs w:val="22"/>
        </w:rPr>
        <w:tab/>
      </w:r>
      <w:r>
        <w:rPr>
          <w:rFonts w:cs="Arial"/>
          <w:b/>
          <w:color w:val="000000" w:themeColor="text1"/>
          <w:sz w:val="22"/>
          <w:szCs w:val="22"/>
        </w:rPr>
        <w:tab/>
      </w:r>
    </w:p>
    <w:tbl>
      <w:tblPr>
        <w:tblStyle w:val="TableGrid"/>
        <w:tblpPr w:leftFromText="180" w:rightFromText="180" w:vertAnchor="text" w:horzAnchor="page" w:tblpX="983" w:tblpY="-10"/>
        <w:tblOverlap w:val="never"/>
        <w:tblW w:w="10308" w:type="dxa"/>
        <w:tblLook w:val="04A0" w:firstRow="1" w:lastRow="0" w:firstColumn="1" w:lastColumn="0" w:noHBand="0" w:noVBand="1"/>
      </w:tblPr>
      <w:tblGrid>
        <w:gridCol w:w="1951"/>
        <w:gridCol w:w="3573"/>
        <w:gridCol w:w="4784"/>
      </w:tblGrid>
      <w:tr w:rsidR="00A43BCB" w:rsidRPr="00B77D90" w14:paraId="4692B404" w14:textId="77777777" w:rsidTr="00E04CE7">
        <w:trPr>
          <w:trHeight w:val="273"/>
        </w:trPr>
        <w:tc>
          <w:tcPr>
            <w:tcW w:w="1951" w:type="dxa"/>
            <w:shd w:val="clear" w:color="auto" w:fill="DBE5F1" w:themeFill="accent1" w:themeFillTint="33"/>
          </w:tcPr>
          <w:p w14:paraId="1766BFBB" w14:textId="77777777" w:rsidR="0091694C" w:rsidRPr="00E40148" w:rsidRDefault="0091694C" w:rsidP="00E81F52">
            <w:pPr>
              <w:contextualSpacing/>
              <w:rPr>
                <w:rFonts w:cs="Arial"/>
                <w:b/>
                <w:bCs/>
                <w:color w:val="000000" w:themeColor="text1"/>
                <w:sz w:val="22"/>
                <w:szCs w:val="22"/>
              </w:rPr>
            </w:pPr>
            <w:r w:rsidRPr="00E40148">
              <w:rPr>
                <w:rFonts w:cs="Arial"/>
                <w:b/>
                <w:bCs/>
                <w:color w:val="000000" w:themeColor="text1"/>
                <w:sz w:val="22"/>
                <w:szCs w:val="22"/>
              </w:rPr>
              <w:t>Indicator(s)</w:t>
            </w:r>
          </w:p>
        </w:tc>
        <w:tc>
          <w:tcPr>
            <w:tcW w:w="3573" w:type="dxa"/>
            <w:shd w:val="clear" w:color="auto" w:fill="DBE5F1" w:themeFill="accent1" w:themeFillTint="33"/>
          </w:tcPr>
          <w:p w14:paraId="5BD63549" w14:textId="77777777" w:rsidR="0091694C" w:rsidRPr="00E40148" w:rsidRDefault="0091694C" w:rsidP="00E81F52">
            <w:pPr>
              <w:contextualSpacing/>
              <w:rPr>
                <w:rFonts w:cs="Arial"/>
                <w:b/>
                <w:bCs/>
                <w:color w:val="000000" w:themeColor="text1"/>
                <w:sz w:val="22"/>
                <w:szCs w:val="22"/>
              </w:rPr>
            </w:pPr>
            <w:r w:rsidRPr="00E40148">
              <w:rPr>
                <w:rFonts w:cs="Arial"/>
                <w:b/>
                <w:bCs/>
                <w:color w:val="000000" w:themeColor="text1"/>
                <w:sz w:val="22"/>
                <w:szCs w:val="22"/>
              </w:rPr>
              <w:t>Milestones</w:t>
            </w:r>
          </w:p>
        </w:tc>
        <w:tc>
          <w:tcPr>
            <w:tcW w:w="4784" w:type="dxa"/>
            <w:shd w:val="clear" w:color="auto" w:fill="DBE5F1" w:themeFill="accent1" w:themeFillTint="33"/>
          </w:tcPr>
          <w:p w14:paraId="43C70EE1" w14:textId="77777777" w:rsidR="0091694C" w:rsidRPr="00E40148" w:rsidRDefault="0091694C" w:rsidP="00E81F52">
            <w:pPr>
              <w:contextualSpacing/>
              <w:rPr>
                <w:rFonts w:cs="Arial"/>
                <w:b/>
                <w:bCs/>
                <w:color w:val="000000" w:themeColor="text1"/>
                <w:sz w:val="22"/>
                <w:szCs w:val="22"/>
              </w:rPr>
            </w:pPr>
            <w:r w:rsidRPr="00E40148">
              <w:rPr>
                <w:rFonts w:cs="Arial"/>
                <w:b/>
                <w:bCs/>
                <w:color w:val="000000" w:themeColor="text1"/>
                <w:sz w:val="22"/>
                <w:szCs w:val="22"/>
              </w:rPr>
              <w:t xml:space="preserve">Progress </w:t>
            </w:r>
          </w:p>
        </w:tc>
      </w:tr>
      <w:tr w:rsidR="00A43BCB" w:rsidRPr="00B77D90" w14:paraId="306C1C69" w14:textId="77777777" w:rsidTr="00E04CE7">
        <w:tc>
          <w:tcPr>
            <w:tcW w:w="1951" w:type="dxa"/>
            <w:vAlign w:val="center"/>
          </w:tcPr>
          <w:p w14:paraId="0510D4F9" w14:textId="04244C47" w:rsidR="0091694C" w:rsidRPr="00E40148" w:rsidRDefault="00285695" w:rsidP="00BC14DF">
            <w:pPr>
              <w:contextualSpacing/>
              <w:rPr>
                <w:rFonts w:cs="Arial"/>
                <w:bCs/>
                <w:color w:val="000000" w:themeColor="text1"/>
                <w:sz w:val="22"/>
                <w:szCs w:val="22"/>
              </w:rPr>
            </w:pPr>
            <w:r>
              <w:rPr>
                <w:rFonts w:cs="Arial"/>
                <w:bCs/>
                <w:color w:val="000000" w:themeColor="text1"/>
                <w:sz w:val="22"/>
                <w:szCs w:val="22"/>
              </w:rPr>
              <w:t>2.1 Effective strategy for post-2020 Ci-Dev transition is developed and implemented</w:t>
            </w:r>
          </w:p>
        </w:tc>
        <w:tc>
          <w:tcPr>
            <w:tcW w:w="3573" w:type="dxa"/>
            <w:vAlign w:val="center"/>
          </w:tcPr>
          <w:p w14:paraId="046B0140" w14:textId="51629FD4" w:rsidR="00DA4AD1" w:rsidRPr="0066694D" w:rsidRDefault="00DA4AD1" w:rsidP="00BC14DF">
            <w:pPr>
              <w:contextualSpacing/>
              <w:jc w:val="both"/>
              <w:rPr>
                <w:rFonts w:cs="Arial"/>
                <w:color w:val="000000" w:themeColor="text1"/>
                <w:sz w:val="22"/>
                <w:szCs w:val="22"/>
              </w:rPr>
            </w:pPr>
            <w:r w:rsidRPr="0066694D">
              <w:rPr>
                <w:rFonts w:cs="Arial"/>
                <w:color w:val="000000" w:themeColor="text1"/>
                <w:sz w:val="22"/>
                <w:szCs w:val="22"/>
              </w:rPr>
              <w:t>201</w:t>
            </w:r>
            <w:r w:rsidR="00E73C32" w:rsidRPr="0066694D">
              <w:rPr>
                <w:rFonts w:cs="Arial"/>
                <w:color w:val="000000" w:themeColor="text1"/>
                <w:sz w:val="22"/>
                <w:szCs w:val="22"/>
              </w:rPr>
              <w:t>8</w:t>
            </w:r>
            <w:r w:rsidRPr="0066694D">
              <w:rPr>
                <w:rFonts w:cs="Arial"/>
                <w:color w:val="000000" w:themeColor="text1"/>
                <w:sz w:val="22"/>
                <w:szCs w:val="22"/>
              </w:rPr>
              <w:t>:</w:t>
            </w:r>
            <w:r w:rsidR="00F2490E" w:rsidRPr="0066694D">
              <w:rPr>
                <w:rFonts w:cs="Arial"/>
                <w:color w:val="000000" w:themeColor="text1"/>
                <w:sz w:val="22"/>
                <w:szCs w:val="22"/>
              </w:rPr>
              <w:t xml:space="preserve"> </w:t>
            </w:r>
            <w:r w:rsidR="00FB4CFE" w:rsidRPr="0066694D">
              <w:rPr>
                <w:rFonts w:cs="Arial"/>
                <w:color w:val="000000" w:themeColor="text1"/>
                <w:sz w:val="22"/>
                <w:szCs w:val="22"/>
              </w:rPr>
              <w:t xml:space="preserve">analysis, risk assessment, contingency planning underway </w:t>
            </w:r>
          </w:p>
          <w:p w14:paraId="08E00E29" w14:textId="64DBF7AF" w:rsidR="0066694D" w:rsidRPr="00AE1C0A" w:rsidRDefault="0066694D" w:rsidP="00BC14DF">
            <w:pPr>
              <w:contextualSpacing/>
              <w:jc w:val="both"/>
              <w:rPr>
                <w:rFonts w:cs="Arial"/>
                <w:b/>
                <w:bCs/>
                <w:color w:val="000000" w:themeColor="text1"/>
                <w:sz w:val="22"/>
                <w:szCs w:val="22"/>
              </w:rPr>
            </w:pPr>
            <w:r w:rsidRPr="00AE1C0A">
              <w:rPr>
                <w:rFonts w:cs="Arial"/>
                <w:b/>
                <w:bCs/>
                <w:color w:val="000000" w:themeColor="text1"/>
                <w:sz w:val="22"/>
                <w:szCs w:val="22"/>
              </w:rPr>
              <w:t>2019:</w:t>
            </w:r>
            <w:r w:rsidR="00AE1C0A" w:rsidRPr="00AE1C0A">
              <w:rPr>
                <w:rFonts w:cs="Arial"/>
                <w:b/>
                <w:bCs/>
                <w:color w:val="000000" w:themeColor="text1"/>
                <w:sz w:val="22"/>
                <w:szCs w:val="22"/>
              </w:rPr>
              <w:t xml:space="preserve"> determine whether to aim for Article 6.2 or 6.4 recognition</w:t>
            </w:r>
          </w:p>
          <w:p w14:paraId="284751EE" w14:textId="6DEF1AB2" w:rsidR="00064868" w:rsidRPr="00E40148" w:rsidRDefault="00DA4AD1" w:rsidP="00BC14DF">
            <w:pPr>
              <w:contextualSpacing/>
              <w:jc w:val="both"/>
              <w:rPr>
                <w:rFonts w:cs="Arial"/>
                <w:bCs/>
                <w:color w:val="000000" w:themeColor="text1"/>
                <w:sz w:val="22"/>
                <w:szCs w:val="22"/>
              </w:rPr>
            </w:pPr>
            <w:r>
              <w:rPr>
                <w:rFonts w:cs="Arial"/>
                <w:bCs/>
                <w:color w:val="000000" w:themeColor="text1"/>
                <w:sz w:val="22"/>
                <w:szCs w:val="22"/>
              </w:rPr>
              <w:t>2025:</w:t>
            </w:r>
            <w:r w:rsidR="00FB4CFE">
              <w:rPr>
                <w:rFonts w:cs="Arial"/>
                <w:bCs/>
                <w:color w:val="000000" w:themeColor="text1"/>
                <w:sz w:val="22"/>
                <w:szCs w:val="22"/>
              </w:rPr>
              <w:t xml:space="preserve"> implement strategy</w:t>
            </w:r>
          </w:p>
        </w:tc>
        <w:tc>
          <w:tcPr>
            <w:tcW w:w="4784" w:type="dxa"/>
            <w:vAlign w:val="center"/>
          </w:tcPr>
          <w:p w14:paraId="7996FCC5" w14:textId="1539A506" w:rsidR="00F41437" w:rsidRPr="00E1172E" w:rsidRDefault="0021352D" w:rsidP="00673030">
            <w:pPr>
              <w:contextualSpacing/>
              <w:jc w:val="both"/>
              <w:rPr>
                <w:rFonts w:cs="Arial"/>
                <w:color w:val="000000" w:themeColor="text1"/>
                <w:sz w:val="22"/>
                <w:szCs w:val="22"/>
              </w:rPr>
            </w:pPr>
            <w:r>
              <w:rPr>
                <w:rFonts w:cs="Arial"/>
                <w:b/>
                <w:color w:val="000000" w:themeColor="text1"/>
                <w:sz w:val="22"/>
                <w:szCs w:val="22"/>
              </w:rPr>
              <w:t>Achieved</w:t>
            </w:r>
            <w:r w:rsidR="00C85667" w:rsidRPr="00882FA4">
              <w:rPr>
                <w:rFonts w:cs="Arial"/>
                <w:b/>
                <w:color w:val="000000" w:themeColor="text1"/>
                <w:sz w:val="22"/>
                <w:szCs w:val="22"/>
              </w:rPr>
              <w:t>:</w:t>
            </w:r>
            <w:r w:rsidR="00AE1C0A">
              <w:rPr>
                <w:rFonts w:cs="Arial"/>
                <w:b/>
                <w:color w:val="000000" w:themeColor="text1"/>
                <w:sz w:val="22"/>
                <w:szCs w:val="22"/>
              </w:rPr>
              <w:t xml:space="preserve"> </w:t>
            </w:r>
            <w:r w:rsidR="000B7B33">
              <w:rPr>
                <w:rFonts w:cs="Arial"/>
                <w:bCs/>
                <w:color w:val="000000" w:themeColor="text1"/>
                <w:sz w:val="22"/>
                <w:szCs w:val="22"/>
              </w:rPr>
              <w:t xml:space="preserve">Following discussions through the review period informed by the Trustee’s work on Ci-Dev’s transition strategy, </w:t>
            </w:r>
            <w:r w:rsidR="00F77245">
              <w:rPr>
                <w:rFonts w:cs="Arial"/>
                <w:bCs/>
                <w:color w:val="000000" w:themeColor="text1"/>
                <w:sz w:val="22"/>
                <w:szCs w:val="22"/>
              </w:rPr>
              <w:t>Contributors</w:t>
            </w:r>
            <w:r w:rsidR="00F04FC4">
              <w:rPr>
                <w:rFonts w:cs="Arial"/>
                <w:bCs/>
                <w:color w:val="000000" w:themeColor="text1"/>
                <w:sz w:val="22"/>
                <w:szCs w:val="22"/>
              </w:rPr>
              <w:t xml:space="preserve"> agreed that Ci-Dev should </w:t>
            </w:r>
            <w:r w:rsidR="00882570">
              <w:rPr>
                <w:rFonts w:cs="Arial"/>
                <w:bCs/>
                <w:color w:val="000000" w:themeColor="text1"/>
                <w:sz w:val="22"/>
                <w:szCs w:val="22"/>
              </w:rPr>
              <w:t xml:space="preserve">initially </w:t>
            </w:r>
            <w:r w:rsidR="00F04FC4">
              <w:rPr>
                <w:rFonts w:cs="Arial"/>
                <w:bCs/>
                <w:color w:val="000000" w:themeColor="text1"/>
                <w:sz w:val="22"/>
                <w:szCs w:val="22"/>
              </w:rPr>
              <w:t xml:space="preserve">aim </w:t>
            </w:r>
            <w:r w:rsidR="00882570">
              <w:rPr>
                <w:rFonts w:cs="Arial"/>
                <w:bCs/>
                <w:color w:val="000000" w:themeColor="text1"/>
                <w:sz w:val="22"/>
                <w:szCs w:val="22"/>
              </w:rPr>
              <w:t xml:space="preserve">to operate </w:t>
            </w:r>
            <w:r w:rsidR="00F04FC4">
              <w:rPr>
                <w:rFonts w:cs="Arial"/>
                <w:bCs/>
                <w:color w:val="000000" w:themeColor="text1"/>
                <w:sz w:val="22"/>
                <w:szCs w:val="22"/>
              </w:rPr>
              <w:t>under Article 6.2</w:t>
            </w:r>
            <w:r w:rsidR="00AE1C0A">
              <w:rPr>
                <w:rFonts w:cs="Arial"/>
                <w:bCs/>
                <w:color w:val="000000" w:themeColor="text1"/>
                <w:sz w:val="22"/>
                <w:szCs w:val="22"/>
              </w:rPr>
              <w:t>.</w:t>
            </w:r>
            <w:r w:rsidR="006F2FF1">
              <w:rPr>
                <w:rFonts w:cs="Arial"/>
                <w:bCs/>
                <w:color w:val="000000" w:themeColor="text1"/>
                <w:sz w:val="22"/>
                <w:szCs w:val="22"/>
              </w:rPr>
              <w:t xml:space="preserve"> </w:t>
            </w:r>
          </w:p>
        </w:tc>
      </w:tr>
      <w:tr w:rsidR="00A43BCB" w:rsidRPr="00B77D90" w14:paraId="68144D9B" w14:textId="77777777" w:rsidTr="00E04CE7">
        <w:trPr>
          <w:trHeight w:val="1063"/>
        </w:trPr>
        <w:tc>
          <w:tcPr>
            <w:tcW w:w="1951" w:type="dxa"/>
            <w:vAlign w:val="center"/>
          </w:tcPr>
          <w:p w14:paraId="69D98DE4" w14:textId="57DA6C7A" w:rsidR="0091694C" w:rsidRPr="00285695" w:rsidRDefault="00285695" w:rsidP="00D17F5F">
            <w:pPr>
              <w:contextualSpacing/>
              <w:rPr>
                <w:rFonts w:cs="Arial"/>
                <w:bCs/>
                <w:color w:val="000000" w:themeColor="text1"/>
                <w:sz w:val="22"/>
                <w:szCs w:val="22"/>
              </w:rPr>
            </w:pPr>
            <w:r w:rsidRPr="00285695">
              <w:rPr>
                <w:rFonts w:cs="Arial"/>
                <w:bCs/>
                <w:color w:val="000000" w:themeColor="text1"/>
                <w:sz w:val="22"/>
                <w:szCs w:val="22"/>
              </w:rPr>
              <w:t>2.2 Number of Standardised Crediting Frameworks</w:t>
            </w:r>
            <w:r w:rsidR="00AA4E1A">
              <w:rPr>
                <w:rStyle w:val="FootnoteReference"/>
                <w:rFonts w:cs="Arial"/>
                <w:color w:val="000000" w:themeColor="text1"/>
                <w:sz w:val="22"/>
                <w:szCs w:val="22"/>
                <w:lang w:eastAsia="en-GB"/>
              </w:rPr>
              <w:footnoteReference w:id="12"/>
            </w:r>
            <w:r w:rsidRPr="00285695">
              <w:rPr>
                <w:rFonts w:cs="Arial"/>
                <w:bCs/>
                <w:color w:val="000000" w:themeColor="text1"/>
                <w:sz w:val="22"/>
                <w:szCs w:val="22"/>
              </w:rPr>
              <w:t xml:space="preserve"> (SCF</w:t>
            </w:r>
            <w:r w:rsidR="00A67E38">
              <w:rPr>
                <w:rFonts w:cs="Arial"/>
                <w:bCs/>
                <w:color w:val="000000" w:themeColor="text1"/>
                <w:sz w:val="22"/>
                <w:szCs w:val="22"/>
              </w:rPr>
              <w:t>s</w:t>
            </w:r>
            <w:r w:rsidRPr="00285695">
              <w:rPr>
                <w:rFonts w:cs="Arial"/>
                <w:bCs/>
                <w:color w:val="000000" w:themeColor="text1"/>
                <w:sz w:val="22"/>
                <w:szCs w:val="22"/>
              </w:rPr>
              <w:t>)</w:t>
            </w:r>
          </w:p>
        </w:tc>
        <w:tc>
          <w:tcPr>
            <w:tcW w:w="3573" w:type="dxa"/>
            <w:vAlign w:val="center"/>
          </w:tcPr>
          <w:p w14:paraId="3F754203" w14:textId="5425F746" w:rsidR="00DA4AD1" w:rsidRPr="0066694D" w:rsidRDefault="00DA4AD1" w:rsidP="00DA4AD1">
            <w:pPr>
              <w:contextualSpacing/>
              <w:rPr>
                <w:rFonts w:cs="Arial"/>
                <w:color w:val="000000" w:themeColor="text1"/>
                <w:sz w:val="22"/>
                <w:szCs w:val="22"/>
              </w:rPr>
            </w:pPr>
            <w:r w:rsidRPr="0066694D">
              <w:rPr>
                <w:rFonts w:cs="Arial"/>
                <w:color w:val="000000" w:themeColor="text1"/>
                <w:sz w:val="22"/>
                <w:szCs w:val="22"/>
              </w:rPr>
              <w:t>201</w:t>
            </w:r>
            <w:r w:rsidR="00E73C32" w:rsidRPr="0066694D">
              <w:rPr>
                <w:rFonts w:cs="Arial"/>
                <w:color w:val="000000" w:themeColor="text1"/>
                <w:sz w:val="22"/>
                <w:szCs w:val="22"/>
              </w:rPr>
              <w:t>8</w:t>
            </w:r>
            <w:r w:rsidRPr="0066694D">
              <w:rPr>
                <w:rFonts w:cs="Arial"/>
                <w:color w:val="000000" w:themeColor="text1"/>
                <w:sz w:val="22"/>
                <w:szCs w:val="22"/>
              </w:rPr>
              <w:t>:</w:t>
            </w:r>
            <w:r w:rsidR="00A52DEC" w:rsidRPr="0066694D">
              <w:rPr>
                <w:rFonts w:cs="Arial"/>
                <w:color w:val="000000" w:themeColor="text1"/>
                <w:sz w:val="22"/>
                <w:szCs w:val="22"/>
              </w:rPr>
              <w:t xml:space="preserve"> </w:t>
            </w:r>
            <w:r w:rsidR="008E32DA" w:rsidRPr="0066694D">
              <w:rPr>
                <w:rFonts w:cs="Arial"/>
                <w:color w:val="000000" w:themeColor="text1"/>
                <w:sz w:val="22"/>
                <w:szCs w:val="22"/>
              </w:rPr>
              <w:t>2</w:t>
            </w:r>
          </w:p>
          <w:p w14:paraId="583195EA" w14:textId="28553A76" w:rsidR="0066694D" w:rsidRPr="00AE1C0A" w:rsidRDefault="0066694D" w:rsidP="00DA4AD1">
            <w:pPr>
              <w:contextualSpacing/>
              <w:rPr>
                <w:rFonts w:cs="Arial"/>
                <w:b/>
                <w:color w:val="000000" w:themeColor="text1"/>
                <w:sz w:val="22"/>
                <w:szCs w:val="22"/>
              </w:rPr>
            </w:pPr>
            <w:r w:rsidRPr="00AE1C0A">
              <w:rPr>
                <w:rFonts w:cs="Arial"/>
                <w:b/>
                <w:color w:val="000000" w:themeColor="text1"/>
                <w:sz w:val="22"/>
                <w:szCs w:val="22"/>
              </w:rPr>
              <w:t>2019:</w:t>
            </w:r>
            <w:r w:rsidR="00AE1C0A" w:rsidRPr="00AE1C0A">
              <w:rPr>
                <w:rFonts w:cs="Arial"/>
                <w:b/>
                <w:color w:val="000000" w:themeColor="text1"/>
                <w:sz w:val="22"/>
                <w:szCs w:val="22"/>
              </w:rPr>
              <w:t xml:space="preserve"> 3</w:t>
            </w:r>
          </w:p>
          <w:p w14:paraId="56B50877" w14:textId="5D0D097B" w:rsidR="00064868" w:rsidRPr="00E40148" w:rsidRDefault="00DA4AD1" w:rsidP="00DA4AD1">
            <w:pPr>
              <w:contextualSpacing/>
              <w:rPr>
                <w:rFonts w:cs="Arial"/>
                <w:bCs/>
                <w:color w:val="000000" w:themeColor="text1"/>
                <w:sz w:val="22"/>
                <w:szCs w:val="22"/>
                <w:lang w:eastAsia="en-GB"/>
              </w:rPr>
            </w:pPr>
            <w:r>
              <w:rPr>
                <w:rFonts w:cs="Arial"/>
                <w:bCs/>
                <w:color w:val="000000" w:themeColor="text1"/>
                <w:sz w:val="22"/>
                <w:szCs w:val="22"/>
              </w:rPr>
              <w:t>2025:</w:t>
            </w:r>
            <w:r w:rsidR="00A52DEC">
              <w:rPr>
                <w:rFonts w:cs="Arial"/>
                <w:bCs/>
                <w:color w:val="000000" w:themeColor="text1"/>
                <w:sz w:val="22"/>
                <w:szCs w:val="22"/>
              </w:rPr>
              <w:t xml:space="preserve"> 3</w:t>
            </w:r>
          </w:p>
        </w:tc>
        <w:tc>
          <w:tcPr>
            <w:tcW w:w="4784" w:type="dxa"/>
            <w:vAlign w:val="center"/>
          </w:tcPr>
          <w:p w14:paraId="399018CD" w14:textId="518869FB" w:rsidR="0091694C" w:rsidRPr="00E40148" w:rsidRDefault="00EF0762" w:rsidP="00673030">
            <w:pPr>
              <w:contextualSpacing/>
              <w:jc w:val="both"/>
              <w:rPr>
                <w:rFonts w:cs="Arial"/>
                <w:bCs/>
                <w:color w:val="000000" w:themeColor="text1"/>
                <w:sz w:val="22"/>
                <w:szCs w:val="22"/>
                <w:lang w:eastAsia="en-GB"/>
              </w:rPr>
            </w:pPr>
            <w:r>
              <w:rPr>
                <w:rFonts w:cs="Arial"/>
                <w:b/>
                <w:bCs/>
                <w:color w:val="000000" w:themeColor="text1"/>
                <w:sz w:val="22"/>
                <w:szCs w:val="22"/>
                <w:lang w:eastAsia="en-GB"/>
              </w:rPr>
              <w:t>Missed</w:t>
            </w:r>
            <w:r w:rsidR="00DB3F46" w:rsidRPr="00882FA4">
              <w:rPr>
                <w:rFonts w:cs="Arial"/>
                <w:b/>
                <w:bCs/>
                <w:color w:val="000000" w:themeColor="text1"/>
                <w:sz w:val="22"/>
                <w:szCs w:val="22"/>
                <w:lang w:eastAsia="en-GB"/>
              </w:rPr>
              <w:t>:</w:t>
            </w:r>
            <w:r w:rsidR="00DB3F46">
              <w:rPr>
                <w:rFonts w:cs="Arial"/>
                <w:bCs/>
                <w:color w:val="000000" w:themeColor="text1"/>
                <w:sz w:val="22"/>
                <w:szCs w:val="22"/>
                <w:lang w:eastAsia="en-GB"/>
              </w:rPr>
              <w:t xml:space="preserve"> A second SCF in Rwanda </w:t>
            </w:r>
            <w:r w:rsidR="00AE1C0A">
              <w:rPr>
                <w:rFonts w:cs="Arial"/>
                <w:bCs/>
                <w:color w:val="000000" w:themeColor="text1"/>
                <w:sz w:val="22"/>
                <w:szCs w:val="22"/>
                <w:lang w:eastAsia="en-GB"/>
              </w:rPr>
              <w:t xml:space="preserve">is </w:t>
            </w:r>
            <w:r w:rsidR="00F92269">
              <w:rPr>
                <w:rFonts w:cs="Arial"/>
                <w:bCs/>
                <w:color w:val="000000" w:themeColor="text1"/>
                <w:sz w:val="22"/>
                <w:szCs w:val="22"/>
                <w:lang w:eastAsia="en-GB"/>
              </w:rPr>
              <w:t>operational</w:t>
            </w:r>
            <w:r w:rsidR="00AE1C0A">
              <w:rPr>
                <w:rFonts w:cs="Arial"/>
                <w:bCs/>
                <w:color w:val="000000" w:themeColor="text1"/>
                <w:sz w:val="22"/>
                <w:szCs w:val="22"/>
                <w:lang w:eastAsia="en-GB"/>
              </w:rPr>
              <w:t xml:space="preserve">. Work </w:t>
            </w:r>
            <w:r w:rsidR="00AB5338">
              <w:rPr>
                <w:rFonts w:cs="Arial"/>
                <w:bCs/>
                <w:color w:val="000000" w:themeColor="text1"/>
                <w:sz w:val="22"/>
                <w:szCs w:val="22"/>
                <w:lang w:eastAsia="en-GB"/>
              </w:rPr>
              <w:t>on a third was</w:t>
            </w:r>
            <w:r w:rsidR="0022634E">
              <w:rPr>
                <w:rFonts w:cs="Arial"/>
                <w:bCs/>
                <w:color w:val="000000" w:themeColor="text1"/>
                <w:sz w:val="22"/>
                <w:szCs w:val="22"/>
                <w:lang w:eastAsia="en-GB"/>
              </w:rPr>
              <w:t xml:space="preserve"> paused in light of local capacity issues</w:t>
            </w:r>
            <w:r w:rsidR="006110DB">
              <w:rPr>
                <w:rFonts w:cs="Arial"/>
                <w:bCs/>
                <w:color w:val="000000" w:themeColor="text1"/>
                <w:sz w:val="22"/>
                <w:szCs w:val="22"/>
                <w:lang w:eastAsia="en-GB"/>
              </w:rPr>
              <w:t xml:space="preserve"> and work</w:t>
            </w:r>
            <w:r w:rsidR="0022634E">
              <w:rPr>
                <w:rFonts w:cs="Arial"/>
                <w:bCs/>
                <w:color w:val="000000" w:themeColor="text1"/>
                <w:sz w:val="22"/>
                <w:szCs w:val="22"/>
                <w:lang w:eastAsia="en-GB"/>
              </w:rPr>
              <w:t xml:space="preserve"> </w:t>
            </w:r>
            <w:r w:rsidR="00AE1C0A">
              <w:rPr>
                <w:rFonts w:cs="Arial"/>
                <w:bCs/>
                <w:color w:val="000000" w:themeColor="text1"/>
                <w:sz w:val="22"/>
                <w:szCs w:val="22"/>
                <w:lang w:eastAsia="en-GB"/>
              </w:rPr>
              <w:t>to identify and take forward future SCFs progress</w:t>
            </w:r>
            <w:r w:rsidR="00BE3692">
              <w:rPr>
                <w:rFonts w:cs="Arial"/>
                <w:bCs/>
                <w:color w:val="000000" w:themeColor="text1"/>
                <w:sz w:val="22"/>
                <w:szCs w:val="22"/>
                <w:lang w:eastAsia="en-GB"/>
              </w:rPr>
              <w:t>ed well</w:t>
            </w:r>
            <w:r w:rsidR="00AE1C0A">
              <w:rPr>
                <w:rFonts w:cs="Arial"/>
                <w:bCs/>
                <w:color w:val="000000" w:themeColor="text1"/>
                <w:sz w:val="22"/>
                <w:szCs w:val="22"/>
                <w:lang w:eastAsia="en-GB"/>
              </w:rPr>
              <w:t xml:space="preserve">. </w:t>
            </w:r>
          </w:p>
        </w:tc>
      </w:tr>
    </w:tbl>
    <w:p w14:paraId="6DF22B0B" w14:textId="77777777" w:rsidR="00464FCB" w:rsidRPr="00E40148" w:rsidRDefault="0091694C" w:rsidP="00E81F52">
      <w:pPr>
        <w:contextualSpacing/>
        <w:rPr>
          <w:rFonts w:cs="Arial"/>
          <w:b/>
          <w:color w:val="000000" w:themeColor="text1"/>
          <w:sz w:val="22"/>
          <w:szCs w:val="22"/>
        </w:rPr>
      </w:pPr>
      <w:r w:rsidRPr="00E40148">
        <w:rPr>
          <w:rFonts w:cs="Arial"/>
          <w:b/>
          <w:bCs/>
          <w:color w:val="000000" w:themeColor="text1"/>
          <w:sz w:val="22"/>
          <w:szCs w:val="22"/>
        </w:rPr>
        <w:t>Key Points</w:t>
      </w:r>
    </w:p>
    <w:p w14:paraId="7E6A28DF" w14:textId="27A11D26" w:rsidR="00835B29" w:rsidRDefault="00835B29" w:rsidP="00E81F52">
      <w:pPr>
        <w:contextualSpacing/>
        <w:rPr>
          <w:rFonts w:cs="Arial"/>
          <w:color w:val="000000" w:themeColor="text1"/>
          <w:sz w:val="22"/>
          <w:szCs w:val="22"/>
          <w:lang w:eastAsia="en-GB"/>
        </w:rPr>
      </w:pPr>
    </w:p>
    <w:p w14:paraId="3914E44C" w14:textId="2D82F258" w:rsidR="00E11576" w:rsidRDefault="00E617DC" w:rsidP="00BC14DF">
      <w:pPr>
        <w:jc w:val="both"/>
        <w:rPr>
          <w:rFonts w:cs="Arial"/>
          <w:color w:val="000000" w:themeColor="text1"/>
          <w:sz w:val="22"/>
          <w:szCs w:val="22"/>
          <w:lang w:eastAsia="en-GB"/>
        </w:rPr>
      </w:pPr>
      <w:r>
        <w:rPr>
          <w:rFonts w:cs="Arial"/>
          <w:color w:val="000000" w:themeColor="text1"/>
          <w:sz w:val="22"/>
          <w:szCs w:val="22"/>
          <w:lang w:eastAsia="en-GB"/>
        </w:rPr>
        <w:t xml:space="preserve">The </w:t>
      </w:r>
      <w:r w:rsidR="00AE1C0A">
        <w:rPr>
          <w:rFonts w:cs="Arial"/>
          <w:color w:val="000000" w:themeColor="text1"/>
          <w:sz w:val="22"/>
          <w:szCs w:val="22"/>
          <w:lang w:eastAsia="en-GB"/>
        </w:rPr>
        <w:t xml:space="preserve">lack of concrete </w:t>
      </w:r>
      <w:r w:rsidR="00324469">
        <w:rPr>
          <w:rFonts w:cs="Arial"/>
          <w:color w:val="000000" w:themeColor="text1"/>
          <w:sz w:val="22"/>
          <w:szCs w:val="22"/>
          <w:lang w:eastAsia="en-GB"/>
        </w:rPr>
        <w:t>decision</w:t>
      </w:r>
      <w:r w:rsidR="00AE1C0A">
        <w:rPr>
          <w:rFonts w:cs="Arial"/>
          <w:color w:val="000000" w:themeColor="text1"/>
          <w:sz w:val="22"/>
          <w:szCs w:val="22"/>
          <w:lang w:eastAsia="en-GB"/>
        </w:rPr>
        <w:t>s</w:t>
      </w:r>
      <w:r w:rsidR="00324469">
        <w:rPr>
          <w:rFonts w:cs="Arial"/>
          <w:color w:val="000000" w:themeColor="text1"/>
          <w:sz w:val="22"/>
          <w:szCs w:val="22"/>
          <w:lang w:eastAsia="en-GB"/>
        </w:rPr>
        <w:t xml:space="preserve"> at </w:t>
      </w:r>
      <w:r>
        <w:rPr>
          <w:rFonts w:cs="Arial"/>
          <w:color w:val="000000" w:themeColor="text1"/>
          <w:sz w:val="22"/>
          <w:szCs w:val="22"/>
          <w:lang w:eastAsia="en-GB"/>
        </w:rPr>
        <w:t>COP2</w:t>
      </w:r>
      <w:r w:rsidR="00AE1C0A">
        <w:rPr>
          <w:rFonts w:cs="Arial"/>
          <w:color w:val="000000" w:themeColor="text1"/>
          <w:sz w:val="22"/>
          <w:szCs w:val="22"/>
          <w:lang w:eastAsia="en-GB"/>
        </w:rPr>
        <w:t>5</w:t>
      </w:r>
      <w:r>
        <w:rPr>
          <w:rFonts w:cs="Arial"/>
          <w:color w:val="000000" w:themeColor="text1"/>
          <w:sz w:val="22"/>
          <w:szCs w:val="22"/>
          <w:lang w:eastAsia="en-GB"/>
        </w:rPr>
        <w:t xml:space="preserve"> in December 201</w:t>
      </w:r>
      <w:r w:rsidR="00AE1C0A">
        <w:rPr>
          <w:rFonts w:cs="Arial"/>
          <w:color w:val="000000" w:themeColor="text1"/>
          <w:sz w:val="22"/>
          <w:szCs w:val="22"/>
          <w:lang w:eastAsia="en-GB"/>
        </w:rPr>
        <w:t>9</w:t>
      </w:r>
      <w:r w:rsidR="00324469">
        <w:rPr>
          <w:rFonts w:cs="Arial"/>
          <w:color w:val="000000" w:themeColor="text1"/>
          <w:sz w:val="22"/>
          <w:szCs w:val="22"/>
          <w:lang w:eastAsia="en-GB"/>
        </w:rPr>
        <w:t xml:space="preserve"> </w:t>
      </w:r>
      <w:r w:rsidR="00CB66DF">
        <w:rPr>
          <w:rFonts w:cs="Arial"/>
          <w:color w:val="000000" w:themeColor="text1"/>
          <w:sz w:val="22"/>
          <w:szCs w:val="22"/>
          <w:lang w:eastAsia="en-GB"/>
        </w:rPr>
        <w:t xml:space="preserve">means </w:t>
      </w:r>
      <w:r w:rsidR="00055AF5">
        <w:rPr>
          <w:rFonts w:cs="Arial"/>
          <w:color w:val="000000" w:themeColor="text1"/>
          <w:sz w:val="22"/>
          <w:szCs w:val="22"/>
          <w:lang w:eastAsia="en-GB"/>
        </w:rPr>
        <w:t xml:space="preserve">there is </w:t>
      </w:r>
      <w:r w:rsidR="00842301">
        <w:rPr>
          <w:rFonts w:cs="Arial"/>
          <w:color w:val="000000" w:themeColor="text1"/>
          <w:sz w:val="22"/>
          <w:szCs w:val="22"/>
          <w:lang w:eastAsia="en-GB"/>
        </w:rPr>
        <w:t xml:space="preserve">continuing uncertainty around the </w:t>
      </w:r>
      <w:r w:rsidR="00443190">
        <w:rPr>
          <w:rFonts w:cs="Arial"/>
          <w:color w:val="000000" w:themeColor="text1"/>
          <w:sz w:val="22"/>
          <w:szCs w:val="22"/>
          <w:lang w:eastAsia="en-GB"/>
        </w:rPr>
        <w:t xml:space="preserve">international rules </w:t>
      </w:r>
      <w:r w:rsidR="00055AF5">
        <w:rPr>
          <w:rFonts w:cs="Arial"/>
          <w:color w:val="000000" w:themeColor="text1"/>
          <w:sz w:val="22"/>
          <w:szCs w:val="22"/>
          <w:lang w:eastAsia="en-GB"/>
        </w:rPr>
        <w:t xml:space="preserve">that </w:t>
      </w:r>
      <w:r w:rsidR="00443190">
        <w:rPr>
          <w:rFonts w:cs="Arial"/>
          <w:color w:val="000000" w:themeColor="text1"/>
          <w:sz w:val="22"/>
          <w:szCs w:val="22"/>
          <w:lang w:eastAsia="en-GB"/>
        </w:rPr>
        <w:t xml:space="preserve">Ci-Dev will have to </w:t>
      </w:r>
      <w:r w:rsidR="004150D2">
        <w:rPr>
          <w:rFonts w:cs="Arial"/>
          <w:color w:val="000000" w:themeColor="text1"/>
          <w:sz w:val="22"/>
          <w:szCs w:val="22"/>
          <w:lang w:eastAsia="en-GB"/>
        </w:rPr>
        <w:t>follow</w:t>
      </w:r>
      <w:r w:rsidR="00443190">
        <w:rPr>
          <w:rFonts w:cs="Arial"/>
          <w:color w:val="000000" w:themeColor="text1"/>
          <w:sz w:val="22"/>
          <w:szCs w:val="22"/>
          <w:lang w:eastAsia="en-GB"/>
        </w:rPr>
        <w:t>.</w:t>
      </w:r>
      <w:r w:rsidR="000D3192">
        <w:rPr>
          <w:rFonts w:cs="Arial"/>
          <w:color w:val="000000" w:themeColor="text1"/>
          <w:sz w:val="22"/>
          <w:szCs w:val="22"/>
          <w:lang w:eastAsia="en-GB"/>
        </w:rPr>
        <w:t xml:space="preserve"> </w:t>
      </w:r>
      <w:r w:rsidR="00F73969">
        <w:rPr>
          <w:rFonts w:cs="Arial"/>
          <w:color w:val="000000" w:themeColor="text1"/>
          <w:sz w:val="22"/>
          <w:szCs w:val="22"/>
          <w:lang w:eastAsia="en-GB"/>
        </w:rPr>
        <w:t>Projects</w:t>
      </w:r>
      <w:r w:rsidR="001A5DC3">
        <w:rPr>
          <w:rFonts w:cs="Arial"/>
          <w:color w:val="000000" w:themeColor="text1"/>
          <w:sz w:val="22"/>
          <w:szCs w:val="22"/>
          <w:lang w:eastAsia="en-GB"/>
        </w:rPr>
        <w:t xml:space="preserve"> could operate under the terms of </w:t>
      </w:r>
      <w:r w:rsidR="00737040">
        <w:rPr>
          <w:rFonts w:cs="Arial"/>
          <w:color w:val="000000" w:themeColor="text1"/>
          <w:sz w:val="22"/>
          <w:szCs w:val="22"/>
          <w:lang w:eastAsia="en-GB"/>
        </w:rPr>
        <w:t xml:space="preserve">the Paris Agreement’s </w:t>
      </w:r>
      <w:r w:rsidR="001A5DC3">
        <w:rPr>
          <w:rFonts w:cs="Arial"/>
          <w:color w:val="000000" w:themeColor="text1"/>
          <w:sz w:val="22"/>
          <w:szCs w:val="22"/>
          <w:lang w:eastAsia="en-GB"/>
        </w:rPr>
        <w:t>Article 6.2</w:t>
      </w:r>
      <w:r w:rsidR="00737040">
        <w:rPr>
          <w:rFonts w:cs="Arial"/>
          <w:color w:val="000000" w:themeColor="text1"/>
          <w:sz w:val="22"/>
          <w:szCs w:val="22"/>
          <w:lang w:eastAsia="en-GB"/>
        </w:rPr>
        <w:t xml:space="preserve">, which includes guidance </w:t>
      </w:r>
      <w:r w:rsidR="000E5E5D">
        <w:rPr>
          <w:rFonts w:cs="Arial"/>
          <w:color w:val="000000" w:themeColor="text1"/>
          <w:sz w:val="22"/>
          <w:szCs w:val="22"/>
          <w:lang w:eastAsia="en-GB"/>
        </w:rPr>
        <w:t xml:space="preserve">for country to country transactions, or under </w:t>
      </w:r>
      <w:r w:rsidR="006D0A0F">
        <w:rPr>
          <w:rFonts w:cs="Arial"/>
          <w:color w:val="000000" w:themeColor="text1"/>
          <w:sz w:val="22"/>
          <w:szCs w:val="22"/>
          <w:lang w:eastAsia="en-GB"/>
        </w:rPr>
        <w:t xml:space="preserve">6.4, which established a centralised crediting mechanism under the UNFCCC </w:t>
      </w:r>
      <w:r w:rsidR="00F73969">
        <w:rPr>
          <w:rFonts w:cs="Arial"/>
          <w:color w:val="000000" w:themeColor="text1"/>
          <w:sz w:val="22"/>
          <w:szCs w:val="22"/>
          <w:lang w:eastAsia="en-GB"/>
        </w:rPr>
        <w:t xml:space="preserve">that will operate in a similar way to the CDM, but </w:t>
      </w:r>
      <w:r w:rsidR="00FC079F">
        <w:rPr>
          <w:rFonts w:cs="Arial"/>
          <w:color w:val="000000" w:themeColor="text1"/>
          <w:sz w:val="22"/>
          <w:szCs w:val="22"/>
          <w:lang w:eastAsia="en-GB"/>
        </w:rPr>
        <w:t xml:space="preserve">whose rules are </w:t>
      </w:r>
      <w:r w:rsidR="00F73969">
        <w:rPr>
          <w:rFonts w:cs="Arial"/>
          <w:color w:val="000000" w:themeColor="text1"/>
          <w:sz w:val="22"/>
          <w:szCs w:val="22"/>
          <w:lang w:eastAsia="en-GB"/>
        </w:rPr>
        <w:t xml:space="preserve">currently </w:t>
      </w:r>
      <w:r w:rsidR="00FC079F">
        <w:rPr>
          <w:rFonts w:cs="Arial"/>
          <w:color w:val="000000" w:themeColor="text1"/>
          <w:sz w:val="22"/>
          <w:szCs w:val="22"/>
          <w:lang w:eastAsia="en-GB"/>
        </w:rPr>
        <w:t xml:space="preserve">less </w:t>
      </w:r>
      <w:r w:rsidR="00F73969">
        <w:rPr>
          <w:rFonts w:cs="Arial"/>
          <w:color w:val="000000" w:themeColor="text1"/>
          <w:sz w:val="22"/>
          <w:szCs w:val="22"/>
          <w:lang w:eastAsia="en-GB"/>
        </w:rPr>
        <w:t>clear</w:t>
      </w:r>
      <w:r w:rsidR="00F22DA0">
        <w:rPr>
          <w:rFonts w:cs="Arial"/>
          <w:color w:val="000000" w:themeColor="text1"/>
          <w:sz w:val="22"/>
          <w:szCs w:val="22"/>
          <w:lang w:eastAsia="en-GB"/>
        </w:rPr>
        <w:t xml:space="preserve"> and subject to further negotiation</w:t>
      </w:r>
      <w:r w:rsidR="00FC079F">
        <w:rPr>
          <w:rFonts w:cs="Arial"/>
          <w:color w:val="000000" w:themeColor="text1"/>
          <w:sz w:val="22"/>
          <w:szCs w:val="22"/>
          <w:lang w:eastAsia="en-GB"/>
        </w:rPr>
        <w:t>.</w:t>
      </w:r>
      <w:r w:rsidR="00737040">
        <w:rPr>
          <w:rFonts w:cs="Arial"/>
          <w:color w:val="000000" w:themeColor="text1"/>
          <w:sz w:val="22"/>
          <w:szCs w:val="22"/>
          <w:lang w:eastAsia="en-GB"/>
        </w:rPr>
        <w:t xml:space="preserve"> </w:t>
      </w:r>
      <w:r w:rsidR="00FC079F">
        <w:rPr>
          <w:rFonts w:cs="Arial"/>
          <w:color w:val="000000" w:themeColor="text1"/>
          <w:sz w:val="22"/>
          <w:szCs w:val="22"/>
          <w:lang w:eastAsia="en-GB"/>
        </w:rPr>
        <w:t>I</w:t>
      </w:r>
      <w:r w:rsidR="007D3BB1">
        <w:rPr>
          <w:rFonts w:cs="Arial"/>
          <w:color w:val="000000" w:themeColor="text1"/>
          <w:sz w:val="22"/>
          <w:szCs w:val="22"/>
          <w:lang w:eastAsia="en-GB"/>
        </w:rPr>
        <w:t>n any circumstance, BEIS expect</w:t>
      </w:r>
      <w:r w:rsidR="00B54145">
        <w:rPr>
          <w:rFonts w:cs="Arial"/>
          <w:color w:val="000000" w:themeColor="text1"/>
          <w:sz w:val="22"/>
          <w:szCs w:val="22"/>
          <w:lang w:eastAsia="en-GB"/>
        </w:rPr>
        <w:t>s</w:t>
      </w:r>
      <w:r w:rsidR="007D3BB1">
        <w:rPr>
          <w:rFonts w:cs="Arial"/>
          <w:color w:val="000000" w:themeColor="text1"/>
          <w:sz w:val="22"/>
          <w:szCs w:val="22"/>
          <w:lang w:eastAsia="en-GB"/>
        </w:rPr>
        <w:t xml:space="preserve"> to see</w:t>
      </w:r>
      <w:r w:rsidR="00C93141">
        <w:rPr>
          <w:rFonts w:cs="Arial"/>
          <w:color w:val="000000" w:themeColor="text1"/>
          <w:sz w:val="22"/>
          <w:szCs w:val="22"/>
          <w:lang w:eastAsia="en-GB"/>
        </w:rPr>
        <w:t xml:space="preserve"> the avoidance of </w:t>
      </w:r>
      <w:r w:rsidR="00F56863">
        <w:rPr>
          <w:rFonts w:cs="Arial"/>
          <w:color w:val="000000" w:themeColor="text1"/>
          <w:sz w:val="22"/>
          <w:szCs w:val="22"/>
          <w:lang w:eastAsia="en-GB"/>
        </w:rPr>
        <w:t xml:space="preserve">double counting, </w:t>
      </w:r>
      <w:r w:rsidR="00C93141">
        <w:rPr>
          <w:rFonts w:cs="Arial"/>
          <w:color w:val="000000" w:themeColor="text1"/>
          <w:sz w:val="22"/>
          <w:szCs w:val="22"/>
          <w:lang w:eastAsia="en-GB"/>
        </w:rPr>
        <w:t xml:space="preserve">and that </w:t>
      </w:r>
      <w:r w:rsidR="00F56863">
        <w:rPr>
          <w:rFonts w:cs="Arial"/>
          <w:color w:val="000000" w:themeColor="text1"/>
          <w:sz w:val="22"/>
          <w:szCs w:val="22"/>
          <w:lang w:eastAsia="en-GB"/>
        </w:rPr>
        <w:t>additionality</w:t>
      </w:r>
      <w:r w:rsidR="00C93141">
        <w:rPr>
          <w:rFonts w:cs="Arial"/>
          <w:color w:val="000000" w:themeColor="text1"/>
          <w:sz w:val="22"/>
          <w:szCs w:val="22"/>
          <w:lang w:eastAsia="en-GB"/>
        </w:rPr>
        <w:t xml:space="preserve"> </w:t>
      </w:r>
      <w:r w:rsidR="001E3A6C">
        <w:rPr>
          <w:rFonts w:cs="Arial"/>
          <w:color w:val="000000" w:themeColor="text1"/>
          <w:sz w:val="22"/>
          <w:szCs w:val="22"/>
          <w:lang w:eastAsia="en-GB"/>
        </w:rPr>
        <w:t xml:space="preserve">and </w:t>
      </w:r>
      <w:r w:rsidR="00C93141">
        <w:rPr>
          <w:rFonts w:cs="Arial"/>
          <w:color w:val="000000" w:themeColor="text1"/>
          <w:sz w:val="22"/>
          <w:szCs w:val="22"/>
          <w:lang w:eastAsia="en-GB"/>
        </w:rPr>
        <w:t xml:space="preserve">a contribution </w:t>
      </w:r>
      <w:r w:rsidR="002C7817">
        <w:rPr>
          <w:rFonts w:cs="Arial"/>
          <w:color w:val="000000" w:themeColor="text1"/>
          <w:sz w:val="22"/>
          <w:szCs w:val="22"/>
          <w:lang w:eastAsia="en-GB"/>
        </w:rPr>
        <w:t>to sustainable development</w:t>
      </w:r>
      <w:r w:rsidR="00C93141">
        <w:rPr>
          <w:rFonts w:cs="Arial"/>
          <w:color w:val="000000" w:themeColor="text1"/>
          <w:sz w:val="22"/>
          <w:szCs w:val="22"/>
          <w:lang w:eastAsia="en-GB"/>
        </w:rPr>
        <w:t xml:space="preserve"> are both demonstrated</w:t>
      </w:r>
      <w:r w:rsidR="002C7817">
        <w:rPr>
          <w:rFonts w:cs="Arial"/>
          <w:color w:val="000000" w:themeColor="text1"/>
          <w:sz w:val="22"/>
          <w:szCs w:val="22"/>
          <w:lang w:eastAsia="en-GB"/>
        </w:rPr>
        <w:t xml:space="preserve">. </w:t>
      </w:r>
      <w:r w:rsidR="00F31A54">
        <w:rPr>
          <w:rFonts w:cs="Arial"/>
          <w:color w:val="000000" w:themeColor="text1"/>
          <w:sz w:val="22"/>
          <w:szCs w:val="22"/>
          <w:lang w:eastAsia="en-GB"/>
        </w:rPr>
        <w:t xml:space="preserve">The </w:t>
      </w:r>
      <w:r w:rsidR="00705B83">
        <w:rPr>
          <w:rFonts w:cs="Arial"/>
          <w:color w:val="000000" w:themeColor="text1"/>
          <w:sz w:val="22"/>
          <w:szCs w:val="22"/>
          <w:lang w:eastAsia="en-GB"/>
        </w:rPr>
        <w:t xml:space="preserve">Trustee’s work towards indicator 2.1 </w:t>
      </w:r>
      <w:r w:rsidR="00961ABC">
        <w:rPr>
          <w:rFonts w:cs="Arial"/>
          <w:color w:val="000000" w:themeColor="text1"/>
          <w:sz w:val="22"/>
          <w:szCs w:val="22"/>
          <w:lang w:eastAsia="en-GB"/>
        </w:rPr>
        <w:t xml:space="preserve">reflects </w:t>
      </w:r>
      <w:r w:rsidR="002F4BF6">
        <w:rPr>
          <w:rFonts w:cs="Arial"/>
          <w:color w:val="000000" w:themeColor="text1"/>
          <w:sz w:val="22"/>
          <w:szCs w:val="22"/>
          <w:lang w:eastAsia="en-GB"/>
        </w:rPr>
        <w:t xml:space="preserve">those </w:t>
      </w:r>
      <w:r w:rsidR="00D80EF6">
        <w:rPr>
          <w:rFonts w:cs="Arial"/>
          <w:color w:val="000000" w:themeColor="text1"/>
          <w:sz w:val="22"/>
          <w:szCs w:val="22"/>
          <w:lang w:eastAsia="en-GB"/>
        </w:rPr>
        <w:t>expectations</w:t>
      </w:r>
      <w:r w:rsidR="00961ABC">
        <w:rPr>
          <w:rFonts w:cs="Arial"/>
          <w:color w:val="000000" w:themeColor="text1"/>
          <w:sz w:val="22"/>
          <w:szCs w:val="22"/>
          <w:lang w:eastAsia="en-GB"/>
        </w:rPr>
        <w:t xml:space="preserve"> and</w:t>
      </w:r>
      <w:r w:rsidR="00B54145">
        <w:rPr>
          <w:rFonts w:cs="Arial"/>
          <w:color w:val="000000" w:themeColor="text1"/>
          <w:sz w:val="22"/>
          <w:szCs w:val="22"/>
          <w:lang w:eastAsia="en-GB"/>
        </w:rPr>
        <w:t xml:space="preserve"> has </w:t>
      </w:r>
      <w:r w:rsidR="005E7350">
        <w:rPr>
          <w:rFonts w:cs="Arial"/>
          <w:color w:val="000000" w:themeColor="text1"/>
          <w:sz w:val="22"/>
          <w:szCs w:val="22"/>
          <w:lang w:eastAsia="en-GB"/>
        </w:rPr>
        <w:t xml:space="preserve">informed a </w:t>
      </w:r>
      <w:r w:rsidR="005E3A2F">
        <w:rPr>
          <w:rFonts w:cs="Arial"/>
          <w:color w:val="000000" w:themeColor="text1"/>
          <w:sz w:val="22"/>
          <w:szCs w:val="22"/>
          <w:lang w:eastAsia="en-GB"/>
        </w:rPr>
        <w:t xml:space="preserve">draft </w:t>
      </w:r>
      <w:r w:rsidR="005E7350">
        <w:rPr>
          <w:rFonts w:cs="Arial"/>
          <w:color w:val="000000" w:themeColor="text1"/>
          <w:sz w:val="22"/>
          <w:szCs w:val="22"/>
          <w:lang w:eastAsia="en-GB"/>
        </w:rPr>
        <w:t>transition strategy</w:t>
      </w:r>
      <w:r w:rsidR="00AE1C0A">
        <w:rPr>
          <w:rFonts w:cs="Arial"/>
          <w:color w:val="000000" w:themeColor="text1"/>
          <w:sz w:val="22"/>
          <w:szCs w:val="22"/>
          <w:lang w:eastAsia="en-GB"/>
        </w:rPr>
        <w:t xml:space="preserve"> to the extent possible in the absence of firm </w:t>
      </w:r>
      <w:r w:rsidR="00F75DCC">
        <w:rPr>
          <w:rFonts w:cs="Arial"/>
          <w:color w:val="000000" w:themeColor="text1"/>
          <w:sz w:val="22"/>
          <w:szCs w:val="22"/>
          <w:lang w:eastAsia="en-GB"/>
        </w:rPr>
        <w:t xml:space="preserve">UNFCCC </w:t>
      </w:r>
      <w:r w:rsidR="00AE1C0A">
        <w:rPr>
          <w:rFonts w:cs="Arial"/>
          <w:color w:val="000000" w:themeColor="text1"/>
          <w:sz w:val="22"/>
          <w:szCs w:val="22"/>
          <w:lang w:eastAsia="en-GB"/>
        </w:rPr>
        <w:t>guidance.</w:t>
      </w:r>
      <w:r w:rsidR="00292D74">
        <w:rPr>
          <w:rFonts w:cs="Arial"/>
          <w:color w:val="000000" w:themeColor="text1"/>
          <w:sz w:val="22"/>
          <w:szCs w:val="22"/>
          <w:lang w:eastAsia="en-GB"/>
        </w:rPr>
        <w:t xml:space="preserve"> </w:t>
      </w:r>
      <w:r w:rsidR="00961ABC">
        <w:rPr>
          <w:rFonts w:cs="Arial"/>
          <w:color w:val="000000" w:themeColor="text1"/>
          <w:sz w:val="22"/>
          <w:szCs w:val="22"/>
          <w:lang w:eastAsia="en-GB"/>
        </w:rPr>
        <w:t>It</w:t>
      </w:r>
      <w:r w:rsidR="00C06048">
        <w:rPr>
          <w:rFonts w:cs="Arial"/>
          <w:color w:val="000000" w:themeColor="text1"/>
          <w:sz w:val="22"/>
          <w:szCs w:val="22"/>
          <w:lang w:eastAsia="en-GB"/>
        </w:rPr>
        <w:t xml:space="preserve"> includes</w:t>
      </w:r>
      <w:r w:rsidR="00FE0B73">
        <w:rPr>
          <w:rFonts w:cs="Arial"/>
          <w:color w:val="000000" w:themeColor="text1"/>
          <w:sz w:val="22"/>
          <w:szCs w:val="22"/>
          <w:lang w:eastAsia="en-GB"/>
        </w:rPr>
        <w:t xml:space="preserve"> a recommendation</w:t>
      </w:r>
      <w:r w:rsidR="00931443">
        <w:rPr>
          <w:rFonts w:cs="Arial"/>
          <w:color w:val="000000" w:themeColor="text1"/>
          <w:sz w:val="22"/>
          <w:szCs w:val="22"/>
          <w:lang w:eastAsia="en-GB"/>
        </w:rPr>
        <w:t xml:space="preserve">, which donors have agreed, that </w:t>
      </w:r>
      <w:r w:rsidR="00EF7BC0">
        <w:rPr>
          <w:rFonts w:cs="Arial"/>
          <w:color w:val="000000" w:themeColor="text1"/>
          <w:sz w:val="22"/>
          <w:szCs w:val="22"/>
          <w:lang w:eastAsia="en-GB"/>
        </w:rPr>
        <w:t xml:space="preserve">Ci-Dev projects seek to </w:t>
      </w:r>
      <w:r w:rsidR="00931443">
        <w:rPr>
          <w:rFonts w:cs="Arial"/>
          <w:color w:val="000000" w:themeColor="text1"/>
          <w:sz w:val="22"/>
          <w:szCs w:val="22"/>
          <w:lang w:eastAsia="en-GB"/>
        </w:rPr>
        <w:t xml:space="preserve">operate </w:t>
      </w:r>
      <w:r w:rsidR="00F40D43">
        <w:rPr>
          <w:rFonts w:cs="Arial"/>
          <w:color w:val="000000" w:themeColor="text1"/>
          <w:sz w:val="22"/>
          <w:szCs w:val="22"/>
          <w:lang w:eastAsia="en-GB"/>
        </w:rPr>
        <w:t xml:space="preserve">under Article 6.2 </w:t>
      </w:r>
      <w:r w:rsidR="00EF7BC0">
        <w:rPr>
          <w:rFonts w:cs="Arial"/>
          <w:color w:val="000000" w:themeColor="text1"/>
          <w:sz w:val="22"/>
          <w:szCs w:val="22"/>
          <w:lang w:eastAsia="en-GB"/>
        </w:rPr>
        <w:t xml:space="preserve">in the early 2020s </w:t>
      </w:r>
      <w:r w:rsidR="00B8428E">
        <w:rPr>
          <w:rFonts w:cs="Arial"/>
          <w:color w:val="000000" w:themeColor="text1"/>
          <w:sz w:val="22"/>
          <w:szCs w:val="22"/>
          <w:lang w:eastAsia="en-GB"/>
        </w:rPr>
        <w:t>as SCFs</w:t>
      </w:r>
      <w:r w:rsidR="00A523F6">
        <w:rPr>
          <w:rFonts w:cs="Arial"/>
          <w:color w:val="000000" w:themeColor="text1"/>
          <w:sz w:val="22"/>
          <w:szCs w:val="22"/>
          <w:lang w:eastAsia="en-GB"/>
        </w:rPr>
        <w:t xml:space="preserve">. </w:t>
      </w:r>
      <w:r w:rsidR="004747A7">
        <w:rPr>
          <w:rFonts w:cs="Arial"/>
          <w:color w:val="000000" w:themeColor="text1"/>
          <w:sz w:val="22"/>
          <w:szCs w:val="22"/>
          <w:lang w:eastAsia="en-GB"/>
        </w:rPr>
        <w:t>The 2020 transition</w:t>
      </w:r>
      <w:r w:rsidR="00075A77">
        <w:rPr>
          <w:rFonts w:cs="Arial"/>
          <w:color w:val="000000" w:themeColor="text1"/>
          <w:sz w:val="22"/>
          <w:szCs w:val="22"/>
          <w:lang w:eastAsia="en-GB"/>
        </w:rPr>
        <w:t xml:space="preserve"> and SCF</w:t>
      </w:r>
      <w:r w:rsidR="004747A7">
        <w:rPr>
          <w:rFonts w:cs="Arial"/>
          <w:color w:val="000000" w:themeColor="text1"/>
          <w:sz w:val="22"/>
          <w:szCs w:val="22"/>
          <w:lang w:eastAsia="en-GB"/>
        </w:rPr>
        <w:t xml:space="preserve"> also featured in the four workshops</w:t>
      </w:r>
      <w:r w:rsidR="00E04106">
        <w:rPr>
          <w:rFonts w:cs="Arial"/>
          <w:color w:val="000000" w:themeColor="text1"/>
          <w:sz w:val="22"/>
          <w:szCs w:val="22"/>
          <w:lang w:eastAsia="en-GB"/>
        </w:rPr>
        <w:t xml:space="preserve"> the Trustee ran in </w:t>
      </w:r>
      <w:r w:rsidR="003837A8">
        <w:rPr>
          <w:rFonts w:cs="Arial"/>
          <w:color w:val="000000" w:themeColor="text1"/>
          <w:sz w:val="22"/>
          <w:szCs w:val="22"/>
          <w:lang w:eastAsia="en-GB"/>
        </w:rPr>
        <w:t>2020</w:t>
      </w:r>
      <w:r w:rsidR="004E73CB">
        <w:rPr>
          <w:rFonts w:cs="Arial"/>
          <w:color w:val="000000" w:themeColor="text1"/>
          <w:sz w:val="22"/>
          <w:szCs w:val="22"/>
          <w:lang w:eastAsia="en-GB"/>
        </w:rPr>
        <w:t xml:space="preserve"> </w:t>
      </w:r>
      <w:r w:rsidR="007E3714">
        <w:rPr>
          <w:rFonts w:cs="Arial"/>
          <w:color w:val="000000" w:themeColor="text1"/>
          <w:sz w:val="22"/>
          <w:szCs w:val="22"/>
          <w:lang w:eastAsia="en-GB"/>
        </w:rPr>
        <w:t xml:space="preserve">and continues good work </w:t>
      </w:r>
      <w:r w:rsidR="000C75F6">
        <w:rPr>
          <w:rFonts w:cs="Arial"/>
          <w:color w:val="000000" w:themeColor="text1"/>
          <w:sz w:val="22"/>
          <w:szCs w:val="22"/>
          <w:lang w:eastAsia="en-GB"/>
        </w:rPr>
        <w:t xml:space="preserve">to promote the concept to international audiences </w:t>
      </w:r>
      <w:r w:rsidR="007E3714">
        <w:rPr>
          <w:rFonts w:cs="Arial"/>
          <w:color w:val="000000" w:themeColor="text1"/>
          <w:sz w:val="22"/>
          <w:szCs w:val="22"/>
          <w:lang w:eastAsia="en-GB"/>
        </w:rPr>
        <w:t xml:space="preserve">that </w:t>
      </w:r>
      <w:r w:rsidR="00D50D6A">
        <w:rPr>
          <w:rFonts w:cs="Arial"/>
          <w:color w:val="000000" w:themeColor="text1"/>
          <w:sz w:val="22"/>
          <w:szCs w:val="22"/>
          <w:lang w:eastAsia="en-GB"/>
        </w:rPr>
        <w:t xml:space="preserve">began </w:t>
      </w:r>
      <w:r w:rsidR="007E3714">
        <w:rPr>
          <w:rFonts w:cs="Arial"/>
          <w:color w:val="000000" w:themeColor="text1"/>
          <w:sz w:val="22"/>
          <w:szCs w:val="22"/>
          <w:lang w:eastAsia="en-GB"/>
        </w:rPr>
        <w:t>before this review period</w:t>
      </w:r>
      <w:r w:rsidR="00CF78AC">
        <w:rPr>
          <w:rFonts w:cs="Arial"/>
          <w:color w:val="000000" w:themeColor="text1"/>
          <w:sz w:val="22"/>
          <w:szCs w:val="22"/>
          <w:lang w:eastAsia="en-GB"/>
        </w:rPr>
        <w:t xml:space="preserve"> (assessed separately, under indicator 3.2 below)</w:t>
      </w:r>
      <w:r w:rsidR="003837A8">
        <w:rPr>
          <w:rFonts w:cs="Arial"/>
          <w:color w:val="000000" w:themeColor="text1"/>
          <w:sz w:val="22"/>
          <w:szCs w:val="22"/>
          <w:lang w:eastAsia="en-GB"/>
        </w:rPr>
        <w:t>.</w:t>
      </w:r>
      <w:r w:rsidR="006F2FF1">
        <w:rPr>
          <w:rFonts w:cs="Arial"/>
          <w:color w:val="000000" w:themeColor="text1"/>
          <w:sz w:val="22"/>
          <w:szCs w:val="22"/>
          <w:lang w:eastAsia="en-GB"/>
        </w:rPr>
        <w:t xml:space="preserve"> </w:t>
      </w:r>
    </w:p>
    <w:p w14:paraId="21931504" w14:textId="2299F174" w:rsidR="00E11576" w:rsidRDefault="00E11576" w:rsidP="00BC14DF">
      <w:pPr>
        <w:contextualSpacing/>
        <w:jc w:val="both"/>
        <w:rPr>
          <w:rFonts w:cs="Arial"/>
          <w:color w:val="000000" w:themeColor="text1"/>
          <w:sz w:val="22"/>
          <w:szCs w:val="22"/>
          <w:lang w:eastAsia="en-GB"/>
        </w:rPr>
      </w:pPr>
    </w:p>
    <w:p w14:paraId="71B7AB57" w14:textId="54CB77F8" w:rsidR="000D17D9" w:rsidRDefault="00C61B0E" w:rsidP="00BC14DF">
      <w:pPr>
        <w:contextualSpacing/>
        <w:jc w:val="both"/>
        <w:rPr>
          <w:rFonts w:cs="Arial"/>
          <w:color w:val="000000" w:themeColor="text1"/>
          <w:sz w:val="22"/>
          <w:szCs w:val="22"/>
          <w:lang w:eastAsia="en-GB"/>
        </w:rPr>
      </w:pPr>
      <w:r>
        <w:rPr>
          <w:rFonts w:cs="Arial"/>
          <w:color w:val="000000" w:themeColor="text1"/>
          <w:sz w:val="22"/>
          <w:szCs w:val="22"/>
          <w:lang w:eastAsia="en-GB"/>
        </w:rPr>
        <w:t>Good progress was made on t</w:t>
      </w:r>
      <w:r w:rsidR="00E11576">
        <w:rPr>
          <w:rFonts w:cs="Arial"/>
          <w:color w:val="000000" w:themeColor="text1"/>
          <w:sz w:val="22"/>
          <w:szCs w:val="22"/>
          <w:lang w:eastAsia="en-GB"/>
        </w:rPr>
        <w:t>he SCF pilot in Rwanda (2.2)</w:t>
      </w:r>
      <w:r w:rsidR="002216B8">
        <w:rPr>
          <w:rFonts w:cs="Arial"/>
          <w:color w:val="000000" w:themeColor="text1"/>
          <w:sz w:val="22"/>
          <w:szCs w:val="22"/>
          <w:lang w:eastAsia="en-GB"/>
        </w:rPr>
        <w:t xml:space="preserve"> which was in its final stages in February</w:t>
      </w:r>
      <w:r w:rsidR="00484F81">
        <w:rPr>
          <w:rFonts w:cs="Arial"/>
          <w:color w:val="000000" w:themeColor="text1"/>
          <w:sz w:val="22"/>
          <w:szCs w:val="22"/>
          <w:lang w:eastAsia="en-GB"/>
        </w:rPr>
        <w:t xml:space="preserve"> 2019</w:t>
      </w:r>
      <w:r>
        <w:rPr>
          <w:rFonts w:cs="Arial"/>
          <w:color w:val="000000" w:themeColor="text1"/>
          <w:sz w:val="22"/>
          <w:szCs w:val="22"/>
          <w:lang w:eastAsia="en-GB"/>
        </w:rPr>
        <w:t>.</w:t>
      </w:r>
      <w:r w:rsidR="00513A93">
        <w:rPr>
          <w:rFonts w:cs="Arial"/>
          <w:color w:val="000000" w:themeColor="text1"/>
          <w:sz w:val="22"/>
          <w:szCs w:val="22"/>
          <w:lang w:eastAsia="en-GB"/>
        </w:rPr>
        <w:t xml:space="preserve"> </w:t>
      </w:r>
      <w:r w:rsidR="00D55F4D">
        <w:rPr>
          <w:rFonts w:cs="Arial"/>
          <w:color w:val="000000" w:themeColor="text1"/>
          <w:sz w:val="22"/>
          <w:szCs w:val="22"/>
          <w:lang w:eastAsia="en-GB"/>
        </w:rPr>
        <w:t>A</w:t>
      </w:r>
      <w:r w:rsidR="006C4DEB">
        <w:rPr>
          <w:rFonts w:cs="Arial"/>
          <w:color w:val="000000" w:themeColor="text1"/>
          <w:sz w:val="22"/>
          <w:szCs w:val="22"/>
          <w:lang w:eastAsia="en-GB"/>
        </w:rPr>
        <w:t xml:space="preserve"> third-party</w:t>
      </w:r>
      <w:r w:rsidR="00D55F4D">
        <w:rPr>
          <w:rFonts w:cs="Arial"/>
          <w:color w:val="000000" w:themeColor="text1"/>
          <w:sz w:val="22"/>
          <w:szCs w:val="22"/>
          <w:lang w:eastAsia="en-GB"/>
        </w:rPr>
        <w:t xml:space="preserve"> assessment of the Senegalese pilot </w:t>
      </w:r>
      <w:r w:rsidR="00AE1C0A">
        <w:rPr>
          <w:rFonts w:cs="Arial"/>
          <w:color w:val="000000" w:themeColor="text1"/>
          <w:sz w:val="22"/>
          <w:szCs w:val="22"/>
          <w:lang w:eastAsia="en-GB"/>
        </w:rPr>
        <w:t xml:space="preserve">was published </w:t>
      </w:r>
      <w:r w:rsidR="00D55F4D">
        <w:rPr>
          <w:rFonts w:cs="Arial"/>
          <w:color w:val="000000" w:themeColor="text1"/>
          <w:sz w:val="22"/>
          <w:szCs w:val="22"/>
          <w:lang w:eastAsia="en-GB"/>
        </w:rPr>
        <w:t xml:space="preserve">in </w:t>
      </w:r>
      <w:r w:rsidR="00484F81">
        <w:rPr>
          <w:rFonts w:cs="Arial"/>
          <w:color w:val="000000" w:themeColor="text1"/>
          <w:sz w:val="22"/>
          <w:szCs w:val="22"/>
          <w:lang w:eastAsia="en-GB"/>
        </w:rPr>
        <w:t xml:space="preserve">December </w:t>
      </w:r>
      <w:r w:rsidR="00D55F4D">
        <w:rPr>
          <w:rFonts w:cs="Arial"/>
          <w:color w:val="000000" w:themeColor="text1"/>
          <w:sz w:val="22"/>
          <w:szCs w:val="22"/>
          <w:lang w:eastAsia="en-GB"/>
        </w:rPr>
        <w:t>2019</w:t>
      </w:r>
      <w:r w:rsidR="00DB0D58">
        <w:rPr>
          <w:rFonts w:cs="Arial"/>
          <w:color w:val="000000" w:themeColor="text1"/>
          <w:sz w:val="22"/>
          <w:szCs w:val="22"/>
          <w:lang w:eastAsia="en-GB"/>
        </w:rPr>
        <w:t xml:space="preserve"> and</w:t>
      </w:r>
      <w:r w:rsidR="00DE0496">
        <w:rPr>
          <w:rFonts w:cs="Arial"/>
          <w:color w:val="000000" w:themeColor="text1"/>
          <w:sz w:val="22"/>
          <w:szCs w:val="22"/>
          <w:lang w:eastAsia="en-GB"/>
        </w:rPr>
        <w:t xml:space="preserve"> noted ‘substantial cost and time savings</w:t>
      </w:r>
      <w:r w:rsidR="00E60613">
        <w:rPr>
          <w:rFonts w:cs="Arial"/>
          <w:color w:val="000000" w:themeColor="text1"/>
          <w:sz w:val="22"/>
          <w:szCs w:val="22"/>
          <w:lang w:eastAsia="en-GB"/>
        </w:rPr>
        <w:t>’ and ‘lessons … that can inform the design and implementation of similar schemes in other countries’</w:t>
      </w:r>
      <w:r w:rsidR="00F24986">
        <w:rPr>
          <w:rFonts w:cs="Arial"/>
          <w:color w:val="000000" w:themeColor="text1"/>
          <w:sz w:val="22"/>
          <w:szCs w:val="22"/>
          <w:lang w:eastAsia="en-GB"/>
        </w:rPr>
        <w:t xml:space="preserve">, indicating that replication and </w:t>
      </w:r>
      <w:r w:rsidR="00840280">
        <w:rPr>
          <w:rFonts w:cs="Arial"/>
          <w:color w:val="000000" w:themeColor="text1"/>
          <w:sz w:val="22"/>
          <w:szCs w:val="22"/>
          <w:lang w:eastAsia="en-GB"/>
        </w:rPr>
        <w:t>transformational change may be</w:t>
      </w:r>
      <w:r w:rsidR="00741D8B">
        <w:rPr>
          <w:rFonts w:cs="Arial"/>
          <w:color w:val="000000" w:themeColor="text1"/>
          <w:sz w:val="22"/>
          <w:szCs w:val="22"/>
          <w:lang w:eastAsia="en-GB"/>
        </w:rPr>
        <w:t xml:space="preserve"> possible</w:t>
      </w:r>
      <w:r w:rsidR="00AE1C0A">
        <w:rPr>
          <w:rFonts w:cs="Arial"/>
          <w:color w:val="000000" w:themeColor="text1"/>
          <w:sz w:val="22"/>
          <w:szCs w:val="22"/>
          <w:lang w:eastAsia="en-GB"/>
        </w:rPr>
        <w:t xml:space="preserve">. </w:t>
      </w:r>
      <w:r w:rsidR="0044464C">
        <w:rPr>
          <w:rFonts w:cs="Arial"/>
          <w:color w:val="000000" w:themeColor="text1"/>
          <w:sz w:val="22"/>
          <w:szCs w:val="22"/>
          <w:lang w:eastAsia="en-GB"/>
        </w:rPr>
        <w:t>Work towards a</w:t>
      </w:r>
      <w:r w:rsidR="00E04CE7">
        <w:rPr>
          <w:rFonts w:cs="Arial"/>
          <w:color w:val="000000" w:themeColor="text1"/>
          <w:sz w:val="22"/>
          <w:szCs w:val="22"/>
          <w:lang w:eastAsia="en-GB"/>
        </w:rPr>
        <w:t xml:space="preserve"> third SCF </w:t>
      </w:r>
      <w:r w:rsidR="0044464C">
        <w:rPr>
          <w:rFonts w:cs="Arial"/>
          <w:color w:val="000000" w:themeColor="text1"/>
          <w:sz w:val="22"/>
          <w:szCs w:val="22"/>
          <w:lang w:eastAsia="en-GB"/>
        </w:rPr>
        <w:t>began</w:t>
      </w:r>
      <w:r w:rsidR="00E04CE7">
        <w:rPr>
          <w:rFonts w:cs="Arial"/>
          <w:color w:val="000000" w:themeColor="text1"/>
          <w:sz w:val="22"/>
          <w:szCs w:val="22"/>
          <w:lang w:eastAsia="en-GB"/>
        </w:rPr>
        <w:t xml:space="preserve"> in the Lao PDR cookstoves project but </w:t>
      </w:r>
      <w:r w:rsidR="00947884">
        <w:rPr>
          <w:rFonts w:cs="Arial"/>
          <w:color w:val="000000" w:themeColor="text1"/>
          <w:sz w:val="22"/>
          <w:szCs w:val="22"/>
          <w:lang w:eastAsia="en-GB"/>
        </w:rPr>
        <w:t xml:space="preserve">was </w:t>
      </w:r>
      <w:r w:rsidR="00E04CE7">
        <w:rPr>
          <w:rFonts w:cs="Arial"/>
          <w:color w:val="000000" w:themeColor="text1"/>
          <w:sz w:val="22"/>
          <w:szCs w:val="22"/>
          <w:lang w:eastAsia="en-GB"/>
        </w:rPr>
        <w:t>put on hold in light of local capacity issues</w:t>
      </w:r>
      <w:r w:rsidR="00577723">
        <w:rPr>
          <w:rFonts w:cs="Arial"/>
          <w:color w:val="000000" w:themeColor="text1"/>
          <w:sz w:val="22"/>
          <w:szCs w:val="22"/>
          <w:lang w:eastAsia="en-GB"/>
        </w:rPr>
        <w:t xml:space="preserve">, with a preference expressed to begin with a CDM-scale crediting </w:t>
      </w:r>
      <w:r w:rsidR="001C22F6">
        <w:rPr>
          <w:rFonts w:cs="Arial"/>
          <w:color w:val="000000" w:themeColor="text1"/>
          <w:sz w:val="22"/>
          <w:szCs w:val="22"/>
          <w:lang w:eastAsia="en-GB"/>
        </w:rPr>
        <w:t>project</w:t>
      </w:r>
      <w:r w:rsidR="00577723">
        <w:rPr>
          <w:rFonts w:cs="Arial"/>
          <w:color w:val="000000" w:themeColor="text1"/>
          <w:sz w:val="22"/>
          <w:szCs w:val="22"/>
          <w:lang w:eastAsia="en-GB"/>
        </w:rPr>
        <w:t xml:space="preserve"> and to explore expansion to </w:t>
      </w:r>
      <w:r w:rsidR="000345E4">
        <w:rPr>
          <w:rFonts w:cs="Arial"/>
          <w:color w:val="000000" w:themeColor="text1"/>
          <w:sz w:val="22"/>
          <w:szCs w:val="22"/>
          <w:lang w:eastAsia="en-GB"/>
        </w:rPr>
        <w:t xml:space="preserve">a </w:t>
      </w:r>
      <w:r w:rsidR="00907DED">
        <w:rPr>
          <w:rFonts w:cs="Arial"/>
          <w:color w:val="000000" w:themeColor="text1"/>
          <w:sz w:val="22"/>
          <w:szCs w:val="22"/>
          <w:lang w:eastAsia="en-GB"/>
        </w:rPr>
        <w:t xml:space="preserve">sectoral or </w:t>
      </w:r>
      <w:r w:rsidR="000345E4">
        <w:rPr>
          <w:rFonts w:cs="Arial"/>
          <w:color w:val="000000" w:themeColor="text1"/>
          <w:sz w:val="22"/>
          <w:szCs w:val="22"/>
          <w:lang w:eastAsia="en-GB"/>
        </w:rPr>
        <w:t xml:space="preserve">national </w:t>
      </w:r>
      <w:r w:rsidR="00577723">
        <w:rPr>
          <w:rFonts w:cs="Arial"/>
          <w:color w:val="000000" w:themeColor="text1"/>
          <w:sz w:val="22"/>
          <w:szCs w:val="22"/>
          <w:lang w:eastAsia="en-GB"/>
        </w:rPr>
        <w:t xml:space="preserve">SCF level once </w:t>
      </w:r>
      <w:r w:rsidR="00A10694">
        <w:rPr>
          <w:rFonts w:cs="Arial"/>
          <w:color w:val="000000" w:themeColor="text1"/>
          <w:sz w:val="22"/>
          <w:szCs w:val="22"/>
          <w:lang w:eastAsia="en-GB"/>
        </w:rPr>
        <w:t>this is completed</w:t>
      </w:r>
      <w:r w:rsidR="00E04CE7">
        <w:rPr>
          <w:rFonts w:cs="Arial"/>
          <w:color w:val="000000" w:themeColor="text1"/>
          <w:sz w:val="22"/>
          <w:szCs w:val="22"/>
          <w:lang w:eastAsia="en-GB"/>
        </w:rPr>
        <w:t xml:space="preserve">. </w:t>
      </w:r>
    </w:p>
    <w:p w14:paraId="44A2AA9B" w14:textId="77777777" w:rsidR="000D17D9" w:rsidRDefault="000D17D9" w:rsidP="00BC14DF">
      <w:pPr>
        <w:contextualSpacing/>
        <w:jc w:val="both"/>
        <w:rPr>
          <w:rFonts w:cs="Arial"/>
          <w:color w:val="000000" w:themeColor="text1"/>
          <w:sz w:val="22"/>
          <w:szCs w:val="22"/>
          <w:lang w:eastAsia="en-GB"/>
        </w:rPr>
      </w:pPr>
    </w:p>
    <w:p w14:paraId="1A51DC53" w14:textId="304BDA69" w:rsidR="00127352" w:rsidRDefault="00ED293A" w:rsidP="00BC14DF">
      <w:pPr>
        <w:contextualSpacing/>
        <w:jc w:val="both"/>
        <w:rPr>
          <w:rFonts w:cs="Arial"/>
          <w:color w:val="000000" w:themeColor="text1"/>
          <w:sz w:val="22"/>
          <w:szCs w:val="22"/>
          <w:lang w:eastAsia="en-GB"/>
        </w:rPr>
      </w:pPr>
      <w:r>
        <w:rPr>
          <w:rFonts w:cs="Arial"/>
          <w:color w:val="000000" w:themeColor="text1"/>
          <w:sz w:val="22"/>
          <w:szCs w:val="22"/>
          <w:lang w:eastAsia="en-GB"/>
        </w:rPr>
        <w:t>T</w:t>
      </w:r>
      <w:r w:rsidR="00642F40">
        <w:rPr>
          <w:rFonts w:cs="Arial"/>
          <w:color w:val="000000" w:themeColor="text1"/>
          <w:sz w:val="22"/>
          <w:szCs w:val="22"/>
          <w:lang w:eastAsia="en-GB"/>
        </w:rPr>
        <w:t>his means the</w:t>
      </w:r>
      <w:r w:rsidR="00330AEB">
        <w:rPr>
          <w:rFonts w:cs="Arial"/>
          <w:color w:val="000000" w:themeColor="text1"/>
          <w:sz w:val="22"/>
          <w:szCs w:val="22"/>
          <w:lang w:eastAsia="en-GB"/>
        </w:rPr>
        <w:t xml:space="preserve"> 2.2</w:t>
      </w:r>
      <w:r w:rsidR="00642F40">
        <w:rPr>
          <w:rFonts w:cs="Arial"/>
          <w:color w:val="000000" w:themeColor="text1"/>
          <w:sz w:val="22"/>
          <w:szCs w:val="22"/>
          <w:lang w:eastAsia="en-GB"/>
        </w:rPr>
        <w:t xml:space="preserve"> </w:t>
      </w:r>
      <w:r w:rsidR="00545F59">
        <w:rPr>
          <w:rFonts w:cs="Arial"/>
          <w:color w:val="000000" w:themeColor="text1"/>
          <w:sz w:val="22"/>
          <w:szCs w:val="22"/>
          <w:lang w:eastAsia="en-GB"/>
        </w:rPr>
        <w:t>target of 3 was missed,</w:t>
      </w:r>
      <w:r w:rsidR="00C5604C">
        <w:rPr>
          <w:rFonts w:cs="Arial"/>
          <w:color w:val="000000" w:themeColor="text1"/>
          <w:sz w:val="22"/>
          <w:szCs w:val="22"/>
          <w:lang w:eastAsia="en-GB"/>
        </w:rPr>
        <w:t xml:space="preserve"> </w:t>
      </w:r>
      <w:r w:rsidR="00FA0F6C">
        <w:rPr>
          <w:rFonts w:cs="Arial"/>
          <w:color w:val="000000" w:themeColor="text1"/>
          <w:sz w:val="22"/>
          <w:szCs w:val="22"/>
          <w:lang w:eastAsia="en-GB"/>
        </w:rPr>
        <w:t>so this output group scores a B</w:t>
      </w:r>
      <w:r w:rsidR="00D04840">
        <w:rPr>
          <w:rFonts w:cs="Arial"/>
          <w:color w:val="000000" w:themeColor="text1"/>
          <w:sz w:val="22"/>
          <w:szCs w:val="22"/>
          <w:lang w:eastAsia="en-GB"/>
        </w:rPr>
        <w:t>. However,</w:t>
      </w:r>
      <w:r w:rsidR="00923E49">
        <w:rPr>
          <w:rFonts w:cs="Arial"/>
          <w:color w:val="000000" w:themeColor="text1"/>
          <w:sz w:val="22"/>
          <w:szCs w:val="22"/>
          <w:lang w:eastAsia="en-GB"/>
        </w:rPr>
        <w:t xml:space="preserve"> in the longer term, with </w:t>
      </w:r>
      <w:r w:rsidR="0091074A">
        <w:rPr>
          <w:rFonts w:cs="Arial"/>
          <w:color w:val="000000" w:themeColor="text1"/>
          <w:sz w:val="22"/>
          <w:szCs w:val="22"/>
          <w:lang w:eastAsia="en-GB"/>
        </w:rPr>
        <w:t xml:space="preserve">good progress made on Ci-Dev’s transition strategy and </w:t>
      </w:r>
      <w:r w:rsidR="00F77245">
        <w:rPr>
          <w:rFonts w:cs="Arial"/>
          <w:color w:val="000000" w:themeColor="text1"/>
          <w:sz w:val="22"/>
          <w:szCs w:val="22"/>
          <w:lang w:eastAsia="en-GB"/>
        </w:rPr>
        <w:t>Contributors</w:t>
      </w:r>
      <w:r w:rsidR="00BE21AE">
        <w:rPr>
          <w:rFonts w:cs="Arial"/>
          <w:color w:val="000000" w:themeColor="text1"/>
          <w:sz w:val="22"/>
          <w:szCs w:val="22"/>
          <w:lang w:eastAsia="en-GB"/>
        </w:rPr>
        <w:t xml:space="preserve"> authorising a plan to </w:t>
      </w:r>
      <w:r w:rsidR="00D24B8B">
        <w:rPr>
          <w:rFonts w:cs="Arial"/>
          <w:color w:val="000000" w:themeColor="text1"/>
          <w:sz w:val="22"/>
          <w:szCs w:val="22"/>
          <w:lang w:eastAsia="en-GB"/>
        </w:rPr>
        <w:t>scale up all Ci-Dev projects</w:t>
      </w:r>
      <w:r w:rsidR="00F679AE">
        <w:rPr>
          <w:rFonts w:cs="Arial"/>
          <w:color w:val="000000" w:themeColor="text1"/>
          <w:sz w:val="22"/>
          <w:szCs w:val="22"/>
          <w:lang w:eastAsia="en-GB"/>
        </w:rPr>
        <w:t xml:space="preserve"> into SCFs</w:t>
      </w:r>
      <w:r w:rsidR="00BF7BC7">
        <w:rPr>
          <w:rFonts w:cs="Arial"/>
          <w:color w:val="000000" w:themeColor="text1"/>
          <w:sz w:val="22"/>
          <w:szCs w:val="22"/>
          <w:lang w:eastAsia="en-GB"/>
        </w:rPr>
        <w:t>, it is likely</w:t>
      </w:r>
      <w:r w:rsidR="008A2340">
        <w:rPr>
          <w:rFonts w:cs="Arial"/>
          <w:color w:val="000000" w:themeColor="text1"/>
          <w:sz w:val="22"/>
          <w:szCs w:val="22"/>
          <w:lang w:eastAsia="en-GB"/>
        </w:rPr>
        <w:t xml:space="preserve"> that results for this output group will exceed current logframe expectations (</w:t>
      </w:r>
      <w:r w:rsidR="00475D4E">
        <w:rPr>
          <w:rFonts w:cs="Arial"/>
          <w:color w:val="000000" w:themeColor="text1"/>
          <w:sz w:val="22"/>
          <w:szCs w:val="22"/>
          <w:lang w:eastAsia="en-GB"/>
        </w:rPr>
        <w:t>e.g. 3 SCFs by 2025), reducing the risk that lifetime tar</w:t>
      </w:r>
      <w:r w:rsidR="0012372D">
        <w:rPr>
          <w:rFonts w:cs="Arial"/>
          <w:color w:val="000000" w:themeColor="text1"/>
          <w:sz w:val="22"/>
          <w:szCs w:val="22"/>
          <w:lang w:eastAsia="en-GB"/>
        </w:rPr>
        <w:t xml:space="preserve">gets are missed. In scoping </w:t>
      </w:r>
      <w:r w:rsidR="00F0201C">
        <w:rPr>
          <w:rFonts w:cs="Arial"/>
          <w:color w:val="000000" w:themeColor="text1"/>
          <w:sz w:val="22"/>
          <w:szCs w:val="22"/>
          <w:lang w:eastAsia="en-GB"/>
        </w:rPr>
        <w:t xml:space="preserve">these </w:t>
      </w:r>
      <w:r w:rsidR="0012372D">
        <w:rPr>
          <w:rFonts w:cs="Arial"/>
          <w:color w:val="000000" w:themeColor="text1"/>
          <w:sz w:val="22"/>
          <w:szCs w:val="22"/>
          <w:lang w:eastAsia="en-GB"/>
        </w:rPr>
        <w:t xml:space="preserve">SCFs, it will be important for </w:t>
      </w:r>
      <w:r w:rsidR="00F0201C">
        <w:rPr>
          <w:rFonts w:cs="Arial"/>
          <w:color w:val="000000" w:themeColor="text1"/>
          <w:sz w:val="22"/>
          <w:szCs w:val="22"/>
          <w:lang w:eastAsia="en-GB"/>
        </w:rPr>
        <w:t xml:space="preserve">the Trustee or their contractors to thoroughly assess </w:t>
      </w:r>
      <w:r w:rsidR="0012372D">
        <w:rPr>
          <w:rFonts w:cs="Arial"/>
          <w:color w:val="000000" w:themeColor="text1"/>
          <w:sz w:val="22"/>
          <w:szCs w:val="22"/>
          <w:lang w:eastAsia="en-GB"/>
        </w:rPr>
        <w:t xml:space="preserve">the readiness </w:t>
      </w:r>
      <w:r w:rsidR="00F0201C">
        <w:rPr>
          <w:rFonts w:cs="Arial"/>
          <w:color w:val="000000" w:themeColor="text1"/>
          <w:sz w:val="22"/>
          <w:szCs w:val="22"/>
          <w:lang w:eastAsia="en-GB"/>
        </w:rPr>
        <w:t xml:space="preserve">of </w:t>
      </w:r>
      <w:r w:rsidR="0012372D">
        <w:rPr>
          <w:rFonts w:cs="Arial"/>
          <w:color w:val="000000" w:themeColor="text1"/>
          <w:sz w:val="22"/>
          <w:szCs w:val="22"/>
          <w:lang w:eastAsia="en-GB"/>
        </w:rPr>
        <w:t xml:space="preserve">potential hosts </w:t>
      </w:r>
      <w:r w:rsidR="00F0201C">
        <w:rPr>
          <w:rFonts w:cs="Arial"/>
          <w:color w:val="000000" w:themeColor="text1"/>
          <w:sz w:val="22"/>
          <w:szCs w:val="22"/>
          <w:lang w:eastAsia="en-GB"/>
        </w:rPr>
        <w:t xml:space="preserve">to implement </w:t>
      </w:r>
      <w:r w:rsidR="001523C0">
        <w:rPr>
          <w:rFonts w:cs="Arial"/>
          <w:color w:val="000000" w:themeColor="text1"/>
          <w:sz w:val="22"/>
          <w:szCs w:val="22"/>
          <w:lang w:eastAsia="en-GB"/>
        </w:rPr>
        <w:t xml:space="preserve">such an approach so that informed decisions can be taken on </w:t>
      </w:r>
      <w:r w:rsidR="00ED4304">
        <w:rPr>
          <w:rFonts w:cs="Arial"/>
          <w:color w:val="000000" w:themeColor="text1"/>
          <w:sz w:val="22"/>
          <w:szCs w:val="22"/>
          <w:lang w:eastAsia="en-GB"/>
        </w:rPr>
        <w:t>capacity building requirements.</w:t>
      </w:r>
      <w:r w:rsidR="006F2FF1">
        <w:rPr>
          <w:rFonts w:cs="Arial"/>
          <w:color w:val="000000" w:themeColor="text1"/>
          <w:sz w:val="22"/>
          <w:szCs w:val="22"/>
          <w:lang w:eastAsia="en-GB"/>
        </w:rPr>
        <w:t xml:space="preserve">  </w:t>
      </w:r>
    </w:p>
    <w:p w14:paraId="39FD2E93" w14:textId="77777777" w:rsidR="00D24D47" w:rsidRDefault="00D24D47" w:rsidP="00BC14DF">
      <w:pPr>
        <w:contextualSpacing/>
        <w:jc w:val="both"/>
        <w:rPr>
          <w:rFonts w:cs="Arial"/>
          <w:color w:val="000000" w:themeColor="text1"/>
          <w:sz w:val="22"/>
          <w:szCs w:val="22"/>
          <w:lang w:eastAsia="en-GB"/>
        </w:rPr>
      </w:pPr>
    </w:p>
    <w:p w14:paraId="0F27D629" w14:textId="77777777" w:rsidR="00CB0419" w:rsidRPr="00E40148" w:rsidRDefault="00CB0419" w:rsidP="00BC14DF">
      <w:pPr>
        <w:contextualSpacing/>
        <w:jc w:val="both"/>
        <w:rPr>
          <w:rFonts w:cs="Arial"/>
          <w:color w:val="000000" w:themeColor="text1"/>
          <w:sz w:val="22"/>
          <w:szCs w:val="22"/>
          <w:lang w:eastAsia="en-GB"/>
        </w:rPr>
      </w:pPr>
    </w:p>
    <w:p w14:paraId="064F9A1F" w14:textId="77777777" w:rsidR="0091694C" w:rsidRPr="00E40148" w:rsidRDefault="0091694C" w:rsidP="00BC14DF">
      <w:pPr>
        <w:contextualSpacing/>
        <w:jc w:val="both"/>
        <w:rPr>
          <w:rFonts w:cs="Arial"/>
          <w:b/>
          <w:bCs/>
          <w:color w:val="000000" w:themeColor="text1"/>
          <w:sz w:val="22"/>
          <w:szCs w:val="22"/>
        </w:rPr>
      </w:pPr>
      <w:r w:rsidRPr="00E40148">
        <w:rPr>
          <w:rFonts w:cs="Arial"/>
          <w:b/>
          <w:bCs/>
          <w:color w:val="000000" w:themeColor="text1"/>
          <w:sz w:val="22"/>
          <w:szCs w:val="22"/>
        </w:rPr>
        <w:lastRenderedPageBreak/>
        <w:t>Summary of responses to issues raised in previous annual reviews (where relevant)</w:t>
      </w:r>
      <w:r w:rsidR="003E02DC" w:rsidRPr="00E40148">
        <w:rPr>
          <w:rFonts w:cs="Arial"/>
          <w:b/>
          <w:bCs/>
          <w:color w:val="000000" w:themeColor="text1"/>
          <w:sz w:val="22"/>
          <w:szCs w:val="22"/>
        </w:rPr>
        <w:t xml:space="preserve"> </w:t>
      </w:r>
    </w:p>
    <w:p w14:paraId="36D845B8" w14:textId="5ECC2516" w:rsidR="00B7061F" w:rsidRDefault="00B7061F" w:rsidP="00BC14DF">
      <w:pPr>
        <w:tabs>
          <w:tab w:val="left" w:pos="6915"/>
          <w:tab w:val="left" w:pos="9495"/>
        </w:tabs>
        <w:jc w:val="both"/>
        <w:rPr>
          <w:rFonts w:cs="Arial"/>
          <w:i/>
          <w:color w:val="000000" w:themeColor="text1"/>
          <w:sz w:val="22"/>
          <w:szCs w:val="22"/>
        </w:rPr>
      </w:pPr>
    </w:p>
    <w:p w14:paraId="7C8B870B" w14:textId="43A8E66D" w:rsidR="00AF2A22" w:rsidRDefault="00AF2A22" w:rsidP="00BC14DF">
      <w:pPr>
        <w:numPr>
          <w:ilvl w:val="0"/>
          <w:numId w:val="24"/>
        </w:numPr>
        <w:ind w:left="360" w:firstLine="0"/>
        <w:jc w:val="both"/>
        <w:textAlignment w:val="baseline"/>
        <w:rPr>
          <w:rFonts w:eastAsia="Times New Roman" w:cs="Arial"/>
          <w:sz w:val="22"/>
          <w:szCs w:val="22"/>
          <w:lang w:eastAsia="en-GB"/>
        </w:rPr>
      </w:pPr>
      <w:r w:rsidRPr="00AF2A22">
        <w:rPr>
          <w:rFonts w:eastAsia="Times New Roman" w:cs="Arial"/>
          <w:sz w:val="22"/>
          <w:szCs w:val="22"/>
          <w:lang w:eastAsia="en-GB"/>
        </w:rPr>
        <w:t xml:space="preserve">The </w:t>
      </w:r>
      <w:r w:rsidR="00632C9E">
        <w:rPr>
          <w:rFonts w:eastAsia="Times New Roman" w:cs="Arial"/>
          <w:sz w:val="22"/>
          <w:szCs w:val="22"/>
          <w:lang w:eastAsia="en-GB"/>
        </w:rPr>
        <w:t>Trustee</w:t>
      </w:r>
      <w:r w:rsidRPr="00AF2A22">
        <w:rPr>
          <w:rFonts w:eastAsia="Times New Roman" w:cs="Arial"/>
          <w:sz w:val="22"/>
          <w:szCs w:val="22"/>
          <w:lang w:eastAsia="en-GB"/>
        </w:rPr>
        <w:t xml:space="preserve"> should continue work on its transition strategy, building on its post-2020 Ci-Dev portfolio transition report to ensure the fund is prepared for potential outcomes from UNFCCC negotiations at COP25 and, through Knowledge Management activity, that potential host countries better understand the relationship between crediting activities and their NDCs </w:t>
      </w:r>
      <w:r w:rsidR="00FC373E">
        <w:rPr>
          <w:rFonts w:eastAsia="Times New Roman" w:cs="Arial"/>
          <w:sz w:val="22"/>
          <w:szCs w:val="22"/>
          <w:lang w:eastAsia="en-GB"/>
        </w:rPr>
        <w:t>(</w:t>
      </w:r>
      <w:r w:rsidRPr="00AF2A22">
        <w:rPr>
          <w:rFonts w:eastAsia="Times New Roman" w:cs="Arial"/>
          <w:sz w:val="22"/>
          <w:szCs w:val="22"/>
          <w:lang w:eastAsia="en-GB"/>
        </w:rPr>
        <w:t>end 2019</w:t>
      </w:r>
      <w:r w:rsidR="00FC373E">
        <w:rPr>
          <w:rFonts w:eastAsia="Times New Roman" w:cs="Arial"/>
          <w:sz w:val="22"/>
          <w:szCs w:val="22"/>
          <w:lang w:eastAsia="en-GB"/>
        </w:rPr>
        <w:t>)</w:t>
      </w:r>
      <w:r w:rsidRPr="00AF2A22">
        <w:rPr>
          <w:rFonts w:eastAsia="Times New Roman" w:cs="Arial"/>
          <w:sz w:val="22"/>
          <w:szCs w:val="22"/>
          <w:lang w:eastAsia="en-GB"/>
        </w:rPr>
        <w:t>.</w:t>
      </w:r>
      <w:r w:rsidR="006F2FF1">
        <w:rPr>
          <w:rFonts w:eastAsia="Times New Roman" w:cs="Arial"/>
          <w:sz w:val="22"/>
          <w:szCs w:val="22"/>
          <w:lang w:eastAsia="en-GB"/>
        </w:rPr>
        <w:t xml:space="preserve"> </w:t>
      </w:r>
    </w:p>
    <w:p w14:paraId="3448B454" w14:textId="77777777" w:rsidR="00B205D4" w:rsidRDefault="00B205D4" w:rsidP="00B205D4">
      <w:pPr>
        <w:ind w:left="360"/>
        <w:jc w:val="both"/>
        <w:textAlignment w:val="baseline"/>
        <w:rPr>
          <w:rFonts w:eastAsia="Times New Roman" w:cs="Arial"/>
          <w:sz w:val="22"/>
          <w:szCs w:val="22"/>
          <w:lang w:eastAsia="en-GB"/>
        </w:rPr>
      </w:pPr>
    </w:p>
    <w:p w14:paraId="51CC38D9" w14:textId="3F41C2E8" w:rsidR="00ED269F" w:rsidRPr="00ED269F" w:rsidRDefault="00ED269F" w:rsidP="00BC14DF">
      <w:pPr>
        <w:pStyle w:val="ListParagraph"/>
        <w:jc w:val="both"/>
        <w:rPr>
          <w:rFonts w:cs="Arial"/>
          <w:b/>
          <w:color w:val="000000" w:themeColor="text1"/>
          <w:sz w:val="22"/>
          <w:szCs w:val="22"/>
        </w:rPr>
      </w:pPr>
      <w:r w:rsidRPr="00ED269F">
        <w:rPr>
          <w:rFonts w:cs="Arial"/>
          <w:b/>
          <w:color w:val="000000" w:themeColor="text1"/>
          <w:sz w:val="22"/>
          <w:szCs w:val="22"/>
        </w:rPr>
        <w:t>Complete</w:t>
      </w:r>
      <w:r w:rsidRPr="00ED269F">
        <w:rPr>
          <w:rFonts w:cs="Arial"/>
          <w:bCs/>
          <w:color w:val="000000" w:themeColor="text1"/>
          <w:sz w:val="22"/>
          <w:szCs w:val="22"/>
        </w:rPr>
        <w:t xml:space="preserve"> </w:t>
      </w:r>
      <w:r w:rsidR="002416FE">
        <w:rPr>
          <w:rFonts w:cs="Arial"/>
          <w:bCs/>
          <w:color w:val="000000" w:themeColor="text1"/>
          <w:sz w:val="22"/>
          <w:szCs w:val="22"/>
        </w:rPr>
        <w:t>–</w:t>
      </w:r>
      <w:r w:rsidRPr="00ED269F">
        <w:rPr>
          <w:rFonts w:cs="Arial"/>
          <w:bCs/>
          <w:color w:val="000000" w:themeColor="text1"/>
          <w:sz w:val="22"/>
          <w:szCs w:val="22"/>
        </w:rPr>
        <w:t xml:space="preserve"> The Trustee has continued work on the Ci-Dev transition strategy (i.e. how existing Ci-Dev projects might transition into Paris Agreement carbon markets) but in the absence of decisions and wider certainty at the UNFCCC level, work towards this has been limited. However, building on transition work, the Trustee proposed, and </w:t>
      </w:r>
      <w:r w:rsidR="00F77245">
        <w:rPr>
          <w:rFonts w:cs="Arial"/>
          <w:bCs/>
          <w:color w:val="000000" w:themeColor="text1"/>
          <w:sz w:val="22"/>
          <w:szCs w:val="22"/>
        </w:rPr>
        <w:t>Contributors</w:t>
      </w:r>
      <w:r w:rsidRPr="00ED269F">
        <w:rPr>
          <w:rFonts w:cs="Arial"/>
          <w:bCs/>
          <w:color w:val="000000" w:themeColor="text1"/>
          <w:sz w:val="22"/>
          <w:szCs w:val="22"/>
        </w:rPr>
        <w:t xml:space="preserve"> approved, a methodological framework for Ci-Dev portfolio transition as part of the financial year 2020 knowledge management work. Ci-Dev staff have shaped and delivered work to help hosts understand the relationship between crediting activity and their NDC achievement, for example in a workshop following the annual Designated National Authority forum in June at the UNFCCC in Bonn.</w:t>
      </w:r>
    </w:p>
    <w:p w14:paraId="5B7FD2F0" w14:textId="77777777" w:rsidR="00ED269F" w:rsidRPr="00AF2A22" w:rsidRDefault="00ED269F" w:rsidP="00BC14DF">
      <w:pPr>
        <w:jc w:val="both"/>
        <w:textAlignment w:val="baseline"/>
        <w:rPr>
          <w:rFonts w:eastAsia="Times New Roman" w:cs="Arial"/>
          <w:sz w:val="22"/>
          <w:szCs w:val="22"/>
          <w:lang w:eastAsia="en-GB"/>
        </w:rPr>
      </w:pPr>
    </w:p>
    <w:p w14:paraId="5F0206DE" w14:textId="77777777" w:rsidR="00AF2A22" w:rsidRPr="00313EBA" w:rsidRDefault="00AF2A22" w:rsidP="00BC14DF">
      <w:pPr>
        <w:jc w:val="both"/>
        <w:rPr>
          <w:rFonts w:cs="Arial"/>
          <w:b/>
          <w:bCs/>
          <w:color w:val="000000" w:themeColor="text1"/>
          <w:sz w:val="22"/>
          <w:szCs w:val="22"/>
        </w:rPr>
      </w:pPr>
    </w:p>
    <w:p w14:paraId="512E6F3F" w14:textId="3A7A6598" w:rsidR="000E55EB" w:rsidRDefault="000E55EB" w:rsidP="00BC14DF">
      <w:pPr>
        <w:contextualSpacing/>
        <w:jc w:val="both"/>
        <w:rPr>
          <w:rFonts w:cs="Arial"/>
          <w:b/>
          <w:bCs/>
          <w:color w:val="000000" w:themeColor="text1"/>
          <w:sz w:val="22"/>
          <w:szCs w:val="22"/>
        </w:rPr>
      </w:pPr>
      <w:r>
        <w:rPr>
          <w:rFonts w:cs="Arial"/>
          <w:b/>
          <w:bCs/>
          <w:color w:val="000000" w:themeColor="text1"/>
          <w:sz w:val="22"/>
          <w:szCs w:val="22"/>
        </w:rPr>
        <w:t>Recommendations from this Annual Review</w:t>
      </w:r>
    </w:p>
    <w:p w14:paraId="04984ED7" w14:textId="4850F9AA" w:rsidR="00313EBA" w:rsidRDefault="00313EBA" w:rsidP="00BC14DF">
      <w:pPr>
        <w:contextualSpacing/>
        <w:jc w:val="both"/>
        <w:rPr>
          <w:rFonts w:cs="Arial"/>
          <w:b/>
          <w:bCs/>
          <w:color w:val="000000" w:themeColor="text1"/>
          <w:sz w:val="22"/>
          <w:szCs w:val="22"/>
        </w:rPr>
      </w:pPr>
    </w:p>
    <w:p w14:paraId="5E050919" w14:textId="77777777" w:rsidR="00E94A4D" w:rsidRDefault="00E94A4D" w:rsidP="00E94A4D">
      <w:pPr>
        <w:pStyle w:val="ListParagraph"/>
        <w:numPr>
          <w:ilvl w:val="0"/>
          <w:numId w:val="25"/>
        </w:numPr>
        <w:spacing w:after="60"/>
        <w:ind w:left="714" w:hanging="357"/>
        <w:contextualSpacing w:val="0"/>
        <w:jc w:val="both"/>
        <w:rPr>
          <w:sz w:val="22"/>
          <w:szCs w:val="22"/>
        </w:rPr>
      </w:pPr>
      <w:r w:rsidRPr="00EA4D2A">
        <w:rPr>
          <w:sz w:val="22"/>
          <w:szCs w:val="22"/>
        </w:rPr>
        <w:t>The Trustee and BEIS, with input from LTS (the independent evaluators)</w:t>
      </w:r>
      <w:r>
        <w:rPr>
          <w:sz w:val="22"/>
          <w:szCs w:val="22"/>
        </w:rPr>
        <w:t>,</w:t>
      </w:r>
      <w:r w:rsidRPr="00EA4D2A">
        <w:rPr>
          <w:sz w:val="22"/>
          <w:szCs w:val="22"/>
        </w:rPr>
        <w:t xml:space="preserve"> should agree a response plan to </w:t>
      </w:r>
      <w:r>
        <w:rPr>
          <w:sz w:val="22"/>
          <w:szCs w:val="22"/>
        </w:rPr>
        <w:t xml:space="preserve">the recommendations made by </w:t>
      </w:r>
      <w:r w:rsidRPr="00EA4D2A">
        <w:rPr>
          <w:sz w:val="22"/>
          <w:szCs w:val="22"/>
        </w:rPr>
        <w:t xml:space="preserve">LTS’s </w:t>
      </w:r>
      <w:r>
        <w:rPr>
          <w:sz w:val="22"/>
          <w:szCs w:val="22"/>
        </w:rPr>
        <w:t>mid-term evaluation</w:t>
      </w:r>
      <w:r w:rsidRPr="00EA4D2A">
        <w:rPr>
          <w:sz w:val="22"/>
          <w:szCs w:val="22"/>
        </w:rPr>
        <w:t xml:space="preserve"> of the programme</w:t>
      </w:r>
      <w:r>
        <w:rPr>
          <w:sz w:val="22"/>
          <w:szCs w:val="22"/>
        </w:rPr>
        <w:t>,</w:t>
      </w:r>
      <w:r w:rsidRPr="00EA4D2A" w:rsidDel="00D220E9">
        <w:rPr>
          <w:sz w:val="22"/>
          <w:szCs w:val="22"/>
        </w:rPr>
        <w:t xml:space="preserve"> </w:t>
      </w:r>
      <w:r>
        <w:rPr>
          <w:sz w:val="22"/>
          <w:szCs w:val="22"/>
        </w:rPr>
        <w:t>by the end of September 2020.</w:t>
      </w:r>
    </w:p>
    <w:p w14:paraId="059CC45C" w14:textId="46C6E131" w:rsidR="00C42E60" w:rsidRDefault="00C42E60" w:rsidP="00C42E60">
      <w:pPr>
        <w:rPr>
          <w:sz w:val="22"/>
          <w:szCs w:val="22"/>
        </w:rPr>
      </w:pPr>
    </w:p>
    <w:p w14:paraId="56B9FC47" w14:textId="381003B7" w:rsidR="00C42E60" w:rsidRDefault="00C42E60" w:rsidP="00C42E60">
      <w:pPr>
        <w:rPr>
          <w:sz w:val="22"/>
          <w:szCs w:val="22"/>
        </w:rPr>
      </w:pPr>
    </w:p>
    <w:p w14:paraId="596B47BD" w14:textId="03AC09B6" w:rsidR="00C42E60" w:rsidRDefault="00C42E60" w:rsidP="00C42E60">
      <w:pPr>
        <w:rPr>
          <w:sz w:val="22"/>
          <w:szCs w:val="22"/>
        </w:rPr>
      </w:pPr>
    </w:p>
    <w:p w14:paraId="79FD3BBE" w14:textId="02E9E3CF" w:rsidR="00C42E60" w:rsidRDefault="00C42E60" w:rsidP="00C42E60">
      <w:pPr>
        <w:rPr>
          <w:sz w:val="22"/>
          <w:szCs w:val="22"/>
        </w:rPr>
      </w:pPr>
    </w:p>
    <w:p w14:paraId="61D5325F" w14:textId="4AFA4CDE" w:rsidR="00C42E60" w:rsidRDefault="00C42E60" w:rsidP="00C42E60">
      <w:pPr>
        <w:rPr>
          <w:sz w:val="22"/>
          <w:szCs w:val="22"/>
        </w:rPr>
      </w:pPr>
    </w:p>
    <w:p w14:paraId="7F63AFC5" w14:textId="2E5B1194" w:rsidR="00C42E60" w:rsidRDefault="00C42E60" w:rsidP="00C42E60">
      <w:pPr>
        <w:rPr>
          <w:sz w:val="22"/>
          <w:szCs w:val="22"/>
        </w:rPr>
      </w:pPr>
    </w:p>
    <w:p w14:paraId="76BE1BBA" w14:textId="763A9AEA" w:rsidR="00C42E60" w:rsidRDefault="00C42E60" w:rsidP="00C42E60">
      <w:pPr>
        <w:rPr>
          <w:sz w:val="22"/>
          <w:szCs w:val="22"/>
        </w:rPr>
      </w:pPr>
    </w:p>
    <w:p w14:paraId="4155F606" w14:textId="19CC1721" w:rsidR="00C42E60" w:rsidRDefault="00C42E60" w:rsidP="00C42E60">
      <w:pPr>
        <w:rPr>
          <w:sz w:val="22"/>
          <w:szCs w:val="22"/>
        </w:rPr>
      </w:pPr>
    </w:p>
    <w:p w14:paraId="45A00363" w14:textId="26AEC1DC" w:rsidR="00C42E60" w:rsidRDefault="00C42E60" w:rsidP="00C42E60">
      <w:pPr>
        <w:rPr>
          <w:sz w:val="22"/>
          <w:szCs w:val="22"/>
        </w:rPr>
      </w:pPr>
    </w:p>
    <w:p w14:paraId="194FE70C" w14:textId="295F6DD5" w:rsidR="00C42E60" w:rsidRDefault="00C42E60" w:rsidP="00C42E60">
      <w:pPr>
        <w:rPr>
          <w:sz w:val="22"/>
          <w:szCs w:val="22"/>
        </w:rPr>
      </w:pPr>
    </w:p>
    <w:p w14:paraId="4D05603E" w14:textId="6249F886" w:rsidR="00C42E60" w:rsidRDefault="00C42E60" w:rsidP="00C42E60">
      <w:pPr>
        <w:rPr>
          <w:sz w:val="22"/>
          <w:szCs w:val="22"/>
        </w:rPr>
      </w:pPr>
    </w:p>
    <w:p w14:paraId="4AD009E4" w14:textId="2A18482C" w:rsidR="00C42E60" w:rsidRDefault="00C42E60" w:rsidP="00C42E60">
      <w:pPr>
        <w:rPr>
          <w:sz w:val="22"/>
          <w:szCs w:val="22"/>
        </w:rPr>
      </w:pPr>
    </w:p>
    <w:p w14:paraId="00957962" w14:textId="015E5D54" w:rsidR="00C42E60" w:rsidRDefault="00C42E60" w:rsidP="00C42E60">
      <w:pPr>
        <w:rPr>
          <w:sz w:val="22"/>
          <w:szCs w:val="22"/>
        </w:rPr>
      </w:pPr>
    </w:p>
    <w:p w14:paraId="1C2EFFE3" w14:textId="521B786C" w:rsidR="00C42E60" w:rsidRDefault="00C42E60" w:rsidP="00C42E60">
      <w:pPr>
        <w:rPr>
          <w:sz w:val="22"/>
          <w:szCs w:val="22"/>
        </w:rPr>
      </w:pPr>
    </w:p>
    <w:p w14:paraId="02E7A755" w14:textId="0C0B2CD1" w:rsidR="00C42E60" w:rsidRDefault="00C42E60" w:rsidP="00C42E60">
      <w:pPr>
        <w:rPr>
          <w:sz w:val="22"/>
          <w:szCs w:val="22"/>
        </w:rPr>
      </w:pPr>
    </w:p>
    <w:p w14:paraId="23C3059A" w14:textId="0BBAADD8" w:rsidR="00C42E60" w:rsidRDefault="00C42E60" w:rsidP="00C42E60">
      <w:pPr>
        <w:rPr>
          <w:sz w:val="22"/>
          <w:szCs w:val="22"/>
        </w:rPr>
      </w:pPr>
    </w:p>
    <w:p w14:paraId="13ABF7F3" w14:textId="4753D126" w:rsidR="00C42E60" w:rsidRDefault="00C42E60" w:rsidP="00C42E60">
      <w:pPr>
        <w:rPr>
          <w:sz w:val="22"/>
          <w:szCs w:val="22"/>
        </w:rPr>
      </w:pPr>
    </w:p>
    <w:p w14:paraId="758B72E9" w14:textId="01C43D8C" w:rsidR="00C42E60" w:rsidRDefault="00C42E60" w:rsidP="00C42E60">
      <w:pPr>
        <w:rPr>
          <w:sz w:val="22"/>
          <w:szCs w:val="22"/>
        </w:rPr>
      </w:pPr>
    </w:p>
    <w:p w14:paraId="6079E2B9" w14:textId="3EFBBC42" w:rsidR="00C42E60" w:rsidRDefault="00C42E60" w:rsidP="00C42E60">
      <w:pPr>
        <w:rPr>
          <w:sz w:val="22"/>
          <w:szCs w:val="22"/>
        </w:rPr>
      </w:pPr>
    </w:p>
    <w:p w14:paraId="5A7213C8" w14:textId="656DB765" w:rsidR="00C42E60" w:rsidRDefault="00C42E60" w:rsidP="00C42E60">
      <w:pPr>
        <w:rPr>
          <w:sz w:val="22"/>
          <w:szCs w:val="22"/>
        </w:rPr>
      </w:pPr>
    </w:p>
    <w:p w14:paraId="3D21926E" w14:textId="4BFB5FA6" w:rsidR="00C42E60" w:rsidRDefault="00C42E60" w:rsidP="00C42E60">
      <w:pPr>
        <w:rPr>
          <w:sz w:val="22"/>
          <w:szCs w:val="22"/>
        </w:rPr>
      </w:pPr>
    </w:p>
    <w:p w14:paraId="7CB72A0F" w14:textId="77777777" w:rsidR="00A22666" w:rsidRDefault="00A22666" w:rsidP="00C42E60">
      <w:pPr>
        <w:rPr>
          <w:sz w:val="22"/>
          <w:szCs w:val="22"/>
        </w:rPr>
      </w:pPr>
    </w:p>
    <w:p w14:paraId="30B8DFF3" w14:textId="77777777" w:rsidR="00A22666" w:rsidRDefault="00A22666" w:rsidP="00C42E60">
      <w:pPr>
        <w:rPr>
          <w:sz w:val="22"/>
          <w:szCs w:val="22"/>
        </w:rPr>
      </w:pPr>
    </w:p>
    <w:p w14:paraId="670AA769" w14:textId="77777777" w:rsidR="00A22666" w:rsidRDefault="00A22666" w:rsidP="00C42E60">
      <w:pPr>
        <w:rPr>
          <w:sz w:val="22"/>
          <w:szCs w:val="22"/>
        </w:rPr>
      </w:pPr>
    </w:p>
    <w:p w14:paraId="12ADDA74" w14:textId="77777777" w:rsidR="00A22666" w:rsidRDefault="00A22666" w:rsidP="00C42E60">
      <w:pPr>
        <w:rPr>
          <w:sz w:val="22"/>
          <w:szCs w:val="22"/>
        </w:rPr>
      </w:pPr>
    </w:p>
    <w:p w14:paraId="15353A7F" w14:textId="77777777" w:rsidR="00A22666" w:rsidRDefault="00A22666" w:rsidP="00C42E60">
      <w:pPr>
        <w:rPr>
          <w:sz w:val="22"/>
          <w:szCs w:val="22"/>
        </w:rPr>
      </w:pPr>
    </w:p>
    <w:p w14:paraId="4AD91929" w14:textId="77777777" w:rsidR="00A22666" w:rsidRDefault="00A22666" w:rsidP="00C42E60">
      <w:pPr>
        <w:rPr>
          <w:sz w:val="22"/>
          <w:szCs w:val="22"/>
        </w:rPr>
      </w:pPr>
    </w:p>
    <w:p w14:paraId="05914D68" w14:textId="32534A0D" w:rsidR="00C42E60" w:rsidRDefault="00C42E60" w:rsidP="00C42E60">
      <w:pPr>
        <w:rPr>
          <w:sz w:val="22"/>
          <w:szCs w:val="22"/>
        </w:rPr>
      </w:pPr>
    </w:p>
    <w:p w14:paraId="404CA233" w14:textId="56F75152" w:rsidR="00C42E60" w:rsidRDefault="00C42E60" w:rsidP="00C42E60">
      <w:pPr>
        <w:rPr>
          <w:sz w:val="22"/>
          <w:szCs w:val="22"/>
        </w:rPr>
      </w:pPr>
    </w:p>
    <w:p w14:paraId="68F7ABFA" w14:textId="008D72F6" w:rsidR="00C42E60" w:rsidRDefault="00C42E60" w:rsidP="00C42E60">
      <w:pPr>
        <w:rPr>
          <w:sz w:val="22"/>
          <w:szCs w:val="22"/>
        </w:rPr>
      </w:pPr>
    </w:p>
    <w:p w14:paraId="4D7FF260" w14:textId="77777777" w:rsidR="00C42E60" w:rsidRPr="00C42E60" w:rsidRDefault="00C42E60" w:rsidP="00C42E60">
      <w:pPr>
        <w:rPr>
          <w:sz w:val="22"/>
          <w:szCs w:val="22"/>
        </w:rPr>
      </w:pPr>
    </w:p>
    <w:p w14:paraId="00888E7B" w14:textId="77777777" w:rsidR="00656CA1" w:rsidRDefault="00656CA1" w:rsidP="00FB4828">
      <w:pPr>
        <w:rPr>
          <w:rFonts w:cs="Arial"/>
          <w:bCs/>
          <w:color w:val="000000" w:themeColor="text1"/>
          <w:sz w:val="22"/>
          <w:szCs w:val="22"/>
        </w:rPr>
      </w:pPr>
    </w:p>
    <w:tbl>
      <w:tblPr>
        <w:tblStyle w:val="TableGrid"/>
        <w:tblpPr w:leftFromText="180" w:rightFromText="180" w:vertAnchor="text" w:horzAnchor="margin" w:tblpY="-98"/>
        <w:tblW w:w="0" w:type="auto"/>
        <w:tblLook w:val="04A0" w:firstRow="1" w:lastRow="0" w:firstColumn="1" w:lastColumn="0" w:noHBand="0" w:noVBand="1"/>
      </w:tblPr>
      <w:tblGrid>
        <w:gridCol w:w="1666"/>
        <w:gridCol w:w="1487"/>
        <w:gridCol w:w="1955"/>
        <w:gridCol w:w="3020"/>
        <w:gridCol w:w="2066"/>
      </w:tblGrid>
      <w:tr w:rsidR="00AB3CF5" w:rsidRPr="00B77D90" w14:paraId="4A4EC13C" w14:textId="77777777" w:rsidTr="0060060D">
        <w:trPr>
          <w:trHeight w:val="405"/>
        </w:trPr>
        <w:tc>
          <w:tcPr>
            <w:tcW w:w="1679" w:type="dxa"/>
            <w:shd w:val="clear" w:color="auto" w:fill="DBE5F1" w:themeFill="accent1" w:themeFillTint="33"/>
          </w:tcPr>
          <w:p w14:paraId="11CEAECC" w14:textId="77777777" w:rsidR="00AB3CF5" w:rsidRPr="00E40148" w:rsidRDefault="00AB3CF5" w:rsidP="00AB3CF5">
            <w:pPr>
              <w:contextualSpacing/>
              <w:rPr>
                <w:rFonts w:cs="Arial"/>
                <w:b/>
                <w:bCs/>
                <w:color w:val="000000" w:themeColor="text1"/>
                <w:sz w:val="22"/>
                <w:szCs w:val="22"/>
              </w:rPr>
            </w:pPr>
            <w:r w:rsidRPr="00FF1136">
              <w:rPr>
                <w:rFonts w:cs="Arial"/>
                <w:color w:val="000000" w:themeColor="text1"/>
                <w:sz w:val="22"/>
                <w:szCs w:val="22"/>
                <w:highlight w:val="yellow"/>
                <w:lang w:eastAsia="en-GB"/>
              </w:rPr>
              <w:lastRenderedPageBreak/>
              <w:br w:type="page"/>
            </w:r>
            <w:r w:rsidRPr="00E40148">
              <w:rPr>
                <w:rFonts w:cs="Arial"/>
                <w:bCs/>
                <w:color w:val="000000" w:themeColor="text1"/>
                <w:sz w:val="22"/>
                <w:szCs w:val="22"/>
              </w:rPr>
              <w:br w:type="page"/>
            </w:r>
            <w:r w:rsidRPr="00E40148">
              <w:rPr>
                <w:rFonts w:cs="Arial"/>
                <w:b/>
                <w:bCs/>
                <w:color w:val="000000" w:themeColor="text1"/>
                <w:sz w:val="22"/>
                <w:szCs w:val="22"/>
              </w:rPr>
              <w:t xml:space="preserve">Output Title </w:t>
            </w:r>
          </w:p>
        </w:tc>
        <w:tc>
          <w:tcPr>
            <w:tcW w:w="8633" w:type="dxa"/>
            <w:gridSpan w:val="4"/>
            <w:shd w:val="clear" w:color="auto" w:fill="FFFFFF" w:themeFill="background1"/>
          </w:tcPr>
          <w:p w14:paraId="41147EBC" w14:textId="670671D4" w:rsidR="00AB3CF5" w:rsidRPr="00E40148" w:rsidRDefault="003628C0" w:rsidP="00AB3CF5">
            <w:pPr>
              <w:contextualSpacing/>
              <w:rPr>
                <w:rFonts w:cs="Arial"/>
                <w:bCs/>
                <w:i/>
                <w:color w:val="000000" w:themeColor="text1"/>
                <w:sz w:val="22"/>
                <w:szCs w:val="22"/>
              </w:rPr>
            </w:pPr>
            <w:r w:rsidRPr="008E2C22">
              <w:rPr>
                <w:rFonts w:cs="Arial"/>
                <w:b/>
                <w:sz w:val="22"/>
                <w:szCs w:val="22"/>
              </w:rPr>
              <w:t xml:space="preserve">Ci-Dev’s Knowledge Management Strategy helps to increase capacity among communities, the private sector and governments to implement </w:t>
            </w:r>
            <w:r w:rsidR="00512DCC">
              <w:rPr>
                <w:rFonts w:cs="Arial"/>
                <w:b/>
                <w:sz w:val="22"/>
                <w:szCs w:val="22"/>
              </w:rPr>
              <w:t>Ci-Dev</w:t>
            </w:r>
            <w:r w:rsidRPr="008E2C22">
              <w:rPr>
                <w:rFonts w:cs="Arial"/>
                <w:b/>
                <w:sz w:val="22"/>
                <w:szCs w:val="22"/>
              </w:rPr>
              <w:t xml:space="preserve"> developed new methodologies</w:t>
            </w:r>
          </w:p>
        </w:tc>
      </w:tr>
      <w:tr w:rsidR="00AB3CF5" w:rsidRPr="00B77D90" w14:paraId="7F9332D5" w14:textId="77777777" w:rsidTr="0060060D">
        <w:trPr>
          <w:trHeight w:val="405"/>
        </w:trPr>
        <w:tc>
          <w:tcPr>
            <w:tcW w:w="3193" w:type="dxa"/>
            <w:gridSpan w:val="2"/>
            <w:shd w:val="clear" w:color="auto" w:fill="DBE5F1" w:themeFill="accent1" w:themeFillTint="33"/>
          </w:tcPr>
          <w:p w14:paraId="4A57EF2A" w14:textId="77777777" w:rsidR="00AB3CF5" w:rsidRPr="00E40148" w:rsidRDefault="00AB3CF5" w:rsidP="00AB3CF5">
            <w:pPr>
              <w:contextualSpacing/>
              <w:rPr>
                <w:rFonts w:cs="Arial"/>
                <w:bCs/>
                <w:color w:val="000000" w:themeColor="text1"/>
                <w:sz w:val="22"/>
                <w:szCs w:val="22"/>
              </w:rPr>
            </w:pPr>
            <w:r w:rsidRPr="00E40148">
              <w:rPr>
                <w:rFonts w:cs="Arial"/>
                <w:bCs/>
                <w:color w:val="000000" w:themeColor="text1"/>
                <w:sz w:val="22"/>
                <w:szCs w:val="22"/>
              </w:rPr>
              <w:t>Output number per LF</w:t>
            </w:r>
          </w:p>
        </w:tc>
        <w:tc>
          <w:tcPr>
            <w:tcW w:w="1977" w:type="dxa"/>
          </w:tcPr>
          <w:p w14:paraId="2A7F0C54" w14:textId="77777777" w:rsidR="00AB3CF5" w:rsidRPr="00E40148" w:rsidRDefault="00AB3CF5" w:rsidP="00AB3CF5">
            <w:pPr>
              <w:contextualSpacing/>
              <w:rPr>
                <w:rFonts w:cs="Arial"/>
                <w:color w:val="000000" w:themeColor="text1"/>
                <w:sz w:val="22"/>
                <w:szCs w:val="22"/>
              </w:rPr>
            </w:pPr>
            <w:r w:rsidRPr="00E40148">
              <w:rPr>
                <w:rFonts w:cs="Arial"/>
                <w:color w:val="000000" w:themeColor="text1"/>
                <w:sz w:val="22"/>
                <w:szCs w:val="22"/>
              </w:rPr>
              <w:t>3</w:t>
            </w:r>
          </w:p>
        </w:tc>
        <w:tc>
          <w:tcPr>
            <w:tcW w:w="3055" w:type="dxa"/>
            <w:shd w:val="clear" w:color="auto" w:fill="DBE5F1" w:themeFill="accent1" w:themeFillTint="33"/>
          </w:tcPr>
          <w:p w14:paraId="6708C5D5" w14:textId="77777777" w:rsidR="00AB3CF5" w:rsidRPr="00E40148" w:rsidRDefault="00AB3CF5" w:rsidP="00AB3CF5">
            <w:pPr>
              <w:contextualSpacing/>
              <w:rPr>
                <w:rFonts w:cs="Arial"/>
                <w:b/>
                <w:color w:val="000000" w:themeColor="text1"/>
                <w:sz w:val="22"/>
                <w:szCs w:val="22"/>
              </w:rPr>
            </w:pPr>
            <w:r w:rsidRPr="00E40148">
              <w:rPr>
                <w:rFonts w:cs="Arial"/>
                <w:b/>
                <w:bCs/>
                <w:color w:val="000000" w:themeColor="text1"/>
                <w:sz w:val="22"/>
                <w:szCs w:val="22"/>
              </w:rPr>
              <w:t xml:space="preserve">Output Score </w:t>
            </w:r>
          </w:p>
        </w:tc>
        <w:tc>
          <w:tcPr>
            <w:tcW w:w="2087" w:type="dxa"/>
          </w:tcPr>
          <w:p w14:paraId="569A7BFB" w14:textId="3898F339" w:rsidR="00AB3CF5" w:rsidRPr="00E04CE7" w:rsidRDefault="00E04CE7" w:rsidP="00AB3CF5">
            <w:pPr>
              <w:contextualSpacing/>
              <w:rPr>
                <w:rFonts w:cs="Arial"/>
                <w:b/>
                <w:bCs/>
                <w:iCs/>
                <w:color w:val="000000" w:themeColor="text1"/>
                <w:sz w:val="22"/>
                <w:szCs w:val="22"/>
              </w:rPr>
            </w:pPr>
            <w:r>
              <w:rPr>
                <w:rFonts w:cs="Arial"/>
                <w:b/>
                <w:bCs/>
                <w:iCs/>
                <w:color w:val="000000" w:themeColor="text1"/>
                <w:sz w:val="22"/>
                <w:szCs w:val="22"/>
              </w:rPr>
              <w:t>A</w:t>
            </w:r>
          </w:p>
        </w:tc>
      </w:tr>
      <w:tr w:rsidR="00AB3CF5" w:rsidRPr="00B77D90" w14:paraId="463191C3" w14:textId="77777777" w:rsidTr="0060060D">
        <w:trPr>
          <w:trHeight w:val="405"/>
        </w:trPr>
        <w:tc>
          <w:tcPr>
            <w:tcW w:w="3193" w:type="dxa"/>
            <w:gridSpan w:val="2"/>
            <w:shd w:val="clear" w:color="auto" w:fill="DBE5F1" w:themeFill="accent1" w:themeFillTint="33"/>
          </w:tcPr>
          <w:p w14:paraId="4D120FBD" w14:textId="77777777" w:rsidR="00AB3CF5" w:rsidRPr="00E40148" w:rsidRDefault="00AB3CF5" w:rsidP="00AB3CF5">
            <w:pPr>
              <w:contextualSpacing/>
              <w:rPr>
                <w:rFonts w:cs="Arial"/>
                <w:color w:val="000000" w:themeColor="text1"/>
                <w:sz w:val="22"/>
                <w:szCs w:val="22"/>
              </w:rPr>
            </w:pPr>
            <w:r w:rsidRPr="00E40148">
              <w:rPr>
                <w:rFonts w:cs="Arial"/>
                <w:bCs/>
                <w:color w:val="000000" w:themeColor="text1"/>
                <w:sz w:val="22"/>
                <w:szCs w:val="22"/>
              </w:rPr>
              <w:t xml:space="preserve">Risk: </w:t>
            </w:r>
          </w:p>
        </w:tc>
        <w:tc>
          <w:tcPr>
            <w:tcW w:w="1977" w:type="dxa"/>
          </w:tcPr>
          <w:p w14:paraId="48F290F6" w14:textId="215D48EF" w:rsidR="00AB3CF5" w:rsidRPr="00E40148" w:rsidRDefault="005720E4" w:rsidP="00AB3CF5">
            <w:pPr>
              <w:contextualSpacing/>
              <w:rPr>
                <w:rFonts w:cs="Arial"/>
                <w:bCs/>
                <w:i/>
                <w:color w:val="000000" w:themeColor="text1"/>
                <w:sz w:val="22"/>
                <w:szCs w:val="22"/>
              </w:rPr>
            </w:pPr>
            <w:r>
              <w:rPr>
                <w:rFonts w:cs="Arial"/>
                <w:color w:val="000000" w:themeColor="text1"/>
                <w:sz w:val="22"/>
                <w:szCs w:val="22"/>
              </w:rPr>
              <w:t>Minor</w:t>
            </w:r>
          </w:p>
        </w:tc>
        <w:tc>
          <w:tcPr>
            <w:tcW w:w="3055" w:type="dxa"/>
            <w:shd w:val="clear" w:color="auto" w:fill="DBE5F1" w:themeFill="accent1" w:themeFillTint="33"/>
          </w:tcPr>
          <w:p w14:paraId="1CB01C43" w14:textId="77777777" w:rsidR="00AB3CF5" w:rsidRPr="00E40148" w:rsidRDefault="00AB3CF5" w:rsidP="00AB3CF5">
            <w:pPr>
              <w:contextualSpacing/>
              <w:rPr>
                <w:rFonts w:cs="Arial"/>
                <w:bCs/>
                <w:color w:val="000000" w:themeColor="text1"/>
                <w:sz w:val="22"/>
                <w:szCs w:val="22"/>
              </w:rPr>
            </w:pPr>
            <w:r w:rsidRPr="00E40148">
              <w:rPr>
                <w:rFonts w:cs="Arial"/>
                <w:bCs/>
                <w:color w:val="000000" w:themeColor="text1"/>
                <w:sz w:val="22"/>
                <w:szCs w:val="22"/>
              </w:rPr>
              <w:t>Impact weighting (%):</w:t>
            </w:r>
          </w:p>
        </w:tc>
        <w:tc>
          <w:tcPr>
            <w:tcW w:w="2087" w:type="dxa"/>
          </w:tcPr>
          <w:p w14:paraId="2B390996" w14:textId="7CBD9DB4" w:rsidR="00AB3CF5" w:rsidRPr="00994D7F" w:rsidRDefault="005720E4" w:rsidP="00AB3CF5">
            <w:pPr>
              <w:contextualSpacing/>
              <w:rPr>
                <w:rFonts w:cs="Arial"/>
                <w:color w:val="000000" w:themeColor="text1"/>
                <w:sz w:val="22"/>
                <w:szCs w:val="22"/>
              </w:rPr>
            </w:pPr>
            <w:r>
              <w:rPr>
                <w:rFonts w:cs="Arial"/>
                <w:color w:val="000000" w:themeColor="text1"/>
                <w:sz w:val="22"/>
                <w:szCs w:val="22"/>
              </w:rPr>
              <w:t>2</w:t>
            </w:r>
            <w:r w:rsidR="00AB3CF5" w:rsidRPr="00994D7F">
              <w:rPr>
                <w:rFonts w:cs="Arial"/>
                <w:color w:val="000000" w:themeColor="text1"/>
                <w:sz w:val="22"/>
                <w:szCs w:val="22"/>
              </w:rPr>
              <w:t>5%</w:t>
            </w:r>
          </w:p>
        </w:tc>
      </w:tr>
      <w:tr w:rsidR="00AB3CF5" w:rsidRPr="00B77D90" w14:paraId="48827776" w14:textId="77777777" w:rsidTr="0060060D">
        <w:tc>
          <w:tcPr>
            <w:tcW w:w="3193" w:type="dxa"/>
            <w:gridSpan w:val="2"/>
            <w:shd w:val="clear" w:color="auto" w:fill="DBE5F1" w:themeFill="accent1" w:themeFillTint="33"/>
          </w:tcPr>
          <w:p w14:paraId="76B1D09C" w14:textId="77777777" w:rsidR="00AB3CF5" w:rsidRDefault="00AB3CF5" w:rsidP="00AB3CF5">
            <w:pPr>
              <w:contextualSpacing/>
              <w:rPr>
                <w:rFonts w:cs="Arial"/>
                <w:color w:val="000000" w:themeColor="text1"/>
                <w:sz w:val="22"/>
                <w:szCs w:val="22"/>
              </w:rPr>
            </w:pPr>
            <w:r w:rsidRPr="00E40148">
              <w:rPr>
                <w:rFonts w:cs="Arial"/>
                <w:bCs/>
                <w:color w:val="000000" w:themeColor="text1"/>
                <w:sz w:val="22"/>
                <w:szCs w:val="22"/>
              </w:rPr>
              <w:t xml:space="preserve">Risk revised since last AR? </w:t>
            </w:r>
          </w:p>
          <w:p w14:paraId="1E9CEAA8" w14:textId="77777777" w:rsidR="00AB3CF5" w:rsidRPr="00FB4828" w:rsidRDefault="00AB3CF5" w:rsidP="00AB3CF5">
            <w:pPr>
              <w:rPr>
                <w:rFonts w:cs="Arial"/>
                <w:sz w:val="22"/>
                <w:szCs w:val="22"/>
              </w:rPr>
            </w:pPr>
          </w:p>
          <w:p w14:paraId="04E2FDC9" w14:textId="77777777" w:rsidR="00AB3CF5" w:rsidRPr="00FB4828" w:rsidRDefault="00AB3CF5" w:rsidP="00AB3CF5">
            <w:pPr>
              <w:rPr>
                <w:rFonts w:cs="Arial"/>
                <w:sz w:val="22"/>
                <w:szCs w:val="22"/>
              </w:rPr>
            </w:pPr>
          </w:p>
        </w:tc>
        <w:tc>
          <w:tcPr>
            <w:tcW w:w="1977" w:type="dxa"/>
          </w:tcPr>
          <w:p w14:paraId="024EEF26" w14:textId="49C77308" w:rsidR="00AB3CF5" w:rsidRPr="00E04CE7" w:rsidRDefault="00515735" w:rsidP="0066694D">
            <w:pPr>
              <w:contextualSpacing/>
              <w:rPr>
                <w:rFonts w:cs="Arial"/>
                <w:bCs/>
                <w:color w:val="000000" w:themeColor="text1"/>
                <w:sz w:val="22"/>
                <w:szCs w:val="22"/>
              </w:rPr>
            </w:pPr>
            <w:r>
              <w:rPr>
                <w:rFonts w:cs="Arial"/>
                <w:bCs/>
                <w:color w:val="000000" w:themeColor="text1"/>
                <w:sz w:val="22"/>
                <w:szCs w:val="22"/>
              </w:rPr>
              <w:t>N</w:t>
            </w:r>
            <w:r w:rsidR="00E04CE7" w:rsidRPr="00E04CE7">
              <w:rPr>
                <w:rFonts w:cs="Arial"/>
                <w:bCs/>
                <w:color w:val="000000" w:themeColor="text1"/>
                <w:sz w:val="22"/>
                <w:szCs w:val="22"/>
              </w:rPr>
              <w:t>o</w:t>
            </w:r>
          </w:p>
        </w:tc>
        <w:tc>
          <w:tcPr>
            <w:tcW w:w="3055" w:type="dxa"/>
            <w:shd w:val="clear" w:color="auto" w:fill="DBE5F1" w:themeFill="accent1" w:themeFillTint="33"/>
          </w:tcPr>
          <w:p w14:paraId="293941F3" w14:textId="77777777" w:rsidR="00AB3CF5" w:rsidRPr="00E40148" w:rsidRDefault="00AB3CF5" w:rsidP="00AB3CF5">
            <w:pPr>
              <w:contextualSpacing/>
              <w:rPr>
                <w:rFonts w:cs="Arial"/>
                <w:bCs/>
                <w:color w:val="000000" w:themeColor="text1"/>
                <w:sz w:val="22"/>
                <w:szCs w:val="22"/>
              </w:rPr>
            </w:pPr>
            <w:r w:rsidRPr="00E40148">
              <w:rPr>
                <w:rFonts w:cs="Arial"/>
                <w:bCs/>
                <w:color w:val="000000" w:themeColor="text1"/>
                <w:sz w:val="22"/>
                <w:szCs w:val="22"/>
              </w:rPr>
              <w:t xml:space="preserve">Impact weighting % revised since last AR? </w:t>
            </w:r>
          </w:p>
        </w:tc>
        <w:tc>
          <w:tcPr>
            <w:tcW w:w="2087" w:type="dxa"/>
          </w:tcPr>
          <w:p w14:paraId="2581BE67" w14:textId="77777777" w:rsidR="0066694D" w:rsidRPr="00581E6D" w:rsidRDefault="0066694D" w:rsidP="0066694D">
            <w:pPr>
              <w:contextualSpacing/>
              <w:rPr>
                <w:rFonts w:cs="Arial"/>
                <w:bCs/>
                <w:color w:val="000000" w:themeColor="text1"/>
                <w:sz w:val="22"/>
                <w:szCs w:val="22"/>
              </w:rPr>
            </w:pPr>
            <w:r>
              <w:rPr>
                <w:rFonts w:cs="Arial"/>
                <w:bCs/>
                <w:color w:val="000000" w:themeColor="text1"/>
                <w:sz w:val="22"/>
                <w:szCs w:val="22"/>
              </w:rPr>
              <w:t>Last revised 2018</w:t>
            </w:r>
          </w:p>
          <w:p w14:paraId="14A3C326" w14:textId="5A951CE1" w:rsidR="00AB3CF5" w:rsidRPr="00E40148" w:rsidRDefault="00AB3CF5" w:rsidP="00AB3CF5">
            <w:pPr>
              <w:contextualSpacing/>
              <w:rPr>
                <w:rFonts w:cs="Arial"/>
                <w:color w:val="000000" w:themeColor="text1"/>
                <w:sz w:val="22"/>
                <w:szCs w:val="22"/>
              </w:rPr>
            </w:pPr>
          </w:p>
          <w:p w14:paraId="6982584D" w14:textId="77777777" w:rsidR="00AB3CF5" w:rsidRPr="00E40148" w:rsidRDefault="00AB3CF5" w:rsidP="00AB3CF5">
            <w:pPr>
              <w:contextualSpacing/>
              <w:rPr>
                <w:rFonts w:cs="Arial"/>
                <w:color w:val="000000" w:themeColor="text1"/>
                <w:sz w:val="22"/>
                <w:szCs w:val="22"/>
              </w:rPr>
            </w:pPr>
          </w:p>
        </w:tc>
      </w:tr>
    </w:tbl>
    <w:p w14:paraId="502DBC83" w14:textId="77777777" w:rsidR="00656CA1" w:rsidRPr="00811429" w:rsidRDefault="00656CA1" w:rsidP="00FB4828">
      <w:pPr>
        <w:rPr>
          <w:rFonts w:cs="Arial"/>
          <w:b/>
          <w:color w:val="000000" w:themeColor="text1"/>
          <w:sz w:val="22"/>
          <w:szCs w:val="22"/>
        </w:rPr>
      </w:pPr>
    </w:p>
    <w:tbl>
      <w:tblPr>
        <w:tblStyle w:val="TableGrid"/>
        <w:tblpPr w:leftFromText="180" w:rightFromText="180" w:vertAnchor="text" w:horzAnchor="margin" w:tblpY="97"/>
        <w:tblOverlap w:val="never"/>
        <w:tblW w:w="10314" w:type="dxa"/>
        <w:tblLook w:val="04A0" w:firstRow="1" w:lastRow="0" w:firstColumn="1" w:lastColumn="0" w:noHBand="0" w:noVBand="1"/>
      </w:tblPr>
      <w:tblGrid>
        <w:gridCol w:w="4649"/>
        <w:gridCol w:w="1442"/>
        <w:gridCol w:w="4223"/>
      </w:tblGrid>
      <w:tr w:rsidR="00AB3CF5" w:rsidRPr="00B77D90" w14:paraId="3EB53DA3" w14:textId="77777777" w:rsidTr="00E04CE7">
        <w:trPr>
          <w:trHeight w:val="273"/>
        </w:trPr>
        <w:tc>
          <w:tcPr>
            <w:tcW w:w="4649" w:type="dxa"/>
            <w:shd w:val="clear" w:color="auto" w:fill="DBE5F1" w:themeFill="accent1" w:themeFillTint="33"/>
          </w:tcPr>
          <w:p w14:paraId="05A5D4D8" w14:textId="77777777" w:rsidR="00AB3CF5" w:rsidRDefault="00AB3CF5" w:rsidP="00AB3CF5">
            <w:pPr>
              <w:contextualSpacing/>
              <w:rPr>
                <w:rFonts w:cs="Arial"/>
                <w:b/>
                <w:bCs/>
                <w:color w:val="000000" w:themeColor="text1"/>
                <w:sz w:val="22"/>
                <w:szCs w:val="22"/>
              </w:rPr>
            </w:pPr>
          </w:p>
          <w:p w14:paraId="45E3217C" w14:textId="77777777" w:rsidR="00AB3CF5" w:rsidRPr="00E40148" w:rsidRDefault="00AB3CF5" w:rsidP="00AB3CF5">
            <w:pPr>
              <w:contextualSpacing/>
              <w:rPr>
                <w:rFonts w:cs="Arial"/>
                <w:b/>
                <w:bCs/>
                <w:color w:val="000000" w:themeColor="text1"/>
                <w:sz w:val="22"/>
                <w:szCs w:val="22"/>
              </w:rPr>
            </w:pPr>
            <w:r w:rsidRPr="00E40148">
              <w:rPr>
                <w:rFonts w:cs="Arial"/>
                <w:b/>
                <w:bCs/>
                <w:color w:val="000000" w:themeColor="text1"/>
                <w:sz w:val="22"/>
                <w:szCs w:val="22"/>
              </w:rPr>
              <w:t>Indicator(s)</w:t>
            </w:r>
          </w:p>
        </w:tc>
        <w:tc>
          <w:tcPr>
            <w:tcW w:w="1442" w:type="dxa"/>
            <w:shd w:val="clear" w:color="auto" w:fill="DBE5F1" w:themeFill="accent1" w:themeFillTint="33"/>
          </w:tcPr>
          <w:p w14:paraId="358862AC" w14:textId="77777777" w:rsidR="00AB3CF5" w:rsidRDefault="00AB3CF5" w:rsidP="00AB3CF5">
            <w:pPr>
              <w:contextualSpacing/>
              <w:rPr>
                <w:rFonts w:cs="Arial"/>
                <w:b/>
                <w:bCs/>
                <w:color w:val="000000" w:themeColor="text1"/>
                <w:sz w:val="22"/>
                <w:szCs w:val="22"/>
              </w:rPr>
            </w:pPr>
          </w:p>
          <w:p w14:paraId="4C3E250B" w14:textId="77777777" w:rsidR="00AB3CF5" w:rsidRPr="00E40148" w:rsidRDefault="00AB3CF5" w:rsidP="00AB3CF5">
            <w:pPr>
              <w:contextualSpacing/>
              <w:rPr>
                <w:rFonts w:cs="Arial"/>
                <w:b/>
                <w:bCs/>
                <w:color w:val="000000" w:themeColor="text1"/>
                <w:sz w:val="22"/>
                <w:szCs w:val="22"/>
              </w:rPr>
            </w:pPr>
            <w:r w:rsidRPr="00E40148">
              <w:rPr>
                <w:rFonts w:cs="Arial"/>
                <w:b/>
                <w:bCs/>
                <w:color w:val="000000" w:themeColor="text1"/>
                <w:sz w:val="22"/>
                <w:szCs w:val="22"/>
              </w:rPr>
              <w:t>Milestones</w:t>
            </w:r>
          </w:p>
        </w:tc>
        <w:tc>
          <w:tcPr>
            <w:tcW w:w="4223" w:type="dxa"/>
            <w:shd w:val="clear" w:color="auto" w:fill="DBE5F1" w:themeFill="accent1" w:themeFillTint="33"/>
          </w:tcPr>
          <w:p w14:paraId="071FF88E" w14:textId="77777777" w:rsidR="00AB3CF5" w:rsidRPr="00AB478A" w:rsidRDefault="00AB3CF5" w:rsidP="00AB3CF5">
            <w:pPr>
              <w:contextualSpacing/>
              <w:rPr>
                <w:rFonts w:cs="Arial"/>
                <w:b/>
                <w:color w:val="000000" w:themeColor="text1"/>
                <w:sz w:val="22"/>
                <w:szCs w:val="22"/>
              </w:rPr>
            </w:pPr>
          </w:p>
          <w:p w14:paraId="708F2617" w14:textId="77777777" w:rsidR="00AB3CF5" w:rsidRPr="00364429" w:rsidRDefault="00AB3CF5" w:rsidP="00AB3CF5">
            <w:pPr>
              <w:contextualSpacing/>
              <w:rPr>
                <w:rFonts w:cs="Arial"/>
                <w:b/>
                <w:color w:val="000000" w:themeColor="text1"/>
                <w:sz w:val="22"/>
                <w:szCs w:val="22"/>
              </w:rPr>
            </w:pPr>
            <w:r w:rsidRPr="00AB478A">
              <w:rPr>
                <w:rFonts w:cs="Arial"/>
                <w:b/>
                <w:color w:val="000000" w:themeColor="text1"/>
                <w:sz w:val="22"/>
                <w:szCs w:val="22"/>
              </w:rPr>
              <w:t xml:space="preserve">Progress </w:t>
            </w:r>
          </w:p>
        </w:tc>
      </w:tr>
      <w:tr w:rsidR="00AB3CF5" w:rsidRPr="00B77D90" w14:paraId="0028EC2A" w14:textId="77777777" w:rsidTr="00E04CE7">
        <w:tc>
          <w:tcPr>
            <w:tcW w:w="4649" w:type="dxa"/>
            <w:vAlign w:val="center"/>
          </w:tcPr>
          <w:p w14:paraId="0BC4AE6B" w14:textId="611910C1" w:rsidR="00AB3CF5" w:rsidRPr="00322204" w:rsidRDefault="00AA78CD" w:rsidP="00AB3CF5">
            <w:pPr>
              <w:contextualSpacing/>
              <w:rPr>
                <w:rFonts w:cs="Arial"/>
                <w:bCs/>
                <w:color w:val="000000" w:themeColor="text1"/>
                <w:sz w:val="22"/>
                <w:szCs w:val="22"/>
              </w:rPr>
            </w:pPr>
            <w:r w:rsidRPr="00322204">
              <w:rPr>
                <w:rFonts w:cs="Arial"/>
                <w:bCs/>
                <w:color w:val="000000" w:themeColor="text1"/>
                <w:sz w:val="22"/>
                <w:szCs w:val="22"/>
                <w:lang w:eastAsia="en-GB"/>
              </w:rPr>
              <w:t>3.1</w:t>
            </w:r>
            <w:r w:rsidR="005720E4" w:rsidRPr="00322204">
              <w:rPr>
                <w:rFonts w:cs="Arial"/>
                <w:bCs/>
                <w:color w:val="000000" w:themeColor="text1"/>
                <w:sz w:val="22"/>
                <w:szCs w:val="22"/>
                <w:lang w:eastAsia="en-GB"/>
              </w:rPr>
              <w:t xml:space="preserve"> </w:t>
            </w:r>
            <w:r w:rsidR="009F6179" w:rsidRPr="00322204">
              <w:rPr>
                <w:rFonts w:cs="Arial"/>
                <w:bCs/>
                <w:color w:val="000000" w:themeColor="text1"/>
                <w:sz w:val="22"/>
                <w:szCs w:val="22"/>
                <w:lang w:eastAsia="en-GB"/>
              </w:rPr>
              <w:t>Number of CDM projects registered with the CDM Executive B</w:t>
            </w:r>
            <w:r w:rsidR="00500ED2" w:rsidRPr="00322204">
              <w:rPr>
                <w:rFonts w:cs="Arial"/>
                <w:bCs/>
                <w:color w:val="000000" w:themeColor="text1"/>
                <w:sz w:val="22"/>
                <w:szCs w:val="22"/>
                <w:lang w:eastAsia="en-GB"/>
              </w:rPr>
              <w:t>o</w:t>
            </w:r>
            <w:r w:rsidR="009F6179" w:rsidRPr="00322204">
              <w:rPr>
                <w:rFonts w:cs="Arial"/>
                <w:bCs/>
                <w:color w:val="000000" w:themeColor="text1"/>
                <w:sz w:val="22"/>
                <w:szCs w:val="22"/>
                <w:lang w:eastAsia="en-GB"/>
              </w:rPr>
              <w:t>ard in focus countries that use Ci-Dev developed new methodologies</w:t>
            </w:r>
          </w:p>
        </w:tc>
        <w:tc>
          <w:tcPr>
            <w:tcW w:w="1442" w:type="dxa"/>
            <w:vAlign w:val="center"/>
          </w:tcPr>
          <w:p w14:paraId="09E5A940" w14:textId="241B36E0" w:rsidR="00DA4AD1" w:rsidRPr="00322204" w:rsidRDefault="00DA4AD1" w:rsidP="00DA4AD1">
            <w:pPr>
              <w:contextualSpacing/>
              <w:rPr>
                <w:rFonts w:cs="Arial"/>
                <w:bCs/>
                <w:color w:val="000000" w:themeColor="text1"/>
                <w:sz w:val="22"/>
                <w:szCs w:val="22"/>
              </w:rPr>
            </w:pPr>
            <w:r w:rsidRPr="00322204">
              <w:rPr>
                <w:rFonts w:cs="Arial"/>
                <w:bCs/>
                <w:color w:val="000000" w:themeColor="text1"/>
                <w:sz w:val="22"/>
                <w:szCs w:val="22"/>
              </w:rPr>
              <w:t>201</w:t>
            </w:r>
            <w:r w:rsidR="00E73C32" w:rsidRPr="00322204">
              <w:rPr>
                <w:rFonts w:cs="Arial"/>
                <w:bCs/>
                <w:color w:val="000000" w:themeColor="text1"/>
                <w:sz w:val="22"/>
                <w:szCs w:val="22"/>
              </w:rPr>
              <w:t>8</w:t>
            </w:r>
            <w:r w:rsidRPr="00322204">
              <w:rPr>
                <w:rFonts w:cs="Arial"/>
                <w:bCs/>
                <w:color w:val="000000" w:themeColor="text1"/>
                <w:sz w:val="22"/>
                <w:szCs w:val="22"/>
              </w:rPr>
              <w:t>:</w:t>
            </w:r>
            <w:r w:rsidR="00A52DEC" w:rsidRPr="00322204">
              <w:rPr>
                <w:rFonts w:cs="Arial"/>
                <w:bCs/>
                <w:color w:val="000000" w:themeColor="text1"/>
                <w:sz w:val="22"/>
                <w:szCs w:val="22"/>
              </w:rPr>
              <w:t xml:space="preserve"> </w:t>
            </w:r>
            <w:r w:rsidR="005234E9" w:rsidRPr="00322204">
              <w:rPr>
                <w:rFonts w:cs="Arial"/>
                <w:bCs/>
                <w:color w:val="000000" w:themeColor="text1"/>
                <w:sz w:val="22"/>
                <w:szCs w:val="22"/>
              </w:rPr>
              <w:t>7</w:t>
            </w:r>
          </w:p>
          <w:p w14:paraId="431501B9" w14:textId="514B2BB6" w:rsidR="0066694D" w:rsidRPr="00811429" w:rsidRDefault="0066694D" w:rsidP="00DA4AD1">
            <w:pPr>
              <w:contextualSpacing/>
              <w:rPr>
                <w:rFonts w:cs="Arial"/>
                <w:b/>
                <w:color w:val="000000" w:themeColor="text1"/>
                <w:sz w:val="22"/>
                <w:szCs w:val="22"/>
              </w:rPr>
            </w:pPr>
            <w:r w:rsidRPr="00811429">
              <w:rPr>
                <w:rFonts w:cs="Arial"/>
                <w:b/>
                <w:color w:val="000000" w:themeColor="text1"/>
                <w:sz w:val="22"/>
                <w:szCs w:val="22"/>
              </w:rPr>
              <w:t>2019:</w:t>
            </w:r>
            <w:r w:rsidR="00E04CE7" w:rsidRPr="00811429">
              <w:rPr>
                <w:rFonts w:cs="Arial"/>
                <w:b/>
                <w:color w:val="000000" w:themeColor="text1"/>
                <w:sz w:val="22"/>
                <w:szCs w:val="22"/>
              </w:rPr>
              <w:t xml:space="preserve"> 8</w:t>
            </w:r>
          </w:p>
          <w:p w14:paraId="2F2F8C0B" w14:textId="6254A36D" w:rsidR="00AB3CF5" w:rsidRPr="00322204" w:rsidRDefault="00DA4AD1" w:rsidP="00DA4AD1">
            <w:pPr>
              <w:contextualSpacing/>
              <w:rPr>
                <w:rFonts w:cs="Arial"/>
                <w:bCs/>
                <w:color w:val="000000" w:themeColor="text1"/>
                <w:sz w:val="22"/>
                <w:szCs w:val="22"/>
              </w:rPr>
            </w:pPr>
            <w:r w:rsidRPr="00322204">
              <w:rPr>
                <w:rFonts w:cs="Arial"/>
                <w:bCs/>
                <w:color w:val="000000" w:themeColor="text1"/>
                <w:sz w:val="22"/>
                <w:szCs w:val="22"/>
              </w:rPr>
              <w:t>202</w:t>
            </w:r>
            <w:r w:rsidR="00E73C32" w:rsidRPr="00322204">
              <w:rPr>
                <w:rFonts w:cs="Arial"/>
                <w:bCs/>
                <w:color w:val="000000" w:themeColor="text1"/>
                <w:sz w:val="22"/>
                <w:szCs w:val="22"/>
              </w:rPr>
              <w:t>5</w:t>
            </w:r>
            <w:r w:rsidRPr="00322204">
              <w:rPr>
                <w:rFonts w:cs="Arial"/>
                <w:bCs/>
                <w:color w:val="000000" w:themeColor="text1"/>
                <w:sz w:val="22"/>
                <w:szCs w:val="22"/>
              </w:rPr>
              <w:t>:</w:t>
            </w:r>
            <w:r w:rsidR="00A52DEC" w:rsidRPr="00322204">
              <w:rPr>
                <w:rFonts w:cs="Arial"/>
                <w:bCs/>
                <w:color w:val="000000" w:themeColor="text1"/>
                <w:sz w:val="22"/>
                <w:szCs w:val="22"/>
              </w:rPr>
              <w:t xml:space="preserve"> 10</w:t>
            </w:r>
          </w:p>
        </w:tc>
        <w:tc>
          <w:tcPr>
            <w:tcW w:w="4223" w:type="dxa"/>
            <w:vAlign w:val="center"/>
          </w:tcPr>
          <w:p w14:paraId="47576E22" w14:textId="4C5D7AE6" w:rsidR="009F363A" w:rsidRPr="00811429" w:rsidRDefault="00A57AEF" w:rsidP="009F363A">
            <w:pPr>
              <w:contextualSpacing/>
              <w:rPr>
                <w:rFonts w:cs="Arial"/>
                <w:b/>
                <w:color w:val="000000" w:themeColor="text1"/>
                <w:sz w:val="22"/>
                <w:szCs w:val="22"/>
                <w:lang w:eastAsia="en-GB"/>
              </w:rPr>
            </w:pPr>
            <w:r>
              <w:rPr>
                <w:rFonts w:cs="Arial"/>
                <w:b/>
                <w:bCs/>
                <w:color w:val="000000" w:themeColor="text1"/>
                <w:sz w:val="22"/>
                <w:szCs w:val="22"/>
                <w:lang w:eastAsia="en-GB"/>
              </w:rPr>
              <w:t>Missed</w:t>
            </w:r>
            <w:r w:rsidR="000F3C31" w:rsidRPr="001C46B5">
              <w:rPr>
                <w:rFonts w:cs="Arial"/>
                <w:b/>
                <w:bCs/>
                <w:color w:val="000000" w:themeColor="text1"/>
                <w:sz w:val="22"/>
                <w:szCs w:val="22"/>
                <w:lang w:eastAsia="en-GB"/>
              </w:rPr>
              <w:t xml:space="preserve">: </w:t>
            </w:r>
            <w:r w:rsidR="003A0C27" w:rsidRPr="00866CFF">
              <w:rPr>
                <w:rFonts w:cs="Arial"/>
                <w:color w:val="000000" w:themeColor="text1"/>
                <w:sz w:val="22"/>
                <w:szCs w:val="22"/>
                <w:lang w:eastAsia="en-GB"/>
              </w:rPr>
              <w:t>6</w:t>
            </w:r>
            <w:r w:rsidR="00E04CE7" w:rsidRPr="00866CFF">
              <w:rPr>
                <w:rFonts w:cs="Arial"/>
                <w:color w:val="000000" w:themeColor="text1"/>
                <w:sz w:val="22"/>
                <w:szCs w:val="22"/>
                <w:lang w:eastAsia="en-GB"/>
              </w:rPr>
              <w:t xml:space="preserve"> (</w:t>
            </w:r>
            <w:r w:rsidR="003A0C27" w:rsidRPr="00866CFF">
              <w:rPr>
                <w:rFonts w:cs="Arial"/>
                <w:color w:val="000000" w:themeColor="text1"/>
                <w:sz w:val="22"/>
                <w:szCs w:val="22"/>
                <w:lang w:eastAsia="en-GB"/>
              </w:rPr>
              <w:t xml:space="preserve">a seventh was </w:t>
            </w:r>
            <w:r w:rsidR="00E04CE7" w:rsidRPr="00866CFF">
              <w:rPr>
                <w:rFonts w:cs="Arial"/>
                <w:color w:val="000000" w:themeColor="text1"/>
                <w:sz w:val="22"/>
                <w:szCs w:val="22"/>
                <w:lang w:eastAsia="en-GB"/>
              </w:rPr>
              <w:t>registered just after this review period)</w:t>
            </w:r>
          </w:p>
        </w:tc>
      </w:tr>
      <w:tr w:rsidR="00AB3CF5" w:rsidRPr="00B77D90" w14:paraId="499D9EDA" w14:textId="77777777" w:rsidTr="00E04CE7">
        <w:trPr>
          <w:trHeight w:val="841"/>
        </w:trPr>
        <w:tc>
          <w:tcPr>
            <w:tcW w:w="4649" w:type="dxa"/>
            <w:vAlign w:val="center"/>
          </w:tcPr>
          <w:p w14:paraId="4F3A136D" w14:textId="669284C5" w:rsidR="00AB3CF5" w:rsidRPr="00322204" w:rsidRDefault="009F6179" w:rsidP="00AB3CF5">
            <w:pPr>
              <w:contextualSpacing/>
              <w:rPr>
                <w:rFonts w:cs="Arial"/>
                <w:bCs/>
                <w:color w:val="000000" w:themeColor="text1"/>
                <w:sz w:val="22"/>
                <w:szCs w:val="22"/>
              </w:rPr>
            </w:pPr>
            <w:r w:rsidRPr="00322204">
              <w:rPr>
                <w:rFonts w:cs="Arial"/>
                <w:bCs/>
                <w:color w:val="000000" w:themeColor="text1"/>
                <w:sz w:val="22"/>
                <w:szCs w:val="22"/>
              </w:rPr>
              <w:t xml:space="preserve">3.2 </w:t>
            </w:r>
            <w:r w:rsidR="00945927" w:rsidRPr="00322204">
              <w:rPr>
                <w:rFonts w:cs="Arial"/>
                <w:bCs/>
                <w:color w:val="000000" w:themeColor="text1"/>
                <w:sz w:val="22"/>
                <w:szCs w:val="22"/>
              </w:rPr>
              <w:t>Number of events and reports to inform and consult on the Ci-Dev programme, build capacity, engage the private sector and disseminate programme experience</w:t>
            </w:r>
            <w:r w:rsidR="003F3311" w:rsidRPr="00322204">
              <w:rPr>
                <w:rFonts w:cs="Arial"/>
                <w:bCs/>
                <w:color w:val="000000" w:themeColor="text1"/>
                <w:sz w:val="22"/>
                <w:szCs w:val="22"/>
              </w:rPr>
              <w:t xml:space="preserve"> (not cumulative)</w:t>
            </w:r>
          </w:p>
        </w:tc>
        <w:tc>
          <w:tcPr>
            <w:tcW w:w="1442" w:type="dxa"/>
            <w:vAlign w:val="center"/>
          </w:tcPr>
          <w:p w14:paraId="4D5B7E5C" w14:textId="218B51B5" w:rsidR="00DA4AD1" w:rsidRPr="00322204" w:rsidRDefault="00DA4AD1" w:rsidP="00DA4AD1">
            <w:pPr>
              <w:contextualSpacing/>
              <w:rPr>
                <w:rFonts w:cs="Arial"/>
                <w:bCs/>
                <w:color w:val="000000" w:themeColor="text1"/>
                <w:sz w:val="22"/>
                <w:szCs w:val="22"/>
              </w:rPr>
            </w:pPr>
            <w:r w:rsidRPr="00322204">
              <w:rPr>
                <w:rFonts w:cs="Arial"/>
                <w:bCs/>
                <w:color w:val="000000" w:themeColor="text1"/>
                <w:sz w:val="22"/>
                <w:szCs w:val="22"/>
              </w:rPr>
              <w:t>201</w:t>
            </w:r>
            <w:r w:rsidR="00E73C32" w:rsidRPr="00322204">
              <w:rPr>
                <w:rFonts w:cs="Arial"/>
                <w:bCs/>
                <w:color w:val="000000" w:themeColor="text1"/>
                <w:sz w:val="22"/>
                <w:szCs w:val="22"/>
              </w:rPr>
              <w:t>8</w:t>
            </w:r>
            <w:r w:rsidRPr="00322204">
              <w:rPr>
                <w:rFonts w:cs="Arial"/>
                <w:bCs/>
                <w:color w:val="000000" w:themeColor="text1"/>
                <w:sz w:val="22"/>
                <w:szCs w:val="22"/>
              </w:rPr>
              <w:t>:</w:t>
            </w:r>
            <w:r w:rsidR="00A52DEC" w:rsidRPr="00322204">
              <w:rPr>
                <w:rFonts w:cs="Arial"/>
                <w:bCs/>
                <w:color w:val="000000" w:themeColor="text1"/>
                <w:sz w:val="22"/>
                <w:szCs w:val="22"/>
              </w:rPr>
              <w:t xml:space="preserve"> 12</w:t>
            </w:r>
          </w:p>
          <w:p w14:paraId="5F28C57F" w14:textId="5EE6D831" w:rsidR="0066694D" w:rsidRPr="00811429" w:rsidRDefault="0066694D" w:rsidP="00DA4AD1">
            <w:pPr>
              <w:contextualSpacing/>
              <w:rPr>
                <w:rFonts w:cs="Arial"/>
                <w:b/>
                <w:color w:val="000000" w:themeColor="text1"/>
                <w:sz w:val="22"/>
                <w:szCs w:val="22"/>
              </w:rPr>
            </w:pPr>
            <w:r w:rsidRPr="00811429">
              <w:rPr>
                <w:rFonts w:cs="Arial"/>
                <w:b/>
                <w:color w:val="000000" w:themeColor="text1"/>
                <w:sz w:val="22"/>
                <w:szCs w:val="22"/>
              </w:rPr>
              <w:t>2019:</w:t>
            </w:r>
            <w:r w:rsidR="00E04CE7" w:rsidRPr="00811429">
              <w:rPr>
                <w:rFonts w:cs="Arial"/>
                <w:b/>
                <w:color w:val="000000" w:themeColor="text1"/>
                <w:sz w:val="22"/>
                <w:szCs w:val="22"/>
              </w:rPr>
              <w:t xml:space="preserve"> 12</w:t>
            </w:r>
          </w:p>
          <w:p w14:paraId="0BA4FB92" w14:textId="59D86F0A" w:rsidR="00AB3CF5" w:rsidRPr="00322204" w:rsidRDefault="00DA4AD1" w:rsidP="00DA4AD1">
            <w:pPr>
              <w:contextualSpacing/>
              <w:rPr>
                <w:rFonts w:cs="Arial"/>
                <w:bCs/>
                <w:color w:val="000000" w:themeColor="text1"/>
                <w:sz w:val="22"/>
                <w:szCs w:val="22"/>
              </w:rPr>
            </w:pPr>
            <w:r w:rsidRPr="00322204">
              <w:rPr>
                <w:rFonts w:cs="Arial"/>
                <w:bCs/>
                <w:color w:val="000000" w:themeColor="text1"/>
                <w:sz w:val="22"/>
                <w:szCs w:val="22"/>
              </w:rPr>
              <w:t>2025:</w:t>
            </w:r>
            <w:r w:rsidR="00A52DEC" w:rsidRPr="00322204">
              <w:rPr>
                <w:rFonts w:cs="Arial"/>
                <w:bCs/>
                <w:color w:val="000000" w:themeColor="text1"/>
                <w:sz w:val="22"/>
                <w:szCs w:val="22"/>
              </w:rPr>
              <w:t xml:space="preserve"> 12</w:t>
            </w:r>
          </w:p>
        </w:tc>
        <w:tc>
          <w:tcPr>
            <w:tcW w:w="4223" w:type="dxa"/>
            <w:vAlign w:val="center"/>
          </w:tcPr>
          <w:p w14:paraId="78A413EF" w14:textId="6711C9FE" w:rsidR="00AB3CF5" w:rsidRPr="00811429" w:rsidRDefault="003F3311" w:rsidP="005720E4">
            <w:pPr>
              <w:pStyle w:val="CommentText"/>
              <w:contextualSpacing/>
              <w:rPr>
                <w:rFonts w:cs="Arial"/>
                <w:b/>
                <w:color w:val="000000" w:themeColor="text1"/>
                <w:sz w:val="22"/>
                <w:szCs w:val="22"/>
              </w:rPr>
            </w:pPr>
            <w:r w:rsidRPr="00D943A3">
              <w:rPr>
                <w:rFonts w:cs="Arial"/>
                <w:b/>
                <w:bCs/>
                <w:color w:val="000000" w:themeColor="text1"/>
                <w:sz w:val="22"/>
                <w:szCs w:val="22"/>
              </w:rPr>
              <w:t>Exceeded:</w:t>
            </w:r>
            <w:r w:rsidRPr="00811429">
              <w:rPr>
                <w:rFonts w:cs="Arial"/>
                <w:b/>
                <w:color w:val="000000" w:themeColor="text1"/>
                <w:sz w:val="22"/>
                <w:szCs w:val="22"/>
              </w:rPr>
              <w:t xml:space="preserve"> 14 </w:t>
            </w:r>
          </w:p>
        </w:tc>
      </w:tr>
      <w:tr w:rsidR="00AB3CF5" w:rsidRPr="00B77D90" w14:paraId="4FBD5AAE" w14:textId="77777777" w:rsidTr="00E04CE7">
        <w:trPr>
          <w:trHeight w:val="1396"/>
        </w:trPr>
        <w:tc>
          <w:tcPr>
            <w:tcW w:w="4649" w:type="dxa"/>
            <w:vAlign w:val="center"/>
          </w:tcPr>
          <w:p w14:paraId="475819FA" w14:textId="5A5340E7" w:rsidR="00AB3CF5" w:rsidRPr="00322204" w:rsidRDefault="00945927" w:rsidP="00AB3CF5">
            <w:pPr>
              <w:contextualSpacing/>
              <w:rPr>
                <w:rFonts w:cs="Arial"/>
                <w:bCs/>
                <w:color w:val="000000" w:themeColor="text1"/>
                <w:sz w:val="22"/>
                <w:szCs w:val="22"/>
              </w:rPr>
            </w:pPr>
            <w:r w:rsidRPr="00322204">
              <w:rPr>
                <w:rFonts w:cs="Arial"/>
                <w:bCs/>
                <w:color w:val="000000" w:themeColor="text1"/>
                <w:sz w:val="22"/>
                <w:szCs w:val="22"/>
              </w:rPr>
              <w:t>3.3</w:t>
            </w:r>
            <w:r w:rsidR="00AA78CD" w:rsidRPr="00322204">
              <w:rPr>
                <w:rFonts w:cs="Arial"/>
                <w:bCs/>
                <w:color w:val="000000" w:themeColor="text1"/>
                <w:sz w:val="22"/>
                <w:szCs w:val="22"/>
              </w:rPr>
              <w:t xml:space="preserve"> Annual Knowledge </w:t>
            </w:r>
            <w:r w:rsidR="00187051" w:rsidRPr="00322204">
              <w:rPr>
                <w:rFonts w:cs="Arial"/>
                <w:bCs/>
                <w:color w:val="000000" w:themeColor="text1"/>
                <w:sz w:val="22"/>
                <w:szCs w:val="22"/>
              </w:rPr>
              <w:t xml:space="preserve">Management </w:t>
            </w:r>
            <w:r w:rsidR="005B4889" w:rsidRPr="00322204">
              <w:rPr>
                <w:rFonts w:cs="Arial"/>
                <w:bCs/>
                <w:color w:val="000000" w:themeColor="text1"/>
                <w:sz w:val="22"/>
                <w:szCs w:val="22"/>
              </w:rPr>
              <w:t>Work Programme (KMWP)</w:t>
            </w:r>
            <w:r w:rsidR="00187051" w:rsidRPr="00322204">
              <w:rPr>
                <w:rFonts w:cs="Arial"/>
                <w:bCs/>
                <w:color w:val="000000" w:themeColor="text1"/>
                <w:sz w:val="22"/>
                <w:szCs w:val="22"/>
              </w:rPr>
              <w:t xml:space="preserve"> is developed and implemented </w:t>
            </w:r>
          </w:p>
        </w:tc>
        <w:tc>
          <w:tcPr>
            <w:tcW w:w="1442" w:type="dxa"/>
            <w:vAlign w:val="center"/>
          </w:tcPr>
          <w:p w14:paraId="4F565CB2" w14:textId="7D315515" w:rsidR="00DA4AD1" w:rsidRPr="00322204" w:rsidRDefault="00DA4AD1" w:rsidP="00DA4AD1">
            <w:pPr>
              <w:contextualSpacing/>
              <w:rPr>
                <w:rFonts w:cs="Arial"/>
                <w:bCs/>
                <w:color w:val="000000" w:themeColor="text1"/>
                <w:sz w:val="22"/>
                <w:szCs w:val="22"/>
              </w:rPr>
            </w:pPr>
            <w:r w:rsidRPr="00322204">
              <w:rPr>
                <w:rFonts w:cs="Arial"/>
                <w:bCs/>
                <w:color w:val="000000" w:themeColor="text1"/>
                <w:sz w:val="22"/>
                <w:szCs w:val="22"/>
              </w:rPr>
              <w:t>201</w:t>
            </w:r>
            <w:r w:rsidR="00E73C32" w:rsidRPr="00322204">
              <w:rPr>
                <w:rFonts w:cs="Arial"/>
                <w:bCs/>
                <w:color w:val="000000" w:themeColor="text1"/>
                <w:sz w:val="22"/>
                <w:szCs w:val="22"/>
              </w:rPr>
              <w:t>8</w:t>
            </w:r>
            <w:r w:rsidRPr="00322204">
              <w:rPr>
                <w:rFonts w:cs="Arial"/>
                <w:bCs/>
                <w:color w:val="000000" w:themeColor="text1"/>
                <w:sz w:val="22"/>
                <w:szCs w:val="22"/>
              </w:rPr>
              <w:t>:</w:t>
            </w:r>
            <w:r w:rsidR="00C725E2" w:rsidRPr="00322204">
              <w:rPr>
                <w:rFonts w:cs="Arial"/>
                <w:bCs/>
                <w:color w:val="000000" w:themeColor="text1"/>
                <w:sz w:val="22"/>
                <w:szCs w:val="22"/>
              </w:rPr>
              <w:t xml:space="preserve"> yes</w:t>
            </w:r>
          </w:p>
          <w:p w14:paraId="4811A6CB" w14:textId="449985C7" w:rsidR="0066694D" w:rsidRPr="00811429" w:rsidRDefault="0066694D" w:rsidP="00DA4AD1">
            <w:pPr>
              <w:contextualSpacing/>
              <w:rPr>
                <w:rFonts w:cs="Arial"/>
                <w:b/>
                <w:color w:val="000000" w:themeColor="text1"/>
                <w:sz w:val="22"/>
                <w:szCs w:val="22"/>
              </w:rPr>
            </w:pPr>
            <w:r w:rsidRPr="00811429">
              <w:rPr>
                <w:rFonts w:cs="Arial"/>
                <w:b/>
                <w:color w:val="000000" w:themeColor="text1"/>
                <w:sz w:val="22"/>
                <w:szCs w:val="22"/>
              </w:rPr>
              <w:t>2019:</w:t>
            </w:r>
            <w:r w:rsidR="00E04CE7" w:rsidRPr="00811429">
              <w:rPr>
                <w:rFonts w:cs="Arial"/>
                <w:b/>
                <w:color w:val="000000" w:themeColor="text1"/>
                <w:sz w:val="22"/>
                <w:szCs w:val="22"/>
              </w:rPr>
              <w:t xml:space="preserve"> yes</w:t>
            </w:r>
          </w:p>
          <w:p w14:paraId="721279C0" w14:textId="7B6AB794" w:rsidR="00AB3CF5" w:rsidRPr="00322204" w:rsidRDefault="00DA4AD1" w:rsidP="00DA4AD1">
            <w:pPr>
              <w:contextualSpacing/>
              <w:rPr>
                <w:rFonts w:cs="Arial"/>
                <w:bCs/>
                <w:color w:val="000000" w:themeColor="text1"/>
                <w:sz w:val="22"/>
                <w:szCs w:val="22"/>
              </w:rPr>
            </w:pPr>
            <w:r w:rsidRPr="00322204">
              <w:rPr>
                <w:rFonts w:cs="Arial"/>
                <w:bCs/>
                <w:color w:val="000000" w:themeColor="text1"/>
                <w:sz w:val="22"/>
                <w:szCs w:val="22"/>
              </w:rPr>
              <w:t>2025:</w:t>
            </w:r>
            <w:r w:rsidR="00C725E2" w:rsidRPr="00322204">
              <w:rPr>
                <w:rFonts w:cs="Arial"/>
                <w:bCs/>
                <w:color w:val="000000" w:themeColor="text1"/>
                <w:sz w:val="22"/>
                <w:szCs w:val="22"/>
              </w:rPr>
              <w:t xml:space="preserve"> yes</w:t>
            </w:r>
          </w:p>
        </w:tc>
        <w:tc>
          <w:tcPr>
            <w:tcW w:w="4223" w:type="dxa"/>
            <w:vAlign w:val="center"/>
          </w:tcPr>
          <w:p w14:paraId="02FD6FF9" w14:textId="72C30C21" w:rsidR="00AB3CF5" w:rsidRPr="00E75C68" w:rsidRDefault="00866CFF" w:rsidP="00AB3CF5">
            <w:pPr>
              <w:contextualSpacing/>
              <w:rPr>
                <w:rFonts w:cs="Arial"/>
                <w:b/>
                <w:bCs/>
                <w:color w:val="000000" w:themeColor="text1"/>
                <w:sz w:val="22"/>
                <w:szCs w:val="22"/>
              </w:rPr>
            </w:pPr>
            <w:r>
              <w:rPr>
                <w:rFonts w:cs="Arial"/>
                <w:b/>
                <w:bCs/>
                <w:color w:val="000000" w:themeColor="text1"/>
                <w:sz w:val="22"/>
                <w:szCs w:val="22"/>
              </w:rPr>
              <w:t>Achieved</w:t>
            </w:r>
          </w:p>
        </w:tc>
      </w:tr>
    </w:tbl>
    <w:p w14:paraId="5421C8B4" w14:textId="77777777" w:rsidR="003E6F6D" w:rsidRDefault="003E6F6D" w:rsidP="00E81F52">
      <w:pPr>
        <w:contextualSpacing/>
        <w:rPr>
          <w:rFonts w:cs="Arial"/>
          <w:b/>
          <w:bCs/>
          <w:color w:val="000000" w:themeColor="text1"/>
          <w:sz w:val="22"/>
          <w:szCs w:val="22"/>
        </w:rPr>
      </w:pPr>
    </w:p>
    <w:p w14:paraId="2F1D7DB4" w14:textId="77777777" w:rsidR="0091694C" w:rsidRPr="00E40148" w:rsidRDefault="0091694C" w:rsidP="00E81F52">
      <w:pPr>
        <w:contextualSpacing/>
        <w:rPr>
          <w:rFonts w:cs="Arial"/>
          <w:b/>
          <w:color w:val="000000" w:themeColor="text1"/>
          <w:sz w:val="22"/>
          <w:szCs w:val="22"/>
        </w:rPr>
      </w:pPr>
      <w:r w:rsidRPr="00E40148">
        <w:rPr>
          <w:rFonts w:cs="Arial"/>
          <w:b/>
          <w:bCs/>
          <w:color w:val="000000" w:themeColor="text1"/>
          <w:sz w:val="22"/>
          <w:szCs w:val="22"/>
        </w:rPr>
        <w:t>Key Points</w:t>
      </w:r>
    </w:p>
    <w:p w14:paraId="196C33D7" w14:textId="4A880ABA" w:rsidR="0091694C" w:rsidRDefault="0091694C" w:rsidP="00E81F52">
      <w:pPr>
        <w:contextualSpacing/>
        <w:rPr>
          <w:rFonts w:cs="Arial"/>
          <w:bCs/>
          <w:color w:val="000000" w:themeColor="text1"/>
          <w:sz w:val="22"/>
          <w:szCs w:val="22"/>
        </w:rPr>
      </w:pPr>
    </w:p>
    <w:p w14:paraId="054DE2E0" w14:textId="11326155" w:rsidR="003A77CC" w:rsidRDefault="00D26331" w:rsidP="00512093">
      <w:pPr>
        <w:jc w:val="both"/>
        <w:rPr>
          <w:rFonts w:cs="Arial"/>
          <w:bCs/>
          <w:color w:val="000000" w:themeColor="text1"/>
          <w:sz w:val="22"/>
          <w:szCs w:val="22"/>
        </w:rPr>
      </w:pPr>
      <w:r w:rsidRPr="00D26331">
        <w:rPr>
          <w:rFonts w:cs="Arial"/>
          <w:bCs/>
          <w:color w:val="000000" w:themeColor="text1"/>
          <w:sz w:val="22"/>
          <w:szCs w:val="22"/>
        </w:rPr>
        <w:t xml:space="preserve">Overall, performance for this output </w:t>
      </w:r>
      <w:r w:rsidR="00E04CE7">
        <w:rPr>
          <w:rFonts w:cs="Arial"/>
          <w:bCs/>
          <w:color w:val="000000" w:themeColor="text1"/>
          <w:sz w:val="22"/>
          <w:szCs w:val="22"/>
        </w:rPr>
        <w:t xml:space="preserve">met </w:t>
      </w:r>
      <w:r w:rsidRPr="00D26331">
        <w:rPr>
          <w:rFonts w:cs="Arial"/>
          <w:bCs/>
          <w:color w:val="000000" w:themeColor="text1"/>
          <w:sz w:val="22"/>
          <w:szCs w:val="22"/>
        </w:rPr>
        <w:t>expectations.</w:t>
      </w:r>
      <w:r w:rsidR="00B34703">
        <w:rPr>
          <w:rFonts w:cs="Arial"/>
          <w:bCs/>
          <w:color w:val="000000" w:themeColor="text1"/>
          <w:sz w:val="22"/>
          <w:szCs w:val="22"/>
        </w:rPr>
        <w:t xml:space="preserve"> </w:t>
      </w:r>
      <w:r w:rsidR="00790036">
        <w:rPr>
          <w:rFonts w:cs="Arial"/>
          <w:sz w:val="22"/>
          <w:szCs w:val="22"/>
          <w:lang w:val="en-US"/>
        </w:rPr>
        <w:t>D</w:t>
      </w:r>
      <w:r w:rsidR="00790036" w:rsidRPr="00790036">
        <w:rPr>
          <w:rFonts w:cs="Arial"/>
          <w:sz w:val="22"/>
          <w:szCs w:val="22"/>
          <w:lang w:val="en-US"/>
        </w:rPr>
        <w:t xml:space="preserve">ue to the </w:t>
      </w:r>
      <w:r w:rsidR="005948A2">
        <w:rPr>
          <w:rFonts w:cs="Arial"/>
          <w:sz w:val="22"/>
          <w:szCs w:val="22"/>
          <w:lang w:val="en-US"/>
        </w:rPr>
        <w:t xml:space="preserve">oversupply of </w:t>
      </w:r>
      <w:r w:rsidR="00C47898">
        <w:rPr>
          <w:rFonts w:cs="Arial"/>
          <w:sz w:val="22"/>
          <w:szCs w:val="22"/>
          <w:lang w:val="en-US"/>
        </w:rPr>
        <w:t xml:space="preserve">CDM </w:t>
      </w:r>
      <w:r w:rsidR="005948A2">
        <w:rPr>
          <w:rFonts w:cs="Arial"/>
          <w:sz w:val="22"/>
          <w:szCs w:val="22"/>
          <w:lang w:val="en-US"/>
        </w:rPr>
        <w:t xml:space="preserve">credits </w:t>
      </w:r>
      <w:r w:rsidR="00790036" w:rsidRPr="00790036">
        <w:rPr>
          <w:rFonts w:cs="Arial"/>
          <w:sz w:val="22"/>
          <w:szCs w:val="22"/>
          <w:lang w:val="en-US"/>
        </w:rPr>
        <w:t xml:space="preserve">and </w:t>
      </w:r>
      <w:r w:rsidR="00CF69A1">
        <w:rPr>
          <w:rFonts w:cs="Arial"/>
          <w:sz w:val="22"/>
          <w:szCs w:val="22"/>
          <w:lang w:val="en-US"/>
        </w:rPr>
        <w:t>the CDM’s</w:t>
      </w:r>
      <w:r w:rsidR="002F5D16">
        <w:rPr>
          <w:rFonts w:cs="Arial"/>
          <w:sz w:val="22"/>
          <w:szCs w:val="22"/>
          <w:lang w:val="en-US"/>
        </w:rPr>
        <w:t xml:space="preserve"> likely end</w:t>
      </w:r>
      <w:r w:rsidR="00BF58DD">
        <w:rPr>
          <w:rFonts w:cs="Arial"/>
          <w:sz w:val="22"/>
          <w:szCs w:val="22"/>
          <w:lang w:val="en-US"/>
        </w:rPr>
        <w:t xml:space="preserve"> in 2023</w:t>
      </w:r>
      <w:r w:rsidR="00790036" w:rsidRPr="00790036">
        <w:rPr>
          <w:rFonts w:cs="Arial"/>
          <w:sz w:val="22"/>
          <w:szCs w:val="22"/>
          <w:lang w:val="en-US"/>
        </w:rPr>
        <w:t xml:space="preserve">, there </w:t>
      </w:r>
      <w:r w:rsidR="00790036">
        <w:rPr>
          <w:rFonts w:cs="Arial"/>
          <w:sz w:val="22"/>
          <w:szCs w:val="22"/>
          <w:lang w:val="en-US"/>
        </w:rPr>
        <w:t>is diminished</w:t>
      </w:r>
      <w:r w:rsidR="00790036" w:rsidRPr="00790036">
        <w:rPr>
          <w:rFonts w:cs="Arial"/>
          <w:sz w:val="22"/>
          <w:szCs w:val="22"/>
          <w:lang w:val="en-US"/>
        </w:rPr>
        <w:t xml:space="preserve"> interest for developers to establish new </w:t>
      </w:r>
      <w:r w:rsidR="00790036">
        <w:rPr>
          <w:rFonts w:cs="Arial"/>
          <w:sz w:val="22"/>
          <w:szCs w:val="22"/>
          <w:lang w:val="en-US"/>
        </w:rPr>
        <w:t xml:space="preserve">projects using </w:t>
      </w:r>
      <w:r w:rsidR="00790036" w:rsidRPr="00790036">
        <w:rPr>
          <w:rFonts w:cs="Arial"/>
          <w:sz w:val="22"/>
          <w:szCs w:val="22"/>
          <w:lang w:val="en-US"/>
        </w:rPr>
        <w:t>revised</w:t>
      </w:r>
      <w:r w:rsidR="00790036">
        <w:rPr>
          <w:rFonts w:cs="Arial"/>
          <w:sz w:val="22"/>
          <w:szCs w:val="22"/>
          <w:lang w:val="en-US"/>
        </w:rPr>
        <w:t xml:space="preserve"> and/or </w:t>
      </w:r>
      <w:r w:rsidR="00790036" w:rsidRPr="00790036">
        <w:rPr>
          <w:rFonts w:cs="Arial"/>
          <w:sz w:val="22"/>
          <w:szCs w:val="22"/>
          <w:lang w:val="en-US"/>
        </w:rPr>
        <w:t>new methodologies supported by Ci-Dev</w:t>
      </w:r>
      <w:r w:rsidR="006B7DEC">
        <w:rPr>
          <w:rFonts w:cs="Arial"/>
          <w:sz w:val="22"/>
          <w:szCs w:val="22"/>
          <w:lang w:val="en-US"/>
        </w:rPr>
        <w:t xml:space="preserve"> (3.1)</w:t>
      </w:r>
      <w:r w:rsidR="007B286D">
        <w:rPr>
          <w:rFonts w:cs="Arial"/>
          <w:sz w:val="22"/>
          <w:szCs w:val="22"/>
          <w:lang w:val="en-US"/>
        </w:rPr>
        <w:t>, although a seventh methodology was approved just after this review</w:t>
      </w:r>
      <w:r w:rsidR="00790036" w:rsidRPr="00790036">
        <w:rPr>
          <w:rFonts w:cs="Arial"/>
          <w:sz w:val="22"/>
          <w:szCs w:val="22"/>
          <w:lang w:val="en-US"/>
        </w:rPr>
        <w:t xml:space="preserve"> </w:t>
      </w:r>
      <w:r w:rsidR="007B286D">
        <w:rPr>
          <w:rFonts w:cs="Arial"/>
          <w:sz w:val="22"/>
          <w:szCs w:val="22"/>
          <w:lang w:val="en-US"/>
        </w:rPr>
        <w:t xml:space="preserve">period. </w:t>
      </w:r>
      <w:r w:rsidR="00790036">
        <w:rPr>
          <w:rFonts w:cs="Arial"/>
          <w:sz w:val="22"/>
          <w:szCs w:val="22"/>
          <w:lang w:val="en-US"/>
        </w:rPr>
        <w:t>O</w:t>
      </w:r>
      <w:r w:rsidR="00790036">
        <w:rPr>
          <w:rFonts w:cs="Arial"/>
          <w:bCs/>
          <w:color w:val="000000" w:themeColor="text1"/>
          <w:sz w:val="22"/>
          <w:szCs w:val="22"/>
        </w:rPr>
        <w:t xml:space="preserve">ther projects may have used Ci-Dev developed methodological improvements already, but tracking this can be difficult. The Trustee reports that it </w:t>
      </w:r>
      <w:r w:rsidR="00790036" w:rsidRPr="00790036">
        <w:rPr>
          <w:rFonts w:cs="Arial"/>
          <w:sz w:val="22"/>
          <w:szCs w:val="22"/>
          <w:lang w:val="en-US"/>
        </w:rPr>
        <w:t xml:space="preserve">is also unlikely that this output indicator target can be met in </w:t>
      </w:r>
      <w:r w:rsidR="00790036">
        <w:rPr>
          <w:rFonts w:cs="Arial"/>
          <w:sz w:val="22"/>
          <w:szCs w:val="22"/>
          <w:lang w:val="en-US"/>
        </w:rPr>
        <w:t>the current carbon market</w:t>
      </w:r>
      <w:r w:rsidR="00790036" w:rsidRPr="00790036">
        <w:rPr>
          <w:rFonts w:cs="Arial"/>
          <w:sz w:val="22"/>
          <w:szCs w:val="22"/>
          <w:lang w:val="en-US"/>
        </w:rPr>
        <w:t xml:space="preserve">, </w:t>
      </w:r>
      <w:r w:rsidR="00790036">
        <w:rPr>
          <w:rFonts w:cs="Arial"/>
          <w:sz w:val="22"/>
          <w:szCs w:val="22"/>
          <w:lang w:val="en-US"/>
        </w:rPr>
        <w:t xml:space="preserve">and the UK has agreed to discuss </w:t>
      </w:r>
      <w:r w:rsidR="00790036" w:rsidRPr="00790036">
        <w:rPr>
          <w:rFonts w:cs="Arial"/>
          <w:sz w:val="22"/>
          <w:szCs w:val="22"/>
          <w:lang w:val="en-US" w:eastAsia="zh-CN"/>
        </w:rPr>
        <w:t xml:space="preserve">how </w:t>
      </w:r>
      <w:r w:rsidR="00790036">
        <w:rPr>
          <w:rFonts w:cs="Arial"/>
          <w:sz w:val="22"/>
          <w:szCs w:val="22"/>
          <w:lang w:val="en-US" w:eastAsia="zh-CN"/>
        </w:rPr>
        <w:t xml:space="preserve">this indicator could be revised. </w:t>
      </w:r>
    </w:p>
    <w:p w14:paraId="6E00017A" w14:textId="114588D4" w:rsidR="008D416C" w:rsidRDefault="008D416C" w:rsidP="00512093">
      <w:pPr>
        <w:contextualSpacing/>
        <w:jc w:val="both"/>
        <w:rPr>
          <w:rFonts w:cs="Arial"/>
          <w:bCs/>
          <w:color w:val="000000" w:themeColor="text1"/>
          <w:sz w:val="22"/>
          <w:szCs w:val="22"/>
        </w:rPr>
      </w:pPr>
    </w:p>
    <w:p w14:paraId="7624632D" w14:textId="33580518" w:rsidR="0066694D" w:rsidRDefault="00790036" w:rsidP="00512093">
      <w:pPr>
        <w:contextualSpacing/>
        <w:jc w:val="both"/>
        <w:rPr>
          <w:rFonts w:cs="Arial"/>
          <w:color w:val="000000" w:themeColor="text1"/>
          <w:sz w:val="22"/>
          <w:szCs w:val="22"/>
        </w:rPr>
      </w:pPr>
      <w:r>
        <w:rPr>
          <w:rFonts w:cs="Arial"/>
          <w:bCs/>
          <w:color w:val="000000" w:themeColor="text1"/>
          <w:sz w:val="22"/>
          <w:szCs w:val="22"/>
        </w:rPr>
        <w:t xml:space="preserve">Three </w:t>
      </w:r>
      <w:r w:rsidR="00D943A3">
        <w:rPr>
          <w:rFonts w:cs="Arial"/>
          <w:bCs/>
          <w:color w:val="000000" w:themeColor="text1"/>
          <w:sz w:val="22"/>
          <w:szCs w:val="22"/>
        </w:rPr>
        <w:t>reports</w:t>
      </w:r>
      <w:r>
        <w:rPr>
          <w:rFonts w:cs="Arial"/>
          <w:bCs/>
          <w:color w:val="000000" w:themeColor="text1"/>
          <w:sz w:val="22"/>
          <w:szCs w:val="22"/>
        </w:rPr>
        <w:t>, four workshops, six engagements at international forums</w:t>
      </w:r>
      <w:r w:rsidR="00D943A3">
        <w:rPr>
          <w:rFonts w:cs="Arial"/>
          <w:bCs/>
          <w:color w:val="000000" w:themeColor="text1"/>
          <w:sz w:val="22"/>
          <w:szCs w:val="22"/>
        </w:rPr>
        <w:t xml:space="preserve"> </w:t>
      </w:r>
      <w:r>
        <w:rPr>
          <w:rFonts w:cs="Arial"/>
          <w:bCs/>
          <w:color w:val="000000" w:themeColor="text1"/>
          <w:sz w:val="22"/>
          <w:szCs w:val="22"/>
        </w:rPr>
        <w:t>and a</w:t>
      </w:r>
      <w:r w:rsidR="00D011C8">
        <w:rPr>
          <w:rFonts w:cs="Arial"/>
          <w:bCs/>
          <w:color w:val="000000" w:themeColor="text1"/>
          <w:sz w:val="22"/>
          <w:szCs w:val="22"/>
        </w:rPr>
        <w:t xml:space="preserve"> World Bank internal comms piece</w:t>
      </w:r>
      <w:r>
        <w:rPr>
          <w:rFonts w:cs="Arial"/>
          <w:bCs/>
          <w:color w:val="000000" w:themeColor="text1"/>
          <w:sz w:val="22"/>
          <w:szCs w:val="22"/>
        </w:rPr>
        <w:t xml:space="preserve"> </w:t>
      </w:r>
      <w:r w:rsidR="006F4282">
        <w:rPr>
          <w:rFonts w:cs="Arial"/>
          <w:bCs/>
          <w:color w:val="000000" w:themeColor="text1"/>
          <w:sz w:val="22"/>
          <w:szCs w:val="22"/>
        </w:rPr>
        <w:t xml:space="preserve">mean that </w:t>
      </w:r>
      <w:r w:rsidR="00FE41C2">
        <w:rPr>
          <w:rFonts w:cs="Arial"/>
          <w:bCs/>
          <w:color w:val="000000" w:themeColor="text1"/>
          <w:sz w:val="22"/>
          <w:szCs w:val="22"/>
        </w:rPr>
        <w:t xml:space="preserve">performance against (3.2) exceeds expectations. </w:t>
      </w:r>
      <w:r w:rsidR="00E24949">
        <w:rPr>
          <w:rFonts w:cs="Arial"/>
          <w:sz w:val="22"/>
          <w:szCs w:val="22"/>
        </w:rPr>
        <w:t xml:space="preserve">The </w:t>
      </w:r>
      <w:hyperlink r:id="rId15" w:history="1">
        <w:r w:rsidR="00E24949" w:rsidRPr="00E47071">
          <w:rPr>
            <w:rStyle w:val="Hyperlink"/>
            <w:rFonts w:cs="Arial"/>
            <w:sz w:val="22"/>
            <w:szCs w:val="22"/>
          </w:rPr>
          <w:t>reports</w:t>
        </w:r>
      </w:hyperlink>
      <w:r w:rsidR="00E24949">
        <w:rPr>
          <w:rFonts w:cs="Arial"/>
          <w:sz w:val="22"/>
          <w:szCs w:val="22"/>
        </w:rPr>
        <w:t xml:space="preserve"> were </w:t>
      </w:r>
      <w:r>
        <w:rPr>
          <w:rFonts w:cs="Arial"/>
          <w:sz w:val="22"/>
          <w:szCs w:val="22"/>
        </w:rPr>
        <w:t xml:space="preserve">a methodological note on the SCF, lessons learned from the Senegalese SCF, and an internal </w:t>
      </w:r>
      <w:r w:rsidR="00961434">
        <w:rPr>
          <w:rFonts w:cs="Arial"/>
          <w:sz w:val="22"/>
          <w:szCs w:val="22"/>
        </w:rPr>
        <w:t>evaluation of</w:t>
      </w:r>
      <w:r>
        <w:rPr>
          <w:rFonts w:cs="Arial"/>
          <w:sz w:val="22"/>
          <w:szCs w:val="22"/>
        </w:rPr>
        <w:t xml:space="preserve"> Ci-Dev’s pipeline development</w:t>
      </w:r>
      <w:r w:rsidR="00961434">
        <w:rPr>
          <w:rFonts w:cs="Arial"/>
          <w:sz w:val="22"/>
          <w:szCs w:val="22"/>
        </w:rPr>
        <w:t xml:space="preserve"> process</w:t>
      </w:r>
      <w:r w:rsidR="00E24949">
        <w:rPr>
          <w:rFonts w:cs="Arial"/>
          <w:sz w:val="22"/>
          <w:szCs w:val="22"/>
        </w:rPr>
        <w:t xml:space="preserve">. Workshops took place in </w:t>
      </w:r>
      <w:r>
        <w:rPr>
          <w:rFonts w:cs="Arial"/>
          <w:sz w:val="22"/>
          <w:szCs w:val="22"/>
        </w:rPr>
        <w:t>Senegal, Germany, Rwanda and Washington</w:t>
      </w:r>
      <w:r w:rsidR="000646CC">
        <w:rPr>
          <w:rFonts w:cs="Arial"/>
          <w:sz w:val="22"/>
          <w:szCs w:val="22"/>
        </w:rPr>
        <w:t xml:space="preserve">. </w:t>
      </w:r>
      <w:r w:rsidR="00A56A89">
        <w:rPr>
          <w:rFonts w:cs="Arial"/>
          <w:sz w:val="22"/>
          <w:szCs w:val="22"/>
        </w:rPr>
        <w:t xml:space="preserve">The programme manager read </w:t>
      </w:r>
      <w:r w:rsidR="006955CB">
        <w:rPr>
          <w:rFonts w:cs="Arial"/>
          <w:sz w:val="22"/>
          <w:szCs w:val="22"/>
        </w:rPr>
        <w:t>these reports</w:t>
      </w:r>
      <w:r w:rsidR="00E827E4">
        <w:rPr>
          <w:rFonts w:cs="Arial"/>
          <w:sz w:val="22"/>
          <w:szCs w:val="22"/>
        </w:rPr>
        <w:t xml:space="preserve">, </w:t>
      </w:r>
      <w:r w:rsidR="00A56A89">
        <w:rPr>
          <w:rFonts w:cs="Arial"/>
          <w:sz w:val="22"/>
          <w:szCs w:val="22"/>
        </w:rPr>
        <w:t xml:space="preserve">attended </w:t>
      </w:r>
      <w:r w:rsidR="00E827E4">
        <w:rPr>
          <w:rFonts w:cs="Arial"/>
          <w:sz w:val="22"/>
          <w:szCs w:val="22"/>
        </w:rPr>
        <w:t xml:space="preserve">one of these events, and </w:t>
      </w:r>
      <w:r w:rsidR="005D2509">
        <w:rPr>
          <w:rFonts w:cs="Arial"/>
          <w:sz w:val="22"/>
          <w:szCs w:val="22"/>
        </w:rPr>
        <w:t xml:space="preserve">found all </w:t>
      </w:r>
      <w:r w:rsidR="00901738">
        <w:rPr>
          <w:rFonts w:cs="Arial"/>
          <w:sz w:val="22"/>
          <w:szCs w:val="22"/>
        </w:rPr>
        <w:t xml:space="preserve">of those </w:t>
      </w:r>
      <w:r w:rsidR="005D2509">
        <w:rPr>
          <w:rFonts w:cs="Arial"/>
          <w:sz w:val="22"/>
          <w:szCs w:val="22"/>
        </w:rPr>
        <w:t>to be completed to a high standard.</w:t>
      </w:r>
      <w:r w:rsidR="00E827E4">
        <w:rPr>
          <w:rFonts w:cs="Arial"/>
          <w:sz w:val="22"/>
          <w:szCs w:val="22"/>
        </w:rPr>
        <w:t xml:space="preserve"> </w:t>
      </w:r>
      <w:r w:rsidR="0063298F">
        <w:rPr>
          <w:rFonts w:cs="Arial"/>
          <w:sz w:val="22"/>
          <w:szCs w:val="22"/>
        </w:rPr>
        <w:t>Appropriate audiences</w:t>
      </w:r>
      <w:r w:rsidR="005D2509">
        <w:rPr>
          <w:rFonts w:cs="Arial"/>
          <w:sz w:val="22"/>
          <w:szCs w:val="22"/>
        </w:rPr>
        <w:t xml:space="preserve"> </w:t>
      </w:r>
      <w:r w:rsidR="0063298F">
        <w:rPr>
          <w:rFonts w:cs="Arial"/>
          <w:sz w:val="22"/>
          <w:szCs w:val="22"/>
        </w:rPr>
        <w:t>were targeted</w:t>
      </w:r>
      <w:r w:rsidR="00C14B81">
        <w:rPr>
          <w:rFonts w:cs="Arial"/>
          <w:sz w:val="22"/>
          <w:szCs w:val="22"/>
        </w:rPr>
        <w:t xml:space="preserve"> (LDCs, policymakers, CDM stakeholders) and </w:t>
      </w:r>
      <w:r w:rsidR="008B52C2">
        <w:rPr>
          <w:rFonts w:cs="Arial"/>
          <w:sz w:val="22"/>
          <w:szCs w:val="22"/>
        </w:rPr>
        <w:t>opportunities, risks</w:t>
      </w:r>
      <w:r w:rsidR="00115219">
        <w:rPr>
          <w:rFonts w:cs="Arial"/>
          <w:sz w:val="22"/>
          <w:szCs w:val="22"/>
        </w:rPr>
        <w:t xml:space="preserve">, recommendations </w:t>
      </w:r>
      <w:r w:rsidR="0063298F">
        <w:rPr>
          <w:rFonts w:cs="Arial"/>
          <w:sz w:val="22"/>
          <w:szCs w:val="22"/>
        </w:rPr>
        <w:t xml:space="preserve">and </w:t>
      </w:r>
      <w:r w:rsidR="00115219">
        <w:rPr>
          <w:rFonts w:cs="Arial"/>
          <w:sz w:val="22"/>
          <w:szCs w:val="22"/>
        </w:rPr>
        <w:t xml:space="preserve">conclusions were </w:t>
      </w:r>
      <w:r w:rsidR="00574215">
        <w:rPr>
          <w:rFonts w:cs="Arial"/>
          <w:sz w:val="22"/>
          <w:szCs w:val="22"/>
        </w:rPr>
        <w:t xml:space="preserve">set out in language appropriate to them. </w:t>
      </w:r>
      <w:r w:rsidR="000646CC">
        <w:rPr>
          <w:rFonts w:cs="Arial"/>
          <w:sz w:val="22"/>
          <w:szCs w:val="22"/>
        </w:rPr>
        <w:t>S</w:t>
      </w:r>
      <w:r>
        <w:rPr>
          <w:rFonts w:cs="Arial"/>
          <w:sz w:val="22"/>
          <w:szCs w:val="22"/>
        </w:rPr>
        <w:t xml:space="preserve">ix </w:t>
      </w:r>
      <w:r w:rsidR="006B7DEC">
        <w:rPr>
          <w:rFonts w:cs="Arial"/>
          <w:sz w:val="22"/>
          <w:szCs w:val="22"/>
        </w:rPr>
        <w:t xml:space="preserve">engagements </w:t>
      </w:r>
      <w:r w:rsidR="000646CC">
        <w:rPr>
          <w:rFonts w:cs="Arial"/>
          <w:sz w:val="22"/>
          <w:szCs w:val="22"/>
        </w:rPr>
        <w:t xml:space="preserve">at international events </w:t>
      </w:r>
      <w:r w:rsidR="00D9439E">
        <w:rPr>
          <w:rFonts w:cs="Arial"/>
          <w:sz w:val="22"/>
          <w:szCs w:val="22"/>
        </w:rPr>
        <w:t xml:space="preserve">helped </w:t>
      </w:r>
      <w:r w:rsidR="006B7DEC">
        <w:rPr>
          <w:rFonts w:cs="Arial"/>
          <w:sz w:val="22"/>
          <w:szCs w:val="22"/>
        </w:rPr>
        <w:t>to promote experience more broadly</w:t>
      </w:r>
      <w:r>
        <w:rPr>
          <w:rFonts w:cs="Arial"/>
          <w:sz w:val="22"/>
          <w:szCs w:val="22"/>
        </w:rPr>
        <w:t>.</w:t>
      </w:r>
      <w:r w:rsidR="00B34703">
        <w:rPr>
          <w:rFonts w:cs="Arial"/>
          <w:sz w:val="22"/>
          <w:szCs w:val="22"/>
        </w:rPr>
        <w:t xml:space="preserve"> </w:t>
      </w:r>
      <w:r w:rsidR="00A05A92">
        <w:rPr>
          <w:rFonts w:cs="Arial"/>
          <w:color w:val="000000" w:themeColor="text1"/>
          <w:sz w:val="22"/>
          <w:szCs w:val="22"/>
        </w:rPr>
        <w:t xml:space="preserve">Finally, </w:t>
      </w:r>
      <w:r w:rsidR="00AE708D">
        <w:rPr>
          <w:rFonts w:cs="Arial"/>
          <w:color w:val="000000" w:themeColor="text1"/>
          <w:sz w:val="22"/>
          <w:szCs w:val="22"/>
        </w:rPr>
        <w:t xml:space="preserve">(3.3) </w:t>
      </w:r>
      <w:r w:rsidR="005B4889">
        <w:rPr>
          <w:rFonts w:cs="Arial"/>
          <w:color w:val="000000" w:themeColor="text1"/>
          <w:sz w:val="22"/>
          <w:szCs w:val="22"/>
        </w:rPr>
        <w:t>the KMWP for FY</w:t>
      </w:r>
      <w:r w:rsidR="006B7DEC">
        <w:rPr>
          <w:rFonts w:cs="Arial"/>
          <w:color w:val="000000" w:themeColor="text1"/>
          <w:sz w:val="22"/>
          <w:szCs w:val="22"/>
        </w:rPr>
        <w:t>20</w:t>
      </w:r>
      <w:r w:rsidR="00E4628C">
        <w:rPr>
          <w:rStyle w:val="FootnoteReference"/>
          <w:rFonts w:cs="Arial"/>
          <w:color w:val="000000" w:themeColor="text1"/>
          <w:sz w:val="22"/>
          <w:szCs w:val="22"/>
        </w:rPr>
        <w:footnoteReference w:id="13"/>
      </w:r>
      <w:r w:rsidR="005B4889">
        <w:rPr>
          <w:rFonts w:cs="Arial"/>
          <w:color w:val="000000" w:themeColor="text1"/>
          <w:sz w:val="22"/>
          <w:szCs w:val="22"/>
        </w:rPr>
        <w:t xml:space="preserve"> was agreed by donors in 201</w:t>
      </w:r>
      <w:r w:rsidR="006B7DEC">
        <w:rPr>
          <w:rFonts w:cs="Arial"/>
          <w:color w:val="000000" w:themeColor="text1"/>
          <w:sz w:val="22"/>
          <w:szCs w:val="22"/>
        </w:rPr>
        <w:t>9</w:t>
      </w:r>
      <w:r w:rsidR="00127F41">
        <w:rPr>
          <w:rFonts w:cs="Arial"/>
          <w:color w:val="000000" w:themeColor="text1"/>
          <w:sz w:val="22"/>
          <w:szCs w:val="22"/>
        </w:rPr>
        <w:t xml:space="preserve">. </w:t>
      </w:r>
      <w:r w:rsidR="002F2DF7">
        <w:rPr>
          <w:rFonts w:cs="Arial"/>
          <w:color w:val="000000" w:themeColor="text1"/>
          <w:sz w:val="22"/>
          <w:szCs w:val="22"/>
        </w:rPr>
        <w:t>Feedback</w:t>
      </w:r>
      <w:r w:rsidR="00703134">
        <w:rPr>
          <w:rFonts w:cs="Arial"/>
          <w:color w:val="000000" w:themeColor="text1"/>
          <w:sz w:val="22"/>
          <w:szCs w:val="22"/>
        </w:rPr>
        <w:t xml:space="preserve"> </w:t>
      </w:r>
      <w:r w:rsidR="006B7DEC">
        <w:rPr>
          <w:rFonts w:cs="Arial"/>
          <w:color w:val="000000" w:themeColor="text1"/>
          <w:sz w:val="22"/>
          <w:szCs w:val="22"/>
        </w:rPr>
        <w:t xml:space="preserve">while this was iterated </w:t>
      </w:r>
      <w:r w:rsidR="00703134">
        <w:rPr>
          <w:rFonts w:cs="Arial"/>
          <w:color w:val="000000" w:themeColor="text1"/>
          <w:sz w:val="22"/>
          <w:szCs w:val="22"/>
        </w:rPr>
        <w:t xml:space="preserve">was responded to </w:t>
      </w:r>
      <w:r w:rsidR="00353125">
        <w:rPr>
          <w:rFonts w:cs="Arial"/>
          <w:color w:val="000000" w:themeColor="text1"/>
          <w:sz w:val="22"/>
          <w:szCs w:val="22"/>
        </w:rPr>
        <w:t>promptly</w:t>
      </w:r>
      <w:r w:rsidR="00A228E4">
        <w:rPr>
          <w:rFonts w:cs="Arial"/>
          <w:color w:val="000000" w:themeColor="text1"/>
          <w:sz w:val="22"/>
          <w:szCs w:val="22"/>
        </w:rPr>
        <w:t xml:space="preserve"> and thoroughly</w:t>
      </w:r>
      <w:r w:rsidR="002F2DF7">
        <w:rPr>
          <w:rFonts w:cs="Arial"/>
          <w:color w:val="000000" w:themeColor="text1"/>
          <w:sz w:val="22"/>
          <w:szCs w:val="22"/>
        </w:rPr>
        <w:t xml:space="preserve"> and the</w:t>
      </w:r>
      <w:r w:rsidR="00353125">
        <w:rPr>
          <w:rFonts w:cs="Arial"/>
          <w:color w:val="000000" w:themeColor="text1"/>
          <w:sz w:val="22"/>
          <w:szCs w:val="22"/>
        </w:rPr>
        <w:t xml:space="preserve"> result is a good range of </w:t>
      </w:r>
      <w:r w:rsidR="00C34210">
        <w:rPr>
          <w:rFonts w:cs="Arial"/>
          <w:color w:val="000000" w:themeColor="text1"/>
          <w:sz w:val="22"/>
          <w:szCs w:val="22"/>
        </w:rPr>
        <w:t>work</w:t>
      </w:r>
      <w:r w:rsidR="001B026C">
        <w:rPr>
          <w:rFonts w:cs="Arial"/>
          <w:color w:val="000000" w:themeColor="text1"/>
          <w:sz w:val="22"/>
          <w:szCs w:val="22"/>
        </w:rPr>
        <w:t xml:space="preserve"> that covers </w:t>
      </w:r>
      <w:r w:rsidR="001B4A59">
        <w:rPr>
          <w:rFonts w:cs="Arial"/>
          <w:color w:val="000000" w:themeColor="text1"/>
          <w:sz w:val="22"/>
          <w:szCs w:val="22"/>
        </w:rPr>
        <w:t xml:space="preserve">key BEIS interests, </w:t>
      </w:r>
      <w:r w:rsidR="00496F44">
        <w:rPr>
          <w:rFonts w:cs="Arial"/>
          <w:color w:val="000000" w:themeColor="text1"/>
          <w:sz w:val="22"/>
          <w:szCs w:val="22"/>
        </w:rPr>
        <w:t>and includes</w:t>
      </w:r>
      <w:r w:rsidR="00C11FFB">
        <w:rPr>
          <w:rFonts w:cs="Arial"/>
          <w:color w:val="000000" w:themeColor="text1"/>
          <w:sz w:val="22"/>
          <w:szCs w:val="22"/>
        </w:rPr>
        <w:t xml:space="preserve"> research into</w:t>
      </w:r>
      <w:r w:rsidR="001B4A59">
        <w:rPr>
          <w:rFonts w:cs="Arial"/>
          <w:color w:val="000000" w:themeColor="text1"/>
          <w:sz w:val="22"/>
          <w:szCs w:val="22"/>
        </w:rPr>
        <w:t xml:space="preserve"> </w:t>
      </w:r>
      <w:r w:rsidR="002A6FE1">
        <w:rPr>
          <w:rFonts w:cs="Arial"/>
          <w:color w:val="000000" w:themeColor="text1"/>
          <w:sz w:val="22"/>
          <w:szCs w:val="22"/>
        </w:rPr>
        <w:t xml:space="preserve">the relationship between gender and carbon benefits, </w:t>
      </w:r>
      <w:r w:rsidR="000B1C8C">
        <w:rPr>
          <w:rFonts w:cs="Arial"/>
          <w:color w:val="000000" w:themeColor="text1"/>
          <w:sz w:val="22"/>
          <w:szCs w:val="22"/>
        </w:rPr>
        <w:t>and results-based carbon financing</w:t>
      </w:r>
      <w:r w:rsidR="00804947">
        <w:rPr>
          <w:rFonts w:cs="Arial"/>
          <w:color w:val="000000" w:themeColor="text1"/>
          <w:sz w:val="22"/>
          <w:szCs w:val="22"/>
        </w:rPr>
        <w:t>’s</w:t>
      </w:r>
      <w:r w:rsidR="000B1C8C">
        <w:rPr>
          <w:rFonts w:cs="Arial"/>
          <w:color w:val="000000" w:themeColor="text1"/>
          <w:sz w:val="22"/>
          <w:szCs w:val="22"/>
        </w:rPr>
        <w:t xml:space="preserve"> relationship to household decision making processes</w:t>
      </w:r>
      <w:r w:rsidR="006B7DEC">
        <w:rPr>
          <w:rFonts w:cs="Arial"/>
          <w:color w:val="000000" w:themeColor="text1"/>
          <w:sz w:val="22"/>
          <w:szCs w:val="22"/>
        </w:rPr>
        <w:t>.</w:t>
      </w:r>
    </w:p>
    <w:p w14:paraId="52C839AB" w14:textId="665927B1" w:rsidR="00CF69A1" w:rsidRDefault="00CF69A1" w:rsidP="00512093">
      <w:pPr>
        <w:contextualSpacing/>
        <w:jc w:val="both"/>
        <w:rPr>
          <w:rFonts w:cs="Arial"/>
          <w:color w:val="000000" w:themeColor="text1"/>
          <w:sz w:val="22"/>
          <w:szCs w:val="22"/>
        </w:rPr>
      </w:pPr>
    </w:p>
    <w:p w14:paraId="063ACC28" w14:textId="77777777" w:rsidR="00A560FA" w:rsidRDefault="00A560FA" w:rsidP="00512093">
      <w:pPr>
        <w:contextualSpacing/>
        <w:jc w:val="both"/>
        <w:rPr>
          <w:rFonts w:cs="Arial"/>
          <w:color w:val="000000" w:themeColor="text1"/>
          <w:sz w:val="22"/>
          <w:szCs w:val="22"/>
        </w:rPr>
      </w:pPr>
    </w:p>
    <w:p w14:paraId="05549196" w14:textId="1861EAA1" w:rsidR="00CF69A1" w:rsidRDefault="00CF69A1" w:rsidP="00512093">
      <w:pPr>
        <w:contextualSpacing/>
        <w:jc w:val="both"/>
        <w:rPr>
          <w:rFonts w:cs="Arial"/>
          <w:color w:val="000000" w:themeColor="text1"/>
          <w:sz w:val="22"/>
          <w:szCs w:val="22"/>
        </w:rPr>
      </w:pPr>
    </w:p>
    <w:p w14:paraId="7F72F2BC" w14:textId="77777777" w:rsidR="00CF69A1" w:rsidRPr="00AF2A22" w:rsidRDefault="00CF69A1" w:rsidP="00512093">
      <w:pPr>
        <w:contextualSpacing/>
        <w:jc w:val="both"/>
        <w:rPr>
          <w:rFonts w:cs="Arial"/>
          <w:color w:val="000000" w:themeColor="text1"/>
          <w:sz w:val="22"/>
          <w:szCs w:val="22"/>
        </w:rPr>
      </w:pPr>
    </w:p>
    <w:p w14:paraId="0915F081" w14:textId="77777777" w:rsidR="0066694D" w:rsidRDefault="0066694D" w:rsidP="0066694D">
      <w:pPr>
        <w:pStyle w:val="Heading3"/>
        <w:rPr>
          <w:rFonts w:ascii="Arial" w:hAnsi="Arial" w:cs="Arial"/>
          <w:color w:val="000000" w:themeColor="text1"/>
          <w:sz w:val="22"/>
          <w:szCs w:val="22"/>
        </w:rPr>
      </w:pPr>
      <w:r w:rsidRPr="0061246C">
        <w:rPr>
          <w:rFonts w:ascii="Arial" w:hAnsi="Arial" w:cs="Arial"/>
          <w:color w:val="000000" w:themeColor="text1"/>
          <w:sz w:val="22"/>
          <w:szCs w:val="22"/>
        </w:rPr>
        <w:lastRenderedPageBreak/>
        <w:t>Recommendations</w:t>
      </w:r>
      <w:r>
        <w:rPr>
          <w:rFonts w:ascii="Arial" w:hAnsi="Arial" w:cs="Arial"/>
          <w:color w:val="000000" w:themeColor="text1"/>
          <w:sz w:val="22"/>
          <w:szCs w:val="22"/>
        </w:rPr>
        <w:t xml:space="preserve"> from this Annual Review</w:t>
      </w:r>
    </w:p>
    <w:p w14:paraId="29B83A83" w14:textId="58537C42" w:rsidR="0066694D" w:rsidRDefault="0066694D" w:rsidP="0066694D"/>
    <w:p w14:paraId="220FC0E0" w14:textId="1FC4B2ED" w:rsidR="003F5140" w:rsidRPr="00EA4D2A" w:rsidRDefault="003F5140" w:rsidP="003F5140">
      <w:pPr>
        <w:pStyle w:val="ListParagraph"/>
        <w:numPr>
          <w:ilvl w:val="0"/>
          <w:numId w:val="25"/>
        </w:numPr>
        <w:spacing w:after="60"/>
        <w:ind w:left="714" w:hanging="357"/>
        <w:contextualSpacing w:val="0"/>
        <w:jc w:val="both"/>
        <w:rPr>
          <w:sz w:val="22"/>
          <w:szCs w:val="22"/>
        </w:rPr>
      </w:pPr>
      <w:r w:rsidRPr="00EA4D2A">
        <w:rPr>
          <w:sz w:val="22"/>
          <w:szCs w:val="22"/>
        </w:rPr>
        <w:t>BEIS and the Trustee should</w:t>
      </w:r>
      <w:r w:rsidR="008124F0">
        <w:rPr>
          <w:sz w:val="22"/>
          <w:szCs w:val="22"/>
        </w:rPr>
        <w:t xml:space="preserve"> </w:t>
      </w:r>
      <w:r w:rsidRPr="00EA4D2A">
        <w:rPr>
          <w:sz w:val="22"/>
          <w:szCs w:val="22"/>
        </w:rPr>
        <w:t xml:space="preserve">revise and update the logframe impact indicators, </w:t>
      </w:r>
      <w:r>
        <w:rPr>
          <w:sz w:val="22"/>
          <w:szCs w:val="22"/>
        </w:rPr>
        <w:t xml:space="preserve">and its output </w:t>
      </w:r>
      <w:r w:rsidRPr="00EA4D2A">
        <w:rPr>
          <w:sz w:val="22"/>
          <w:szCs w:val="22"/>
        </w:rPr>
        <w:t>targets</w:t>
      </w:r>
      <w:r>
        <w:rPr>
          <w:sz w:val="22"/>
          <w:szCs w:val="22"/>
        </w:rPr>
        <w:t xml:space="preserve"> (including those related to methodological support), with an aim that more of the logframe’s output indicators should assess the quality, and not just number, of outputs, e.g. events and publications</w:t>
      </w:r>
      <w:r w:rsidR="008124F0">
        <w:rPr>
          <w:sz w:val="22"/>
          <w:szCs w:val="22"/>
        </w:rPr>
        <w:t xml:space="preserve">, by </w:t>
      </w:r>
      <w:r w:rsidR="00F54144">
        <w:rPr>
          <w:sz w:val="22"/>
          <w:szCs w:val="22"/>
        </w:rPr>
        <w:t>end-August</w:t>
      </w:r>
      <w:r>
        <w:rPr>
          <w:sz w:val="22"/>
          <w:szCs w:val="22"/>
        </w:rPr>
        <w:t>.</w:t>
      </w:r>
    </w:p>
    <w:p w14:paraId="10F8BD96" w14:textId="77777777" w:rsidR="00EA4E7C" w:rsidRDefault="00EA4E7C" w:rsidP="00EA4E7C">
      <w:pPr>
        <w:pStyle w:val="ListParagraph"/>
        <w:numPr>
          <w:ilvl w:val="0"/>
          <w:numId w:val="25"/>
        </w:numPr>
        <w:spacing w:after="60"/>
        <w:ind w:left="714" w:hanging="357"/>
        <w:contextualSpacing w:val="0"/>
        <w:jc w:val="both"/>
        <w:rPr>
          <w:sz w:val="22"/>
          <w:szCs w:val="22"/>
        </w:rPr>
      </w:pPr>
      <w:r w:rsidRPr="00EA4D2A">
        <w:rPr>
          <w:sz w:val="22"/>
          <w:szCs w:val="22"/>
        </w:rPr>
        <w:t>The Trustee and BEIS, with input from LTS (the independent evaluators)</w:t>
      </w:r>
      <w:r>
        <w:rPr>
          <w:sz w:val="22"/>
          <w:szCs w:val="22"/>
        </w:rPr>
        <w:t>,</w:t>
      </w:r>
      <w:r w:rsidRPr="00EA4D2A">
        <w:rPr>
          <w:sz w:val="22"/>
          <w:szCs w:val="22"/>
        </w:rPr>
        <w:t xml:space="preserve"> should agree a response plan to </w:t>
      </w:r>
      <w:r>
        <w:rPr>
          <w:sz w:val="22"/>
          <w:szCs w:val="22"/>
        </w:rPr>
        <w:t xml:space="preserve">the recommendations made by </w:t>
      </w:r>
      <w:r w:rsidRPr="00EA4D2A">
        <w:rPr>
          <w:sz w:val="22"/>
          <w:szCs w:val="22"/>
        </w:rPr>
        <w:t xml:space="preserve">LTS’s </w:t>
      </w:r>
      <w:r>
        <w:rPr>
          <w:sz w:val="22"/>
          <w:szCs w:val="22"/>
        </w:rPr>
        <w:t>mid-term evaluation</w:t>
      </w:r>
      <w:r w:rsidRPr="00EA4D2A">
        <w:rPr>
          <w:sz w:val="22"/>
          <w:szCs w:val="22"/>
        </w:rPr>
        <w:t xml:space="preserve"> of the programme</w:t>
      </w:r>
      <w:r>
        <w:rPr>
          <w:sz w:val="22"/>
          <w:szCs w:val="22"/>
        </w:rPr>
        <w:t>,</w:t>
      </w:r>
      <w:r w:rsidRPr="00EA4D2A" w:rsidDel="00D220E9">
        <w:rPr>
          <w:sz w:val="22"/>
          <w:szCs w:val="22"/>
        </w:rPr>
        <w:t xml:space="preserve"> </w:t>
      </w:r>
      <w:r>
        <w:rPr>
          <w:sz w:val="22"/>
          <w:szCs w:val="22"/>
        </w:rPr>
        <w:t>by the end of September 2020.</w:t>
      </w:r>
    </w:p>
    <w:p w14:paraId="1F954979" w14:textId="21494CE3" w:rsidR="003E11BF" w:rsidRPr="00B34703" w:rsidRDefault="003E11BF" w:rsidP="00512093">
      <w:pPr>
        <w:pStyle w:val="ListParagraph"/>
        <w:numPr>
          <w:ilvl w:val="0"/>
          <w:numId w:val="25"/>
        </w:numPr>
        <w:jc w:val="both"/>
        <w:rPr>
          <w:sz w:val="22"/>
          <w:szCs w:val="22"/>
        </w:rPr>
      </w:pPr>
      <w:r w:rsidRPr="00B34703">
        <w:rPr>
          <w:rFonts w:cs="Arial"/>
          <w:color w:val="000000" w:themeColor="text1"/>
          <w:sz w:val="22"/>
          <w:szCs w:val="22"/>
        </w:rPr>
        <w:br w:type="page"/>
      </w:r>
    </w:p>
    <w:tbl>
      <w:tblPr>
        <w:tblStyle w:val="TableGrid"/>
        <w:tblW w:w="0" w:type="auto"/>
        <w:tblInd w:w="108" w:type="dxa"/>
        <w:tblLook w:val="04A0" w:firstRow="1" w:lastRow="0" w:firstColumn="1" w:lastColumn="0" w:noHBand="0" w:noVBand="1"/>
      </w:tblPr>
      <w:tblGrid>
        <w:gridCol w:w="1653"/>
        <w:gridCol w:w="1462"/>
        <w:gridCol w:w="1935"/>
        <w:gridCol w:w="2989"/>
        <w:gridCol w:w="2047"/>
      </w:tblGrid>
      <w:tr w:rsidR="00DB7454" w:rsidRPr="00B77D90" w14:paraId="5EC0927A" w14:textId="77777777" w:rsidTr="003E6F6D">
        <w:trPr>
          <w:trHeight w:val="405"/>
        </w:trPr>
        <w:tc>
          <w:tcPr>
            <w:tcW w:w="1679" w:type="dxa"/>
            <w:shd w:val="clear" w:color="auto" w:fill="DBE5F1" w:themeFill="accent1" w:themeFillTint="33"/>
          </w:tcPr>
          <w:p w14:paraId="3D305ACF" w14:textId="77777777" w:rsidR="00A947F4" w:rsidRPr="00E40148" w:rsidRDefault="00A947F4" w:rsidP="00E81F52">
            <w:pPr>
              <w:contextualSpacing/>
              <w:rPr>
                <w:rFonts w:cs="Arial"/>
                <w:b/>
                <w:bCs/>
                <w:color w:val="000000" w:themeColor="text1"/>
                <w:sz w:val="22"/>
                <w:szCs w:val="22"/>
              </w:rPr>
            </w:pPr>
            <w:r w:rsidRPr="00E40148">
              <w:rPr>
                <w:rFonts w:cs="Arial"/>
                <w:b/>
                <w:bCs/>
                <w:color w:val="000000" w:themeColor="text1"/>
                <w:sz w:val="22"/>
                <w:szCs w:val="22"/>
              </w:rPr>
              <w:lastRenderedPageBreak/>
              <w:t xml:space="preserve">Output Title </w:t>
            </w:r>
          </w:p>
        </w:tc>
        <w:tc>
          <w:tcPr>
            <w:tcW w:w="8633" w:type="dxa"/>
            <w:gridSpan w:val="4"/>
            <w:shd w:val="clear" w:color="auto" w:fill="FFFFFF" w:themeFill="background1"/>
          </w:tcPr>
          <w:p w14:paraId="0318855A" w14:textId="3A708284" w:rsidR="00A947F4" w:rsidRPr="00E40148" w:rsidRDefault="005720E4" w:rsidP="00E81F52">
            <w:pPr>
              <w:contextualSpacing/>
              <w:rPr>
                <w:rFonts w:cs="Arial"/>
                <w:bCs/>
                <w:i/>
                <w:color w:val="000000" w:themeColor="text1"/>
                <w:sz w:val="22"/>
                <w:szCs w:val="22"/>
                <w:highlight w:val="yellow"/>
              </w:rPr>
            </w:pPr>
            <w:r>
              <w:rPr>
                <w:rFonts w:cs="Arial"/>
                <w:b/>
                <w:sz w:val="22"/>
                <w:szCs w:val="22"/>
              </w:rPr>
              <w:t>Effect</w:t>
            </w:r>
            <w:r w:rsidRPr="008E2C22">
              <w:rPr>
                <w:rFonts w:cs="Arial"/>
                <w:b/>
                <w:sz w:val="22"/>
                <w:szCs w:val="22"/>
              </w:rPr>
              <w:t>ive fund management of Ci-Dev ensures efficient use of funding and creates conditions for robust, independent evaluation</w:t>
            </w:r>
          </w:p>
        </w:tc>
      </w:tr>
      <w:tr w:rsidR="00DB7454" w:rsidRPr="00B77D90" w14:paraId="35226861" w14:textId="77777777" w:rsidTr="003E6F6D">
        <w:trPr>
          <w:trHeight w:val="405"/>
        </w:trPr>
        <w:tc>
          <w:tcPr>
            <w:tcW w:w="3193" w:type="dxa"/>
            <w:gridSpan w:val="2"/>
            <w:shd w:val="clear" w:color="auto" w:fill="DBE5F1" w:themeFill="accent1" w:themeFillTint="33"/>
          </w:tcPr>
          <w:p w14:paraId="1CC048C9" w14:textId="77777777" w:rsidR="00A947F4" w:rsidRPr="00E40148" w:rsidRDefault="00A947F4" w:rsidP="00E81F52">
            <w:pPr>
              <w:contextualSpacing/>
              <w:rPr>
                <w:rFonts w:cs="Arial"/>
                <w:bCs/>
                <w:color w:val="000000" w:themeColor="text1"/>
                <w:sz w:val="22"/>
                <w:szCs w:val="22"/>
              </w:rPr>
            </w:pPr>
            <w:r w:rsidRPr="00E40148">
              <w:rPr>
                <w:rFonts w:cs="Arial"/>
                <w:bCs/>
                <w:color w:val="000000" w:themeColor="text1"/>
                <w:sz w:val="22"/>
                <w:szCs w:val="22"/>
              </w:rPr>
              <w:t>Output number per LF</w:t>
            </w:r>
          </w:p>
        </w:tc>
        <w:tc>
          <w:tcPr>
            <w:tcW w:w="1977" w:type="dxa"/>
          </w:tcPr>
          <w:p w14:paraId="17B5182B" w14:textId="77777777" w:rsidR="00A947F4" w:rsidRPr="00E40148" w:rsidRDefault="00E308B6" w:rsidP="00E81F52">
            <w:pPr>
              <w:contextualSpacing/>
              <w:rPr>
                <w:rFonts w:cs="Arial"/>
                <w:color w:val="000000" w:themeColor="text1"/>
                <w:sz w:val="22"/>
                <w:szCs w:val="22"/>
              </w:rPr>
            </w:pPr>
            <w:r w:rsidRPr="00E40148">
              <w:rPr>
                <w:rFonts w:cs="Arial"/>
                <w:color w:val="000000" w:themeColor="text1"/>
                <w:sz w:val="22"/>
                <w:szCs w:val="22"/>
              </w:rPr>
              <w:t>4</w:t>
            </w:r>
          </w:p>
        </w:tc>
        <w:tc>
          <w:tcPr>
            <w:tcW w:w="3055" w:type="dxa"/>
            <w:shd w:val="clear" w:color="auto" w:fill="DBE5F1" w:themeFill="accent1" w:themeFillTint="33"/>
          </w:tcPr>
          <w:p w14:paraId="196CF899" w14:textId="77777777" w:rsidR="00A947F4" w:rsidRPr="00E40148" w:rsidRDefault="00A947F4" w:rsidP="00E81F52">
            <w:pPr>
              <w:contextualSpacing/>
              <w:rPr>
                <w:rFonts w:cs="Arial"/>
                <w:b/>
                <w:color w:val="000000" w:themeColor="text1"/>
                <w:sz w:val="22"/>
                <w:szCs w:val="22"/>
              </w:rPr>
            </w:pPr>
            <w:r w:rsidRPr="00E40148">
              <w:rPr>
                <w:rFonts w:cs="Arial"/>
                <w:b/>
                <w:bCs/>
                <w:color w:val="000000" w:themeColor="text1"/>
                <w:sz w:val="22"/>
                <w:szCs w:val="22"/>
              </w:rPr>
              <w:t xml:space="preserve">Output Score </w:t>
            </w:r>
          </w:p>
        </w:tc>
        <w:tc>
          <w:tcPr>
            <w:tcW w:w="2087" w:type="dxa"/>
          </w:tcPr>
          <w:p w14:paraId="0489CA4C" w14:textId="128C4AD5" w:rsidR="00A947F4" w:rsidRPr="00E40148" w:rsidRDefault="006B7DEC" w:rsidP="00A25621">
            <w:pPr>
              <w:tabs>
                <w:tab w:val="center" w:pos="911"/>
              </w:tabs>
              <w:contextualSpacing/>
              <w:rPr>
                <w:rFonts w:cs="Arial"/>
                <w:bCs/>
                <w:color w:val="000000" w:themeColor="text1"/>
                <w:sz w:val="22"/>
                <w:szCs w:val="22"/>
              </w:rPr>
            </w:pPr>
            <w:r>
              <w:rPr>
                <w:rFonts w:cs="Arial"/>
                <w:bCs/>
                <w:color w:val="000000" w:themeColor="text1"/>
                <w:sz w:val="22"/>
                <w:szCs w:val="22"/>
              </w:rPr>
              <w:t>A</w:t>
            </w:r>
            <w:r w:rsidR="004D3751">
              <w:rPr>
                <w:rFonts w:cs="Arial"/>
                <w:bCs/>
                <w:color w:val="000000" w:themeColor="text1"/>
                <w:sz w:val="22"/>
                <w:szCs w:val="22"/>
              </w:rPr>
              <w:t>+</w:t>
            </w:r>
          </w:p>
        </w:tc>
      </w:tr>
      <w:tr w:rsidR="00DB7454" w:rsidRPr="00B77D90" w14:paraId="3111EE3D" w14:textId="77777777" w:rsidTr="003E6F6D">
        <w:trPr>
          <w:trHeight w:val="405"/>
        </w:trPr>
        <w:tc>
          <w:tcPr>
            <w:tcW w:w="3193" w:type="dxa"/>
            <w:gridSpan w:val="2"/>
            <w:shd w:val="clear" w:color="auto" w:fill="DBE5F1" w:themeFill="accent1" w:themeFillTint="33"/>
          </w:tcPr>
          <w:p w14:paraId="040B0F82" w14:textId="77777777" w:rsidR="00A947F4" w:rsidRPr="00E40148" w:rsidRDefault="00A947F4" w:rsidP="00E81F52">
            <w:pPr>
              <w:contextualSpacing/>
              <w:rPr>
                <w:rFonts w:cs="Arial"/>
                <w:color w:val="000000" w:themeColor="text1"/>
                <w:sz w:val="22"/>
                <w:szCs w:val="22"/>
              </w:rPr>
            </w:pPr>
            <w:r w:rsidRPr="00E40148">
              <w:rPr>
                <w:rFonts w:cs="Arial"/>
                <w:bCs/>
                <w:color w:val="000000" w:themeColor="text1"/>
                <w:sz w:val="22"/>
                <w:szCs w:val="22"/>
              </w:rPr>
              <w:t>Risk:</w:t>
            </w:r>
            <w:r w:rsidR="003E02DC" w:rsidRPr="00E40148">
              <w:rPr>
                <w:rFonts w:cs="Arial"/>
                <w:bCs/>
                <w:color w:val="000000" w:themeColor="text1"/>
                <w:sz w:val="22"/>
                <w:szCs w:val="22"/>
              </w:rPr>
              <w:t xml:space="preserve"> </w:t>
            </w:r>
          </w:p>
        </w:tc>
        <w:tc>
          <w:tcPr>
            <w:tcW w:w="1977" w:type="dxa"/>
          </w:tcPr>
          <w:p w14:paraId="375E9F88" w14:textId="77777777" w:rsidR="00A947F4" w:rsidRPr="00E40148" w:rsidRDefault="005761A3" w:rsidP="00E81F52">
            <w:pPr>
              <w:contextualSpacing/>
              <w:rPr>
                <w:rFonts w:cs="Arial"/>
                <w:bCs/>
                <w:color w:val="000000" w:themeColor="text1"/>
                <w:sz w:val="22"/>
                <w:szCs w:val="22"/>
              </w:rPr>
            </w:pPr>
            <w:r>
              <w:rPr>
                <w:rFonts w:cs="Arial"/>
                <w:bCs/>
                <w:color w:val="000000" w:themeColor="text1"/>
                <w:sz w:val="22"/>
                <w:szCs w:val="22"/>
              </w:rPr>
              <w:t>Minor</w:t>
            </w:r>
          </w:p>
        </w:tc>
        <w:tc>
          <w:tcPr>
            <w:tcW w:w="3055" w:type="dxa"/>
            <w:shd w:val="clear" w:color="auto" w:fill="DBE5F1" w:themeFill="accent1" w:themeFillTint="33"/>
          </w:tcPr>
          <w:p w14:paraId="441AEBD0" w14:textId="77777777" w:rsidR="00A947F4" w:rsidRPr="00E40148" w:rsidRDefault="00A947F4" w:rsidP="00E81F52">
            <w:pPr>
              <w:contextualSpacing/>
              <w:rPr>
                <w:rFonts w:cs="Arial"/>
                <w:bCs/>
                <w:color w:val="000000" w:themeColor="text1"/>
                <w:sz w:val="22"/>
                <w:szCs w:val="22"/>
              </w:rPr>
            </w:pPr>
            <w:r w:rsidRPr="00E40148">
              <w:rPr>
                <w:rFonts w:cs="Arial"/>
                <w:bCs/>
                <w:color w:val="000000" w:themeColor="text1"/>
                <w:sz w:val="22"/>
                <w:szCs w:val="22"/>
              </w:rPr>
              <w:t>Impact weighting (%):</w:t>
            </w:r>
          </w:p>
        </w:tc>
        <w:tc>
          <w:tcPr>
            <w:tcW w:w="2087" w:type="dxa"/>
          </w:tcPr>
          <w:p w14:paraId="57D5685F" w14:textId="135599A1" w:rsidR="00A947F4" w:rsidRPr="00E40148" w:rsidRDefault="005720E4" w:rsidP="00E81F52">
            <w:pPr>
              <w:contextualSpacing/>
              <w:rPr>
                <w:rFonts w:cs="Arial"/>
                <w:color w:val="000000" w:themeColor="text1"/>
                <w:sz w:val="22"/>
                <w:szCs w:val="22"/>
              </w:rPr>
            </w:pPr>
            <w:r>
              <w:rPr>
                <w:rFonts w:cs="Arial"/>
                <w:bCs/>
                <w:color w:val="000000" w:themeColor="text1"/>
                <w:sz w:val="22"/>
                <w:szCs w:val="22"/>
              </w:rPr>
              <w:t>10%</w:t>
            </w:r>
          </w:p>
        </w:tc>
      </w:tr>
      <w:tr w:rsidR="00DB7454" w:rsidRPr="00B77D90" w14:paraId="1246CE61" w14:textId="77777777" w:rsidTr="003E6F6D">
        <w:tc>
          <w:tcPr>
            <w:tcW w:w="3193" w:type="dxa"/>
            <w:gridSpan w:val="2"/>
            <w:shd w:val="clear" w:color="auto" w:fill="DBE5F1" w:themeFill="accent1" w:themeFillTint="33"/>
          </w:tcPr>
          <w:p w14:paraId="17ED58F4" w14:textId="77777777" w:rsidR="0027313F" w:rsidRPr="00E40148" w:rsidRDefault="0027313F" w:rsidP="00E81F52">
            <w:pPr>
              <w:contextualSpacing/>
              <w:rPr>
                <w:rFonts w:cs="Arial"/>
                <w:bCs/>
                <w:color w:val="000000" w:themeColor="text1"/>
                <w:sz w:val="22"/>
                <w:szCs w:val="22"/>
              </w:rPr>
            </w:pPr>
            <w:r w:rsidRPr="00E40148">
              <w:rPr>
                <w:rFonts w:cs="Arial"/>
                <w:bCs/>
                <w:color w:val="000000" w:themeColor="text1"/>
                <w:sz w:val="22"/>
                <w:szCs w:val="22"/>
              </w:rPr>
              <w:t xml:space="preserve">Risk revised since last AR? </w:t>
            </w:r>
          </w:p>
        </w:tc>
        <w:tc>
          <w:tcPr>
            <w:tcW w:w="1977" w:type="dxa"/>
          </w:tcPr>
          <w:p w14:paraId="789D4E57" w14:textId="5DBB880A" w:rsidR="0027313F" w:rsidRPr="00E40148" w:rsidRDefault="006B7DEC" w:rsidP="0066694D">
            <w:pPr>
              <w:contextualSpacing/>
              <w:rPr>
                <w:rFonts w:cs="Arial"/>
                <w:bCs/>
                <w:color w:val="000000" w:themeColor="text1"/>
                <w:sz w:val="22"/>
                <w:szCs w:val="22"/>
              </w:rPr>
            </w:pPr>
            <w:r>
              <w:rPr>
                <w:rFonts w:cs="Arial"/>
                <w:bCs/>
                <w:color w:val="000000" w:themeColor="text1"/>
                <w:sz w:val="22"/>
                <w:szCs w:val="22"/>
              </w:rPr>
              <w:t>no</w:t>
            </w:r>
          </w:p>
        </w:tc>
        <w:tc>
          <w:tcPr>
            <w:tcW w:w="3055" w:type="dxa"/>
            <w:shd w:val="clear" w:color="auto" w:fill="DBE5F1" w:themeFill="accent1" w:themeFillTint="33"/>
          </w:tcPr>
          <w:p w14:paraId="45D36667" w14:textId="77777777" w:rsidR="0027313F" w:rsidRPr="00E40148" w:rsidRDefault="0027313F" w:rsidP="00E81F52">
            <w:pPr>
              <w:contextualSpacing/>
              <w:rPr>
                <w:rFonts w:cs="Arial"/>
                <w:bCs/>
                <w:color w:val="000000" w:themeColor="text1"/>
                <w:sz w:val="22"/>
                <w:szCs w:val="22"/>
              </w:rPr>
            </w:pPr>
            <w:r w:rsidRPr="00E40148">
              <w:rPr>
                <w:rFonts w:cs="Arial"/>
                <w:bCs/>
                <w:color w:val="000000" w:themeColor="text1"/>
                <w:sz w:val="22"/>
                <w:szCs w:val="22"/>
              </w:rPr>
              <w:t xml:space="preserve">Impact weighting % revised since last AR? </w:t>
            </w:r>
          </w:p>
        </w:tc>
        <w:tc>
          <w:tcPr>
            <w:tcW w:w="2087" w:type="dxa"/>
          </w:tcPr>
          <w:p w14:paraId="5A0C4E90" w14:textId="216B8455" w:rsidR="0027313F" w:rsidRPr="00E40148" w:rsidRDefault="0066694D" w:rsidP="00E81F52">
            <w:pPr>
              <w:contextualSpacing/>
              <w:rPr>
                <w:rFonts w:cs="Arial"/>
                <w:bCs/>
                <w:color w:val="000000" w:themeColor="text1"/>
                <w:sz w:val="22"/>
                <w:szCs w:val="22"/>
              </w:rPr>
            </w:pPr>
            <w:r>
              <w:rPr>
                <w:rFonts w:cs="Arial"/>
                <w:bCs/>
                <w:color w:val="000000" w:themeColor="text1"/>
                <w:sz w:val="22"/>
                <w:szCs w:val="22"/>
              </w:rPr>
              <w:t>Last revised 2018</w:t>
            </w:r>
          </w:p>
          <w:p w14:paraId="252EDFA7" w14:textId="77777777" w:rsidR="0027313F" w:rsidRPr="00E40148" w:rsidRDefault="0027313F" w:rsidP="00E81F52">
            <w:pPr>
              <w:contextualSpacing/>
              <w:rPr>
                <w:rFonts w:cs="Arial"/>
                <w:bCs/>
                <w:color w:val="000000" w:themeColor="text1"/>
                <w:sz w:val="22"/>
                <w:szCs w:val="22"/>
              </w:rPr>
            </w:pPr>
          </w:p>
        </w:tc>
      </w:tr>
    </w:tbl>
    <w:p w14:paraId="4168285E" w14:textId="77777777" w:rsidR="003E11BF" w:rsidRPr="0061246C" w:rsidRDefault="003E11BF" w:rsidP="00E81F52">
      <w:pPr>
        <w:contextualSpacing/>
        <w:rPr>
          <w:rFonts w:cs="Arial"/>
          <w:b/>
          <w:bCs/>
          <w:color w:val="000000" w:themeColor="text1"/>
          <w:sz w:val="22"/>
          <w:szCs w:val="22"/>
        </w:rPr>
      </w:pPr>
    </w:p>
    <w:tbl>
      <w:tblPr>
        <w:tblStyle w:val="TableGrid"/>
        <w:tblpPr w:leftFromText="180" w:rightFromText="180" w:vertAnchor="text" w:horzAnchor="page" w:tblpX="983" w:tblpY="-10"/>
        <w:tblOverlap w:val="never"/>
        <w:tblW w:w="10308" w:type="dxa"/>
        <w:tblLook w:val="04A0" w:firstRow="1" w:lastRow="0" w:firstColumn="1" w:lastColumn="0" w:noHBand="0" w:noVBand="1"/>
      </w:tblPr>
      <w:tblGrid>
        <w:gridCol w:w="3369"/>
        <w:gridCol w:w="2268"/>
        <w:gridCol w:w="4671"/>
      </w:tblGrid>
      <w:tr w:rsidR="00A43BCB" w:rsidRPr="00B77D90" w14:paraId="3BC658BE" w14:textId="77777777" w:rsidTr="00E30ECE">
        <w:trPr>
          <w:trHeight w:val="273"/>
        </w:trPr>
        <w:tc>
          <w:tcPr>
            <w:tcW w:w="3369" w:type="dxa"/>
            <w:shd w:val="clear" w:color="auto" w:fill="DBE5F1" w:themeFill="accent1" w:themeFillTint="33"/>
          </w:tcPr>
          <w:p w14:paraId="53E182C7" w14:textId="77777777" w:rsidR="0027313F" w:rsidRPr="00E40148" w:rsidRDefault="0027313F" w:rsidP="00E81F52">
            <w:pPr>
              <w:contextualSpacing/>
              <w:rPr>
                <w:rFonts w:cs="Arial"/>
                <w:b/>
                <w:bCs/>
                <w:color w:val="000000" w:themeColor="text1"/>
                <w:sz w:val="22"/>
                <w:szCs w:val="22"/>
              </w:rPr>
            </w:pPr>
            <w:r w:rsidRPr="00E40148">
              <w:rPr>
                <w:rFonts w:cs="Arial"/>
                <w:b/>
                <w:bCs/>
                <w:color w:val="000000" w:themeColor="text1"/>
                <w:sz w:val="22"/>
                <w:szCs w:val="22"/>
              </w:rPr>
              <w:t>Indicator(s)</w:t>
            </w:r>
          </w:p>
        </w:tc>
        <w:tc>
          <w:tcPr>
            <w:tcW w:w="2268" w:type="dxa"/>
            <w:shd w:val="clear" w:color="auto" w:fill="DBE5F1" w:themeFill="accent1" w:themeFillTint="33"/>
          </w:tcPr>
          <w:p w14:paraId="0D62E3F6" w14:textId="77777777" w:rsidR="0027313F" w:rsidRPr="00E40148" w:rsidRDefault="0027313F" w:rsidP="00E81F52">
            <w:pPr>
              <w:contextualSpacing/>
              <w:rPr>
                <w:rFonts w:cs="Arial"/>
                <w:b/>
                <w:bCs/>
                <w:color w:val="000000" w:themeColor="text1"/>
                <w:sz w:val="22"/>
                <w:szCs w:val="22"/>
              </w:rPr>
            </w:pPr>
            <w:r w:rsidRPr="00E40148">
              <w:rPr>
                <w:rFonts w:cs="Arial"/>
                <w:b/>
                <w:bCs/>
                <w:color w:val="000000" w:themeColor="text1"/>
                <w:sz w:val="22"/>
                <w:szCs w:val="22"/>
              </w:rPr>
              <w:t>Milestones</w:t>
            </w:r>
          </w:p>
        </w:tc>
        <w:tc>
          <w:tcPr>
            <w:tcW w:w="4671" w:type="dxa"/>
            <w:shd w:val="clear" w:color="auto" w:fill="DBE5F1" w:themeFill="accent1" w:themeFillTint="33"/>
          </w:tcPr>
          <w:p w14:paraId="25D01BC7" w14:textId="77777777" w:rsidR="0027313F" w:rsidRPr="00E40148" w:rsidRDefault="0027313F" w:rsidP="00E81F52">
            <w:pPr>
              <w:contextualSpacing/>
              <w:rPr>
                <w:rFonts w:cs="Arial"/>
                <w:b/>
                <w:bCs/>
                <w:color w:val="000000" w:themeColor="text1"/>
                <w:sz w:val="22"/>
                <w:szCs w:val="22"/>
              </w:rPr>
            </w:pPr>
            <w:r w:rsidRPr="00E40148">
              <w:rPr>
                <w:rFonts w:cs="Arial"/>
                <w:b/>
                <w:bCs/>
                <w:color w:val="000000" w:themeColor="text1"/>
                <w:sz w:val="22"/>
                <w:szCs w:val="22"/>
              </w:rPr>
              <w:t xml:space="preserve">Progress </w:t>
            </w:r>
          </w:p>
        </w:tc>
      </w:tr>
      <w:tr w:rsidR="00A43BCB" w:rsidRPr="00B77D90" w14:paraId="6FAADC1B" w14:textId="77777777" w:rsidTr="00E30ECE">
        <w:trPr>
          <w:trHeight w:val="1403"/>
        </w:trPr>
        <w:tc>
          <w:tcPr>
            <w:tcW w:w="3369" w:type="dxa"/>
            <w:vAlign w:val="center"/>
          </w:tcPr>
          <w:p w14:paraId="1DB178C2" w14:textId="39C8F7FB" w:rsidR="0027313F" w:rsidRPr="00E40148" w:rsidRDefault="008D3E40" w:rsidP="00D17F5F">
            <w:pPr>
              <w:contextualSpacing/>
              <w:rPr>
                <w:rFonts w:cs="Arial"/>
                <w:bCs/>
                <w:color w:val="000000" w:themeColor="text1"/>
                <w:sz w:val="22"/>
                <w:szCs w:val="22"/>
              </w:rPr>
            </w:pPr>
            <w:r>
              <w:rPr>
                <w:rFonts w:cs="Arial"/>
                <w:bCs/>
                <w:color w:val="000000" w:themeColor="text1"/>
                <w:sz w:val="22"/>
                <w:szCs w:val="22"/>
              </w:rPr>
              <w:t xml:space="preserve">4.1 </w:t>
            </w:r>
            <w:r w:rsidR="00187051">
              <w:rPr>
                <w:rFonts w:cs="Arial"/>
                <w:bCs/>
                <w:color w:val="000000" w:themeColor="text1"/>
                <w:sz w:val="22"/>
                <w:szCs w:val="22"/>
              </w:rPr>
              <w:t xml:space="preserve">Specified project management processes and products are implemented </w:t>
            </w:r>
          </w:p>
        </w:tc>
        <w:tc>
          <w:tcPr>
            <w:tcW w:w="2268" w:type="dxa"/>
            <w:vAlign w:val="center"/>
          </w:tcPr>
          <w:p w14:paraId="2F665C35" w14:textId="0728C4D1" w:rsidR="00DA4AD1" w:rsidRPr="0066694D" w:rsidRDefault="00DA4AD1" w:rsidP="00DA4AD1">
            <w:pPr>
              <w:contextualSpacing/>
              <w:rPr>
                <w:rFonts w:cs="Arial"/>
                <w:color w:val="000000" w:themeColor="text1"/>
                <w:sz w:val="22"/>
                <w:szCs w:val="22"/>
              </w:rPr>
            </w:pPr>
            <w:r w:rsidRPr="0066694D">
              <w:rPr>
                <w:rFonts w:cs="Arial"/>
                <w:color w:val="000000" w:themeColor="text1"/>
                <w:sz w:val="22"/>
                <w:szCs w:val="22"/>
              </w:rPr>
              <w:t>201</w:t>
            </w:r>
            <w:r w:rsidR="00E73C32" w:rsidRPr="0066694D">
              <w:rPr>
                <w:rFonts w:cs="Arial"/>
                <w:color w:val="000000" w:themeColor="text1"/>
                <w:sz w:val="22"/>
                <w:szCs w:val="22"/>
              </w:rPr>
              <w:t>8</w:t>
            </w:r>
            <w:r w:rsidRPr="0066694D">
              <w:rPr>
                <w:rFonts w:cs="Arial"/>
                <w:color w:val="000000" w:themeColor="text1"/>
                <w:sz w:val="22"/>
                <w:szCs w:val="22"/>
              </w:rPr>
              <w:t>:</w:t>
            </w:r>
            <w:r w:rsidR="00C725E2" w:rsidRPr="0066694D">
              <w:rPr>
                <w:rFonts w:cs="Arial"/>
                <w:color w:val="000000" w:themeColor="text1"/>
                <w:sz w:val="22"/>
                <w:szCs w:val="22"/>
              </w:rPr>
              <w:t xml:space="preserve"> yes</w:t>
            </w:r>
          </w:p>
          <w:p w14:paraId="30EC154B" w14:textId="5EF5AC4E" w:rsidR="0066694D" w:rsidRPr="0066694D" w:rsidRDefault="0066694D" w:rsidP="00DA4AD1">
            <w:pPr>
              <w:contextualSpacing/>
              <w:rPr>
                <w:rFonts w:cs="Arial"/>
                <w:color w:val="000000" w:themeColor="text1"/>
                <w:sz w:val="22"/>
                <w:szCs w:val="22"/>
              </w:rPr>
            </w:pPr>
            <w:r w:rsidRPr="0066694D">
              <w:rPr>
                <w:rFonts w:cs="Arial"/>
                <w:color w:val="000000" w:themeColor="text1"/>
                <w:sz w:val="22"/>
                <w:szCs w:val="22"/>
              </w:rPr>
              <w:t>2019:</w:t>
            </w:r>
            <w:r w:rsidR="006B7DEC">
              <w:rPr>
                <w:rFonts w:cs="Arial"/>
                <w:color w:val="000000" w:themeColor="text1"/>
                <w:sz w:val="22"/>
                <w:szCs w:val="22"/>
              </w:rPr>
              <w:t xml:space="preserve"> yes</w:t>
            </w:r>
          </w:p>
          <w:p w14:paraId="7A4AF56C" w14:textId="53A30B0F" w:rsidR="0046360A" w:rsidRPr="00E40148" w:rsidRDefault="00DA4AD1" w:rsidP="00DA4AD1">
            <w:pPr>
              <w:contextualSpacing/>
              <w:rPr>
                <w:rFonts w:cs="Arial"/>
                <w:bCs/>
                <w:color w:val="000000" w:themeColor="text1"/>
                <w:sz w:val="22"/>
                <w:szCs w:val="22"/>
                <w:lang w:val="fr-FR"/>
              </w:rPr>
            </w:pPr>
            <w:r>
              <w:rPr>
                <w:rFonts w:cs="Arial"/>
                <w:bCs/>
                <w:color w:val="000000" w:themeColor="text1"/>
                <w:sz w:val="22"/>
                <w:szCs w:val="22"/>
              </w:rPr>
              <w:t>2025:</w:t>
            </w:r>
            <w:r w:rsidR="00C725E2">
              <w:rPr>
                <w:rFonts w:cs="Arial"/>
                <w:bCs/>
                <w:color w:val="000000" w:themeColor="text1"/>
                <w:sz w:val="22"/>
                <w:szCs w:val="22"/>
              </w:rPr>
              <w:t xml:space="preserve"> yes</w:t>
            </w:r>
          </w:p>
        </w:tc>
        <w:tc>
          <w:tcPr>
            <w:tcW w:w="4671" w:type="dxa"/>
            <w:vAlign w:val="center"/>
          </w:tcPr>
          <w:p w14:paraId="7E8FD9FE" w14:textId="0B10EE39" w:rsidR="00A90CA6" w:rsidRPr="002B7418" w:rsidRDefault="004D3751" w:rsidP="002B7418">
            <w:pPr>
              <w:rPr>
                <w:rFonts w:cs="Arial"/>
                <w:b/>
                <w:bCs/>
                <w:color w:val="000000" w:themeColor="text1"/>
                <w:sz w:val="22"/>
                <w:szCs w:val="22"/>
              </w:rPr>
            </w:pPr>
            <w:r>
              <w:rPr>
                <w:rFonts w:cs="Arial"/>
                <w:b/>
                <w:bCs/>
                <w:color w:val="000000" w:themeColor="text1"/>
                <w:sz w:val="22"/>
                <w:szCs w:val="22"/>
              </w:rPr>
              <w:t xml:space="preserve">Met </w:t>
            </w:r>
            <w:r w:rsidR="002B7418" w:rsidRPr="002B7418">
              <w:rPr>
                <w:rFonts w:cs="Arial"/>
                <w:b/>
                <w:bCs/>
                <w:color w:val="000000" w:themeColor="text1"/>
                <w:sz w:val="22"/>
                <w:szCs w:val="22"/>
              </w:rPr>
              <w:t>expectations</w:t>
            </w:r>
          </w:p>
        </w:tc>
      </w:tr>
      <w:tr w:rsidR="00D84C9F" w:rsidRPr="00B77D90" w14:paraId="58D1F826" w14:textId="77777777" w:rsidTr="00E30ECE">
        <w:trPr>
          <w:trHeight w:val="1286"/>
        </w:trPr>
        <w:tc>
          <w:tcPr>
            <w:tcW w:w="3369" w:type="dxa"/>
            <w:vAlign w:val="center"/>
          </w:tcPr>
          <w:p w14:paraId="6E17D725" w14:textId="58592E75" w:rsidR="0027313F" w:rsidRPr="008D3E40" w:rsidRDefault="008D3E40" w:rsidP="00D17F5F">
            <w:pPr>
              <w:contextualSpacing/>
              <w:rPr>
                <w:rFonts w:cs="Arial"/>
                <w:bCs/>
                <w:color w:val="000000" w:themeColor="text1"/>
                <w:sz w:val="22"/>
                <w:szCs w:val="22"/>
              </w:rPr>
            </w:pPr>
            <w:r>
              <w:rPr>
                <w:rFonts w:cs="Arial"/>
                <w:bCs/>
                <w:color w:val="000000" w:themeColor="text1"/>
                <w:sz w:val="22"/>
                <w:szCs w:val="22"/>
              </w:rPr>
              <w:t xml:space="preserve">4.2 Sufficient resource is made available to manage external </w:t>
            </w:r>
            <w:r w:rsidR="007F4D82">
              <w:rPr>
                <w:rFonts w:cs="Arial"/>
                <w:bCs/>
                <w:color w:val="000000" w:themeColor="text1"/>
                <w:sz w:val="22"/>
                <w:szCs w:val="22"/>
              </w:rPr>
              <w:t>mid-term</w:t>
            </w:r>
            <w:r>
              <w:rPr>
                <w:rFonts w:cs="Arial"/>
                <w:bCs/>
                <w:color w:val="000000" w:themeColor="text1"/>
                <w:sz w:val="22"/>
                <w:szCs w:val="22"/>
              </w:rPr>
              <w:t xml:space="preserve"> and final evaluations; and </w:t>
            </w:r>
            <w:r w:rsidR="009D262D">
              <w:rPr>
                <w:rFonts w:cs="Arial"/>
                <w:bCs/>
                <w:color w:val="000000" w:themeColor="text1"/>
                <w:sz w:val="22"/>
                <w:szCs w:val="22"/>
              </w:rPr>
              <w:t xml:space="preserve">feedback on documents is provided in good time </w:t>
            </w:r>
          </w:p>
        </w:tc>
        <w:tc>
          <w:tcPr>
            <w:tcW w:w="2268" w:type="dxa"/>
            <w:vAlign w:val="center"/>
          </w:tcPr>
          <w:p w14:paraId="0D6040E8" w14:textId="3910ED5B" w:rsidR="00DA4AD1" w:rsidRPr="0066694D" w:rsidRDefault="00DA4AD1" w:rsidP="00DA4AD1">
            <w:pPr>
              <w:contextualSpacing/>
              <w:rPr>
                <w:rFonts w:cs="Arial"/>
                <w:color w:val="000000" w:themeColor="text1"/>
                <w:sz w:val="22"/>
                <w:szCs w:val="22"/>
              </w:rPr>
            </w:pPr>
            <w:r w:rsidRPr="0066694D">
              <w:rPr>
                <w:rFonts w:cs="Arial"/>
                <w:color w:val="000000" w:themeColor="text1"/>
                <w:sz w:val="22"/>
                <w:szCs w:val="22"/>
              </w:rPr>
              <w:t>201</w:t>
            </w:r>
            <w:r w:rsidR="00E73C32" w:rsidRPr="0066694D">
              <w:rPr>
                <w:rFonts w:cs="Arial"/>
                <w:color w:val="000000" w:themeColor="text1"/>
                <w:sz w:val="22"/>
                <w:szCs w:val="22"/>
              </w:rPr>
              <w:t>8</w:t>
            </w:r>
            <w:r w:rsidRPr="0066694D">
              <w:rPr>
                <w:rFonts w:cs="Arial"/>
                <w:color w:val="000000" w:themeColor="text1"/>
                <w:sz w:val="22"/>
                <w:szCs w:val="22"/>
              </w:rPr>
              <w:t>:</w:t>
            </w:r>
            <w:r w:rsidR="005234E9" w:rsidRPr="0066694D">
              <w:rPr>
                <w:rFonts w:cs="Arial"/>
                <w:color w:val="000000" w:themeColor="text1"/>
                <w:sz w:val="22"/>
                <w:szCs w:val="22"/>
              </w:rPr>
              <w:t xml:space="preserve"> yes</w:t>
            </w:r>
          </w:p>
          <w:p w14:paraId="03FAD413" w14:textId="75E9331A" w:rsidR="0066694D" w:rsidRDefault="0066694D" w:rsidP="00DA4AD1">
            <w:pPr>
              <w:contextualSpacing/>
              <w:rPr>
                <w:rFonts w:cs="Arial"/>
                <w:bCs/>
                <w:color w:val="000000" w:themeColor="text1"/>
                <w:sz w:val="22"/>
                <w:szCs w:val="22"/>
              </w:rPr>
            </w:pPr>
            <w:r>
              <w:rPr>
                <w:rFonts w:cs="Arial"/>
                <w:bCs/>
                <w:color w:val="000000" w:themeColor="text1"/>
                <w:sz w:val="22"/>
                <w:szCs w:val="22"/>
              </w:rPr>
              <w:t>2019:</w:t>
            </w:r>
            <w:r w:rsidR="006B7DEC">
              <w:rPr>
                <w:rFonts w:cs="Arial"/>
                <w:bCs/>
                <w:color w:val="000000" w:themeColor="text1"/>
                <w:sz w:val="22"/>
                <w:szCs w:val="22"/>
              </w:rPr>
              <w:t xml:space="preserve"> yes</w:t>
            </w:r>
          </w:p>
          <w:p w14:paraId="68A91253" w14:textId="251DD180" w:rsidR="0046360A" w:rsidRPr="00E40148" w:rsidRDefault="00DA4AD1" w:rsidP="00DA4AD1">
            <w:pPr>
              <w:contextualSpacing/>
              <w:rPr>
                <w:rFonts w:cs="Arial"/>
                <w:bCs/>
                <w:color w:val="000000" w:themeColor="text1"/>
                <w:sz w:val="22"/>
                <w:szCs w:val="22"/>
              </w:rPr>
            </w:pPr>
            <w:r>
              <w:rPr>
                <w:rFonts w:cs="Arial"/>
                <w:bCs/>
                <w:color w:val="000000" w:themeColor="text1"/>
                <w:sz w:val="22"/>
                <w:szCs w:val="22"/>
              </w:rPr>
              <w:t>2025:</w:t>
            </w:r>
            <w:r w:rsidR="005234E9">
              <w:rPr>
                <w:rFonts w:cs="Arial"/>
                <w:bCs/>
                <w:color w:val="000000" w:themeColor="text1"/>
                <w:sz w:val="22"/>
                <w:szCs w:val="22"/>
              </w:rPr>
              <w:t xml:space="preserve"> yes</w:t>
            </w:r>
          </w:p>
        </w:tc>
        <w:tc>
          <w:tcPr>
            <w:tcW w:w="4671" w:type="dxa"/>
            <w:vAlign w:val="center"/>
          </w:tcPr>
          <w:p w14:paraId="20A79A2A" w14:textId="621552A7" w:rsidR="00CE6F1F" w:rsidRPr="00660081" w:rsidRDefault="004D3751" w:rsidP="005720E4">
            <w:pPr>
              <w:contextualSpacing/>
              <w:rPr>
                <w:rFonts w:cs="Arial"/>
                <w:b/>
                <w:bCs/>
                <w:color w:val="000000" w:themeColor="text1"/>
                <w:sz w:val="22"/>
                <w:szCs w:val="22"/>
                <w:lang w:eastAsia="en-GB"/>
              </w:rPr>
            </w:pPr>
            <w:r>
              <w:rPr>
                <w:rFonts w:cs="Arial"/>
                <w:b/>
                <w:bCs/>
                <w:color w:val="000000" w:themeColor="text1"/>
                <w:sz w:val="22"/>
                <w:szCs w:val="22"/>
                <w:lang w:eastAsia="en-GB"/>
              </w:rPr>
              <w:t>Exceeded</w:t>
            </w:r>
            <w:r w:rsidR="006B7DEC">
              <w:rPr>
                <w:rFonts w:cs="Arial"/>
                <w:b/>
                <w:bCs/>
                <w:color w:val="000000" w:themeColor="text1"/>
                <w:sz w:val="22"/>
                <w:szCs w:val="22"/>
                <w:lang w:eastAsia="en-GB"/>
              </w:rPr>
              <w:t xml:space="preserve"> expectations</w:t>
            </w:r>
          </w:p>
        </w:tc>
      </w:tr>
    </w:tbl>
    <w:p w14:paraId="0A29C12B" w14:textId="77777777" w:rsidR="00A947F4" w:rsidRPr="0061246C" w:rsidRDefault="00A947F4" w:rsidP="002E723C">
      <w:pPr>
        <w:pStyle w:val="Heading3"/>
        <w:rPr>
          <w:rFonts w:ascii="Arial" w:hAnsi="Arial" w:cs="Arial"/>
          <w:b w:val="0"/>
          <w:color w:val="000000" w:themeColor="text1"/>
          <w:sz w:val="22"/>
          <w:szCs w:val="22"/>
        </w:rPr>
      </w:pPr>
      <w:r w:rsidRPr="0061246C">
        <w:rPr>
          <w:rFonts w:ascii="Arial" w:hAnsi="Arial" w:cs="Arial"/>
          <w:color w:val="000000" w:themeColor="text1"/>
          <w:sz w:val="22"/>
          <w:szCs w:val="22"/>
        </w:rPr>
        <w:t>Key Points</w:t>
      </w:r>
    </w:p>
    <w:p w14:paraId="7EE44FA8" w14:textId="1A2B1EC3" w:rsidR="002923E1" w:rsidRPr="00EF6166" w:rsidRDefault="002923E1" w:rsidP="00EF6166">
      <w:pPr>
        <w:contextualSpacing/>
        <w:rPr>
          <w:rFonts w:cs="Arial"/>
          <w:bCs/>
          <w:color w:val="000000" w:themeColor="text1"/>
          <w:sz w:val="22"/>
          <w:szCs w:val="22"/>
        </w:rPr>
      </w:pPr>
    </w:p>
    <w:p w14:paraId="7BB99C70" w14:textId="61F99604" w:rsidR="001B2AD6" w:rsidRPr="0095766B" w:rsidRDefault="002B7418" w:rsidP="00512093">
      <w:pPr>
        <w:jc w:val="both"/>
        <w:rPr>
          <w:rFonts w:cs="Arial"/>
          <w:sz w:val="22"/>
          <w:szCs w:val="22"/>
          <w:lang w:val="en-US"/>
        </w:rPr>
      </w:pPr>
      <w:r w:rsidRPr="00D26331">
        <w:rPr>
          <w:rFonts w:cs="Arial"/>
          <w:bCs/>
          <w:color w:val="000000" w:themeColor="text1"/>
          <w:sz w:val="22"/>
          <w:szCs w:val="22"/>
        </w:rPr>
        <w:t xml:space="preserve">Overall, performance for this output </w:t>
      </w:r>
      <w:r>
        <w:rPr>
          <w:rFonts w:cs="Arial"/>
          <w:bCs/>
          <w:color w:val="000000" w:themeColor="text1"/>
          <w:sz w:val="22"/>
          <w:szCs w:val="22"/>
        </w:rPr>
        <w:t xml:space="preserve">slightly exceeded </w:t>
      </w:r>
      <w:r w:rsidRPr="00D26331">
        <w:rPr>
          <w:rFonts w:cs="Arial"/>
          <w:bCs/>
          <w:color w:val="000000" w:themeColor="text1"/>
          <w:sz w:val="22"/>
          <w:szCs w:val="22"/>
        </w:rPr>
        <w:t>expectations.</w:t>
      </w:r>
      <w:r w:rsidR="00C11FFB">
        <w:rPr>
          <w:rFonts w:cs="Arial"/>
          <w:bCs/>
          <w:color w:val="000000" w:themeColor="text1"/>
          <w:sz w:val="22"/>
          <w:szCs w:val="22"/>
        </w:rPr>
        <w:t xml:space="preserve"> </w:t>
      </w:r>
      <w:r w:rsidR="004D3751">
        <w:rPr>
          <w:rFonts w:cs="Arial"/>
          <w:sz w:val="22"/>
          <w:szCs w:val="22"/>
          <w:lang w:val="en-US"/>
        </w:rPr>
        <w:t>T</w:t>
      </w:r>
      <w:r w:rsidR="00B66696">
        <w:rPr>
          <w:rFonts w:cs="Arial"/>
          <w:sz w:val="22"/>
          <w:szCs w:val="22"/>
          <w:lang w:val="en-US"/>
        </w:rPr>
        <w:t xml:space="preserve">he introduction of </w:t>
      </w:r>
      <w:r w:rsidR="00B84E2F">
        <w:rPr>
          <w:rFonts w:cs="Arial"/>
          <w:sz w:val="22"/>
          <w:szCs w:val="22"/>
          <w:lang w:val="en-US"/>
        </w:rPr>
        <w:t xml:space="preserve">two new databases </w:t>
      </w:r>
      <w:r w:rsidR="004D3751">
        <w:rPr>
          <w:rFonts w:cs="Arial"/>
          <w:sz w:val="22"/>
          <w:szCs w:val="22"/>
          <w:lang w:val="en-US"/>
        </w:rPr>
        <w:t xml:space="preserve">in the previous review period </w:t>
      </w:r>
      <w:r w:rsidR="00B84E2F">
        <w:rPr>
          <w:rFonts w:cs="Arial"/>
          <w:sz w:val="22"/>
          <w:szCs w:val="22"/>
          <w:lang w:val="en-US"/>
        </w:rPr>
        <w:t xml:space="preserve">has helped </w:t>
      </w:r>
      <w:r w:rsidR="001B2AD6" w:rsidRPr="00EF6166">
        <w:rPr>
          <w:rFonts w:cs="Arial"/>
          <w:sz w:val="22"/>
          <w:szCs w:val="22"/>
          <w:lang w:val="en-US"/>
        </w:rPr>
        <w:t xml:space="preserve">to </w:t>
      </w:r>
      <w:r w:rsidR="00B84E2F">
        <w:rPr>
          <w:rFonts w:cs="Arial"/>
          <w:sz w:val="22"/>
          <w:szCs w:val="22"/>
          <w:lang w:val="en-US"/>
        </w:rPr>
        <w:t xml:space="preserve">monitor projects more closely during </w:t>
      </w:r>
      <w:r w:rsidR="001B2AD6" w:rsidRPr="00EF6166">
        <w:rPr>
          <w:rFonts w:cs="Arial"/>
          <w:sz w:val="22"/>
          <w:szCs w:val="22"/>
          <w:lang w:val="en-US"/>
        </w:rPr>
        <w:t>implementation phase</w:t>
      </w:r>
      <w:r w:rsidR="0098193B">
        <w:rPr>
          <w:rFonts w:cs="Arial"/>
          <w:sz w:val="22"/>
          <w:szCs w:val="22"/>
          <w:lang w:val="en-US"/>
        </w:rPr>
        <w:t xml:space="preserve"> (4.1)</w:t>
      </w:r>
      <w:r w:rsidR="00837AF3">
        <w:rPr>
          <w:rFonts w:cs="Arial"/>
          <w:sz w:val="22"/>
          <w:szCs w:val="22"/>
          <w:lang w:val="en-US"/>
        </w:rPr>
        <w:t xml:space="preserve">. </w:t>
      </w:r>
      <w:r w:rsidR="004D3751">
        <w:rPr>
          <w:rFonts w:cs="Arial"/>
          <w:sz w:val="22"/>
          <w:szCs w:val="22"/>
          <w:lang w:val="en-US"/>
        </w:rPr>
        <w:t xml:space="preserve">This year the Trustee added two more features to allow for more detailed scenario analysis, and to compare year on year performance. </w:t>
      </w:r>
      <w:r w:rsidR="00E67593">
        <w:rPr>
          <w:rFonts w:cs="Arial"/>
          <w:sz w:val="22"/>
          <w:szCs w:val="22"/>
          <w:lang w:val="en-US"/>
        </w:rPr>
        <w:t>T</w:t>
      </w:r>
      <w:r w:rsidR="006F30C7">
        <w:rPr>
          <w:rFonts w:cs="Arial"/>
          <w:sz w:val="22"/>
          <w:szCs w:val="22"/>
          <w:lang w:val="en-US"/>
        </w:rPr>
        <w:t xml:space="preserve">he Trustee exceeded expectations around the level of resource made available to the </w:t>
      </w:r>
      <w:r w:rsidR="00815BD4">
        <w:rPr>
          <w:rFonts w:cs="Arial"/>
          <w:sz w:val="22"/>
          <w:szCs w:val="22"/>
          <w:lang w:val="en-US"/>
        </w:rPr>
        <w:t>MTE</w:t>
      </w:r>
      <w:r w:rsidR="006F30C7">
        <w:rPr>
          <w:rFonts w:cs="Arial"/>
          <w:sz w:val="22"/>
          <w:szCs w:val="22"/>
          <w:lang w:val="en-US"/>
        </w:rPr>
        <w:t xml:space="preserve">. </w:t>
      </w:r>
      <w:r w:rsidR="00F17689">
        <w:rPr>
          <w:rFonts w:cs="Arial"/>
          <w:sz w:val="22"/>
          <w:szCs w:val="22"/>
          <w:lang w:val="en-US"/>
        </w:rPr>
        <w:t>This included securing access to Ci-Dev and project-level documents</w:t>
      </w:r>
      <w:r w:rsidR="009C623E">
        <w:rPr>
          <w:rFonts w:cs="Arial"/>
          <w:sz w:val="22"/>
          <w:szCs w:val="22"/>
          <w:lang w:val="en-US"/>
        </w:rPr>
        <w:t xml:space="preserve"> and</w:t>
      </w:r>
      <w:r w:rsidR="00F17689">
        <w:rPr>
          <w:rFonts w:cs="Arial"/>
          <w:sz w:val="22"/>
          <w:szCs w:val="22"/>
          <w:lang w:val="en-US"/>
        </w:rPr>
        <w:t xml:space="preserve"> data; providing comments on drafts of the Approach Paper and the final report; arranging an interview schedule and meetings with the fund management team, deal managers and Task Team Leads to support the work; and contracting an independent CDM methodology expert to support the evaluators during field study. </w:t>
      </w:r>
      <w:r w:rsidR="009D2D59">
        <w:rPr>
          <w:rFonts w:cs="Arial"/>
          <w:sz w:val="22"/>
          <w:szCs w:val="22"/>
          <w:lang w:val="en-US"/>
        </w:rPr>
        <w:t xml:space="preserve">Through the review period, </w:t>
      </w:r>
      <w:r w:rsidR="00D17A27">
        <w:rPr>
          <w:rFonts w:cs="Arial"/>
          <w:sz w:val="22"/>
          <w:szCs w:val="22"/>
          <w:lang w:val="en-US"/>
        </w:rPr>
        <w:t xml:space="preserve">the Trustee </w:t>
      </w:r>
      <w:r w:rsidR="00D73B25">
        <w:rPr>
          <w:rFonts w:cs="Arial"/>
          <w:sz w:val="22"/>
          <w:szCs w:val="22"/>
          <w:lang w:val="en-US"/>
        </w:rPr>
        <w:t xml:space="preserve">made additional time </w:t>
      </w:r>
      <w:r w:rsidR="00CF69A1">
        <w:rPr>
          <w:rFonts w:cs="Arial"/>
          <w:sz w:val="22"/>
          <w:szCs w:val="22"/>
          <w:lang w:val="en-US"/>
        </w:rPr>
        <w:t xml:space="preserve">(beyond what was anticipated in agreed project plans) </w:t>
      </w:r>
      <w:r w:rsidR="00D73B25">
        <w:rPr>
          <w:rFonts w:cs="Arial"/>
          <w:sz w:val="22"/>
          <w:szCs w:val="22"/>
          <w:lang w:val="en-US"/>
        </w:rPr>
        <w:t xml:space="preserve">available to </w:t>
      </w:r>
      <w:r w:rsidR="006A2F92">
        <w:rPr>
          <w:rFonts w:cs="Arial"/>
          <w:sz w:val="22"/>
          <w:szCs w:val="22"/>
          <w:lang w:val="en-US"/>
        </w:rPr>
        <w:t>BEIS and LTS to discuss emerging versions of the draft report</w:t>
      </w:r>
      <w:r w:rsidR="003A6D73">
        <w:rPr>
          <w:rFonts w:cs="Arial"/>
          <w:sz w:val="22"/>
          <w:szCs w:val="22"/>
          <w:lang w:val="en-US"/>
        </w:rPr>
        <w:t xml:space="preserve">. Overall, </w:t>
      </w:r>
      <w:r w:rsidR="00A36596">
        <w:rPr>
          <w:rFonts w:cs="Arial"/>
          <w:sz w:val="22"/>
          <w:szCs w:val="22"/>
          <w:lang w:val="en-US"/>
        </w:rPr>
        <w:t xml:space="preserve">a consistently </w:t>
      </w:r>
      <w:r w:rsidR="004D3751">
        <w:rPr>
          <w:rFonts w:cs="Arial"/>
          <w:sz w:val="22"/>
          <w:szCs w:val="22"/>
          <w:lang w:val="en-US"/>
        </w:rPr>
        <w:t xml:space="preserve">high standard </w:t>
      </w:r>
      <w:r w:rsidR="00A36596">
        <w:rPr>
          <w:rFonts w:cs="Arial"/>
          <w:sz w:val="22"/>
          <w:szCs w:val="22"/>
          <w:lang w:val="en-US"/>
        </w:rPr>
        <w:t xml:space="preserve">was met </w:t>
      </w:r>
      <w:r w:rsidR="004D3751">
        <w:rPr>
          <w:rFonts w:cs="Arial"/>
          <w:sz w:val="22"/>
          <w:szCs w:val="22"/>
          <w:lang w:val="en-US"/>
        </w:rPr>
        <w:t xml:space="preserve">over the review period, and </w:t>
      </w:r>
      <w:r w:rsidR="00A36596">
        <w:rPr>
          <w:rFonts w:cs="Arial"/>
          <w:sz w:val="22"/>
          <w:szCs w:val="22"/>
          <w:lang w:val="en-US"/>
        </w:rPr>
        <w:t xml:space="preserve">this </w:t>
      </w:r>
      <w:r w:rsidR="004D3751">
        <w:rPr>
          <w:rFonts w:cs="Arial"/>
          <w:sz w:val="22"/>
          <w:szCs w:val="22"/>
          <w:lang w:val="en-US"/>
        </w:rPr>
        <w:t xml:space="preserve">supports an assessment that expectations were exceeded. </w:t>
      </w:r>
    </w:p>
    <w:p w14:paraId="3189975B" w14:textId="5BFF95D5" w:rsidR="0068662E" w:rsidRDefault="0068662E" w:rsidP="0095766B">
      <w:pPr>
        <w:contextualSpacing/>
        <w:rPr>
          <w:rFonts w:cs="Arial"/>
          <w:bCs/>
          <w:color w:val="000000" w:themeColor="text1"/>
          <w:sz w:val="22"/>
          <w:szCs w:val="22"/>
        </w:rPr>
      </w:pPr>
    </w:p>
    <w:p w14:paraId="3AB91C2F" w14:textId="77777777" w:rsidR="0066694D" w:rsidRPr="00E40148" w:rsidRDefault="0066694D" w:rsidP="0066694D">
      <w:pPr>
        <w:contextualSpacing/>
        <w:rPr>
          <w:rFonts w:cs="Arial"/>
          <w:b/>
          <w:bCs/>
          <w:color w:val="000000" w:themeColor="text1"/>
          <w:sz w:val="22"/>
          <w:szCs w:val="22"/>
        </w:rPr>
      </w:pPr>
      <w:r w:rsidRPr="00AF2A22">
        <w:rPr>
          <w:rFonts w:cs="Arial"/>
          <w:b/>
          <w:bCs/>
          <w:color w:val="000000" w:themeColor="text1"/>
          <w:sz w:val="22"/>
          <w:szCs w:val="22"/>
        </w:rPr>
        <w:t>Summary of responses to issues raised in previous annual reviews (where relevant)</w:t>
      </w:r>
      <w:r w:rsidRPr="00E40148">
        <w:rPr>
          <w:rFonts w:cs="Arial"/>
          <w:b/>
          <w:bCs/>
          <w:color w:val="000000" w:themeColor="text1"/>
          <w:sz w:val="22"/>
          <w:szCs w:val="22"/>
        </w:rPr>
        <w:t xml:space="preserve"> </w:t>
      </w:r>
    </w:p>
    <w:p w14:paraId="7723FD4B" w14:textId="4943FF83" w:rsidR="0066694D" w:rsidRDefault="0066694D" w:rsidP="0095766B">
      <w:pPr>
        <w:contextualSpacing/>
        <w:rPr>
          <w:rFonts w:cs="Arial"/>
          <w:bCs/>
          <w:color w:val="000000" w:themeColor="text1"/>
          <w:sz w:val="22"/>
          <w:szCs w:val="22"/>
        </w:rPr>
      </w:pPr>
    </w:p>
    <w:p w14:paraId="40BB8BB0" w14:textId="056D53E9" w:rsidR="00AF2A22" w:rsidRPr="00AF2A22" w:rsidRDefault="00AF2A22" w:rsidP="00512093">
      <w:pPr>
        <w:numPr>
          <w:ilvl w:val="0"/>
          <w:numId w:val="23"/>
        </w:numPr>
        <w:ind w:left="360" w:firstLine="0"/>
        <w:jc w:val="both"/>
        <w:textAlignment w:val="baseline"/>
        <w:rPr>
          <w:rFonts w:eastAsia="Times New Roman" w:cs="Arial"/>
          <w:sz w:val="22"/>
          <w:szCs w:val="22"/>
          <w:lang w:eastAsia="en-GB"/>
        </w:rPr>
      </w:pPr>
      <w:r w:rsidRPr="00AF2A22">
        <w:rPr>
          <w:rFonts w:eastAsia="Times New Roman" w:cs="Arial"/>
          <w:sz w:val="22"/>
          <w:szCs w:val="22"/>
          <w:lang w:eastAsia="en-GB"/>
        </w:rPr>
        <w:t xml:space="preserve">The </w:t>
      </w:r>
      <w:r w:rsidR="00632C9E">
        <w:rPr>
          <w:rFonts w:eastAsia="Times New Roman" w:cs="Arial"/>
          <w:sz w:val="22"/>
          <w:szCs w:val="22"/>
          <w:lang w:eastAsia="en-GB"/>
        </w:rPr>
        <w:t>Trustee</w:t>
      </w:r>
      <w:r w:rsidRPr="00AF2A22">
        <w:rPr>
          <w:rFonts w:eastAsia="Times New Roman" w:cs="Arial"/>
          <w:sz w:val="22"/>
          <w:szCs w:val="22"/>
          <w:lang w:eastAsia="en-GB"/>
        </w:rPr>
        <w:t xml:space="preserve"> should work with BEIS and the evaluators to help ensure that a robust, independent MTE is completed by end 2019. </w:t>
      </w:r>
      <w:r w:rsidR="00316F4C">
        <w:rPr>
          <w:rFonts w:eastAsia="Times New Roman" w:cs="Arial"/>
          <w:sz w:val="22"/>
          <w:szCs w:val="22"/>
          <w:lang w:eastAsia="en-GB"/>
        </w:rPr>
        <w:t>(</w:t>
      </w:r>
      <w:r w:rsidRPr="00AF2A22">
        <w:rPr>
          <w:rFonts w:eastAsia="Times New Roman" w:cs="Arial"/>
          <w:sz w:val="22"/>
          <w:szCs w:val="22"/>
          <w:lang w:eastAsia="en-GB"/>
        </w:rPr>
        <w:t>through 2019</w:t>
      </w:r>
      <w:r w:rsidR="00316F4C">
        <w:rPr>
          <w:rFonts w:eastAsia="Times New Roman" w:cs="Arial"/>
          <w:sz w:val="22"/>
          <w:szCs w:val="22"/>
          <w:lang w:eastAsia="en-GB"/>
        </w:rPr>
        <w:t>)</w:t>
      </w:r>
      <w:r w:rsidRPr="00AF2A22">
        <w:rPr>
          <w:rFonts w:eastAsia="Times New Roman" w:cs="Arial"/>
          <w:sz w:val="22"/>
          <w:szCs w:val="22"/>
          <w:lang w:eastAsia="en-GB"/>
        </w:rPr>
        <w:t> </w:t>
      </w:r>
    </w:p>
    <w:p w14:paraId="50AE107E" w14:textId="1E1D9C4D" w:rsidR="00AF2A22" w:rsidRDefault="00AF2A22" w:rsidP="0095766B">
      <w:pPr>
        <w:contextualSpacing/>
        <w:rPr>
          <w:rFonts w:cs="Arial"/>
          <w:bCs/>
          <w:color w:val="000000" w:themeColor="text1"/>
          <w:sz w:val="22"/>
          <w:szCs w:val="22"/>
        </w:rPr>
      </w:pPr>
    </w:p>
    <w:p w14:paraId="714EB37B" w14:textId="75247619" w:rsidR="00CF69A1" w:rsidRDefault="00CF69A1" w:rsidP="00CF69A1">
      <w:pPr>
        <w:jc w:val="both"/>
        <w:rPr>
          <w:rFonts w:eastAsia="Times New Roman" w:cs="Arial"/>
          <w:sz w:val="22"/>
          <w:szCs w:val="22"/>
          <w:lang w:eastAsia="en-GB"/>
        </w:rPr>
      </w:pPr>
      <w:r w:rsidRPr="00DA32D6">
        <w:rPr>
          <w:rFonts w:eastAsia="Times New Roman" w:cs="Arial"/>
          <w:b/>
          <w:bCs/>
          <w:sz w:val="22"/>
          <w:szCs w:val="22"/>
          <w:lang w:eastAsia="en-GB"/>
        </w:rPr>
        <w:t>Considered complete</w:t>
      </w:r>
      <w:r>
        <w:rPr>
          <w:rFonts w:eastAsia="Times New Roman" w:cs="Arial"/>
          <w:sz w:val="22"/>
          <w:szCs w:val="22"/>
          <w:lang w:eastAsia="en-GB"/>
        </w:rPr>
        <w:t xml:space="preserve"> – </w:t>
      </w:r>
      <w:r>
        <w:rPr>
          <w:rFonts w:cs="Arial"/>
          <w:bCs/>
          <w:color w:val="000000" w:themeColor="text1"/>
          <w:sz w:val="22"/>
          <w:szCs w:val="22"/>
        </w:rPr>
        <w:t>The Trustee provided excellent support to the evaluators carrying out the second independent evaluation of the programme by arranging timely access to projects and data, scheduling interviews with stakeholders, contracting an independent supporting expert, and commenting on draft plans and reports. A</w:t>
      </w:r>
      <w:r w:rsidR="00987604">
        <w:rPr>
          <w:rFonts w:cs="Arial"/>
          <w:bCs/>
          <w:color w:val="000000" w:themeColor="text1"/>
          <w:sz w:val="22"/>
          <w:szCs w:val="22"/>
        </w:rPr>
        <w:t xml:space="preserve"> final draft of the report is with BEIS for sign off</w:t>
      </w:r>
      <w:r>
        <w:rPr>
          <w:rFonts w:eastAsia="Times New Roman" w:cs="Arial"/>
          <w:sz w:val="22"/>
          <w:szCs w:val="22"/>
          <w:lang w:eastAsia="en-GB"/>
        </w:rPr>
        <w:t xml:space="preserve">. </w:t>
      </w:r>
    </w:p>
    <w:p w14:paraId="7101E8D9" w14:textId="77777777" w:rsidR="00CF69A1" w:rsidRPr="0095766B" w:rsidRDefault="00CF69A1" w:rsidP="0095766B">
      <w:pPr>
        <w:contextualSpacing/>
        <w:rPr>
          <w:rFonts w:cs="Arial"/>
          <w:bCs/>
          <w:color w:val="000000" w:themeColor="text1"/>
          <w:sz w:val="22"/>
          <w:szCs w:val="22"/>
        </w:rPr>
      </w:pPr>
    </w:p>
    <w:p w14:paraId="1FD8A2A9" w14:textId="1E04B11C" w:rsidR="00A947F4" w:rsidRDefault="00A947F4" w:rsidP="002E723C">
      <w:pPr>
        <w:pStyle w:val="Heading3"/>
        <w:rPr>
          <w:rFonts w:ascii="Arial" w:hAnsi="Arial" w:cs="Arial"/>
          <w:color w:val="000000" w:themeColor="text1"/>
          <w:sz w:val="22"/>
          <w:szCs w:val="22"/>
        </w:rPr>
      </w:pPr>
      <w:r w:rsidRPr="00EA4D2A">
        <w:rPr>
          <w:rFonts w:ascii="Arial" w:hAnsi="Arial" w:cs="Arial"/>
          <w:color w:val="000000" w:themeColor="text1"/>
          <w:sz w:val="22"/>
          <w:szCs w:val="22"/>
        </w:rPr>
        <w:t>Recommendations</w:t>
      </w:r>
      <w:r w:rsidR="007B159B" w:rsidRPr="00EA4D2A">
        <w:rPr>
          <w:rFonts w:ascii="Arial" w:hAnsi="Arial" w:cs="Arial"/>
          <w:color w:val="000000" w:themeColor="text1"/>
          <w:sz w:val="22"/>
          <w:szCs w:val="22"/>
        </w:rPr>
        <w:t xml:space="preserve"> from this Annual Review</w:t>
      </w:r>
    </w:p>
    <w:p w14:paraId="54E503C9" w14:textId="6B1728BE" w:rsidR="00E30ECE" w:rsidRDefault="00E30ECE" w:rsidP="00E30ECE"/>
    <w:p w14:paraId="3FF5141A" w14:textId="3DBA5698" w:rsidR="0062752A" w:rsidRDefault="0062752A" w:rsidP="0062752A">
      <w:pPr>
        <w:pStyle w:val="ListParagraph"/>
        <w:numPr>
          <w:ilvl w:val="0"/>
          <w:numId w:val="25"/>
        </w:numPr>
        <w:spacing w:after="60"/>
        <w:ind w:left="714" w:hanging="357"/>
        <w:contextualSpacing w:val="0"/>
        <w:jc w:val="both"/>
        <w:rPr>
          <w:sz w:val="22"/>
          <w:szCs w:val="22"/>
        </w:rPr>
      </w:pPr>
      <w:r w:rsidRPr="00EA4D2A">
        <w:rPr>
          <w:sz w:val="22"/>
          <w:szCs w:val="22"/>
        </w:rPr>
        <w:t>The Trustee and BEIS, with input from LTS (the independent evaluators)</w:t>
      </w:r>
      <w:r>
        <w:rPr>
          <w:sz w:val="22"/>
          <w:szCs w:val="22"/>
        </w:rPr>
        <w:t>,</w:t>
      </w:r>
      <w:r w:rsidRPr="00EA4D2A">
        <w:rPr>
          <w:sz w:val="22"/>
          <w:szCs w:val="22"/>
        </w:rPr>
        <w:t xml:space="preserve"> should agree a response plan to </w:t>
      </w:r>
      <w:r>
        <w:rPr>
          <w:sz w:val="22"/>
          <w:szCs w:val="22"/>
        </w:rPr>
        <w:t xml:space="preserve">the recommendations made by </w:t>
      </w:r>
      <w:r w:rsidRPr="00EA4D2A">
        <w:rPr>
          <w:sz w:val="22"/>
          <w:szCs w:val="22"/>
        </w:rPr>
        <w:t xml:space="preserve">LTS’s </w:t>
      </w:r>
      <w:r>
        <w:rPr>
          <w:sz w:val="22"/>
          <w:szCs w:val="22"/>
        </w:rPr>
        <w:t>mid-term evaluation</w:t>
      </w:r>
      <w:r w:rsidRPr="00EA4D2A">
        <w:rPr>
          <w:sz w:val="22"/>
          <w:szCs w:val="22"/>
        </w:rPr>
        <w:t xml:space="preserve"> of the programme</w:t>
      </w:r>
      <w:r>
        <w:rPr>
          <w:sz w:val="22"/>
          <w:szCs w:val="22"/>
        </w:rPr>
        <w:t>,</w:t>
      </w:r>
      <w:r w:rsidRPr="00EA4D2A" w:rsidDel="00D220E9">
        <w:rPr>
          <w:sz w:val="22"/>
          <w:szCs w:val="22"/>
        </w:rPr>
        <w:t xml:space="preserve"> </w:t>
      </w:r>
      <w:r>
        <w:rPr>
          <w:sz w:val="22"/>
          <w:szCs w:val="22"/>
        </w:rPr>
        <w:t>by the end of September 2020.</w:t>
      </w:r>
    </w:p>
    <w:p w14:paraId="3098CB81" w14:textId="1BCA0925" w:rsidR="008236AA" w:rsidRDefault="008236AA" w:rsidP="0062752A">
      <w:pPr>
        <w:pStyle w:val="ListParagraph"/>
        <w:numPr>
          <w:ilvl w:val="0"/>
          <w:numId w:val="25"/>
        </w:numPr>
        <w:spacing w:after="60"/>
        <w:ind w:left="714" w:hanging="357"/>
        <w:contextualSpacing w:val="0"/>
        <w:jc w:val="both"/>
        <w:rPr>
          <w:sz w:val="22"/>
          <w:szCs w:val="22"/>
        </w:rPr>
      </w:pPr>
      <w:r w:rsidRPr="00EA4D2A">
        <w:rPr>
          <w:sz w:val="22"/>
          <w:szCs w:val="22"/>
        </w:rPr>
        <w:t xml:space="preserve">BEIS and the Trustee should revise and update the logframe impact indicators, </w:t>
      </w:r>
      <w:r>
        <w:rPr>
          <w:sz w:val="22"/>
          <w:szCs w:val="22"/>
        </w:rPr>
        <w:t xml:space="preserve">and its output </w:t>
      </w:r>
      <w:r w:rsidRPr="00EA4D2A">
        <w:rPr>
          <w:sz w:val="22"/>
          <w:szCs w:val="22"/>
        </w:rPr>
        <w:t>targets</w:t>
      </w:r>
      <w:r>
        <w:rPr>
          <w:sz w:val="22"/>
          <w:szCs w:val="22"/>
        </w:rPr>
        <w:t xml:space="preserve"> (including those related to methodological support), with an aim that more of the logframe’s output indicators should assess the quality, and not just number, of outputs, e.g. events and publications, by </w:t>
      </w:r>
      <w:r w:rsidR="00F54144">
        <w:rPr>
          <w:sz w:val="22"/>
          <w:szCs w:val="22"/>
        </w:rPr>
        <w:t>end-August</w:t>
      </w:r>
      <w:r>
        <w:rPr>
          <w:sz w:val="22"/>
          <w:szCs w:val="22"/>
        </w:rPr>
        <w:t>.</w:t>
      </w:r>
    </w:p>
    <w:p w14:paraId="7282E2CD" w14:textId="48E1692A" w:rsidR="00AD218F" w:rsidRDefault="00AD218F" w:rsidP="00E30ECE">
      <w:pPr>
        <w:rPr>
          <w:sz w:val="22"/>
          <w:szCs w:val="22"/>
        </w:rPr>
      </w:pPr>
    </w:p>
    <w:p w14:paraId="0A8C3CB0" w14:textId="4100E9E7" w:rsidR="0066694D" w:rsidRDefault="0066694D" w:rsidP="00E30ECE">
      <w:pPr>
        <w:rPr>
          <w:sz w:val="22"/>
          <w:szCs w:val="22"/>
        </w:rPr>
      </w:pPr>
    </w:p>
    <w:p w14:paraId="1446AA58" w14:textId="0AB46EAB" w:rsidR="000A0748" w:rsidRPr="00383056" w:rsidRDefault="001E30A4" w:rsidP="00383056">
      <w:pPr>
        <w:pStyle w:val="Heading2"/>
        <w:pBdr>
          <w:top w:val="single" w:sz="4" w:space="1" w:color="auto"/>
          <w:left w:val="single" w:sz="4" w:space="4" w:color="auto"/>
          <w:bottom w:val="single" w:sz="4" w:space="0" w:color="auto"/>
          <w:right w:val="single" w:sz="4" w:space="4" w:color="auto"/>
        </w:pBdr>
        <w:shd w:val="clear" w:color="auto" w:fill="DBE5F1" w:themeFill="accent1" w:themeFillTint="33"/>
        <w:spacing w:before="0" w:after="0"/>
        <w:contextualSpacing/>
        <w:rPr>
          <w:b w:val="0"/>
          <w:i w:val="0"/>
          <w:color w:val="000000" w:themeColor="text1"/>
          <w:sz w:val="22"/>
          <w:szCs w:val="22"/>
        </w:rPr>
      </w:pPr>
      <w:r w:rsidRPr="00E40148">
        <w:rPr>
          <w:i w:val="0"/>
          <w:color w:val="000000" w:themeColor="text1"/>
          <w:sz w:val="22"/>
          <w:szCs w:val="22"/>
        </w:rPr>
        <w:t>D</w:t>
      </w:r>
      <w:r w:rsidR="00583E29" w:rsidRPr="00E40148">
        <w:rPr>
          <w:i w:val="0"/>
          <w:color w:val="000000" w:themeColor="text1"/>
          <w:sz w:val="22"/>
          <w:szCs w:val="22"/>
        </w:rPr>
        <w:t>: VALUE FOR MONEY</w:t>
      </w:r>
      <w:r w:rsidR="00767DD8" w:rsidRPr="00E40148">
        <w:rPr>
          <w:i w:val="0"/>
          <w:color w:val="000000" w:themeColor="text1"/>
          <w:sz w:val="22"/>
          <w:szCs w:val="22"/>
        </w:rPr>
        <w:t xml:space="preserve"> &amp; FINANCIAL PERFORMANCE</w:t>
      </w:r>
      <w:r w:rsidR="00F82D5D" w:rsidRPr="00E40148">
        <w:rPr>
          <w:i w:val="0"/>
          <w:color w:val="000000" w:themeColor="text1"/>
          <w:sz w:val="22"/>
          <w:szCs w:val="22"/>
        </w:rPr>
        <w:t xml:space="preserve"> </w:t>
      </w:r>
    </w:p>
    <w:p w14:paraId="18CA8B6A" w14:textId="54478FDD" w:rsidR="007B75F6" w:rsidRDefault="003E56FB" w:rsidP="00E4628C">
      <w:pPr>
        <w:pStyle w:val="Heading3"/>
        <w:rPr>
          <w:rFonts w:ascii="Arial" w:hAnsi="Arial" w:cs="Arial"/>
          <w:color w:val="000000" w:themeColor="text1"/>
          <w:sz w:val="22"/>
          <w:szCs w:val="22"/>
        </w:rPr>
      </w:pPr>
      <w:r w:rsidRPr="0061246C">
        <w:rPr>
          <w:rFonts w:ascii="Arial" w:hAnsi="Arial" w:cs="Arial"/>
          <w:color w:val="000000" w:themeColor="text1"/>
          <w:sz w:val="22"/>
          <w:szCs w:val="22"/>
        </w:rPr>
        <w:t xml:space="preserve">Key cost drivers and performance </w:t>
      </w:r>
    </w:p>
    <w:p w14:paraId="5866EB6C" w14:textId="7F627BC7" w:rsidR="00F73973" w:rsidRDefault="00F73973" w:rsidP="00F73973"/>
    <w:p w14:paraId="00337091" w14:textId="5A674085" w:rsidR="00F73973" w:rsidRPr="00563BD6" w:rsidRDefault="00F73973" w:rsidP="00512093">
      <w:pPr>
        <w:jc w:val="both"/>
        <w:rPr>
          <w:rFonts w:cs="Arial"/>
          <w:sz w:val="22"/>
          <w:szCs w:val="22"/>
        </w:rPr>
      </w:pPr>
      <w:r w:rsidRPr="00563BD6">
        <w:rPr>
          <w:sz w:val="22"/>
          <w:szCs w:val="22"/>
        </w:rPr>
        <w:t>There was no disbursement from the UK towards the Readiness Fund in 2019</w:t>
      </w:r>
      <w:r w:rsidR="007E52C5" w:rsidRPr="00563BD6">
        <w:rPr>
          <w:sz w:val="22"/>
          <w:szCs w:val="22"/>
        </w:rPr>
        <w:t xml:space="preserve">. This was as expected, as the UK </w:t>
      </w:r>
      <w:r w:rsidR="0068001B" w:rsidRPr="00563BD6">
        <w:rPr>
          <w:sz w:val="22"/>
          <w:szCs w:val="22"/>
        </w:rPr>
        <w:t xml:space="preserve">made £1.123m available to the Readiness Fund </w:t>
      </w:r>
      <w:r w:rsidR="00784119" w:rsidRPr="00563BD6">
        <w:rPr>
          <w:sz w:val="22"/>
          <w:szCs w:val="22"/>
        </w:rPr>
        <w:t>in December 2018</w:t>
      </w:r>
      <w:r w:rsidR="00CF69A1">
        <w:rPr>
          <w:sz w:val="22"/>
          <w:szCs w:val="22"/>
        </w:rPr>
        <w:t>, and a further call for Readiness Funds followed just after this review period</w:t>
      </w:r>
      <w:r w:rsidRPr="00563BD6">
        <w:rPr>
          <w:sz w:val="22"/>
          <w:szCs w:val="22"/>
        </w:rPr>
        <w:t xml:space="preserve">. </w:t>
      </w:r>
      <w:r w:rsidR="008F495B" w:rsidRPr="00563BD6">
        <w:rPr>
          <w:sz w:val="22"/>
          <w:szCs w:val="22"/>
        </w:rPr>
        <w:t>UK</w:t>
      </w:r>
      <w:r w:rsidR="00485F27" w:rsidRPr="00563BD6">
        <w:rPr>
          <w:sz w:val="22"/>
          <w:szCs w:val="22"/>
        </w:rPr>
        <w:t xml:space="preserve"> support made available </w:t>
      </w:r>
      <w:r w:rsidRPr="00563BD6">
        <w:rPr>
          <w:rFonts w:cs="Arial"/>
          <w:sz w:val="22"/>
          <w:szCs w:val="22"/>
        </w:rPr>
        <w:t xml:space="preserve">to the Carbon Fund </w:t>
      </w:r>
      <w:r w:rsidR="005544E4" w:rsidRPr="00563BD6">
        <w:rPr>
          <w:rFonts w:cs="Arial"/>
          <w:sz w:val="22"/>
          <w:szCs w:val="22"/>
        </w:rPr>
        <w:t xml:space="preserve">was </w:t>
      </w:r>
      <w:r w:rsidRPr="00563BD6">
        <w:rPr>
          <w:rFonts w:cs="Arial"/>
          <w:sz w:val="22"/>
          <w:szCs w:val="22"/>
        </w:rPr>
        <w:t xml:space="preserve">£165k to cover Trustee expenses </w:t>
      </w:r>
      <w:r w:rsidR="00830A4E" w:rsidRPr="00563BD6">
        <w:rPr>
          <w:rFonts w:cs="Arial"/>
          <w:sz w:val="22"/>
          <w:szCs w:val="22"/>
        </w:rPr>
        <w:t xml:space="preserve">(paid Nov 2019) </w:t>
      </w:r>
      <w:r w:rsidRPr="00563BD6">
        <w:rPr>
          <w:rFonts w:cs="Arial"/>
          <w:sz w:val="22"/>
          <w:szCs w:val="22"/>
        </w:rPr>
        <w:t xml:space="preserve">and £0.88 million to cover </w:t>
      </w:r>
      <w:r w:rsidR="003C74D4" w:rsidRPr="00563BD6">
        <w:rPr>
          <w:rFonts w:cs="Arial"/>
          <w:sz w:val="22"/>
          <w:szCs w:val="22"/>
        </w:rPr>
        <w:t xml:space="preserve">our </w:t>
      </w:r>
      <w:r w:rsidRPr="00563BD6">
        <w:rPr>
          <w:rFonts w:cs="Arial"/>
          <w:sz w:val="22"/>
          <w:szCs w:val="22"/>
        </w:rPr>
        <w:t>pro-rata share of commitments for the Kenya KTDA project</w:t>
      </w:r>
      <w:r w:rsidRPr="00563BD6">
        <w:rPr>
          <w:rStyle w:val="FootnoteReference"/>
          <w:rFonts w:cs="Arial"/>
          <w:sz w:val="22"/>
          <w:szCs w:val="22"/>
        </w:rPr>
        <w:footnoteReference w:id="14"/>
      </w:r>
      <w:r w:rsidR="003C74D4" w:rsidRPr="00563BD6">
        <w:rPr>
          <w:rFonts w:cs="Arial"/>
          <w:sz w:val="22"/>
          <w:szCs w:val="22"/>
        </w:rPr>
        <w:t xml:space="preserve"> (</w:t>
      </w:r>
      <w:r w:rsidR="00985FE8">
        <w:rPr>
          <w:rFonts w:cs="Arial"/>
          <w:sz w:val="22"/>
          <w:szCs w:val="22"/>
        </w:rPr>
        <w:t xml:space="preserve">paid </w:t>
      </w:r>
      <w:r w:rsidR="003C74D4" w:rsidRPr="00563BD6">
        <w:rPr>
          <w:rFonts w:cs="Arial"/>
          <w:sz w:val="22"/>
          <w:szCs w:val="22"/>
        </w:rPr>
        <w:t>Dec 2019)</w:t>
      </w:r>
      <w:r w:rsidRPr="00563BD6">
        <w:rPr>
          <w:rFonts w:cs="Arial"/>
          <w:sz w:val="22"/>
          <w:szCs w:val="22"/>
        </w:rPr>
        <w:t xml:space="preserve">. </w:t>
      </w:r>
    </w:p>
    <w:p w14:paraId="59C6028F" w14:textId="77777777" w:rsidR="003E56FB" w:rsidRPr="00563BD6" w:rsidRDefault="003E6F6D" w:rsidP="00512093">
      <w:pPr>
        <w:pStyle w:val="Heading3"/>
        <w:jc w:val="both"/>
        <w:rPr>
          <w:rFonts w:ascii="Arial" w:hAnsi="Arial" w:cs="Arial"/>
          <w:color w:val="000000" w:themeColor="text1"/>
          <w:sz w:val="22"/>
          <w:szCs w:val="22"/>
        </w:rPr>
      </w:pPr>
      <w:r w:rsidRPr="00563BD6">
        <w:rPr>
          <w:rFonts w:ascii="Arial" w:hAnsi="Arial" w:cs="Arial"/>
          <w:color w:val="000000" w:themeColor="text1"/>
          <w:sz w:val="22"/>
          <w:szCs w:val="22"/>
        </w:rPr>
        <w:t>V</w:t>
      </w:r>
      <w:r w:rsidR="003E56FB" w:rsidRPr="00563BD6">
        <w:rPr>
          <w:rFonts w:ascii="Arial" w:hAnsi="Arial" w:cs="Arial"/>
          <w:color w:val="000000" w:themeColor="text1"/>
          <w:sz w:val="22"/>
          <w:szCs w:val="22"/>
        </w:rPr>
        <w:t xml:space="preserve">fM performance compared to the original VfM proposition in the business case </w:t>
      </w:r>
    </w:p>
    <w:p w14:paraId="1C5D1040" w14:textId="77777777" w:rsidR="003E56FB" w:rsidRPr="00563BD6" w:rsidRDefault="003E56FB" w:rsidP="00512093">
      <w:pPr>
        <w:pStyle w:val="Default"/>
        <w:jc w:val="both"/>
        <w:rPr>
          <w:rFonts w:ascii="Arial" w:hAnsi="Arial" w:cs="Arial"/>
          <w:bCs/>
          <w:color w:val="000000" w:themeColor="text1"/>
          <w:sz w:val="22"/>
          <w:szCs w:val="22"/>
        </w:rPr>
      </w:pPr>
    </w:p>
    <w:p w14:paraId="39453B18" w14:textId="46230EE6" w:rsidR="003E56FB" w:rsidRPr="00563BD6" w:rsidRDefault="00DA3AA7" w:rsidP="00512093">
      <w:pPr>
        <w:pStyle w:val="Heading2"/>
        <w:spacing w:before="0" w:after="0"/>
        <w:jc w:val="both"/>
        <w:rPr>
          <w:b w:val="0"/>
          <w:i w:val="0"/>
          <w:sz w:val="22"/>
          <w:szCs w:val="22"/>
        </w:rPr>
      </w:pPr>
      <w:r w:rsidRPr="00563BD6">
        <w:rPr>
          <w:b w:val="0"/>
          <w:i w:val="0"/>
          <w:sz w:val="22"/>
          <w:szCs w:val="22"/>
        </w:rPr>
        <w:t xml:space="preserve">BEIS assesses vfm using the 4 Es </w:t>
      </w:r>
      <w:r w:rsidR="00BE08B1" w:rsidRPr="00563BD6">
        <w:rPr>
          <w:b w:val="0"/>
          <w:i w:val="0"/>
          <w:sz w:val="22"/>
          <w:szCs w:val="22"/>
        </w:rPr>
        <w:t xml:space="preserve">(Economy, Efficiency, Effectiveness, Equity) </w:t>
      </w:r>
      <w:r w:rsidRPr="00563BD6">
        <w:rPr>
          <w:b w:val="0"/>
          <w:i w:val="0"/>
          <w:sz w:val="22"/>
          <w:szCs w:val="22"/>
        </w:rPr>
        <w:t>approach:</w:t>
      </w:r>
    </w:p>
    <w:p w14:paraId="2FF8EB60" w14:textId="0C0BF575" w:rsidR="003E56FB" w:rsidRPr="00563BD6" w:rsidRDefault="003E56FB" w:rsidP="00512093">
      <w:pPr>
        <w:jc w:val="both"/>
        <w:rPr>
          <w:rFonts w:cs="Arial"/>
          <w:sz w:val="22"/>
          <w:szCs w:val="22"/>
        </w:rPr>
      </w:pPr>
    </w:p>
    <w:p w14:paraId="5B16467D" w14:textId="52B975D8" w:rsidR="00493A49" w:rsidRPr="00563BD6" w:rsidRDefault="00BE08B1" w:rsidP="00512093">
      <w:pPr>
        <w:jc w:val="both"/>
        <w:rPr>
          <w:rFonts w:cs="Arial"/>
          <w:sz w:val="22"/>
          <w:szCs w:val="22"/>
          <w:u w:val="single"/>
        </w:rPr>
      </w:pPr>
      <w:r w:rsidRPr="00563BD6">
        <w:rPr>
          <w:rFonts w:cs="Arial"/>
          <w:sz w:val="22"/>
          <w:szCs w:val="22"/>
          <w:u w:val="single"/>
        </w:rPr>
        <w:t>Economy</w:t>
      </w:r>
      <w:r w:rsidR="00493A49" w:rsidRPr="00563BD6">
        <w:rPr>
          <w:rFonts w:cs="Arial"/>
          <w:sz w:val="22"/>
          <w:szCs w:val="22"/>
          <w:u w:val="single"/>
        </w:rPr>
        <w:t>, or ‘</w:t>
      </w:r>
      <w:r w:rsidR="00241F37" w:rsidRPr="00563BD6">
        <w:rPr>
          <w:rFonts w:cs="Arial"/>
          <w:sz w:val="22"/>
          <w:szCs w:val="22"/>
          <w:u w:val="single"/>
        </w:rPr>
        <w:t>a</w:t>
      </w:r>
      <w:r w:rsidR="00493A49" w:rsidRPr="00563BD6">
        <w:rPr>
          <w:rFonts w:cs="Arial"/>
          <w:sz w:val="22"/>
          <w:szCs w:val="22"/>
          <w:u w:val="single"/>
        </w:rPr>
        <w:t>re we or our agents buying inputs of the appropriate quality at the right price?</w:t>
      </w:r>
      <w:r w:rsidR="00493A49" w:rsidRPr="00563BD6">
        <w:rPr>
          <w:rStyle w:val="FootnoteReference"/>
          <w:rFonts w:cs="Arial"/>
          <w:sz w:val="22"/>
          <w:szCs w:val="22"/>
          <w:u w:val="single"/>
        </w:rPr>
        <w:footnoteReference w:id="15"/>
      </w:r>
      <w:r w:rsidR="00493A49" w:rsidRPr="00563BD6">
        <w:rPr>
          <w:rFonts w:cs="Arial"/>
          <w:sz w:val="22"/>
          <w:szCs w:val="22"/>
          <w:u w:val="single"/>
        </w:rPr>
        <w:t>’</w:t>
      </w:r>
    </w:p>
    <w:p w14:paraId="7505542C" w14:textId="77777777" w:rsidR="00BE08B1" w:rsidRPr="00563BD6" w:rsidRDefault="00BE08B1" w:rsidP="00512093">
      <w:pPr>
        <w:jc w:val="both"/>
        <w:rPr>
          <w:rFonts w:cs="Arial"/>
          <w:sz w:val="22"/>
          <w:szCs w:val="22"/>
        </w:rPr>
      </w:pPr>
    </w:p>
    <w:p w14:paraId="7940716F" w14:textId="49A7BAB5" w:rsidR="00981291" w:rsidRPr="00563BD6" w:rsidRDefault="00E4628C" w:rsidP="00512093">
      <w:pPr>
        <w:pStyle w:val="Heading2"/>
        <w:spacing w:before="0" w:after="0"/>
        <w:jc w:val="both"/>
        <w:rPr>
          <w:b w:val="0"/>
          <w:i w:val="0"/>
          <w:sz w:val="22"/>
          <w:szCs w:val="22"/>
        </w:rPr>
      </w:pPr>
      <w:r w:rsidRPr="00563BD6">
        <w:rPr>
          <w:b w:val="0"/>
          <w:i w:val="0"/>
          <w:sz w:val="22"/>
          <w:szCs w:val="22"/>
        </w:rPr>
        <w:t>13 ERPAs have been signed, at a cumulative project development cost of $3.27m, or £197k per ERPA, or 21% below historic costs in other World Bank carbon funds of £274k. It is also c.27% below the projected £250k project design cost in the UK business case, including CDM validation and registration.</w:t>
      </w:r>
      <w:bookmarkStart w:id="0" w:name="_Hlk994000"/>
      <w:r w:rsidR="00981291" w:rsidRPr="00563BD6">
        <w:rPr>
          <w:b w:val="0"/>
          <w:i w:val="0"/>
          <w:sz w:val="22"/>
          <w:szCs w:val="22"/>
        </w:rPr>
        <w:t xml:space="preserve"> </w:t>
      </w:r>
      <w:r w:rsidR="005A4D7D" w:rsidRPr="00563BD6">
        <w:rPr>
          <w:b w:val="0"/>
          <w:i w:val="0"/>
          <w:sz w:val="22"/>
          <w:szCs w:val="22"/>
        </w:rPr>
        <w:t>Another key measure outlined in the UK business case is the cost of developing new methodologies, estimated a</w:t>
      </w:r>
      <w:r w:rsidR="000C180D" w:rsidRPr="00563BD6">
        <w:rPr>
          <w:b w:val="0"/>
          <w:i w:val="0"/>
          <w:sz w:val="22"/>
          <w:szCs w:val="22"/>
        </w:rPr>
        <w:t>t</w:t>
      </w:r>
      <w:r w:rsidR="005A4D7D" w:rsidRPr="00563BD6">
        <w:rPr>
          <w:b w:val="0"/>
          <w:i w:val="0"/>
          <w:sz w:val="22"/>
          <w:szCs w:val="22"/>
        </w:rPr>
        <w:t xml:space="preserve"> £0.1</w:t>
      </w:r>
      <w:r w:rsidR="003D18D9" w:rsidRPr="00563BD6">
        <w:rPr>
          <w:b w:val="0"/>
          <w:i w:val="0"/>
          <w:sz w:val="22"/>
          <w:szCs w:val="22"/>
        </w:rPr>
        <w:t>m</w:t>
      </w:r>
      <w:r w:rsidR="005A4D7D" w:rsidRPr="00563BD6">
        <w:rPr>
          <w:b w:val="0"/>
          <w:i w:val="0"/>
          <w:sz w:val="22"/>
          <w:szCs w:val="22"/>
        </w:rPr>
        <w:t xml:space="preserve"> for each new methodology. </w:t>
      </w:r>
      <w:r w:rsidR="00981291" w:rsidRPr="00563BD6">
        <w:rPr>
          <w:b w:val="0"/>
          <w:i w:val="0"/>
          <w:sz w:val="22"/>
          <w:szCs w:val="22"/>
        </w:rPr>
        <w:t xml:space="preserve">Actual cost per new methodology is c.£0.04m. </w:t>
      </w:r>
      <w:bookmarkEnd w:id="0"/>
      <w:r w:rsidR="00981291" w:rsidRPr="00563BD6">
        <w:rPr>
          <w:b w:val="0"/>
          <w:i w:val="0"/>
          <w:sz w:val="22"/>
          <w:szCs w:val="22"/>
        </w:rPr>
        <w:t xml:space="preserve">Both these measures indicate good value for money. </w:t>
      </w:r>
    </w:p>
    <w:p w14:paraId="6D16EC7B" w14:textId="77777777" w:rsidR="00981291" w:rsidRPr="00563BD6" w:rsidRDefault="00981291" w:rsidP="00512093">
      <w:pPr>
        <w:jc w:val="both"/>
        <w:rPr>
          <w:sz w:val="22"/>
          <w:szCs w:val="22"/>
        </w:rPr>
      </w:pPr>
    </w:p>
    <w:p w14:paraId="2E37436A" w14:textId="2FEACA78" w:rsidR="007E431C" w:rsidRPr="00563BD6" w:rsidRDefault="00A41451" w:rsidP="00512093">
      <w:pPr>
        <w:jc w:val="both"/>
        <w:rPr>
          <w:rFonts w:cs="Arial"/>
          <w:sz w:val="22"/>
          <w:szCs w:val="22"/>
          <w:u w:val="single"/>
        </w:rPr>
      </w:pPr>
      <w:r w:rsidRPr="00563BD6">
        <w:rPr>
          <w:rFonts w:cs="Arial"/>
          <w:sz w:val="22"/>
          <w:szCs w:val="22"/>
          <w:u w:val="single"/>
        </w:rPr>
        <w:t xml:space="preserve">Efficiency </w:t>
      </w:r>
      <w:r w:rsidR="007E431C" w:rsidRPr="00563BD6">
        <w:rPr>
          <w:rFonts w:cs="Arial"/>
          <w:b/>
          <w:sz w:val="22"/>
          <w:szCs w:val="22"/>
          <w:u w:val="single"/>
        </w:rPr>
        <w:t>– ‘</w:t>
      </w:r>
      <w:r w:rsidR="00241F37" w:rsidRPr="00563BD6">
        <w:rPr>
          <w:rFonts w:cs="Arial"/>
          <w:sz w:val="22"/>
          <w:szCs w:val="22"/>
          <w:u w:val="single"/>
        </w:rPr>
        <w:t>h</w:t>
      </w:r>
      <w:r w:rsidR="007E431C" w:rsidRPr="00563BD6">
        <w:rPr>
          <w:rFonts w:cs="Arial"/>
          <w:sz w:val="22"/>
          <w:szCs w:val="22"/>
          <w:u w:val="single"/>
        </w:rPr>
        <w:t xml:space="preserve">ow well do we or our agents convert inputs into outputs?’ </w:t>
      </w:r>
    </w:p>
    <w:p w14:paraId="031BCA8B" w14:textId="77777777" w:rsidR="00F960FC" w:rsidRPr="00563BD6" w:rsidRDefault="00F960FC" w:rsidP="00512093">
      <w:pPr>
        <w:pStyle w:val="Heading2"/>
        <w:spacing w:before="0" w:after="0"/>
        <w:jc w:val="both"/>
        <w:rPr>
          <w:b w:val="0"/>
          <w:i w:val="0"/>
          <w:sz w:val="22"/>
          <w:szCs w:val="22"/>
        </w:rPr>
      </w:pPr>
    </w:p>
    <w:p w14:paraId="4F87D3C6" w14:textId="04A8656A" w:rsidR="00C94223" w:rsidRPr="00563BD6" w:rsidRDefault="00A41451" w:rsidP="00512093">
      <w:pPr>
        <w:pStyle w:val="Heading2"/>
        <w:spacing w:before="0" w:after="0"/>
        <w:jc w:val="both"/>
        <w:rPr>
          <w:b w:val="0"/>
          <w:i w:val="0"/>
          <w:sz w:val="22"/>
          <w:szCs w:val="22"/>
        </w:rPr>
      </w:pPr>
      <w:r w:rsidRPr="00563BD6">
        <w:rPr>
          <w:b w:val="0"/>
          <w:i w:val="0"/>
          <w:sz w:val="22"/>
          <w:szCs w:val="22"/>
        </w:rPr>
        <w:t xml:space="preserve">The key input-to-output measure adopted in the business case is </w:t>
      </w:r>
      <w:r w:rsidR="003D18D9" w:rsidRPr="00563BD6">
        <w:rPr>
          <w:b w:val="0"/>
          <w:i w:val="0"/>
          <w:sz w:val="22"/>
          <w:szCs w:val="22"/>
        </w:rPr>
        <w:t>the</w:t>
      </w:r>
      <w:r w:rsidRPr="00563BD6">
        <w:rPr>
          <w:b w:val="0"/>
          <w:i w:val="0"/>
          <w:sz w:val="22"/>
          <w:szCs w:val="22"/>
        </w:rPr>
        <w:t xml:space="preserve"> ratio of skills building costs to volume of CERs generated (“cost per ton”). The business case then sets targets of</w:t>
      </w:r>
      <w:r w:rsidR="00C94223" w:rsidRPr="00563BD6">
        <w:rPr>
          <w:b w:val="0"/>
          <w:i w:val="0"/>
          <w:sz w:val="22"/>
          <w:szCs w:val="22"/>
        </w:rPr>
        <w:t>:</w:t>
      </w:r>
    </w:p>
    <w:p w14:paraId="29C52678" w14:textId="4EC3FB2D" w:rsidR="00C94223" w:rsidRPr="00563BD6" w:rsidRDefault="00AA7300" w:rsidP="00512093">
      <w:pPr>
        <w:pStyle w:val="Heading2"/>
        <w:spacing w:before="0" w:after="0"/>
        <w:jc w:val="both"/>
        <w:rPr>
          <w:b w:val="0"/>
          <w:i w:val="0"/>
          <w:sz w:val="22"/>
          <w:szCs w:val="22"/>
        </w:rPr>
      </w:pPr>
      <w:r w:rsidRPr="00563BD6">
        <w:rPr>
          <w:b w:val="0"/>
          <w:i w:val="0"/>
          <w:sz w:val="22"/>
          <w:szCs w:val="22"/>
        </w:rPr>
        <w:t xml:space="preserve"> </w:t>
      </w:r>
    </w:p>
    <w:p w14:paraId="6937E23F" w14:textId="119CC156" w:rsidR="00C94223" w:rsidRPr="00563BD6" w:rsidRDefault="00AA7300" w:rsidP="00512093">
      <w:pPr>
        <w:pStyle w:val="Heading2"/>
        <w:spacing w:before="0" w:after="0"/>
        <w:jc w:val="both"/>
        <w:rPr>
          <w:b w:val="0"/>
          <w:i w:val="0"/>
          <w:sz w:val="22"/>
          <w:szCs w:val="22"/>
        </w:rPr>
      </w:pPr>
      <w:r w:rsidRPr="00563BD6">
        <w:rPr>
          <w:b w:val="0"/>
          <w:i w:val="0"/>
          <w:sz w:val="22"/>
          <w:szCs w:val="22"/>
        </w:rPr>
        <w:t>1)</w:t>
      </w:r>
      <w:r w:rsidR="00A41451" w:rsidRPr="00563BD6">
        <w:rPr>
          <w:b w:val="0"/>
          <w:i w:val="0"/>
          <w:sz w:val="22"/>
          <w:szCs w:val="22"/>
        </w:rPr>
        <w:t xml:space="preserve"> $2.57 (£1.6</w:t>
      </w:r>
      <w:r w:rsidR="004F568C" w:rsidRPr="00563BD6">
        <w:rPr>
          <w:b w:val="0"/>
          <w:i w:val="0"/>
          <w:sz w:val="22"/>
          <w:szCs w:val="22"/>
        </w:rPr>
        <w:t>0</w:t>
      </w:r>
      <w:r w:rsidR="00A41451" w:rsidRPr="00563BD6">
        <w:rPr>
          <w:rStyle w:val="FootnoteReference"/>
          <w:b w:val="0"/>
          <w:i w:val="0"/>
          <w:sz w:val="22"/>
          <w:szCs w:val="22"/>
        </w:rPr>
        <w:footnoteReference w:id="16"/>
      </w:r>
      <w:r w:rsidR="00A41451" w:rsidRPr="00563BD6">
        <w:rPr>
          <w:b w:val="0"/>
          <w:i w:val="0"/>
          <w:sz w:val="22"/>
          <w:szCs w:val="22"/>
        </w:rPr>
        <w:t>) per CER for direct project development costs</w:t>
      </w:r>
      <w:r w:rsidR="00A41451" w:rsidRPr="00563BD6">
        <w:rPr>
          <w:rStyle w:val="FootnoteReference"/>
          <w:b w:val="0"/>
          <w:i w:val="0"/>
          <w:sz w:val="22"/>
          <w:szCs w:val="22"/>
        </w:rPr>
        <w:footnoteReference w:id="17"/>
      </w:r>
      <w:r w:rsidR="00A41451" w:rsidRPr="00563BD6">
        <w:rPr>
          <w:b w:val="0"/>
          <w:i w:val="0"/>
          <w:sz w:val="22"/>
          <w:szCs w:val="22"/>
        </w:rPr>
        <w:t>, and</w:t>
      </w:r>
      <w:r w:rsidRPr="00563BD6">
        <w:rPr>
          <w:b w:val="0"/>
          <w:i w:val="0"/>
          <w:sz w:val="22"/>
          <w:szCs w:val="22"/>
        </w:rPr>
        <w:t xml:space="preserve"> </w:t>
      </w:r>
    </w:p>
    <w:p w14:paraId="24498071" w14:textId="45B1B6A4" w:rsidR="00C94223" w:rsidRPr="00563BD6" w:rsidRDefault="00AA7300" w:rsidP="00512093">
      <w:pPr>
        <w:pStyle w:val="Heading2"/>
        <w:spacing w:before="0" w:after="0"/>
        <w:jc w:val="both"/>
        <w:rPr>
          <w:b w:val="0"/>
          <w:i w:val="0"/>
          <w:sz w:val="22"/>
          <w:szCs w:val="22"/>
        </w:rPr>
      </w:pPr>
      <w:r w:rsidRPr="00563BD6">
        <w:rPr>
          <w:b w:val="0"/>
          <w:i w:val="0"/>
          <w:sz w:val="22"/>
          <w:szCs w:val="22"/>
        </w:rPr>
        <w:t>2)</w:t>
      </w:r>
      <w:r w:rsidR="00A41451" w:rsidRPr="00563BD6">
        <w:rPr>
          <w:b w:val="0"/>
          <w:i w:val="0"/>
          <w:sz w:val="22"/>
          <w:szCs w:val="22"/>
        </w:rPr>
        <w:t xml:space="preserve"> $4.50 (£2.8</w:t>
      </w:r>
      <w:r w:rsidR="004F568C" w:rsidRPr="00563BD6">
        <w:rPr>
          <w:b w:val="0"/>
          <w:i w:val="0"/>
          <w:sz w:val="22"/>
          <w:szCs w:val="22"/>
        </w:rPr>
        <w:t>0</w:t>
      </w:r>
      <w:r w:rsidR="00A41451" w:rsidRPr="00563BD6">
        <w:rPr>
          <w:b w:val="0"/>
          <w:i w:val="0"/>
          <w:sz w:val="22"/>
          <w:szCs w:val="22"/>
        </w:rPr>
        <w:t>) per CER for all costs</w:t>
      </w:r>
      <w:r w:rsidR="00A41451" w:rsidRPr="00563BD6">
        <w:rPr>
          <w:rStyle w:val="FootnoteReference"/>
          <w:b w:val="0"/>
          <w:i w:val="0"/>
          <w:sz w:val="22"/>
          <w:szCs w:val="22"/>
        </w:rPr>
        <w:footnoteReference w:id="18"/>
      </w:r>
      <w:r w:rsidR="00A41451" w:rsidRPr="00563BD6">
        <w:rPr>
          <w:b w:val="0"/>
          <w:i w:val="0"/>
          <w:sz w:val="22"/>
          <w:szCs w:val="22"/>
        </w:rPr>
        <w:t xml:space="preserve">. </w:t>
      </w:r>
    </w:p>
    <w:p w14:paraId="03C9DBEA" w14:textId="77777777" w:rsidR="00C94223" w:rsidRPr="00563BD6" w:rsidRDefault="00C94223" w:rsidP="00512093">
      <w:pPr>
        <w:pStyle w:val="Heading2"/>
        <w:spacing w:before="0" w:after="0"/>
        <w:jc w:val="both"/>
        <w:rPr>
          <w:b w:val="0"/>
          <w:i w:val="0"/>
          <w:sz w:val="22"/>
          <w:szCs w:val="22"/>
        </w:rPr>
      </w:pPr>
    </w:p>
    <w:p w14:paraId="0A07A942" w14:textId="2C6BBE2F" w:rsidR="00A41451" w:rsidRPr="00563BD6" w:rsidRDefault="00246DF0" w:rsidP="00512093">
      <w:pPr>
        <w:jc w:val="both"/>
        <w:rPr>
          <w:rFonts w:cs="Arial"/>
          <w:bCs/>
          <w:iCs/>
          <w:sz w:val="22"/>
          <w:szCs w:val="22"/>
        </w:rPr>
      </w:pPr>
      <w:r w:rsidRPr="00563BD6">
        <w:rPr>
          <w:rFonts w:cs="Arial"/>
          <w:sz w:val="22"/>
          <w:szCs w:val="22"/>
        </w:rPr>
        <w:t xml:space="preserve">Latest data from the Trustee indicates that the projected cost for the former is $2.77; and $6.3 for the latter. This excludes abatement </w:t>
      </w:r>
      <w:r w:rsidR="00F73973" w:rsidRPr="00563BD6">
        <w:rPr>
          <w:rFonts w:cs="Arial"/>
          <w:sz w:val="22"/>
          <w:szCs w:val="22"/>
        </w:rPr>
        <w:t xml:space="preserve">that was previously expected from Simgas and Delagua. If and when replacement projects are taken forward, it is likely that unit costs will decrease in time. </w:t>
      </w:r>
    </w:p>
    <w:p w14:paraId="4B7F016F" w14:textId="77777777" w:rsidR="008A4215" w:rsidRPr="00563BD6" w:rsidRDefault="008A4215" w:rsidP="00512093">
      <w:pPr>
        <w:jc w:val="both"/>
        <w:rPr>
          <w:sz w:val="22"/>
          <w:szCs w:val="22"/>
        </w:rPr>
      </w:pPr>
    </w:p>
    <w:p w14:paraId="62F4FB40" w14:textId="5D661FC1" w:rsidR="00A41451" w:rsidRPr="00563BD6" w:rsidRDefault="00A41451" w:rsidP="00512093">
      <w:pPr>
        <w:pStyle w:val="Heading2"/>
        <w:spacing w:before="0" w:after="0"/>
        <w:jc w:val="both"/>
        <w:rPr>
          <w:b w:val="0"/>
          <w:i w:val="0"/>
          <w:sz w:val="22"/>
          <w:szCs w:val="22"/>
          <w:u w:val="single"/>
        </w:rPr>
      </w:pPr>
      <w:r w:rsidRPr="00563BD6">
        <w:rPr>
          <w:b w:val="0"/>
          <w:i w:val="0"/>
          <w:sz w:val="22"/>
          <w:szCs w:val="22"/>
          <w:u w:val="single"/>
        </w:rPr>
        <w:t>Effectiveness</w:t>
      </w:r>
      <w:r w:rsidR="005A60B1" w:rsidRPr="00563BD6">
        <w:rPr>
          <w:b w:val="0"/>
          <w:i w:val="0"/>
          <w:sz w:val="22"/>
          <w:szCs w:val="22"/>
          <w:u w:val="single"/>
        </w:rPr>
        <w:t xml:space="preserve"> - ‘</w:t>
      </w:r>
      <w:r w:rsidR="00241F37" w:rsidRPr="00563BD6">
        <w:rPr>
          <w:b w:val="0"/>
          <w:i w:val="0"/>
          <w:sz w:val="22"/>
          <w:szCs w:val="22"/>
          <w:u w:val="single"/>
        </w:rPr>
        <w:t>h</w:t>
      </w:r>
      <w:r w:rsidR="005A60B1" w:rsidRPr="00563BD6">
        <w:rPr>
          <w:b w:val="0"/>
          <w:i w:val="0"/>
          <w:sz w:val="22"/>
          <w:szCs w:val="22"/>
          <w:u w:val="single"/>
        </w:rPr>
        <w:t>ow well are the outputs from an intervention achieving the intended effect?’</w:t>
      </w:r>
    </w:p>
    <w:p w14:paraId="3B73BEDE" w14:textId="77777777" w:rsidR="005A60B1" w:rsidRPr="00563BD6" w:rsidRDefault="005A60B1" w:rsidP="00512093">
      <w:pPr>
        <w:jc w:val="both"/>
        <w:rPr>
          <w:sz w:val="22"/>
          <w:szCs w:val="22"/>
        </w:rPr>
      </w:pPr>
    </w:p>
    <w:p w14:paraId="6B57C1E1" w14:textId="651F112A" w:rsidR="00A41451" w:rsidRPr="00563BD6" w:rsidRDefault="00B035E4" w:rsidP="00512093">
      <w:pPr>
        <w:pStyle w:val="Heading2"/>
        <w:spacing w:before="0" w:after="0"/>
        <w:jc w:val="both"/>
        <w:rPr>
          <w:b w:val="0"/>
          <w:i w:val="0"/>
          <w:sz w:val="22"/>
          <w:szCs w:val="22"/>
        </w:rPr>
      </w:pPr>
      <w:r w:rsidRPr="00563BD6">
        <w:rPr>
          <w:b w:val="0"/>
          <w:i w:val="0"/>
          <w:sz w:val="22"/>
          <w:szCs w:val="22"/>
        </w:rPr>
        <w:t xml:space="preserve">Carbon unit price is a key output-to-outcome measure. </w:t>
      </w:r>
      <w:r w:rsidR="00A41451" w:rsidRPr="00563BD6">
        <w:rPr>
          <w:b w:val="0"/>
          <w:i w:val="0"/>
          <w:sz w:val="22"/>
          <w:szCs w:val="22"/>
        </w:rPr>
        <w:t xml:space="preserve">Although no carbon price benchmark was defined in the business case itself, a price range of €4 to €10 was agreed with the Trustee and </w:t>
      </w:r>
      <w:r w:rsidR="00F77245">
        <w:rPr>
          <w:b w:val="0"/>
          <w:i w:val="0"/>
          <w:sz w:val="22"/>
          <w:szCs w:val="22"/>
        </w:rPr>
        <w:t>Contributors</w:t>
      </w:r>
      <w:r w:rsidR="00A41451" w:rsidRPr="00563BD6">
        <w:rPr>
          <w:b w:val="0"/>
          <w:i w:val="0"/>
          <w:sz w:val="22"/>
          <w:szCs w:val="22"/>
        </w:rPr>
        <w:t>. Using the USD:EUR exchange rate on April 1, 2014 (the date the fund became operational), the target unit price</w:t>
      </w:r>
      <w:r w:rsidR="00C3635A">
        <w:rPr>
          <w:b w:val="0"/>
          <w:i w:val="0"/>
          <w:sz w:val="22"/>
          <w:szCs w:val="22"/>
        </w:rPr>
        <w:t xml:space="preserve"> </w:t>
      </w:r>
      <w:r w:rsidR="00A41451" w:rsidRPr="00563BD6">
        <w:rPr>
          <w:b w:val="0"/>
          <w:i w:val="0"/>
          <w:sz w:val="22"/>
          <w:szCs w:val="22"/>
        </w:rPr>
        <w:lastRenderedPageBreak/>
        <w:t>range for the fund is $5.52 – $13.79. The current weighted average price per CER of 1</w:t>
      </w:r>
      <w:r w:rsidR="00F73973" w:rsidRPr="00563BD6">
        <w:rPr>
          <w:b w:val="0"/>
          <w:i w:val="0"/>
          <w:sz w:val="22"/>
          <w:szCs w:val="22"/>
        </w:rPr>
        <w:t>2</w:t>
      </w:r>
      <w:r w:rsidR="00A41451" w:rsidRPr="00563BD6">
        <w:rPr>
          <w:b w:val="0"/>
          <w:i w:val="0"/>
          <w:sz w:val="22"/>
          <w:szCs w:val="22"/>
        </w:rPr>
        <w:t xml:space="preserve"> signed ERPAs </w:t>
      </w:r>
      <w:r w:rsidR="00F73973" w:rsidRPr="00563BD6">
        <w:rPr>
          <w:b w:val="0"/>
          <w:i w:val="0"/>
          <w:sz w:val="22"/>
          <w:szCs w:val="22"/>
        </w:rPr>
        <w:t xml:space="preserve">(excluding Lao PDR which the UK did not sign) </w:t>
      </w:r>
      <w:r w:rsidR="00A41451" w:rsidRPr="00563BD6">
        <w:rPr>
          <w:b w:val="0"/>
          <w:i w:val="0"/>
          <w:sz w:val="22"/>
          <w:szCs w:val="22"/>
        </w:rPr>
        <w:t>is $9.</w:t>
      </w:r>
      <w:r w:rsidR="00F73973" w:rsidRPr="00563BD6">
        <w:rPr>
          <w:b w:val="0"/>
          <w:i w:val="0"/>
          <w:sz w:val="22"/>
          <w:szCs w:val="22"/>
        </w:rPr>
        <w:t>77.</w:t>
      </w:r>
    </w:p>
    <w:p w14:paraId="22C6D661" w14:textId="77777777" w:rsidR="00BF4DD2" w:rsidRPr="00563BD6" w:rsidRDefault="00BF4DD2" w:rsidP="000070D7">
      <w:pPr>
        <w:pStyle w:val="Heading2"/>
        <w:spacing w:before="0" w:after="0"/>
        <w:rPr>
          <w:b w:val="0"/>
          <w:sz w:val="22"/>
          <w:szCs w:val="22"/>
          <w:u w:val="single"/>
        </w:rPr>
      </w:pPr>
    </w:p>
    <w:p w14:paraId="20B5C9B4" w14:textId="148BB1C7" w:rsidR="00A41451" w:rsidRPr="00563BD6" w:rsidRDefault="00A41451" w:rsidP="000070D7">
      <w:pPr>
        <w:pStyle w:val="Heading2"/>
        <w:spacing w:before="0" w:after="0"/>
        <w:rPr>
          <w:b w:val="0"/>
          <w:i w:val="0"/>
          <w:sz w:val="22"/>
          <w:szCs w:val="22"/>
          <w:u w:val="single"/>
        </w:rPr>
      </w:pPr>
      <w:r w:rsidRPr="00563BD6">
        <w:rPr>
          <w:b w:val="0"/>
          <w:i w:val="0"/>
          <w:sz w:val="22"/>
          <w:szCs w:val="22"/>
          <w:u w:val="single"/>
        </w:rPr>
        <w:t xml:space="preserve">Equity </w:t>
      </w:r>
      <w:r w:rsidR="005401C9" w:rsidRPr="00563BD6">
        <w:rPr>
          <w:b w:val="0"/>
          <w:i w:val="0"/>
          <w:sz w:val="22"/>
          <w:szCs w:val="22"/>
          <w:u w:val="single"/>
        </w:rPr>
        <w:t xml:space="preserve">– </w:t>
      </w:r>
      <w:r w:rsidR="006B6B09" w:rsidRPr="00563BD6">
        <w:rPr>
          <w:b w:val="0"/>
          <w:i w:val="0"/>
          <w:sz w:val="22"/>
          <w:szCs w:val="22"/>
          <w:u w:val="single"/>
        </w:rPr>
        <w:t>‘a</w:t>
      </w:r>
      <w:r w:rsidR="005401C9" w:rsidRPr="00563BD6">
        <w:rPr>
          <w:b w:val="0"/>
          <w:i w:val="0"/>
          <w:sz w:val="22"/>
          <w:szCs w:val="22"/>
          <w:u w:val="single"/>
        </w:rPr>
        <w:t>re our development results targeted at the poorest?</w:t>
      </w:r>
      <w:r w:rsidR="006B6B09" w:rsidRPr="00563BD6">
        <w:rPr>
          <w:b w:val="0"/>
          <w:i w:val="0"/>
          <w:sz w:val="22"/>
          <w:szCs w:val="22"/>
          <w:u w:val="single"/>
        </w:rPr>
        <w:t>’</w:t>
      </w:r>
    </w:p>
    <w:p w14:paraId="473B802C" w14:textId="77777777" w:rsidR="00BF4DD2" w:rsidRPr="00563BD6" w:rsidRDefault="00BF4DD2" w:rsidP="000070D7">
      <w:pPr>
        <w:pStyle w:val="Heading2"/>
        <w:spacing w:before="0" w:after="0"/>
        <w:rPr>
          <w:b w:val="0"/>
          <w:i w:val="0"/>
          <w:sz w:val="22"/>
          <w:szCs w:val="22"/>
        </w:rPr>
      </w:pPr>
    </w:p>
    <w:p w14:paraId="42F235AE" w14:textId="60394AC5" w:rsidR="008E43E3" w:rsidRPr="00563BD6" w:rsidRDefault="00A41451" w:rsidP="00640669">
      <w:pPr>
        <w:pStyle w:val="Heading2"/>
        <w:spacing w:before="0" w:after="0"/>
        <w:jc w:val="both"/>
        <w:rPr>
          <w:b w:val="0"/>
          <w:i w:val="0"/>
          <w:sz w:val="22"/>
          <w:szCs w:val="22"/>
        </w:rPr>
      </w:pPr>
      <w:r w:rsidRPr="00563BD6">
        <w:rPr>
          <w:b w:val="0"/>
          <w:i w:val="0"/>
          <w:sz w:val="22"/>
          <w:szCs w:val="22"/>
        </w:rPr>
        <w:t>Equity refers to the extent to which Ci-Dev reaches the underserved population. Equity is the essential theme embedded in the Ci-Dev programs. All 1</w:t>
      </w:r>
      <w:r w:rsidR="00F73973" w:rsidRPr="00563BD6">
        <w:rPr>
          <w:b w:val="0"/>
          <w:i w:val="0"/>
          <w:sz w:val="22"/>
          <w:szCs w:val="22"/>
        </w:rPr>
        <w:t>3</w:t>
      </w:r>
      <w:r w:rsidRPr="00563BD6">
        <w:rPr>
          <w:b w:val="0"/>
          <w:i w:val="0"/>
          <w:sz w:val="22"/>
          <w:szCs w:val="22"/>
        </w:rPr>
        <w:t xml:space="preserve"> projects are located in LICs, of which </w:t>
      </w:r>
      <w:r w:rsidR="00F73973" w:rsidRPr="00563BD6">
        <w:rPr>
          <w:b w:val="0"/>
          <w:i w:val="0"/>
          <w:sz w:val="22"/>
          <w:szCs w:val="22"/>
        </w:rPr>
        <w:t>ten</w:t>
      </w:r>
      <w:r w:rsidRPr="00563BD6">
        <w:rPr>
          <w:b w:val="0"/>
          <w:i w:val="0"/>
          <w:sz w:val="22"/>
          <w:szCs w:val="22"/>
        </w:rPr>
        <w:t xml:space="preserve"> are in LDCs</w:t>
      </w:r>
      <w:r w:rsidR="00F73973" w:rsidRPr="00563BD6">
        <w:rPr>
          <w:b w:val="0"/>
          <w:i w:val="0"/>
          <w:sz w:val="22"/>
          <w:szCs w:val="22"/>
        </w:rPr>
        <w:t xml:space="preserve">. The </w:t>
      </w:r>
      <w:r w:rsidRPr="00563BD6">
        <w:rPr>
          <w:b w:val="0"/>
          <w:i w:val="0"/>
          <w:sz w:val="22"/>
          <w:szCs w:val="22"/>
        </w:rPr>
        <w:t>project selection criteria included in the Carbon Fund Instrument and the Carbon Fund participation agreements called for 75% of projects to be found in LDCs, a target that the portfolio has met.</w:t>
      </w:r>
    </w:p>
    <w:p w14:paraId="2A012DAA" w14:textId="3291C4FF" w:rsidR="008E43E3" w:rsidRPr="00563BD6" w:rsidRDefault="008E43E3" w:rsidP="00640669">
      <w:pPr>
        <w:pStyle w:val="Heading2"/>
        <w:spacing w:before="0" w:after="0"/>
        <w:jc w:val="both"/>
        <w:rPr>
          <w:b w:val="0"/>
          <w:i w:val="0"/>
          <w:sz w:val="22"/>
          <w:szCs w:val="22"/>
        </w:rPr>
      </w:pPr>
    </w:p>
    <w:p w14:paraId="1D3F3977" w14:textId="35F0F9CA" w:rsidR="001F5F0A" w:rsidRPr="00563BD6" w:rsidRDefault="001F5F0A" w:rsidP="00640669">
      <w:pPr>
        <w:jc w:val="both"/>
        <w:rPr>
          <w:sz w:val="22"/>
          <w:szCs w:val="22"/>
        </w:rPr>
      </w:pPr>
      <w:r w:rsidRPr="00563BD6">
        <w:rPr>
          <w:sz w:val="22"/>
          <w:szCs w:val="22"/>
        </w:rPr>
        <w:t>Women suffer disp</w:t>
      </w:r>
      <w:r w:rsidR="00287B58" w:rsidRPr="00563BD6">
        <w:rPr>
          <w:sz w:val="22"/>
          <w:szCs w:val="22"/>
        </w:rPr>
        <w:t>r</w:t>
      </w:r>
      <w:r w:rsidRPr="00563BD6">
        <w:rPr>
          <w:sz w:val="22"/>
          <w:szCs w:val="22"/>
        </w:rPr>
        <w:t>oportionat</w:t>
      </w:r>
      <w:r w:rsidR="00775D9C" w:rsidRPr="00563BD6">
        <w:rPr>
          <w:sz w:val="22"/>
          <w:szCs w:val="22"/>
        </w:rPr>
        <w:t>e</w:t>
      </w:r>
      <w:r w:rsidRPr="00563BD6">
        <w:rPr>
          <w:sz w:val="22"/>
          <w:szCs w:val="22"/>
        </w:rPr>
        <w:t>ly higher impac</w:t>
      </w:r>
      <w:r w:rsidR="00287B58" w:rsidRPr="00563BD6">
        <w:rPr>
          <w:sz w:val="22"/>
          <w:szCs w:val="22"/>
        </w:rPr>
        <w:t>ts from the effects of climate change. As a significant proportion of the Ci-Dev portfolio is made up of cookstoves projects, it is likely that over the pro</w:t>
      </w:r>
      <w:r w:rsidR="00CC3BAD" w:rsidRPr="00563BD6">
        <w:rPr>
          <w:sz w:val="22"/>
          <w:szCs w:val="22"/>
        </w:rPr>
        <w:t xml:space="preserve">grammes’ lifetime, </w:t>
      </w:r>
      <w:r w:rsidR="00536E36" w:rsidRPr="00563BD6">
        <w:rPr>
          <w:sz w:val="22"/>
          <w:szCs w:val="22"/>
        </w:rPr>
        <w:t xml:space="preserve">and in light of gender norms in </w:t>
      </w:r>
      <w:r w:rsidR="001D6460" w:rsidRPr="00563BD6">
        <w:rPr>
          <w:sz w:val="22"/>
          <w:szCs w:val="22"/>
        </w:rPr>
        <w:t xml:space="preserve">many communities where Ci-Dev operates, </w:t>
      </w:r>
      <w:r w:rsidR="00CC3BAD" w:rsidRPr="00563BD6">
        <w:rPr>
          <w:sz w:val="22"/>
          <w:szCs w:val="22"/>
        </w:rPr>
        <w:t xml:space="preserve">that co-benefits from these </w:t>
      </w:r>
      <w:r w:rsidR="00536E36" w:rsidRPr="00563BD6">
        <w:rPr>
          <w:sz w:val="22"/>
          <w:szCs w:val="22"/>
        </w:rPr>
        <w:t xml:space="preserve">approaches will </w:t>
      </w:r>
      <w:r w:rsidR="001D6460" w:rsidRPr="00563BD6">
        <w:rPr>
          <w:sz w:val="22"/>
          <w:szCs w:val="22"/>
        </w:rPr>
        <w:t>be higher for women</w:t>
      </w:r>
      <w:r w:rsidR="00CF69A1">
        <w:rPr>
          <w:sz w:val="22"/>
          <w:szCs w:val="22"/>
        </w:rPr>
        <w:t>, who do the majority of domestic cooking</w:t>
      </w:r>
      <w:r w:rsidR="001D6460" w:rsidRPr="00563BD6">
        <w:rPr>
          <w:sz w:val="22"/>
          <w:szCs w:val="22"/>
        </w:rPr>
        <w:t>.</w:t>
      </w:r>
      <w:r w:rsidR="00F359A7" w:rsidRPr="00563BD6">
        <w:rPr>
          <w:sz w:val="22"/>
          <w:szCs w:val="22"/>
        </w:rPr>
        <w:t xml:space="preserve"> Ci-Dev has commissioned research into the relationship between</w:t>
      </w:r>
      <w:r w:rsidR="00C46C88" w:rsidRPr="00563BD6">
        <w:rPr>
          <w:sz w:val="22"/>
          <w:szCs w:val="22"/>
        </w:rPr>
        <w:t xml:space="preserve"> health,</w:t>
      </w:r>
      <w:r w:rsidR="00F359A7" w:rsidRPr="00563BD6">
        <w:rPr>
          <w:sz w:val="22"/>
          <w:szCs w:val="22"/>
        </w:rPr>
        <w:t xml:space="preserve"> gender</w:t>
      </w:r>
      <w:r w:rsidR="00C46C88" w:rsidRPr="00563BD6">
        <w:rPr>
          <w:sz w:val="22"/>
          <w:szCs w:val="22"/>
        </w:rPr>
        <w:t>, and black carbon outcomes from Ci-Dev projects</w:t>
      </w:r>
      <w:r w:rsidR="00117950" w:rsidRPr="00563BD6">
        <w:rPr>
          <w:sz w:val="22"/>
          <w:szCs w:val="22"/>
        </w:rPr>
        <w:t xml:space="preserve"> which is ongoing</w:t>
      </w:r>
      <w:r w:rsidR="00B428FC">
        <w:rPr>
          <w:sz w:val="22"/>
          <w:szCs w:val="22"/>
        </w:rPr>
        <w:t xml:space="preserve">, and is due to present proposals </w:t>
      </w:r>
      <w:r w:rsidR="00BF0363">
        <w:rPr>
          <w:sz w:val="22"/>
          <w:szCs w:val="22"/>
        </w:rPr>
        <w:t xml:space="preserve">in October </w:t>
      </w:r>
      <w:r w:rsidR="00B428FC">
        <w:rPr>
          <w:sz w:val="22"/>
          <w:szCs w:val="22"/>
        </w:rPr>
        <w:t xml:space="preserve">on how gender-informed design can </w:t>
      </w:r>
      <w:r w:rsidR="005B2DF2">
        <w:rPr>
          <w:sz w:val="22"/>
          <w:szCs w:val="22"/>
        </w:rPr>
        <w:t xml:space="preserve">help strengthen </w:t>
      </w:r>
      <w:r w:rsidR="007F45ED">
        <w:rPr>
          <w:sz w:val="22"/>
          <w:szCs w:val="22"/>
        </w:rPr>
        <w:t>energy access projects that use the carbon market.</w:t>
      </w:r>
      <w:r w:rsidR="006F2FF1">
        <w:rPr>
          <w:sz w:val="22"/>
          <w:szCs w:val="22"/>
        </w:rPr>
        <w:t xml:space="preserve"> </w:t>
      </w:r>
      <w:r w:rsidR="00775D9C" w:rsidRPr="00563BD6">
        <w:rPr>
          <w:sz w:val="22"/>
          <w:szCs w:val="22"/>
        </w:rPr>
        <w:t xml:space="preserve"> </w:t>
      </w:r>
    </w:p>
    <w:p w14:paraId="28A694BD" w14:textId="77777777" w:rsidR="001F5F0A" w:rsidRPr="00563BD6" w:rsidRDefault="001F5F0A" w:rsidP="00DA112F">
      <w:pPr>
        <w:jc w:val="both"/>
        <w:rPr>
          <w:sz w:val="22"/>
          <w:szCs w:val="22"/>
        </w:rPr>
      </w:pPr>
    </w:p>
    <w:p w14:paraId="29082255" w14:textId="77777777" w:rsidR="00F73973" w:rsidRPr="00563BD6" w:rsidRDefault="00A41451" w:rsidP="00640669">
      <w:pPr>
        <w:pStyle w:val="Heading2"/>
        <w:spacing w:before="0" w:after="0"/>
        <w:jc w:val="both"/>
        <w:rPr>
          <w:b w:val="0"/>
          <w:i w:val="0"/>
          <w:sz w:val="22"/>
          <w:szCs w:val="22"/>
        </w:rPr>
      </w:pPr>
      <w:r w:rsidRPr="00563BD6">
        <w:rPr>
          <w:b w:val="0"/>
          <w:i w:val="0"/>
          <w:sz w:val="22"/>
          <w:szCs w:val="22"/>
        </w:rPr>
        <w:t>In addition, portfolio projects largely target marginali</w:t>
      </w:r>
      <w:r w:rsidR="008E43E3" w:rsidRPr="00563BD6">
        <w:rPr>
          <w:b w:val="0"/>
          <w:i w:val="0"/>
          <w:sz w:val="22"/>
          <w:szCs w:val="22"/>
        </w:rPr>
        <w:t>s</w:t>
      </w:r>
      <w:r w:rsidRPr="00563BD6">
        <w:rPr>
          <w:b w:val="0"/>
          <w:i w:val="0"/>
          <w:sz w:val="22"/>
          <w:szCs w:val="22"/>
        </w:rPr>
        <w:t xml:space="preserve">ed households in rural areas, such as those without electricity and clean cooking equipment, and focus on addressing buy-side demand barriers with upfront cost subsidy or finance, extended warranties, and free replacement of key components. </w:t>
      </w:r>
    </w:p>
    <w:p w14:paraId="37EA7BF9" w14:textId="77777777" w:rsidR="000D15AA" w:rsidRPr="00563BD6" w:rsidRDefault="000D15AA" w:rsidP="00640669">
      <w:pPr>
        <w:jc w:val="both"/>
        <w:rPr>
          <w:rFonts w:cs="Arial"/>
          <w:color w:val="000000" w:themeColor="text1"/>
          <w:sz w:val="22"/>
          <w:szCs w:val="22"/>
        </w:rPr>
      </w:pPr>
    </w:p>
    <w:p w14:paraId="39A2D4BA" w14:textId="77777777" w:rsidR="00E36059" w:rsidRPr="00563BD6" w:rsidRDefault="00E36059" w:rsidP="00640669">
      <w:pPr>
        <w:pStyle w:val="Default"/>
        <w:jc w:val="both"/>
        <w:rPr>
          <w:rFonts w:ascii="Arial" w:hAnsi="Arial" w:cs="Arial"/>
          <w:b/>
          <w:bCs/>
          <w:color w:val="000000" w:themeColor="text1"/>
          <w:sz w:val="22"/>
          <w:szCs w:val="22"/>
        </w:rPr>
      </w:pPr>
      <w:r w:rsidRPr="00563BD6">
        <w:rPr>
          <w:rFonts w:ascii="Arial" w:hAnsi="Arial" w:cs="Arial"/>
          <w:b/>
          <w:bCs/>
          <w:color w:val="000000" w:themeColor="text1"/>
          <w:sz w:val="22"/>
          <w:szCs w:val="22"/>
        </w:rPr>
        <w:t>Assessment of whether the programme continues to represent value for money</w:t>
      </w:r>
    </w:p>
    <w:p w14:paraId="36C7B22C" w14:textId="77777777" w:rsidR="001C3C02" w:rsidRPr="00563BD6" w:rsidRDefault="001C3C02" w:rsidP="00640669">
      <w:pPr>
        <w:pStyle w:val="Default"/>
        <w:jc w:val="both"/>
        <w:rPr>
          <w:rFonts w:ascii="Arial" w:hAnsi="Arial" w:cs="Arial"/>
          <w:b/>
          <w:bCs/>
          <w:color w:val="000000" w:themeColor="text1"/>
          <w:sz w:val="22"/>
          <w:szCs w:val="22"/>
        </w:rPr>
      </w:pPr>
    </w:p>
    <w:p w14:paraId="0EE1F83D" w14:textId="3B1ECF22" w:rsidR="00673DA5" w:rsidRPr="00563BD6" w:rsidRDefault="00EA7F00" w:rsidP="00640669">
      <w:pPr>
        <w:pStyle w:val="Default"/>
        <w:jc w:val="both"/>
        <w:rPr>
          <w:rFonts w:ascii="Arial" w:hAnsi="Arial" w:cs="Arial"/>
          <w:bCs/>
          <w:color w:val="000000" w:themeColor="text1"/>
          <w:sz w:val="22"/>
          <w:szCs w:val="22"/>
        </w:rPr>
      </w:pPr>
      <w:r w:rsidRPr="00563BD6">
        <w:rPr>
          <w:rFonts w:ascii="Arial" w:hAnsi="Arial" w:cs="Arial"/>
          <w:bCs/>
          <w:color w:val="000000" w:themeColor="text1"/>
          <w:sz w:val="22"/>
          <w:szCs w:val="22"/>
        </w:rPr>
        <w:t xml:space="preserve">Overall, </w:t>
      </w:r>
      <w:r w:rsidR="006E2706" w:rsidRPr="00563BD6">
        <w:rPr>
          <w:rFonts w:ascii="Arial" w:hAnsi="Arial" w:cs="Arial"/>
          <w:bCs/>
          <w:color w:val="000000" w:themeColor="text1"/>
          <w:sz w:val="22"/>
          <w:szCs w:val="22"/>
        </w:rPr>
        <w:t xml:space="preserve">Ci-Dev is </w:t>
      </w:r>
      <w:r w:rsidRPr="00563BD6">
        <w:rPr>
          <w:rFonts w:ascii="Arial" w:hAnsi="Arial" w:cs="Arial"/>
          <w:bCs/>
          <w:color w:val="000000" w:themeColor="text1"/>
          <w:sz w:val="22"/>
          <w:szCs w:val="22"/>
        </w:rPr>
        <w:t xml:space="preserve">meeting </w:t>
      </w:r>
      <w:r w:rsidR="00D61855" w:rsidRPr="00563BD6">
        <w:rPr>
          <w:rFonts w:ascii="Arial" w:hAnsi="Arial" w:cs="Arial"/>
          <w:bCs/>
          <w:color w:val="000000" w:themeColor="text1"/>
          <w:sz w:val="22"/>
          <w:szCs w:val="22"/>
        </w:rPr>
        <w:t xml:space="preserve">its </w:t>
      </w:r>
      <w:r w:rsidR="006E2706" w:rsidRPr="00563BD6">
        <w:rPr>
          <w:rFonts w:ascii="Arial" w:hAnsi="Arial" w:cs="Arial"/>
          <w:bCs/>
          <w:color w:val="000000" w:themeColor="text1"/>
          <w:sz w:val="22"/>
          <w:szCs w:val="22"/>
        </w:rPr>
        <w:t>outcome</w:t>
      </w:r>
      <w:r w:rsidR="00CF69A1">
        <w:rPr>
          <w:rFonts w:ascii="Arial" w:hAnsi="Arial" w:cs="Arial"/>
          <w:bCs/>
          <w:color w:val="000000" w:themeColor="text1"/>
          <w:sz w:val="22"/>
          <w:szCs w:val="22"/>
        </w:rPr>
        <w:t xml:space="preserve"> targets, although two of the five have been narrowly missed</w:t>
      </w:r>
      <w:r w:rsidR="00AF2AF6">
        <w:rPr>
          <w:rFonts w:ascii="Arial" w:hAnsi="Arial" w:cs="Arial"/>
          <w:bCs/>
          <w:color w:val="000000" w:themeColor="text1"/>
          <w:sz w:val="22"/>
          <w:szCs w:val="22"/>
        </w:rPr>
        <w:t xml:space="preserve"> (by 1% and 3%)</w:t>
      </w:r>
      <w:r w:rsidR="00CF69A1">
        <w:rPr>
          <w:rFonts w:ascii="Arial" w:hAnsi="Arial" w:cs="Arial"/>
          <w:bCs/>
          <w:color w:val="000000" w:themeColor="text1"/>
          <w:sz w:val="22"/>
          <w:szCs w:val="22"/>
        </w:rPr>
        <w:t>. As portfolio capital is reallocated over 2020 and new projects are selected, it will be important for the Trustee to maintain the</w:t>
      </w:r>
      <w:r w:rsidR="00024CA0" w:rsidRPr="00563BD6">
        <w:rPr>
          <w:rFonts w:ascii="Arial" w:hAnsi="Arial" w:cs="Arial"/>
          <w:bCs/>
          <w:color w:val="000000" w:themeColor="text1"/>
          <w:sz w:val="22"/>
          <w:szCs w:val="22"/>
        </w:rPr>
        <w:t xml:space="preserve"> </w:t>
      </w:r>
      <w:r w:rsidR="00CF69A1">
        <w:rPr>
          <w:rFonts w:ascii="Arial" w:hAnsi="Arial" w:cs="Arial"/>
          <w:bCs/>
          <w:color w:val="000000" w:themeColor="text1"/>
          <w:sz w:val="22"/>
          <w:szCs w:val="22"/>
        </w:rPr>
        <w:t xml:space="preserve">successful approach to demonstrating vfm taken to date. </w:t>
      </w:r>
      <w:r w:rsidR="00AF2AF6">
        <w:rPr>
          <w:rFonts w:ascii="Arial" w:hAnsi="Arial" w:cs="Arial"/>
          <w:bCs/>
          <w:color w:val="000000" w:themeColor="text1"/>
          <w:sz w:val="22"/>
          <w:szCs w:val="22"/>
        </w:rPr>
        <w:t>The exercise is likely to increase the chance of achieving lifetime targets for no additional cost, and so is likely to improve v</w:t>
      </w:r>
      <w:r w:rsidR="00BA0A93">
        <w:rPr>
          <w:rFonts w:ascii="Arial" w:hAnsi="Arial" w:cs="Arial"/>
          <w:bCs/>
          <w:color w:val="000000" w:themeColor="text1"/>
          <w:sz w:val="22"/>
          <w:szCs w:val="22"/>
        </w:rPr>
        <w:t xml:space="preserve">alue </w:t>
      </w:r>
      <w:r w:rsidR="00AF2AF6">
        <w:rPr>
          <w:rFonts w:ascii="Arial" w:hAnsi="Arial" w:cs="Arial"/>
          <w:bCs/>
          <w:color w:val="000000" w:themeColor="text1"/>
          <w:sz w:val="22"/>
          <w:szCs w:val="22"/>
        </w:rPr>
        <w:t>f</w:t>
      </w:r>
      <w:r w:rsidR="00BA0A93">
        <w:rPr>
          <w:rFonts w:ascii="Arial" w:hAnsi="Arial" w:cs="Arial"/>
          <w:bCs/>
          <w:color w:val="000000" w:themeColor="text1"/>
          <w:sz w:val="22"/>
          <w:szCs w:val="22"/>
        </w:rPr>
        <w:t xml:space="preserve">or </w:t>
      </w:r>
      <w:r w:rsidR="00AF2AF6">
        <w:rPr>
          <w:rFonts w:ascii="Arial" w:hAnsi="Arial" w:cs="Arial"/>
          <w:bCs/>
          <w:color w:val="000000" w:themeColor="text1"/>
          <w:sz w:val="22"/>
          <w:szCs w:val="22"/>
        </w:rPr>
        <w:t>m</w:t>
      </w:r>
      <w:r w:rsidR="00BA0A93">
        <w:rPr>
          <w:rFonts w:ascii="Arial" w:hAnsi="Arial" w:cs="Arial"/>
          <w:bCs/>
          <w:color w:val="000000" w:themeColor="text1"/>
          <w:sz w:val="22"/>
          <w:szCs w:val="22"/>
        </w:rPr>
        <w:t>oney</w:t>
      </w:r>
      <w:r w:rsidR="00AF2AF6">
        <w:rPr>
          <w:rFonts w:ascii="Arial" w:hAnsi="Arial" w:cs="Arial"/>
          <w:bCs/>
          <w:color w:val="000000" w:themeColor="text1"/>
          <w:sz w:val="22"/>
          <w:szCs w:val="22"/>
        </w:rPr>
        <w:t xml:space="preserve"> in the long term. </w:t>
      </w:r>
      <w:r w:rsidR="00FC6404" w:rsidRPr="00563BD6">
        <w:rPr>
          <w:rFonts w:ascii="Arial" w:hAnsi="Arial" w:cs="Arial"/>
          <w:bCs/>
          <w:color w:val="000000" w:themeColor="text1"/>
          <w:sz w:val="22"/>
          <w:szCs w:val="22"/>
        </w:rPr>
        <w:t xml:space="preserve">This performance, and the </w:t>
      </w:r>
      <w:r w:rsidR="005950AC" w:rsidRPr="00563BD6">
        <w:rPr>
          <w:rFonts w:ascii="Arial" w:hAnsi="Arial" w:cs="Arial"/>
          <w:bCs/>
          <w:color w:val="000000" w:themeColor="text1"/>
          <w:sz w:val="22"/>
          <w:szCs w:val="22"/>
        </w:rPr>
        <w:t xml:space="preserve">above </w:t>
      </w:r>
      <w:r w:rsidR="00153D6A" w:rsidRPr="00563BD6">
        <w:rPr>
          <w:rFonts w:ascii="Arial" w:hAnsi="Arial" w:cs="Arial"/>
          <w:bCs/>
          <w:color w:val="000000" w:themeColor="text1"/>
          <w:sz w:val="22"/>
          <w:szCs w:val="22"/>
        </w:rPr>
        <w:t>assessment against the ‘4 Es’</w:t>
      </w:r>
      <w:r w:rsidR="005950AC" w:rsidRPr="00563BD6">
        <w:rPr>
          <w:rFonts w:ascii="Arial" w:hAnsi="Arial" w:cs="Arial"/>
          <w:bCs/>
          <w:color w:val="000000" w:themeColor="text1"/>
          <w:sz w:val="22"/>
          <w:szCs w:val="22"/>
        </w:rPr>
        <w:t xml:space="preserve">, demonstrates </w:t>
      </w:r>
      <w:r w:rsidR="00153D6A" w:rsidRPr="00563BD6">
        <w:rPr>
          <w:rFonts w:ascii="Arial" w:hAnsi="Arial" w:cs="Arial"/>
          <w:bCs/>
          <w:color w:val="000000" w:themeColor="text1"/>
          <w:sz w:val="22"/>
          <w:szCs w:val="22"/>
        </w:rPr>
        <w:t>that</w:t>
      </w:r>
      <w:r w:rsidR="00514837" w:rsidRPr="00563BD6">
        <w:rPr>
          <w:rFonts w:ascii="Arial" w:hAnsi="Arial" w:cs="Arial"/>
          <w:bCs/>
          <w:color w:val="000000" w:themeColor="text1"/>
          <w:sz w:val="22"/>
          <w:szCs w:val="22"/>
        </w:rPr>
        <w:t xml:space="preserve"> Ci-Dev continues to deliver value for money.</w:t>
      </w:r>
    </w:p>
    <w:p w14:paraId="0DFCFF13" w14:textId="77777777" w:rsidR="00673DA5" w:rsidRPr="00563BD6" w:rsidRDefault="00673DA5" w:rsidP="00640669">
      <w:pPr>
        <w:pStyle w:val="Heading3"/>
        <w:jc w:val="both"/>
        <w:rPr>
          <w:rFonts w:ascii="Arial" w:hAnsi="Arial" w:cs="Arial"/>
          <w:color w:val="000000" w:themeColor="text1"/>
          <w:sz w:val="22"/>
          <w:szCs w:val="22"/>
        </w:rPr>
      </w:pPr>
      <w:r w:rsidRPr="00563BD6">
        <w:rPr>
          <w:rFonts w:ascii="Arial" w:hAnsi="Arial" w:cs="Arial"/>
          <w:color w:val="000000" w:themeColor="text1"/>
          <w:sz w:val="22"/>
          <w:szCs w:val="22"/>
        </w:rPr>
        <w:t>Quality of financial management</w:t>
      </w:r>
    </w:p>
    <w:p w14:paraId="3DD2373F" w14:textId="77777777" w:rsidR="00D3151E" w:rsidRPr="00563BD6" w:rsidRDefault="00D3151E" w:rsidP="00640669">
      <w:pPr>
        <w:jc w:val="both"/>
        <w:rPr>
          <w:sz w:val="22"/>
          <w:szCs w:val="22"/>
        </w:rPr>
      </w:pPr>
    </w:p>
    <w:p w14:paraId="449E4055" w14:textId="48A66003" w:rsidR="00673DA5" w:rsidRPr="00563BD6" w:rsidRDefault="00673DA5" w:rsidP="00AE2BFD">
      <w:pPr>
        <w:pStyle w:val="Default"/>
        <w:jc w:val="both"/>
        <w:rPr>
          <w:rFonts w:ascii="Arial" w:hAnsi="Arial" w:cs="Arial"/>
          <w:color w:val="auto"/>
          <w:sz w:val="22"/>
          <w:szCs w:val="22"/>
        </w:rPr>
      </w:pPr>
      <w:r w:rsidRPr="00563BD6">
        <w:rPr>
          <w:rFonts w:ascii="Arial" w:hAnsi="Arial" w:cs="Arial"/>
          <w:color w:val="auto"/>
          <w:sz w:val="22"/>
          <w:szCs w:val="22"/>
        </w:rPr>
        <w:t>The Ci-Dev trust fund is subject to the same financial systems and policies as the World Bank’s core resources, such as their rules on reinvestment of funds, their audit framework, and their internal control procedures. The Bank’s external auditor carries out an annual “single audit” of the trust fund system.</w:t>
      </w:r>
      <w:r w:rsidR="003E02DC" w:rsidRPr="00563BD6">
        <w:rPr>
          <w:rFonts w:ascii="Arial" w:hAnsi="Arial" w:cs="Arial"/>
          <w:color w:val="auto"/>
          <w:sz w:val="22"/>
          <w:szCs w:val="22"/>
        </w:rPr>
        <w:t xml:space="preserve"> </w:t>
      </w:r>
      <w:r w:rsidRPr="00563BD6">
        <w:rPr>
          <w:rFonts w:ascii="Arial" w:hAnsi="Arial" w:cs="Arial"/>
          <w:color w:val="auto"/>
          <w:sz w:val="22"/>
          <w:szCs w:val="22"/>
        </w:rPr>
        <w:t xml:space="preserve">This is a set of audited accounts for the trust fund’s portfolio and a statement of assurance about the internal control systems that govern trust funds. </w:t>
      </w:r>
      <w:r w:rsidR="00AF2AF6">
        <w:rPr>
          <w:rFonts w:ascii="Arial" w:hAnsi="Arial" w:cs="Arial"/>
          <w:color w:val="auto"/>
          <w:sz w:val="22"/>
          <w:szCs w:val="22"/>
        </w:rPr>
        <w:t>Contributors</w:t>
      </w:r>
      <w:r w:rsidRPr="00563BD6">
        <w:rPr>
          <w:rFonts w:ascii="Arial" w:hAnsi="Arial" w:cs="Arial"/>
          <w:color w:val="auto"/>
          <w:sz w:val="22"/>
          <w:szCs w:val="22"/>
        </w:rPr>
        <w:t xml:space="preserve"> therefore receive a high degree of assurance that the quality of financial management is high.</w:t>
      </w:r>
      <w:r w:rsidR="006B40D3">
        <w:rPr>
          <w:rFonts w:ascii="Arial" w:hAnsi="Arial" w:cs="Arial"/>
          <w:color w:val="auto"/>
          <w:sz w:val="22"/>
          <w:szCs w:val="22"/>
        </w:rPr>
        <w:t xml:space="preserve"> </w:t>
      </w:r>
      <w:r w:rsidR="00A17489">
        <w:rPr>
          <w:rFonts w:ascii="Arial" w:hAnsi="Arial" w:cs="Arial"/>
          <w:color w:val="auto"/>
          <w:sz w:val="22"/>
          <w:szCs w:val="22"/>
        </w:rPr>
        <w:t xml:space="preserve">Some budget lines, e.g. for readiness grants, are </w:t>
      </w:r>
      <w:r w:rsidR="00BE1D63">
        <w:rPr>
          <w:rFonts w:ascii="Arial" w:hAnsi="Arial" w:cs="Arial"/>
          <w:color w:val="auto"/>
          <w:sz w:val="22"/>
          <w:szCs w:val="22"/>
        </w:rPr>
        <w:t xml:space="preserve">consistently underused, and </w:t>
      </w:r>
      <w:r w:rsidR="001F61EA">
        <w:rPr>
          <w:rFonts w:ascii="Arial" w:hAnsi="Arial" w:cs="Arial"/>
          <w:color w:val="auto"/>
          <w:sz w:val="22"/>
          <w:szCs w:val="22"/>
        </w:rPr>
        <w:t>some remedial action is required to restore confidence in financial planning and forecasting.</w:t>
      </w:r>
    </w:p>
    <w:p w14:paraId="0616CB8F" w14:textId="77777777" w:rsidR="00673DA5" w:rsidRPr="00563BD6" w:rsidRDefault="00673DA5" w:rsidP="00AE2BFD">
      <w:pPr>
        <w:pStyle w:val="Default"/>
        <w:jc w:val="both"/>
        <w:rPr>
          <w:rFonts w:ascii="Arial" w:hAnsi="Arial" w:cs="Arial"/>
          <w:color w:val="auto"/>
          <w:sz w:val="22"/>
          <w:szCs w:val="22"/>
        </w:rPr>
      </w:pPr>
    </w:p>
    <w:p w14:paraId="338BD5C9" w14:textId="70949D1A" w:rsidR="00673DA5" w:rsidRPr="00563BD6" w:rsidRDefault="00673DA5" w:rsidP="00AE2BFD">
      <w:pPr>
        <w:pStyle w:val="Default"/>
        <w:jc w:val="both"/>
        <w:rPr>
          <w:rFonts w:ascii="Arial" w:hAnsi="Arial" w:cs="Arial"/>
          <w:color w:val="auto"/>
          <w:sz w:val="22"/>
          <w:szCs w:val="22"/>
        </w:rPr>
      </w:pPr>
      <w:r w:rsidRPr="00563BD6">
        <w:rPr>
          <w:rFonts w:ascii="Arial" w:hAnsi="Arial" w:cs="Arial"/>
          <w:color w:val="auto"/>
          <w:sz w:val="22"/>
          <w:szCs w:val="22"/>
        </w:rPr>
        <w:t>Ci-Dev also produces clear finan</w:t>
      </w:r>
      <w:r w:rsidR="00D3151E" w:rsidRPr="00563BD6">
        <w:rPr>
          <w:rFonts w:ascii="Arial" w:hAnsi="Arial" w:cs="Arial"/>
          <w:color w:val="auto"/>
          <w:sz w:val="22"/>
          <w:szCs w:val="22"/>
        </w:rPr>
        <w:t>cial management reports of the Readiness and Carbon F</w:t>
      </w:r>
      <w:r w:rsidRPr="00563BD6">
        <w:rPr>
          <w:rFonts w:ascii="Arial" w:hAnsi="Arial" w:cs="Arial"/>
          <w:color w:val="auto"/>
          <w:sz w:val="22"/>
          <w:szCs w:val="22"/>
        </w:rPr>
        <w:t xml:space="preserve">unds in annual and semi-annual reports. </w:t>
      </w:r>
    </w:p>
    <w:p w14:paraId="169559A3" w14:textId="77777777" w:rsidR="00E22287" w:rsidRPr="00563BD6" w:rsidRDefault="00E22287" w:rsidP="00AE2BFD">
      <w:pPr>
        <w:pStyle w:val="Default"/>
        <w:jc w:val="both"/>
        <w:rPr>
          <w:rFonts w:ascii="Arial" w:hAnsi="Arial" w:cs="Arial"/>
          <w:color w:val="auto"/>
          <w:sz w:val="22"/>
          <w:szCs w:val="22"/>
        </w:rPr>
      </w:pPr>
    </w:p>
    <w:tbl>
      <w:tblPr>
        <w:tblStyle w:val="TableGrid"/>
        <w:tblpPr w:leftFromText="180" w:rightFromText="180" w:vertAnchor="text" w:horzAnchor="margin" w:tblpX="108" w:tblpY="124"/>
        <w:tblW w:w="0" w:type="auto"/>
        <w:tblLook w:val="04A0" w:firstRow="1" w:lastRow="0" w:firstColumn="1" w:lastColumn="0" w:noHBand="0" w:noVBand="1"/>
      </w:tblPr>
      <w:tblGrid>
        <w:gridCol w:w="2518"/>
        <w:gridCol w:w="7655"/>
      </w:tblGrid>
      <w:tr w:rsidR="00E22287" w:rsidRPr="00563BD6" w14:paraId="4BBAEC70" w14:textId="77777777" w:rsidTr="00E22287">
        <w:tc>
          <w:tcPr>
            <w:tcW w:w="2518" w:type="dxa"/>
            <w:shd w:val="clear" w:color="auto" w:fill="DBE5F1" w:themeFill="accent1" w:themeFillTint="33"/>
          </w:tcPr>
          <w:p w14:paraId="7A9C7EFA" w14:textId="77777777" w:rsidR="00E22287" w:rsidRPr="00563BD6" w:rsidRDefault="00E22287" w:rsidP="00E22287">
            <w:pPr>
              <w:contextualSpacing/>
              <w:rPr>
                <w:rFonts w:cs="Arial"/>
                <w:color w:val="000000" w:themeColor="text1"/>
                <w:sz w:val="22"/>
                <w:szCs w:val="22"/>
              </w:rPr>
            </w:pPr>
            <w:r w:rsidRPr="00563BD6">
              <w:rPr>
                <w:rFonts w:cs="Arial"/>
                <w:color w:val="000000" w:themeColor="text1"/>
                <w:sz w:val="22"/>
                <w:szCs w:val="22"/>
              </w:rPr>
              <w:t>Date of last narrative financial report</w:t>
            </w:r>
          </w:p>
        </w:tc>
        <w:tc>
          <w:tcPr>
            <w:tcW w:w="7655" w:type="dxa"/>
          </w:tcPr>
          <w:p w14:paraId="60C048EF" w14:textId="0D16CD09" w:rsidR="00E22287" w:rsidRPr="00563BD6" w:rsidRDefault="009344B2" w:rsidP="009344B2">
            <w:pPr>
              <w:rPr>
                <w:rFonts w:cs="Arial"/>
                <w:color w:val="000000" w:themeColor="text1"/>
                <w:sz w:val="22"/>
                <w:szCs w:val="22"/>
              </w:rPr>
            </w:pPr>
            <w:r w:rsidRPr="00563BD6">
              <w:rPr>
                <w:rFonts w:cs="Arial"/>
                <w:color w:val="000000" w:themeColor="text1"/>
                <w:sz w:val="22"/>
                <w:szCs w:val="22"/>
              </w:rPr>
              <w:t>July</w:t>
            </w:r>
            <w:r w:rsidR="00E22287" w:rsidRPr="00563BD6">
              <w:rPr>
                <w:rFonts w:cs="Arial"/>
                <w:color w:val="000000" w:themeColor="text1"/>
                <w:sz w:val="22"/>
                <w:szCs w:val="22"/>
              </w:rPr>
              <w:t xml:space="preserve"> 201</w:t>
            </w:r>
            <w:r w:rsidR="00907209" w:rsidRPr="00563BD6">
              <w:rPr>
                <w:rFonts w:cs="Arial"/>
                <w:color w:val="000000" w:themeColor="text1"/>
                <w:sz w:val="22"/>
                <w:szCs w:val="22"/>
              </w:rPr>
              <w:t>9</w:t>
            </w:r>
            <w:r w:rsidR="00E22287" w:rsidRPr="00563BD6">
              <w:rPr>
                <w:rFonts w:cs="Arial"/>
                <w:color w:val="000000" w:themeColor="text1"/>
                <w:sz w:val="22"/>
                <w:szCs w:val="22"/>
              </w:rPr>
              <w:t xml:space="preserve"> – Ci-Dev annual report, including </w:t>
            </w:r>
            <w:r w:rsidR="00C5613F" w:rsidRPr="00563BD6">
              <w:rPr>
                <w:rFonts w:cs="Arial"/>
                <w:color w:val="000000" w:themeColor="text1"/>
                <w:sz w:val="22"/>
                <w:szCs w:val="22"/>
              </w:rPr>
              <w:t>spend through FY1</w:t>
            </w:r>
            <w:r w:rsidR="00907209" w:rsidRPr="00563BD6">
              <w:rPr>
                <w:rFonts w:cs="Arial"/>
                <w:color w:val="000000" w:themeColor="text1"/>
                <w:sz w:val="22"/>
                <w:szCs w:val="22"/>
              </w:rPr>
              <w:t>9</w:t>
            </w:r>
            <w:r w:rsidRPr="00563BD6">
              <w:rPr>
                <w:rFonts w:cs="Arial"/>
                <w:color w:val="000000" w:themeColor="text1"/>
                <w:sz w:val="22"/>
                <w:szCs w:val="22"/>
              </w:rPr>
              <w:t xml:space="preserve"> and the </w:t>
            </w:r>
            <w:r w:rsidR="007F4D82" w:rsidRPr="00563BD6">
              <w:rPr>
                <w:rFonts w:cs="Arial"/>
                <w:color w:val="000000" w:themeColor="text1"/>
                <w:sz w:val="22"/>
                <w:szCs w:val="22"/>
              </w:rPr>
              <w:t>long-term</w:t>
            </w:r>
            <w:r w:rsidR="00C5613F" w:rsidRPr="00563BD6">
              <w:rPr>
                <w:rFonts w:cs="Arial"/>
                <w:color w:val="000000" w:themeColor="text1"/>
                <w:sz w:val="22"/>
                <w:szCs w:val="22"/>
              </w:rPr>
              <w:t xml:space="preserve"> plan and budgets for FY</w:t>
            </w:r>
            <w:r w:rsidR="00907209" w:rsidRPr="00563BD6">
              <w:rPr>
                <w:rFonts w:cs="Arial"/>
                <w:color w:val="000000" w:themeColor="text1"/>
                <w:sz w:val="22"/>
                <w:szCs w:val="22"/>
              </w:rPr>
              <w:t>20</w:t>
            </w:r>
            <w:r w:rsidRPr="00563BD6">
              <w:rPr>
                <w:rFonts w:cs="Arial"/>
                <w:color w:val="000000" w:themeColor="text1"/>
                <w:sz w:val="22"/>
                <w:szCs w:val="22"/>
              </w:rPr>
              <w:t xml:space="preserve"> and beyond.</w:t>
            </w:r>
          </w:p>
        </w:tc>
      </w:tr>
      <w:tr w:rsidR="00E22287" w:rsidRPr="00563BD6" w14:paraId="4E11EEAC" w14:textId="77777777" w:rsidTr="00E22287">
        <w:tc>
          <w:tcPr>
            <w:tcW w:w="2518" w:type="dxa"/>
            <w:shd w:val="clear" w:color="auto" w:fill="DBE5F1" w:themeFill="accent1" w:themeFillTint="33"/>
          </w:tcPr>
          <w:p w14:paraId="5D0D68F1" w14:textId="77777777" w:rsidR="00E22287" w:rsidRPr="00563BD6" w:rsidRDefault="00E22287" w:rsidP="00E22287">
            <w:pPr>
              <w:contextualSpacing/>
              <w:rPr>
                <w:rFonts w:cs="Arial"/>
                <w:color w:val="000000" w:themeColor="text1"/>
                <w:sz w:val="22"/>
                <w:szCs w:val="22"/>
              </w:rPr>
            </w:pPr>
            <w:r w:rsidRPr="00563BD6">
              <w:rPr>
                <w:rFonts w:cs="Arial"/>
                <w:color w:val="000000" w:themeColor="text1"/>
                <w:sz w:val="22"/>
                <w:szCs w:val="22"/>
              </w:rPr>
              <w:t>Date of last audited annual statement</w:t>
            </w:r>
          </w:p>
        </w:tc>
        <w:tc>
          <w:tcPr>
            <w:tcW w:w="7655" w:type="dxa"/>
          </w:tcPr>
          <w:p w14:paraId="667FC0BD" w14:textId="70EF0B8B" w:rsidR="00E22287" w:rsidRPr="00563BD6" w:rsidRDefault="00E22287" w:rsidP="009344B2">
            <w:pPr>
              <w:contextualSpacing/>
              <w:rPr>
                <w:rFonts w:cs="Arial"/>
                <w:color w:val="000000" w:themeColor="text1"/>
                <w:sz w:val="22"/>
                <w:szCs w:val="22"/>
              </w:rPr>
            </w:pPr>
            <w:r w:rsidRPr="00563BD6">
              <w:rPr>
                <w:rFonts w:cs="Arial"/>
                <w:color w:val="000000" w:themeColor="text1"/>
                <w:sz w:val="22"/>
                <w:szCs w:val="22"/>
              </w:rPr>
              <w:t>Part of World Bank Single Audit of Trust Funds</w:t>
            </w:r>
            <w:r w:rsidR="009344B2" w:rsidRPr="00563BD6">
              <w:rPr>
                <w:rFonts w:cs="Arial"/>
                <w:color w:val="000000" w:themeColor="text1"/>
                <w:sz w:val="22"/>
                <w:szCs w:val="22"/>
              </w:rPr>
              <w:t xml:space="preserve">, conducted annually at the conclusion of each fiscal year – latest Single Audit of Trust </w:t>
            </w:r>
            <w:r w:rsidR="00C5613F" w:rsidRPr="00563BD6">
              <w:rPr>
                <w:rFonts w:cs="Arial"/>
                <w:color w:val="000000" w:themeColor="text1"/>
                <w:sz w:val="22"/>
                <w:szCs w:val="22"/>
              </w:rPr>
              <w:t xml:space="preserve">Funds </w:t>
            </w:r>
            <w:r w:rsidR="00907209" w:rsidRPr="00563BD6">
              <w:rPr>
                <w:rFonts w:cs="Arial"/>
                <w:color w:val="000000" w:themeColor="text1"/>
                <w:sz w:val="22"/>
                <w:szCs w:val="22"/>
              </w:rPr>
              <w:t xml:space="preserve">for </w:t>
            </w:r>
            <w:r w:rsidR="00C5613F" w:rsidRPr="00563BD6">
              <w:rPr>
                <w:rFonts w:cs="Arial"/>
                <w:color w:val="000000" w:themeColor="text1"/>
                <w:sz w:val="22"/>
                <w:szCs w:val="22"/>
              </w:rPr>
              <w:t>FY1</w:t>
            </w:r>
            <w:r w:rsidR="00907209" w:rsidRPr="00563BD6">
              <w:rPr>
                <w:rFonts w:cs="Arial"/>
                <w:color w:val="000000" w:themeColor="text1"/>
                <w:sz w:val="22"/>
                <w:szCs w:val="22"/>
              </w:rPr>
              <w:t>9</w:t>
            </w:r>
            <w:r w:rsidR="009344B2" w:rsidRPr="00563BD6">
              <w:rPr>
                <w:rStyle w:val="FootnoteReference"/>
                <w:rFonts w:cs="Arial"/>
                <w:color w:val="000000" w:themeColor="text1"/>
                <w:sz w:val="22"/>
                <w:szCs w:val="22"/>
              </w:rPr>
              <w:footnoteReference w:id="19"/>
            </w:r>
          </w:p>
        </w:tc>
      </w:tr>
    </w:tbl>
    <w:p w14:paraId="20FE186C" w14:textId="77777777" w:rsidR="00E22287" w:rsidRPr="00B37DE0" w:rsidRDefault="00E22287" w:rsidP="00AE2BFD">
      <w:pPr>
        <w:pStyle w:val="Default"/>
        <w:jc w:val="both"/>
        <w:rPr>
          <w:rFonts w:ascii="Arial" w:hAnsi="Arial" w:cs="Arial"/>
          <w:color w:val="auto"/>
        </w:rPr>
      </w:pPr>
    </w:p>
    <w:p w14:paraId="4EFBBC34" w14:textId="77777777" w:rsidR="00381582" w:rsidRPr="00B37DE0" w:rsidRDefault="00381582" w:rsidP="00381582">
      <w:pPr>
        <w:contextualSpacing/>
        <w:rPr>
          <w:rFonts w:eastAsiaTheme="minorHAnsi" w:cs="Arial"/>
        </w:rPr>
      </w:pPr>
    </w:p>
    <w:p w14:paraId="2A6FEFFB" w14:textId="77777777" w:rsidR="003079E2" w:rsidRPr="00B37DE0" w:rsidRDefault="003079E2" w:rsidP="00381582">
      <w:pPr>
        <w:contextualSpacing/>
        <w:rPr>
          <w:rFonts w:eastAsiaTheme="minorHAnsi" w:cs="Arial"/>
        </w:rPr>
      </w:pPr>
    </w:p>
    <w:p w14:paraId="235648E7" w14:textId="77777777" w:rsidR="003079E2" w:rsidRDefault="003079E2" w:rsidP="00381582">
      <w:pPr>
        <w:contextualSpacing/>
        <w:rPr>
          <w:rFonts w:eastAsiaTheme="minorHAnsi" w:cs="Arial"/>
          <w:sz w:val="22"/>
          <w:szCs w:val="22"/>
        </w:rPr>
      </w:pPr>
    </w:p>
    <w:p w14:paraId="6033B6F2" w14:textId="77777777" w:rsidR="004B7DBC" w:rsidRDefault="004B7DBC" w:rsidP="00381582">
      <w:pPr>
        <w:contextualSpacing/>
        <w:rPr>
          <w:rFonts w:eastAsiaTheme="minorHAnsi" w:cs="Arial"/>
          <w:sz w:val="22"/>
          <w:szCs w:val="22"/>
        </w:rPr>
      </w:pPr>
    </w:p>
    <w:p w14:paraId="40377BCB" w14:textId="77777777" w:rsidR="003079E2" w:rsidRDefault="003079E2" w:rsidP="00381582">
      <w:pPr>
        <w:contextualSpacing/>
        <w:rPr>
          <w:rFonts w:eastAsiaTheme="minorHAnsi" w:cs="Arial"/>
          <w:sz w:val="22"/>
          <w:szCs w:val="22"/>
        </w:rPr>
      </w:pPr>
    </w:p>
    <w:p w14:paraId="4C82DE15" w14:textId="0AEFCD80" w:rsidR="001B572C" w:rsidRPr="00E40148" w:rsidRDefault="001B572C" w:rsidP="001B572C">
      <w:pPr>
        <w:pStyle w:val="Heading2"/>
        <w:pBdr>
          <w:top w:val="single" w:sz="4" w:space="1" w:color="auto"/>
          <w:left w:val="single" w:sz="4" w:space="4" w:color="auto"/>
          <w:bottom w:val="single" w:sz="4" w:space="0" w:color="auto"/>
          <w:right w:val="single" w:sz="4" w:space="4" w:color="auto"/>
        </w:pBdr>
        <w:shd w:val="clear" w:color="auto" w:fill="DBE5F1" w:themeFill="accent1" w:themeFillTint="33"/>
        <w:spacing w:before="0" w:after="0"/>
        <w:contextualSpacing/>
        <w:rPr>
          <w:b w:val="0"/>
          <w:i w:val="0"/>
          <w:color w:val="000000" w:themeColor="text1"/>
          <w:sz w:val="22"/>
          <w:szCs w:val="22"/>
        </w:rPr>
      </w:pPr>
      <w:r>
        <w:rPr>
          <w:i w:val="0"/>
          <w:color w:val="000000" w:themeColor="text1"/>
          <w:sz w:val="22"/>
          <w:szCs w:val="22"/>
        </w:rPr>
        <w:t>E: RISK</w:t>
      </w:r>
    </w:p>
    <w:p w14:paraId="53EC405D" w14:textId="5C2B7902" w:rsidR="008C1F54" w:rsidRPr="008C1F54" w:rsidRDefault="00AC3E66" w:rsidP="00B34703">
      <w:pPr>
        <w:pStyle w:val="Heading3"/>
        <w:rPr>
          <w:sz w:val="22"/>
          <w:szCs w:val="22"/>
        </w:rPr>
      </w:pPr>
      <w:r w:rsidRPr="00B77D90">
        <w:rPr>
          <w:rFonts w:ascii="Arial" w:hAnsi="Arial" w:cs="Arial"/>
          <w:color w:val="000000" w:themeColor="text1"/>
          <w:sz w:val="22"/>
          <w:szCs w:val="22"/>
        </w:rPr>
        <w:t>Overall risk rating:</w:t>
      </w:r>
      <w:r w:rsidR="003E02DC" w:rsidRPr="00442FF7">
        <w:rPr>
          <w:rFonts w:ascii="Arial" w:hAnsi="Arial" w:cs="Arial"/>
          <w:color w:val="000000" w:themeColor="text1"/>
          <w:sz w:val="22"/>
          <w:szCs w:val="22"/>
        </w:rPr>
        <w:t xml:space="preserve"> </w:t>
      </w:r>
      <w:r w:rsidR="006C502E">
        <w:rPr>
          <w:rFonts w:ascii="Arial" w:hAnsi="Arial" w:cs="Arial"/>
          <w:color w:val="000000" w:themeColor="text1"/>
          <w:sz w:val="22"/>
          <w:szCs w:val="22"/>
        </w:rPr>
        <w:t xml:space="preserve">Increases to </w:t>
      </w:r>
      <w:r w:rsidR="00821DB9">
        <w:rPr>
          <w:rFonts w:ascii="Arial" w:hAnsi="Arial" w:cs="Arial"/>
          <w:color w:val="000000" w:themeColor="text1"/>
          <w:sz w:val="22"/>
          <w:szCs w:val="22"/>
        </w:rPr>
        <w:t>Major</w:t>
      </w:r>
      <w:r w:rsidR="00B34703">
        <w:rPr>
          <w:rFonts w:ascii="Arial" w:hAnsi="Arial" w:cs="Arial"/>
          <w:color w:val="000000" w:themeColor="text1"/>
          <w:sz w:val="22"/>
          <w:szCs w:val="22"/>
        </w:rPr>
        <w:t xml:space="preserve">. </w:t>
      </w:r>
      <w:r w:rsidR="008C1F54" w:rsidRPr="00B34703">
        <w:rPr>
          <w:rFonts w:ascii="Arial" w:hAnsi="Arial" w:cs="Arial"/>
          <w:b w:val="0"/>
          <w:bCs w:val="0"/>
          <w:color w:val="000000" w:themeColor="text1"/>
          <w:sz w:val="22"/>
          <w:szCs w:val="22"/>
        </w:rPr>
        <w:t>Key risks are as follows:</w:t>
      </w:r>
    </w:p>
    <w:p w14:paraId="2ABC8F26" w14:textId="1ECC6399" w:rsidR="008C1F54" w:rsidRDefault="008C1F54" w:rsidP="008C1F54"/>
    <w:tbl>
      <w:tblPr>
        <w:tblW w:w="10521" w:type="dxa"/>
        <w:tblLook w:val="04A0" w:firstRow="1" w:lastRow="0" w:firstColumn="1" w:lastColumn="0" w:noHBand="0" w:noVBand="1"/>
      </w:tblPr>
      <w:tblGrid>
        <w:gridCol w:w="2263"/>
        <w:gridCol w:w="7088"/>
        <w:gridCol w:w="1170"/>
      </w:tblGrid>
      <w:tr w:rsidR="00D8546F" w:rsidRPr="001E4BD0" w14:paraId="14CDD47D" w14:textId="77777777" w:rsidTr="001F3E1F">
        <w:trPr>
          <w:trHeight w:val="320"/>
        </w:trPr>
        <w:tc>
          <w:tcPr>
            <w:tcW w:w="2263" w:type="dxa"/>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5646D446" w14:textId="77777777" w:rsidR="001E4BD0" w:rsidRPr="001E4BD0" w:rsidRDefault="001E4BD0" w:rsidP="001E4BD0">
            <w:pPr>
              <w:rPr>
                <w:rFonts w:eastAsia="Times New Roman" w:cs="Arial"/>
                <w:b/>
                <w:bCs/>
                <w:color w:val="FFFFFF"/>
                <w:sz w:val="22"/>
                <w:szCs w:val="22"/>
                <w:lang w:eastAsia="en-GB"/>
              </w:rPr>
            </w:pPr>
            <w:r w:rsidRPr="001E4BD0">
              <w:rPr>
                <w:rFonts w:eastAsia="Times New Roman" w:cs="Arial"/>
                <w:b/>
                <w:bCs/>
                <w:color w:val="FFFFFF"/>
                <w:sz w:val="22"/>
                <w:szCs w:val="22"/>
                <w:lang w:eastAsia="en-GB"/>
              </w:rPr>
              <w:t>Description</w:t>
            </w:r>
          </w:p>
        </w:tc>
        <w:tc>
          <w:tcPr>
            <w:tcW w:w="7088" w:type="dxa"/>
            <w:tcBorders>
              <w:top w:val="single" w:sz="4" w:space="0" w:color="FFFFFF"/>
              <w:left w:val="nil"/>
              <w:bottom w:val="single" w:sz="4" w:space="0" w:color="FFFFFF"/>
              <w:right w:val="single" w:sz="4" w:space="0" w:color="FFFFFF"/>
            </w:tcBorders>
            <w:shd w:val="clear" w:color="000000" w:fill="002060"/>
            <w:noWrap/>
            <w:vAlign w:val="center"/>
            <w:hideMark/>
          </w:tcPr>
          <w:p w14:paraId="764A612F" w14:textId="77777777" w:rsidR="001E4BD0" w:rsidRPr="001E4BD0" w:rsidRDefault="001E4BD0" w:rsidP="001E4BD0">
            <w:pPr>
              <w:rPr>
                <w:rFonts w:eastAsia="Times New Roman" w:cs="Arial"/>
                <w:b/>
                <w:bCs/>
                <w:color w:val="FFFFFF"/>
                <w:sz w:val="22"/>
                <w:szCs w:val="22"/>
                <w:lang w:eastAsia="en-GB"/>
              </w:rPr>
            </w:pPr>
            <w:r w:rsidRPr="001E4BD0">
              <w:rPr>
                <w:rFonts w:eastAsia="Times New Roman" w:cs="Arial"/>
                <w:b/>
                <w:bCs/>
                <w:color w:val="FFFFFF"/>
                <w:sz w:val="22"/>
                <w:szCs w:val="22"/>
                <w:lang w:eastAsia="en-GB"/>
              </w:rPr>
              <w:t>Risk Response Description</w:t>
            </w:r>
          </w:p>
        </w:tc>
        <w:tc>
          <w:tcPr>
            <w:tcW w:w="1170" w:type="dxa"/>
            <w:tcBorders>
              <w:top w:val="single" w:sz="4" w:space="0" w:color="FFFFFF"/>
              <w:left w:val="nil"/>
              <w:bottom w:val="nil"/>
              <w:right w:val="single" w:sz="4" w:space="0" w:color="FFFFFF"/>
            </w:tcBorders>
            <w:shd w:val="clear" w:color="000000" w:fill="002060"/>
            <w:noWrap/>
            <w:vAlign w:val="center"/>
            <w:hideMark/>
          </w:tcPr>
          <w:p w14:paraId="1E7F4D86" w14:textId="77777777" w:rsidR="001E4BD0" w:rsidRPr="001E4BD0" w:rsidRDefault="001E4BD0" w:rsidP="001E4BD0">
            <w:pPr>
              <w:rPr>
                <w:rFonts w:eastAsia="Times New Roman" w:cs="Arial"/>
                <w:b/>
                <w:bCs/>
                <w:color w:val="FFFFFF"/>
                <w:sz w:val="22"/>
                <w:szCs w:val="22"/>
                <w:lang w:eastAsia="en-GB"/>
              </w:rPr>
            </w:pPr>
            <w:r w:rsidRPr="001E4BD0">
              <w:rPr>
                <w:rFonts w:eastAsia="Times New Roman" w:cs="Arial"/>
                <w:b/>
                <w:bCs/>
                <w:color w:val="FFFFFF"/>
                <w:sz w:val="22"/>
                <w:szCs w:val="22"/>
                <w:lang w:eastAsia="en-GB"/>
              </w:rPr>
              <w:t>Category</w:t>
            </w:r>
          </w:p>
        </w:tc>
      </w:tr>
      <w:tr w:rsidR="000F7118" w:rsidRPr="001E4BD0" w14:paraId="6C52391C" w14:textId="77777777" w:rsidTr="009A753F">
        <w:trPr>
          <w:trHeight w:val="1800"/>
        </w:trPr>
        <w:tc>
          <w:tcPr>
            <w:tcW w:w="2263" w:type="dxa"/>
            <w:tcBorders>
              <w:top w:val="nil"/>
              <w:left w:val="single" w:sz="4" w:space="0" w:color="auto"/>
              <w:bottom w:val="single" w:sz="4" w:space="0" w:color="auto"/>
              <w:right w:val="single" w:sz="4" w:space="0" w:color="auto"/>
            </w:tcBorders>
            <w:shd w:val="clear" w:color="auto" w:fill="auto"/>
            <w:vAlign w:val="center"/>
          </w:tcPr>
          <w:p w14:paraId="7183141F" w14:textId="77777777" w:rsidR="000F7118" w:rsidRPr="001E4BD0" w:rsidRDefault="000F7118" w:rsidP="009A753F">
            <w:pPr>
              <w:jc w:val="both"/>
              <w:rPr>
                <w:rFonts w:eastAsia="Times New Roman" w:cs="Arial"/>
                <w:color w:val="000000"/>
                <w:sz w:val="22"/>
                <w:szCs w:val="22"/>
                <w:lang w:eastAsia="en-GB"/>
              </w:rPr>
            </w:pPr>
            <w:r w:rsidRPr="001E4BD0">
              <w:rPr>
                <w:rFonts w:eastAsia="Times New Roman" w:cs="Arial"/>
                <w:color w:val="000000"/>
                <w:sz w:val="22"/>
                <w:szCs w:val="22"/>
                <w:lang w:eastAsia="en-GB"/>
              </w:rPr>
              <w:t>Planned sources of finance beyond those offered through Ci-Dev do not materialise, and projects are unable to deliver results at the intended scale.</w:t>
            </w:r>
          </w:p>
        </w:tc>
        <w:tc>
          <w:tcPr>
            <w:tcW w:w="7088" w:type="dxa"/>
            <w:tcBorders>
              <w:top w:val="nil"/>
              <w:left w:val="nil"/>
              <w:bottom w:val="single" w:sz="4" w:space="0" w:color="auto"/>
              <w:right w:val="single" w:sz="4" w:space="0" w:color="auto"/>
            </w:tcBorders>
            <w:shd w:val="clear" w:color="auto" w:fill="auto"/>
            <w:vAlign w:val="center"/>
          </w:tcPr>
          <w:p w14:paraId="4CA7E1F9" w14:textId="4C02794A" w:rsidR="000F7118" w:rsidRPr="001E4BD0" w:rsidRDefault="000F7118" w:rsidP="009A753F">
            <w:pPr>
              <w:jc w:val="both"/>
              <w:rPr>
                <w:rFonts w:eastAsia="Times New Roman" w:cs="Arial"/>
                <w:color w:val="000000"/>
                <w:sz w:val="22"/>
                <w:szCs w:val="22"/>
                <w:lang w:eastAsia="en-GB"/>
              </w:rPr>
            </w:pPr>
            <w:r w:rsidRPr="001E4BD0">
              <w:rPr>
                <w:rFonts w:eastAsia="Times New Roman" w:cs="Arial"/>
                <w:color w:val="000000"/>
                <w:sz w:val="22"/>
                <w:szCs w:val="22"/>
                <w:lang w:eastAsia="en-GB"/>
              </w:rPr>
              <w:t xml:space="preserve">The Trustee undertakes a thorough assessment process when identifying appropriate programmes, assessing institutional arrangements and political will, and conducting financial due diligence on the terms of commercial agreements, which is presented to donors for approval. Key lessons learned from Ci-Dev </w:t>
            </w:r>
            <w:r w:rsidR="00387F4A">
              <w:rPr>
                <w:rFonts w:eastAsia="Times New Roman" w:cs="Arial"/>
                <w:color w:val="000000"/>
                <w:sz w:val="22"/>
                <w:szCs w:val="22"/>
                <w:lang w:eastAsia="en-GB"/>
              </w:rPr>
              <w:t xml:space="preserve">private sector-led </w:t>
            </w:r>
            <w:r w:rsidRPr="001E4BD0">
              <w:rPr>
                <w:rFonts w:eastAsia="Times New Roman" w:cs="Arial"/>
                <w:color w:val="000000"/>
                <w:sz w:val="22"/>
                <w:szCs w:val="22"/>
                <w:lang w:eastAsia="en-GB"/>
              </w:rPr>
              <w:t xml:space="preserve">projects that have struggled to secure all anticipated sources of finance will be reflected in this process. The Trustee </w:t>
            </w:r>
            <w:r>
              <w:rPr>
                <w:rFonts w:eastAsia="Times New Roman" w:cs="Arial"/>
                <w:color w:val="000000"/>
                <w:sz w:val="22"/>
                <w:szCs w:val="22"/>
                <w:lang w:eastAsia="en-GB"/>
              </w:rPr>
              <w:t>is</w:t>
            </w:r>
            <w:r w:rsidRPr="001E4BD0">
              <w:rPr>
                <w:rFonts w:eastAsia="Times New Roman" w:cs="Arial"/>
                <w:color w:val="000000"/>
                <w:sz w:val="22"/>
                <w:szCs w:val="22"/>
                <w:lang w:eastAsia="en-GB"/>
              </w:rPr>
              <w:t xml:space="preserve"> implementing responses to distribution issues, e.g. geotagging Ethiopian biodigesters; flying out specialists; using readiness grants to overcome buy and supply side barriers, and a new portfolio development tracker allows BEIS to track CER issuance and projection over multiple scenarios.</w:t>
            </w:r>
          </w:p>
        </w:tc>
        <w:tc>
          <w:tcPr>
            <w:tcW w:w="1170" w:type="dxa"/>
            <w:tcBorders>
              <w:top w:val="single" w:sz="4" w:space="0" w:color="auto"/>
              <w:left w:val="nil"/>
              <w:bottom w:val="single" w:sz="4" w:space="0" w:color="auto"/>
              <w:right w:val="single" w:sz="4" w:space="0" w:color="auto"/>
            </w:tcBorders>
            <w:shd w:val="solid" w:color="FF0000" w:fill="FF0000"/>
            <w:noWrap/>
            <w:vAlign w:val="center"/>
          </w:tcPr>
          <w:p w14:paraId="5F94D8E9" w14:textId="77777777" w:rsidR="000F7118" w:rsidRPr="001E4BD0" w:rsidRDefault="000F7118" w:rsidP="009A753F">
            <w:pPr>
              <w:rPr>
                <w:rFonts w:eastAsia="Times New Roman" w:cs="Arial"/>
                <w:color w:val="000000"/>
                <w:sz w:val="22"/>
                <w:szCs w:val="22"/>
                <w:lang w:eastAsia="en-GB"/>
              </w:rPr>
            </w:pPr>
            <w:r>
              <w:rPr>
                <w:rFonts w:eastAsia="Times New Roman" w:cs="Arial"/>
                <w:color w:val="000000"/>
                <w:sz w:val="22"/>
                <w:szCs w:val="22"/>
                <w:lang w:eastAsia="en-GB"/>
              </w:rPr>
              <w:t>Major</w:t>
            </w:r>
          </w:p>
        </w:tc>
      </w:tr>
      <w:tr w:rsidR="00D8546F" w:rsidRPr="001E4BD0" w14:paraId="2AF2966C" w14:textId="77777777" w:rsidTr="00B7185C">
        <w:trPr>
          <w:trHeight w:val="27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1F094E6" w14:textId="77777777" w:rsidR="001E4BD0" w:rsidRPr="001E4BD0" w:rsidRDefault="001E4BD0" w:rsidP="00E06A00">
            <w:pPr>
              <w:jc w:val="both"/>
              <w:rPr>
                <w:rFonts w:eastAsia="Times New Roman" w:cs="Arial"/>
                <w:color w:val="000000"/>
                <w:sz w:val="22"/>
                <w:szCs w:val="22"/>
                <w:lang w:eastAsia="en-GB"/>
              </w:rPr>
            </w:pPr>
            <w:r w:rsidRPr="001E4BD0">
              <w:rPr>
                <w:rFonts w:eastAsia="Times New Roman" w:cs="Arial"/>
                <w:color w:val="000000"/>
                <w:sz w:val="22"/>
                <w:szCs w:val="22"/>
                <w:lang w:eastAsia="en-GB"/>
              </w:rPr>
              <w:t>Political or economic shocks in one or more partner countries leads to significantly reduced overall delivery of Ci-Dev’s intended outputs and outcomes reducing the value-for-money of BEIS’ investment.</w:t>
            </w:r>
          </w:p>
        </w:tc>
        <w:tc>
          <w:tcPr>
            <w:tcW w:w="7088" w:type="dxa"/>
            <w:tcBorders>
              <w:top w:val="nil"/>
              <w:left w:val="nil"/>
              <w:bottom w:val="single" w:sz="4" w:space="0" w:color="auto"/>
              <w:right w:val="single" w:sz="4" w:space="0" w:color="auto"/>
            </w:tcBorders>
            <w:shd w:val="clear" w:color="auto" w:fill="auto"/>
            <w:vAlign w:val="center"/>
            <w:hideMark/>
          </w:tcPr>
          <w:p w14:paraId="258D0D01" w14:textId="345E0EF8" w:rsidR="001E4BD0" w:rsidRPr="001E4BD0" w:rsidRDefault="001E4BD0" w:rsidP="00E06A00">
            <w:pPr>
              <w:jc w:val="both"/>
              <w:rPr>
                <w:rFonts w:eastAsia="Times New Roman" w:cs="Arial"/>
                <w:color w:val="000000"/>
                <w:sz w:val="22"/>
                <w:szCs w:val="22"/>
                <w:lang w:eastAsia="en-GB"/>
              </w:rPr>
            </w:pPr>
            <w:r w:rsidRPr="001E4BD0">
              <w:rPr>
                <w:rFonts w:eastAsia="Times New Roman" w:cs="Arial"/>
                <w:color w:val="000000"/>
                <w:sz w:val="22"/>
                <w:szCs w:val="22"/>
                <w:lang w:eastAsia="en-GB"/>
              </w:rPr>
              <w:t xml:space="preserve">The Trustee monitors risks through country offices. Mitigations include flying PE staff from areas too high risk to visit into neighbouring countries to shadow key implementation steps e.g. Malian staff shadowing verification in Senegal; and updating commercial agreements to reflect the diversion of funding by a host government away from Ci-Dev activity towards security purposes. </w:t>
            </w:r>
            <w:r w:rsidR="00886810">
              <w:rPr>
                <w:rFonts w:eastAsia="Times New Roman" w:cs="Arial"/>
                <w:color w:val="000000"/>
                <w:sz w:val="22"/>
                <w:szCs w:val="22"/>
                <w:lang w:eastAsia="en-GB"/>
              </w:rPr>
              <w:t xml:space="preserve">Around </w:t>
            </w:r>
            <w:r w:rsidR="00FC6229">
              <w:rPr>
                <w:rFonts w:eastAsia="Times New Roman" w:cs="Arial"/>
                <w:color w:val="000000"/>
                <w:sz w:val="22"/>
                <w:szCs w:val="22"/>
                <w:lang w:eastAsia="en-GB"/>
              </w:rPr>
              <w:t>70</w:t>
            </w:r>
            <w:r w:rsidR="00886810">
              <w:rPr>
                <w:rFonts w:eastAsia="Times New Roman" w:cs="Arial"/>
                <w:color w:val="000000"/>
                <w:sz w:val="22"/>
                <w:szCs w:val="22"/>
                <w:lang w:eastAsia="en-GB"/>
              </w:rPr>
              <w:t xml:space="preserve">% of </w:t>
            </w:r>
            <w:r w:rsidRPr="001E4BD0">
              <w:rPr>
                <w:rFonts w:eastAsia="Times New Roman" w:cs="Arial"/>
                <w:color w:val="000000"/>
                <w:sz w:val="22"/>
                <w:szCs w:val="22"/>
                <w:lang w:eastAsia="en-GB"/>
              </w:rPr>
              <w:t>BEIS fund</w:t>
            </w:r>
            <w:r w:rsidR="00FC6229">
              <w:rPr>
                <w:rFonts w:eastAsia="Times New Roman" w:cs="Arial"/>
                <w:color w:val="000000"/>
                <w:sz w:val="22"/>
                <w:szCs w:val="22"/>
                <w:lang w:eastAsia="en-GB"/>
              </w:rPr>
              <w:t>ing</w:t>
            </w:r>
            <w:r w:rsidRPr="001E4BD0">
              <w:rPr>
                <w:rFonts w:eastAsia="Times New Roman" w:cs="Arial"/>
                <w:color w:val="000000"/>
                <w:sz w:val="22"/>
                <w:szCs w:val="22"/>
                <w:lang w:eastAsia="en-GB"/>
              </w:rPr>
              <w:t xml:space="preserve"> </w:t>
            </w:r>
            <w:r w:rsidR="00FC6229">
              <w:rPr>
                <w:rFonts w:eastAsia="Times New Roman" w:cs="Arial"/>
                <w:color w:val="000000"/>
                <w:sz w:val="22"/>
                <w:szCs w:val="22"/>
                <w:lang w:eastAsia="en-GB"/>
              </w:rPr>
              <w:t>is payable by results</w:t>
            </w:r>
            <w:r w:rsidRPr="001E4BD0">
              <w:rPr>
                <w:rFonts w:eastAsia="Times New Roman" w:cs="Arial"/>
                <w:color w:val="000000"/>
                <w:sz w:val="22"/>
                <w:szCs w:val="22"/>
                <w:lang w:eastAsia="en-GB"/>
              </w:rPr>
              <w:t xml:space="preserve">, </w:t>
            </w:r>
            <w:r w:rsidR="003B43EA">
              <w:rPr>
                <w:rFonts w:eastAsia="Times New Roman" w:cs="Arial"/>
                <w:color w:val="000000"/>
                <w:sz w:val="22"/>
                <w:szCs w:val="22"/>
                <w:lang w:eastAsia="en-GB"/>
              </w:rPr>
              <w:t>and</w:t>
            </w:r>
            <w:r w:rsidRPr="001E4BD0">
              <w:rPr>
                <w:rFonts w:eastAsia="Times New Roman" w:cs="Arial"/>
                <w:color w:val="000000"/>
                <w:sz w:val="22"/>
                <w:szCs w:val="22"/>
                <w:lang w:eastAsia="en-GB"/>
              </w:rPr>
              <w:t xml:space="preserve"> </w:t>
            </w:r>
            <w:r w:rsidR="006D59C3">
              <w:rPr>
                <w:rFonts w:eastAsia="Times New Roman" w:cs="Arial"/>
                <w:color w:val="000000"/>
                <w:sz w:val="22"/>
                <w:szCs w:val="22"/>
                <w:lang w:eastAsia="en-GB"/>
              </w:rPr>
              <w:t>is</w:t>
            </w:r>
            <w:r w:rsidR="006D59C3" w:rsidRPr="001E4BD0">
              <w:rPr>
                <w:rFonts w:eastAsia="Times New Roman" w:cs="Arial"/>
                <w:color w:val="000000"/>
                <w:sz w:val="22"/>
                <w:szCs w:val="22"/>
                <w:lang w:eastAsia="en-GB"/>
              </w:rPr>
              <w:t xml:space="preserve"> </w:t>
            </w:r>
            <w:r w:rsidR="003B43EA">
              <w:rPr>
                <w:rFonts w:eastAsia="Times New Roman" w:cs="Arial"/>
                <w:color w:val="000000"/>
                <w:sz w:val="22"/>
                <w:szCs w:val="22"/>
                <w:lang w:eastAsia="en-GB"/>
              </w:rPr>
              <w:t xml:space="preserve">therefore </w:t>
            </w:r>
            <w:r w:rsidRPr="001E4BD0">
              <w:rPr>
                <w:rFonts w:eastAsia="Times New Roman" w:cs="Arial"/>
                <w:color w:val="000000"/>
                <w:sz w:val="22"/>
                <w:szCs w:val="22"/>
                <w:lang w:eastAsia="en-GB"/>
              </w:rPr>
              <w:t xml:space="preserve">protected in </w:t>
            </w:r>
            <w:r w:rsidR="001D7B22">
              <w:rPr>
                <w:rFonts w:eastAsia="Times New Roman" w:cs="Arial"/>
                <w:color w:val="000000"/>
                <w:sz w:val="22"/>
                <w:szCs w:val="22"/>
                <w:lang w:eastAsia="en-GB"/>
              </w:rPr>
              <w:t xml:space="preserve">the </w:t>
            </w:r>
            <w:r w:rsidRPr="001E4BD0">
              <w:rPr>
                <w:rFonts w:eastAsia="Times New Roman" w:cs="Arial"/>
                <w:color w:val="000000"/>
                <w:sz w:val="22"/>
                <w:szCs w:val="22"/>
                <w:lang w:eastAsia="en-GB"/>
              </w:rPr>
              <w:t xml:space="preserve">event of </w:t>
            </w:r>
            <w:r w:rsidR="003B43EA">
              <w:rPr>
                <w:rFonts w:eastAsia="Times New Roman" w:cs="Arial"/>
                <w:color w:val="000000"/>
                <w:sz w:val="22"/>
                <w:szCs w:val="22"/>
                <w:lang w:eastAsia="en-GB"/>
              </w:rPr>
              <w:t xml:space="preserve">undelivery, </w:t>
            </w:r>
            <w:r w:rsidRPr="001E4BD0">
              <w:rPr>
                <w:rFonts w:eastAsia="Times New Roman" w:cs="Arial"/>
                <w:color w:val="000000"/>
                <w:sz w:val="22"/>
                <w:szCs w:val="22"/>
                <w:lang w:eastAsia="en-GB"/>
              </w:rPr>
              <w:t>and can be repurposed</w:t>
            </w:r>
            <w:r w:rsidR="005A74AE">
              <w:rPr>
                <w:rFonts w:eastAsia="Times New Roman" w:cs="Arial"/>
                <w:color w:val="000000"/>
                <w:sz w:val="22"/>
                <w:szCs w:val="22"/>
                <w:lang w:eastAsia="en-GB"/>
              </w:rPr>
              <w:t>.</w:t>
            </w:r>
          </w:p>
        </w:tc>
        <w:tc>
          <w:tcPr>
            <w:tcW w:w="1170" w:type="dxa"/>
            <w:tcBorders>
              <w:top w:val="nil"/>
              <w:left w:val="nil"/>
              <w:bottom w:val="single" w:sz="4" w:space="0" w:color="auto"/>
              <w:right w:val="single" w:sz="4" w:space="0" w:color="auto"/>
            </w:tcBorders>
            <w:shd w:val="clear" w:color="000000" w:fill="FF0000"/>
            <w:noWrap/>
            <w:vAlign w:val="center"/>
            <w:hideMark/>
          </w:tcPr>
          <w:p w14:paraId="2F38A3D9" w14:textId="77777777" w:rsidR="001E4BD0" w:rsidRPr="001E4BD0" w:rsidRDefault="001E4BD0" w:rsidP="001E4BD0">
            <w:pPr>
              <w:rPr>
                <w:rFonts w:eastAsia="Times New Roman" w:cs="Arial"/>
                <w:color w:val="000000"/>
                <w:sz w:val="22"/>
                <w:szCs w:val="22"/>
                <w:lang w:eastAsia="en-GB"/>
              </w:rPr>
            </w:pPr>
            <w:r w:rsidRPr="001E4BD0">
              <w:rPr>
                <w:rFonts w:eastAsia="Times New Roman" w:cs="Arial"/>
                <w:color w:val="000000"/>
                <w:sz w:val="22"/>
                <w:szCs w:val="22"/>
                <w:lang w:eastAsia="en-GB"/>
              </w:rPr>
              <w:t>Major</w:t>
            </w:r>
          </w:p>
        </w:tc>
      </w:tr>
      <w:tr w:rsidR="00C475D8" w:rsidRPr="001E4BD0" w14:paraId="5F3BCABA" w14:textId="77777777" w:rsidTr="00B7185C">
        <w:trPr>
          <w:trHeight w:val="24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9C6D2" w14:textId="77777777" w:rsidR="00C475D8" w:rsidRPr="001E4BD0" w:rsidRDefault="00C475D8" w:rsidP="009A753F">
            <w:pPr>
              <w:jc w:val="both"/>
              <w:rPr>
                <w:rFonts w:eastAsia="Times New Roman" w:cs="Arial"/>
                <w:color w:val="000000"/>
                <w:sz w:val="22"/>
                <w:szCs w:val="22"/>
                <w:lang w:eastAsia="en-GB"/>
              </w:rPr>
            </w:pPr>
            <w:r w:rsidRPr="001E4BD0">
              <w:rPr>
                <w:rFonts w:eastAsia="Times New Roman" w:cs="Arial"/>
                <w:color w:val="000000"/>
                <w:sz w:val="22"/>
                <w:szCs w:val="22"/>
                <w:lang w:eastAsia="en-GB"/>
              </w:rPr>
              <w:t>Host countr</w:t>
            </w:r>
            <w:r>
              <w:rPr>
                <w:rFonts w:eastAsia="Times New Roman" w:cs="Arial"/>
                <w:color w:val="000000"/>
                <w:sz w:val="22"/>
                <w:szCs w:val="22"/>
                <w:lang w:eastAsia="en-GB"/>
              </w:rPr>
              <w:t>ies</w:t>
            </w:r>
            <w:r w:rsidRPr="001E4BD0">
              <w:rPr>
                <w:rFonts w:eastAsia="Times New Roman" w:cs="Arial"/>
                <w:color w:val="000000"/>
                <w:sz w:val="22"/>
                <w:szCs w:val="22"/>
                <w:lang w:eastAsia="en-GB"/>
              </w:rPr>
              <w:t xml:space="preserve"> focus on health, food and security elements of </w:t>
            </w:r>
            <w:r>
              <w:rPr>
                <w:rFonts w:eastAsia="Times New Roman" w:cs="Arial"/>
                <w:color w:val="000000"/>
                <w:sz w:val="22"/>
                <w:szCs w:val="22"/>
                <w:lang w:eastAsia="en-GB"/>
              </w:rPr>
              <w:t xml:space="preserve">a </w:t>
            </w:r>
            <w:r w:rsidRPr="001E4BD0">
              <w:rPr>
                <w:rFonts w:eastAsia="Times New Roman" w:cs="Arial"/>
                <w:color w:val="000000"/>
                <w:sz w:val="22"/>
                <w:szCs w:val="22"/>
                <w:lang w:eastAsia="en-GB"/>
              </w:rPr>
              <w:t>coronavirus response, lowering their capacity to engage on Ci-Dev and achieve results.</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14:paraId="652D4BD1" w14:textId="77777777" w:rsidR="00C475D8" w:rsidRPr="001E4BD0" w:rsidRDefault="00C475D8" w:rsidP="009A753F">
            <w:pPr>
              <w:jc w:val="both"/>
              <w:rPr>
                <w:rFonts w:eastAsia="Times New Roman" w:cs="Arial"/>
                <w:color w:val="000000"/>
                <w:sz w:val="22"/>
                <w:szCs w:val="22"/>
                <w:lang w:eastAsia="en-GB"/>
              </w:rPr>
            </w:pPr>
            <w:r w:rsidRPr="001E4BD0">
              <w:rPr>
                <w:rFonts w:eastAsia="Times New Roman" w:cs="Arial"/>
                <w:color w:val="000000"/>
                <w:sz w:val="22"/>
                <w:szCs w:val="22"/>
                <w:lang w:eastAsia="en-GB"/>
              </w:rPr>
              <w:t>The Trustee will monitor and report quarterly on coronavirus impacts and mitigations for Ci-Dev projects (see recommendation 2). Following a BEIS request, the Trustee delivered an initial assessment of impacts. Mitigations so far include the use of more conservative delivery projections, capacity building through virtual engagements, and procurement of equipment to allow PEs to operate remotely.</w:t>
            </w:r>
          </w:p>
        </w:tc>
        <w:tc>
          <w:tcPr>
            <w:tcW w:w="1170" w:type="dxa"/>
            <w:tcBorders>
              <w:top w:val="single" w:sz="4" w:space="0" w:color="auto"/>
              <w:left w:val="nil"/>
              <w:bottom w:val="single" w:sz="4" w:space="0" w:color="auto"/>
              <w:right w:val="single" w:sz="4" w:space="0" w:color="auto"/>
            </w:tcBorders>
            <w:shd w:val="diagStripe" w:color="FFFF00" w:fill="FF0000"/>
            <w:noWrap/>
            <w:vAlign w:val="center"/>
            <w:hideMark/>
          </w:tcPr>
          <w:p w14:paraId="15C26F7D" w14:textId="442B1FDD" w:rsidR="00C475D8" w:rsidRPr="001E4BD0" w:rsidRDefault="00C475D8" w:rsidP="009A753F">
            <w:pPr>
              <w:rPr>
                <w:rFonts w:eastAsia="Times New Roman" w:cs="Arial"/>
                <w:color w:val="000000"/>
                <w:sz w:val="22"/>
                <w:szCs w:val="22"/>
                <w:lang w:eastAsia="en-GB"/>
              </w:rPr>
            </w:pPr>
            <w:r w:rsidRPr="001E4BD0">
              <w:rPr>
                <w:rFonts w:eastAsia="Times New Roman" w:cs="Arial"/>
                <w:color w:val="000000"/>
                <w:sz w:val="22"/>
                <w:szCs w:val="22"/>
                <w:lang w:eastAsia="en-GB"/>
              </w:rPr>
              <w:t>Majo</w:t>
            </w:r>
            <w:r>
              <w:rPr>
                <w:rFonts w:eastAsia="Times New Roman" w:cs="Arial"/>
                <w:color w:val="000000"/>
                <w:sz w:val="22"/>
                <w:szCs w:val="22"/>
                <w:lang w:eastAsia="en-GB"/>
              </w:rPr>
              <w:t>r</w:t>
            </w:r>
            <w:r w:rsidR="007617FE">
              <w:rPr>
                <w:rFonts w:eastAsia="Times New Roman" w:cs="Arial"/>
                <w:color w:val="000000"/>
                <w:sz w:val="22"/>
                <w:szCs w:val="22"/>
                <w:lang w:eastAsia="en-GB"/>
              </w:rPr>
              <w:t xml:space="preserve"> / Moderate</w:t>
            </w:r>
          </w:p>
        </w:tc>
      </w:tr>
      <w:tr w:rsidR="002F7203" w:rsidRPr="001E4BD0" w14:paraId="38611DF6" w14:textId="77777777" w:rsidTr="001F3E1F">
        <w:trPr>
          <w:trHeight w:val="18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78177DD" w14:textId="21D64625" w:rsidR="002F7203" w:rsidRPr="001E4BD0" w:rsidRDefault="002F7203" w:rsidP="002F7203">
            <w:pPr>
              <w:jc w:val="both"/>
              <w:rPr>
                <w:rFonts w:eastAsia="Times New Roman" w:cs="Arial"/>
                <w:color w:val="000000"/>
                <w:sz w:val="22"/>
                <w:szCs w:val="22"/>
                <w:lang w:eastAsia="en-GB"/>
              </w:rPr>
            </w:pPr>
            <w:r w:rsidRPr="001E4BD0">
              <w:rPr>
                <w:rFonts w:eastAsia="Times New Roman" w:cs="Arial"/>
                <w:color w:val="000000"/>
                <w:sz w:val="22"/>
                <w:szCs w:val="22"/>
                <w:lang w:eastAsia="en-GB"/>
              </w:rPr>
              <w:t xml:space="preserve">Broader lending operations that have a Ci-Dev component are delayed, </w:t>
            </w:r>
            <w:r>
              <w:rPr>
                <w:rFonts w:eastAsia="Times New Roman" w:cs="Arial"/>
                <w:color w:val="000000"/>
                <w:sz w:val="22"/>
                <w:szCs w:val="22"/>
                <w:lang w:eastAsia="en-GB"/>
              </w:rPr>
              <w:t xml:space="preserve">jeopardising timely </w:t>
            </w:r>
            <w:r w:rsidRPr="001E4BD0">
              <w:rPr>
                <w:rFonts w:eastAsia="Times New Roman" w:cs="Arial"/>
                <w:color w:val="000000"/>
                <w:sz w:val="22"/>
                <w:szCs w:val="22"/>
                <w:lang w:eastAsia="en-GB"/>
              </w:rPr>
              <w:t xml:space="preserve">achievement of Ci-Dev results. </w:t>
            </w:r>
          </w:p>
        </w:tc>
        <w:tc>
          <w:tcPr>
            <w:tcW w:w="7088" w:type="dxa"/>
            <w:tcBorders>
              <w:top w:val="nil"/>
              <w:left w:val="nil"/>
              <w:bottom w:val="single" w:sz="4" w:space="0" w:color="auto"/>
              <w:right w:val="single" w:sz="4" w:space="0" w:color="auto"/>
            </w:tcBorders>
            <w:shd w:val="clear" w:color="auto" w:fill="auto"/>
            <w:vAlign w:val="center"/>
            <w:hideMark/>
          </w:tcPr>
          <w:p w14:paraId="7CE02FD3" w14:textId="4D2D8E70" w:rsidR="002F7203" w:rsidRPr="001E4BD0" w:rsidRDefault="002F7203" w:rsidP="002F7203">
            <w:pPr>
              <w:jc w:val="both"/>
              <w:rPr>
                <w:rFonts w:eastAsia="Times New Roman" w:cs="Arial"/>
                <w:color w:val="000000"/>
                <w:sz w:val="22"/>
                <w:szCs w:val="22"/>
                <w:lang w:eastAsia="en-GB"/>
              </w:rPr>
            </w:pPr>
            <w:r w:rsidRPr="001E4BD0">
              <w:rPr>
                <w:rFonts w:eastAsia="Times New Roman" w:cs="Arial"/>
                <w:color w:val="000000"/>
                <w:sz w:val="22"/>
                <w:szCs w:val="22"/>
                <w:lang w:eastAsia="en-GB"/>
              </w:rPr>
              <w:t>The Trustee will make as much independent progress as possible, assessing the likelihood of progress on wider lending operation(s), discussing this with donors and agreeing a way forward, including modification or termination of the agreement, with replacement project(s) sought. The Trustee will seek to influence broader lending operations to the extent possible, in a way that helps mainstream the achievement of Ci-Dev results.</w:t>
            </w:r>
          </w:p>
        </w:tc>
        <w:tc>
          <w:tcPr>
            <w:tcW w:w="1170" w:type="dxa"/>
            <w:tcBorders>
              <w:top w:val="nil"/>
              <w:left w:val="nil"/>
              <w:bottom w:val="single" w:sz="4" w:space="0" w:color="auto"/>
              <w:right w:val="single" w:sz="4" w:space="0" w:color="auto"/>
            </w:tcBorders>
            <w:shd w:val="clear" w:color="000000" w:fill="FFFF00"/>
            <w:noWrap/>
            <w:vAlign w:val="center"/>
            <w:hideMark/>
          </w:tcPr>
          <w:p w14:paraId="3F97A9FD" w14:textId="77777777" w:rsidR="002F7203" w:rsidRPr="001E4BD0" w:rsidRDefault="002F7203" w:rsidP="002F7203">
            <w:pPr>
              <w:rPr>
                <w:rFonts w:eastAsia="Times New Roman" w:cs="Arial"/>
                <w:color w:val="000000"/>
                <w:sz w:val="22"/>
                <w:szCs w:val="22"/>
                <w:lang w:eastAsia="en-GB"/>
              </w:rPr>
            </w:pPr>
            <w:r w:rsidRPr="001E4BD0">
              <w:rPr>
                <w:rFonts w:eastAsia="Times New Roman" w:cs="Arial"/>
                <w:color w:val="000000"/>
                <w:sz w:val="22"/>
                <w:szCs w:val="22"/>
                <w:lang w:eastAsia="en-GB"/>
              </w:rPr>
              <w:t>Moderate</w:t>
            </w:r>
          </w:p>
        </w:tc>
      </w:tr>
      <w:tr w:rsidR="002F7203" w:rsidRPr="001E4BD0" w14:paraId="7C92B9D9" w14:textId="77777777" w:rsidTr="001F3E1F">
        <w:trPr>
          <w:trHeight w:val="2607"/>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0C7320D" w14:textId="77777777" w:rsidR="002F7203" w:rsidRPr="001E4BD0" w:rsidRDefault="002F7203" w:rsidP="002F7203">
            <w:pPr>
              <w:jc w:val="both"/>
              <w:rPr>
                <w:rFonts w:eastAsia="Times New Roman" w:cs="Arial"/>
                <w:color w:val="000000"/>
                <w:sz w:val="22"/>
                <w:szCs w:val="22"/>
                <w:lang w:eastAsia="en-GB"/>
              </w:rPr>
            </w:pPr>
            <w:r w:rsidRPr="001E4BD0">
              <w:rPr>
                <w:rFonts w:eastAsia="Times New Roman" w:cs="Arial"/>
                <w:color w:val="000000"/>
                <w:sz w:val="22"/>
                <w:szCs w:val="22"/>
                <w:lang w:eastAsia="en-GB"/>
              </w:rPr>
              <w:t>Ci-Dev activities fail to comply with emerging Article 6 guidance so that Ci-Dev credits lack environmental integrity or have negative developmental consequences that damage the UK's reputation.</w:t>
            </w:r>
          </w:p>
        </w:tc>
        <w:tc>
          <w:tcPr>
            <w:tcW w:w="7088" w:type="dxa"/>
            <w:tcBorders>
              <w:top w:val="nil"/>
              <w:left w:val="nil"/>
              <w:bottom w:val="single" w:sz="4" w:space="0" w:color="auto"/>
              <w:right w:val="single" w:sz="4" w:space="0" w:color="auto"/>
            </w:tcBorders>
            <w:shd w:val="clear" w:color="auto" w:fill="auto"/>
            <w:vAlign w:val="center"/>
            <w:hideMark/>
          </w:tcPr>
          <w:p w14:paraId="74D7BB5E" w14:textId="033C80D9" w:rsidR="002F7203" w:rsidRPr="001E4BD0" w:rsidRDefault="002F7203" w:rsidP="002F7203">
            <w:pPr>
              <w:jc w:val="both"/>
              <w:rPr>
                <w:rFonts w:eastAsia="Times New Roman" w:cs="Arial"/>
                <w:color w:val="000000"/>
                <w:sz w:val="22"/>
                <w:szCs w:val="22"/>
                <w:lang w:eastAsia="en-GB"/>
              </w:rPr>
            </w:pPr>
            <w:r w:rsidRPr="001E4BD0">
              <w:rPr>
                <w:rFonts w:eastAsia="Times New Roman" w:cs="Arial"/>
                <w:color w:val="000000"/>
                <w:sz w:val="22"/>
                <w:szCs w:val="22"/>
                <w:lang w:eastAsia="en-GB"/>
              </w:rPr>
              <w:t xml:space="preserve">Projects will have substantial in-country emission reductions and sustainable development benefits regardless of UNFCCC outcomes. The UK is committed to pay for units that meet CDM requirements, or a comparable standard, so finance for project entities is unlikely to be affected. The Trustee: will ensure high integrity Ci-Dev credits with high chance of post 2020 compliance; </w:t>
            </w:r>
            <w:r>
              <w:rPr>
                <w:rFonts w:eastAsia="Times New Roman" w:cs="Arial"/>
                <w:color w:val="000000"/>
                <w:sz w:val="22"/>
                <w:szCs w:val="22"/>
                <w:lang w:eastAsia="en-GB"/>
              </w:rPr>
              <w:t xml:space="preserve">is </w:t>
            </w:r>
            <w:r w:rsidRPr="001E4BD0">
              <w:rPr>
                <w:rFonts w:eastAsia="Times New Roman" w:cs="Arial"/>
                <w:color w:val="000000"/>
                <w:sz w:val="22"/>
                <w:szCs w:val="22"/>
                <w:lang w:eastAsia="en-GB"/>
              </w:rPr>
              <w:t xml:space="preserve">piloting activity which could inform the post 2020 environment; and </w:t>
            </w:r>
            <w:r>
              <w:rPr>
                <w:rFonts w:eastAsia="Times New Roman" w:cs="Arial"/>
                <w:color w:val="000000"/>
                <w:sz w:val="22"/>
                <w:szCs w:val="22"/>
                <w:lang w:eastAsia="en-GB"/>
              </w:rPr>
              <w:t xml:space="preserve">is </w:t>
            </w:r>
            <w:r w:rsidRPr="001E4BD0">
              <w:rPr>
                <w:rFonts w:eastAsia="Times New Roman" w:cs="Arial"/>
                <w:color w:val="000000"/>
                <w:sz w:val="22"/>
                <w:szCs w:val="22"/>
                <w:lang w:eastAsia="en-GB"/>
              </w:rPr>
              <w:t xml:space="preserve">assessing risks and opportunities associated with different options for Article 6 alignment through their portfolio transition strategy. </w:t>
            </w:r>
          </w:p>
        </w:tc>
        <w:tc>
          <w:tcPr>
            <w:tcW w:w="1170" w:type="dxa"/>
            <w:tcBorders>
              <w:top w:val="nil"/>
              <w:left w:val="nil"/>
              <w:bottom w:val="single" w:sz="4" w:space="0" w:color="auto"/>
              <w:right w:val="single" w:sz="4" w:space="0" w:color="auto"/>
            </w:tcBorders>
            <w:shd w:val="clear" w:color="000000" w:fill="FFFF00"/>
            <w:noWrap/>
            <w:vAlign w:val="center"/>
            <w:hideMark/>
          </w:tcPr>
          <w:p w14:paraId="133BEA28" w14:textId="77777777" w:rsidR="002F7203" w:rsidRPr="001E4BD0" w:rsidRDefault="002F7203" w:rsidP="002F7203">
            <w:pPr>
              <w:rPr>
                <w:rFonts w:eastAsia="Times New Roman" w:cs="Arial"/>
                <w:color w:val="000000"/>
                <w:sz w:val="22"/>
                <w:szCs w:val="22"/>
                <w:lang w:eastAsia="en-GB"/>
              </w:rPr>
            </w:pPr>
            <w:r w:rsidRPr="001E4BD0">
              <w:rPr>
                <w:rFonts w:eastAsia="Times New Roman" w:cs="Arial"/>
                <w:color w:val="000000"/>
                <w:sz w:val="22"/>
                <w:szCs w:val="22"/>
                <w:lang w:eastAsia="en-GB"/>
              </w:rPr>
              <w:t>Moderate</w:t>
            </w:r>
          </w:p>
        </w:tc>
      </w:tr>
      <w:tr w:rsidR="002F7203" w:rsidRPr="001E4BD0" w14:paraId="4D2FADEA" w14:textId="77777777" w:rsidTr="001F3E1F">
        <w:trPr>
          <w:trHeight w:val="1553"/>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7E2758F" w14:textId="633E00F0" w:rsidR="002F7203" w:rsidRPr="001E4BD0" w:rsidRDefault="002F7203" w:rsidP="002F7203">
            <w:pPr>
              <w:jc w:val="both"/>
              <w:rPr>
                <w:rFonts w:eastAsia="Times New Roman" w:cs="Arial"/>
                <w:color w:val="000000"/>
                <w:sz w:val="22"/>
                <w:szCs w:val="22"/>
                <w:lang w:eastAsia="en-GB"/>
              </w:rPr>
            </w:pPr>
            <w:r w:rsidRPr="001E4BD0">
              <w:rPr>
                <w:rFonts w:eastAsia="Times New Roman" w:cs="Arial"/>
                <w:color w:val="000000"/>
                <w:sz w:val="22"/>
                <w:szCs w:val="22"/>
                <w:lang w:eastAsia="en-GB"/>
              </w:rPr>
              <w:lastRenderedPageBreak/>
              <w:t xml:space="preserve">The forthcoming Mid Term Evaluation is not equipped to make an adequate assessment of Ci-Dev's performance </w:t>
            </w:r>
          </w:p>
        </w:tc>
        <w:tc>
          <w:tcPr>
            <w:tcW w:w="7088" w:type="dxa"/>
            <w:tcBorders>
              <w:top w:val="nil"/>
              <w:left w:val="nil"/>
              <w:bottom w:val="single" w:sz="4" w:space="0" w:color="auto"/>
              <w:right w:val="single" w:sz="4" w:space="0" w:color="auto"/>
            </w:tcBorders>
            <w:shd w:val="clear" w:color="auto" w:fill="auto"/>
            <w:vAlign w:val="center"/>
            <w:hideMark/>
          </w:tcPr>
          <w:p w14:paraId="25C4C87E" w14:textId="77777777" w:rsidR="002F7203" w:rsidRPr="001E4BD0" w:rsidRDefault="002F7203" w:rsidP="002F7203">
            <w:pPr>
              <w:jc w:val="both"/>
              <w:rPr>
                <w:rFonts w:eastAsia="Times New Roman" w:cs="Arial"/>
                <w:color w:val="000000"/>
                <w:sz w:val="22"/>
                <w:szCs w:val="22"/>
                <w:lang w:eastAsia="en-GB"/>
              </w:rPr>
            </w:pPr>
            <w:r w:rsidRPr="001E4BD0">
              <w:rPr>
                <w:rFonts w:eastAsia="Times New Roman" w:cs="Arial"/>
                <w:color w:val="000000"/>
                <w:sz w:val="22"/>
                <w:szCs w:val="22"/>
                <w:lang w:eastAsia="en-GB"/>
              </w:rPr>
              <w:t>BEIS, as client, are ensuring that final report follows the methodological approach agreed by BEIS analysts, is independent, and concluded on time. Significant resource from the Trustee, evaluators and BEIS has been committed to the report and helped ensure the latest draft is independent, robust, and represents good value for money. The Trustee was proactive in arranging travel and interview schedules, and access to the data and people required.</w:t>
            </w:r>
          </w:p>
        </w:tc>
        <w:tc>
          <w:tcPr>
            <w:tcW w:w="1170" w:type="dxa"/>
            <w:tcBorders>
              <w:top w:val="nil"/>
              <w:left w:val="nil"/>
              <w:bottom w:val="single" w:sz="4" w:space="0" w:color="auto"/>
              <w:right w:val="single" w:sz="4" w:space="0" w:color="auto"/>
            </w:tcBorders>
            <w:shd w:val="clear" w:color="000000" w:fill="00B050"/>
            <w:noWrap/>
            <w:vAlign w:val="center"/>
            <w:hideMark/>
          </w:tcPr>
          <w:p w14:paraId="094C3F93" w14:textId="77777777" w:rsidR="002F7203" w:rsidRPr="001E4BD0" w:rsidRDefault="002F7203" w:rsidP="002F7203">
            <w:pPr>
              <w:rPr>
                <w:rFonts w:eastAsia="Times New Roman" w:cs="Arial"/>
                <w:color w:val="000000"/>
                <w:sz w:val="22"/>
                <w:szCs w:val="22"/>
                <w:lang w:eastAsia="en-GB"/>
              </w:rPr>
            </w:pPr>
            <w:r w:rsidRPr="001E4BD0">
              <w:rPr>
                <w:rFonts w:eastAsia="Times New Roman" w:cs="Arial"/>
                <w:color w:val="000000"/>
                <w:sz w:val="22"/>
                <w:szCs w:val="22"/>
                <w:lang w:eastAsia="en-GB"/>
              </w:rPr>
              <w:t>Minor</w:t>
            </w:r>
          </w:p>
        </w:tc>
      </w:tr>
      <w:tr w:rsidR="002F7203" w:rsidRPr="001E4BD0" w14:paraId="1BCDC382" w14:textId="77777777" w:rsidTr="001F3E1F">
        <w:trPr>
          <w:trHeight w:val="228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92FB6BC" w14:textId="3432207B" w:rsidR="002F7203" w:rsidRPr="001E4BD0" w:rsidRDefault="002F7203" w:rsidP="002F7203">
            <w:pPr>
              <w:jc w:val="both"/>
              <w:rPr>
                <w:rFonts w:eastAsia="Times New Roman" w:cs="Arial"/>
                <w:color w:val="000000"/>
                <w:sz w:val="22"/>
                <w:szCs w:val="22"/>
                <w:lang w:eastAsia="en-GB"/>
              </w:rPr>
            </w:pPr>
            <w:r w:rsidRPr="001E4BD0">
              <w:rPr>
                <w:rFonts w:eastAsia="Times New Roman" w:cs="Arial"/>
                <w:color w:val="000000"/>
                <w:sz w:val="22"/>
                <w:szCs w:val="22"/>
                <w:lang w:eastAsia="en-GB"/>
              </w:rPr>
              <w:t xml:space="preserve">Corruption and insufficient financial capacities in host countries mean funds are misdirected or used inefficiently, reducing BEIS value for money and </w:t>
            </w:r>
            <w:r>
              <w:rPr>
                <w:rFonts w:eastAsia="Times New Roman" w:cs="Arial"/>
                <w:color w:val="000000"/>
                <w:sz w:val="22"/>
                <w:szCs w:val="22"/>
                <w:lang w:eastAsia="en-GB"/>
              </w:rPr>
              <w:t xml:space="preserve">drawing </w:t>
            </w:r>
            <w:r w:rsidRPr="001E4BD0">
              <w:rPr>
                <w:rFonts w:eastAsia="Times New Roman" w:cs="Arial"/>
                <w:color w:val="000000"/>
                <w:sz w:val="22"/>
                <w:szCs w:val="22"/>
                <w:lang w:eastAsia="en-GB"/>
              </w:rPr>
              <w:t>criticism.</w:t>
            </w:r>
          </w:p>
        </w:tc>
        <w:tc>
          <w:tcPr>
            <w:tcW w:w="7088" w:type="dxa"/>
            <w:tcBorders>
              <w:top w:val="nil"/>
              <w:left w:val="nil"/>
              <w:bottom w:val="single" w:sz="4" w:space="0" w:color="auto"/>
              <w:right w:val="single" w:sz="4" w:space="0" w:color="auto"/>
            </w:tcBorders>
            <w:shd w:val="clear" w:color="auto" w:fill="auto"/>
            <w:vAlign w:val="center"/>
            <w:hideMark/>
          </w:tcPr>
          <w:p w14:paraId="76822422" w14:textId="4EA3CBFD" w:rsidR="002F7203" w:rsidRPr="001E4BD0" w:rsidRDefault="002F7203" w:rsidP="002F7203">
            <w:pPr>
              <w:jc w:val="both"/>
              <w:rPr>
                <w:rFonts w:eastAsia="Times New Roman" w:cs="Arial"/>
                <w:color w:val="000000"/>
                <w:sz w:val="22"/>
                <w:szCs w:val="22"/>
                <w:lang w:eastAsia="en-GB"/>
              </w:rPr>
            </w:pPr>
            <w:r w:rsidRPr="001E4BD0">
              <w:rPr>
                <w:rFonts w:eastAsia="Times New Roman" w:cs="Arial"/>
                <w:color w:val="000000"/>
                <w:sz w:val="22"/>
                <w:szCs w:val="22"/>
                <w:lang w:eastAsia="en-GB"/>
              </w:rPr>
              <w:t>All</w:t>
            </w:r>
            <w:r>
              <w:rPr>
                <w:rFonts w:eastAsia="Times New Roman" w:cs="Arial"/>
                <w:color w:val="000000"/>
                <w:sz w:val="22"/>
                <w:szCs w:val="22"/>
                <w:lang w:eastAsia="en-GB"/>
              </w:rPr>
              <w:t xml:space="preserve"> </w:t>
            </w:r>
            <w:r w:rsidRPr="001E4BD0">
              <w:rPr>
                <w:rFonts w:eastAsia="Times New Roman" w:cs="Arial"/>
                <w:color w:val="000000"/>
                <w:sz w:val="22"/>
                <w:szCs w:val="22"/>
                <w:lang w:eastAsia="en-GB"/>
              </w:rPr>
              <w:t>programmes are subject to World Bank due diligence and safeguard</w:t>
            </w:r>
            <w:r>
              <w:rPr>
                <w:rFonts w:eastAsia="Times New Roman" w:cs="Arial"/>
                <w:color w:val="000000"/>
                <w:sz w:val="22"/>
                <w:szCs w:val="22"/>
                <w:lang w:eastAsia="en-GB"/>
              </w:rPr>
              <w:t>ing</w:t>
            </w:r>
            <w:r w:rsidRPr="001E4BD0">
              <w:rPr>
                <w:rFonts w:eastAsia="Times New Roman" w:cs="Arial"/>
                <w:color w:val="000000"/>
                <w:sz w:val="22"/>
                <w:szCs w:val="22"/>
                <w:lang w:eastAsia="en-GB"/>
              </w:rPr>
              <w:t xml:space="preserve"> and fiduciary supervision. Payments are only be made upon verification of the monitored emissions reductions by an independent third party and as long as the programme is in compliance with the safeguarding policies of the Trustee and the CDM, this risk of corruption will be minimised to the greatest extent possible. </w:t>
            </w:r>
          </w:p>
        </w:tc>
        <w:tc>
          <w:tcPr>
            <w:tcW w:w="1170" w:type="dxa"/>
            <w:tcBorders>
              <w:top w:val="nil"/>
              <w:left w:val="nil"/>
              <w:bottom w:val="single" w:sz="4" w:space="0" w:color="auto"/>
              <w:right w:val="single" w:sz="4" w:space="0" w:color="auto"/>
            </w:tcBorders>
            <w:shd w:val="clear" w:color="000000" w:fill="00B050"/>
            <w:noWrap/>
            <w:vAlign w:val="center"/>
            <w:hideMark/>
          </w:tcPr>
          <w:p w14:paraId="79B12462" w14:textId="77777777" w:rsidR="002F7203" w:rsidRPr="001E4BD0" w:rsidRDefault="002F7203" w:rsidP="002F7203">
            <w:pPr>
              <w:rPr>
                <w:rFonts w:eastAsia="Times New Roman" w:cs="Arial"/>
                <w:color w:val="000000"/>
                <w:sz w:val="22"/>
                <w:szCs w:val="22"/>
                <w:lang w:eastAsia="en-GB"/>
              </w:rPr>
            </w:pPr>
            <w:r w:rsidRPr="001E4BD0">
              <w:rPr>
                <w:rFonts w:eastAsia="Times New Roman" w:cs="Arial"/>
                <w:color w:val="000000"/>
                <w:sz w:val="22"/>
                <w:szCs w:val="22"/>
                <w:lang w:eastAsia="en-GB"/>
              </w:rPr>
              <w:t>Minor</w:t>
            </w:r>
          </w:p>
        </w:tc>
      </w:tr>
    </w:tbl>
    <w:p w14:paraId="2493C591" w14:textId="77777777" w:rsidR="00442FF7" w:rsidRDefault="00442FF7" w:rsidP="004F3648">
      <w:pPr>
        <w:contextualSpacing/>
        <w:jc w:val="both"/>
        <w:rPr>
          <w:rFonts w:cs="Arial"/>
          <w:color w:val="000000" w:themeColor="text1"/>
          <w:sz w:val="22"/>
          <w:szCs w:val="22"/>
        </w:rPr>
      </w:pPr>
    </w:p>
    <w:p w14:paraId="6DCB303A" w14:textId="587AF634" w:rsidR="00AC3E66" w:rsidRPr="00E336D3" w:rsidRDefault="00442FF7" w:rsidP="00B34703">
      <w:pPr>
        <w:contextualSpacing/>
        <w:jc w:val="both"/>
        <w:rPr>
          <w:rFonts w:cs="Arial"/>
          <w:color w:val="000000" w:themeColor="text1"/>
          <w:sz w:val="22"/>
          <w:szCs w:val="22"/>
        </w:rPr>
      </w:pPr>
      <w:r w:rsidRPr="00E336D3">
        <w:rPr>
          <w:rFonts w:cs="Arial"/>
          <w:color w:val="000000" w:themeColor="text1"/>
          <w:sz w:val="22"/>
          <w:szCs w:val="22"/>
        </w:rPr>
        <w:t xml:space="preserve">The risk probability rating for Ci-Dev </w:t>
      </w:r>
      <w:r w:rsidR="000E52A3" w:rsidRPr="00E336D3">
        <w:rPr>
          <w:rFonts w:cs="Arial"/>
          <w:color w:val="000000" w:themeColor="text1"/>
          <w:sz w:val="22"/>
          <w:szCs w:val="22"/>
        </w:rPr>
        <w:t>increases to Major</w:t>
      </w:r>
      <w:r w:rsidRPr="00E336D3">
        <w:rPr>
          <w:rFonts w:cs="Arial"/>
          <w:color w:val="000000" w:themeColor="text1"/>
          <w:sz w:val="22"/>
          <w:szCs w:val="22"/>
        </w:rPr>
        <w:t xml:space="preserve">. </w:t>
      </w:r>
      <w:r w:rsidR="006C502E" w:rsidRPr="00E336D3">
        <w:rPr>
          <w:rFonts w:cs="Arial"/>
          <w:color w:val="000000" w:themeColor="text1"/>
          <w:sz w:val="22"/>
          <w:szCs w:val="22"/>
        </w:rPr>
        <w:t>W</w:t>
      </w:r>
      <w:r w:rsidR="00907209" w:rsidRPr="00E336D3">
        <w:rPr>
          <w:rFonts w:cs="Arial"/>
          <w:color w:val="000000" w:themeColor="text1"/>
          <w:sz w:val="22"/>
          <w:szCs w:val="22"/>
        </w:rPr>
        <w:t xml:space="preserve">ith </w:t>
      </w:r>
      <w:r w:rsidR="006C502E" w:rsidRPr="00E336D3">
        <w:rPr>
          <w:rFonts w:cs="Arial"/>
          <w:color w:val="000000" w:themeColor="text1"/>
          <w:sz w:val="22"/>
          <w:szCs w:val="22"/>
        </w:rPr>
        <w:t xml:space="preserve">two </w:t>
      </w:r>
      <w:r w:rsidR="000F6E06">
        <w:rPr>
          <w:rFonts w:cs="Arial"/>
          <w:color w:val="000000" w:themeColor="text1"/>
          <w:sz w:val="22"/>
          <w:szCs w:val="22"/>
        </w:rPr>
        <w:t>projects halting implementation</w:t>
      </w:r>
      <w:r w:rsidR="00907209" w:rsidRPr="00E336D3">
        <w:rPr>
          <w:rFonts w:cs="Arial"/>
          <w:color w:val="000000" w:themeColor="text1"/>
          <w:sz w:val="22"/>
          <w:szCs w:val="22"/>
        </w:rPr>
        <w:t xml:space="preserve">, and others struggling, particularly those led by private sector partners, there is an increased risk to achievement of Ci-Dev’s outcome statement. </w:t>
      </w:r>
      <w:r w:rsidR="006C502E" w:rsidRPr="00E336D3">
        <w:rPr>
          <w:rFonts w:cs="Arial"/>
          <w:color w:val="000000" w:themeColor="text1"/>
          <w:sz w:val="22"/>
          <w:szCs w:val="22"/>
        </w:rPr>
        <w:t xml:space="preserve">Unless these are replaced, and </w:t>
      </w:r>
      <w:r w:rsidR="0094397F" w:rsidRPr="00E336D3">
        <w:rPr>
          <w:rFonts w:cs="Arial"/>
          <w:color w:val="000000" w:themeColor="text1"/>
          <w:sz w:val="22"/>
          <w:szCs w:val="22"/>
        </w:rPr>
        <w:t xml:space="preserve">issues with existing projects resolved, </w:t>
      </w:r>
      <w:r w:rsidR="005E1E5E" w:rsidRPr="00E336D3">
        <w:rPr>
          <w:rFonts w:cs="Arial"/>
          <w:color w:val="000000" w:themeColor="text1"/>
          <w:sz w:val="22"/>
          <w:szCs w:val="22"/>
        </w:rPr>
        <w:t xml:space="preserve">lifetime </w:t>
      </w:r>
      <w:r w:rsidR="0094397F" w:rsidRPr="00E336D3">
        <w:rPr>
          <w:rFonts w:cs="Arial"/>
          <w:color w:val="000000" w:themeColor="text1"/>
          <w:sz w:val="22"/>
          <w:szCs w:val="22"/>
        </w:rPr>
        <w:t>outcome targets are at risk.</w:t>
      </w:r>
      <w:r w:rsidR="006B1B7B">
        <w:rPr>
          <w:rFonts w:cs="Arial"/>
          <w:color w:val="000000" w:themeColor="text1"/>
          <w:sz w:val="22"/>
          <w:szCs w:val="22"/>
        </w:rPr>
        <w:t xml:space="preserve"> </w:t>
      </w:r>
      <w:r w:rsidR="0088373D">
        <w:rPr>
          <w:rFonts w:cs="Arial"/>
          <w:color w:val="000000" w:themeColor="text1"/>
          <w:sz w:val="22"/>
          <w:szCs w:val="22"/>
        </w:rPr>
        <w:t xml:space="preserve">The Trustee has </w:t>
      </w:r>
      <w:r w:rsidR="005B5BA2">
        <w:rPr>
          <w:rFonts w:cs="Arial"/>
          <w:color w:val="000000" w:themeColor="text1"/>
          <w:sz w:val="22"/>
          <w:szCs w:val="22"/>
        </w:rPr>
        <w:t>started work towards this</w:t>
      </w:r>
      <w:r w:rsidR="00121F02">
        <w:rPr>
          <w:rFonts w:cs="Arial"/>
          <w:color w:val="000000" w:themeColor="text1"/>
          <w:sz w:val="22"/>
          <w:szCs w:val="22"/>
        </w:rPr>
        <w:t xml:space="preserve"> with a capital reallocation plan, though there is insufficient data at the time of writing to </w:t>
      </w:r>
      <w:r w:rsidR="00C175A3">
        <w:rPr>
          <w:rFonts w:cs="Arial"/>
          <w:color w:val="000000" w:themeColor="text1"/>
          <w:sz w:val="22"/>
          <w:szCs w:val="22"/>
        </w:rPr>
        <w:t xml:space="preserve">say with confidence that this will </w:t>
      </w:r>
      <w:r w:rsidR="00A568AE">
        <w:rPr>
          <w:rFonts w:cs="Arial"/>
          <w:color w:val="000000" w:themeColor="text1"/>
          <w:sz w:val="22"/>
          <w:szCs w:val="22"/>
        </w:rPr>
        <w:t>generate a similar level of results. This may well change as details emerge in the coming months.</w:t>
      </w:r>
      <w:r w:rsidR="0094397F" w:rsidRPr="00E336D3">
        <w:rPr>
          <w:rFonts w:cs="Arial"/>
          <w:color w:val="000000" w:themeColor="text1"/>
          <w:sz w:val="22"/>
          <w:szCs w:val="22"/>
        </w:rPr>
        <w:t xml:space="preserve"> </w:t>
      </w:r>
      <w:r w:rsidR="00A33B40" w:rsidRPr="00E336D3">
        <w:rPr>
          <w:rFonts w:cs="Arial"/>
          <w:color w:val="000000" w:themeColor="text1"/>
          <w:sz w:val="22"/>
          <w:szCs w:val="22"/>
        </w:rPr>
        <w:t xml:space="preserve">The </w:t>
      </w:r>
      <w:r w:rsidR="00EE6818" w:rsidRPr="00E336D3">
        <w:rPr>
          <w:rFonts w:cs="Arial"/>
          <w:color w:val="000000" w:themeColor="text1"/>
          <w:sz w:val="22"/>
          <w:szCs w:val="22"/>
        </w:rPr>
        <w:t>effects</w:t>
      </w:r>
      <w:r w:rsidR="00A33B40" w:rsidRPr="00E336D3">
        <w:rPr>
          <w:rFonts w:cs="Arial"/>
          <w:color w:val="000000" w:themeColor="text1"/>
          <w:sz w:val="22"/>
          <w:szCs w:val="22"/>
        </w:rPr>
        <w:t xml:space="preserve"> of coronavirus, and response to it among host countries</w:t>
      </w:r>
      <w:r w:rsidR="00A41B96" w:rsidRPr="00E336D3">
        <w:rPr>
          <w:rFonts w:cs="Arial"/>
          <w:color w:val="000000" w:themeColor="text1"/>
          <w:sz w:val="22"/>
          <w:szCs w:val="22"/>
        </w:rPr>
        <w:t>, are likely to exacerbate this risk, for example if host countries place a lower priority on climate projects.</w:t>
      </w:r>
      <w:r w:rsidR="004B348F" w:rsidRPr="00E336D3">
        <w:rPr>
          <w:rFonts w:cs="Arial"/>
          <w:color w:val="000000" w:themeColor="text1"/>
          <w:sz w:val="22"/>
          <w:szCs w:val="22"/>
        </w:rPr>
        <w:t xml:space="preserve"> Ci-Dev can and should enhance monitoring of projects in this context, but there are limited options to mitigate much of the risk </w:t>
      </w:r>
      <w:r w:rsidR="004C412A" w:rsidRPr="00E336D3">
        <w:rPr>
          <w:rFonts w:cs="Arial"/>
          <w:color w:val="000000" w:themeColor="text1"/>
          <w:sz w:val="22"/>
          <w:szCs w:val="22"/>
        </w:rPr>
        <w:t>it</w:t>
      </w:r>
      <w:r w:rsidR="004B348F" w:rsidRPr="00E336D3">
        <w:rPr>
          <w:rFonts w:cs="Arial"/>
          <w:color w:val="000000" w:themeColor="text1"/>
          <w:sz w:val="22"/>
          <w:szCs w:val="22"/>
        </w:rPr>
        <w:t xml:space="preserve"> presents.</w:t>
      </w:r>
      <w:r w:rsidR="006F2FF1">
        <w:rPr>
          <w:rFonts w:cs="Arial"/>
          <w:color w:val="000000" w:themeColor="text1"/>
          <w:sz w:val="22"/>
          <w:szCs w:val="22"/>
        </w:rPr>
        <w:t xml:space="preserve"> </w:t>
      </w:r>
    </w:p>
    <w:p w14:paraId="5A7AC150" w14:textId="6C65D16B" w:rsidR="001B572C" w:rsidRPr="00E336D3" w:rsidRDefault="001B572C" w:rsidP="00B34703">
      <w:pPr>
        <w:contextualSpacing/>
        <w:jc w:val="both"/>
        <w:rPr>
          <w:rFonts w:cs="Arial"/>
          <w:color w:val="000000" w:themeColor="text1"/>
          <w:sz w:val="22"/>
          <w:szCs w:val="22"/>
        </w:rPr>
      </w:pPr>
    </w:p>
    <w:p w14:paraId="3256F673" w14:textId="77777777" w:rsidR="001B572C" w:rsidRPr="00E336D3" w:rsidRDefault="00121BD5" w:rsidP="001B572C">
      <w:pPr>
        <w:pStyle w:val="Heading2"/>
        <w:pBdr>
          <w:top w:val="single" w:sz="4" w:space="1" w:color="auto"/>
          <w:left w:val="single" w:sz="4" w:space="4" w:color="auto"/>
          <w:bottom w:val="single" w:sz="4" w:space="0" w:color="auto"/>
          <w:right w:val="single" w:sz="4" w:space="4" w:color="auto"/>
        </w:pBdr>
        <w:shd w:val="clear" w:color="auto" w:fill="DBE5F1" w:themeFill="accent1" w:themeFillTint="33"/>
        <w:spacing w:before="0" w:after="0"/>
        <w:contextualSpacing/>
        <w:rPr>
          <w:b w:val="0"/>
          <w:i w:val="0"/>
          <w:color w:val="000000" w:themeColor="text1"/>
          <w:sz w:val="22"/>
          <w:szCs w:val="22"/>
        </w:rPr>
      </w:pPr>
      <w:r w:rsidRPr="00E336D3">
        <w:rPr>
          <w:i w:val="0"/>
          <w:color w:val="000000" w:themeColor="text1"/>
          <w:sz w:val="22"/>
          <w:szCs w:val="22"/>
        </w:rPr>
        <w:t>F</w:t>
      </w:r>
      <w:r w:rsidR="001B572C" w:rsidRPr="00E336D3">
        <w:rPr>
          <w:i w:val="0"/>
          <w:color w:val="000000" w:themeColor="text1"/>
          <w:sz w:val="22"/>
          <w:szCs w:val="22"/>
        </w:rPr>
        <w:t>:</w:t>
      </w:r>
      <w:r w:rsidRPr="00E336D3">
        <w:rPr>
          <w:i w:val="0"/>
          <w:color w:val="000000" w:themeColor="text1"/>
          <w:sz w:val="22"/>
          <w:szCs w:val="22"/>
        </w:rPr>
        <w:t xml:space="preserve"> COMMERCIAL CONSIDERATIONS</w:t>
      </w:r>
      <w:r w:rsidR="001B572C" w:rsidRPr="00E336D3">
        <w:rPr>
          <w:i w:val="0"/>
          <w:color w:val="000000" w:themeColor="text1"/>
          <w:sz w:val="22"/>
          <w:szCs w:val="22"/>
        </w:rPr>
        <w:t xml:space="preserve"> </w:t>
      </w:r>
    </w:p>
    <w:p w14:paraId="4D397231" w14:textId="77777777" w:rsidR="00702FB2" w:rsidRPr="00E336D3" w:rsidRDefault="00702FB2" w:rsidP="00E81F52">
      <w:pPr>
        <w:contextualSpacing/>
        <w:rPr>
          <w:rFonts w:cs="Arial"/>
          <w:b/>
          <w:color w:val="000000" w:themeColor="text1"/>
          <w:sz w:val="22"/>
          <w:szCs w:val="22"/>
        </w:rPr>
      </w:pPr>
    </w:p>
    <w:p w14:paraId="2FDEA887" w14:textId="77777777" w:rsidR="00157035" w:rsidRPr="00E336D3" w:rsidRDefault="00157035" w:rsidP="007870D5">
      <w:pPr>
        <w:pStyle w:val="Heading3"/>
        <w:jc w:val="both"/>
        <w:rPr>
          <w:rFonts w:ascii="Arial" w:hAnsi="Arial" w:cs="Arial"/>
          <w:color w:val="000000" w:themeColor="text1"/>
          <w:sz w:val="22"/>
          <w:szCs w:val="22"/>
        </w:rPr>
      </w:pPr>
      <w:r w:rsidRPr="00E336D3">
        <w:rPr>
          <w:rFonts w:ascii="Arial" w:hAnsi="Arial" w:cs="Arial"/>
          <w:color w:val="000000" w:themeColor="text1"/>
          <w:sz w:val="22"/>
          <w:szCs w:val="22"/>
        </w:rPr>
        <w:t>D</w:t>
      </w:r>
      <w:r w:rsidR="00C37B6A" w:rsidRPr="00E336D3">
        <w:rPr>
          <w:rFonts w:ascii="Arial" w:hAnsi="Arial" w:cs="Arial"/>
          <w:color w:val="000000" w:themeColor="text1"/>
          <w:sz w:val="22"/>
          <w:szCs w:val="22"/>
        </w:rPr>
        <w:t>elivery against planned timeframe</w:t>
      </w:r>
    </w:p>
    <w:p w14:paraId="0BF41E02" w14:textId="77777777" w:rsidR="00AE7569" w:rsidRPr="00E336D3" w:rsidRDefault="00AE7569" w:rsidP="007870D5">
      <w:pPr>
        <w:contextualSpacing/>
        <w:jc w:val="both"/>
        <w:rPr>
          <w:rFonts w:cs="Arial"/>
          <w:color w:val="000000" w:themeColor="text1"/>
          <w:sz w:val="22"/>
          <w:szCs w:val="22"/>
        </w:rPr>
      </w:pPr>
    </w:p>
    <w:p w14:paraId="2F2FF9D6" w14:textId="15E73F70" w:rsidR="00F00033" w:rsidRPr="00E336D3" w:rsidRDefault="00865E1A" w:rsidP="007870D5">
      <w:pPr>
        <w:contextualSpacing/>
        <w:jc w:val="both"/>
        <w:rPr>
          <w:rFonts w:cs="Arial"/>
          <w:color w:val="000000" w:themeColor="text1"/>
          <w:sz w:val="22"/>
          <w:szCs w:val="22"/>
        </w:rPr>
      </w:pPr>
      <w:r w:rsidRPr="00E336D3">
        <w:rPr>
          <w:rFonts w:cs="Arial"/>
          <w:color w:val="000000" w:themeColor="text1"/>
          <w:sz w:val="22"/>
          <w:szCs w:val="22"/>
        </w:rPr>
        <w:t xml:space="preserve">BEIS’s </w:t>
      </w:r>
      <w:r w:rsidR="00E86D0B" w:rsidRPr="00E336D3">
        <w:rPr>
          <w:rFonts w:cs="Arial"/>
          <w:color w:val="000000" w:themeColor="text1"/>
          <w:sz w:val="22"/>
          <w:szCs w:val="22"/>
        </w:rPr>
        <w:t>contribution</w:t>
      </w:r>
      <w:r w:rsidR="004F3648" w:rsidRPr="00E336D3">
        <w:rPr>
          <w:rFonts w:cs="Arial"/>
          <w:color w:val="000000" w:themeColor="text1"/>
          <w:sz w:val="22"/>
          <w:szCs w:val="22"/>
        </w:rPr>
        <w:t xml:space="preserve"> to Ci-Dev’s Carbon Fund was via</w:t>
      </w:r>
      <w:r w:rsidR="00E86D0B" w:rsidRPr="00E336D3">
        <w:rPr>
          <w:rFonts w:cs="Arial"/>
          <w:color w:val="000000" w:themeColor="text1"/>
          <w:sz w:val="22"/>
          <w:szCs w:val="22"/>
        </w:rPr>
        <w:t xml:space="preserve"> a promissory note</w:t>
      </w:r>
      <w:r w:rsidR="007F3A7B" w:rsidRPr="00E336D3">
        <w:rPr>
          <w:rFonts w:cs="Arial"/>
          <w:color w:val="000000" w:themeColor="text1"/>
          <w:sz w:val="22"/>
          <w:szCs w:val="22"/>
        </w:rPr>
        <w:t>. Funds</w:t>
      </w:r>
      <w:r w:rsidR="00E86D0B" w:rsidRPr="00E336D3">
        <w:rPr>
          <w:rFonts w:cs="Arial"/>
          <w:color w:val="000000" w:themeColor="text1"/>
          <w:sz w:val="22"/>
          <w:szCs w:val="22"/>
        </w:rPr>
        <w:t xml:space="preserve"> </w:t>
      </w:r>
      <w:r w:rsidR="00F00033" w:rsidRPr="00E336D3">
        <w:rPr>
          <w:rFonts w:cs="Arial"/>
          <w:color w:val="000000" w:themeColor="text1"/>
          <w:sz w:val="22"/>
          <w:szCs w:val="22"/>
        </w:rPr>
        <w:t xml:space="preserve">are </w:t>
      </w:r>
      <w:r w:rsidR="00E86D0B" w:rsidRPr="00E336D3">
        <w:rPr>
          <w:rFonts w:cs="Arial"/>
          <w:color w:val="000000" w:themeColor="text1"/>
          <w:sz w:val="22"/>
          <w:szCs w:val="22"/>
        </w:rPr>
        <w:t xml:space="preserve">drawn down according to need to </w:t>
      </w:r>
      <w:r w:rsidR="00A6564E">
        <w:rPr>
          <w:rFonts w:cs="Arial"/>
          <w:color w:val="000000" w:themeColor="text1"/>
          <w:sz w:val="22"/>
          <w:szCs w:val="22"/>
        </w:rPr>
        <w:t xml:space="preserve">guarantee the </w:t>
      </w:r>
      <w:r w:rsidR="00E86D0B" w:rsidRPr="00E336D3">
        <w:rPr>
          <w:rFonts w:cs="Arial"/>
          <w:color w:val="000000" w:themeColor="text1"/>
          <w:sz w:val="22"/>
          <w:szCs w:val="22"/>
        </w:rPr>
        <w:t xml:space="preserve">purchase </w:t>
      </w:r>
      <w:r w:rsidR="00A6564E">
        <w:rPr>
          <w:rFonts w:cs="Arial"/>
          <w:color w:val="000000" w:themeColor="text1"/>
          <w:sz w:val="22"/>
          <w:szCs w:val="22"/>
        </w:rPr>
        <w:t xml:space="preserve">of </w:t>
      </w:r>
      <w:r w:rsidR="00E86D0B" w:rsidRPr="00E336D3">
        <w:rPr>
          <w:rFonts w:cs="Arial"/>
          <w:color w:val="000000" w:themeColor="text1"/>
          <w:sz w:val="22"/>
          <w:szCs w:val="22"/>
        </w:rPr>
        <w:t xml:space="preserve">emission reductions according to </w:t>
      </w:r>
      <w:r w:rsidR="00A6564E">
        <w:rPr>
          <w:rFonts w:cs="Arial"/>
          <w:color w:val="000000" w:themeColor="text1"/>
          <w:sz w:val="22"/>
          <w:szCs w:val="22"/>
        </w:rPr>
        <w:t>commercial agreements.</w:t>
      </w:r>
    </w:p>
    <w:p w14:paraId="5E9048AD" w14:textId="77777777" w:rsidR="00E86D0B" w:rsidRPr="00E336D3" w:rsidRDefault="00E86D0B" w:rsidP="007870D5">
      <w:pPr>
        <w:contextualSpacing/>
        <w:jc w:val="both"/>
        <w:rPr>
          <w:rFonts w:cs="Arial"/>
          <w:b/>
          <w:color w:val="000000" w:themeColor="text1"/>
          <w:sz w:val="22"/>
          <w:szCs w:val="22"/>
        </w:rPr>
      </w:pPr>
    </w:p>
    <w:p w14:paraId="60410F0E" w14:textId="63795F76" w:rsidR="00F82D5D" w:rsidRPr="00E336D3" w:rsidRDefault="007773E0" w:rsidP="007870D5">
      <w:pPr>
        <w:jc w:val="both"/>
        <w:rPr>
          <w:rFonts w:cs="Arial"/>
          <w:color w:val="000000" w:themeColor="text1"/>
          <w:sz w:val="22"/>
          <w:szCs w:val="22"/>
        </w:rPr>
      </w:pPr>
      <w:r w:rsidRPr="00E336D3">
        <w:rPr>
          <w:rFonts w:cs="Arial"/>
          <w:color w:val="000000" w:themeColor="text1"/>
          <w:sz w:val="22"/>
          <w:szCs w:val="22"/>
        </w:rPr>
        <w:t>BEIS</w:t>
      </w:r>
      <w:r w:rsidR="00D22B32" w:rsidRPr="00E336D3">
        <w:rPr>
          <w:rFonts w:cs="Arial"/>
          <w:color w:val="000000" w:themeColor="text1"/>
          <w:sz w:val="22"/>
          <w:szCs w:val="22"/>
        </w:rPr>
        <w:t xml:space="preserve"> makes disbursements to the Readiness Fund according to the needs identified in the annual Readiness Fund plan. </w:t>
      </w:r>
      <w:r w:rsidR="00AE7569" w:rsidRPr="00E336D3">
        <w:rPr>
          <w:rFonts w:cs="Arial"/>
          <w:color w:val="000000" w:themeColor="text1"/>
          <w:sz w:val="22"/>
          <w:szCs w:val="22"/>
        </w:rPr>
        <w:t xml:space="preserve">The </w:t>
      </w:r>
      <w:r w:rsidR="00632C9E">
        <w:rPr>
          <w:rFonts w:cs="Arial"/>
          <w:color w:val="000000" w:themeColor="text1"/>
          <w:sz w:val="22"/>
          <w:szCs w:val="22"/>
        </w:rPr>
        <w:t>Trustee</w:t>
      </w:r>
      <w:r w:rsidR="00AE7569" w:rsidRPr="00E336D3">
        <w:rPr>
          <w:rFonts w:cs="Arial"/>
          <w:color w:val="000000" w:themeColor="text1"/>
          <w:sz w:val="22"/>
          <w:szCs w:val="22"/>
        </w:rPr>
        <w:t xml:space="preserve"> and other donors have agreed </w:t>
      </w:r>
      <w:r w:rsidR="00FB67A8" w:rsidRPr="00E336D3">
        <w:rPr>
          <w:rFonts w:cs="Arial"/>
          <w:color w:val="000000" w:themeColor="text1"/>
          <w:sz w:val="22"/>
          <w:szCs w:val="22"/>
        </w:rPr>
        <w:t xml:space="preserve">that all donors will </w:t>
      </w:r>
      <w:r w:rsidR="00AE7569" w:rsidRPr="00E336D3">
        <w:rPr>
          <w:rFonts w:cs="Arial"/>
          <w:color w:val="000000" w:themeColor="text1"/>
          <w:sz w:val="22"/>
          <w:szCs w:val="22"/>
        </w:rPr>
        <w:t>make payments on a pro-rat</w:t>
      </w:r>
      <w:r w:rsidR="00AD6035" w:rsidRPr="00E336D3">
        <w:rPr>
          <w:rFonts w:cs="Arial"/>
          <w:color w:val="000000" w:themeColor="text1"/>
          <w:sz w:val="22"/>
          <w:szCs w:val="22"/>
        </w:rPr>
        <w:t>a</w:t>
      </w:r>
      <w:r w:rsidR="00AE7569" w:rsidRPr="00E336D3">
        <w:rPr>
          <w:rFonts w:cs="Arial"/>
          <w:color w:val="000000" w:themeColor="text1"/>
          <w:sz w:val="22"/>
          <w:szCs w:val="22"/>
        </w:rPr>
        <w:t xml:space="preserve"> basis.</w:t>
      </w:r>
      <w:r w:rsidR="003E02DC" w:rsidRPr="00E336D3">
        <w:rPr>
          <w:rFonts w:cs="Arial"/>
          <w:color w:val="000000" w:themeColor="text1"/>
          <w:sz w:val="22"/>
          <w:szCs w:val="22"/>
        </w:rPr>
        <w:t xml:space="preserve"> </w:t>
      </w:r>
    </w:p>
    <w:p w14:paraId="3AEB6FBE" w14:textId="77777777" w:rsidR="004A2331" w:rsidRPr="00E336D3" w:rsidRDefault="004A2331" w:rsidP="007870D5">
      <w:pPr>
        <w:jc w:val="both"/>
        <w:rPr>
          <w:rFonts w:cs="Arial"/>
          <w:color w:val="000000" w:themeColor="text1"/>
          <w:sz w:val="22"/>
          <w:szCs w:val="22"/>
        </w:rPr>
      </w:pPr>
    </w:p>
    <w:p w14:paraId="752A95D3" w14:textId="27EE0E0E" w:rsidR="00931780" w:rsidRPr="00E336D3" w:rsidRDefault="004A2331" w:rsidP="007870D5">
      <w:pPr>
        <w:jc w:val="both"/>
        <w:rPr>
          <w:rFonts w:cs="Arial"/>
          <w:bCs/>
          <w:color w:val="000000" w:themeColor="text1"/>
          <w:sz w:val="22"/>
          <w:szCs w:val="22"/>
        </w:rPr>
      </w:pPr>
      <w:r w:rsidRPr="00E336D3">
        <w:rPr>
          <w:rFonts w:cs="Arial"/>
          <w:color w:val="000000" w:themeColor="text1"/>
          <w:sz w:val="22"/>
          <w:szCs w:val="22"/>
        </w:rPr>
        <w:t xml:space="preserve">The </w:t>
      </w:r>
      <w:r w:rsidR="00632C9E">
        <w:rPr>
          <w:rFonts w:cs="Arial"/>
          <w:color w:val="000000" w:themeColor="text1"/>
          <w:sz w:val="22"/>
          <w:szCs w:val="22"/>
        </w:rPr>
        <w:t>Trustee</w:t>
      </w:r>
      <w:r w:rsidRPr="00E336D3">
        <w:rPr>
          <w:rFonts w:cs="Arial"/>
          <w:color w:val="000000" w:themeColor="text1"/>
          <w:sz w:val="22"/>
          <w:szCs w:val="22"/>
        </w:rPr>
        <w:t xml:space="preserve"> present</w:t>
      </w:r>
      <w:r w:rsidR="00FB67A8" w:rsidRPr="00E336D3">
        <w:rPr>
          <w:rFonts w:cs="Arial"/>
          <w:color w:val="000000" w:themeColor="text1"/>
          <w:sz w:val="22"/>
          <w:szCs w:val="22"/>
        </w:rPr>
        <w:t>s</w:t>
      </w:r>
      <w:r w:rsidRPr="00E336D3">
        <w:rPr>
          <w:rFonts w:cs="Arial"/>
          <w:color w:val="000000" w:themeColor="text1"/>
          <w:sz w:val="22"/>
          <w:szCs w:val="22"/>
        </w:rPr>
        <w:t xml:space="preserve"> a</w:t>
      </w:r>
      <w:r w:rsidR="00FB67A8" w:rsidRPr="00E336D3">
        <w:rPr>
          <w:rFonts w:cs="Arial"/>
          <w:color w:val="000000" w:themeColor="text1"/>
          <w:sz w:val="22"/>
          <w:szCs w:val="22"/>
        </w:rPr>
        <w:t>n</w:t>
      </w:r>
      <w:r w:rsidRPr="00E336D3">
        <w:rPr>
          <w:rFonts w:cs="Arial"/>
          <w:color w:val="000000" w:themeColor="text1"/>
          <w:sz w:val="22"/>
          <w:szCs w:val="22"/>
        </w:rPr>
        <w:t xml:space="preserve"> </w:t>
      </w:r>
      <w:r w:rsidR="00FB67A8" w:rsidRPr="00E336D3">
        <w:rPr>
          <w:rFonts w:cs="Arial"/>
          <w:color w:val="000000" w:themeColor="text1"/>
          <w:sz w:val="22"/>
          <w:szCs w:val="22"/>
        </w:rPr>
        <w:t xml:space="preserve">annual </w:t>
      </w:r>
      <w:r w:rsidR="00DA38DB" w:rsidRPr="00E336D3">
        <w:rPr>
          <w:rFonts w:cs="Arial"/>
          <w:color w:val="000000" w:themeColor="text1"/>
          <w:sz w:val="22"/>
          <w:szCs w:val="22"/>
        </w:rPr>
        <w:t>long-</w:t>
      </w:r>
      <w:r w:rsidRPr="00E336D3">
        <w:rPr>
          <w:rFonts w:cs="Arial"/>
          <w:color w:val="000000" w:themeColor="text1"/>
          <w:sz w:val="22"/>
          <w:szCs w:val="22"/>
        </w:rPr>
        <w:t>term budget</w:t>
      </w:r>
      <w:r w:rsidR="006B4316" w:rsidRPr="00E336D3">
        <w:rPr>
          <w:rFonts w:cs="Arial"/>
          <w:color w:val="000000" w:themeColor="text1"/>
          <w:sz w:val="22"/>
          <w:szCs w:val="22"/>
        </w:rPr>
        <w:t xml:space="preserve"> in advance of its annual meeting (usually July)</w:t>
      </w:r>
      <w:r w:rsidRPr="00E336D3">
        <w:rPr>
          <w:rFonts w:cs="Arial"/>
          <w:color w:val="000000" w:themeColor="text1"/>
          <w:sz w:val="22"/>
          <w:szCs w:val="22"/>
        </w:rPr>
        <w:t>. This budget reflect</w:t>
      </w:r>
      <w:r w:rsidR="00927345" w:rsidRPr="00E336D3">
        <w:rPr>
          <w:rFonts w:cs="Arial"/>
          <w:color w:val="000000" w:themeColor="text1"/>
          <w:sz w:val="22"/>
          <w:szCs w:val="22"/>
        </w:rPr>
        <w:t>s</w:t>
      </w:r>
      <w:r w:rsidRPr="00E336D3">
        <w:rPr>
          <w:rFonts w:cs="Arial"/>
          <w:color w:val="000000" w:themeColor="text1"/>
          <w:sz w:val="22"/>
          <w:szCs w:val="22"/>
        </w:rPr>
        <w:t xml:space="preserve"> </w:t>
      </w:r>
      <w:r w:rsidR="00956D7E" w:rsidRPr="00E336D3">
        <w:rPr>
          <w:rFonts w:cs="Arial"/>
          <w:color w:val="000000" w:themeColor="text1"/>
          <w:sz w:val="22"/>
          <w:szCs w:val="22"/>
        </w:rPr>
        <w:t xml:space="preserve">the timeline of ERPA agreements </w:t>
      </w:r>
      <w:r w:rsidR="00AE7569" w:rsidRPr="00E336D3">
        <w:rPr>
          <w:rFonts w:cs="Arial"/>
          <w:color w:val="000000" w:themeColor="text1"/>
          <w:sz w:val="22"/>
          <w:szCs w:val="22"/>
        </w:rPr>
        <w:t>and so drawdowns required for the Carbon Fun</w:t>
      </w:r>
      <w:r w:rsidR="005547A7" w:rsidRPr="00E336D3">
        <w:rPr>
          <w:rFonts w:cs="Arial"/>
          <w:color w:val="000000" w:themeColor="text1"/>
          <w:sz w:val="22"/>
          <w:szCs w:val="22"/>
        </w:rPr>
        <w:t>d</w:t>
      </w:r>
      <w:r w:rsidR="00AE7569" w:rsidRPr="00E336D3">
        <w:rPr>
          <w:rFonts w:cs="Arial"/>
          <w:color w:val="000000" w:themeColor="text1"/>
          <w:sz w:val="22"/>
          <w:szCs w:val="22"/>
        </w:rPr>
        <w:t xml:space="preserve">, </w:t>
      </w:r>
      <w:r w:rsidR="00956D7E" w:rsidRPr="00E336D3">
        <w:rPr>
          <w:rFonts w:cs="Arial"/>
          <w:color w:val="000000" w:themeColor="text1"/>
          <w:sz w:val="22"/>
          <w:szCs w:val="22"/>
        </w:rPr>
        <w:t>based on the current portfolio</w:t>
      </w:r>
      <w:r w:rsidR="00AE7569" w:rsidRPr="00E336D3">
        <w:rPr>
          <w:rFonts w:cs="Arial"/>
          <w:color w:val="000000" w:themeColor="text1"/>
          <w:sz w:val="22"/>
          <w:szCs w:val="22"/>
        </w:rPr>
        <w:t>,</w:t>
      </w:r>
      <w:r w:rsidR="00956D7E" w:rsidRPr="00E336D3">
        <w:rPr>
          <w:rFonts w:cs="Arial"/>
          <w:color w:val="000000" w:themeColor="text1"/>
          <w:sz w:val="22"/>
          <w:szCs w:val="22"/>
        </w:rPr>
        <w:t xml:space="preserve"> and </w:t>
      </w:r>
      <w:r w:rsidR="00AE7569" w:rsidRPr="00E336D3">
        <w:rPr>
          <w:rFonts w:cs="Arial"/>
          <w:color w:val="000000" w:themeColor="text1"/>
          <w:sz w:val="22"/>
          <w:szCs w:val="22"/>
        </w:rPr>
        <w:t xml:space="preserve">a costed work plan for </w:t>
      </w:r>
      <w:r w:rsidR="003145C2" w:rsidRPr="00E336D3">
        <w:rPr>
          <w:rFonts w:cs="Arial"/>
          <w:color w:val="000000" w:themeColor="text1"/>
          <w:sz w:val="22"/>
          <w:szCs w:val="22"/>
        </w:rPr>
        <w:t xml:space="preserve">the </w:t>
      </w:r>
      <w:r w:rsidR="00AD6035" w:rsidRPr="00E336D3">
        <w:rPr>
          <w:rFonts w:cs="Arial"/>
          <w:color w:val="000000" w:themeColor="text1"/>
          <w:sz w:val="22"/>
          <w:szCs w:val="22"/>
        </w:rPr>
        <w:t>R</w:t>
      </w:r>
      <w:r w:rsidR="003145C2" w:rsidRPr="00E336D3">
        <w:rPr>
          <w:rFonts w:cs="Arial"/>
          <w:color w:val="000000" w:themeColor="text1"/>
          <w:sz w:val="22"/>
          <w:szCs w:val="22"/>
        </w:rPr>
        <w:t>eadiness</w:t>
      </w:r>
      <w:r w:rsidR="00956D7E" w:rsidRPr="00E336D3">
        <w:rPr>
          <w:rFonts w:cs="Arial"/>
          <w:color w:val="000000" w:themeColor="text1"/>
          <w:sz w:val="22"/>
          <w:szCs w:val="22"/>
        </w:rPr>
        <w:t xml:space="preserve"> </w:t>
      </w:r>
      <w:r w:rsidR="00AD6035" w:rsidRPr="00E336D3">
        <w:rPr>
          <w:rFonts w:cs="Arial"/>
          <w:color w:val="000000" w:themeColor="text1"/>
          <w:sz w:val="22"/>
          <w:szCs w:val="22"/>
        </w:rPr>
        <w:t>F</w:t>
      </w:r>
      <w:r w:rsidR="00956D7E" w:rsidRPr="00E336D3">
        <w:rPr>
          <w:rFonts w:cs="Arial"/>
          <w:color w:val="000000" w:themeColor="text1"/>
          <w:sz w:val="22"/>
          <w:szCs w:val="22"/>
        </w:rPr>
        <w:t xml:space="preserve">und. </w:t>
      </w:r>
      <w:r w:rsidR="00C33C65" w:rsidRPr="00E336D3">
        <w:rPr>
          <w:rFonts w:cs="Arial"/>
          <w:color w:val="000000" w:themeColor="text1"/>
          <w:sz w:val="22"/>
          <w:szCs w:val="22"/>
        </w:rPr>
        <w:t xml:space="preserve">Given that the signatory to </w:t>
      </w:r>
      <w:r w:rsidR="00AF2AF6">
        <w:rPr>
          <w:rFonts w:cs="Arial"/>
          <w:color w:val="000000" w:themeColor="text1"/>
          <w:sz w:val="22"/>
          <w:szCs w:val="22"/>
        </w:rPr>
        <w:t>two</w:t>
      </w:r>
      <w:r w:rsidR="00C33C65" w:rsidRPr="00E336D3">
        <w:rPr>
          <w:rFonts w:cs="Arial"/>
          <w:color w:val="000000" w:themeColor="text1"/>
          <w:sz w:val="22"/>
          <w:szCs w:val="22"/>
        </w:rPr>
        <w:t xml:space="preserve"> ERPA</w:t>
      </w:r>
      <w:r w:rsidR="00AF2AF6">
        <w:rPr>
          <w:rFonts w:cs="Arial"/>
          <w:color w:val="000000" w:themeColor="text1"/>
          <w:sz w:val="22"/>
          <w:szCs w:val="22"/>
        </w:rPr>
        <w:t>s</w:t>
      </w:r>
      <w:r w:rsidR="00C33C65" w:rsidRPr="00E336D3">
        <w:rPr>
          <w:rFonts w:cs="Arial"/>
          <w:color w:val="000000" w:themeColor="text1"/>
          <w:sz w:val="22"/>
          <w:szCs w:val="22"/>
        </w:rPr>
        <w:t xml:space="preserve"> </w:t>
      </w:r>
      <w:r w:rsidR="00AF2AF6">
        <w:rPr>
          <w:rFonts w:cs="Arial"/>
          <w:color w:val="000000" w:themeColor="text1"/>
          <w:sz w:val="22"/>
          <w:szCs w:val="22"/>
        </w:rPr>
        <w:t xml:space="preserve">have </w:t>
      </w:r>
      <w:r w:rsidR="00C33C65" w:rsidRPr="00E336D3">
        <w:rPr>
          <w:rFonts w:cs="Arial"/>
          <w:color w:val="000000" w:themeColor="text1"/>
          <w:sz w:val="22"/>
          <w:szCs w:val="22"/>
        </w:rPr>
        <w:t xml:space="preserve">been declared bankrupt, and others are experiencing difficulties, there is an increased risk that if new signatories </w:t>
      </w:r>
      <w:r w:rsidR="00580997" w:rsidRPr="00E336D3">
        <w:rPr>
          <w:rFonts w:cs="Arial"/>
          <w:color w:val="000000" w:themeColor="text1"/>
          <w:sz w:val="22"/>
          <w:szCs w:val="22"/>
        </w:rPr>
        <w:t xml:space="preserve">to that agreement, or new projects, </w:t>
      </w:r>
      <w:r w:rsidR="00C33C65" w:rsidRPr="00E336D3">
        <w:rPr>
          <w:rFonts w:cs="Arial"/>
          <w:color w:val="000000" w:themeColor="text1"/>
          <w:sz w:val="22"/>
          <w:szCs w:val="22"/>
        </w:rPr>
        <w:t xml:space="preserve">cannot be secured, that </w:t>
      </w:r>
      <w:r w:rsidR="00865E1A" w:rsidRPr="00E336D3">
        <w:rPr>
          <w:rFonts w:cs="Arial"/>
          <w:color w:val="000000" w:themeColor="text1"/>
          <w:sz w:val="22"/>
          <w:szCs w:val="22"/>
        </w:rPr>
        <w:t xml:space="preserve">BEIS </w:t>
      </w:r>
      <w:r w:rsidR="00C33C65" w:rsidRPr="00E336D3">
        <w:rPr>
          <w:rFonts w:cs="Arial"/>
          <w:color w:val="000000" w:themeColor="text1"/>
          <w:sz w:val="22"/>
          <w:szCs w:val="22"/>
        </w:rPr>
        <w:t>is un</w:t>
      </w:r>
      <w:r w:rsidR="00956D7E" w:rsidRPr="00E336D3">
        <w:rPr>
          <w:rFonts w:cs="Arial"/>
          <w:color w:val="000000" w:themeColor="text1"/>
          <w:sz w:val="22"/>
          <w:szCs w:val="22"/>
        </w:rPr>
        <w:t>able to disburse the programme</w:t>
      </w:r>
      <w:r w:rsidR="005547A7" w:rsidRPr="00E336D3">
        <w:rPr>
          <w:rFonts w:cs="Arial"/>
          <w:color w:val="000000" w:themeColor="text1"/>
          <w:sz w:val="22"/>
          <w:szCs w:val="22"/>
        </w:rPr>
        <w:t>’</w:t>
      </w:r>
      <w:r w:rsidR="00956D7E" w:rsidRPr="00E336D3">
        <w:rPr>
          <w:rFonts w:cs="Arial"/>
          <w:color w:val="000000" w:themeColor="text1"/>
          <w:sz w:val="22"/>
          <w:szCs w:val="22"/>
        </w:rPr>
        <w:t xml:space="preserve">s </w:t>
      </w:r>
      <w:r w:rsidR="005547A7" w:rsidRPr="00E336D3">
        <w:rPr>
          <w:rFonts w:cs="Arial"/>
          <w:color w:val="000000" w:themeColor="text1"/>
          <w:sz w:val="22"/>
          <w:szCs w:val="22"/>
        </w:rPr>
        <w:t>full</w:t>
      </w:r>
      <w:r w:rsidR="00956D7E" w:rsidRPr="00E336D3">
        <w:rPr>
          <w:rFonts w:cs="Arial"/>
          <w:color w:val="000000" w:themeColor="text1"/>
          <w:sz w:val="22"/>
          <w:szCs w:val="22"/>
        </w:rPr>
        <w:t xml:space="preserve"> fund</w:t>
      </w:r>
      <w:r w:rsidR="005547A7" w:rsidRPr="00E336D3">
        <w:rPr>
          <w:rFonts w:cs="Arial"/>
          <w:color w:val="000000" w:themeColor="text1"/>
          <w:sz w:val="22"/>
          <w:szCs w:val="22"/>
        </w:rPr>
        <w:t>ing</w:t>
      </w:r>
      <w:r w:rsidR="00956D7E" w:rsidRPr="00E336D3">
        <w:rPr>
          <w:rFonts w:cs="Arial"/>
          <w:color w:val="000000" w:themeColor="text1"/>
          <w:sz w:val="22"/>
          <w:szCs w:val="22"/>
        </w:rPr>
        <w:t xml:space="preserve"> by the end of programme</w:t>
      </w:r>
      <w:r w:rsidR="00C33C65" w:rsidRPr="00E336D3">
        <w:rPr>
          <w:rFonts w:cs="Arial"/>
          <w:color w:val="000000" w:themeColor="text1"/>
          <w:sz w:val="22"/>
          <w:szCs w:val="22"/>
        </w:rPr>
        <w:t xml:space="preserve"> in 2025. </w:t>
      </w:r>
    </w:p>
    <w:p w14:paraId="7DC2BCA1" w14:textId="77777777" w:rsidR="00931780" w:rsidRPr="00E336D3" w:rsidRDefault="00931780" w:rsidP="007870D5">
      <w:pPr>
        <w:jc w:val="both"/>
        <w:rPr>
          <w:rFonts w:cs="Arial"/>
          <w:bCs/>
          <w:color w:val="000000" w:themeColor="text1"/>
          <w:sz w:val="22"/>
          <w:szCs w:val="22"/>
        </w:rPr>
      </w:pPr>
    </w:p>
    <w:p w14:paraId="32CB6BCB" w14:textId="77777777" w:rsidR="00157035" w:rsidRPr="00E336D3" w:rsidRDefault="00C37B6A" w:rsidP="00640669">
      <w:pPr>
        <w:contextualSpacing/>
        <w:jc w:val="both"/>
        <w:rPr>
          <w:rFonts w:cs="Arial"/>
          <w:b/>
          <w:bCs/>
          <w:color w:val="000000" w:themeColor="text1"/>
          <w:sz w:val="22"/>
          <w:szCs w:val="22"/>
        </w:rPr>
      </w:pPr>
      <w:r w:rsidRPr="00E336D3">
        <w:rPr>
          <w:rFonts w:cs="Arial"/>
          <w:b/>
          <w:bCs/>
          <w:color w:val="000000" w:themeColor="text1"/>
          <w:sz w:val="22"/>
          <w:szCs w:val="22"/>
        </w:rPr>
        <w:t>Performance of partnership(s)</w:t>
      </w:r>
    </w:p>
    <w:p w14:paraId="40F3159A" w14:textId="77777777" w:rsidR="004F3648" w:rsidRPr="00E336D3" w:rsidRDefault="004F3648" w:rsidP="00640669">
      <w:pPr>
        <w:contextualSpacing/>
        <w:jc w:val="both"/>
        <w:rPr>
          <w:rFonts w:cs="Arial"/>
          <w:b/>
          <w:bCs/>
          <w:color w:val="000000" w:themeColor="text1"/>
          <w:sz w:val="22"/>
          <w:szCs w:val="22"/>
        </w:rPr>
      </w:pPr>
    </w:p>
    <w:p w14:paraId="48907A07" w14:textId="50A06668" w:rsidR="00870D25" w:rsidRPr="00E336D3" w:rsidRDefault="00870D25" w:rsidP="00640669">
      <w:pPr>
        <w:jc w:val="both"/>
        <w:rPr>
          <w:rFonts w:cs="Arial"/>
          <w:color w:val="000000" w:themeColor="text1"/>
          <w:sz w:val="22"/>
          <w:szCs w:val="22"/>
          <w:lang w:eastAsia="en-GB"/>
        </w:rPr>
      </w:pPr>
      <w:r w:rsidRPr="00E336D3">
        <w:rPr>
          <w:rFonts w:cs="Arial"/>
          <w:iCs/>
          <w:color w:val="000000" w:themeColor="text1"/>
          <w:sz w:val="22"/>
          <w:szCs w:val="22"/>
          <w:lang w:eastAsia="en-GB"/>
        </w:rPr>
        <w:t xml:space="preserve">The Climate Fund Management Unit of the World Bank, as </w:t>
      </w:r>
      <w:r w:rsidR="00632C9E">
        <w:rPr>
          <w:rFonts w:cs="Arial"/>
          <w:iCs/>
          <w:color w:val="000000" w:themeColor="text1"/>
          <w:sz w:val="22"/>
          <w:szCs w:val="22"/>
          <w:lang w:eastAsia="en-GB"/>
        </w:rPr>
        <w:t>Trustee</w:t>
      </w:r>
      <w:r w:rsidRPr="00E336D3">
        <w:rPr>
          <w:rFonts w:cs="Arial"/>
          <w:iCs/>
          <w:color w:val="000000" w:themeColor="text1"/>
          <w:sz w:val="22"/>
          <w:szCs w:val="22"/>
          <w:lang w:eastAsia="en-GB"/>
        </w:rPr>
        <w:t>, has ensured the fund has made progress in 201</w:t>
      </w:r>
      <w:r w:rsidR="00C33C65" w:rsidRPr="00E336D3">
        <w:rPr>
          <w:rFonts w:cs="Arial"/>
          <w:iCs/>
          <w:color w:val="000000" w:themeColor="text1"/>
          <w:sz w:val="22"/>
          <w:szCs w:val="22"/>
          <w:lang w:eastAsia="en-GB"/>
        </w:rPr>
        <w:t>9</w:t>
      </w:r>
      <w:r w:rsidRPr="00E336D3">
        <w:rPr>
          <w:rFonts w:cs="Arial"/>
          <w:iCs/>
          <w:color w:val="000000" w:themeColor="text1"/>
          <w:sz w:val="22"/>
          <w:szCs w:val="22"/>
          <w:lang w:eastAsia="en-GB"/>
        </w:rPr>
        <w:t>. In terms of fund management, they have been a pro-active partner and there has been a continuing good working relationship. All queries have been responded to thoroughly and in a professional manner as would be expected.</w:t>
      </w:r>
      <w:r w:rsidR="00634E37" w:rsidRPr="00E336D3">
        <w:rPr>
          <w:rFonts w:cs="Arial"/>
          <w:iCs/>
          <w:color w:val="000000" w:themeColor="text1"/>
          <w:sz w:val="22"/>
          <w:szCs w:val="22"/>
          <w:lang w:eastAsia="en-GB"/>
        </w:rPr>
        <w:t xml:space="preserve"> </w:t>
      </w:r>
      <w:r w:rsidRPr="00E336D3">
        <w:rPr>
          <w:rFonts w:cs="Arial"/>
          <w:iCs/>
          <w:color w:val="000000" w:themeColor="text1"/>
          <w:sz w:val="22"/>
          <w:szCs w:val="22"/>
          <w:lang w:eastAsia="en-GB"/>
        </w:rPr>
        <w:t>There is a good UK partnership with the other donors, the Swedish Energy Agency, and the Swiss Climate Cent Foundation.</w:t>
      </w:r>
      <w:r w:rsidR="00547499" w:rsidRPr="00E336D3">
        <w:rPr>
          <w:rFonts w:cs="Arial"/>
          <w:iCs/>
          <w:color w:val="000000" w:themeColor="text1"/>
          <w:sz w:val="22"/>
          <w:szCs w:val="22"/>
          <w:lang w:eastAsia="en-GB"/>
        </w:rPr>
        <w:t xml:space="preserve"> </w:t>
      </w:r>
      <w:r w:rsidRPr="00E336D3">
        <w:rPr>
          <w:rFonts w:cs="Arial"/>
          <w:iCs/>
          <w:color w:val="000000" w:themeColor="text1"/>
          <w:sz w:val="22"/>
          <w:szCs w:val="22"/>
          <w:lang w:eastAsia="en-GB"/>
        </w:rPr>
        <w:t xml:space="preserve">We feel that donors have common objectives for their contributions to Ci-Dev and </w:t>
      </w:r>
      <w:r w:rsidR="005B1B02">
        <w:rPr>
          <w:rFonts w:cs="Arial"/>
          <w:iCs/>
          <w:color w:val="000000" w:themeColor="text1"/>
          <w:sz w:val="22"/>
          <w:szCs w:val="22"/>
          <w:lang w:eastAsia="en-GB"/>
        </w:rPr>
        <w:t xml:space="preserve">all </w:t>
      </w:r>
      <w:r w:rsidRPr="00E336D3">
        <w:rPr>
          <w:rFonts w:cs="Arial"/>
          <w:iCs/>
          <w:color w:val="000000" w:themeColor="text1"/>
          <w:sz w:val="22"/>
          <w:szCs w:val="22"/>
          <w:lang w:eastAsia="en-GB"/>
        </w:rPr>
        <w:t>are actively involved in Ci-Dev oversight.</w:t>
      </w:r>
    </w:p>
    <w:p w14:paraId="69A64A83" w14:textId="77777777" w:rsidR="00121BD5" w:rsidRPr="00E336D3" w:rsidRDefault="00121BD5" w:rsidP="007870D5">
      <w:pPr>
        <w:contextualSpacing/>
        <w:jc w:val="both"/>
        <w:rPr>
          <w:rFonts w:cs="Arial"/>
          <w:b/>
          <w:bCs/>
          <w:color w:val="000000" w:themeColor="text1"/>
          <w:sz w:val="22"/>
          <w:szCs w:val="22"/>
        </w:rPr>
      </w:pPr>
    </w:p>
    <w:p w14:paraId="2B8579FA" w14:textId="16BD32E2" w:rsidR="00121BD5" w:rsidRPr="00E336D3" w:rsidRDefault="00157035" w:rsidP="007870D5">
      <w:pPr>
        <w:contextualSpacing/>
        <w:jc w:val="both"/>
        <w:rPr>
          <w:rFonts w:cs="Arial"/>
          <w:bCs/>
          <w:color w:val="000000" w:themeColor="text1"/>
          <w:sz w:val="22"/>
          <w:szCs w:val="22"/>
        </w:rPr>
      </w:pPr>
      <w:r w:rsidRPr="00E336D3">
        <w:rPr>
          <w:rFonts w:cs="Arial"/>
          <w:b/>
          <w:bCs/>
          <w:color w:val="000000" w:themeColor="text1"/>
          <w:sz w:val="22"/>
          <w:szCs w:val="22"/>
        </w:rPr>
        <w:t>A</w:t>
      </w:r>
      <w:r w:rsidR="00C37B6A" w:rsidRPr="00E336D3">
        <w:rPr>
          <w:rFonts w:cs="Arial"/>
          <w:b/>
          <w:bCs/>
          <w:color w:val="000000" w:themeColor="text1"/>
          <w:sz w:val="22"/>
          <w:szCs w:val="22"/>
        </w:rPr>
        <w:t xml:space="preserve">sset monitoring and control </w:t>
      </w:r>
      <w:r w:rsidR="00634E37" w:rsidRPr="00E336D3">
        <w:rPr>
          <w:rFonts w:cs="Arial"/>
          <w:bCs/>
          <w:color w:val="000000" w:themeColor="text1"/>
          <w:sz w:val="22"/>
          <w:szCs w:val="22"/>
        </w:rPr>
        <w:t>-</w:t>
      </w:r>
      <w:r w:rsidR="00634E37" w:rsidRPr="00E336D3">
        <w:rPr>
          <w:rFonts w:cs="Arial"/>
          <w:b/>
          <w:bCs/>
          <w:color w:val="000000" w:themeColor="text1"/>
          <w:sz w:val="22"/>
          <w:szCs w:val="22"/>
        </w:rPr>
        <w:t xml:space="preserve"> </w:t>
      </w:r>
      <w:r w:rsidR="00463DC3" w:rsidRPr="00E336D3">
        <w:rPr>
          <w:rFonts w:cs="Arial"/>
          <w:bCs/>
          <w:color w:val="000000" w:themeColor="text1"/>
          <w:sz w:val="22"/>
          <w:szCs w:val="22"/>
        </w:rPr>
        <w:t>T</w:t>
      </w:r>
      <w:r w:rsidR="006254AA" w:rsidRPr="00E336D3">
        <w:rPr>
          <w:rFonts w:cs="Arial"/>
          <w:bCs/>
          <w:color w:val="000000" w:themeColor="text1"/>
          <w:sz w:val="22"/>
          <w:szCs w:val="22"/>
        </w:rPr>
        <w:t>he programme does not own any assets.</w:t>
      </w:r>
    </w:p>
    <w:p w14:paraId="7355CC49" w14:textId="77777777" w:rsidR="00B34703" w:rsidRPr="00E336D3" w:rsidRDefault="00B34703" w:rsidP="007870D5">
      <w:pPr>
        <w:contextualSpacing/>
        <w:jc w:val="both"/>
        <w:rPr>
          <w:rFonts w:cs="Arial"/>
          <w:bCs/>
          <w:color w:val="000000" w:themeColor="text1"/>
          <w:sz w:val="22"/>
          <w:szCs w:val="22"/>
        </w:rPr>
      </w:pPr>
    </w:p>
    <w:p w14:paraId="7162B695" w14:textId="0E786997" w:rsidR="00543787" w:rsidRPr="00A22666" w:rsidRDefault="00121BD5" w:rsidP="00A22666">
      <w:pPr>
        <w:pStyle w:val="Heading2"/>
        <w:pBdr>
          <w:top w:val="single" w:sz="4" w:space="1" w:color="auto"/>
          <w:left w:val="single" w:sz="4" w:space="4" w:color="auto"/>
          <w:bottom w:val="single" w:sz="4" w:space="0" w:color="auto"/>
          <w:right w:val="single" w:sz="4" w:space="4" w:color="auto"/>
        </w:pBdr>
        <w:shd w:val="clear" w:color="auto" w:fill="DBE5F1" w:themeFill="accent1" w:themeFillTint="33"/>
        <w:spacing w:before="0" w:after="0"/>
        <w:contextualSpacing/>
        <w:rPr>
          <w:b w:val="0"/>
          <w:i w:val="0"/>
          <w:color w:val="000000" w:themeColor="text1"/>
          <w:sz w:val="22"/>
          <w:szCs w:val="22"/>
        </w:rPr>
      </w:pPr>
      <w:r w:rsidRPr="00E336D3">
        <w:rPr>
          <w:i w:val="0"/>
          <w:color w:val="000000" w:themeColor="text1"/>
          <w:sz w:val="22"/>
          <w:szCs w:val="22"/>
        </w:rPr>
        <w:lastRenderedPageBreak/>
        <w:t>G: CONDITIONALITY</w:t>
      </w:r>
    </w:p>
    <w:p w14:paraId="4C79BA71" w14:textId="479AA7DB" w:rsidR="00A22666" w:rsidRDefault="00C37B6A" w:rsidP="00A22666">
      <w:pPr>
        <w:pStyle w:val="Heading3"/>
        <w:rPr>
          <w:rFonts w:ascii="Arial" w:hAnsi="Arial" w:cs="Arial"/>
          <w:color w:val="000000" w:themeColor="text1"/>
          <w:sz w:val="22"/>
          <w:szCs w:val="22"/>
        </w:rPr>
      </w:pPr>
      <w:r w:rsidRPr="00E336D3">
        <w:rPr>
          <w:rFonts w:ascii="Arial" w:hAnsi="Arial" w:cs="Arial"/>
          <w:color w:val="000000" w:themeColor="text1"/>
          <w:sz w:val="22"/>
          <w:szCs w:val="22"/>
        </w:rPr>
        <w:t xml:space="preserve">Update on partnership principles </w:t>
      </w:r>
      <w:r w:rsidR="00512929" w:rsidRPr="00E336D3">
        <w:rPr>
          <w:rFonts w:ascii="Arial" w:hAnsi="Arial" w:cs="Arial"/>
          <w:color w:val="000000" w:themeColor="text1"/>
          <w:sz w:val="22"/>
          <w:szCs w:val="22"/>
        </w:rPr>
        <w:t>(if relevant)</w:t>
      </w:r>
      <w:r w:rsidR="00583E29" w:rsidRPr="00E336D3">
        <w:rPr>
          <w:rFonts w:ascii="Arial" w:hAnsi="Arial" w:cs="Arial"/>
          <w:color w:val="000000" w:themeColor="text1"/>
          <w:sz w:val="22"/>
          <w:szCs w:val="22"/>
        </w:rPr>
        <w:t xml:space="preserve"> </w:t>
      </w:r>
    </w:p>
    <w:p w14:paraId="40298019" w14:textId="77777777" w:rsidR="00A22666" w:rsidRPr="00A22666" w:rsidRDefault="00A22666" w:rsidP="00A22666"/>
    <w:p w14:paraId="4768AF24" w14:textId="77777777" w:rsidR="002227A1" w:rsidRPr="00E336D3" w:rsidRDefault="000663DD" w:rsidP="00E81F52">
      <w:pPr>
        <w:contextualSpacing/>
        <w:rPr>
          <w:rFonts w:cs="Arial"/>
          <w:color w:val="000000" w:themeColor="text1"/>
          <w:sz w:val="22"/>
          <w:szCs w:val="22"/>
        </w:rPr>
      </w:pPr>
      <w:r w:rsidRPr="00E336D3">
        <w:rPr>
          <w:rFonts w:cs="Arial"/>
          <w:color w:val="000000" w:themeColor="text1"/>
          <w:sz w:val="22"/>
          <w:szCs w:val="22"/>
        </w:rPr>
        <w:t>Financial aid conditionality does not apply to this programme.</w:t>
      </w:r>
    </w:p>
    <w:p w14:paraId="26FBD9C7" w14:textId="26DE6E40" w:rsidR="00B34703" w:rsidRPr="00E336D3" w:rsidRDefault="00B34703" w:rsidP="00E81F52">
      <w:pPr>
        <w:contextualSpacing/>
        <w:rPr>
          <w:rFonts w:cs="Arial"/>
          <w:color w:val="000000" w:themeColor="text1"/>
          <w:sz w:val="22"/>
          <w:szCs w:val="22"/>
        </w:rPr>
      </w:pPr>
    </w:p>
    <w:p w14:paraId="5F16AECB" w14:textId="6DF31CBD" w:rsidR="00121BD5" w:rsidRPr="00E336D3" w:rsidRDefault="00121BD5" w:rsidP="00C33C65">
      <w:pPr>
        <w:pStyle w:val="Heading2"/>
        <w:pBdr>
          <w:top w:val="single" w:sz="4" w:space="1" w:color="auto"/>
          <w:left w:val="single" w:sz="4" w:space="4" w:color="auto"/>
          <w:bottom w:val="single" w:sz="4" w:space="0" w:color="auto"/>
          <w:right w:val="single" w:sz="4" w:space="4" w:color="auto"/>
        </w:pBdr>
        <w:shd w:val="clear" w:color="auto" w:fill="DBE5F1" w:themeFill="accent1" w:themeFillTint="33"/>
        <w:spacing w:before="0" w:after="0"/>
        <w:contextualSpacing/>
        <w:rPr>
          <w:b w:val="0"/>
          <w:i w:val="0"/>
          <w:color w:val="000000" w:themeColor="text1"/>
          <w:sz w:val="22"/>
          <w:szCs w:val="22"/>
        </w:rPr>
      </w:pPr>
      <w:r w:rsidRPr="00E336D3">
        <w:rPr>
          <w:i w:val="0"/>
          <w:color w:val="000000" w:themeColor="text1"/>
          <w:sz w:val="22"/>
          <w:szCs w:val="22"/>
        </w:rPr>
        <w:t>H: MONITORING &amp; EVALUATION</w:t>
      </w:r>
    </w:p>
    <w:p w14:paraId="043C816F" w14:textId="77777777" w:rsidR="00E51DB4" w:rsidRPr="00E336D3" w:rsidRDefault="00E51DB4" w:rsidP="00640669">
      <w:pPr>
        <w:pStyle w:val="Heading3"/>
        <w:jc w:val="both"/>
        <w:rPr>
          <w:rFonts w:ascii="Arial" w:hAnsi="Arial" w:cs="Arial"/>
          <w:color w:val="000000" w:themeColor="text1"/>
          <w:sz w:val="22"/>
          <w:szCs w:val="22"/>
        </w:rPr>
      </w:pPr>
      <w:r w:rsidRPr="00E336D3">
        <w:rPr>
          <w:rFonts w:ascii="Arial" w:hAnsi="Arial" w:cs="Arial"/>
          <w:color w:val="000000" w:themeColor="text1"/>
          <w:sz w:val="22"/>
          <w:szCs w:val="22"/>
        </w:rPr>
        <w:t>Evidence and evaluation</w:t>
      </w:r>
    </w:p>
    <w:p w14:paraId="203E3114" w14:textId="77777777" w:rsidR="00E51DB4" w:rsidRPr="00E336D3" w:rsidRDefault="00E51DB4" w:rsidP="00640669">
      <w:pPr>
        <w:contextualSpacing/>
        <w:jc w:val="both"/>
        <w:rPr>
          <w:rFonts w:cs="Arial"/>
          <w:color w:val="000000" w:themeColor="text1"/>
          <w:sz w:val="22"/>
          <w:szCs w:val="22"/>
        </w:rPr>
      </w:pPr>
    </w:p>
    <w:p w14:paraId="68DEF61B" w14:textId="5DEF693C" w:rsidR="00DF5227" w:rsidRPr="00E336D3" w:rsidRDefault="00C33C65" w:rsidP="00640669">
      <w:pPr>
        <w:contextualSpacing/>
        <w:jc w:val="both"/>
        <w:rPr>
          <w:rFonts w:cs="Arial"/>
          <w:color w:val="000000" w:themeColor="text1"/>
          <w:sz w:val="22"/>
          <w:szCs w:val="22"/>
        </w:rPr>
      </w:pPr>
      <w:r w:rsidRPr="00E336D3">
        <w:rPr>
          <w:rFonts w:cs="Arial"/>
          <w:color w:val="000000" w:themeColor="text1"/>
          <w:sz w:val="22"/>
          <w:szCs w:val="22"/>
        </w:rPr>
        <w:t xml:space="preserve">Three </w:t>
      </w:r>
      <w:r w:rsidR="00CA701D" w:rsidRPr="00E336D3">
        <w:rPr>
          <w:rFonts w:cs="Arial"/>
          <w:color w:val="000000" w:themeColor="text1"/>
          <w:sz w:val="22"/>
          <w:szCs w:val="22"/>
        </w:rPr>
        <w:t xml:space="preserve">independent </w:t>
      </w:r>
      <w:r w:rsidR="00CD070C" w:rsidRPr="00E336D3">
        <w:rPr>
          <w:rFonts w:cs="Arial"/>
          <w:color w:val="000000" w:themeColor="text1"/>
          <w:sz w:val="22"/>
          <w:szCs w:val="22"/>
        </w:rPr>
        <w:t>evaluation</w:t>
      </w:r>
      <w:r w:rsidRPr="00E336D3">
        <w:rPr>
          <w:rFonts w:cs="Arial"/>
          <w:color w:val="000000" w:themeColor="text1"/>
          <w:sz w:val="22"/>
          <w:szCs w:val="22"/>
        </w:rPr>
        <w:t>s will take place over the course of the programme</w:t>
      </w:r>
      <w:r w:rsidR="00CA701D" w:rsidRPr="00E336D3">
        <w:rPr>
          <w:rFonts w:cs="Arial"/>
          <w:color w:val="000000" w:themeColor="text1"/>
          <w:sz w:val="22"/>
          <w:szCs w:val="22"/>
        </w:rPr>
        <w:t xml:space="preserve">, </w:t>
      </w:r>
      <w:r w:rsidR="006B4316" w:rsidRPr="00E336D3">
        <w:rPr>
          <w:rFonts w:cs="Arial"/>
          <w:color w:val="000000" w:themeColor="text1"/>
          <w:sz w:val="22"/>
          <w:szCs w:val="22"/>
        </w:rPr>
        <w:t xml:space="preserve">through a contract that was </w:t>
      </w:r>
      <w:r w:rsidR="00CA701D" w:rsidRPr="00E336D3">
        <w:rPr>
          <w:rFonts w:cs="Arial"/>
          <w:color w:val="000000" w:themeColor="text1"/>
          <w:sz w:val="22"/>
          <w:szCs w:val="22"/>
        </w:rPr>
        <w:t>procured directly by DFID</w:t>
      </w:r>
      <w:r w:rsidR="006B4316" w:rsidRPr="00E336D3">
        <w:rPr>
          <w:rFonts w:cs="Arial"/>
          <w:color w:val="000000" w:themeColor="text1"/>
          <w:sz w:val="22"/>
          <w:szCs w:val="22"/>
        </w:rPr>
        <w:t xml:space="preserve">, and novated </w:t>
      </w:r>
      <w:r w:rsidR="00345899" w:rsidRPr="00E336D3">
        <w:rPr>
          <w:rFonts w:cs="Arial"/>
          <w:color w:val="000000" w:themeColor="text1"/>
          <w:sz w:val="22"/>
          <w:szCs w:val="22"/>
        </w:rPr>
        <w:t xml:space="preserve">to </w:t>
      </w:r>
      <w:r w:rsidR="006B4316" w:rsidRPr="00E336D3">
        <w:rPr>
          <w:rFonts w:cs="Arial"/>
          <w:color w:val="000000" w:themeColor="text1"/>
          <w:sz w:val="22"/>
          <w:szCs w:val="22"/>
        </w:rPr>
        <w:t xml:space="preserve">BEIS </w:t>
      </w:r>
      <w:r w:rsidR="007B6E4F" w:rsidRPr="00E336D3">
        <w:rPr>
          <w:rFonts w:cs="Arial"/>
          <w:color w:val="000000" w:themeColor="text1"/>
          <w:sz w:val="22"/>
          <w:szCs w:val="22"/>
        </w:rPr>
        <w:t xml:space="preserve">from </w:t>
      </w:r>
      <w:r w:rsidR="00C46163" w:rsidRPr="00E336D3">
        <w:rPr>
          <w:rFonts w:cs="Arial"/>
          <w:color w:val="000000" w:themeColor="text1"/>
          <w:sz w:val="22"/>
          <w:szCs w:val="22"/>
        </w:rPr>
        <w:t>1 January 2018</w:t>
      </w:r>
      <w:r w:rsidR="00CA701D" w:rsidRPr="00E336D3">
        <w:rPr>
          <w:rFonts w:cs="Arial"/>
          <w:color w:val="000000" w:themeColor="text1"/>
          <w:sz w:val="22"/>
          <w:szCs w:val="22"/>
        </w:rPr>
        <w:t xml:space="preserve">. The </w:t>
      </w:r>
      <w:r w:rsidR="00FD7895" w:rsidRPr="00E336D3">
        <w:rPr>
          <w:rFonts w:cs="Arial"/>
          <w:color w:val="000000" w:themeColor="text1"/>
          <w:sz w:val="22"/>
          <w:szCs w:val="22"/>
        </w:rPr>
        <w:t xml:space="preserve">First Evaluation </w:t>
      </w:r>
      <w:r w:rsidR="00790082" w:rsidRPr="00E336D3">
        <w:rPr>
          <w:rFonts w:cs="Arial"/>
          <w:color w:val="000000" w:themeColor="text1"/>
          <w:sz w:val="22"/>
          <w:szCs w:val="22"/>
        </w:rPr>
        <w:t>was completed in July 2018</w:t>
      </w:r>
      <w:r w:rsidR="00EA4D2A" w:rsidRPr="00E336D3">
        <w:rPr>
          <w:rFonts w:cs="Arial"/>
          <w:color w:val="000000" w:themeColor="text1"/>
          <w:sz w:val="22"/>
          <w:szCs w:val="22"/>
        </w:rPr>
        <w:t xml:space="preserve"> and </w:t>
      </w:r>
      <w:hyperlink r:id="rId16" w:history="1">
        <w:r w:rsidR="00EA4D2A" w:rsidRPr="00E336D3">
          <w:rPr>
            <w:rStyle w:val="Hyperlink"/>
            <w:rFonts w:cs="Arial"/>
            <w:sz w:val="22"/>
            <w:szCs w:val="22"/>
          </w:rPr>
          <w:t>published</w:t>
        </w:r>
      </w:hyperlink>
      <w:r w:rsidR="00790082" w:rsidRPr="00E336D3">
        <w:rPr>
          <w:rFonts w:cs="Arial"/>
          <w:color w:val="000000" w:themeColor="text1"/>
          <w:sz w:val="22"/>
          <w:szCs w:val="22"/>
        </w:rPr>
        <w:t>.</w:t>
      </w:r>
      <w:r w:rsidR="005337EC" w:rsidRPr="00E336D3">
        <w:rPr>
          <w:rFonts w:cs="Arial"/>
          <w:color w:val="000000" w:themeColor="text1"/>
          <w:sz w:val="22"/>
          <w:szCs w:val="22"/>
        </w:rPr>
        <w:t xml:space="preserve"> </w:t>
      </w:r>
      <w:r w:rsidR="00EA4D2A" w:rsidRPr="00E336D3">
        <w:rPr>
          <w:rFonts w:cs="Arial"/>
          <w:color w:val="000000" w:themeColor="text1"/>
          <w:sz w:val="22"/>
          <w:szCs w:val="22"/>
        </w:rPr>
        <w:t>Some of its</w:t>
      </w:r>
      <w:r w:rsidR="00790082" w:rsidRPr="00E336D3">
        <w:rPr>
          <w:rFonts w:cs="Arial"/>
          <w:color w:val="000000" w:themeColor="text1"/>
          <w:sz w:val="22"/>
          <w:szCs w:val="22"/>
        </w:rPr>
        <w:t xml:space="preserve"> recommendations were </w:t>
      </w:r>
      <w:r w:rsidR="004E69C1" w:rsidRPr="00E336D3">
        <w:rPr>
          <w:rFonts w:cs="Arial"/>
          <w:color w:val="000000" w:themeColor="text1"/>
          <w:sz w:val="22"/>
          <w:szCs w:val="22"/>
        </w:rPr>
        <w:t xml:space="preserve">incorporated into the </w:t>
      </w:r>
      <w:r w:rsidRPr="00E336D3">
        <w:rPr>
          <w:rFonts w:cs="Arial"/>
          <w:color w:val="000000" w:themeColor="text1"/>
          <w:sz w:val="22"/>
          <w:szCs w:val="22"/>
        </w:rPr>
        <w:t xml:space="preserve">subsequent </w:t>
      </w:r>
      <w:r w:rsidR="004E69C1" w:rsidRPr="00E336D3">
        <w:rPr>
          <w:rFonts w:cs="Arial"/>
          <w:color w:val="000000" w:themeColor="text1"/>
          <w:sz w:val="22"/>
          <w:szCs w:val="22"/>
        </w:rPr>
        <w:t>Annual Review</w:t>
      </w:r>
      <w:r w:rsidR="00DF5227" w:rsidRPr="00E336D3">
        <w:rPr>
          <w:rFonts w:cs="Arial"/>
          <w:color w:val="000000" w:themeColor="text1"/>
          <w:sz w:val="22"/>
          <w:szCs w:val="22"/>
        </w:rPr>
        <w:t>.</w:t>
      </w:r>
      <w:r w:rsidR="00A22666">
        <w:rPr>
          <w:rFonts w:cs="Arial"/>
          <w:color w:val="000000" w:themeColor="text1"/>
          <w:sz w:val="22"/>
          <w:szCs w:val="22"/>
        </w:rPr>
        <w:t xml:space="preserve"> </w:t>
      </w:r>
      <w:r w:rsidR="00DF5227" w:rsidRPr="00E336D3">
        <w:rPr>
          <w:rFonts w:cs="Arial"/>
          <w:color w:val="000000" w:themeColor="text1"/>
          <w:sz w:val="22"/>
          <w:szCs w:val="22"/>
        </w:rPr>
        <w:t xml:space="preserve">The second </w:t>
      </w:r>
      <w:r w:rsidR="00261867" w:rsidRPr="00E336D3">
        <w:rPr>
          <w:rFonts w:cs="Arial"/>
          <w:color w:val="000000" w:themeColor="text1"/>
          <w:sz w:val="22"/>
          <w:szCs w:val="22"/>
        </w:rPr>
        <w:t>e</w:t>
      </w:r>
      <w:r w:rsidR="00DF5227" w:rsidRPr="00E336D3">
        <w:rPr>
          <w:rFonts w:cs="Arial"/>
          <w:color w:val="000000" w:themeColor="text1"/>
          <w:sz w:val="22"/>
          <w:szCs w:val="22"/>
        </w:rPr>
        <w:t xml:space="preserve">valuation </w:t>
      </w:r>
      <w:r w:rsidRPr="00E336D3">
        <w:rPr>
          <w:rFonts w:cs="Arial"/>
          <w:color w:val="000000" w:themeColor="text1"/>
          <w:sz w:val="22"/>
          <w:szCs w:val="22"/>
        </w:rPr>
        <w:t xml:space="preserve">is expected to conclude in </w:t>
      </w:r>
      <w:r w:rsidR="00261867" w:rsidRPr="00E336D3">
        <w:rPr>
          <w:rFonts w:cs="Arial"/>
          <w:color w:val="000000" w:themeColor="text1"/>
          <w:sz w:val="22"/>
          <w:szCs w:val="22"/>
        </w:rPr>
        <w:t xml:space="preserve">summer </w:t>
      </w:r>
      <w:r w:rsidRPr="00E336D3">
        <w:rPr>
          <w:rFonts w:cs="Arial"/>
          <w:color w:val="000000" w:themeColor="text1"/>
          <w:sz w:val="22"/>
          <w:szCs w:val="22"/>
        </w:rPr>
        <w:t>2020. Its draft conclusions and recommendations have informed the recommendations made by this review. T</w:t>
      </w:r>
      <w:r w:rsidR="00DB4F54" w:rsidRPr="00E336D3">
        <w:rPr>
          <w:rFonts w:cs="Arial"/>
          <w:color w:val="000000" w:themeColor="text1"/>
          <w:sz w:val="22"/>
          <w:szCs w:val="22"/>
        </w:rPr>
        <w:t xml:space="preserve">he Trustee </w:t>
      </w:r>
      <w:r w:rsidR="00577C48" w:rsidRPr="00E336D3">
        <w:rPr>
          <w:rFonts w:cs="Arial"/>
          <w:color w:val="000000" w:themeColor="text1"/>
          <w:sz w:val="22"/>
          <w:szCs w:val="22"/>
        </w:rPr>
        <w:t>worked effectively to arrange access to the people and data the evaluators need</w:t>
      </w:r>
      <w:r w:rsidRPr="00E336D3">
        <w:rPr>
          <w:rFonts w:cs="Arial"/>
          <w:color w:val="000000" w:themeColor="text1"/>
          <w:sz w:val="22"/>
          <w:szCs w:val="22"/>
        </w:rPr>
        <w:t>ed</w:t>
      </w:r>
      <w:r w:rsidR="00577C48" w:rsidRPr="00E336D3">
        <w:rPr>
          <w:rFonts w:cs="Arial"/>
          <w:color w:val="000000" w:themeColor="text1"/>
          <w:sz w:val="22"/>
          <w:szCs w:val="22"/>
        </w:rPr>
        <w:t xml:space="preserve">. </w:t>
      </w:r>
      <w:r w:rsidR="00703796" w:rsidRPr="00E336D3">
        <w:rPr>
          <w:rFonts w:cs="Arial"/>
          <w:color w:val="000000" w:themeColor="text1"/>
          <w:sz w:val="22"/>
          <w:szCs w:val="22"/>
        </w:rPr>
        <w:t xml:space="preserve">Site visits and interviews </w:t>
      </w:r>
      <w:r w:rsidRPr="00E336D3">
        <w:rPr>
          <w:rFonts w:cs="Arial"/>
          <w:color w:val="000000" w:themeColor="text1"/>
          <w:sz w:val="22"/>
          <w:szCs w:val="22"/>
        </w:rPr>
        <w:t>took</w:t>
      </w:r>
      <w:r w:rsidR="00703796" w:rsidRPr="00E336D3">
        <w:rPr>
          <w:rFonts w:cs="Arial"/>
          <w:color w:val="000000" w:themeColor="text1"/>
          <w:sz w:val="22"/>
          <w:szCs w:val="22"/>
        </w:rPr>
        <w:t xml:space="preserve"> place over the summer, with the second half of 2019 used to draft</w:t>
      </w:r>
      <w:r w:rsidRPr="00E336D3">
        <w:rPr>
          <w:rFonts w:cs="Arial"/>
          <w:color w:val="000000" w:themeColor="text1"/>
          <w:sz w:val="22"/>
          <w:szCs w:val="22"/>
        </w:rPr>
        <w:t xml:space="preserve"> and</w:t>
      </w:r>
      <w:r w:rsidR="00FE44D1" w:rsidRPr="00E336D3">
        <w:rPr>
          <w:rFonts w:cs="Arial"/>
          <w:color w:val="000000" w:themeColor="text1"/>
          <w:sz w:val="22"/>
          <w:szCs w:val="22"/>
        </w:rPr>
        <w:t xml:space="preserve"> iterate the report. </w:t>
      </w:r>
    </w:p>
    <w:p w14:paraId="5938E993" w14:textId="77777777" w:rsidR="00CA701D" w:rsidRPr="00E336D3" w:rsidRDefault="00CA701D" w:rsidP="00442FF7">
      <w:pPr>
        <w:contextualSpacing/>
        <w:jc w:val="both"/>
        <w:rPr>
          <w:rFonts w:cs="Arial"/>
          <w:color w:val="000000" w:themeColor="text1"/>
          <w:sz w:val="22"/>
          <w:szCs w:val="22"/>
        </w:rPr>
      </w:pPr>
    </w:p>
    <w:p w14:paraId="776585F0" w14:textId="77777777" w:rsidR="00CA701D" w:rsidRPr="00E336D3" w:rsidRDefault="00CA701D" w:rsidP="00442FF7">
      <w:pPr>
        <w:contextualSpacing/>
        <w:jc w:val="both"/>
        <w:rPr>
          <w:rFonts w:cs="Arial"/>
          <w:b/>
          <w:color w:val="000000" w:themeColor="text1"/>
          <w:sz w:val="22"/>
          <w:szCs w:val="22"/>
        </w:rPr>
      </w:pPr>
      <w:r w:rsidRPr="00E336D3">
        <w:rPr>
          <w:rFonts w:cs="Arial"/>
          <w:b/>
          <w:color w:val="000000" w:themeColor="text1"/>
          <w:sz w:val="22"/>
          <w:szCs w:val="22"/>
        </w:rPr>
        <w:t>Monitoring progress throughout the review period</w:t>
      </w:r>
    </w:p>
    <w:p w14:paraId="0CD04AB7" w14:textId="77777777" w:rsidR="00CA701D" w:rsidRPr="00E336D3" w:rsidRDefault="00CA701D" w:rsidP="00442FF7">
      <w:pPr>
        <w:contextualSpacing/>
        <w:jc w:val="both"/>
        <w:rPr>
          <w:rFonts w:cs="Arial"/>
          <w:color w:val="000000" w:themeColor="text1"/>
          <w:sz w:val="22"/>
          <w:szCs w:val="22"/>
        </w:rPr>
      </w:pPr>
    </w:p>
    <w:p w14:paraId="2DCF1224" w14:textId="4E5C892F" w:rsidR="00CA701D" w:rsidRPr="00E336D3" w:rsidRDefault="00CA701D" w:rsidP="00442FF7">
      <w:pPr>
        <w:contextualSpacing/>
        <w:jc w:val="both"/>
        <w:rPr>
          <w:rFonts w:cs="Arial"/>
          <w:color w:val="000000" w:themeColor="text1"/>
          <w:sz w:val="22"/>
          <w:szCs w:val="22"/>
        </w:rPr>
      </w:pPr>
      <w:r w:rsidRPr="00E336D3">
        <w:rPr>
          <w:rFonts w:cs="Arial"/>
          <w:color w:val="000000" w:themeColor="text1"/>
          <w:sz w:val="22"/>
          <w:szCs w:val="22"/>
        </w:rPr>
        <w:t xml:space="preserve">The </w:t>
      </w:r>
      <w:r w:rsidR="00632C9E">
        <w:rPr>
          <w:rFonts w:cs="Arial"/>
          <w:color w:val="000000" w:themeColor="text1"/>
          <w:sz w:val="22"/>
          <w:szCs w:val="22"/>
        </w:rPr>
        <w:t>Trustee</w:t>
      </w:r>
      <w:r w:rsidRPr="00E336D3">
        <w:rPr>
          <w:rFonts w:cs="Arial"/>
          <w:bCs/>
          <w:color w:val="000000" w:themeColor="text1"/>
          <w:sz w:val="22"/>
          <w:szCs w:val="22"/>
        </w:rPr>
        <w:t xml:space="preserve"> </w:t>
      </w:r>
      <w:r w:rsidRPr="00E336D3">
        <w:rPr>
          <w:rFonts w:cs="Arial"/>
          <w:color w:val="000000" w:themeColor="text1"/>
          <w:sz w:val="22"/>
          <w:szCs w:val="22"/>
        </w:rPr>
        <w:t xml:space="preserve">has been collecting data over the past year and have reported to the UK programme management team through </w:t>
      </w:r>
      <w:r w:rsidR="00A31186" w:rsidRPr="00E336D3">
        <w:rPr>
          <w:rFonts w:cs="Arial"/>
          <w:color w:val="000000" w:themeColor="text1"/>
          <w:sz w:val="22"/>
          <w:szCs w:val="22"/>
        </w:rPr>
        <w:t xml:space="preserve">telecons and </w:t>
      </w:r>
      <w:r w:rsidR="007F4D82" w:rsidRPr="00E336D3">
        <w:rPr>
          <w:rFonts w:cs="Arial"/>
          <w:color w:val="000000" w:themeColor="text1"/>
          <w:sz w:val="22"/>
          <w:szCs w:val="22"/>
        </w:rPr>
        <w:t>six-monthly</w:t>
      </w:r>
      <w:r w:rsidR="00A31186" w:rsidRPr="00E336D3">
        <w:rPr>
          <w:rFonts w:cs="Arial"/>
          <w:color w:val="000000" w:themeColor="text1"/>
          <w:sz w:val="22"/>
          <w:szCs w:val="22"/>
        </w:rPr>
        <w:t xml:space="preserve"> meetings</w:t>
      </w:r>
      <w:r w:rsidRPr="00E336D3">
        <w:rPr>
          <w:rFonts w:cs="Arial"/>
          <w:color w:val="000000" w:themeColor="text1"/>
          <w:sz w:val="22"/>
          <w:szCs w:val="22"/>
        </w:rPr>
        <w:t xml:space="preserve">. </w:t>
      </w:r>
      <w:r w:rsidR="0011679C" w:rsidRPr="00E336D3">
        <w:rPr>
          <w:rFonts w:cs="Arial"/>
          <w:color w:val="000000" w:themeColor="text1"/>
          <w:sz w:val="22"/>
          <w:szCs w:val="22"/>
        </w:rPr>
        <w:t>PEs</w:t>
      </w:r>
      <w:r w:rsidR="00637D15" w:rsidRPr="00E336D3">
        <w:rPr>
          <w:rFonts w:cs="Arial"/>
          <w:color w:val="000000" w:themeColor="text1"/>
          <w:sz w:val="22"/>
          <w:szCs w:val="22"/>
        </w:rPr>
        <w:t xml:space="preserve"> to the Trustee twice a year, according to timings that align with the UK’s Annual Review and Results Collection exercises </w:t>
      </w:r>
      <w:r w:rsidR="00FB44EB" w:rsidRPr="00E336D3">
        <w:rPr>
          <w:rFonts w:cs="Arial"/>
          <w:color w:val="000000" w:themeColor="text1"/>
          <w:sz w:val="22"/>
          <w:szCs w:val="22"/>
        </w:rPr>
        <w:t>(end December), and Ci-Dev’s annual meeting (end June)</w:t>
      </w:r>
      <w:r w:rsidR="00BD16B0" w:rsidRPr="00E336D3">
        <w:rPr>
          <w:rFonts w:cs="Arial"/>
          <w:color w:val="000000" w:themeColor="text1"/>
          <w:sz w:val="22"/>
          <w:szCs w:val="22"/>
        </w:rPr>
        <w:t>.</w:t>
      </w:r>
    </w:p>
    <w:p w14:paraId="59886E5F" w14:textId="77777777" w:rsidR="00D5214D" w:rsidRPr="00E336D3" w:rsidRDefault="00D5214D" w:rsidP="00CA701D">
      <w:pPr>
        <w:rPr>
          <w:rFonts w:cs="Arial"/>
          <w:color w:val="000000" w:themeColor="text1"/>
          <w:sz w:val="22"/>
          <w:szCs w:val="22"/>
        </w:rPr>
      </w:pPr>
    </w:p>
    <w:p w14:paraId="61FF24A0" w14:textId="77777777" w:rsidR="00D5214D" w:rsidRPr="00E336D3" w:rsidRDefault="00D5214D" w:rsidP="00CA701D">
      <w:pPr>
        <w:rPr>
          <w:rFonts w:cs="Arial"/>
          <w:color w:val="000000" w:themeColor="text1"/>
          <w:sz w:val="22"/>
          <w:szCs w:val="22"/>
        </w:rPr>
      </w:pPr>
    </w:p>
    <w:p w14:paraId="142D0078" w14:textId="77777777" w:rsidR="00121BD5" w:rsidRPr="00E336D3" w:rsidRDefault="00121BD5" w:rsidP="00121BD5">
      <w:pPr>
        <w:pStyle w:val="Heading2"/>
        <w:pBdr>
          <w:top w:val="single" w:sz="4" w:space="1" w:color="auto"/>
          <w:left w:val="single" w:sz="4" w:space="4" w:color="auto"/>
          <w:bottom w:val="single" w:sz="4" w:space="0" w:color="auto"/>
          <w:right w:val="single" w:sz="4" w:space="4" w:color="auto"/>
        </w:pBdr>
        <w:shd w:val="clear" w:color="auto" w:fill="DBE5F1" w:themeFill="accent1" w:themeFillTint="33"/>
        <w:spacing w:before="0" w:after="0"/>
        <w:contextualSpacing/>
        <w:rPr>
          <w:b w:val="0"/>
          <w:i w:val="0"/>
          <w:color w:val="000000" w:themeColor="text1"/>
          <w:sz w:val="22"/>
          <w:szCs w:val="22"/>
        </w:rPr>
      </w:pPr>
      <w:r w:rsidRPr="00E336D3">
        <w:rPr>
          <w:i w:val="0"/>
          <w:color w:val="000000" w:themeColor="text1"/>
          <w:sz w:val="22"/>
          <w:szCs w:val="22"/>
        </w:rPr>
        <w:t>I: TRANSFORMATIONAL CHANGE</w:t>
      </w:r>
    </w:p>
    <w:p w14:paraId="1D77B61D" w14:textId="77777777" w:rsidR="0022125D" w:rsidRPr="00E336D3" w:rsidRDefault="0022125D">
      <w:pPr>
        <w:rPr>
          <w:rFonts w:cs="Arial"/>
          <w:color w:val="000000" w:themeColor="text1"/>
          <w:sz w:val="22"/>
          <w:szCs w:val="22"/>
        </w:rPr>
      </w:pPr>
    </w:p>
    <w:p w14:paraId="30FB3D44" w14:textId="2E67FD69" w:rsidR="008D1E7A" w:rsidRPr="00E336D3" w:rsidRDefault="00C11CB6" w:rsidP="0076055A">
      <w:pPr>
        <w:rPr>
          <w:rFonts w:cs="Arial"/>
          <w:b/>
          <w:sz w:val="22"/>
          <w:szCs w:val="22"/>
          <w:lang w:eastAsia="en-GB"/>
        </w:rPr>
      </w:pPr>
      <w:r w:rsidRPr="00E336D3">
        <w:rPr>
          <w:rFonts w:cs="Arial"/>
          <w:b/>
          <w:color w:val="000000" w:themeColor="text1"/>
          <w:sz w:val="22"/>
          <w:szCs w:val="22"/>
        </w:rPr>
        <w:t>Rating</w:t>
      </w:r>
      <w:r w:rsidR="0076055A" w:rsidRPr="00E336D3">
        <w:rPr>
          <w:rFonts w:cs="Arial"/>
          <w:b/>
          <w:color w:val="000000" w:themeColor="text1"/>
          <w:sz w:val="22"/>
          <w:szCs w:val="22"/>
        </w:rPr>
        <w:t xml:space="preserve">: </w:t>
      </w:r>
      <w:r w:rsidR="008D1E7A" w:rsidRPr="00E336D3">
        <w:rPr>
          <w:rFonts w:cs="Arial"/>
          <w:b/>
          <w:sz w:val="22"/>
          <w:szCs w:val="22"/>
          <w:lang w:eastAsia="en-GB"/>
        </w:rPr>
        <w:t>2: Some early evidence suggests Transformational Change judged likely</w:t>
      </w:r>
    </w:p>
    <w:p w14:paraId="60C98F14" w14:textId="77777777" w:rsidR="00C11CB6" w:rsidRPr="00E336D3" w:rsidRDefault="00C11CB6">
      <w:pPr>
        <w:rPr>
          <w:rFonts w:cs="Arial"/>
          <w:color w:val="000000" w:themeColor="text1"/>
          <w:sz w:val="22"/>
          <w:szCs w:val="22"/>
        </w:rPr>
      </w:pPr>
    </w:p>
    <w:p w14:paraId="2F82D1E0" w14:textId="77777777" w:rsidR="00C11CB6" w:rsidRPr="00E336D3" w:rsidRDefault="00C11CB6">
      <w:pPr>
        <w:rPr>
          <w:rFonts w:cs="Arial"/>
          <w:b/>
          <w:color w:val="000000" w:themeColor="text1"/>
          <w:sz w:val="22"/>
          <w:szCs w:val="22"/>
        </w:rPr>
      </w:pPr>
      <w:r w:rsidRPr="00E336D3">
        <w:rPr>
          <w:rFonts w:cs="Arial"/>
          <w:b/>
          <w:color w:val="000000" w:themeColor="text1"/>
          <w:sz w:val="22"/>
          <w:szCs w:val="22"/>
        </w:rPr>
        <w:t>Evidence and evaluation</w:t>
      </w:r>
    </w:p>
    <w:p w14:paraId="48BA4F86" w14:textId="77777777" w:rsidR="00C11CB6" w:rsidRPr="00E336D3" w:rsidRDefault="00C11CB6">
      <w:pPr>
        <w:rPr>
          <w:rFonts w:cs="Arial"/>
          <w:color w:val="000000" w:themeColor="text1"/>
          <w:sz w:val="22"/>
          <w:szCs w:val="22"/>
        </w:rPr>
      </w:pPr>
    </w:p>
    <w:p w14:paraId="2E8996A8" w14:textId="191FE0A6" w:rsidR="00C11CB6" w:rsidRPr="00E336D3" w:rsidRDefault="00C11CB6" w:rsidP="00640669">
      <w:pPr>
        <w:jc w:val="both"/>
        <w:rPr>
          <w:rFonts w:cs="Arial"/>
          <w:color w:val="000000" w:themeColor="text1"/>
          <w:sz w:val="22"/>
          <w:szCs w:val="22"/>
        </w:rPr>
      </w:pPr>
      <w:r w:rsidRPr="00E336D3">
        <w:rPr>
          <w:rFonts w:cs="Arial"/>
          <w:color w:val="000000" w:themeColor="text1"/>
          <w:sz w:val="22"/>
          <w:szCs w:val="22"/>
        </w:rPr>
        <w:t xml:space="preserve">The UK’s assessment of </w:t>
      </w:r>
      <w:r w:rsidR="00512DCC">
        <w:rPr>
          <w:rFonts w:cs="Arial"/>
          <w:color w:val="000000" w:themeColor="text1"/>
          <w:sz w:val="22"/>
          <w:szCs w:val="22"/>
        </w:rPr>
        <w:t>Ci-Dev</w:t>
      </w:r>
      <w:r w:rsidR="00C83826" w:rsidRPr="00E336D3">
        <w:rPr>
          <w:rFonts w:cs="Arial"/>
          <w:color w:val="000000" w:themeColor="text1"/>
          <w:sz w:val="22"/>
          <w:szCs w:val="22"/>
        </w:rPr>
        <w:t>’</w:t>
      </w:r>
      <w:r w:rsidRPr="00E336D3">
        <w:rPr>
          <w:rFonts w:cs="Arial"/>
          <w:color w:val="000000" w:themeColor="text1"/>
          <w:sz w:val="22"/>
          <w:szCs w:val="22"/>
        </w:rPr>
        <w:t>s capacity for transformational change relies on four criteria</w:t>
      </w:r>
      <w:r w:rsidR="00EE3F7C" w:rsidRPr="00E336D3">
        <w:rPr>
          <w:rFonts w:cs="Arial"/>
          <w:color w:val="000000" w:themeColor="text1"/>
          <w:sz w:val="22"/>
          <w:szCs w:val="22"/>
        </w:rPr>
        <w:t>, which each have two</w:t>
      </w:r>
      <w:r w:rsidRPr="00E336D3">
        <w:rPr>
          <w:rFonts w:cs="Arial"/>
          <w:color w:val="000000" w:themeColor="text1"/>
          <w:sz w:val="22"/>
          <w:szCs w:val="22"/>
        </w:rPr>
        <w:t xml:space="preserve"> indicators. The </w:t>
      </w:r>
      <w:r w:rsidR="0048616F" w:rsidRPr="00E336D3">
        <w:rPr>
          <w:rFonts w:cs="Arial"/>
          <w:color w:val="000000" w:themeColor="text1"/>
          <w:sz w:val="22"/>
          <w:szCs w:val="22"/>
        </w:rPr>
        <w:t>four</w:t>
      </w:r>
      <w:r w:rsidRPr="00E336D3">
        <w:rPr>
          <w:rFonts w:cs="Arial"/>
          <w:color w:val="000000" w:themeColor="text1"/>
          <w:sz w:val="22"/>
          <w:szCs w:val="22"/>
        </w:rPr>
        <w:t xml:space="preserve"> criteria are</w:t>
      </w:r>
      <w:r w:rsidR="00BD16B0" w:rsidRPr="00E336D3">
        <w:rPr>
          <w:rFonts w:cs="Arial"/>
          <w:color w:val="000000" w:themeColor="text1"/>
          <w:sz w:val="22"/>
          <w:szCs w:val="22"/>
        </w:rPr>
        <w:t xml:space="preserve">: </w:t>
      </w:r>
      <w:r w:rsidR="00637F2C" w:rsidRPr="00E336D3">
        <w:rPr>
          <w:rFonts w:cs="Arial"/>
          <w:color w:val="000000" w:themeColor="text1"/>
          <w:sz w:val="22"/>
          <w:szCs w:val="22"/>
        </w:rPr>
        <w:t>c</w:t>
      </w:r>
      <w:r w:rsidRPr="00E336D3">
        <w:rPr>
          <w:rFonts w:cs="Arial"/>
          <w:color w:val="000000" w:themeColor="text1"/>
          <w:sz w:val="22"/>
          <w:szCs w:val="22"/>
        </w:rPr>
        <w:t>apacity and capability can be increase</w:t>
      </w:r>
      <w:r w:rsidR="00637F2C" w:rsidRPr="00E336D3">
        <w:rPr>
          <w:rFonts w:cs="Arial"/>
          <w:color w:val="000000" w:themeColor="text1"/>
          <w:sz w:val="22"/>
          <w:szCs w:val="22"/>
        </w:rPr>
        <w:t>d;</w:t>
      </w:r>
      <w:r w:rsidR="00BD16B0" w:rsidRPr="00E336D3">
        <w:rPr>
          <w:rFonts w:cs="Arial"/>
          <w:color w:val="000000" w:themeColor="text1"/>
          <w:sz w:val="22"/>
          <w:szCs w:val="22"/>
        </w:rPr>
        <w:t xml:space="preserve"> </w:t>
      </w:r>
      <w:r w:rsidR="00637F2C" w:rsidRPr="00E336D3">
        <w:rPr>
          <w:rFonts w:cs="Arial"/>
          <w:color w:val="000000" w:themeColor="text1"/>
          <w:sz w:val="22"/>
          <w:szCs w:val="22"/>
        </w:rPr>
        <w:t>i</w:t>
      </w:r>
      <w:r w:rsidRPr="00E336D3">
        <w:rPr>
          <w:rFonts w:cs="Arial"/>
          <w:color w:val="000000" w:themeColor="text1"/>
          <w:sz w:val="22"/>
          <w:szCs w:val="22"/>
        </w:rPr>
        <w:t>n</w:t>
      </w:r>
      <w:r w:rsidR="00637F2C" w:rsidRPr="00E336D3">
        <w:rPr>
          <w:rFonts w:cs="Arial"/>
          <w:color w:val="000000" w:themeColor="text1"/>
          <w:sz w:val="22"/>
          <w:szCs w:val="22"/>
        </w:rPr>
        <w:t>n</w:t>
      </w:r>
      <w:r w:rsidRPr="00E336D3">
        <w:rPr>
          <w:rFonts w:cs="Arial"/>
          <w:color w:val="000000" w:themeColor="text1"/>
          <w:sz w:val="22"/>
          <w:szCs w:val="22"/>
        </w:rPr>
        <w:t>ovation</w:t>
      </w:r>
      <w:r w:rsidR="00637F2C" w:rsidRPr="00E336D3">
        <w:rPr>
          <w:rFonts w:cs="Arial"/>
          <w:color w:val="000000" w:themeColor="text1"/>
          <w:sz w:val="22"/>
          <w:szCs w:val="22"/>
        </w:rPr>
        <w:t>;</w:t>
      </w:r>
      <w:r w:rsidR="00BD16B0" w:rsidRPr="00E336D3">
        <w:rPr>
          <w:rFonts w:cs="Arial"/>
          <w:color w:val="000000" w:themeColor="text1"/>
          <w:sz w:val="22"/>
          <w:szCs w:val="22"/>
        </w:rPr>
        <w:t xml:space="preserve"> </w:t>
      </w:r>
      <w:r w:rsidR="00637F2C" w:rsidRPr="00E336D3">
        <w:rPr>
          <w:rFonts w:cs="Arial"/>
          <w:color w:val="000000" w:themeColor="text1"/>
          <w:sz w:val="22"/>
          <w:szCs w:val="22"/>
        </w:rPr>
        <w:t>r</w:t>
      </w:r>
      <w:r w:rsidRPr="00E336D3">
        <w:rPr>
          <w:rFonts w:cs="Arial"/>
          <w:color w:val="000000" w:themeColor="text1"/>
          <w:sz w:val="22"/>
          <w:szCs w:val="22"/>
        </w:rPr>
        <w:t>eplicability of new methodologies</w:t>
      </w:r>
      <w:r w:rsidR="00637F2C" w:rsidRPr="00E336D3">
        <w:rPr>
          <w:rFonts w:cs="Arial"/>
          <w:color w:val="000000" w:themeColor="text1"/>
          <w:sz w:val="22"/>
          <w:szCs w:val="22"/>
        </w:rPr>
        <w:t>; and</w:t>
      </w:r>
      <w:r w:rsidR="00BD16B0" w:rsidRPr="00E336D3">
        <w:rPr>
          <w:rFonts w:cs="Arial"/>
          <w:color w:val="000000" w:themeColor="text1"/>
          <w:sz w:val="22"/>
          <w:szCs w:val="22"/>
        </w:rPr>
        <w:t xml:space="preserve"> </w:t>
      </w:r>
      <w:r w:rsidR="00637F2C" w:rsidRPr="00E336D3">
        <w:rPr>
          <w:rFonts w:cs="Arial"/>
          <w:color w:val="000000" w:themeColor="text1"/>
          <w:sz w:val="22"/>
          <w:szCs w:val="22"/>
        </w:rPr>
        <w:t>c</w:t>
      </w:r>
      <w:r w:rsidRPr="00E336D3">
        <w:rPr>
          <w:rFonts w:cs="Arial"/>
          <w:color w:val="000000" w:themeColor="text1"/>
          <w:sz w:val="22"/>
          <w:szCs w:val="22"/>
        </w:rPr>
        <w:t>ritical mass.</w:t>
      </w:r>
    </w:p>
    <w:p w14:paraId="6F656FBD" w14:textId="77777777" w:rsidR="00B73C44" w:rsidRPr="00E336D3" w:rsidRDefault="00B73C44" w:rsidP="00640669">
      <w:pPr>
        <w:jc w:val="both"/>
        <w:rPr>
          <w:rFonts w:cs="Arial"/>
          <w:bCs/>
          <w:color w:val="000000" w:themeColor="text1"/>
          <w:sz w:val="22"/>
          <w:szCs w:val="22"/>
        </w:rPr>
      </w:pPr>
    </w:p>
    <w:p w14:paraId="0344D9C4" w14:textId="174E286A" w:rsidR="00FD2103" w:rsidRPr="00E336D3" w:rsidRDefault="00017B17" w:rsidP="00640669">
      <w:pPr>
        <w:jc w:val="both"/>
        <w:rPr>
          <w:rFonts w:cs="Arial"/>
          <w:bCs/>
          <w:color w:val="000000" w:themeColor="text1"/>
          <w:sz w:val="22"/>
          <w:szCs w:val="22"/>
        </w:rPr>
      </w:pPr>
      <w:r w:rsidRPr="00E336D3">
        <w:rPr>
          <w:rFonts w:cs="Arial"/>
          <w:bCs/>
          <w:color w:val="000000" w:themeColor="text1"/>
          <w:sz w:val="22"/>
          <w:szCs w:val="22"/>
        </w:rPr>
        <w:t xml:space="preserve">Once these eight indicators are scored, an overall score from 0 </w:t>
      </w:r>
      <w:r w:rsidR="00F93710" w:rsidRPr="00E336D3">
        <w:rPr>
          <w:rFonts w:cs="Arial"/>
          <w:bCs/>
          <w:color w:val="000000" w:themeColor="text1"/>
          <w:sz w:val="22"/>
          <w:szCs w:val="22"/>
        </w:rPr>
        <w:t xml:space="preserve">– </w:t>
      </w:r>
      <w:r w:rsidR="00F93710" w:rsidRPr="00E336D3">
        <w:rPr>
          <w:rFonts w:cs="Arial"/>
          <w:bCs/>
          <w:i/>
          <w:color w:val="000000" w:themeColor="text1"/>
          <w:sz w:val="22"/>
          <w:szCs w:val="22"/>
        </w:rPr>
        <w:t>transformational change judged unlikely</w:t>
      </w:r>
      <w:r w:rsidR="00F93710" w:rsidRPr="00E336D3">
        <w:rPr>
          <w:rFonts w:cs="Arial"/>
          <w:bCs/>
          <w:color w:val="000000" w:themeColor="text1"/>
          <w:sz w:val="22"/>
          <w:szCs w:val="22"/>
        </w:rPr>
        <w:t xml:space="preserve">, to 4 </w:t>
      </w:r>
      <w:r w:rsidR="005B3B6A" w:rsidRPr="00E336D3">
        <w:rPr>
          <w:rFonts w:cs="Arial"/>
          <w:bCs/>
          <w:color w:val="000000" w:themeColor="text1"/>
          <w:sz w:val="22"/>
          <w:szCs w:val="22"/>
        </w:rPr>
        <w:t>–</w:t>
      </w:r>
      <w:r w:rsidR="00F93710" w:rsidRPr="00E336D3">
        <w:rPr>
          <w:rFonts w:cs="Arial"/>
          <w:bCs/>
          <w:color w:val="000000" w:themeColor="text1"/>
          <w:sz w:val="22"/>
          <w:szCs w:val="22"/>
        </w:rPr>
        <w:t xml:space="preserve"> </w:t>
      </w:r>
      <w:r w:rsidR="005B3B6A" w:rsidRPr="00E336D3">
        <w:rPr>
          <w:rFonts w:cs="Arial"/>
          <w:bCs/>
          <w:i/>
          <w:color w:val="000000" w:themeColor="text1"/>
          <w:sz w:val="22"/>
          <w:szCs w:val="22"/>
        </w:rPr>
        <w:t xml:space="preserve">transformational change judged </w:t>
      </w:r>
      <w:r w:rsidR="00FD2103" w:rsidRPr="00E336D3">
        <w:rPr>
          <w:rFonts w:cs="Arial"/>
          <w:bCs/>
          <w:i/>
          <w:color w:val="000000" w:themeColor="text1"/>
          <w:sz w:val="22"/>
          <w:szCs w:val="22"/>
        </w:rPr>
        <w:t>very likely</w:t>
      </w:r>
      <w:r w:rsidR="00FD2103" w:rsidRPr="00E336D3">
        <w:rPr>
          <w:rFonts w:cs="Arial"/>
          <w:bCs/>
          <w:color w:val="000000" w:themeColor="text1"/>
          <w:sz w:val="22"/>
          <w:szCs w:val="22"/>
        </w:rPr>
        <w:t xml:space="preserve">, is awarded. </w:t>
      </w:r>
      <w:r w:rsidR="00EC344C" w:rsidRPr="00E336D3">
        <w:rPr>
          <w:rFonts w:cs="Arial"/>
          <w:bCs/>
          <w:color w:val="000000" w:themeColor="text1"/>
          <w:sz w:val="22"/>
          <w:szCs w:val="22"/>
        </w:rPr>
        <w:t>An assessmen</w:t>
      </w:r>
      <w:r w:rsidR="003C65F1" w:rsidRPr="00E336D3">
        <w:rPr>
          <w:rFonts w:cs="Arial"/>
          <w:bCs/>
          <w:color w:val="000000" w:themeColor="text1"/>
          <w:sz w:val="22"/>
          <w:szCs w:val="22"/>
        </w:rPr>
        <w:t>t</w:t>
      </w:r>
      <w:r w:rsidR="00EC344C" w:rsidRPr="00E336D3">
        <w:rPr>
          <w:rFonts w:cs="Arial"/>
          <w:bCs/>
          <w:color w:val="000000" w:themeColor="text1"/>
          <w:sz w:val="22"/>
          <w:szCs w:val="22"/>
        </w:rPr>
        <w:t xml:space="preserve"> of progress against the criteria </w:t>
      </w:r>
      <w:r w:rsidR="003C65F1" w:rsidRPr="00E336D3">
        <w:rPr>
          <w:rFonts w:cs="Arial"/>
          <w:bCs/>
          <w:color w:val="000000" w:themeColor="text1"/>
          <w:sz w:val="22"/>
          <w:szCs w:val="22"/>
        </w:rPr>
        <w:t xml:space="preserve">and each criteria score (in brackets) </w:t>
      </w:r>
      <w:r w:rsidR="00EC344C" w:rsidRPr="00E336D3">
        <w:rPr>
          <w:rFonts w:cs="Arial"/>
          <w:bCs/>
          <w:color w:val="000000" w:themeColor="text1"/>
          <w:sz w:val="22"/>
          <w:szCs w:val="22"/>
        </w:rPr>
        <w:t>follows:</w:t>
      </w:r>
    </w:p>
    <w:p w14:paraId="19C608F5" w14:textId="5D525181" w:rsidR="00EC344C" w:rsidRPr="00E336D3" w:rsidRDefault="00EC344C" w:rsidP="00640669">
      <w:pPr>
        <w:jc w:val="both"/>
        <w:rPr>
          <w:rFonts w:cs="Arial"/>
          <w:bCs/>
          <w:color w:val="000000" w:themeColor="text1"/>
          <w:sz w:val="22"/>
          <w:szCs w:val="22"/>
        </w:rPr>
      </w:pPr>
    </w:p>
    <w:p w14:paraId="3781C83A" w14:textId="752C71DC" w:rsidR="003C65F1" w:rsidRPr="00E336D3" w:rsidRDefault="003C65F1" w:rsidP="00640669">
      <w:pPr>
        <w:jc w:val="both"/>
        <w:rPr>
          <w:rFonts w:cs="Arial"/>
          <w:bCs/>
          <w:color w:val="000000" w:themeColor="text1"/>
          <w:sz w:val="22"/>
          <w:szCs w:val="22"/>
        </w:rPr>
      </w:pPr>
      <w:r w:rsidRPr="00E336D3">
        <w:rPr>
          <w:rFonts w:cs="Arial"/>
          <w:b/>
          <w:bCs/>
          <w:color w:val="000000" w:themeColor="text1"/>
          <w:sz w:val="22"/>
          <w:szCs w:val="22"/>
        </w:rPr>
        <w:t>C</w:t>
      </w:r>
      <w:r w:rsidR="00EC344C" w:rsidRPr="00E336D3">
        <w:rPr>
          <w:rFonts w:cs="Arial"/>
          <w:b/>
          <w:bCs/>
          <w:color w:val="000000" w:themeColor="text1"/>
          <w:sz w:val="22"/>
          <w:szCs w:val="22"/>
        </w:rPr>
        <w:t xml:space="preserve">apacity and capability can be increased </w:t>
      </w:r>
      <w:r w:rsidRPr="00E336D3">
        <w:rPr>
          <w:rFonts w:cs="Arial"/>
          <w:b/>
          <w:bCs/>
          <w:color w:val="000000" w:themeColor="text1"/>
          <w:sz w:val="22"/>
          <w:szCs w:val="22"/>
        </w:rPr>
        <w:t>(2)</w:t>
      </w:r>
      <w:r w:rsidRPr="00E336D3">
        <w:rPr>
          <w:rFonts w:cs="Arial"/>
          <w:bCs/>
          <w:color w:val="000000" w:themeColor="text1"/>
          <w:sz w:val="22"/>
          <w:szCs w:val="22"/>
        </w:rPr>
        <w:t xml:space="preserve"> </w:t>
      </w:r>
      <w:r w:rsidR="00E924E0" w:rsidRPr="00E336D3">
        <w:rPr>
          <w:rFonts w:cs="Arial"/>
          <w:bCs/>
          <w:color w:val="000000" w:themeColor="text1"/>
          <w:sz w:val="22"/>
          <w:szCs w:val="22"/>
        </w:rPr>
        <w:t xml:space="preserve">This reflects </w:t>
      </w:r>
      <w:r w:rsidR="00512DCC">
        <w:rPr>
          <w:rFonts w:cs="Arial"/>
          <w:bCs/>
          <w:color w:val="000000" w:themeColor="text1"/>
          <w:sz w:val="22"/>
          <w:szCs w:val="22"/>
        </w:rPr>
        <w:t>Ci-Dev</w:t>
      </w:r>
      <w:r w:rsidR="00E924E0" w:rsidRPr="00E336D3">
        <w:rPr>
          <w:rFonts w:cs="Arial"/>
          <w:bCs/>
          <w:color w:val="000000" w:themeColor="text1"/>
          <w:sz w:val="22"/>
          <w:szCs w:val="22"/>
        </w:rPr>
        <w:t xml:space="preserve">’s success in piloting a second Standardised Crediting Framework, in Rwanda. The results from this will be evaluated and published in 2020 once the pilot has concluded. </w:t>
      </w:r>
      <w:r w:rsidR="00AF2AF6">
        <w:rPr>
          <w:rFonts w:cs="Arial"/>
          <w:bCs/>
          <w:color w:val="000000" w:themeColor="text1"/>
          <w:sz w:val="22"/>
          <w:szCs w:val="22"/>
        </w:rPr>
        <w:t xml:space="preserve">An assessment of the first SCF in Senegal indicated that replication was possible and findings could help inform similar approaches in other LDCs. </w:t>
      </w:r>
    </w:p>
    <w:p w14:paraId="39F1095F" w14:textId="77777777" w:rsidR="00E924E0" w:rsidRPr="00E336D3" w:rsidRDefault="00E924E0" w:rsidP="00640669">
      <w:pPr>
        <w:jc w:val="both"/>
        <w:rPr>
          <w:rFonts w:cs="Arial"/>
          <w:bCs/>
          <w:color w:val="000000" w:themeColor="text1"/>
          <w:sz w:val="22"/>
          <w:szCs w:val="22"/>
        </w:rPr>
      </w:pPr>
    </w:p>
    <w:p w14:paraId="166C6CA8" w14:textId="77777777" w:rsidR="00E924E0" w:rsidRPr="00E336D3" w:rsidRDefault="003C65F1" w:rsidP="00640669">
      <w:pPr>
        <w:jc w:val="both"/>
        <w:rPr>
          <w:rFonts w:cs="Arial"/>
          <w:bCs/>
          <w:color w:val="000000" w:themeColor="text1"/>
          <w:sz w:val="22"/>
          <w:szCs w:val="22"/>
        </w:rPr>
      </w:pPr>
      <w:r w:rsidRPr="00E336D3">
        <w:rPr>
          <w:rFonts w:cs="Arial"/>
          <w:b/>
          <w:bCs/>
          <w:color w:val="000000" w:themeColor="text1"/>
          <w:sz w:val="22"/>
          <w:szCs w:val="22"/>
        </w:rPr>
        <w:t xml:space="preserve">Innovation </w:t>
      </w:r>
      <w:r w:rsidR="00747142" w:rsidRPr="00E336D3">
        <w:rPr>
          <w:rFonts w:cs="Arial"/>
          <w:b/>
          <w:bCs/>
          <w:color w:val="000000" w:themeColor="text1"/>
          <w:sz w:val="22"/>
          <w:szCs w:val="22"/>
        </w:rPr>
        <w:t>(</w:t>
      </w:r>
      <w:r w:rsidR="006E016F" w:rsidRPr="00E336D3">
        <w:rPr>
          <w:rFonts w:cs="Arial"/>
          <w:b/>
          <w:bCs/>
          <w:color w:val="000000" w:themeColor="text1"/>
          <w:sz w:val="22"/>
          <w:szCs w:val="22"/>
        </w:rPr>
        <w:t>2</w:t>
      </w:r>
      <w:r w:rsidR="00747142" w:rsidRPr="00E336D3">
        <w:rPr>
          <w:rFonts w:cs="Arial"/>
          <w:b/>
          <w:bCs/>
          <w:color w:val="000000" w:themeColor="text1"/>
          <w:sz w:val="22"/>
          <w:szCs w:val="22"/>
        </w:rPr>
        <w:t>)</w:t>
      </w:r>
      <w:r w:rsidR="00747142" w:rsidRPr="00E336D3">
        <w:rPr>
          <w:rFonts w:cs="Arial"/>
          <w:bCs/>
          <w:color w:val="000000" w:themeColor="text1"/>
          <w:sz w:val="22"/>
          <w:szCs w:val="22"/>
        </w:rPr>
        <w:t xml:space="preserve"> </w:t>
      </w:r>
      <w:r w:rsidR="00E924E0" w:rsidRPr="00E336D3">
        <w:rPr>
          <w:rFonts w:cs="Arial"/>
          <w:bCs/>
          <w:color w:val="000000" w:themeColor="text1"/>
          <w:sz w:val="22"/>
          <w:szCs w:val="22"/>
        </w:rPr>
        <w:t xml:space="preserve">This was previously measured in terms of the number of new methodologies developed by Ci-Dev. Although the programme has delivered these according to expectation in the past, and they have been used by others, the slump in the CDM market is likely to limit the use of these new approaches by project developers. </w:t>
      </w:r>
    </w:p>
    <w:p w14:paraId="68EC2A6C" w14:textId="58912127" w:rsidR="009A0F57" w:rsidRPr="00E336D3" w:rsidRDefault="009A0F57" w:rsidP="00640669">
      <w:pPr>
        <w:jc w:val="both"/>
        <w:rPr>
          <w:rFonts w:cs="Arial"/>
          <w:bCs/>
          <w:color w:val="000000" w:themeColor="text1"/>
          <w:sz w:val="22"/>
          <w:szCs w:val="22"/>
        </w:rPr>
      </w:pPr>
    </w:p>
    <w:p w14:paraId="54A34CB6" w14:textId="6BA17179" w:rsidR="003C65F1" w:rsidRPr="00E336D3" w:rsidRDefault="009A0F57" w:rsidP="00640669">
      <w:pPr>
        <w:jc w:val="both"/>
        <w:rPr>
          <w:rFonts w:cs="Arial"/>
          <w:bCs/>
          <w:color w:val="000000" w:themeColor="text1"/>
          <w:sz w:val="22"/>
          <w:szCs w:val="22"/>
        </w:rPr>
      </w:pPr>
      <w:r w:rsidRPr="00E336D3">
        <w:rPr>
          <w:rFonts w:cs="Arial"/>
          <w:b/>
          <w:bCs/>
          <w:color w:val="000000" w:themeColor="text1"/>
          <w:sz w:val="22"/>
          <w:szCs w:val="22"/>
        </w:rPr>
        <w:t xml:space="preserve">Replicability of new technologies </w:t>
      </w:r>
      <w:r w:rsidR="008B1FCF" w:rsidRPr="00E336D3">
        <w:rPr>
          <w:rFonts w:cs="Arial"/>
          <w:b/>
          <w:bCs/>
          <w:color w:val="000000" w:themeColor="text1"/>
          <w:sz w:val="22"/>
          <w:szCs w:val="22"/>
        </w:rPr>
        <w:t xml:space="preserve">(2) </w:t>
      </w:r>
      <w:r w:rsidR="00E924E0" w:rsidRPr="00E336D3">
        <w:rPr>
          <w:rFonts w:cs="Arial"/>
          <w:bCs/>
          <w:color w:val="000000" w:themeColor="text1"/>
          <w:sz w:val="22"/>
          <w:szCs w:val="22"/>
        </w:rPr>
        <w:t xml:space="preserve">CDM projects have been registered during this review period that use </w:t>
      </w:r>
      <w:r w:rsidR="00512DCC">
        <w:rPr>
          <w:rFonts w:cs="Arial"/>
          <w:bCs/>
          <w:color w:val="000000" w:themeColor="text1"/>
          <w:sz w:val="22"/>
          <w:szCs w:val="22"/>
        </w:rPr>
        <w:t>Ci-Dev</w:t>
      </w:r>
      <w:r w:rsidR="00E924E0" w:rsidRPr="00E336D3">
        <w:rPr>
          <w:rFonts w:cs="Arial"/>
          <w:bCs/>
          <w:color w:val="000000" w:themeColor="text1"/>
          <w:sz w:val="22"/>
          <w:szCs w:val="22"/>
        </w:rPr>
        <w:t xml:space="preserve"> developed methodologies (see Output 3.1) and public and private investment mobilised is exceeding, and marginally undershooting expectations respectively</w:t>
      </w:r>
      <w:r w:rsidR="00E83CB3" w:rsidRPr="00E336D3">
        <w:rPr>
          <w:rFonts w:cs="Arial"/>
          <w:bCs/>
          <w:color w:val="000000" w:themeColor="text1"/>
          <w:sz w:val="22"/>
          <w:szCs w:val="22"/>
        </w:rPr>
        <w:t>.</w:t>
      </w:r>
    </w:p>
    <w:p w14:paraId="1C542408" w14:textId="77777777" w:rsidR="0076055A" w:rsidRPr="00E336D3" w:rsidRDefault="0076055A" w:rsidP="00197394">
      <w:pPr>
        <w:jc w:val="both"/>
        <w:rPr>
          <w:rFonts w:cs="Arial"/>
          <w:bCs/>
          <w:color w:val="000000" w:themeColor="text1"/>
          <w:sz w:val="22"/>
          <w:szCs w:val="22"/>
        </w:rPr>
      </w:pPr>
    </w:p>
    <w:p w14:paraId="1839DD79" w14:textId="142A3A67" w:rsidR="00E924E0" w:rsidRPr="00E336D3" w:rsidRDefault="00985562" w:rsidP="00640669">
      <w:pPr>
        <w:jc w:val="both"/>
        <w:rPr>
          <w:rFonts w:cs="Arial"/>
          <w:sz w:val="22"/>
          <w:szCs w:val="22"/>
          <w:lang w:eastAsia="en-GB"/>
        </w:rPr>
      </w:pPr>
      <w:r w:rsidRPr="00E336D3">
        <w:rPr>
          <w:rFonts w:cs="Arial"/>
          <w:b/>
          <w:bCs/>
          <w:color w:val="000000" w:themeColor="text1"/>
          <w:sz w:val="22"/>
          <w:szCs w:val="22"/>
        </w:rPr>
        <w:t xml:space="preserve">Critical mass </w:t>
      </w:r>
      <w:r w:rsidR="00F8096A" w:rsidRPr="00E336D3">
        <w:rPr>
          <w:rFonts w:cs="Arial"/>
          <w:b/>
          <w:bCs/>
          <w:color w:val="000000" w:themeColor="text1"/>
          <w:sz w:val="22"/>
          <w:szCs w:val="22"/>
        </w:rPr>
        <w:t>(2)</w:t>
      </w:r>
      <w:r w:rsidR="00F8096A" w:rsidRPr="00E336D3">
        <w:rPr>
          <w:rFonts w:cs="Arial"/>
          <w:bCs/>
          <w:color w:val="000000" w:themeColor="text1"/>
          <w:sz w:val="22"/>
          <w:szCs w:val="22"/>
        </w:rPr>
        <w:t xml:space="preserve"> </w:t>
      </w:r>
      <w:r w:rsidR="00E924E0" w:rsidRPr="00E336D3">
        <w:rPr>
          <w:rFonts w:cs="Arial"/>
          <w:bCs/>
          <w:color w:val="000000" w:themeColor="text1"/>
          <w:sz w:val="22"/>
          <w:szCs w:val="22"/>
        </w:rPr>
        <w:t xml:space="preserve">Three Ci-Dev projects in two LDCs issued their first tranche of credits in 2019, and two more made their second </w:t>
      </w:r>
      <w:r w:rsidR="00A757B4" w:rsidRPr="00E336D3">
        <w:rPr>
          <w:rFonts w:cs="Arial"/>
          <w:bCs/>
          <w:color w:val="000000" w:themeColor="text1"/>
          <w:sz w:val="22"/>
          <w:szCs w:val="22"/>
        </w:rPr>
        <w:t>issuances, which</w:t>
      </w:r>
      <w:r w:rsidR="00E924E0" w:rsidRPr="00E336D3">
        <w:rPr>
          <w:rFonts w:cs="Arial"/>
          <w:bCs/>
          <w:color w:val="000000" w:themeColor="text1"/>
          <w:sz w:val="22"/>
          <w:szCs w:val="22"/>
        </w:rPr>
        <w:t xml:space="preserve"> indicates good progress towards the programmes’ aim to boost participation in carbon markets among LDCs. How</w:t>
      </w:r>
      <w:r w:rsidR="00E924E0" w:rsidRPr="00E336D3">
        <w:rPr>
          <w:rFonts w:cs="Arial"/>
          <w:color w:val="000000"/>
          <w:sz w:val="22"/>
          <w:szCs w:val="22"/>
          <w:lang w:eastAsia="en-GB"/>
        </w:rPr>
        <w:t xml:space="preserve"> </w:t>
      </w:r>
      <w:r w:rsidR="00512DCC">
        <w:rPr>
          <w:rFonts w:cs="Arial"/>
          <w:color w:val="000000"/>
          <w:sz w:val="22"/>
          <w:szCs w:val="22"/>
          <w:lang w:eastAsia="en-GB"/>
        </w:rPr>
        <w:t>Ci-Dev</w:t>
      </w:r>
      <w:r w:rsidR="00E924E0" w:rsidRPr="00E336D3">
        <w:rPr>
          <w:rFonts w:cs="Arial"/>
          <w:color w:val="000000"/>
          <w:sz w:val="22"/>
          <w:szCs w:val="22"/>
          <w:lang w:eastAsia="en-GB"/>
        </w:rPr>
        <w:t xml:space="preserve"> decides to engage with the emerging international carbon market framework will be key to its transformational impact</w:t>
      </w:r>
      <w:r w:rsidR="00E924E0" w:rsidRPr="00E336D3">
        <w:rPr>
          <w:rFonts w:cs="Arial"/>
          <w:bCs/>
          <w:color w:val="000000" w:themeColor="text1"/>
          <w:sz w:val="22"/>
          <w:szCs w:val="22"/>
        </w:rPr>
        <w:t>.</w:t>
      </w:r>
    </w:p>
    <w:p w14:paraId="217C9528" w14:textId="7EF2326F" w:rsidR="00EA5067" w:rsidRPr="00E336D3" w:rsidRDefault="00EA5067" w:rsidP="00197394">
      <w:pPr>
        <w:jc w:val="both"/>
        <w:rPr>
          <w:rFonts w:cs="Arial"/>
          <w:sz w:val="22"/>
          <w:szCs w:val="22"/>
          <w:lang w:eastAsia="en-GB"/>
        </w:rPr>
      </w:pPr>
    </w:p>
    <w:p w14:paraId="1A77C444" w14:textId="77777777" w:rsidR="00AF2A22" w:rsidRDefault="00A43BCB" w:rsidP="00AF2A22">
      <w:pPr>
        <w:pStyle w:val="Heading2"/>
        <w:rPr>
          <w:i w:val="0"/>
          <w:color w:val="000000" w:themeColor="text1"/>
          <w:sz w:val="22"/>
          <w:szCs w:val="22"/>
          <w:u w:val="single"/>
        </w:rPr>
      </w:pPr>
      <w:r w:rsidRPr="00121BD5">
        <w:rPr>
          <w:i w:val="0"/>
          <w:color w:val="000000" w:themeColor="text1"/>
          <w:sz w:val="22"/>
          <w:szCs w:val="22"/>
          <w:u w:val="single"/>
        </w:rPr>
        <w:t xml:space="preserve">Annex </w:t>
      </w:r>
      <w:r w:rsidR="007929CE" w:rsidRPr="00121BD5">
        <w:rPr>
          <w:i w:val="0"/>
          <w:color w:val="000000" w:themeColor="text1"/>
          <w:sz w:val="22"/>
          <w:szCs w:val="22"/>
          <w:u w:val="single"/>
        </w:rPr>
        <w:t xml:space="preserve">1 - </w:t>
      </w:r>
      <w:r w:rsidRPr="00121BD5">
        <w:rPr>
          <w:i w:val="0"/>
          <w:color w:val="000000" w:themeColor="text1"/>
          <w:sz w:val="22"/>
          <w:szCs w:val="22"/>
          <w:u w:val="single"/>
        </w:rPr>
        <w:t xml:space="preserve">Annual Review - Summary Sheet of </w:t>
      </w:r>
      <w:r w:rsidR="002D1B7B">
        <w:rPr>
          <w:i w:val="0"/>
          <w:color w:val="000000" w:themeColor="text1"/>
          <w:sz w:val="22"/>
          <w:szCs w:val="22"/>
          <w:u w:val="single"/>
        </w:rPr>
        <w:t>201</w:t>
      </w:r>
      <w:r w:rsidR="00AF2A22">
        <w:rPr>
          <w:i w:val="0"/>
          <w:color w:val="000000" w:themeColor="text1"/>
          <w:sz w:val="22"/>
          <w:szCs w:val="22"/>
          <w:u w:val="single"/>
        </w:rPr>
        <w:t>8</w:t>
      </w:r>
      <w:r w:rsidR="00AA3533" w:rsidRPr="00121BD5">
        <w:rPr>
          <w:i w:val="0"/>
          <w:color w:val="000000" w:themeColor="text1"/>
          <w:sz w:val="22"/>
          <w:szCs w:val="22"/>
          <w:u w:val="single"/>
        </w:rPr>
        <w:t xml:space="preserve"> </w:t>
      </w:r>
      <w:r w:rsidRPr="00121BD5">
        <w:rPr>
          <w:i w:val="0"/>
          <w:color w:val="000000" w:themeColor="text1"/>
          <w:sz w:val="22"/>
          <w:szCs w:val="22"/>
          <w:u w:val="single"/>
        </w:rPr>
        <w:t>Annual Review</w:t>
      </w:r>
    </w:p>
    <w:p w14:paraId="67821EC9" w14:textId="0F506678" w:rsidR="00AF2A22" w:rsidRPr="00AF2A22" w:rsidRDefault="00AF2A22" w:rsidP="00AF2A22">
      <w:pPr>
        <w:pStyle w:val="Heading2"/>
        <w:rPr>
          <w:i w:val="0"/>
          <w:color w:val="000000" w:themeColor="text1"/>
          <w:sz w:val="22"/>
          <w:szCs w:val="22"/>
          <w:u w:val="single"/>
        </w:rPr>
      </w:pPr>
      <w:r w:rsidRPr="00AF2A22">
        <w:rPr>
          <w:rFonts w:eastAsia="Times New Roman"/>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2430"/>
        <w:gridCol w:w="4260"/>
      </w:tblGrid>
      <w:tr w:rsidR="00AF2A22" w:rsidRPr="00AF2A22" w14:paraId="12DDC49B" w14:textId="77777777" w:rsidTr="00AF2A22">
        <w:trPr>
          <w:trHeight w:val="675"/>
        </w:trPr>
        <w:tc>
          <w:tcPr>
            <w:tcW w:w="10185" w:type="dxa"/>
            <w:gridSpan w:val="3"/>
            <w:tcBorders>
              <w:top w:val="single" w:sz="6" w:space="0" w:color="auto"/>
              <w:left w:val="single" w:sz="6" w:space="0" w:color="auto"/>
              <w:bottom w:val="dotted" w:sz="6" w:space="0" w:color="000000"/>
              <w:right w:val="single" w:sz="6" w:space="0" w:color="auto"/>
            </w:tcBorders>
            <w:shd w:val="clear" w:color="auto" w:fill="auto"/>
            <w:hideMark/>
          </w:tcPr>
          <w:p w14:paraId="05E3E53B" w14:textId="6AA09906" w:rsidR="00AF2A22" w:rsidRPr="00AF2A22" w:rsidRDefault="00AF2A22" w:rsidP="00AF2A22">
            <w:pPr>
              <w:textAlignment w:val="baseline"/>
              <w:divId w:val="1775248535"/>
              <w:rPr>
                <w:rFonts w:ascii="Times New Roman" w:eastAsia="Times New Roman" w:hAnsi="Times New Roman"/>
                <w:lang w:eastAsia="en-GB"/>
              </w:rPr>
            </w:pPr>
            <w:r w:rsidRPr="00AF2A22">
              <w:rPr>
                <w:rFonts w:eastAsia="Times New Roman" w:cs="Arial"/>
                <w:b/>
                <w:bCs/>
                <w:color w:val="000000"/>
                <w:sz w:val="22"/>
                <w:szCs w:val="22"/>
                <w:lang w:eastAsia="en-GB"/>
              </w:rPr>
              <w:t>Title: </w:t>
            </w:r>
            <w:r w:rsidRPr="00AF2A22">
              <w:rPr>
                <w:rFonts w:eastAsia="Times New Roman" w:cs="Arial"/>
                <w:color w:val="000000"/>
                <w:sz w:val="22"/>
                <w:szCs w:val="22"/>
                <w:lang w:eastAsia="en-GB"/>
              </w:rPr>
              <w:t>Carbon Market Finance (</w:t>
            </w:r>
            <w:r w:rsidR="00512DCC">
              <w:rPr>
                <w:rFonts w:eastAsia="Times New Roman" w:cs="Arial"/>
                <w:color w:val="000000"/>
                <w:sz w:val="22"/>
                <w:szCs w:val="22"/>
                <w:lang w:eastAsia="en-GB"/>
              </w:rPr>
              <w:t>Ci-Dev</w:t>
            </w:r>
            <w:r w:rsidRPr="00AF2A22">
              <w:rPr>
                <w:rFonts w:eastAsia="Times New Roman" w:cs="Arial"/>
                <w:color w:val="000000"/>
                <w:sz w:val="22"/>
                <w:szCs w:val="22"/>
                <w:lang w:eastAsia="en-GB"/>
              </w:rPr>
              <w:t>)</w:t>
            </w:r>
            <w:r w:rsidRPr="00AF2A22">
              <w:rPr>
                <w:rFonts w:eastAsia="Times New Roman" w:cs="Arial"/>
                <w:b/>
                <w:bCs/>
                <w:color w:val="000000"/>
                <w:sz w:val="22"/>
                <w:szCs w:val="22"/>
                <w:lang w:eastAsia="en-GB"/>
              </w:rPr>
              <w:t> </w:t>
            </w:r>
            <w:r w:rsidRPr="00AF2A22">
              <w:rPr>
                <w:rFonts w:eastAsia="Times New Roman" w:cs="Arial"/>
                <w:color w:val="000000"/>
                <w:sz w:val="22"/>
                <w:szCs w:val="22"/>
                <w:lang w:eastAsia="en-GB"/>
              </w:rPr>
              <w:t>delivered via the World Bank’s Carbon Initiative for Development (Ci-Dev)</w:t>
            </w:r>
            <w:r w:rsidRPr="00AF2A22">
              <w:rPr>
                <w:rFonts w:eastAsia="Times New Roman" w:cs="Arial"/>
                <w:sz w:val="22"/>
                <w:szCs w:val="22"/>
                <w:lang w:eastAsia="en-GB"/>
              </w:rPr>
              <w:t> </w:t>
            </w:r>
          </w:p>
        </w:tc>
      </w:tr>
      <w:tr w:rsidR="00AF2A22" w:rsidRPr="00AF2A22" w14:paraId="08770DBA" w14:textId="77777777" w:rsidTr="00AF2A22">
        <w:trPr>
          <w:trHeight w:val="405"/>
        </w:trPr>
        <w:tc>
          <w:tcPr>
            <w:tcW w:w="5925" w:type="dxa"/>
            <w:gridSpan w:val="2"/>
            <w:tcBorders>
              <w:top w:val="dotted" w:sz="6" w:space="0" w:color="000000"/>
              <w:left w:val="single" w:sz="6" w:space="0" w:color="auto"/>
              <w:bottom w:val="dotted" w:sz="6" w:space="0" w:color="000000"/>
              <w:right w:val="dotted" w:sz="6" w:space="0" w:color="000000"/>
            </w:tcBorders>
            <w:shd w:val="clear" w:color="auto" w:fill="auto"/>
            <w:hideMark/>
          </w:tcPr>
          <w:p w14:paraId="60CC1C50" w14:textId="77777777" w:rsidR="00AF2A22" w:rsidRPr="00AF2A22" w:rsidRDefault="00AF2A22" w:rsidP="00AF2A22">
            <w:pPr>
              <w:textAlignment w:val="baseline"/>
              <w:rPr>
                <w:rFonts w:ascii="Times New Roman" w:eastAsia="Times New Roman" w:hAnsi="Times New Roman"/>
                <w:lang w:eastAsia="en-GB"/>
              </w:rPr>
            </w:pPr>
            <w:r w:rsidRPr="00AF2A22">
              <w:rPr>
                <w:rFonts w:eastAsia="Times New Roman" w:cs="Arial"/>
                <w:b/>
                <w:bCs/>
                <w:color w:val="000000"/>
                <w:sz w:val="22"/>
                <w:szCs w:val="22"/>
                <w:lang w:eastAsia="en-GB"/>
              </w:rPr>
              <w:t>Programme Value: </w:t>
            </w:r>
            <w:r w:rsidRPr="00AF2A22">
              <w:rPr>
                <w:rFonts w:ascii="Calibri" w:eastAsia="Times New Roman" w:hAnsi="Calibri" w:cs="Calibri"/>
                <w:color w:val="000000"/>
                <w:sz w:val="22"/>
                <w:szCs w:val="22"/>
                <w:lang w:eastAsia="en-GB"/>
              </w:rPr>
              <w:t>£50</w:t>
            </w:r>
            <w:r w:rsidRPr="00AF2A22">
              <w:rPr>
                <w:rFonts w:eastAsia="Times New Roman" w:cs="Arial"/>
                <w:color w:val="000000"/>
                <w:sz w:val="22"/>
                <w:szCs w:val="22"/>
                <w:lang w:eastAsia="en-GB"/>
              </w:rPr>
              <w:t> million (BEIS)</w:t>
            </w:r>
            <w:r w:rsidRPr="00AF2A22">
              <w:rPr>
                <w:rFonts w:eastAsia="Times New Roman" w:cs="Arial"/>
                <w:sz w:val="22"/>
                <w:szCs w:val="22"/>
                <w:lang w:eastAsia="en-GB"/>
              </w:rPr>
              <w:t> </w:t>
            </w:r>
          </w:p>
          <w:p w14:paraId="11671723" w14:textId="77777777" w:rsidR="00AF2A22" w:rsidRPr="00AF2A22" w:rsidRDefault="00AF2A22" w:rsidP="00AF2A22">
            <w:pPr>
              <w:textAlignment w:val="baseline"/>
              <w:rPr>
                <w:rFonts w:ascii="Times New Roman" w:eastAsia="Times New Roman" w:hAnsi="Times New Roman"/>
                <w:lang w:eastAsia="en-GB"/>
              </w:rPr>
            </w:pPr>
            <w:r w:rsidRPr="00AF2A22">
              <w:rPr>
                <w:rFonts w:eastAsia="Times New Roman" w:cs="Arial"/>
                <w:sz w:val="22"/>
                <w:szCs w:val="22"/>
                <w:lang w:eastAsia="en-GB"/>
              </w:rPr>
              <w:t> </w:t>
            </w:r>
          </w:p>
        </w:tc>
        <w:tc>
          <w:tcPr>
            <w:tcW w:w="4245" w:type="dxa"/>
            <w:tcBorders>
              <w:top w:val="dotted" w:sz="6" w:space="0" w:color="000000"/>
              <w:left w:val="dotted" w:sz="6" w:space="0" w:color="000000"/>
              <w:bottom w:val="dotted" w:sz="6" w:space="0" w:color="000000"/>
              <w:right w:val="single" w:sz="6" w:space="0" w:color="auto"/>
            </w:tcBorders>
            <w:shd w:val="clear" w:color="auto" w:fill="auto"/>
            <w:hideMark/>
          </w:tcPr>
          <w:p w14:paraId="3AEF46AC" w14:textId="77777777" w:rsidR="00AF2A22" w:rsidRPr="00AF2A22" w:rsidRDefault="00AF2A22" w:rsidP="00AF2A22">
            <w:pPr>
              <w:textAlignment w:val="baseline"/>
              <w:rPr>
                <w:rFonts w:ascii="Times New Roman" w:eastAsia="Times New Roman" w:hAnsi="Times New Roman"/>
                <w:lang w:eastAsia="en-GB"/>
              </w:rPr>
            </w:pPr>
            <w:r w:rsidRPr="00AF2A22">
              <w:rPr>
                <w:rFonts w:eastAsia="Times New Roman" w:cs="Arial"/>
                <w:b/>
                <w:bCs/>
                <w:color w:val="000000"/>
                <w:sz w:val="22"/>
                <w:szCs w:val="22"/>
                <w:lang w:eastAsia="en-GB"/>
              </w:rPr>
              <w:t>Review Date: </w:t>
            </w:r>
            <w:r w:rsidRPr="00AF2A22">
              <w:rPr>
                <w:rFonts w:eastAsia="Times New Roman" w:cs="Arial"/>
                <w:color w:val="000000"/>
                <w:sz w:val="22"/>
                <w:szCs w:val="22"/>
                <w:lang w:eastAsia="en-GB"/>
              </w:rPr>
              <w:t>1</w:t>
            </w:r>
            <w:r w:rsidRPr="00AF2A22">
              <w:rPr>
                <w:rFonts w:eastAsia="Times New Roman" w:cs="Arial"/>
                <w:color w:val="000000"/>
                <w:sz w:val="17"/>
                <w:szCs w:val="17"/>
                <w:vertAlign w:val="superscript"/>
                <w:lang w:eastAsia="en-GB"/>
              </w:rPr>
              <w:t>st</w:t>
            </w:r>
            <w:r w:rsidRPr="00AF2A22">
              <w:rPr>
                <w:rFonts w:eastAsia="Times New Roman" w:cs="Arial"/>
                <w:color w:val="000000"/>
                <w:sz w:val="22"/>
                <w:szCs w:val="22"/>
                <w:lang w:eastAsia="en-GB"/>
              </w:rPr>
              <w:t> January- 31</w:t>
            </w:r>
            <w:r w:rsidRPr="00AF2A22">
              <w:rPr>
                <w:rFonts w:eastAsia="Times New Roman" w:cs="Arial"/>
                <w:color w:val="000000"/>
                <w:sz w:val="17"/>
                <w:szCs w:val="17"/>
                <w:vertAlign w:val="superscript"/>
                <w:lang w:eastAsia="en-GB"/>
              </w:rPr>
              <w:t>st</w:t>
            </w:r>
            <w:r w:rsidRPr="00AF2A22">
              <w:rPr>
                <w:rFonts w:eastAsia="Times New Roman" w:cs="Arial"/>
                <w:color w:val="000000"/>
                <w:sz w:val="22"/>
                <w:szCs w:val="22"/>
                <w:lang w:eastAsia="en-GB"/>
              </w:rPr>
              <w:t> Dec 2018, published April 2019.</w:t>
            </w:r>
            <w:r w:rsidRPr="00AF2A22">
              <w:rPr>
                <w:rFonts w:eastAsia="Times New Roman" w:cs="Arial"/>
                <w:sz w:val="22"/>
                <w:szCs w:val="22"/>
                <w:lang w:eastAsia="en-GB"/>
              </w:rPr>
              <w:t> </w:t>
            </w:r>
          </w:p>
        </w:tc>
      </w:tr>
      <w:tr w:rsidR="00AF2A22" w:rsidRPr="00AF2A22" w14:paraId="2E511498" w14:textId="77777777" w:rsidTr="00AF2A22">
        <w:trPr>
          <w:trHeight w:val="300"/>
        </w:trPr>
        <w:tc>
          <w:tcPr>
            <w:tcW w:w="3495" w:type="dxa"/>
            <w:tcBorders>
              <w:top w:val="dotted" w:sz="6" w:space="0" w:color="000000"/>
              <w:left w:val="single" w:sz="6" w:space="0" w:color="auto"/>
              <w:bottom w:val="single" w:sz="6" w:space="0" w:color="auto"/>
              <w:right w:val="dotted" w:sz="6" w:space="0" w:color="000000"/>
            </w:tcBorders>
            <w:shd w:val="clear" w:color="auto" w:fill="auto"/>
            <w:hideMark/>
          </w:tcPr>
          <w:p w14:paraId="5A5658DC" w14:textId="77777777" w:rsidR="00AF2A22" w:rsidRPr="00AF2A22" w:rsidRDefault="00AF2A22" w:rsidP="00AF2A22">
            <w:pPr>
              <w:textAlignment w:val="baseline"/>
              <w:rPr>
                <w:rFonts w:ascii="Times New Roman" w:eastAsia="Times New Roman" w:hAnsi="Times New Roman"/>
                <w:lang w:eastAsia="en-GB"/>
              </w:rPr>
            </w:pPr>
            <w:r w:rsidRPr="00AF2A22">
              <w:rPr>
                <w:rFonts w:eastAsia="Times New Roman" w:cs="Arial"/>
                <w:b/>
                <w:bCs/>
                <w:color w:val="000000"/>
                <w:sz w:val="22"/>
                <w:szCs w:val="22"/>
                <w:lang w:eastAsia="en-GB"/>
              </w:rPr>
              <w:t>Programme Code: </w:t>
            </w:r>
            <w:r w:rsidRPr="00AF2A22">
              <w:rPr>
                <w:rFonts w:eastAsia="Times New Roman" w:cs="Arial"/>
                <w:color w:val="000000"/>
                <w:sz w:val="22"/>
                <w:szCs w:val="22"/>
                <w:lang w:eastAsia="en-GB"/>
              </w:rPr>
              <w:t>203152</w:t>
            </w:r>
            <w:r w:rsidRPr="00AF2A22">
              <w:rPr>
                <w:rFonts w:eastAsia="Times New Roman" w:cs="Arial"/>
                <w:sz w:val="22"/>
                <w:szCs w:val="22"/>
                <w:lang w:eastAsia="en-GB"/>
              </w:rPr>
              <w:t> </w:t>
            </w:r>
          </w:p>
          <w:p w14:paraId="3D9BC3EB" w14:textId="77777777" w:rsidR="00AF2A22" w:rsidRPr="00AF2A22" w:rsidRDefault="00AF2A22" w:rsidP="00AF2A22">
            <w:pPr>
              <w:textAlignment w:val="baseline"/>
              <w:rPr>
                <w:rFonts w:ascii="Times New Roman" w:eastAsia="Times New Roman" w:hAnsi="Times New Roman"/>
                <w:lang w:eastAsia="en-GB"/>
              </w:rPr>
            </w:pPr>
            <w:r w:rsidRPr="00AF2A22">
              <w:rPr>
                <w:rFonts w:eastAsia="Times New Roman" w:cs="Arial"/>
                <w:sz w:val="22"/>
                <w:szCs w:val="22"/>
                <w:lang w:eastAsia="en-GB"/>
              </w:rPr>
              <w:t> </w:t>
            </w:r>
          </w:p>
        </w:tc>
        <w:tc>
          <w:tcPr>
            <w:tcW w:w="2430" w:type="dxa"/>
            <w:tcBorders>
              <w:top w:val="dotted" w:sz="6" w:space="0" w:color="000000"/>
              <w:left w:val="dotted" w:sz="6" w:space="0" w:color="000000"/>
              <w:bottom w:val="single" w:sz="6" w:space="0" w:color="auto"/>
              <w:right w:val="dotted" w:sz="6" w:space="0" w:color="000000"/>
            </w:tcBorders>
            <w:shd w:val="clear" w:color="auto" w:fill="auto"/>
            <w:hideMark/>
          </w:tcPr>
          <w:p w14:paraId="1BB7D99A" w14:textId="77777777" w:rsidR="00AF2A22" w:rsidRPr="00AF2A22" w:rsidRDefault="00AF2A22" w:rsidP="00AF2A22">
            <w:pPr>
              <w:textAlignment w:val="baseline"/>
              <w:rPr>
                <w:rFonts w:ascii="Times New Roman" w:eastAsia="Times New Roman" w:hAnsi="Times New Roman"/>
                <w:lang w:eastAsia="en-GB"/>
              </w:rPr>
            </w:pPr>
            <w:r w:rsidRPr="00AF2A22">
              <w:rPr>
                <w:rFonts w:eastAsia="Times New Roman" w:cs="Arial"/>
                <w:b/>
                <w:bCs/>
                <w:color w:val="000000"/>
                <w:sz w:val="22"/>
                <w:szCs w:val="22"/>
                <w:lang w:eastAsia="en-GB"/>
              </w:rPr>
              <w:t>Start Date: </w:t>
            </w:r>
            <w:r w:rsidRPr="00AF2A22">
              <w:rPr>
                <w:rFonts w:eastAsia="Times New Roman" w:cs="Arial"/>
                <w:color w:val="000000"/>
                <w:sz w:val="22"/>
                <w:szCs w:val="22"/>
                <w:lang w:eastAsia="en-GB"/>
              </w:rPr>
              <w:t>2013</w:t>
            </w:r>
            <w:r w:rsidRPr="00AF2A22">
              <w:rPr>
                <w:rFonts w:eastAsia="Times New Roman" w:cs="Arial"/>
                <w:sz w:val="22"/>
                <w:szCs w:val="22"/>
                <w:lang w:eastAsia="en-GB"/>
              </w:rPr>
              <w:t> </w:t>
            </w:r>
          </w:p>
        </w:tc>
        <w:tc>
          <w:tcPr>
            <w:tcW w:w="4245" w:type="dxa"/>
            <w:tcBorders>
              <w:top w:val="dotted" w:sz="6" w:space="0" w:color="000000"/>
              <w:left w:val="dotted" w:sz="6" w:space="0" w:color="000000"/>
              <w:bottom w:val="single" w:sz="6" w:space="0" w:color="auto"/>
              <w:right w:val="single" w:sz="6" w:space="0" w:color="auto"/>
            </w:tcBorders>
            <w:shd w:val="clear" w:color="auto" w:fill="auto"/>
            <w:hideMark/>
          </w:tcPr>
          <w:p w14:paraId="7723AA81" w14:textId="77777777" w:rsidR="00AF2A22" w:rsidRPr="00AF2A22" w:rsidRDefault="00AF2A22" w:rsidP="00AF2A22">
            <w:pPr>
              <w:textAlignment w:val="baseline"/>
              <w:rPr>
                <w:rFonts w:ascii="Times New Roman" w:eastAsia="Times New Roman" w:hAnsi="Times New Roman"/>
                <w:lang w:eastAsia="en-GB"/>
              </w:rPr>
            </w:pPr>
            <w:r w:rsidRPr="00AF2A22">
              <w:rPr>
                <w:rFonts w:eastAsia="Times New Roman" w:cs="Arial"/>
                <w:b/>
                <w:bCs/>
                <w:color w:val="000000"/>
                <w:sz w:val="22"/>
                <w:szCs w:val="22"/>
                <w:lang w:eastAsia="en-GB"/>
              </w:rPr>
              <w:t>End Date: </w:t>
            </w:r>
            <w:r w:rsidRPr="00AF2A22">
              <w:rPr>
                <w:rFonts w:eastAsia="Times New Roman" w:cs="Arial"/>
                <w:color w:val="000000"/>
                <w:sz w:val="22"/>
                <w:szCs w:val="22"/>
                <w:lang w:eastAsia="en-GB"/>
              </w:rPr>
              <w:t>2025</w:t>
            </w:r>
            <w:r w:rsidRPr="00AF2A22">
              <w:rPr>
                <w:rFonts w:eastAsia="Times New Roman" w:cs="Arial"/>
                <w:sz w:val="22"/>
                <w:szCs w:val="22"/>
                <w:lang w:eastAsia="en-GB"/>
              </w:rPr>
              <w:t> </w:t>
            </w:r>
          </w:p>
        </w:tc>
      </w:tr>
    </w:tbl>
    <w:p w14:paraId="778FDD43" w14:textId="7B61E44E" w:rsidR="00AF2A22" w:rsidRPr="00AF2A22" w:rsidRDefault="00AF2A22" w:rsidP="00AF2A22">
      <w:pPr>
        <w:textAlignment w:val="baseline"/>
        <w:rPr>
          <w:rFonts w:eastAsia="Times New Roman" w:cs="Arial"/>
          <w:b/>
          <w:bCs/>
          <w:color w:val="4F81BD"/>
          <w:sz w:val="22"/>
          <w:szCs w:val="22"/>
          <w:lang w:eastAsia="en-GB"/>
        </w:rPr>
      </w:pPr>
      <w:r w:rsidRPr="00AF2A22">
        <w:rPr>
          <w:rFonts w:eastAsia="Times New Roman" w:cs="Arial"/>
          <w:b/>
          <w:bCs/>
          <w:color w:val="000000"/>
          <w:sz w:val="22"/>
          <w:szCs w:val="22"/>
          <w:lang w:eastAsia="en-GB"/>
        </w:rPr>
        <w:t>Summary of Programme Performance</w:t>
      </w:r>
      <w:r w:rsidR="006F2FF1">
        <w:rPr>
          <w:rFonts w:eastAsia="Times New Roman" w:cs="Arial"/>
          <w:b/>
          <w:bCs/>
          <w:color w:val="000000"/>
          <w:sz w:val="22"/>
          <w:szCs w:val="22"/>
          <w:lang w:eastAsia="en-GB"/>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1080"/>
        <w:gridCol w:w="1080"/>
        <w:gridCol w:w="1215"/>
        <w:gridCol w:w="1140"/>
        <w:gridCol w:w="1140"/>
        <w:gridCol w:w="1140"/>
        <w:gridCol w:w="675"/>
        <w:gridCol w:w="675"/>
      </w:tblGrid>
      <w:tr w:rsidR="00AF2A22" w:rsidRPr="00AF2A22" w14:paraId="7ADB1DF1" w14:textId="77777777" w:rsidTr="00AF2A22">
        <w:tc>
          <w:tcPr>
            <w:tcW w:w="1950" w:type="dxa"/>
            <w:tcBorders>
              <w:top w:val="single" w:sz="12" w:space="0" w:color="auto"/>
              <w:left w:val="single" w:sz="12" w:space="0" w:color="auto"/>
              <w:bottom w:val="single" w:sz="6" w:space="0" w:color="auto"/>
              <w:right w:val="single" w:sz="18" w:space="0" w:color="auto"/>
            </w:tcBorders>
            <w:shd w:val="clear" w:color="auto" w:fill="auto"/>
            <w:hideMark/>
          </w:tcPr>
          <w:p w14:paraId="65284F92" w14:textId="77777777" w:rsidR="00AF2A22" w:rsidRPr="00AF2A22" w:rsidRDefault="00AF2A22" w:rsidP="00AF2A22">
            <w:pPr>
              <w:textAlignment w:val="baseline"/>
              <w:rPr>
                <w:rFonts w:ascii="Times New Roman" w:eastAsia="Times New Roman" w:hAnsi="Times New Roman"/>
                <w:lang w:eastAsia="en-GB"/>
              </w:rPr>
            </w:pPr>
            <w:r w:rsidRPr="00AF2A22">
              <w:rPr>
                <w:rFonts w:eastAsia="Times New Roman" w:cs="Arial"/>
                <w:color w:val="000000"/>
                <w:sz w:val="22"/>
                <w:szCs w:val="22"/>
                <w:lang w:eastAsia="en-GB"/>
              </w:rPr>
              <w:t>Year</w:t>
            </w:r>
            <w:r w:rsidRPr="00AF2A22">
              <w:rPr>
                <w:rFonts w:eastAsia="Times New Roman" w:cs="Arial"/>
                <w:sz w:val="22"/>
                <w:szCs w:val="22"/>
                <w:lang w:eastAsia="en-GB"/>
              </w:rPr>
              <w:t> </w:t>
            </w:r>
          </w:p>
        </w:tc>
        <w:tc>
          <w:tcPr>
            <w:tcW w:w="1080" w:type="dxa"/>
            <w:tcBorders>
              <w:top w:val="single" w:sz="12" w:space="0" w:color="auto"/>
              <w:left w:val="single" w:sz="18" w:space="0" w:color="auto"/>
              <w:bottom w:val="single" w:sz="6" w:space="0" w:color="auto"/>
              <w:right w:val="single" w:sz="6" w:space="0" w:color="auto"/>
            </w:tcBorders>
            <w:shd w:val="clear" w:color="auto" w:fill="auto"/>
            <w:hideMark/>
          </w:tcPr>
          <w:p w14:paraId="5681742C" w14:textId="77777777" w:rsidR="00AF2A22" w:rsidRPr="00AF2A22" w:rsidRDefault="00AF2A22" w:rsidP="00AF2A22">
            <w:pPr>
              <w:jc w:val="center"/>
              <w:textAlignment w:val="baseline"/>
              <w:rPr>
                <w:rFonts w:ascii="Times New Roman" w:eastAsia="Times New Roman" w:hAnsi="Times New Roman"/>
                <w:lang w:eastAsia="en-GB"/>
              </w:rPr>
            </w:pPr>
            <w:r w:rsidRPr="00AF2A22">
              <w:rPr>
                <w:rFonts w:eastAsia="Times New Roman" w:cs="Arial"/>
                <w:color w:val="000000"/>
                <w:sz w:val="22"/>
                <w:szCs w:val="22"/>
                <w:lang w:eastAsia="en-GB"/>
              </w:rPr>
              <w:t>CY 2013</w:t>
            </w:r>
            <w:r w:rsidRPr="00AF2A22">
              <w:rPr>
                <w:rFonts w:eastAsia="Times New Roman" w:cs="Arial"/>
                <w:sz w:val="22"/>
                <w:szCs w:val="22"/>
                <w:lang w:eastAsia="en-GB"/>
              </w:rPr>
              <w:t> </w:t>
            </w:r>
          </w:p>
        </w:tc>
        <w:tc>
          <w:tcPr>
            <w:tcW w:w="1080" w:type="dxa"/>
            <w:tcBorders>
              <w:top w:val="single" w:sz="12" w:space="0" w:color="auto"/>
              <w:left w:val="nil"/>
              <w:bottom w:val="single" w:sz="6" w:space="0" w:color="auto"/>
              <w:right w:val="single" w:sz="6" w:space="0" w:color="auto"/>
            </w:tcBorders>
            <w:shd w:val="clear" w:color="auto" w:fill="auto"/>
            <w:hideMark/>
          </w:tcPr>
          <w:p w14:paraId="3F52978C" w14:textId="77777777" w:rsidR="00AF2A22" w:rsidRPr="00AF2A22" w:rsidRDefault="00AF2A22" w:rsidP="00AF2A22">
            <w:pPr>
              <w:jc w:val="center"/>
              <w:textAlignment w:val="baseline"/>
              <w:rPr>
                <w:rFonts w:ascii="Times New Roman" w:eastAsia="Times New Roman" w:hAnsi="Times New Roman"/>
                <w:lang w:eastAsia="en-GB"/>
              </w:rPr>
            </w:pPr>
            <w:r w:rsidRPr="00AF2A22">
              <w:rPr>
                <w:rFonts w:eastAsia="Times New Roman" w:cs="Arial"/>
                <w:color w:val="000000"/>
                <w:sz w:val="22"/>
                <w:szCs w:val="22"/>
                <w:lang w:eastAsia="en-GB"/>
              </w:rPr>
              <w:t>CY 2014</w:t>
            </w:r>
            <w:r w:rsidRPr="00AF2A22">
              <w:rPr>
                <w:rFonts w:eastAsia="Times New Roman" w:cs="Arial"/>
                <w:sz w:val="22"/>
                <w:szCs w:val="22"/>
                <w:lang w:eastAsia="en-GB"/>
              </w:rPr>
              <w:t> </w:t>
            </w:r>
          </w:p>
        </w:tc>
        <w:tc>
          <w:tcPr>
            <w:tcW w:w="1215" w:type="dxa"/>
            <w:tcBorders>
              <w:top w:val="single" w:sz="12" w:space="0" w:color="auto"/>
              <w:left w:val="nil"/>
              <w:bottom w:val="single" w:sz="6" w:space="0" w:color="auto"/>
              <w:right w:val="single" w:sz="6" w:space="0" w:color="auto"/>
            </w:tcBorders>
            <w:shd w:val="clear" w:color="auto" w:fill="auto"/>
            <w:hideMark/>
          </w:tcPr>
          <w:p w14:paraId="5E8CAE59" w14:textId="77777777" w:rsidR="00AF2A22" w:rsidRPr="00AF2A22" w:rsidRDefault="00AF2A22" w:rsidP="00AF2A22">
            <w:pPr>
              <w:jc w:val="center"/>
              <w:textAlignment w:val="baseline"/>
              <w:rPr>
                <w:rFonts w:ascii="Times New Roman" w:eastAsia="Times New Roman" w:hAnsi="Times New Roman"/>
                <w:lang w:eastAsia="en-GB"/>
              </w:rPr>
            </w:pPr>
            <w:r w:rsidRPr="00AF2A22">
              <w:rPr>
                <w:rFonts w:eastAsia="Times New Roman" w:cs="Arial"/>
                <w:color w:val="000000"/>
                <w:sz w:val="22"/>
                <w:szCs w:val="22"/>
                <w:lang w:eastAsia="en-GB"/>
              </w:rPr>
              <w:t>CY 2015</w:t>
            </w:r>
            <w:r w:rsidRPr="00AF2A22">
              <w:rPr>
                <w:rFonts w:eastAsia="Times New Roman" w:cs="Arial"/>
                <w:sz w:val="22"/>
                <w:szCs w:val="22"/>
                <w:lang w:eastAsia="en-GB"/>
              </w:rPr>
              <w:t> </w:t>
            </w:r>
          </w:p>
        </w:tc>
        <w:tc>
          <w:tcPr>
            <w:tcW w:w="1140" w:type="dxa"/>
            <w:tcBorders>
              <w:top w:val="single" w:sz="12" w:space="0" w:color="auto"/>
              <w:left w:val="nil"/>
              <w:bottom w:val="single" w:sz="6" w:space="0" w:color="auto"/>
              <w:right w:val="single" w:sz="6" w:space="0" w:color="auto"/>
            </w:tcBorders>
            <w:shd w:val="clear" w:color="auto" w:fill="auto"/>
            <w:hideMark/>
          </w:tcPr>
          <w:p w14:paraId="56097A07" w14:textId="77777777" w:rsidR="00AF2A22" w:rsidRPr="00AF2A22" w:rsidRDefault="00AF2A22" w:rsidP="00AF2A22">
            <w:pPr>
              <w:jc w:val="center"/>
              <w:textAlignment w:val="baseline"/>
              <w:rPr>
                <w:rFonts w:ascii="Times New Roman" w:eastAsia="Times New Roman" w:hAnsi="Times New Roman"/>
                <w:lang w:eastAsia="en-GB"/>
              </w:rPr>
            </w:pPr>
            <w:r w:rsidRPr="00AF2A22">
              <w:rPr>
                <w:rFonts w:eastAsia="Times New Roman" w:cs="Arial"/>
                <w:color w:val="000000"/>
                <w:sz w:val="22"/>
                <w:szCs w:val="22"/>
                <w:lang w:eastAsia="en-GB"/>
              </w:rPr>
              <w:t>CY 2016</w:t>
            </w:r>
            <w:r w:rsidRPr="00AF2A22">
              <w:rPr>
                <w:rFonts w:eastAsia="Times New Roman" w:cs="Arial"/>
                <w:sz w:val="22"/>
                <w:szCs w:val="22"/>
                <w:lang w:eastAsia="en-GB"/>
              </w:rPr>
              <w:t> </w:t>
            </w:r>
          </w:p>
        </w:tc>
        <w:tc>
          <w:tcPr>
            <w:tcW w:w="1140" w:type="dxa"/>
            <w:tcBorders>
              <w:top w:val="single" w:sz="12" w:space="0" w:color="auto"/>
              <w:left w:val="nil"/>
              <w:bottom w:val="single" w:sz="6" w:space="0" w:color="auto"/>
              <w:right w:val="single" w:sz="6" w:space="0" w:color="auto"/>
            </w:tcBorders>
            <w:shd w:val="clear" w:color="auto" w:fill="auto"/>
            <w:hideMark/>
          </w:tcPr>
          <w:p w14:paraId="449B3563" w14:textId="77777777" w:rsidR="00AF2A22" w:rsidRPr="00AF2A22" w:rsidRDefault="00AF2A22" w:rsidP="00AF2A22">
            <w:pPr>
              <w:textAlignment w:val="baseline"/>
              <w:rPr>
                <w:rFonts w:ascii="Times New Roman" w:eastAsia="Times New Roman" w:hAnsi="Times New Roman"/>
                <w:lang w:eastAsia="en-GB"/>
              </w:rPr>
            </w:pPr>
            <w:r w:rsidRPr="00AF2A22">
              <w:rPr>
                <w:rFonts w:eastAsia="Times New Roman" w:cs="Arial"/>
                <w:color w:val="000000"/>
                <w:sz w:val="22"/>
                <w:szCs w:val="22"/>
                <w:lang w:eastAsia="en-GB"/>
              </w:rPr>
              <w:t>CY 2017</w:t>
            </w:r>
            <w:r w:rsidRPr="00AF2A22">
              <w:rPr>
                <w:rFonts w:eastAsia="Times New Roman" w:cs="Arial"/>
                <w:sz w:val="22"/>
                <w:szCs w:val="22"/>
                <w:lang w:eastAsia="en-GB"/>
              </w:rPr>
              <w:t> </w:t>
            </w:r>
          </w:p>
        </w:tc>
        <w:tc>
          <w:tcPr>
            <w:tcW w:w="1140" w:type="dxa"/>
            <w:tcBorders>
              <w:top w:val="single" w:sz="12" w:space="0" w:color="auto"/>
              <w:left w:val="nil"/>
              <w:bottom w:val="single" w:sz="6" w:space="0" w:color="auto"/>
              <w:right w:val="single" w:sz="6" w:space="0" w:color="auto"/>
            </w:tcBorders>
            <w:shd w:val="clear" w:color="auto" w:fill="auto"/>
            <w:hideMark/>
          </w:tcPr>
          <w:p w14:paraId="115BDE73" w14:textId="77777777" w:rsidR="00AF2A22" w:rsidRPr="00AF2A22" w:rsidRDefault="00AF2A22" w:rsidP="00AF2A22">
            <w:pPr>
              <w:textAlignment w:val="baseline"/>
              <w:rPr>
                <w:rFonts w:ascii="Times New Roman" w:eastAsia="Times New Roman" w:hAnsi="Times New Roman"/>
                <w:lang w:eastAsia="en-GB"/>
              </w:rPr>
            </w:pPr>
            <w:r w:rsidRPr="00AF2A22">
              <w:rPr>
                <w:rFonts w:eastAsia="Times New Roman" w:cs="Arial"/>
                <w:color w:val="000000"/>
                <w:sz w:val="22"/>
                <w:szCs w:val="22"/>
                <w:lang w:eastAsia="en-GB"/>
              </w:rPr>
              <w:t>CY 2018</w:t>
            </w:r>
            <w:r w:rsidRPr="00AF2A22">
              <w:rPr>
                <w:rFonts w:eastAsia="Times New Roman" w:cs="Arial"/>
                <w:sz w:val="22"/>
                <w:szCs w:val="22"/>
                <w:lang w:eastAsia="en-GB"/>
              </w:rPr>
              <w:t> </w:t>
            </w:r>
          </w:p>
        </w:tc>
        <w:tc>
          <w:tcPr>
            <w:tcW w:w="675" w:type="dxa"/>
            <w:tcBorders>
              <w:top w:val="single" w:sz="12" w:space="0" w:color="auto"/>
              <w:left w:val="nil"/>
              <w:bottom w:val="single" w:sz="6" w:space="0" w:color="auto"/>
              <w:right w:val="single" w:sz="6" w:space="0" w:color="auto"/>
            </w:tcBorders>
            <w:shd w:val="clear" w:color="auto" w:fill="auto"/>
            <w:hideMark/>
          </w:tcPr>
          <w:p w14:paraId="0C71A032" w14:textId="77777777" w:rsidR="00AF2A22" w:rsidRPr="00AF2A22" w:rsidRDefault="00AF2A22" w:rsidP="00AF2A22">
            <w:pPr>
              <w:textAlignment w:val="baseline"/>
              <w:rPr>
                <w:rFonts w:ascii="Times New Roman" w:eastAsia="Times New Roman" w:hAnsi="Times New Roman"/>
                <w:lang w:eastAsia="en-GB"/>
              </w:rPr>
            </w:pPr>
            <w:r w:rsidRPr="00AF2A22">
              <w:rPr>
                <w:rFonts w:eastAsia="Times New Roman" w:cs="Arial"/>
                <w:sz w:val="22"/>
                <w:szCs w:val="22"/>
                <w:lang w:eastAsia="en-GB"/>
              </w:rPr>
              <w:t> </w:t>
            </w:r>
          </w:p>
        </w:tc>
        <w:tc>
          <w:tcPr>
            <w:tcW w:w="675" w:type="dxa"/>
            <w:tcBorders>
              <w:top w:val="single" w:sz="12" w:space="0" w:color="auto"/>
              <w:left w:val="nil"/>
              <w:bottom w:val="single" w:sz="6" w:space="0" w:color="auto"/>
              <w:right w:val="single" w:sz="12" w:space="0" w:color="auto"/>
            </w:tcBorders>
            <w:shd w:val="clear" w:color="auto" w:fill="auto"/>
            <w:hideMark/>
          </w:tcPr>
          <w:p w14:paraId="7E1B5D66" w14:textId="77777777" w:rsidR="00AF2A22" w:rsidRPr="00AF2A22" w:rsidRDefault="00AF2A22" w:rsidP="00AF2A22">
            <w:pPr>
              <w:textAlignment w:val="baseline"/>
              <w:rPr>
                <w:rFonts w:ascii="Times New Roman" w:eastAsia="Times New Roman" w:hAnsi="Times New Roman"/>
                <w:lang w:eastAsia="en-GB"/>
              </w:rPr>
            </w:pPr>
            <w:r w:rsidRPr="00AF2A22">
              <w:rPr>
                <w:rFonts w:eastAsia="Times New Roman" w:cs="Arial"/>
                <w:sz w:val="22"/>
                <w:szCs w:val="22"/>
                <w:lang w:eastAsia="en-GB"/>
              </w:rPr>
              <w:t> </w:t>
            </w:r>
          </w:p>
        </w:tc>
      </w:tr>
      <w:tr w:rsidR="00AF2A22" w:rsidRPr="00AF2A22" w14:paraId="1FEBA00D" w14:textId="77777777" w:rsidTr="00AF2A22">
        <w:tc>
          <w:tcPr>
            <w:tcW w:w="1950" w:type="dxa"/>
            <w:tcBorders>
              <w:top w:val="nil"/>
              <w:left w:val="single" w:sz="12" w:space="0" w:color="auto"/>
              <w:bottom w:val="single" w:sz="6" w:space="0" w:color="auto"/>
              <w:right w:val="single" w:sz="18" w:space="0" w:color="auto"/>
            </w:tcBorders>
            <w:shd w:val="clear" w:color="auto" w:fill="auto"/>
            <w:hideMark/>
          </w:tcPr>
          <w:p w14:paraId="4318AB8C" w14:textId="77777777" w:rsidR="00AF2A22" w:rsidRPr="00AF2A22" w:rsidRDefault="00AF2A22" w:rsidP="00AF2A22">
            <w:pPr>
              <w:textAlignment w:val="baseline"/>
              <w:rPr>
                <w:rFonts w:ascii="Times New Roman" w:eastAsia="Times New Roman" w:hAnsi="Times New Roman"/>
                <w:lang w:eastAsia="en-GB"/>
              </w:rPr>
            </w:pPr>
            <w:r w:rsidRPr="00AF2A22">
              <w:rPr>
                <w:rFonts w:eastAsia="Times New Roman" w:cs="Arial"/>
                <w:color w:val="000000"/>
                <w:sz w:val="22"/>
                <w:szCs w:val="22"/>
                <w:lang w:eastAsia="en-GB"/>
              </w:rPr>
              <w:t>Programme Score</w:t>
            </w:r>
            <w:r w:rsidRPr="00AF2A22">
              <w:rPr>
                <w:rFonts w:eastAsia="Times New Roman" w:cs="Arial"/>
                <w:sz w:val="22"/>
                <w:szCs w:val="22"/>
                <w:lang w:eastAsia="en-GB"/>
              </w:rPr>
              <w:t> </w:t>
            </w:r>
          </w:p>
        </w:tc>
        <w:tc>
          <w:tcPr>
            <w:tcW w:w="1080" w:type="dxa"/>
            <w:tcBorders>
              <w:top w:val="nil"/>
              <w:left w:val="single" w:sz="18" w:space="0" w:color="auto"/>
              <w:bottom w:val="single" w:sz="6" w:space="0" w:color="auto"/>
              <w:right w:val="single" w:sz="6" w:space="0" w:color="auto"/>
            </w:tcBorders>
            <w:shd w:val="clear" w:color="auto" w:fill="auto"/>
            <w:hideMark/>
          </w:tcPr>
          <w:p w14:paraId="247A0396" w14:textId="77777777" w:rsidR="00AF2A22" w:rsidRPr="00AF2A22" w:rsidRDefault="00AF2A22" w:rsidP="00AF2A22">
            <w:pPr>
              <w:jc w:val="center"/>
              <w:textAlignment w:val="baseline"/>
              <w:rPr>
                <w:rFonts w:ascii="Times New Roman" w:eastAsia="Times New Roman" w:hAnsi="Times New Roman"/>
                <w:lang w:eastAsia="en-GB"/>
              </w:rPr>
            </w:pPr>
            <w:r w:rsidRPr="00AF2A22">
              <w:rPr>
                <w:rFonts w:eastAsia="Times New Roman" w:cs="Arial"/>
                <w:color w:val="000000"/>
                <w:sz w:val="22"/>
                <w:szCs w:val="22"/>
                <w:lang w:eastAsia="en-GB"/>
              </w:rPr>
              <w:t>A</w:t>
            </w:r>
            <w:r w:rsidRPr="00AF2A22">
              <w:rPr>
                <w:rFonts w:eastAsia="Times New Roman" w:cs="Arial"/>
                <w:sz w:val="22"/>
                <w:szCs w:val="22"/>
                <w:lang w:eastAsia="en-GB"/>
              </w:rPr>
              <w:t> </w:t>
            </w:r>
          </w:p>
        </w:tc>
        <w:tc>
          <w:tcPr>
            <w:tcW w:w="1080" w:type="dxa"/>
            <w:tcBorders>
              <w:top w:val="nil"/>
              <w:left w:val="nil"/>
              <w:bottom w:val="single" w:sz="6" w:space="0" w:color="auto"/>
              <w:right w:val="single" w:sz="6" w:space="0" w:color="auto"/>
            </w:tcBorders>
            <w:shd w:val="clear" w:color="auto" w:fill="auto"/>
            <w:hideMark/>
          </w:tcPr>
          <w:p w14:paraId="77E85047" w14:textId="77777777" w:rsidR="00AF2A22" w:rsidRPr="00AF2A22" w:rsidRDefault="00AF2A22" w:rsidP="00AF2A22">
            <w:pPr>
              <w:jc w:val="center"/>
              <w:textAlignment w:val="baseline"/>
              <w:rPr>
                <w:rFonts w:ascii="Times New Roman" w:eastAsia="Times New Roman" w:hAnsi="Times New Roman"/>
                <w:lang w:eastAsia="en-GB"/>
              </w:rPr>
            </w:pPr>
            <w:r w:rsidRPr="00AF2A22">
              <w:rPr>
                <w:rFonts w:eastAsia="Times New Roman" w:cs="Arial"/>
                <w:color w:val="000000"/>
                <w:sz w:val="22"/>
                <w:szCs w:val="22"/>
                <w:lang w:eastAsia="en-GB"/>
              </w:rPr>
              <w:t>A</w:t>
            </w:r>
            <w:r w:rsidRPr="00AF2A22">
              <w:rPr>
                <w:rFonts w:eastAsia="Times New Roman" w:cs="Arial"/>
                <w:sz w:val="22"/>
                <w:szCs w:val="22"/>
                <w:lang w:eastAsia="en-GB"/>
              </w:rPr>
              <w:t> </w:t>
            </w:r>
          </w:p>
        </w:tc>
        <w:tc>
          <w:tcPr>
            <w:tcW w:w="1215" w:type="dxa"/>
            <w:tcBorders>
              <w:top w:val="nil"/>
              <w:left w:val="nil"/>
              <w:bottom w:val="single" w:sz="6" w:space="0" w:color="auto"/>
              <w:right w:val="single" w:sz="6" w:space="0" w:color="auto"/>
            </w:tcBorders>
            <w:shd w:val="clear" w:color="auto" w:fill="auto"/>
            <w:hideMark/>
          </w:tcPr>
          <w:p w14:paraId="265CBC3D" w14:textId="77777777" w:rsidR="00AF2A22" w:rsidRPr="00AF2A22" w:rsidRDefault="00AF2A22" w:rsidP="00AF2A22">
            <w:pPr>
              <w:jc w:val="center"/>
              <w:textAlignment w:val="baseline"/>
              <w:rPr>
                <w:rFonts w:ascii="Times New Roman" w:eastAsia="Times New Roman" w:hAnsi="Times New Roman"/>
                <w:lang w:eastAsia="en-GB"/>
              </w:rPr>
            </w:pPr>
            <w:r w:rsidRPr="00AF2A22">
              <w:rPr>
                <w:rFonts w:eastAsia="Times New Roman" w:cs="Arial"/>
                <w:color w:val="000000"/>
                <w:sz w:val="22"/>
                <w:szCs w:val="22"/>
                <w:lang w:eastAsia="en-GB"/>
              </w:rPr>
              <w:t>A</w:t>
            </w:r>
            <w:r w:rsidRPr="00AF2A22">
              <w:rPr>
                <w:rFonts w:eastAsia="Times New Roman" w:cs="Arial"/>
                <w:sz w:val="22"/>
                <w:szCs w:val="22"/>
                <w:lang w:eastAsia="en-GB"/>
              </w:rPr>
              <w:t> </w:t>
            </w:r>
          </w:p>
        </w:tc>
        <w:tc>
          <w:tcPr>
            <w:tcW w:w="1140" w:type="dxa"/>
            <w:tcBorders>
              <w:top w:val="nil"/>
              <w:left w:val="nil"/>
              <w:bottom w:val="single" w:sz="6" w:space="0" w:color="auto"/>
              <w:right w:val="single" w:sz="6" w:space="0" w:color="auto"/>
            </w:tcBorders>
            <w:shd w:val="clear" w:color="auto" w:fill="auto"/>
            <w:hideMark/>
          </w:tcPr>
          <w:p w14:paraId="4EAE4128" w14:textId="77777777" w:rsidR="00AF2A22" w:rsidRPr="00AF2A22" w:rsidRDefault="00AF2A22" w:rsidP="00AF2A22">
            <w:pPr>
              <w:jc w:val="center"/>
              <w:textAlignment w:val="baseline"/>
              <w:rPr>
                <w:rFonts w:ascii="Times New Roman" w:eastAsia="Times New Roman" w:hAnsi="Times New Roman"/>
                <w:lang w:eastAsia="en-GB"/>
              </w:rPr>
            </w:pPr>
            <w:r w:rsidRPr="00AF2A22">
              <w:rPr>
                <w:rFonts w:eastAsia="Times New Roman" w:cs="Arial"/>
                <w:color w:val="000000"/>
                <w:sz w:val="22"/>
                <w:szCs w:val="22"/>
                <w:lang w:eastAsia="en-GB"/>
              </w:rPr>
              <w:t>A</w:t>
            </w:r>
            <w:r w:rsidRPr="00AF2A22">
              <w:rPr>
                <w:rFonts w:eastAsia="Times New Roman" w:cs="Arial"/>
                <w:sz w:val="22"/>
                <w:szCs w:val="22"/>
                <w:lang w:eastAsia="en-GB"/>
              </w:rPr>
              <w:t> </w:t>
            </w:r>
          </w:p>
        </w:tc>
        <w:tc>
          <w:tcPr>
            <w:tcW w:w="1140" w:type="dxa"/>
            <w:tcBorders>
              <w:top w:val="nil"/>
              <w:left w:val="nil"/>
              <w:bottom w:val="single" w:sz="6" w:space="0" w:color="auto"/>
              <w:right w:val="single" w:sz="6" w:space="0" w:color="auto"/>
            </w:tcBorders>
            <w:shd w:val="clear" w:color="auto" w:fill="auto"/>
            <w:hideMark/>
          </w:tcPr>
          <w:p w14:paraId="0E0682F0" w14:textId="77777777" w:rsidR="00AF2A22" w:rsidRPr="00AF2A22" w:rsidRDefault="00AF2A22" w:rsidP="00AF2A22">
            <w:pPr>
              <w:jc w:val="center"/>
              <w:textAlignment w:val="baseline"/>
              <w:rPr>
                <w:rFonts w:ascii="Times New Roman" w:eastAsia="Times New Roman" w:hAnsi="Times New Roman"/>
                <w:lang w:eastAsia="en-GB"/>
              </w:rPr>
            </w:pPr>
            <w:r w:rsidRPr="00AF2A22">
              <w:rPr>
                <w:rFonts w:eastAsia="Times New Roman" w:cs="Arial"/>
                <w:color w:val="000000"/>
                <w:sz w:val="22"/>
                <w:szCs w:val="22"/>
                <w:lang w:eastAsia="en-GB"/>
              </w:rPr>
              <w:t>A+</w:t>
            </w:r>
            <w:r w:rsidRPr="00AF2A22">
              <w:rPr>
                <w:rFonts w:eastAsia="Times New Roman" w:cs="Arial"/>
                <w:sz w:val="22"/>
                <w:szCs w:val="22"/>
                <w:lang w:eastAsia="en-GB"/>
              </w:rPr>
              <w:t> </w:t>
            </w:r>
          </w:p>
        </w:tc>
        <w:tc>
          <w:tcPr>
            <w:tcW w:w="1140" w:type="dxa"/>
            <w:tcBorders>
              <w:top w:val="nil"/>
              <w:left w:val="nil"/>
              <w:bottom w:val="single" w:sz="6" w:space="0" w:color="auto"/>
              <w:right w:val="single" w:sz="6" w:space="0" w:color="auto"/>
            </w:tcBorders>
            <w:shd w:val="clear" w:color="auto" w:fill="auto"/>
            <w:hideMark/>
          </w:tcPr>
          <w:p w14:paraId="2AD9D7C7" w14:textId="77777777" w:rsidR="00AF2A22" w:rsidRPr="00AF2A22" w:rsidRDefault="00AF2A22" w:rsidP="00AF2A22">
            <w:pPr>
              <w:jc w:val="center"/>
              <w:textAlignment w:val="baseline"/>
              <w:rPr>
                <w:rFonts w:ascii="Times New Roman" w:eastAsia="Times New Roman" w:hAnsi="Times New Roman"/>
                <w:lang w:eastAsia="en-GB"/>
              </w:rPr>
            </w:pPr>
            <w:r w:rsidRPr="00AF2A22">
              <w:rPr>
                <w:rFonts w:eastAsia="Times New Roman" w:cs="Arial"/>
                <w:color w:val="000000"/>
                <w:sz w:val="22"/>
                <w:szCs w:val="22"/>
                <w:lang w:eastAsia="en-GB"/>
              </w:rPr>
              <w:t>A</w:t>
            </w:r>
            <w:r w:rsidRPr="00AF2A22">
              <w:rPr>
                <w:rFonts w:eastAsia="Times New Roman" w:cs="Arial"/>
                <w:sz w:val="22"/>
                <w:szCs w:val="22"/>
                <w:lang w:eastAsia="en-GB"/>
              </w:rPr>
              <w:t> </w:t>
            </w:r>
          </w:p>
        </w:tc>
        <w:tc>
          <w:tcPr>
            <w:tcW w:w="675" w:type="dxa"/>
            <w:tcBorders>
              <w:top w:val="nil"/>
              <w:left w:val="nil"/>
              <w:bottom w:val="single" w:sz="6" w:space="0" w:color="auto"/>
              <w:right w:val="single" w:sz="6" w:space="0" w:color="auto"/>
            </w:tcBorders>
            <w:shd w:val="clear" w:color="auto" w:fill="auto"/>
            <w:hideMark/>
          </w:tcPr>
          <w:p w14:paraId="0237B5AE" w14:textId="77777777" w:rsidR="00AF2A22" w:rsidRPr="00AF2A22" w:rsidRDefault="00AF2A22" w:rsidP="00AF2A22">
            <w:pPr>
              <w:textAlignment w:val="baseline"/>
              <w:rPr>
                <w:rFonts w:ascii="Times New Roman" w:eastAsia="Times New Roman" w:hAnsi="Times New Roman"/>
                <w:lang w:eastAsia="en-GB"/>
              </w:rPr>
            </w:pPr>
            <w:r w:rsidRPr="00AF2A22">
              <w:rPr>
                <w:rFonts w:eastAsia="Times New Roman" w:cs="Arial"/>
                <w:sz w:val="22"/>
                <w:szCs w:val="22"/>
                <w:lang w:eastAsia="en-GB"/>
              </w:rPr>
              <w:t> </w:t>
            </w:r>
          </w:p>
        </w:tc>
        <w:tc>
          <w:tcPr>
            <w:tcW w:w="675" w:type="dxa"/>
            <w:tcBorders>
              <w:top w:val="nil"/>
              <w:left w:val="nil"/>
              <w:bottom w:val="single" w:sz="6" w:space="0" w:color="auto"/>
              <w:right w:val="single" w:sz="12" w:space="0" w:color="auto"/>
            </w:tcBorders>
            <w:shd w:val="clear" w:color="auto" w:fill="auto"/>
            <w:hideMark/>
          </w:tcPr>
          <w:p w14:paraId="2E417328" w14:textId="77777777" w:rsidR="00AF2A22" w:rsidRPr="00AF2A22" w:rsidRDefault="00AF2A22" w:rsidP="00AF2A22">
            <w:pPr>
              <w:textAlignment w:val="baseline"/>
              <w:rPr>
                <w:rFonts w:ascii="Times New Roman" w:eastAsia="Times New Roman" w:hAnsi="Times New Roman"/>
                <w:lang w:eastAsia="en-GB"/>
              </w:rPr>
            </w:pPr>
            <w:r w:rsidRPr="00AF2A22">
              <w:rPr>
                <w:rFonts w:eastAsia="Times New Roman" w:cs="Arial"/>
                <w:sz w:val="22"/>
                <w:szCs w:val="22"/>
                <w:lang w:eastAsia="en-GB"/>
              </w:rPr>
              <w:t> </w:t>
            </w:r>
          </w:p>
        </w:tc>
      </w:tr>
      <w:tr w:rsidR="00AF2A22" w:rsidRPr="00AF2A22" w14:paraId="4C79297E" w14:textId="77777777" w:rsidTr="00AF2A22">
        <w:tc>
          <w:tcPr>
            <w:tcW w:w="1950" w:type="dxa"/>
            <w:tcBorders>
              <w:top w:val="nil"/>
              <w:left w:val="single" w:sz="12" w:space="0" w:color="auto"/>
              <w:bottom w:val="single" w:sz="12" w:space="0" w:color="auto"/>
              <w:right w:val="single" w:sz="18" w:space="0" w:color="auto"/>
            </w:tcBorders>
            <w:shd w:val="clear" w:color="auto" w:fill="auto"/>
            <w:hideMark/>
          </w:tcPr>
          <w:p w14:paraId="2D67C706" w14:textId="77777777" w:rsidR="00AF2A22" w:rsidRPr="00AF2A22" w:rsidRDefault="00AF2A22" w:rsidP="00AF2A22">
            <w:pPr>
              <w:textAlignment w:val="baseline"/>
              <w:rPr>
                <w:rFonts w:ascii="Times New Roman" w:eastAsia="Times New Roman" w:hAnsi="Times New Roman"/>
                <w:lang w:eastAsia="en-GB"/>
              </w:rPr>
            </w:pPr>
            <w:r w:rsidRPr="00AF2A22">
              <w:rPr>
                <w:rFonts w:eastAsia="Times New Roman" w:cs="Arial"/>
                <w:color w:val="000000"/>
                <w:sz w:val="22"/>
                <w:szCs w:val="22"/>
                <w:lang w:eastAsia="en-GB"/>
              </w:rPr>
              <w:t>Risk Rating</w:t>
            </w:r>
            <w:r w:rsidRPr="00AF2A22">
              <w:rPr>
                <w:rFonts w:eastAsia="Times New Roman" w:cs="Arial"/>
                <w:sz w:val="22"/>
                <w:szCs w:val="22"/>
                <w:lang w:eastAsia="en-GB"/>
              </w:rPr>
              <w:t> </w:t>
            </w:r>
          </w:p>
        </w:tc>
        <w:tc>
          <w:tcPr>
            <w:tcW w:w="1080" w:type="dxa"/>
            <w:tcBorders>
              <w:top w:val="nil"/>
              <w:left w:val="single" w:sz="18" w:space="0" w:color="auto"/>
              <w:bottom w:val="single" w:sz="12" w:space="0" w:color="auto"/>
              <w:right w:val="single" w:sz="6" w:space="0" w:color="auto"/>
            </w:tcBorders>
            <w:shd w:val="clear" w:color="auto" w:fill="auto"/>
            <w:hideMark/>
          </w:tcPr>
          <w:p w14:paraId="014B02C8" w14:textId="77777777" w:rsidR="00AF2A22" w:rsidRPr="00AF2A22" w:rsidRDefault="00AF2A22" w:rsidP="00AF2A22">
            <w:pPr>
              <w:jc w:val="center"/>
              <w:textAlignment w:val="baseline"/>
              <w:rPr>
                <w:rFonts w:ascii="Times New Roman" w:eastAsia="Times New Roman" w:hAnsi="Times New Roman"/>
                <w:lang w:eastAsia="en-GB"/>
              </w:rPr>
            </w:pPr>
            <w:r w:rsidRPr="00AF2A22">
              <w:rPr>
                <w:rFonts w:eastAsia="Times New Roman" w:cs="Arial"/>
                <w:color w:val="000000"/>
                <w:sz w:val="22"/>
                <w:szCs w:val="22"/>
                <w:lang w:eastAsia="en-GB"/>
              </w:rPr>
              <w:t>Medium</w:t>
            </w:r>
            <w:r w:rsidRPr="00AF2A22">
              <w:rPr>
                <w:rFonts w:eastAsia="Times New Roman" w:cs="Arial"/>
                <w:sz w:val="22"/>
                <w:szCs w:val="22"/>
                <w:lang w:eastAsia="en-GB"/>
              </w:rPr>
              <w:t> </w:t>
            </w:r>
          </w:p>
        </w:tc>
        <w:tc>
          <w:tcPr>
            <w:tcW w:w="1080" w:type="dxa"/>
            <w:tcBorders>
              <w:top w:val="nil"/>
              <w:left w:val="nil"/>
              <w:bottom w:val="single" w:sz="12" w:space="0" w:color="auto"/>
              <w:right w:val="single" w:sz="6" w:space="0" w:color="auto"/>
            </w:tcBorders>
            <w:shd w:val="clear" w:color="auto" w:fill="auto"/>
            <w:hideMark/>
          </w:tcPr>
          <w:p w14:paraId="35B65EB7" w14:textId="77777777" w:rsidR="00AF2A22" w:rsidRPr="00AF2A22" w:rsidRDefault="00AF2A22" w:rsidP="00AF2A22">
            <w:pPr>
              <w:jc w:val="center"/>
              <w:textAlignment w:val="baseline"/>
              <w:rPr>
                <w:rFonts w:ascii="Times New Roman" w:eastAsia="Times New Roman" w:hAnsi="Times New Roman"/>
                <w:lang w:eastAsia="en-GB"/>
              </w:rPr>
            </w:pPr>
            <w:r w:rsidRPr="00AF2A22">
              <w:rPr>
                <w:rFonts w:eastAsia="Times New Roman" w:cs="Arial"/>
                <w:color w:val="000000"/>
                <w:sz w:val="22"/>
                <w:szCs w:val="22"/>
                <w:lang w:eastAsia="en-GB"/>
              </w:rPr>
              <w:t>Medium</w:t>
            </w:r>
            <w:r w:rsidRPr="00AF2A22">
              <w:rPr>
                <w:rFonts w:eastAsia="Times New Roman" w:cs="Arial"/>
                <w:sz w:val="22"/>
                <w:szCs w:val="22"/>
                <w:lang w:eastAsia="en-GB"/>
              </w:rPr>
              <w:t> </w:t>
            </w:r>
          </w:p>
        </w:tc>
        <w:tc>
          <w:tcPr>
            <w:tcW w:w="1215" w:type="dxa"/>
            <w:tcBorders>
              <w:top w:val="nil"/>
              <w:left w:val="nil"/>
              <w:bottom w:val="single" w:sz="12" w:space="0" w:color="auto"/>
              <w:right w:val="single" w:sz="6" w:space="0" w:color="auto"/>
            </w:tcBorders>
            <w:shd w:val="clear" w:color="auto" w:fill="auto"/>
            <w:hideMark/>
          </w:tcPr>
          <w:p w14:paraId="305C64D4" w14:textId="77777777" w:rsidR="00AF2A22" w:rsidRPr="00AF2A22" w:rsidRDefault="00AF2A22" w:rsidP="00AF2A22">
            <w:pPr>
              <w:jc w:val="center"/>
              <w:textAlignment w:val="baseline"/>
              <w:rPr>
                <w:rFonts w:ascii="Times New Roman" w:eastAsia="Times New Roman" w:hAnsi="Times New Roman"/>
                <w:lang w:eastAsia="en-GB"/>
              </w:rPr>
            </w:pPr>
            <w:r w:rsidRPr="00AF2A22">
              <w:rPr>
                <w:rFonts w:eastAsia="Times New Roman" w:cs="Arial"/>
                <w:color w:val="000000"/>
                <w:sz w:val="22"/>
                <w:szCs w:val="22"/>
                <w:lang w:eastAsia="en-GB"/>
              </w:rPr>
              <w:t>Moderate</w:t>
            </w:r>
            <w:r w:rsidRPr="00AF2A22">
              <w:rPr>
                <w:rFonts w:eastAsia="Times New Roman" w:cs="Arial"/>
                <w:sz w:val="22"/>
                <w:szCs w:val="22"/>
                <w:lang w:eastAsia="en-GB"/>
              </w:rPr>
              <w:t> </w:t>
            </w:r>
          </w:p>
        </w:tc>
        <w:tc>
          <w:tcPr>
            <w:tcW w:w="1140" w:type="dxa"/>
            <w:tcBorders>
              <w:top w:val="nil"/>
              <w:left w:val="nil"/>
              <w:bottom w:val="single" w:sz="12" w:space="0" w:color="auto"/>
              <w:right w:val="single" w:sz="6" w:space="0" w:color="auto"/>
            </w:tcBorders>
            <w:shd w:val="clear" w:color="auto" w:fill="auto"/>
            <w:hideMark/>
          </w:tcPr>
          <w:p w14:paraId="6394EFDB" w14:textId="77777777" w:rsidR="00AF2A22" w:rsidRPr="00AF2A22" w:rsidRDefault="00AF2A22" w:rsidP="00AF2A22">
            <w:pPr>
              <w:jc w:val="center"/>
              <w:textAlignment w:val="baseline"/>
              <w:rPr>
                <w:rFonts w:ascii="Times New Roman" w:eastAsia="Times New Roman" w:hAnsi="Times New Roman"/>
                <w:lang w:eastAsia="en-GB"/>
              </w:rPr>
            </w:pPr>
            <w:r w:rsidRPr="00AF2A22">
              <w:rPr>
                <w:rFonts w:eastAsia="Times New Roman" w:cs="Arial"/>
                <w:color w:val="000000"/>
                <w:sz w:val="22"/>
                <w:szCs w:val="22"/>
                <w:lang w:eastAsia="en-GB"/>
              </w:rPr>
              <w:t>Moderate</w:t>
            </w:r>
            <w:r w:rsidRPr="00AF2A22">
              <w:rPr>
                <w:rFonts w:eastAsia="Times New Roman" w:cs="Arial"/>
                <w:sz w:val="22"/>
                <w:szCs w:val="22"/>
                <w:lang w:eastAsia="en-GB"/>
              </w:rPr>
              <w:t> </w:t>
            </w:r>
          </w:p>
        </w:tc>
        <w:tc>
          <w:tcPr>
            <w:tcW w:w="1140" w:type="dxa"/>
            <w:tcBorders>
              <w:top w:val="nil"/>
              <w:left w:val="nil"/>
              <w:bottom w:val="single" w:sz="12" w:space="0" w:color="auto"/>
              <w:right w:val="single" w:sz="6" w:space="0" w:color="auto"/>
            </w:tcBorders>
            <w:shd w:val="clear" w:color="auto" w:fill="auto"/>
            <w:hideMark/>
          </w:tcPr>
          <w:p w14:paraId="63C29267" w14:textId="77777777" w:rsidR="00AF2A22" w:rsidRPr="00AF2A22" w:rsidRDefault="00AF2A22" w:rsidP="00AF2A22">
            <w:pPr>
              <w:textAlignment w:val="baseline"/>
              <w:rPr>
                <w:rFonts w:ascii="Times New Roman" w:eastAsia="Times New Roman" w:hAnsi="Times New Roman"/>
                <w:lang w:eastAsia="en-GB"/>
              </w:rPr>
            </w:pPr>
            <w:r w:rsidRPr="00AF2A22">
              <w:rPr>
                <w:rFonts w:eastAsia="Times New Roman" w:cs="Arial"/>
                <w:color w:val="000000"/>
                <w:sz w:val="22"/>
                <w:szCs w:val="22"/>
                <w:lang w:eastAsia="en-GB"/>
              </w:rPr>
              <w:t>Moderate</w:t>
            </w:r>
            <w:r w:rsidRPr="00AF2A22">
              <w:rPr>
                <w:rFonts w:eastAsia="Times New Roman" w:cs="Arial"/>
                <w:sz w:val="22"/>
                <w:szCs w:val="22"/>
                <w:lang w:eastAsia="en-GB"/>
              </w:rPr>
              <w:t> </w:t>
            </w:r>
          </w:p>
        </w:tc>
        <w:tc>
          <w:tcPr>
            <w:tcW w:w="1140" w:type="dxa"/>
            <w:tcBorders>
              <w:top w:val="nil"/>
              <w:left w:val="nil"/>
              <w:bottom w:val="single" w:sz="12" w:space="0" w:color="auto"/>
              <w:right w:val="single" w:sz="6" w:space="0" w:color="auto"/>
            </w:tcBorders>
            <w:shd w:val="clear" w:color="auto" w:fill="auto"/>
            <w:hideMark/>
          </w:tcPr>
          <w:p w14:paraId="3A775E32" w14:textId="77777777" w:rsidR="00AF2A22" w:rsidRPr="00AF2A22" w:rsidRDefault="00AF2A22" w:rsidP="00AF2A22">
            <w:pPr>
              <w:textAlignment w:val="baseline"/>
              <w:rPr>
                <w:rFonts w:ascii="Times New Roman" w:eastAsia="Times New Roman" w:hAnsi="Times New Roman"/>
                <w:lang w:eastAsia="en-GB"/>
              </w:rPr>
            </w:pPr>
            <w:r w:rsidRPr="00AF2A22">
              <w:rPr>
                <w:rFonts w:eastAsia="Times New Roman" w:cs="Arial"/>
                <w:color w:val="000000"/>
                <w:sz w:val="22"/>
                <w:szCs w:val="22"/>
                <w:lang w:eastAsia="en-GB"/>
              </w:rPr>
              <w:t>Moderate</w:t>
            </w:r>
            <w:r w:rsidRPr="00AF2A22">
              <w:rPr>
                <w:rFonts w:eastAsia="Times New Roman" w:cs="Arial"/>
                <w:sz w:val="22"/>
                <w:szCs w:val="22"/>
                <w:lang w:eastAsia="en-GB"/>
              </w:rPr>
              <w:t> </w:t>
            </w:r>
          </w:p>
        </w:tc>
        <w:tc>
          <w:tcPr>
            <w:tcW w:w="675" w:type="dxa"/>
            <w:tcBorders>
              <w:top w:val="nil"/>
              <w:left w:val="nil"/>
              <w:bottom w:val="single" w:sz="12" w:space="0" w:color="auto"/>
              <w:right w:val="single" w:sz="6" w:space="0" w:color="auto"/>
            </w:tcBorders>
            <w:shd w:val="clear" w:color="auto" w:fill="auto"/>
            <w:hideMark/>
          </w:tcPr>
          <w:p w14:paraId="106589C5" w14:textId="77777777" w:rsidR="00AF2A22" w:rsidRPr="00AF2A22" w:rsidRDefault="00AF2A22" w:rsidP="00AF2A22">
            <w:pPr>
              <w:textAlignment w:val="baseline"/>
              <w:rPr>
                <w:rFonts w:ascii="Times New Roman" w:eastAsia="Times New Roman" w:hAnsi="Times New Roman"/>
                <w:lang w:eastAsia="en-GB"/>
              </w:rPr>
            </w:pPr>
            <w:r w:rsidRPr="00AF2A22">
              <w:rPr>
                <w:rFonts w:eastAsia="Times New Roman" w:cs="Arial"/>
                <w:sz w:val="22"/>
                <w:szCs w:val="22"/>
                <w:lang w:eastAsia="en-GB"/>
              </w:rPr>
              <w:t> </w:t>
            </w:r>
          </w:p>
        </w:tc>
        <w:tc>
          <w:tcPr>
            <w:tcW w:w="675" w:type="dxa"/>
            <w:tcBorders>
              <w:top w:val="nil"/>
              <w:left w:val="nil"/>
              <w:bottom w:val="single" w:sz="12" w:space="0" w:color="auto"/>
              <w:right w:val="single" w:sz="12" w:space="0" w:color="auto"/>
            </w:tcBorders>
            <w:shd w:val="clear" w:color="auto" w:fill="auto"/>
            <w:hideMark/>
          </w:tcPr>
          <w:p w14:paraId="226309BC" w14:textId="77777777" w:rsidR="00AF2A22" w:rsidRPr="00AF2A22" w:rsidRDefault="00AF2A22" w:rsidP="00AF2A22">
            <w:pPr>
              <w:textAlignment w:val="baseline"/>
              <w:rPr>
                <w:rFonts w:ascii="Times New Roman" w:eastAsia="Times New Roman" w:hAnsi="Times New Roman"/>
                <w:lang w:eastAsia="en-GB"/>
              </w:rPr>
            </w:pPr>
            <w:r w:rsidRPr="00AF2A22">
              <w:rPr>
                <w:rFonts w:eastAsia="Times New Roman" w:cs="Arial"/>
                <w:sz w:val="22"/>
                <w:szCs w:val="22"/>
                <w:lang w:eastAsia="en-GB"/>
              </w:rPr>
              <w:t> </w:t>
            </w:r>
          </w:p>
        </w:tc>
      </w:tr>
    </w:tbl>
    <w:p w14:paraId="5F39A974" w14:textId="77777777" w:rsidR="00AF2A22" w:rsidRPr="00AF2A22" w:rsidRDefault="00AF2A22" w:rsidP="00AF2A22">
      <w:pPr>
        <w:textAlignment w:val="baseline"/>
        <w:rPr>
          <w:rFonts w:eastAsia="Times New Roman" w:cs="Arial"/>
          <w:sz w:val="22"/>
          <w:szCs w:val="22"/>
          <w:lang w:eastAsia="en-GB"/>
        </w:rPr>
      </w:pPr>
      <w:r w:rsidRPr="00AF2A22">
        <w:rPr>
          <w:rFonts w:eastAsia="Times New Roman" w:cs="Arial"/>
          <w:sz w:val="22"/>
          <w:szCs w:val="22"/>
          <w:lang w:eastAsia="en-GB"/>
        </w:rPr>
        <w:t> </w:t>
      </w:r>
    </w:p>
    <w:p w14:paraId="4226A972" w14:textId="77777777" w:rsidR="00AF2A22" w:rsidRPr="00AF2A22" w:rsidRDefault="00AF2A22" w:rsidP="00AF2A22">
      <w:pPr>
        <w:textAlignment w:val="baseline"/>
        <w:rPr>
          <w:rFonts w:eastAsia="Times New Roman" w:cs="Arial"/>
          <w:b/>
          <w:bCs/>
          <w:color w:val="4F81BD"/>
          <w:sz w:val="22"/>
          <w:szCs w:val="22"/>
          <w:lang w:eastAsia="en-GB"/>
        </w:rPr>
      </w:pPr>
      <w:r w:rsidRPr="00AF2A22">
        <w:rPr>
          <w:rFonts w:eastAsia="Times New Roman" w:cs="Arial"/>
          <w:b/>
          <w:bCs/>
          <w:color w:val="000000"/>
          <w:sz w:val="22"/>
          <w:szCs w:val="22"/>
          <w:lang w:eastAsia="en-GB"/>
        </w:rPr>
        <w:t>Summary of progress and lessons learnt since last review</w:t>
      </w:r>
      <w:r w:rsidRPr="00AF2A22">
        <w:rPr>
          <w:rFonts w:eastAsia="Times New Roman" w:cs="Arial"/>
          <w:b/>
          <w:bCs/>
          <w:color w:val="4F81BD"/>
          <w:sz w:val="22"/>
          <w:szCs w:val="22"/>
          <w:lang w:eastAsia="en-GB"/>
        </w:rPr>
        <w:t> </w:t>
      </w:r>
    </w:p>
    <w:p w14:paraId="603F603D" w14:textId="77777777" w:rsidR="00AF2A22" w:rsidRPr="00AF2A22" w:rsidRDefault="00AF2A22" w:rsidP="00AF2A22">
      <w:pPr>
        <w:jc w:val="both"/>
        <w:textAlignment w:val="baseline"/>
        <w:rPr>
          <w:rFonts w:eastAsia="Times New Roman" w:cs="Arial"/>
          <w:sz w:val="22"/>
          <w:szCs w:val="22"/>
          <w:lang w:eastAsia="en-GB"/>
        </w:rPr>
      </w:pPr>
      <w:r w:rsidRPr="00AF2A22">
        <w:rPr>
          <w:rFonts w:eastAsia="Times New Roman" w:cs="Arial"/>
          <w:sz w:val="22"/>
          <w:szCs w:val="22"/>
          <w:lang w:eastAsia="en-GB"/>
        </w:rPr>
        <w:t> </w:t>
      </w:r>
    </w:p>
    <w:p w14:paraId="7A5BFE97" w14:textId="5E46F56E" w:rsidR="00AF2A22" w:rsidRPr="00AF2A22" w:rsidRDefault="00AF2A22" w:rsidP="00AF2A22">
      <w:pPr>
        <w:jc w:val="both"/>
        <w:textAlignment w:val="baseline"/>
        <w:rPr>
          <w:rFonts w:eastAsia="Times New Roman" w:cs="Arial"/>
          <w:sz w:val="22"/>
          <w:szCs w:val="22"/>
          <w:lang w:eastAsia="en-GB"/>
        </w:rPr>
      </w:pPr>
      <w:r w:rsidRPr="00AF2A22">
        <w:rPr>
          <w:rFonts w:eastAsia="Times New Roman" w:cs="Arial"/>
          <w:color w:val="000000"/>
          <w:sz w:val="22"/>
          <w:szCs w:val="22"/>
          <w:lang w:eastAsia="en-GB"/>
        </w:rPr>
        <w:t>The Carbon Market Finance (</w:t>
      </w:r>
      <w:r w:rsidR="00512DCC">
        <w:rPr>
          <w:rFonts w:eastAsia="Times New Roman" w:cs="Arial"/>
          <w:color w:val="000000"/>
          <w:sz w:val="22"/>
          <w:szCs w:val="22"/>
          <w:lang w:eastAsia="en-GB"/>
        </w:rPr>
        <w:t>Ci-Dev</w:t>
      </w:r>
      <w:r w:rsidRPr="00AF2A22">
        <w:rPr>
          <w:rFonts w:eastAsia="Times New Roman" w:cs="Arial"/>
          <w:color w:val="000000"/>
          <w:sz w:val="22"/>
          <w:szCs w:val="22"/>
          <w:lang w:eastAsia="en-GB"/>
        </w:rPr>
        <w:t>) programme, delivered through the World Bank’s Carbon Initiative for Development (Ci-Dev), aims to increase the flow of international carbon finance</w:t>
      </w:r>
      <w:r w:rsidRPr="00AF2A22">
        <w:rPr>
          <w:rFonts w:eastAsia="Times New Roman" w:cs="Arial"/>
          <w:color w:val="000000"/>
          <w:sz w:val="17"/>
          <w:szCs w:val="17"/>
          <w:vertAlign w:val="superscript"/>
          <w:lang w:eastAsia="en-GB"/>
        </w:rPr>
        <w:t>1</w:t>
      </w:r>
      <w:r w:rsidRPr="00AF2A22">
        <w:rPr>
          <w:rFonts w:eastAsia="Times New Roman" w:cs="Arial"/>
          <w:color w:val="000000"/>
          <w:sz w:val="22"/>
          <w:szCs w:val="22"/>
          <w:lang w:eastAsia="en-GB"/>
        </w:rPr>
        <w:t> to Least Developed Countries (LDCs) to support climate change mitigation in pursuit of the Paris Agreement’s goals, facilitate access to clean energy and implement other poverty reducing technologies. It guarantees a revenue stream if projects deliver their expected benefits, builds local capacity to develop projects and monitor carbon emissions, and pilots clean and poverty reducing projects that could serve as blueprints to increase LDC access to the international carbon market.</w:t>
      </w:r>
      <w:r w:rsidR="006F2FF1">
        <w:rPr>
          <w:rFonts w:eastAsia="Times New Roman" w:cs="Arial"/>
          <w:color w:val="000000"/>
          <w:sz w:val="22"/>
          <w:szCs w:val="22"/>
          <w:lang w:eastAsia="en-GB"/>
        </w:rPr>
        <w:t xml:space="preserve"> </w:t>
      </w:r>
    </w:p>
    <w:p w14:paraId="3642DF6A" w14:textId="77777777" w:rsidR="00AF2A22" w:rsidRPr="00AF2A22" w:rsidRDefault="00AF2A22" w:rsidP="00AF2A22">
      <w:pPr>
        <w:jc w:val="both"/>
        <w:textAlignment w:val="baseline"/>
        <w:rPr>
          <w:rFonts w:eastAsia="Times New Roman" w:cs="Arial"/>
          <w:sz w:val="22"/>
          <w:szCs w:val="22"/>
          <w:lang w:eastAsia="en-GB"/>
        </w:rPr>
      </w:pPr>
      <w:r w:rsidRPr="00AF2A22">
        <w:rPr>
          <w:rFonts w:eastAsia="Times New Roman" w:cs="Arial"/>
          <w:sz w:val="22"/>
          <w:szCs w:val="22"/>
          <w:lang w:eastAsia="en-GB"/>
        </w:rPr>
        <w:t> </w:t>
      </w:r>
    </w:p>
    <w:p w14:paraId="3E81C963" w14:textId="05AF29A1" w:rsidR="00AF2A22" w:rsidRPr="00AF2A22" w:rsidRDefault="00AF2A22" w:rsidP="00AF2A22">
      <w:pPr>
        <w:jc w:val="both"/>
        <w:textAlignment w:val="baseline"/>
        <w:rPr>
          <w:rFonts w:eastAsia="Times New Roman" w:cs="Arial"/>
          <w:sz w:val="22"/>
          <w:szCs w:val="22"/>
          <w:lang w:eastAsia="en-GB"/>
        </w:rPr>
      </w:pPr>
      <w:r w:rsidRPr="00AF2A22">
        <w:rPr>
          <w:rFonts w:eastAsia="Times New Roman" w:cs="Arial"/>
          <w:color w:val="000000"/>
          <w:sz w:val="22"/>
          <w:szCs w:val="22"/>
          <w:lang w:eastAsia="en-GB"/>
        </w:rPr>
        <w:t>Ci-Dev performed well in 2018 as it moved fully into implementation phase. Ci-Dev’s first Certified Emission Reduction (CER) issuances took place through three of its projects: in Burkina Faso (which was the first ever UN Clean Development Mechanism (CDM) issuance to take place in the country); Madagascar (which represented the first issuance of its type in the country); and Kenya. This suggests significant progress towards Ci-Dev’s aim to enhance LDC participation in carbon markets.</w:t>
      </w:r>
      <w:r w:rsidR="006F2FF1">
        <w:rPr>
          <w:rFonts w:eastAsia="Times New Roman" w:cs="Arial"/>
          <w:color w:val="000000"/>
          <w:sz w:val="22"/>
          <w:szCs w:val="22"/>
          <w:lang w:eastAsia="en-GB"/>
        </w:rPr>
        <w:t xml:space="preserve"> </w:t>
      </w:r>
    </w:p>
    <w:p w14:paraId="1417B9AD" w14:textId="77777777" w:rsidR="00AF2A22" w:rsidRPr="00AF2A22" w:rsidRDefault="00AF2A22" w:rsidP="00AF2A22">
      <w:pPr>
        <w:jc w:val="both"/>
        <w:textAlignment w:val="baseline"/>
        <w:rPr>
          <w:rFonts w:eastAsia="Times New Roman" w:cs="Arial"/>
          <w:sz w:val="22"/>
          <w:szCs w:val="22"/>
          <w:lang w:eastAsia="en-GB"/>
        </w:rPr>
      </w:pPr>
      <w:r w:rsidRPr="00AF2A22">
        <w:rPr>
          <w:rFonts w:eastAsia="Times New Roman" w:cs="Arial"/>
          <w:sz w:val="22"/>
          <w:szCs w:val="22"/>
          <w:lang w:eastAsia="en-GB"/>
        </w:rPr>
        <w:t> </w:t>
      </w:r>
    </w:p>
    <w:p w14:paraId="6D3AEC19" w14:textId="4B9A0575" w:rsidR="00AF2A22" w:rsidRPr="00AF2A22" w:rsidRDefault="00AF2A22" w:rsidP="00AF2A22">
      <w:pPr>
        <w:jc w:val="both"/>
        <w:textAlignment w:val="baseline"/>
        <w:rPr>
          <w:rFonts w:eastAsia="Times New Roman" w:cs="Arial"/>
          <w:sz w:val="22"/>
          <w:szCs w:val="22"/>
          <w:lang w:eastAsia="en-GB"/>
        </w:rPr>
      </w:pPr>
      <w:r w:rsidRPr="00AF2A22">
        <w:rPr>
          <w:rFonts w:eastAsia="Times New Roman" w:cs="Arial"/>
          <w:color w:val="000000"/>
          <w:sz w:val="22"/>
          <w:szCs w:val="22"/>
          <w:lang w:eastAsia="en-GB"/>
        </w:rPr>
        <w:t>An eleventh commercial agreement, called an Emission Reduction Purchase Agreement (ERPA), was signed for the Kenya Solar Lighting project in August 2018, and a twelfth, for Kenya Micro Hydro, is complete and was signed at March’s One Planet Conference in Nairobi. This means the UK’s commitment to the Carbon Fund is effectively fully committed</w:t>
      </w:r>
      <w:r w:rsidRPr="00AF2A22">
        <w:rPr>
          <w:rFonts w:eastAsia="Times New Roman" w:cs="Arial"/>
          <w:color w:val="000000"/>
          <w:sz w:val="17"/>
          <w:szCs w:val="17"/>
          <w:vertAlign w:val="superscript"/>
          <w:lang w:eastAsia="en-GB"/>
        </w:rPr>
        <w:t>2</w:t>
      </w:r>
      <w:r w:rsidRPr="00AF2A22">
        <w:rPr>
          <w:rFonts w:eastAsia="Times New Roman" w:cs="Arial"/>
          <w:color w:val="000000"/>
          <w:sz w:val="22"/>
          <w:szCs w:val="22"/>
          <w:lang w:eastAsia="en-GB"/>
        </w:rPr>
        <w:t>.</w:t>
      </w:r>
      <w:r w:rsidR="006F2FF1">
        <w:rPr>
          <w:rFonts w:eastAsia="Times New Roman" w:cs="Arial"/>
          <w:color w:val="000000"/>
          <w:sz w:val="22"/>
          <w:szCs w:val="22"/>
          <w:lang w:eastAsia="en-GB"/>
        </w:rPr>
        <w:t xml:space="preserve"> </w:t>
      </w:r>
    </w:p>
    <w:p w14:paraId="08807B83" w14:textId="77777777" w:rsidR="00AF2A22" w:rsidRPr="00AF2A22" w:rsidRDefault="00AF2A22" w:rsidP="00AF2A22">
      <w:pPr>
        <w:jc w:val="both"/>
        <w:textAlignment w:val="baseline"/>
        <w:rPr>
          <w:rFonts w:eastAsia="Times New Roman" w:cs="Arial"/>
          <w:sz w:val="22"/>
          <w:szCs w:val="22"/>
          <w:lang w:eastAsia="en-GB"/>
        </w:rPr>
      </w:pPr>
      <w:r w:rsidRPr="00AF2A22">
        <w:rPr>
          <w:rFonts w:eastAsia="Times New Roman" w:cs="Arial"/>
          <w:sz w:val="22"/>
          <w:szCs w:val="22"/>
          <w:lang w:eastAsia="en-GB"/>
        </w:rPr>
        <w:t> </w:t>
      </w:r>
    </w:p>
    <w:p w14:paraId="440F10F4" w14:textId="44208AB6" w:rsidR="00AF2A22" w:rsidRPr="00AF2A22" w:rsidRDefault="00AF2A22" w:rsidP="00AF2A22">
      <w:pPr>
        <w:jc w:val="both"/>
        <w:textAlignment w:val="baseline"/>
        <w:rPr>
          <w:rFonts w:eastAsia="Times New Roman" w:cs="Arial"/>
          <w:sz w:val="22"/>
          <w:szCs w:val="22"/>
          <w:lang w:eastAsia="en-GB"/>
        </w:rPr>
      </w:pPr>
      <w:r w:rsidRPr="00AF2A22">
        <w:rPr>
          <w:rFonts w:eastAsia="Times New Roman" w:cs="Arial"/>
          <w:color w:val="000000"/>
          <w:sz w:val="22"/>
          <w:szCs w:val="22"/>
          <w:lang w:eastAsia="en-GB"/>
        </w:rPr>
        <w:t>New implementation and delivery databases developed by the Trustee</w:t>
      </w:r>
      <w:r w:rsidRPr="00AF2A22">
        <w:rPr>
          <w:rFonts w:eastAsia="Times New Roman" w:cs="Arial"/>
          <w:color w:val="000000"/>
          <w:sz w:val="17"/>
          <w:szCs w:val="17"/>
          <w:vertAlign w:val="superscript"/>
          <w:lang w:eastAsia="en-GB"/>
        </w:rPr>
        <w:t>3</w:t>
      </w:r>
      <w:r w:rsidRPr="00AF2A22">
        <w:rPr>
          <w:rFonts w:eastAsia="Times New Roman" w:cs="Arial"/>
          <w:color w:val="000000"/>
          <w:sz w:val="22"/>
          <w:szCs w:val="22"/>
          <w:lang w:eastAsia="en-GB"/>
        </w:rPr>
        <w:t> have enhanced project-level transparency, and informed a thorough Logframe review carried out by BEIS and the Trustee in September 2018. This means that targets now reflect the programme’s move to implementation phase. They are based on the selected portfolio rather than business case projections and are in some cases quite stretching compared to historical benchmarks.</w:t>
      </w:r>
      <w:r w:rsidR="006F2FF1">
        <w:rPr>
          <w:rFonts w:eastAsia="Times New Roman" w:cs="Arial"/>
          <w:color w:val="000000"/>
          <w:sz w:val="22"/>
          <w:szCs w:val="22"/>
          <w:lang w:eastAsia="en-GB"/>
        </w:rPr>
        <w:t xml:space="preserve"> </w:t>
      </w:r>
    </w:p>
    <w:p w14:paraId="110A3B9B" w14:textId="77777777" w:rsidR="00AF2A22" w:rsidRPr="00AF2A22" w:rsidRDefault="00AF2A22" w:rsidP="00AF2A22">
      <w:pPr>
        <w:jc w:val="both"/>
        <w:textAlignment w:val="baseline"/>
        <w:rPr>
          <w:rFonts w:eastAsia="Times New Roman" w:cs="Arial"/>
          <w:sz w:val="22"/>
          <w:szCs w:val="22"/>
          <w:lang w:eastAsia="en-GB"/>
        </w:rPr>
      </w:pPr>
      <w:r w:rsidRPr="00AF2A22">
        <w:rPr>
          <w:rFonts w:eastAsia="Times New Roman" w:cs="Arial"/>
          <w:sz w:val="22"/>
          <w:szCs w:val="22"/>
          <w:lang w:eastAsia="en-GB"/>
        </w:rPr>
        <w:t> </w:t>
      </w:r>
    </w:p>
    <w:p w14:paraId="509D706A" w14:textId="77777777" w:rsidR="00AF2A22" w:rsidRPr="00AF2A22" w:rsidRDefault="00AF2A22" w:rsidP="00AF2A22">
      <w:pPr>
        <w:jc w:val="both"/>
        <w:textAlignment w:val="baseline"/>
        <w:rPr>
          <w:rFonts w:eastAsia="Times New Roman" w:cs="Arial"/>
          <w:sz w:val="22"/>
          <w:szCs w:val="22"/>
          <w:lang w:eastAsia="en-GB"/>
        </w:rPr>
      </w:pPr>
      <w:r w:rsidRPr="00AF2A22">
        <w:rPr>
          <w:rFonts w:eastAsia="Times New Roman" w:cs="Arial"/>
          <w:color w:val="000000"/>
          <w:sz w:val="22"/>
          <w:szCs w:val="22"/>
          <w:lang w:eastAsia="en-GB"/>
        </w:rPr>
        <w:t>Over the review period, Ci-Dev has continued to conduct relevant research, and to capture and disseminate lessons from the programme through its Knowledge Management Work Programme. </w:t>
      </w:r>
      <w:r w:rsidRPr="00AF2A22">
        <w:rPr>
          <w:rFonts w:eastAsia="Times New Roman" w:cs="Arial"/>
          <w:sz w:val="22"/>
          <w:szCs w:val="22"/>
          <w:lang w:eastAsia="en-GB"/>
        </w:rPr>
        <w:t>Activities included </w:t>
      </w:r>
      <w:r w:rsidRPr="00AF2A22">
        <w:rPr>
          <w:rFonts w:eastAsia="Times New Roman" w:cs="Arial"/>
          <w:color w:val="000000"/>
          <w:sz w:val="22"/>
          <w:szCs w:val="22"/>
          <w:lang w:eastAsia="en-GB"/>
        </w:rPr>
        <w:t>outreach at three international events (Innovate 4 Climate; Carbon Forward Conference; and the Clean Cooking Investment Forum), five workshops (in Kenya, Germany (2), Senegal and Rwanda), five reports and a prominent article in Carbon Mechanisms Review</w:t>
      </w:r>
      <w:r w:rsidRPr="00AF2A22">
        <w:rPr>
          <w:rFonts w:eastAsia="Times New Roman" w:cs="Arial"/>
          <w:color w:val="000000"/>
          <w:sz w:val="17"/>
          <w:szCs w:val="17"/>
          <w:vertAlign w:val="superscript"/>
          <w:lang w:eastAsia="en-GB"/>
        </w:rPr>
        <w:t>4</w:t>
      </w:r>
      <w:r w:rsidRPr="00AF2A22">
        <w:rPr>
          <w:rFonts w:eastAsia="Times New Roman" w:cs="Arial"/>
          <w:color w:val="000000"/>
          <w:sz w:val="22"/>
          <w:szCs w:val="22"/>
          <w:lang w:eastAsia="en-GB"/>
        </w:rPr>
        <w:t>. BEIS had a good opportunity to influence the Knowledge Management approach for 2019.</w:t>
      </w:r>
      <w:r w:rsidRPr="00AF2A22">
        <w:rPr>
          <w:rFonts w:eastAsia="Times New Roman" w:cs="Arial"/>
          <w:sz w:val="22"/>
          <w:szCs w:val="22"/>
          <w:lang w:eastAsia="en-GB"/>
        </w:rPr>
        <w:t> </w:t>
      </w:r>
    </w:p>
    <w:p w14:paraId="42EE7ACF" w14:textId="77777777" w:rsidR="00AF2A22" w:rsidRPr="00AF2A22" w:rsidRDefault="00AF2A22" w:rsidP="00AF2A22">
      <w:pPr>
        <w:jc w:val="both"/>
        <w:textAlignment w:val="baseline"/>
        <w:rPr>
          <w:rFonts w:eastAsia="Times New Roman" w:cs="Arial"/>
          <w:sz w:val="22"/>
          <w:szCs w:val="22"/>
          <w:lang w:eastAsia="en-GB"/>
        </w:rPr>
      </w:pPr>
      <w:r w:rsidRPr="00AF2A22">
        <w:rPr>
          <w:rFonts w:eastAsia="Times New Roman" w:cs="Arial"/>
          <w:sz w:val="22"/>
          <w:szCs w:val="22"/>
          <w:lang w:eastAsia="en-GB"/>
        </w:rPr>
        <w:t> </w:t>
      </w:r>
    </w:p>
    <w:p w14:paraId="51EA2B0B" w14:textId="6523B8D0" w:rsidR="00AF2A22" w:rsidRPr="00AF2A22" w:rsidRDefault="00AF2A22" w:rsidP="00AF2A22">
      <w:pPr>
        <w:jc w:val="both"/>
        <w:textAlignment w:val="baseline"/>
        <w:rPr>
          <w:rFonts w:eastAsia="Times New Roman" w:cs="Arial"/>
          <w:sz w:val="22"/>
          <w:szCs w:val="22"/>
          <w:lang w:eastAsia="en-GB"/>
        </w:rPr>
      </w:pPr>
      <w:r w:rsidRPr="00AF2A22">
        <w:rPr>
          <w:rFonts w:eastAsia="Times New Roman" w:cs="Arial"/>
          <w:color w:val="000000"/>
          <w:sz w:val="22"/>
          <w:szCs w:val="22"/>
          <w:lang w:eastAsia="en-GB"/>
        </w:rPr>
        <w:t>The Independent First Evaluation (FE) was finalised in July 2018. The Trustee’s efforts to help complete this report were recognised in the previous (delayed) Annual Review, and its conclusions and recommendations were incorporated into that Review’s recommendations. </w:t>
      </w:r>
      <w:r w:rsidRPr="00AF2A22">
        <w:rPr>
          <w:rFonts w:eastAsia="Times New Roman" w:cs="Arial"/>
          <w:sz w:val="22"/>
          <w:szCs w:val="22"/>
          <w:lang w:eastAsia="en-GB"/>
        </w:rPr>
        <w:t xml:space="preserve">In the second half of 2018, the Trustee helped BEIS and the evaluators, LTS, to set up the second independent evaluation by securing </w:t>
      </w:r>
      <w:r w:rsidRPr="00AF2A22">
        <w:rPr>
          <w:rFonts w:eastAsia="Times New Roman" w:cs="Arial"/>
          <w:sz w:val="22"/>
          <w:szCs w:val="22"/>
          <w:lang w:eastAsia="en-GB"/>
        </w:rPr>
        <w:lastRenderedPageBreak/>
        <w:t>outstanding agreement from all Project Entities (PEs) to grant access to the documents and people the evaluators need.</w:t>
      </w:r>
      <w:r w:rsidR="006F2FF1">
        <w:rPr>
          <w:rFonts w:eastAsia="Times New Roman" w:cs="Arial"/>
          <w:sz w:val="22"/>
          <w:szCs w:val="22"/>
          <w:lang w:eastAsia="en-GB"/>
        </w:rPr>
        <w:t xml:space="preserve"> </w:t>
      </w:r>
    </w:p>
    <w:p w14:paraId="1F8228A7" w14:textId="77777777" w:rsidR="00AF2A22" w:rsidRPr="00AF2A22" w:rsidRDefault="00AF2A22" w:rsidP="00AF2A22">
      <w:pPr>
        <w:jc w:val="both"/>
        <w:textAlignment w:val="baseline"/>
        <w:rPr>
          <w:rFonts w:eastAsia="Times New Roman" w:cs="Arial"/>
          <w:sz w:val="22"/>
          <w:szCs w:val="22"/>
          <w:lang w:eastAsia="en-GB"/>
        </w:rPr>
      </w:pPr>
      <w:r w:rsidRPr="00AF2A22">
        <w:rPr>
          <w:rFonts w:eastAsia="Times New Roman" w:cs="Arial"/>
          <w:sz w:val="22"/>
          <w:szCs w:val="22"/>
          <w:lang w:eastAsia="en-GB"/>
        </w:rPr>
        <w:t> </w:t>
      </w:r>
    </w:p>
    <w:p w14:paraId="5F5E5879" w14:textId="17D48F61" w:rsidR="00AF2A22" w:rsidRDefault="00AF2A22" w:rsidP="00AF2A22">
      <w:pPr>
        <w:jc w:val="both"/>
        <w:textAlignment w:val="baseline"/>
        <w:rPr>
          <w:rFonts w:eastAsia="Times New Roman" w:cs="Arial"/>
          <w:sz w:val="22"/>
          <w:szCs w:val="22"/>
          <w:lang w:eastAsia="en-GB"/>
        </w:rPr>
      </w:pPr>
      <w:r w:rsidRPr="00AF2A22">
        <w:rPr>
          <w:rFonts w:eastAsia="Times New Roman" w:cs="Arial"/>
          <w:sz w:val="22"/>
          <w:szCs w:val="22"/>
          <w:lang w:eastAsia="en-GB"/>
        </w:rPr>
        <w:t>Finally, the Trustee continued work on its transition strategy, producing a post-2020 Ci-Dev portfolio transition report (Part 2). However, the lack of agreement to guidance on carbon markets during COP24 in December 2018 means there is still significant uncertainty as to what the international rules governing co-operative approaches will be.</w:t>
      </w:r>
      <w:r w:rsidR="006F2FF1">
        <w:rPr>
          <w:rFonts w:eastAsia="Times New Roman" w:cs="Arial"/>
          <w:sz w:val="22"/>
          <w:szCs w:val="22"/>
          <w:lang w:eastAsia="en-GB"/>
        </w:rPr>
        <w:t xml:space="preserve"> </w:t>
      </w:r>
    </w:p>
    <w:p w14:paraId="35441CC6" w14:textId="77777777" w:rsidR="00673030" w:rsidRPr="00AF2A22" w:rsidRDefault="00673030" w:rsidP="00AF2A22">
      <w:pPr>
        <w:jc w:val="both"/>
        <w:textAlignment w:val="baseline"/>
        <w:rPr>
          <w:rFonts w:eastAsia="Times New Roman" w:cs="Arial"/>
          <w:sz w:val="22"/>
          <w:szCs w:val="22"/>
          <w:lang w:eastAsia="en-GB"/>
        </w:rPr>
      </w:pPr>
    </w:p>
    <w:p w14:paraId="4174F093" w14:textId="54AE42AB" w:rsidR="00AF2A22" w:rsidRDefault="00AF2A22" w:rsidP="00AF2A22">
      <w:pPr>
        <w:textAlignment w:val="baseline"/>
        <w:rPr>
          <w:rFonts w:eastAsia="Times New Roman" w:cs="Arial"/>
          <w:b/>
          <w:bCs/>
          <w:color w:val="4F81BD"/>
          <w:sz w:val="22"/>
          <w:szCs w:val="22"/>
          <w:lang w:eastAsia="en-GB"/>
        </w:rPr>
      </w:pPr>
      <w:r w:rsidRPr="00AF2A22">
        <w:rPr>
          <w:rFonts w:eastAsia="Times New Roman" w:cs="Arial"/>
          <w:color w:val="000000"/>
          <w:sz w:val="22"/>
          <w:szCs w:val="22"/>
          <w:lang w:eastAsia="en-GB"/>
        </w:rPr>
        <w:t>The fund’s expected Outcome is “</w:t>
      </w:r>
      <w:r w:rsidRPr="00AF2A22">
        <w:rPr>
          <w:rFonts w:eastAsia="Times New Roman" w:cs="Arial"/>
          <w:i/>
          <w:iCs/>
          <w:color w:val="000000"/>
          <w:sz w:val="22"/>
          <w:szCs w:val="22"/>
          <w:lang w:eastAsia="en-GB"/>
        </w:rPr>
        <w:t>Increased carbon finance flows to poor countries for low carbon energy and other poverty reducing technologies”</w:t>
      </w:r>
      <w:r w:rsidRPr="00AF2A22">
        <w:rPr>
          <w:rFonts w:eastAsia="Times New Roman" w:cs="Arial"/>
          <w:color w:val="000000"/>
          <w:sz w:val="22"/>
          <w:szCs w:val="22"/>
          <w:lang w:eastAsia="en-GB"/>
        </w:rPr>
        <w:t>. The fund is meeting or slightly exceeding targets for three of its four Outcomes, with performance against the fourth slightly below target.</w:t>
      </w:r>
      <w:r w:rsidR="006F2FF1">
        <w:rPr>
          <w:rFonts w:eastAsia="Times New Roman" w:cs="Arial"/>
          <w:color w:val="000000"/>
          <w:sz w:val="22"/>
          <w:szCs w:val="22"/>
          <w:lang w:eastAsia="en-GB"/>
        </w:rPr>
        <w:t xml:space="preserve"> </w:t>
      </w:r>
    </w:p>
    <w:p w14:paraId="458126C5" w14:textId="77777777" w:rsidR="00673030" w:rsidRPr="00AF2A22" w:rsidRDefault="00673030" w:rsidP="00AF2A22">
      <w:pPr>
        <w:textAlignment w:val="baseline"/>
        <w:rPr>
          <w:rFonts w:eastAsia="Times New Roman" w:cs="Arial"/>
          <w:b/>
          <w:bCs/>
          <w:color w:val="4F81BD"/>
          <w:sz w:val="22"/>
          <w:szCs w:val="22"/>
          <w:lang w:eastAsia="en-GB"/>
        </w:rPr>
      </w:pPr>
    </w:p>
    <w:p w14:paraId="3E3E1058" w14:textId="0F6E38E3" w:rsidR="00AF2A22" w:rsidRPr="00AF2A22" w:rsidRDefault="00AF2A22" w:rsidP="00AF2A22">
      <w:pPr>
        <w:textAlignment w:val="baseline"/>
        <w:rPr>
          <w:rFonts w:eastAsia="Times New Roman" w:cs="Arial"/>
          <w:b/>
          <w:bCs/>
          <w:color w:val="4F81BD"/>
          <w:sz w:val="22"/>
          <w:szCs w:val="22"/>
          <w:lang w:eastAsia="en-GB"/>
        </w:rPr>
      </w:pPr>
      <w:r w:rsidRPr="00AF2A22">
        <w:rPr>
          <w:rFonts w:eastAsia="Times New Roman" w:cs="Arial"/>
          <w:color w:val="000000"/>
          <w:sz w:val="22"/>
          <w:szCs w:val="22"/>
          <w:lang w:eastAsia="en-GB"/>
        </w:rPr>
        <w:t>Generally, it is meeting targets in its four Outputs, with the exception of two indicators: Indicator 1.2 - median % of energy access technologies distributed annually, which is missing the logframe target but meeting our expectations, based on the context provided (see narrative accompanying output scoring); and Indicator 1.3 – mean % of MtCO2e reductions realised annually, which is missing both the target and expectations. The Trustee thoroughly addressed the recommendations made by the previous BEIS review, and over this review period, scores ‘A: Outputs met Expectation’.</w:t>
      </w:r>
      <w:r w:rsidR="006F2FF1">
        <w:rPr>
          <w:rFonts w:eastAsia="Times New Roman" w:cs="Arial"/>
          <w:color w:val="000000"/>
          <w:sz w:val="22"/>
          <w:szCs w:val="22"/>
          <w:lang w:eastAsia="en-GB"/>
        </w:rPr>
        <w:t xml:space="preserve"> </w:t>
      </w:r>
    </w:p>
    <w:p w14:paraId="6E05CABF" w14:textId="77777777" w:rsidR="00AF2A22" w:rsidRPr="00AF2A22" w:rsidRDefault="00AF2A22" w:rsidP="00AF2A22">
      <w:pPr>
        <w:textAlignment w:val="baseline"/>
        <w:rPr>
          <w:rFonts w:eastAsia="Times New Roman" w:cs="Arial"/>
          <w:sz w:val="22"/>
          <w:szCs w:val="22"/>
          <w:lang w:eastAsia="en-GB"/>
        </w:rPr>
      </w:pPr>
      <w:r w:rsidRPr="00AF2A22">
        <w:rPr>
          <w:rFonts w:eastAsia="Times New Roman" w:cs="Arial"/>
          <w:sz w:val="22"/>
          <w:szCs w:val="22"/>
          <w:lang w:eastAsia="en-GB"/>
        </w:rPr>
        <w:t> </w:t>
      </w:r>
    </w:p>
    <w:p w14:paraId="6F3FE5DD" w14:textId="77777777" w:rsidR="00AF2A22" w:rsidRPr="00AF2A22" w:rsidRDefault="00AF2A22" w:rsidP="00AF2A22">
      <w:pPr>
        <w:textAlignment w:val="baseline"/>
        <w:rPr>
          <w:rFonts w:eastAsia="Times New Roman" w:cs="Arial"/>
          <w:sz w:val="22"/>
          <w:szCs w:val="22"/>
          <w:lang w:eastAsia="en-GB"/>
        </w:rPr>
      </w:pPr>
      <w:r w:rsidRPr="00AF2A22">
        <w:rPr>
          <w:rFonts w:eastAsia="Times New Roman" w:cs="Arial"/>
          <w:sz w:val="22"/>
          <w:szCs w:val="22"/>
          <w:lang w:eastAsia="en-GB"/>
        </w:rPr>
        <w:t>This year we make five recommendations for 2019: </w:t>
      </w:r>
    </w:p>
    <w:p w14:paraId="01623F75" w14:textId="77777777" w:rsidR="00AF2A22" w:rsidRPr="00AF2A22" w:rsidRDefault="00AF2A22" w:rsidP="00AF2A22">
      <w:pPr>
        <w:textAlignment w:val="baseline"/>
        <w:rPr>
          <w:rFonts w:eastAsia="Times New Roman" w:cs="Arial"/>
          <w:sz w:val="22"/>
          <w:szCs w:val="22"/>
          <w:lang w:eastAsia="en-GB"/>
        </w:rPr>
      </w:pPr>
      <w:r w:rsidRPr="00AF2A22">
        <w:rPr>
          <w:rFonts w:eastAsia="Times New Roman" w:cs="Arial"/>
          <w:sz w:val="22"/>
          <w:szCs w:val="22"/>
          <w:lang w:eastAsia="en-GB"/>
        </w:rPr>
        <w:t> </w:t>
      </w:r>
    </w:p>
    <w:p w14:paraId="31291BD5" w14:textId="72B55732" w:rsidR="00AF2A22" w:rsidRPr="00AF2A22" w:rsidRDefault="00AF2A22" w:rsidP="00AF2A22">
      <w:pPr>
        <w:numPr>
          <w:ilvl w:val="0"/>
          <w:numId w:val="20"/>
        </w:numPr>
        <w:ind w:left="360" w:firstLine="0"/>
        <w:textAlignment w:val="baseline"/>
        <w:rPr>
          <w:rFonts w:eastAsia="Times New Roman" w:cs="Arial"/>
          <w:sz w:val="22"/>
          <w:szCs w:val="22"/>
          <w:lang w:eastAsia="en-GB"/>
        </w:rPr>
      </w:pPr>
      <w:r w:rsidRPr="00AF2A22">
        <w:rPr>
          <w:rFonts w:eastAsia="Times New Roman" w:cs="Arial"/>
          <w:sz w:val="22"/>
          <w:szCs w:val="22"/>
          <w:lang w:eastAsia="en-GB"/>
        </w:rPr>
        <w:t xml:space="preserve">BEIS and the </w:t>
      </w:r>
      <w:r w:rsidR="00632C9E">
        <w:rPr>
          <w:rFonts w:eastAsia="Times New Roman" w:cs="Arial"/>
          <w:sz w:val="22"/>
          <w:szCs w:val="22"/>
          <w:lang w:eastAsia="en-GB"/>
        </w:rPr>
        <w:t>Trustee</w:t>
      </w:r>
      <w:r w:rsidRPr="00AF2A22">
        <w:rPr>
          <w:rFonts w:eastAsia="Times New Roman" w:cs="Arial"/>
          <w:sz w:val="22"/>
          <w:szCs w:val="22"/>
          <w:lang w:eastAsia="en-GB"/>
        </w:rPr>
        <w:t xml:space="preserve"> should work together to review and update the Logframe impact indicators. [by Aug 2019] </w:t>
      </w:r>
    </w:p>
    <w:p w14:paraId="111D9A4B" w14:textId="562AC4EA" w:rsidR="00AF2A22" w:rsidRPr="00AF2A22" w:rsidRDefault="00AF2A22" w:rsidP="00AF2A22">
      <w:pPr>
        <w:numPr>
          <w:ilvl w:val="0"/>
          <w:numId w:val="21"/>
        </w:numPr>
        <w:ind w:left="360" w:firstLine="0"/>
        <w:textAlignment w:val="baseline"/>
        <w:rPr>
          <w:rFonts w:eastAsia="Times New Roman" w:cs="Arial"/>
          <w:sz w:val="22"/>
          <w:szCs w:val="22"/>
          <w:lang w:eastAsia="en-GB"/>
        </w:rPr>
      </w:pPr>
      <w:r w:rsidRPr="00AF2A22">
        <w:rPr>
          <w:rFonts w:eastAsia="Times New Roman" w:cs="Arial"/>
          <w:sz w:val="22"/>
          <w:szCs w:val="22"/>
          <w:lang w:eastAsia="en-GB"/>
        </w:rPr>
        <w:t xml:space="preserve">The </w:t>
      </w:r>
      <w:r w:rsidR="00632C9E">
        <w:rPr>
          <w:rFonts w:eastAsia="Times New Roman" w:cs="Arial"/>
          <w:sz w:val="22"/>
          <w:szCs w:val="22"/>
          <w:lang w:eastAsia="en-GB"/>
        </w:rPr>
        <w:t>Trustee</w:t>
      </w:r>
      <w:r w:rsidRPr="00AF2A22">
        <w:rPr>
          <w:rFonts w:eastAsia="Times New Roman" w:cs="Arial"/>
          <w:sz w:val="22"/>
          <w:szCs w:val="22"/>
          <w:lang w:eastAsia="en-GB"/>
        </w:rPr>
        <w:t xml:space="preserve"> should engage early with BEIS on any development of a Ci-Dev successor programme and allow opportunities to influence its design. [through 2019] </w:t>
      </w:r>
    </w:p>
    <w:p w14:paraId="37B4DB0B" w14:textId="313ACAF2" w:rsidR="00AF2A22" w:rsidRPr="00AF2A22" w:rsidRDefault="00AF2A22" w:rsidP="00AF2A22">
      <w:pPr>
        <w:numPr>
          <w:ilvl w:val="0"/>
          <w:numId w:val="22"/>
        </w:numPr>
        <w:ind w:left="360" w:firstLine="0"/>
        <w:textAlignment w:val="baseline"/>
        <w:rPr>
          <w:rFonts w:eastAsia="Times New Roman" w:cs="Arial"/>
          <w:sz w:val="22"/>
          <w:szCs w:val="22"/>
          <w:lang w:eastAsia="en-GB"/>
        </w:rPr>
      </w:pPr>
      <w:r w:rsidRPr="00AF2A22">
        <w:rPr>
          <w:rFonts w:eastAsia="Times New Roman" w:cs="Arial"/>
          <w:sz w:val="22"/>
          <w:szCs w:val="22"/>
          <w:lang w:eastAsia="en-GB"/>
        </w:rPr>
        <w:t xml:space="preserve">The </w:t>
      </w:r>
      <w:r w:rsidR="00632C9E">
        <w:rPr>
          <w:rFonts w:eastAsia="Times New Roman" w:cs="Arial"/>
          <w:sz w:val="22"/>
          <w:szCs w:val="22"/>
          <w:lang w:eastAsia="en-GB"/>
        </w:rPr>
        <w:t>Trustee</w:t>
      </w:r>
      <w:r w:rsidRPr="00AF2A22">
        <w:rPr>
          <w:rFonts w:eastAsia="Times New Roman" w:cs="Arial"/>
          <w:sz w:val="22"/>
          <w:szCs w:val="22"/>
          <w:lang w:eastAsia="en-GB"/>
        </w:rPr>
        <w:t xml:space="preserve"> should continue efforts to increase the disbursement rate</w:t>
      </w:r>
      <w:r w:rsidRPr="00AF2A22">
        <w:rPr>
          <w:rFonts w:eastAsia="Times New Roman" w:cs="Arial"/>
          <w:sz w:val="17"/>
          <w:szCs w:val="17"/>
          <w:vertAlign w:val="superscript"/>
          <w:lang w:eastAsia="en-GB"/>
        </w:rPr>
        <w:t>5</w:t>
      </w:r>
      <w:r w:rsidRPr="00AF2A22">
        <w:rPr>
          <w:rFonts w:eastAsia="Times New Roman" w:cs="Arial"/>
          <w:sz w:val="22"/>
          <w:szCs w:val="22"/>
          <w:lang w:eastAsia="en-GB"/>
        </w:rPr>
        <w:t> of the Readiness Fund so that the rate increases to at least 65% [by the 2020 Semi Annual meeting]</w:t>
      </w:r>
      <w:r w:rsidR="006F2FF1">
        <w:rPr>
          <w:rFonts w:eastAsia="Times New Roman" w:cs="Arial"/>
          <w:sz w:val="22"/>
          <w:szCs w:val="22"/>
          <w:lang w:eastAsia="en-GB"/>
        </w:rPr>
        <w:t xml:space="preserve"> </w:t>
      </w:r>
    </w:p>
    <w:p w14:paraId="30440223" w14:textId="79481C32" w:rsidR="00AF2A22" w:rsidRPr="00AF2A22" w:rsidRDefault="00AF2A22" w:rsidP="00AF2A22">
      <w:pPr>
        <w:numPr>
          <w:ilvl w:val="0"/>
          <w:numId w:val="23"/>
        </w:numPr>
        <w:ind w:left="360" w:firstLine="0"/>
        <w:textAlignment w:val="baseline"/>
        <w:rPr>
          <w:rFonts w:eastAsia="Times New Roman" w:cs="Arial"/>
          <w:sz w:val="22"/>
          <w:szCs w:val="22"/>
          <w:lang w:eastAsia="en-GB"/>
        </w:rPr>
      </w:pPr>
      <w:r w:rsidRPr="00AF2A22">
        <w:rPr>
          <w:rFonts w:eastAsia="Times New Roman" w:cs="Arial"/>
          <w:sz w:val="22"/>
          <w:szCs w:val="22"/>
          <w:lang w:eastAsia="en-GB"/>
        </w:rPr>
        <w:t xml:space="preserve">The </w:t>
      </w:r>
      <w:r w:rsidR="00632C9E">
        <w:rPr>
          <w:rFonts w:eastAsia="Times New Roman" w:cs="Arial"/>
          <w:sz w:val="22"/>
          <w:szCs w:val="22"/>
          <w:lang w:eastAsia="en-GB"/>
        </w:rPr>
        <w:t>Trustee</w:t>
      </w:r>
      <w:r w:rsidRPr="00AF2A22">
        <w:rPr>
          <w:rFonts w:eastAsia="Times New Roman" w:cs="Arial"/>
          <w:sz w:val="22"/>
          <w:szCs w:val="22"/>
          <w:lang w:eastAsia="en-GB"/>
        </w:rPr>
        <w:t xml:space="preserve"> should work with BEIS and the evaluators to help ensure that a robust, independent MTE is completed by end 2019. [through 2019] </w:t>
      </w:r>
    </w:p>
    <w:p w14:paraId="3C12BF4C" w14:textId="089A37CF" w:rsidR="00AF2A22" w:rsidRPr="00AF2A22" w:rsidRDefault="00AF2A22" w:rsidP="00AF2A22">
      <w:pPr>
        <w:numPr>
          <w:ilvl w:val="0"/>
          <w:numId w:val="24"/>
        </w:numPr>
        <w:ind w:left="360" w:firstLine="0"/>
        <w:textAlignment w:val="baseline"/>
        <w:rPr>
          <w:rFonts w:eastAsia="Times New Roman" w:cs="Arial"/>
          <w:sz w:val="22"/>
          <w:szCs w:val="22"/>
          <w:lang w:eastAsia="en-GB"/>
        </w:rPr>
      </w:pPr>
      <w:r w:rsidRPr="00AF2A22">
        <w:rPr>
          <w:rFonts w:eastAsia="Times New Roman" w:cs="Arial"/>
          <w:sz w:val="22"/>
          <w:szCs w:val="22"/>
          <w:lang w:eastAsia="en-GB"/>
        </w:rPr>
        <w:t xml:space="preserve">The </w:t>
      </w:r>
      <w:r w:rsidR="00632C9E">
        <w:rPr>
          <w:rFonts w:eastAsia="Times New Roman" w:cs="Arial"/>
          <w:sz w:val="22"/>
          <w:szCs w:val="22"/>
          <w:lang w:eastAsia="en-GB"/>
        </w:rPr>
        <w:t>Trustee</w:t>
      </w:r>
      <w:r w:rsidRPr="00AF2A22">
        <w:rPr>
          <w:rFonts w:eastAsia="Times New Roman" w:cs="Arial"/>
          <w:sz w:val="22"/>
          <w:szCs w:val="22"/>
          <w:lang w:eastAsia="en-GB"/>
        </w:rPr>
        <w:t xml:space="preserve"> should continue work on its transition strategy, building on its post-2020 Ci-Dev portfolio transition report to ensure the fund is prepared for potential outcomes from UNFCCC negotiations at COP25 and, through Knowledge Management activity, that potential host countries better understand the relationship between crediting activities and their NDCs [end 2019].</w:t>
      </w:r>
      <w:r w:rsidR="006F2FF1">
        <w:rPr>
          <w:rFonts w:eastAsia="Times New Roman" w:cs="Arial"/>
          <w:sz w:val="22"/>
          <w:szCs w:val="22"/>
          <w:lang w:eastAsia="en-GB"/>
        </w:rPr>
        <w:t xml:space="preserve"> </w:t>
      </w:r>
    </w:p>
    <w:p w14:paraId="4FF699D3" w14:textId="77777777" w:rsidR="00AF2A22" w:rsidRPr="00AF2A22" w:rsidRDefault="00AF2A22" w:rsidP="00AF2A22"/>
    <w:p w14:paraId="78E2EB1E" w14:textId="77777777" w:rsidR="00A31186" w:rsidRPr="009C144A" w:rsidRDefault="00A31186" w:rsidP="00365DC8">
      <w:pPr>
        <w:rPr>
          <w:rFonts w:cs="Arial"/>
          <w:b/>
          <w:bCs/>
          <w:color w:val="000000" w:themeColor="text1"/>
          <w:sz w:val="22"/>
          <w:szCs w:val="22"/>
          <w:u w:val="single"/>
        </w:rPr>
      </w:pPr>
    </w:p>
    <w:sectPr w:rsidR="00A31186" w:rsidRPr="009C144A" w:rsidSect="00DA112F">
      <w:headerReference w:type="even" r:id="rId17"/>
      <w:headerReference w:type="default" r:id="rId18"/>
      <w:footerReference w:type="even" r:id="rId19"/>
      <w:footerReference w:type="default" r:id="rId20"/>
      <w:headerReference w:type="first" r:id="rId21"/>
      <w:footerReference w:type="first" r:id="rId22"/>
      <w:pgSz w:w="11906" w:h="16838" w:code="9"/>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5E8F4" w14:textId="77777777" w:rsidR="00396F8D" w:rsidRDefault="00396F8D">
      <w:r>
        <w:separator/>
      </w:r>
    </w:p>
  </w:endnote>
  <w:endnote w:type="continuationSeparator" w:id="0">
    <w:p w14:paraId="49E5EA8B" w14:textId="77777777" w:rsidR="00396F8D" w:rsidRDefault="00396F8D">
      <w:r>
        <w:continuationSeparator/>
      </w:r>
    </w:p>
  </w:endnote>
  <w:endnote w:type="continuationNotice" w:id="1">
    <w:p w14:paraId="5008FE0F" w14:textId="77777777" w:rsidR="00396F8D" w:rsidRDefault="00396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C4629" w14:textId="77777777" w:rsidR="00C7543E" w:rsidRDefault="00C75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574539"/>
      <w:docPartObj>
        <w:docPartGallery w:val="Page Numbers (Bottom of Page)"/>
        <w:docPartUnique/>
      </w:docPartObj>
    </w:sdtPr>
    <w:sdtEndPr>
      <w:rPr>
        <w:noProof/>
      </w:rPr>
    </w:sdtEndPr>
    <w:sdtContent>
      <w:p w14:paraId="4AE3669F" w14:textId="77777777" w:rsidR="004D07A3" w:rsidRDefault="004D07A3">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10E4C50B" w14:textId="77777777" w:rsidR="004D07A3" w:rsidRPr="00AE1D30" w:rsidRDefault="004D07A3" w:rsidP="00AE1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2AF3D" w14:textId="77777777" w:rsidR="00C7543E" w:rsidRDefault="00C75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16DA8" w14:textId="77777777" w:rsidR="00396F8D" w:rsidRDefault="00396F8D">
      <w:r>
        <w:separator/>
      </w:r>
    </w:p>
  </w:footnote>
  <w:footnote w:type="continuationSeparator" w:id="0">
    <w:p w14:paraId="5607FD9D" w14:textId="77777777" w:rsidR="00396F8D" w:rsidRDefault="00396F8D">
      <w:r>
        <w:continuationSeparator/>
      </w:r>
    </w:p>
  </w:footnote>
  <w:footnote w:type="continuationNotice" w:id="1">
    <w:p w14:paraId="14409634" w14:textId="77777777" w:rsidR="00396F8D" w:rsidRDefault="00396F8D"/>
  </w:footnote>
  <w:footnote w:id="2">
    <w:p w14:paraId="3984BD14" w14:textId="4772811E" w:rsidR="0084518B" w:rsidRPr="0084518B" w:rsidRDefault="0084518B" w:rsidP="00F25E3A">
      <w:pPr>
        <w:pStyle w:val="CommentText"/>
        <w:rPr>
          <w:sz w:val="16"/>
          <w:szCs w:val="16"/>
        </w:rPr>
      </w:pPr>
      <w:r>
        <w:rPr>
          <w:rStyle w:val="FootnoteReference"/>
        </w:rPr>
        <w:footnoteRef/>
      </w:r>
      <w:r>
        <w:t xml:space="preserve"> </w:t>
      </w:r>
      <w:r>
        <w:rPr>
          <w:sz w:val="16"/>
          <w:szCs w:val="16"/>
        </w:rPr>
        <w:t xml:space="preserve">The UK’s 2013 business case </w:t>
      </w:r>
      <w:r w:rsidR="0035593D">
        <w:rPr>
          <w:sz w:val="16"/>
          <w:szCs w:val="16"/>
        </w:rPr>
        <w:t xml:space="preserve">refers to </w:t>
      </w:r>
      <w:r w:rsidR="00F74F2A">
        <w:rPr>
          <w:sz w:val="16"/>
          <w:szCs w:val="16"/>
        </w:rPr>
        <w:t>the</w:t>
      </w:r>
      <w:r>
        <w:rPr>
          <w:sz w:val="16"/>
          <w:szCs w:val="16"/>
        </w:rPr>
        <w:t xml:space="preserve"> ‘Carbon Market Finance’</w:t>
      </w:r>
      <w:r w:rsidR="0012141B">
        <w:rPr>
          <w:sz w:val="16"/>
          <w:szCs w:val="16"/>
        </w:rPr>
        <w:t xml:space="preserve"> </w:t>
      </w:r>
      <w:r w:rsidR="00F74F2A">
        <w:rPr>
          <w:sz w:val="16"/>
          <w:szCs w:val="16"/>
        </w:rPr>
        <w:t xml:space="preserve">programme. </w:t>
      </w:r>
      <w:r w:rsidR="00E8050E">
        <w:rPr>
          <w:sz w:val="16"/>
          <w:szCs w:val="16"/>
        </w:rPr>
        <w:t xml:space="preserve">The </w:t>
      </w:r>
      <w:r w:rsidR="00E8050E" w:rsidRPr="00F25E3A">
        <w:rPr>
          <w:sz w:val="16"/>
          <w:szCs w:val="16"/>
        </w:rPr>
        <w:t>name of the initiative that is being funded – Ci-Dev – is now the name that is being used by BEIS in its oversight of the Department’s contribution to the initiative.</w:t>
      </w:r>
    </w:p>
  </w:footnote>
  <w:footnote w:id="3">
    <w:p w14:paraId="6DCF0DBE" w14:textId="77777777" w:rsidR="004D07A3" w:rsidRPr="00B41D91" w:rsidRDefault="004D07A3" w:rsidP="00644E98">
      <w:pPr>
        <w:pStyle w:val="FootnoteText"/>
        <w:rPr>
          <w:sz w:val="16"/>
          <w:szCs w:val="16"/>
        </w:rPr>
      </w:pPr>
      <w:r w:rsidRPr="00581E6D">
        <w:rPr>
          <w:rStyle w:val="FootnoteReference"/>
          <w:sz w:val="16"/>
          <w:szCs w:val="16"/>
        </w:rPr>
        <w:footnoteRef/>
      </w:r>
      <w:r w:rsidRPr="00581E6D">
        <w:rPr>
          <w:sz w:val="16"/>
          <w:szCs w:val="16"/>
        </w:rPr>
        <w:t xml:space="preserve"> </w:t>
      </w:r>
      <w:r w:rsidRPr="00581E6D">
        <w:rPr>
          <w:rFonts w:cs="Arial"/>
          <w:color w:val="000000" w:themeColor="text1"/>
          <w:sz w:val="16"/>
          <w:szCs w:val="16"/>
        </w:rPr>
        <w:t xml:space="preserve">Carbon finance in this instance refers to paying for the emissions reductions of supported projects (in units of 1 tonne CO2 equivalent) that have been certified under the Clean Development Mechanism (CDM). </w:t>
      </w:r>
      <w:r w:rsidRPr="00581E6D">
        <w:rPr>
          <w:sz w:val="16"/>
          <w:szCs w:val="16"/>
        </w:rPr>
        <w:t>Under the CDM, emission-reduction projects in developing countries can earn certified emission reduction credits. These saleable credits can be used by industrialised countries to meet a part of their emissions reduction target under the Kyoto Protocol. However, b</w:t>
      </w:r>
      <w:r w:rsidRPr="00581E6D">
        <w:rPr>
          <w:rFonts w:cs="Arial"/>
          <w:sz w:val="16"/>
          <w:szCs w:val="16"/>
        </w:rPr>
        <w:t xml:space="preserve">ecause International Climate </w:t>
      </w:r>
      <w:r w:rsidRPr="00B41D91">
        <w:rPr>
          <w:rFonts w:cs="Arial"/>
          <w:sz w:val="16"/>
          <w:szCs w:val="16"/>
        </w:rPr>
        <w:t xml:space="preserve">Finance spend is classified as Official Development Assistance (ODA), all credits purchased by the UK will be cancelled and not used for compliance with UK greenhouse gas reduction targets. </w:t>
      </w:r>
    </w:p>
  </w:footnote>
  <w:footnote w:id="4">
    <w:p w14:paraId="060948FA" w14:textId="5123B641" w:rsidR="004D07A3" w:rsidRPr="000B2E3D" w:rsidRDefault="004D07A3" w:rsidP="000429F8">
      <w:pPr>
        <w:rPr>
          <w:rFonts w:ascii="Times New Roman" w:hAnsi="Times New Roman"/>
          <w:sz w:val="16"/>
          <w:szCs w:val="16"/>
          <w:lang w:eastAsia="en-GB"/>
        </w:rPr>
      </w:pPr>
      <w:r w:rsidRPr="000B2E3D">
        <w:rPr>
          <w:rStyle w:val="FootnoteReference"/>
          <w:sz w:val="16"/>
          <w:szCs w:val="16"/>
        </w:rPr>
        <w:footnoteRef/>
      </w:r>
      <w:r w:rsidRPr="000B2E3D">
        <w:rPr>
          <w:sz w:val="16"/>
          <w:szCs w:val="16"/>
        </w:rPr>
        <w:t xml:space="preserve"> All Ci-Dev projects are registered under the UN’s CDM - </w:t>
      </w:r>
      <w:hyperlink r:id="rId1" w:history="1">
        <w:r w:rsidRPr="000B2E3D">
          <w:rPr>
            <w:rStyle w:val="Hyperlink"/>
            <w:sz w:val="16"/>
            <w:szCs w:val="16"/>
          </w:rPr>
          <w:t>https://cdm.unfccc.int/</w:t>
        </w:r>
      </w:hyperlink>
    </w:p>
  </w:footnote>
  <w:footnote w:id="5">
    <w:p w14:paraId="0C7C3E16" w14:textId="180E8D74" w:rsidR="004D07A3" w:rsidRPr="000B2E3D" w:rsidRDefault="004D07A3" w:rsidP="000B2E3D">
      <w:pPr>
        <w:rPr>
          <w:rFonts w:ascii="Times New Roman" w:hAnsi="Times New Roman"/>
          <w:sz w:val="16"/>
          <w:szCs w:val="16"/>
          <w:lang w:eastAsia="en-GB"/>
        </w:rPr>
      </w:pPr>
      <w:r w:rsidRPr="000B2E3D">
        <w:rPr>
          <w:rStyle w:val="FootnoteReference"/>
          <w:sz w:val="16"/>
          <w:szCs w:val="16"/>
        </w:rPr>
        <w:footnoteRef/>
      </w:r>
      <w:r w:rsidRPr="000B2E3D">
        <w:rPr>
          <w:sz w:val="16"/>
          <w:szCs w:val="16"/>
        </w:rPr>
        <w:t xml:space="preserve"> Available at </w:t>
      </w:r>
      <w:hyperlink r:id="rId2" w:history="1">
        <w:r w:rsidRPr="000B2E3D">
          <w:rPr>
            <w:rStyle w:val="Hyperlink"/>
            <w:sz w:val="16"/>
            <w:szCs w:val="16"/>
          </w:rPr>
          <w:t>https://www.ci-dev.org/KnowledgeCenter</w:t>
        </w:r>
      </w:hyperlink>
      <w:r w:rsidRPr="000B2E3D">
        <w:rPr>
          <w:sz w:val="16"/>
          <w:szCs w:val="16"/>
        </w:rPr>
        <w:t xml:space="preserve"> - one of the three is an internal report and is not listed here</w:t>
      </w:r>
    </w:p>
  </w:footnote>
  <w:footnote w:id="6">
    <w:p w14:paraId="7D89A78F" w14:textId="57458D92" w:rsidR="004D07A3" w:rsidRPr="000B2E3D" w:rsidRDefault="004D07A3">
      <w:pPr>
        <w:pStyle w:val="FootnoteText"/>
        <w:rPr>
          <w:sz w:val="16"/>
          <w:szCs w:val="16"/>
        </w:rPr>
      </w:pPr>
      <w:r w:rsidRPr="000B2E3D">
        <w:rPr>
          <w:rStyle w:val="FootnoteReference"/>
          <w:sz w:val="16"/>
          <w:szCs w:val="16"/>
        </w:rPr>
        <w:footnoteRef/>
      </w:r>
      <w:r w:rsidRPr="000B2E3D">
        <w:rPr>
          <w:sz w:val="16"/>
          <w:szCs w:val="16"/>
        </w:rPr>
        <w:t xml:space="preserve"> Actual </w:t>
      </w:r>
      <w:r>
        <w:rPr>
          <w:sz w:val="16"/>
          <w:szCs w:val="16"/>
        </w:rPr>
        <w:t xml:space="preserve">disbursement made over 1 </w:t>
      </w:r>
      <w:r w:rsidRPr="000B2E3D">
        <w:rPr>
          <w:sz w:val="16"/>
          <w:szCs w:val="16"/>
        </w:rPr>
        <w:t>July 2019</w:t>
      </w:r>
      <w:r>
        <w:rPr>
          <w:sz w:val="16"/>
          <w:szCs w:val="16"/>
        </w:rPr>
        <w:t xml:space="preserve"> – 1 </w:t>
      </w:r>
      <w:r w:rsidRPr="000B2E3D">
        <w:rPr>
          <w:sz w:val="16"/>
          <w:szCs w:val="16"/>
        </w:rPr>
        <w:t>January 2020</w:t>
      </w:r>
      <w:r>
        <w:rPr>
          <w:sz w:val="16"/>
          <w:szCs w:val="16"/>
        </w:rPr>
        <w:t xml:space="preserve"> compared to planned disbursement from 1 July 2019 – 30 June 2020 </w:t>
      </w:r>
    </w:p>
  </w:footnote>
  <w:footnote w:id="7">
    <w:p w14:paraId="09CA0D8F" w14:textId="77777777" w:rsidR="004D07A3" w:rsidRPr="00A12E28" w:rsidRDefault="004D07A3">
      <w:pPr>
        <w:pStyle w:val="FootnoteText"/>
        <w:rPr>
          <w:sz w:val="18"/>
        </w:rPr>
      </w:pPr>
      <w:r>
        <w:rPr>
          <w:rStyle w:val="FootnoteReference"/>
        </w:rPr>
        <w:footnoteRef/>
      </w:r>
      <w:r>
        <w:t xml:space="preserve"> </w:t>
      </w:r>
      <w:r w:rsidRPr="00A12E28">
        <w:rPr>
          <w:sz w:val="16"/>
          <w:szCs w:val="18"/>
        </w:rPr>
        <w:t>The UK made its commitments in pounds sterling (GBP). Total Ci-Dev commitments have been calculated using the GBP:USD exchange rates on the days of UK signature of Ci-Dev legal agreements.</w:t>
      </w:r>
    </w:p>
  </w:footnote>
  <w:footnote w:id="8">
    <w:p w14:paraId="38A224D0" w14:textId="1CA9BE48" w:rsidR="004D07A3" w:rsidRDefault="004D07A3">
      <w:pPr>
        <w:pStyle w:val="FootnoteText"/>
      </w:pPr>
      <w:r w:rsidRPr="000B2E3D">
        <w:rPr>
          <w:rStyle w:val="FootnoteReference"/>
          <w:sz w:val="16"/>
          <w:szCs w:val="16"/>
        </w:rPr>
        <w:footnoteRef/>
      </w:r>
      <w:r w:rsidRPr="000B2E3D">
        <w:rPr>
          <w:sz w:val="16"/>
          <w:szCs w:val="16"/>
        </w:rPr>
        <w:t xml:space="preserve"> All figures for 2019, reported 10 March 2020 and subject to £:$ conversion rate of 1:1.2766 where required. This is the Bank of England’s annual average for 2019. Logframe figures are cumulative up to 2019 to which this exchange rate and an attribution rate of 58.448% was applied.</w:t>
      </w:r>
      <w:r w:rsidR="006F2FF1">
        <w:rPr>
          <w:sz w:val="16"/>
          <w:szCs w:val="16"/>
        </w:rPr>
        <w:t xml:space="preserve"> </w:t>
      </w:r>
    </w:p>
  </w:footnote>
  <w:footnote w:id="9">
    <w:p w14:paraId="161722C2" w14:textId="51FE6B9F" w:rsidR="005E1C27" w:rsidRDefault="005E1C27">
      <w:pPr>
        <w:pStyle w:val="FootnoteText"/>
      </w:pPr>
      <w:r w:rsidRPr="0087389B">
        <w:rPr>
          <w:rStyle w:val="FootnoteReference"/>
          <w:sz w:val="18"/>
          <w:szCs w:val="18"/>
        </w:rPr>
        <w:footnoteRef/>
      </w:r>
      <w:r w:rsidRPr="0087389B">
        <w:rPr>
          <w:sz w:val="18"/>
          <w:szCs w:val="18"/>
        </w:rPr>
        <w:t xml:space="preserve"> </w:t>
      </w:r>
      <w:r w:rsidR="00D570E1" w:rsidRPr="0087389B">
        <w:rPr>
          <w:sz w:val="16"/>
          <w:szCs w:val="16"/>
        </w:rPr>
        <w:t xml:space="preserve">1 </w:t>
      </w:r>
      <w:r w:rsidRPr="0087389B">
        <w:rPr>
          <w:sz w:val="16"/>
          <w:szCs w:val="16"/>
        </w:rPr>
        <w:t>MtCO2e</w:t>
      </w:r>
      <w:r w:rsidR="00D570E1" w:rsidRPr="0087389B">
        <w:rPr>
          <w:sz w:val="16"/>
          <w:szCs w:val="16"/>
        </w:rPr>
        <w:t xml:space="preserve"> is equal to 1 million tons of Carbon Dioxide, or its equivalent</w:t>
      </w:r>
      <w:r w:rsidR="0087389B">
        <w:rPr>
          <w:sz w:val="16"/>
          <w:szCs w:val="16"/>
        </w:rPr>
        <w:t xml:space="preserve"> </w:t>
      </w:r>
      <w:r w:rsidR="0087389B" w:rsidRPr="0087389B">
        <w:rPr>
          <w:sz w:val="16"/>
          <w:szCs w:val="16"/>
        </w:rPr>
        <w:t xml:space="preserve">in </w:t>
      </w:r>
      <w:r w:rsidR="009627FB">
        <w:rPr>
          <w:sz w:val="16"/>
          <w:szCs w:val="16"/>
        </w:rPr>
        <w:t xml:space="preserve">the contribution made to global warming by </w:t>
      </w:r>
      <w:r w:rsidR="0087389B" w:rsidRPr="0087389B">
        <w:rPr>
          <w:sz w:val="16"/>
          <w:szCs w:val="16"/>
        </w:rPr>
        <w:t>other greenhouse gases</w:t>
      </w:r>
    </w:p>
  </w:footnote>
  <w:footnote w:id="10">
    <w:p w14:paraId="14094C61" w14:textId="039F7157" w:rsidR="004D07A3" w:rsidRPr="000B2E3D" w:rsidRDefault="004D07A3" w:rsidP="00216B9E">
      <w:pPr>
        <w:pStyle w:val="FootnoteText"/>
        <w:jc w:val="both"/>
        <w:rPr>
          <w:sz w:val="16"/>
          <w:szCs w:val="16"/>
        </w:rPr>
      </w:pPr>
      <w:r w:rsidRPr="000B2E3D">
        <w:rPr>
          <w:rStyle w:val="FootnoteReference"/>
          <w:sz w:val="16"/>
          <w:szCs w:val="16"/>
        </w:rPr>
        <w:footnoteRef/>
      </w:r>
      <w:r w:rsidRPr="000B2E3D">
        <w:rPr>
          <w:sz w:val="16"/>
          <w:szCs w:val="16"/>
        </w:rPr>
        <w:t xml:space="preserve"> The converted electrical capacity from thermal units are as following: SimGas -</w:t>
      </w:r>
      <w:r w:rsidR="006F2FF1">
        <w:rPr>
          <w:sz w:val="16"/>
          <w:szCs w:val="16"/>
        </w:rPr>
        <w:t xml:space="preserve"> </w:t>
      </w:r>
      <w:r w:rsidRPr="000B2E3D">
        <w:rPr>
          <w:sz w:val="16"/>
          <w:szCs w:val="16"/>
        </w:rPr>
        <w:t>0.82 KW/unit, West African Biodigester – 2.57 KW/unit, Ethiopia Biogas – 2.5KW/unit, Madagascar Ethanol – 1.5KW/stove, Inyenyeri – 1 KW/stove, DelAgua – 1KW/stove</w:t>
      </w:r>
    </w:p>
  </w:footnote>
  <w:footnote w:id="11">
    <w:p w14:paraId="26F0D84A" w14:textId="51E1AC2C" w:rsidR="004D07A3" w:rsidRPr="000B2E3D" w:rsidRDefault="004D07A3" w:rsidP="00216B9E">
      <w:pPr>
        <w:pStyle w:val="FootnoteText"/>
        <w:rPr>
          <w:sz w:val="16"/>
          <w:szCs w:val="16"/>
        </w:rPr>
      </w:pPr>
      <w:r w:rsidRPr="000B2E3D">
        <w:rPr>
          <w:rStyle w:val="FootnoteReference"/>
          <w:sz w:val="16"/>
          <w:szCs w:val="16"/>
        </w:rPr>
        <w:footnoteRef/>
      </w:r>
      <w:r w:rsidRPr="000B2E3D">
        <w:rPr>
          <w:sz w:val="16"/>
          <w:szCs w:val="16"/>
        </w:rPr>
        <w:t xml:space="preserve"> Total beneficiaries are disaggregated by gender using the World Bank’s </w:t>
      </w:r>
      <w:hyperlink r:id="rId3" w:history="1">
        <w:r w:rsidRPr="000B2E3D">
          <w:rPr>
            <w:rStyle w:val="Hyperlink"/>
            <w:sz w:val="16"/>
            <w:szCs w:val="16"/>
          </w:rPr>
          <w:t>Indicator</w:t>
        </w:r>
      </w:hyperlink>
      <w:r w:rsidRPr="000B2E3D">
        <w:rPr>
          <w:sz w:val="16"/>
          <w:szCs w:val="16"/>
        </w:rPr>
        <w:t xml:space="preserve">: Rural population, female (%), </w:t>
      </w:r>
    </w:p>
  </w:footnote>
  <w:footnote w:id="12">
    <w:p w14:paraId="71807B14" w14:textId="46D2463B" w:rsidR="004D07A3" w:rsidRPr="00B37DE0" w:rsidRDefault="004D07A3" w:rsidP="00AA4E1A">
      <w:pPr>
        <w:pStyle w:val="FootnoteText"/>
        <w:rPr>
          <w:sz w:val="18"/>
          <w:szCs w:val="18"/>
        </w:rPr>
      </w:pPr>
      <w:r w:rsidRPr="00B37DE0">
        <w:rPr>
          <w:rStyle w:val="FootnoteReference"/>
          <w:sz w:val="18"/>
          <w:szCs w:val="18"/>
        </w:rPr>
        <w:footnoteRef/>
      </w:r>
      <w:r w:rsidRPr="00B37DE0">
        <w:rPr>
          <w:sz w:val="18"/>
          <w:szCs w:val="18"/>
        </w:rPr>
        <w:t xml:space="preserve"> </w:t>
      </w:r>
      <w:r w:rsidRPr="00B37DE0">
        <w:rPr>
          <w:rFonts w:cs="Arial"/>
          <w:color w:val="000000" w:themeColor="text1"/>
          <w:sz w:val="18"/>
          <w:szCs w:val="18"/>
          <w:lang w:eastAsia="en-GB"/>
        </w:rPr>
        <w:t xml:space="preserve">SCFs </w:t>
      </w:r>
      <w:r>
        <w:rPr>
          <w:rFonts w:cs="Arial"/>
          <w:color w:val="000000" w:themeColor="text1"/>
          <w:sz w:val="18"/>
          <w:szCs w:val="18"/>
          <w:lang w:eastAsia="en-GB"/>
        </w:rPr>
        <w:t xml:space="preserve">are a concept developed by the Trustee that </w:t>
      </w:r>
      <w:r w:rsidRPr="00B37DE0">
        <w:rPr>
          <w:rFonts w:cs="Arial"/>
          <w:color w:val="000000" w:themeColor="text1"/>
          <w:sz w:val="18"/>
          <w:szCs w:val="18"/>
          <w:lang w:eastAsia="en-GB"/>
        </w:rPr>
        <w:t xml:space="preserve">offer a way for host countries to implement crediting </w:t>
      </w:r>
      <w:r>
        <w:rPr>
          <w:rFonts w:cs="Arial"/>
          <w:color w:val="000000" w:themeColor="text1"/>
          <w:sz w:val="18"/>
          <w:szCs w:val="18"/>
          <w:lang w:eastAsia="en-GB"/>
        </w:rPr>
        <w:t xml:space="preserve">projects at greater scale than Ci-Dev’s current </w:t>
      </w:r>
      <w:r w:rsidRPr="00B37DE0">
        <w:rPr>
          <w:rFonts w:cs="Arial"/>
          <w:color w:val="000000" w:themeColor="text1"/>
          <w:sz w:val="18"/>
          <w:szCs w:val="18"/>
          <w:lang w:eastAsia="en-GB"/>
        </w:rPr>
        <w:t xml:space="preserve">CDM approaches, simplify the project cycle and involve a higher degree of host </w:t>
      </w:r>
      <w:r>
        <w:rPr>
          <w:rFonts w:cs="Arial"/>
          <w:color w:val="000000" w:themeColor="text1"/>
          <w:sz w:val="18"/>
          <w:szCs w:val="18"/>
          <w:lang w:eastAsia="en-GB"/>
        </w:rPr>
        <w:t xml:space="preserve">participation </w:t>
      </w:r>
    </w:p>
  </w:footnote>
  <w:footnote w:id="13">
    <w:p w14:paraId="32D7CA3B" w14:textId="4541A8E4" w:rsidR="004D07A3" w:rsidRPr="000B2E3D" w:rsidRDefault="004D07A3">
      <w:pPr>
        <w:pStyle w:val="FootnoteText"/>
        <w:rPr>
          <w:sz w:val="16"/>
          <w:szCs w:val="16"/>
        </w:rPr>
      </w:pPr>
      <w:r w:rsidRPr="000B2E3D">
        <w:rPr>
          <w:rStyle w:val="FootnoteReference"/>
          <w:sz w:val="16"/>
          <w:szCs w:val="16"/>
        </w:rPr>
        <w:footnoteRef/>
      </w:r>
      <w:r w:rsidRPr="000B2E3D">
        <w:rPr>
          <w:sz w:val="16"/>
          <w:szCs w:val="16"/>
        </w:rPr>
        <w:t xml:space="preserve"> References to ‘FY’ in this report refer to the US financial year (1 July – 30 June) unless stated otherwise</w:t>
      </w:r>
    </w:p>
  </w:footnote>
  <w:footnote w:id="14">
    <w:p w14:paraId="54AEFBDB" w14:textId="77777777" w:rsidR="004D07A3" w:rsidRPr="00CF69A1" w:rsidRDefault="004D07A3" w:rsidP="00CF69A1">
      <w:pPr>
        <w:pStyle w:val="FootnoteText"/>
        <w:jc w:val="both"/>
        <w:rPr>
          <w:sz w:val="16"/>
          <w:szCs w:val="16"/>
          <w:lang w:val="en-US"/>
        </w:rPr>
      </w:pPr>
      <w:r w:rsidRPr="00CF69A1">
        <w:rPr>
          <w:rStyle w:val="FootnoteReference"/>
          <w:sz w:val="16"/>
          <w:szCs w:val="16"/>
        </w:rPr>
        <w:footnoteRef/>
      </w:r>
      <w:r w:rsidRPr="00CF69A1">
        <w:rPr>
          <w:sz w:val="16"/>
          <w:szCs w:val="16"/>
        </w:rPr>
        <w:t xml:space="preserve"> </w:t>
      </w:r>
      <w:r w:rsidRPr="00CF69A1">
        <w:rPr>
          <w:sz w:val="16"/>
          <w:szCs w:val="16"/>
          <w:lang w:val="en-US"/>
        </w:rPr>
        <w:t>Payments by the UK against previous calls of funds for its share of the preceding 11 ERPAs had generated a surplus of cash received. After this cash surplus was applied to its share of the KTDA ERPA, the UK needed to pay only £188k to ensure the Trustee held enough capital to make the ERPA commitment.</w:t>
      </w:r>
    </w:p>
  </w:footnote>
  <w:footnote w:id="15">
    <w:p w14:paraId="75F796EB" w14:textId="1D05815D" w:rsidR="004D07A3" w:rsidRPr="00CF69A1" w:rsidRDefault="004D07A3" w:rsidP="00CF69A1">
      <w:pPr>
        <w:pStyle w:val="FootnoteText"/>
        <w:jc w:val="both"/>
        <w:rPr>
          <w:sz w:val="18"/>
          <w:szCs w:val="18"/>
        </w:rPr>
      </w:pPr>
      <w:r w:rsidRPr="00CF69A1">
        <w:rPr>
          <w:rStyle w:val="FootnoteReference"/>
          <w:sz w:val="16"/>
          <w:szCs w:val="18"/>
        </w:rPr>
        <w:footnoteRef/>
      </w:r>
      <w:r w:rsidRPr="00CF69A1">
        <w:rPr>
          <w:sz w:val="16"/>
          <w:szCs w:val="18"/>
        </w:rPr>
        <w:t xml:space="preserve"> </w:t>
      </w:r>
      <w:hyperlink r:id="rId4" w:history="1">
        <w:r w:rsidRPr="00CF69A1">
          <w:rPr>
            <w:rStyle w:val="Hyperlink"/>
            <w:sz w:val="16"/>
            <w:szCs w:val="18"/>
          </w:rPr>
          <w:t>DFID Framework</w:t>
        </w:r>
      </w:hyperlink>
      <w:r w:rsidRPr="00CF69A1">
        <w:rPr>
          <w:sz w:val="16"/>
          <w:szCs w:val="18"/>
        </w:rPr>
        <w:t xml:space="preserve"> – subsequent subheadings here are from the same source</w:t>
      </w:r>
    </w:p>
  </w:footnote>
  <w:footnote w:id="16">
    <w:p w14:paraId="1445C802" w14:textId="1DB6F735" w:rsidR="004D07A3" w:rsidRPr="00CF69A1" w:rsidRDefault="004D07A3" w:rsidP="00CF69A1">
      <w:pPr>
        <w:pStyle w:val="FootnoteText"/>
        <w:jc w:val="both"/>
        <w:rPr>
          <w:sz w:val="18"/>
          <w:szCs w:val="18"/>
          <w:lang w:val="en-US"/>
        </w:rPr>
      </w:pPr>
      <w:r w:rsidRPr="00CF69A1">
        <w:rPr>
          <w:rStyle w:val="FootnoteReference"/>
          <w:sz w:val="16"/>
          <w:szCs w:val="18"/>
        </w:rPr>
        <w:footnoteRef/>
      </w:r>
      <w:r w:rsidRPr="00CF69A1">
        <w:rPr>
          <w:sz w:val="16"/>
          <w:szCs w:val="18"/>
        </w:rPr>
        <w:t xml:space="preserve"> Applying an exchange rate of £1 = $1.6076, which applied around the time the UK business case was signed off. </w:t>
      </w:r>
    </w:p>
  </w:footnote>
  <w:footnote w:id="17">
    <w:p w14:paraId="5416BEE8" w14:textId="0FB1A03C" w:rsidR="004D07A3" w:rsidRPr="00CF69A1" w:rsidRDefault="004D07A3" w:rsidP="00CF69A1">
      <w:pPr>
        <w:pStyle w:val="FootnoteText"/>
        <w:jc w:val="both"/>
        <w:rPr>
          <w:sz w:val="18"/>
          <w:szCs w:val="18"/>
          <w:lang w:val="en-US"/>
        </w:rPr>
      </w:pPr>
      <w:r w:rsidRPr="00CF69A1">
        <w:rPr>
          <w:rStyle w:val="FootnoteReference"/>
          <w:sz w:val="18"/>
          <w:szCs w:val="18"/>
        </w:rPr>
        <w:footnoteRef/>
      </w:r>
      <w:r w:rsidRPr="00CF69A1">
        <w:rPr>
          <w:sz w:val="18"/>
          <w:szCs w:val="18"/>
        </w:rPr>
        <w:t xml:space="preserve"> </w:t>
      </w:r>
      <w:r w:rsidRPr="00CF69A1">
        <w:rPr>
          <w:sz w:val="16"/>
          <w:szCs w:val="18"/>
        </w:rPr>
        <w:t xml:space="preserve">The costs directly associated with project development, using </w:t>
      </w:r>
      <w:r w:rsidRPr="00CF69A1">
        <w:rPr>
          <w:sz w:val="16"/>
          <w:szCs w:val="16"/>
        </w:rPr>
        <w:t>the following cost items in the latest Ci-Dev Readiness Fund LTP for the purpose of comparison: Project Expenses (Project Development, Supervision &amp; Capacity, DOE expenses on validation and inclusion).</w:t>
      </w:r>
    </w:p>
  </w:footnote>
  <w:footnote w:id="18">
    <w:p w14:paraId="07A69D61" w14:textId="2028FAEE" w:rsidR="004D07A3" w:rsidRPr="00CF69A1" w:rsidRDefault="004D07A3" w:rsidP="00CF69A1">
      <w:pPr>
        <w:pStyle w:val="FootnoteText"/>
        <w:jc w:val="both"/>
        <w:rPr>
          <w:sz w:val="18"/>
          <w:szCs w:val="18"/>
        </w:rPr>
      </w:pPr>
      <w:r w:rsidRPr="00CF69A1">
        <w:rPr>
          <w:rStyle w:val="FootnoteReference"/>
          <w:sz w:val="16"/>
          <w:szCs w:val="18"/>
        </w:rPr>
        <w:footnoteRef/>
      </w:r>
      <w:r w:rsidRPr="00CF69A1">
        <w:rPr>
          <w:sz w:val="16"/>
          <w:szCs w:val="18"/>
        </w:rPr>
        <w:t xml:space="preserve"> “To assess the additional costs for the more transformational impacts, the programme will also report the cost per tonne with the full costs included”, The full cost,</w:t>
      </w:r>
      <w:r w:rsidR="006F2FF1">
        <w:rPr>
          <w:sz w:val="16"/>
          <w:szCs w:val="18"/>
        </w:rPr>
        <w:t xml:space="preserve"> </w:t>
      </w:r>
      <w:r w:rsidRPr="00CF69A1">
        <w:rPr>
          <w:sz w:val="16"/>
          <w:szCs w:val="18"/>
        </w:rPr>
        <w:t>is referred to as “skills building”, and includes costs for activities like skill-building, demonstration activities, monitoring impact, CDM methodology(ies), and lessons learned, but excluding administrative cost.</w:t>
      </w:r>
      <w:r w:rsidRPr="00CF69A1">
        <w:rPr>
          <w:sz w:val="18"/>
          <w:szCs w:val="18"/>
        </w:rPr>
        <w:t xml:space="preserve"> </w:t>
      </w:r>
      <w:r w:rsidRPr="00CF69A1">
        <w:rPr>
          <w:sz w:val="16"/>
          <w:szCs w:val="18"/>
        </w:rPr>
        <w:t>The following cost items in Ci-Dev Readiness Fund LTP are used for comparison: project expense, readiness grant, knowledge management. Readiness Fund admin cost, budget contingency, FX adjustment are excluded.</w:t>
      </w:r>
    </w:p>
  </w:footnote>
  <w:footnote w:id="19">
    <w:p w14:paraId="29D34B5D" w14:textId="77777777" w:rsidR="004D07A3" w:rsidRPr="000B2E3D" w:rsidRDefault="004D07A3" w:rsidP="00F73973">
      <w:pPr>
        <w:rPr>
          <w:rFonts w:ascii="Times New Roman" w:hAnsi="Times New Roman"/>
          <w:sz w:val="18"/>
          <w:szCs w:val="18"/>
          <w:lang w:eastAsia="en-GB"/>
        </w:rPr>
      </w:pPr>
      <w:r w:rsidRPr="000B2E3D">
        <w:rPr>
          <w:rStyle w:val="FootnoteReference"/>
          <w:sz w:val="18"/>
          <w:szCs w:val="18"/>
        </w:rPr>
        <w:footnoteRef/>
      </w:r>
      <w:r w:rsidRPr="000B2E3D">
        <w:rPr>
          <w:sz w:val="18"/>
          <w:szCs w:val="18"/>
        </w:rPr>
        <w:t xml:space="preserve"> </w:t>
      </w:r>
      <w:hyperlink r:id="rId5" w:history="1">
        <w:r w:rsidRPr="000B2E3D">
          <w:rPr>
            <w:rStyle w:val="Hyperlink"/>
            <w:sz w:val="18"/>
            <w:szCs w:val="18"/>
          </w:rPr>
          <w:t>http://siteresources.worldbank.org/EXTABOUTUS/Resources/29707-1280852909811/FY19SingleAudit.pdf</w:t>
        </w:r>
      </w:hyperlink>
    </w:p>
    <w:p w14:paraId="00901053" w14:textId="29FEE7A8" w:rsidR="004D07A3" w:rsidRDefault="004D07A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81E02" w14:textId="77777777" w:rsidR="00C7543E" w:rsidRDefault="00C75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8B6E4" w14:textId="77777777" w:rsidR="00C7543E" w:rsidRDefault="00C75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4ABF1" w14:textId="77777777" w:rsidR="00C7543E" w:rsidRDefault="00C75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AB9"/>
    <w:multiLevelType w:val="multilevel"/>
    <w:tmpl w:val="16B0E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F1BA3"/>
    <w:multiLevelType w:val="hybridMultilevel"/>
    <w:tmpl w:val="0B84254C"/>
    <w:lvl w:ilvl="0" w:tplc="9580E8A2">
      <w:start w:val="4"/>
      <w:numFmt w:val="decimal"/>
      <w:lvlText w:val="%1."/>
      <w:lvlJc w:val="left"/>
      <w:pPr>
        <w:tabs>
          <w:tab w:val="num" w:pos="720"/>
        </w:tabs>
        <w:ind w:left="720" w:hanging="360"/>
      </w:pPr>
    </w:lvl>
    <w:lvl w:ilvl="1" w:tplc="1D5A816C" w:tentative="1">
      <w:start w:val="1"/>
      <w:numFmt w:val="decimal"/>
      <w:lvlText w:val="%2."/>
      <w:lvlJc w:val="left"/>
      <w:pPr>
        <w:tabs>
          <w:tab w:val="num" w:pos="1440"/>
        </w:tabs>
        <w:ind w:left="1440" w:hanging="360"/>
      </w:pPr>
    </w:lvl>
    <w:lvl w:ilvl="2" w:tplc="91BEBC7E" w:tentative="1">
      <w:start w:val="1"/>
      <w:numFmt w:val="decimal"/>
      <w:lvlText w:val="%3."/>
      <w:lvlJc w:val="left"/>
      <w:pPr>
        <w:tabs>
          <w:tab w:val="num" w:pos="2160"/>
        </w:tabs>
        <w:ind w:left="2160" w:hanging="360"/>
      </w:pPr>
    </w:lvl>
    <w:lvl w:ilvl="3" w:tplc="DB0E2D2C" w:tentative="1">
      <w:start w:val="1"/>
      <w:numFmt w:val="decimal"/>
      <w:lvlText w:val="%4."/>
      <w:lvlJc w:val="left"/>
      <w:pPr>
        <w:tabs>
          <w:tab w:val="num" w:pos="2880"/>
        </w:tabs>
        <w:ind w:left="2880" w:hanging="360"/>
      </w:pPr>
    </w:lvl>
    <w:lvl w:ilvl="4" w:tplc="592423EC" w:tentative="1">
      <w:start w:val="1"/>
      <w:numFmt w:val="decimal"/>
      <w:lvlText w:val="%5."/>
      <w:lvlJc w:val="left"/>
      <w:pPr>
        <w:tabs>
          <w:tab w:val="num" w:pos="3600"/>
        </w:tabs>
        <w:ind w:left="3600" w:hanging="360"/>
      </w:pPr>
    </w:lvl>
    <w:lvl w:ilvl="5" w:tplc="70F4A5CC" w:tentative="1">
      <w:start w:val="1"/>
      <w:numFmt w:val="decimal"/>
      <w:lvlText w:val="%6."/>
      <w:lvlJc w:val="left"/>
      <w:pPr>
        <w:tabs>
          <w:tab w:val="num" w:pos="4320"/>
        </w:tabs>
        <w:ind w:left="4320" w:hanging="360"/>
      </w:pPr>
    </w:lvl>
    <w:lvl w:ilvl="6" w:tplc="ECD8CFA4" w:tentative="1">
      <w:start w:val="1"/>
      <w:numFmt w:val="decimal"/>
      <w:lvlText w:val="%7."/>
      <w:lvlJc w:val="left"/>
      <w:pPr>
        <w:tabs>
          <w:tab w:val="num" w:pos="5040"/>
        </w:tabs>
        <w:ind w:left="5040" w:hanging="360"/>
      </w:pPr>
    </w:lvl>
    <w:lvl w:ilvl="7" w:tplc="7B5AB444" w:tentative="1">
      <w:start w:val="1"/>
      <w:numFmt w:val="decimal"/>
      <w:lvlText w:val="%8."/>
      <w:lvlJc w:val="left"/>
      <w:pPr>
        <w:tabs>
          <w:tab w:val="num" w:pos="5760"/>
        </w:tabs>
        <w:ind w:left="5760" w:hanging="360"/>
      </w:pPr>
    </w:lvl>
    <w:lvl w:ilvl="8" w:tplc="15302BAC" w:tentative="1">
      <w:start w:val="1"/>
      <w:numFmt w:val="decimal"/>
      <w:lvlText w:val="%9."/>
      <w:lvlJc w:val="left"/>
      <w:pPr>
        <w:tabs>
          <w:tab w:val="num" w:pos="6480"/>
        </w:tabs>
        <w:ind w:left="6480" w:hanging="360"/>
      </w:pPr>
    </w:lvl>
  </w:abstractNum>
  <w:abstractNum w:abstractNumId="2" w15:restartNumberingAfterBreak="0">
    <w:nsid w:val="080E31E0"/>
    <w:multiLevelType w:val="hybridMultilevel"/>
    <w:tmpl w:val="60F6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31592"/>
    <w:multiLevelType w:val="hybridMultilevel"/>
    <w:tmpl w:val="A9CC9446"/>
    <w:lvl w:ilvl="0" w:tplc="911C71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42E2B"/>
    <w:multiLevelType w:val="hybridMultilevel"/>
    <w:tmpl w:val="A5428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897B0E"/>
    <w:multiLevelType w:val="hybridMultilevel"/>
    <w:tmpl w:val="60F6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F12AB"/>
    <w:multiLevelType w:val="hybridMultilevel"/>
    <w:tmpl w:val="ADEE0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AF2D1E"/>
    <w:multiLevelType w:val="hybridMultilevel"/>
    <w:tmpl w:val="E9CA790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474632"/>
    <w:multiLevelType w:val="hybridMultilevel"/>
    <w:tmpl w:val="A4CA6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D21D5"/>
    <w:multiLevelType w:val="hybridMultilevel"/>
    <w:tmpl w:val="6384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8774E"/>
    <w:multiLevelType w:val="hybridMultilevel"/>
    <w:tmpl w:val="48FC4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85705"/>
    <w:multiLevelType w:val="hybridMultilevel"/>
    <w:tmpl w:val="4790CF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A0FC3"/>
    <w:multiLevelType w:val="hybridMultilevel"/>
    <w:tmpl w:val="C930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3076F"/>
    <w:multiLevelType w:val="hybridMultilevel"/>
    <w:tmpl w:val="D622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81700"/>
    <w:multiLevelType w:val="hybridMultilevel"/>
    <w:tmpl w:val="1246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46DFD"/>
    <w:multiLevelType w:val="hybridMultilevel"/>
    <w:tmpl w:val="60F6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E514D"/>
    <w:multiLevelType w:val="hybridMultilevel"/>
    <w:tmpl w:val="8696B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23E65"/>
    <w:multiLevelType w:val="hybridMultilevel"/>
    <w:tmpl w:val="33D6E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3B0A76"/>
    <w:multiLevelType w:val="hybridMultilevel"/>
    <w:tmpl w:val="60F6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930D2"/>
    <w:multiLevelType w:val="hybridMultilevel"/>
    <w:tmpl w:val="60F6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D667F"/>
    <w:multiLevelType w:val="hybridMultilevel"/>
    <w:tmpl w:val="C0FAAA2C"/>
    <w:lvl w:ilvl="0" w:tplc="A2202A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080D53"/>
    <w:multiLevelType w:val="hybridMultilevel"/>
    <w:tmpl w:val="48FC4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103AB5"/>
    <w:multiLevelType w:val="multilevel"/>
    <w:tmpl w:val="D48476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01033A"/>
    <w:multiLevelType w:val="multilevel"/>
    <w:tmpl w:val="EE889C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047409"/>
    <w:multiLevelType w:val="multilevel"/>
    <w:tmpl w:val="98FEC3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DE57D7"/>
    <w:multiLevelType w:val="hybridMultilevel"/>
    <w:tmpl w:val="3108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1109E0"/>
    <w:multiLevelType w:val="hybridMultilevel"/>
    <w:tmpl w:val="60F6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6"/>
  </w:num>
  <w:num w:numId="5">
    <w:abstractNumId w:val="11"/>
  </w:num>
  <w:num w:numId="6">
    <w:abstractNumId w:val="8"/>
  </w:num>
  <w:num w:numId="7">
    <w:abstractNumId w:val="19"/>
  </w:num>
  <w:num w:numId="8">
    <w:abstractNumId w:val="2"/>
  </w:num>
  <w:num w:numId="9">
    <w:abstractNumId w:val="20"/>
  </w:num>
  <w:num w:numId="10">
    <w:abstractNumId w:val="26"/>
  </w:num>
  <w:num w:numId="11">
    <w:abstractNumId w:val="5"/>
  </w:num>
  <w:num w:numId="12">
    <w:abstractNumId w:val="15"/>
  </w:num>
  <w:num w:numId="13">
    <w:abstractNumId w:val="13"/>
  </w:num>
  <w:num w:numId="14">
    <w:abstractNumId w:val="18"/>
  </w:num>
  <w:num w:numId="15">
    <w:abstractNumId w:val="10"/>
  </w:num>
  <w:num w:numId="16">
    <w:abstractNumId w:val="17"/>
  </w:num>
  <w:num w:numId="17">
    <w:abstractNumId w:val="25"/>
  </w:num>
  <w:num w:numId="18">
    <w:abstractNumId w:val="21"/>
  </w:num>
  <w:num w:numId="19">
    <w:abstractNumId w:val="7"/>
  </w:num>
  <w:num w:numId="20">
    <w:abstractNumId w:val="0"/>
  </w:num>
  <w:num w:numId="21">
    <w:abstractNumId w:val="23"/>
  </w:num>
  <w:num w:numId="22">
    <w:abstractNumId w:val="24"/>
  </w:num>
  <w:num w:numId="23">
    <w:abstractNumId w:val="1"/>
  </w:num>
  <w:num w:numId="24">
    <w:abstractNumId w:val="22"/>
  </w:num>
  <w:num w:numId="25">
    <w:abstractNumId w:val="14"/>
  </w:num>
  <w:num w:numId="26">
    <w:abstractNumId w:val="12"/>
  </w:num>
  <w:num w:numId="2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9A"/>
    <w:rsid w:val="00000C13"/>
    <w:rsid w:val="00001042"/>
    <w:rsid w:val="000012BB"/>
    <w:rsid w:val="000014BA"/>
    <w:rsid w:val="000015CB"/>
    <w:rsid w:val="00001724"/>
    <w:rsid w:val="00001BF5"/>
    <w:rsid w:val="0000247D"/>
    <w:rsid w:val="00002EB8"/>
    <w:rsid w:val="00002F15"/>
    <w:rsid w:val="000037FB"/>
    <w:rsid w:val="0000386A"/>
    <w:rsid w:val="00003E10"/>
    <w:rsid w:val="000049A0"/>
    <w:rsid w:val="000057D6"/>
    <w:rsid w:val="00005970"/>
    <w:rsid w:val="00005B5A"/>
    <w:rsid w:val="00005E3D"/>
    <w:rsid w:val="00006B04"/>
    <w:rsid w:val="00006F36"/>
    <w:rsid w:val="000070D7"/>
    <w:rsid w:val="000072A1"/>
    <w:rsid w:val="000078F0"/>
    <w:rsid w:val="000104FE"/>
    <w:rsid w:val="00010C5F"/>
    <w:rsid w:val="00011213"/>
    <w:rsid w:val="000112AD"/>
    <w:rsid w:val="00011435"/>
    <w:rsid w:val="00011A4F"/>
    <w:rsid w:val="00011D4F"/>
    <w:rsid w:val="000120CB"/>
    <w:rsid w:val="00013002"/>
    <w:rsid w:val="0001318A"/>
    <w:rsid w:val="00013A53"/>
    <w:rsid w:val="00013ABE"/>
    <w:rsid w:val="00013AF9"/>
    <w:rsid w:val="00014147"/>
    <w:rsid w:val="000144F4"/>
    <w:rsid w:val="0001463B"/>
    <w:rsid w:val="0001501C"/>
    <w:rsid w:val="0001575D"/>
    <w:rsid w:val="000159A0"/>
    <w:rsid w:val="00015AA8"/>
    <w:rsid w:val="00015B32"/>
    <w:rsid w:val="000160FD"/>
    <w:rsid w:val="0001644D"/>
    <w:rsid w:val="0001659D"/>
    <w:rsid w:val="0001687A"/>
    <w:rsid w:val="00016DBD"/>
    <w:rsid w:val="0001798F"/>
    <w:rsid w:val="00017B17"/>
    <w:rsid w:val="00017B20"/>
    <w:rsid w:val="00017DBE"/>
    <w:rsid w:val="00017EC4"/>
    <w:rsid w:val="0002032A"/>
    <w:rsid w:val="00020544"/>
    <w:rsid w:val="000207AB"/>
    <w:rsid w:val="00020936"/>
    <w:rsid w:val="00020BA3"/>
    <w:rsid w:val="00020D26"/>
    <w:rsid w:val="00021218"/>
    <w:rsid w:val="000223AB"/>
    <w:rsid w:val="00022480"/>
    <w:rsid w:val="00022AAE"/>
    <w:rsid w:val="00022CBB"/>
    <w:rsid w:val="00022D68"/>
    <w:rsid w:val="00023295"/>
    <w:rsid w:val="00023327"/>
    <w:rsid w:val="00023364"/>
    <w:rsid w:val="00023456"/>
    <w:rsid w:val="000243ED"/>
    <w:rsid w:val="00024CA0"/>
    <w:rsid w:val="00025194"/>
    <w:rsid w:val="000253A0"/>
    <w:rsid w:val="0002582F"/>
    <w:rsid w:val="00025A32"/>
    <w:rsid w:val="00025B78"/>
    <w:rsid w:val="00025D0B"/>
    <w:rsid w:val="00025F43"/>
    <w:rsid w:val="00026065"/>
    <w:rsid w:val="000262AA"/>
    <w:rsid w:val="0002630C"/>
    <w:rsid w:val="00026B51"/>
    <w:rsid w:val="000270B6"/>
    <w:rsid w:val="00027173"/>
    <w:rsid w:val="00027A3C"/>
    <w:rsid w:val="00027BE8"/>
    <w:rsid w:val="0003029B"/>
    <w:rsid w:val="00030A13"/>
    <w:rsid w:val="00030ADB"/>
    <w:rsid w:val="00030B8F"/>
    <w:rsid w:val="00030CA1"/>
    <w:rsid w:val="00030FE7"/>
    <w:rsid w:val="0003101C"/>
    <w:rsid w:val="00032243"/>
    <w:rsid w:val="000323A7"/>
    <w:rsid w:val="0003263B"/>
    <w:rsid w:val="000326B3"/>
    <w:rsid w:val="00032A47"/>
    <w:rsid w:val="00032D91"/>
    <w:rsid w:val="00032FB5"/>
    <w:rsid w:val="00032FC0"/>
    <w:rsid w:val="000330EA"/>
    <w:rsid w:val="00033729"/>
    <w:rsid w:val="00033982"/>
    <w:rsid w:val="0003417C"/>
    <w:rsid w:val="000345E4"/>
    <w:rsid w:val="00034800"/>
    <w:rsid w:val="00034ABF"/>
    <w:rsid w:val="00034DD0"/>
    <w:rsid w:val="0003530F"/>
    <w:rsid w:val="00035519"/>
    <w:rsid w:val="000356FC"/>
    <w:rsid w:val="00036951"/>
    <w:rsid w:val="00036BC8"/>
    <w:rsid w:val="00036CB4"/>
    <w:rsid w:val="000375B7"/>
    <w:rsid w:val="00037656"/>
    <w:rsid w:val="00040446"/>
    <w:rsid w:val="00040693"/>
    <w:rsid w:val="00040896"/>
    <w:rsid w:val="00041114"/>
    <w:rsid w:val="0004187A"/>
    <w:rsid w:val="00042326"/>
    <w:rsid w:val="000425FA"/>
    <w:rsid w:val="000429AD"/>
    <w:rsid w:val="000429F8"/>
    <w:rsid w:val="000431EE"/>
    <w:rsid w:val="00043513"/>
    <w:rsid w:val="00043A8D"/>
    <w:rsid w:val="00043B98"/>
    <w:rsid w:val="00044C22"/>
    <w:rsid w:val="00044E2A"/>
    <w:rsid w:val="00044E8D"/>
    <w:rsid w:val="00046B87"/>
    <w:rsid w:val="0004753E"/>
    <w:rsid w:val="000478C2"/>
    <w:rsid w:val="00050439"/>
    <w:rsid w:val="00050676"/>
    <w:rsid w:val="000509C3"/>
    <w:rsid w:val="00050AB8"/>
    <w:rsid w:val="0005106B"/>
    <w:rsid w:val="000513C8"/>
    <w:rsid w:val="000516A5"/>
    <w:rsid w:val="00051A79"/>
    <w:rsid w:val="00051BA5"/>
    <w:rsid w:val="00051FAC"/>
    <w:rsid w:val="00052563"/>
    <w:rsid w:val="000530F6"/>
    <w:rsid w:val="0005408F"/>
    <w:rsid w:val="0005426A"/>
    <w:rsid w:val="0005440B"/>
    <w:rsid w:val="000544DC"/>
    <w:rsid w:val="000546F1"/>
    <w:rsid w:val="00054787"/>
    <w:rsid w:val="00055265"/>
    <w:rsid w:val="000555C5"/>
    <w:rsid w:val="00055619"/>
    <w:rsid w:val="000557F7"/>
    <w:rsid w:val="00055AF5"/>
    <w:rsid w:val="00055E73"/>
    <w:rsid w:val="000560BD"/>
    <w:rsid w:val="000566A7"/>
    <w:rsid w:val="000567C0"/>
    <w:rsid w:val="000569A1"/>
    <w:rsid w:val="0005744C"/>
    <w:rsid w:val="00057805"/>
    <w:rsid w:val="000579A6"/>
    <w:rsid w:val="000606A4"/>
    <w:rsid w:val="00061A1D"/>
    <w:rsid w:val="000627D1"/>
    <w:rsid w:val="00062B25"/>
    <w:rsid w:val="0006359B"/>
    <w:rsid w:val="00063684"/>
    <w:rsid w:val="000645E9"/>
    <w:rsid w:val="000646CC"/>
    <w:rsid w:val="00064868"/>
    <w:rsid w:val="00065A56"/>
    <w:rsid w:val="000661D5"/>
    <w:rsid w:val="000662A2"/>
    <w:rsid w:val="000663DD"/>
    <w:rsid w:val="000663DE"/>
    <w:rsid w:val="000667B5"/>
    <w:rsid w:val="00066874"/>
    <w:rsid w:val="00066929"/>
    <w:rsid w:val="00066B17"/>
    <w:rsid w:val="00066BEA"/>
    <w:rsid w:val="00066F28"/>
    <w:rsid w:val="0006714C"/>
    <w:rsid w:val="00067325"/>
    <w:rsid w:val="00067681"/>
    <w:rsid w:val="000708F4"/>
    <w:rsid w:val="00070A8A"/>
    <w:rsid w:val="00071004"/>
    <w:rsid w:val="00071139"/>
    <w:rsid w:val="000715D3"/>
    <w:rsid w:val="00071A1B"/>
    <w:rsid w:val="00071F45"/>
    <w:rsid w:val="000727AC"/>
    <w:rsid w:val="00072B20"/>
    <w:rsid w:val="00072D1E"/>
    <w:rsid w:val="00072FA7"/>
    <w:rsid w:val="000734C2"/>
    <w:rsid w:val="000736B1"/>
    <w:rsid w:val="00073EBA"/>
    <w:rsid w:val="000742BE"/>
    <w:rsid w:val="000748DE"/>
    <w:rsid w:val="00074996"/>
    <w:rsid w:val="00074CA8"/>
    <w:rsid w:val="0007538A"/>
    <w:rsid w:val="000753EA"/>
    <w:rsid w:val="00075A77"/>
    <w:rsid w:val="00075B90"/>
    <w:rsid w:val="00075CE4"/>
    <w:rsid w:val="00075D1F"/>
    <w:rsid w:val="0007642C"/>
    <w:rsid w:val="00076648"/>
    <w:rsid w:val="000767C9"/>
    <w:rsid w:val="0007691E"/>
    <w:rsid w:val="00077323"/>
    <w:rsid w:val="00077F54"/>
    <w:rsid w:val="00081E94"/>
    <w:rsid w:val="0008204A"/>
    <w:rsid w:val="0008232D"/>
    <w:rsid w:val="00082465"/>
    <w:rsid w:val="000829BA"/>
    <w:rsid w:val="00082A07"/>
    <w:rsid w:val="00082B0D"/>
    <w:rsid w:val="00082C32"/>
    <w:rsid w:val="00082DD2"/>
    <w:rsid w:val="00083146"/>
    <w:rsid w:val="000831BF"/>
    <w:rsid w:val="000836D2"/>
    <w:rsid w:val="0008431F"/>
    <w:rsid w:val="0008459C"/>
    <w:rsid w:val="0008493F"/>
    <w:rsid w:val="00084DF5"/>
    <w:rsid w:val="000858A6"/>
    <w:rsid w:val="000859DB"/>
    <w:rsid w:val="00085B0B"/>
    <w:rsid w:val="00086091"/>
    <w:rsid w:val="00086C63"/>
    <w:rsid w:val="000873AB"/>
    <w:rsid w:val="00087C47"/>
    <w:rsid w:val="00087CFA"/>
    <w:rsid w:val="00090098"/>
    <w:rsid w:val="00090216"/>
    <w:rsid w:val="00090259"/>
    <w:rsid w:val="00090340"/>
    <w:rsid w:val="0009045C"/>
    <w:rsid w:val="00090FC8"/>
    <w:rsid w:val="00091815"/>
    <w:rsid w:val="0009240B"/>
    <w:rsid w:val="00092414"/>
    <w:rsid w:val="0009310B"/>
    <w:rsid w:val="00093619"/>
    <w:rsid w:val="00093896"/>
    <w:rsid w:val="00093DAC"/>
    <w:rsid w:val="000952CA"/>
    <w:rsid w:val="000959E0"/>
    <w:rsid w:val="00096039"/>
    <w:rsid w:val="00096057"/>
    <w:rsid w:val="00097D0A"/>
    <w:rsid w:val="00097E9D"/>
    <w:rsid w:val="000A00C5"/>
    <w:rsid w:val="000A03F8"/>
    <w:rsid w:val="000A058F"/>
    <w:rsid w:val="000A068B"/>
    <w:rsid w:val="000A0748"/>
    <w:rsid w:val="000A0831"/>
    <w:rsid w:val="000A08B4"/>
    <w:rsid w:val="000A0963"/>
    <w:rsid w:val="000A0BB6"/>
    <w:rsid w:val="000A10C7"/>
    <w:rsid w:val="000A183A"/>
    <w:rsid w:val="000A25F7"/>
    <w:rsid w:val="000A2970"/>
    <w:rsid w:val="000A2BAD"/>
    <w:rsid w:val="000A2EB3"/>
    <w:rsid w:val="000A2EFF"/>
    <w:rsid w:val="000A388D"/>
    <w:rsid w:val="000A3A9B"/>
    <w:rsid w:val="000A4D72"/>
    <w:rsid w:val="000A4EF6"/>
    <w:rsid w:val="000A523A"/>
    <w:rsid w:val="000A5281"/>
    <w:rsid w:val="000A5AEA"/>
    <w:rsid w:val="000A745C"/>
    <w:rsid w:val="000A770E"/>
    <w:rsid w:val="000A7732"/>
    <w:rsid w:val="000A7C9B"/>
    <w:rsid w:val="000B003E"/>
    <w:rsid w:val="000B0123"/>
    <w:rsid w:val="000B1616"/>
    <w:rsid w:val="000B1C8C"/>
    <w:rsid w:val="000B269F"/>
    <w:rsid w:val="000B2858"/>
    <w:rsid w:val="000B2B20"/>
    <w:rsid w:val="000B2E3D"/>
    <w:rsid w:val="000B3183"/>
    <w:rsid w:val="000B343F"/>
    <w:rsid w:val="000B347E"/>
    <w:rsid w:val="000B3934"/>
    <w:rsid w:val="000B46DA"/>
    <w:rsid w:val="000B4D08"/>
    <w:rsid w:val="000B55DC"/>
    <w:rsid w:val="000B56B7"/>
    <w:rsid w:val="000B5AB9"/>
    <w:rsid w:val="000B5C7F"/>
    <w:rsid w:val="000B5F4B"/>
    <w:rsid w:val="000B6EC3"/>
    <w:rsid w:val="000B7317"/>
    <w:rsid w:val="000B74D2"/>
    <w:rsid w:val="000B7614"/>
    <w:rsid w:val="000B76E7"/>
    <w:rsid w:val="000B79BE"/>
    <w:rsid w:val="000B7B33"/>
    <w:rsid w:val="000C02AB"/>
    <w:rsid w:val="000C0B4D"/>
    <w:rsid w:val="000C0D60"/>
    <w:rsid w:val="000C1386"/>
    <w:rsid w:val="000C179B"/>
    <w:rsid w:val="000C180D"/>
    <w:rsid w:val="000C1F5E"/>
    <w:rsid w:val="000C21B5"/>
    <w:rsid w:val="000C25E4"/>
    <w:rsid w:val="000C2A37"/>
    <w:rsid w:val="000C2B84"/>
    <w:rsid w:val="000C2BFD"/>
    <w:rsid w:val="000C3380"/>
    <w:rsid w:val="000C341E"/>
    <w:rsid w:val="000C3E6F"/>
    <w:rsid w:val="000C3EAE"/>
    <w:rsid w:val="000C47E4"/>
    <w:rsid w:val="000C5B94"/>
    <w:rsid w:val="000C5C6C"/>
    <w:rsid w:val="000C6BDC"/>
    <w:rsid w:val="000C6D94"/>
    <w:rsid w:val="000C6EE3"/>
    <w:rsid w:val="000C7160"/>
    <w:rsid w:val="000C75F6"/>
    <w:rsid w:val="000C768E"/>
    <w:rsid w:val="000C7E1E"/>
    <w:rsid w:val="000D00CB"/>
    <w:rsid w:val="000D0D7C"/>
    <w:rsid w:val="000D15AA"/>
    <w:rsid w:val="000D17D9"/>
    <w:rsid w:val="000D1ADA"/>
    <w:rsid w:val="000D1FD1"/>
    <w:rsid w:val="000D2145"/>
    <w:rsid w:val="000D2D54"/>
    <w:rsid w:val="000D3192"/>
    <w:rsid w:val="000D38C5"/>
    <w:rsid w:val="000D3998"/>
    <w:rsid w:val="000D3D50"/>
    <w:rsid w:val="000D45AC"/>
    <w:rsid w:val="000D4C83"/>
    <w:rsid w:val="000D4EFA"/>
    <w:rsid w:val="000D52AA"/>
    <w:rsid w:val="000D531E"/>
    <w:rsid w:val="000D5E7B"/>
    <w:rsid w:val="000D6417"/>
    <w:rsid w:val="000D676E"/>
    <w:rsid w:val="000D6B9A"/>
    <w:rsid w:val="000D6C85"/>
    <w:rsid w:val="000D6C93"/>
    <w:rsid w:val="000D7138"/>
    <w:rsid w:val="000D73F0"/>
    <w:rsid w:val="000D7628"/>
    <w:rsid w:val="000D7BCA"/>
    <w:rsid w:val="000D7DFF"/>
    <w:rsid w:val="000E0150"/>
    <w:rsid w:val="000E0315"/>
    <w:rsid w:val="000E0876"/>
    <w:rsid w:val="000E08E4"/>
    <w:rsid w:val="000E1866"/>
    <w:rsid w:val="000E1BD7"/>
    <w:rsid w:val="000E266A"/>
    <w:rsid w:val="000E29B6"/>
    <w:rsid w:val="000E2F7B"/>
    <w:rsid w:val="000E35B3"/>
    <w:rsid w:val="000E3877"/>
    <w:rsid w:val="000E39C2"/>
    <w:rsid w:val="000E3A60"/>
    <w:rsid w:val="000E3F95"/>
    <w:rsid w:val="000E52A3"/>
    <w:rsid w:val="000E52F1"/>
    <w:rsid w:val="000E55EB"/>
    <w:rsid w:val="000E594D"/>
    <w:rsid w:val="000E5E5D"/>
    <w:rsid w:val="000E6521"/>
    <w:rsid w:val="000F0241"/>
    <w:rsid w:val="000F0337"/>
    <w:rsid w:val="000F05D0"/>
    <w:rsid w:val="000F0FC7"/>
    <w:rsid w:val="000F1266"/>
    <w:rsid w:val="000F129F"/>
    <w:rsid w:val="000F1AC4"/>
    <w:rsid w:val="000F1AE7"/>
    <w:rsid w:val="000F1EDF"/>
    <w:rsid w:val="000F216F"/>
    <w:rsid w:val="000F2963"/>
    <w:rsid w:val="000F2BC4"/>
    <w:rsid w:val="000F314E"/>
    <w:rsid w:val="000F3176"/>
    <w:rsid w:val="000F37BB"/>
    <w:rsid w:val="000F380E"/>
    <w:rsid w:val="000F3C31"/>
    <w:rsid w:val="000F48D2"/>
    <w:rsid w:val="000F4B26"/>
    <w:rsid w:val="000F51E2"/>
    <w:rsid w:val="000F51ED"/>
    <w:rsid w:val="000F582D"/>
    <w:rsid w:val="000F5A58"/>
    <w:rsid w:val="000F5D64"/>
    <w:rsid w:val="000F6244"/>
    <w:rsid w:val="000F656C"/>
    <w:rsid w:val="000F6BF4"/>
    <w:rsid w:val="000F6E06"/>
    <w:rsid w:val="000F7118"/>
    <w:rsid w:val="000F7B81"/>
    <w:rsid w:val="0010030A"/>
    <w:rsid w:val="00100485"/>
    <w:rsid w:val="00100F00"/>
    <w:rsid w:val="00100FFC"/>
    <w:rsid w:val="0010139E"/>
    <w:rsid w:val="001014CF"/>
    <w:rsid w:val="001015DC"/>
    <w:rsid w:val="0010166A"/>
    <w:rsid w:val="00101F09"/>
    <w:rsid w:val="0010251C"/>
    <w:rsid w:val="00102788"/>
    <w:rsid w:val="00102AE9"/>
    <w:rsid w:val="00102E84"/>
    <w:rsid w:val="00102F25"/>
    <w:rsid w:val="00103116"/>
    <w:rsid w:val="0010311A"/>
    <w:rsid w:val="001032FA"/>
    <w:rsid w:val="0010355D"/>
    <w:rsid w:val="00104997"/>
    <w:rsid w:val="00104B28"/>
    <w:rsid w:val="00104B8D"/>
    <w:rsid w:val="001052E2"/>
    <w:rsid w:val="0010539D"/>
    <w:rsid w:val="001055C1"/>
    <w:rsid w:val="00105A6B"/>
    <w:rsid w:val="00106213"/>
    <w:rsid w:val="001063F9"/>
    <w:rsid w:val="00106A54"/>
    <w:rsid w:val="001071EA"/>
    <w:rsid w:val="0010755A"/>
    <w:rsid w:val="001107BF"/>
    <w:rsid w:val="001108CB"/>
    <w:rsid w:val="0011097A"/>
    <w:rsid w:val="00110D31"/>
    <w:rsid w:val="00110D5F"/>
    <w:rsid w:val="00110E4A"/>
    <w:rsid w:val="0011140B"/>
    <w:rsid w:val="0011159E"/>
    <w:rsid w:val="001124A2"/>
    <w:rsid w:val="001130FF"/>
    <w:rsid w:val="00113535"/>
    <w:rsid w:val="0011381A"/>
    <w:rsid w:val="00113C87"/>
    <w:rsid w:val="00113CA3"/>
    <w:rsid w:val="00114575"/>
    <w:rsid w:val="00114F4E"/>
    <w:rsid w:val="00115219"/>
    <w:rsid w:val="0011538C"/>
    <w:rsid w:val="00115408"/>
    <w:rsid w:val="00115725"/>
    <w:rsid w:val="00115C88"/>
    <w:rsid w:val="00115D5B"/>
    <w:rsid w:val="0011679C"/>
    <w:rsid w:val="001171C9"/>
    <w:rsid w:val="00117691"/>
    <w:rsid w:val="00117950"/>
    <w:rsid w:val="00117B21"/>
    <w:rsid w:val="00117B82"/>
    <w:rsid w:val="00117B9C"/>
    <w:rsid w:val="00120895"/>
    <w:rsid w:val="00120A59"/>
    <w:rsid w:val="00121124"/>
    <w:rsid w:val="00121176"/>
    <w:rsid w:val="0012141B"/>
    <w:rsid w:val="001219B9"/>
    <w:rsid w:val="00121BD5"/>
    <w:rsid w:val="00121C59"/>
    <w:rsid w:val="00121C99"/>
    <w:rsid w:val="00121CB3"/>
    <w:rsid w:val="00121D6B"/>
    <w:rsid w:val="00121F02"/>
    <w:rsid w:val="00121F82"/>
    <w:rsid w:val="00122553"/>
    <w:rsid w:val="0012372D"/>
    <w:rsid w:val="00124A5D"/>
    <w:rsid w:val="00124DEB"/>
    <w:rsid w:val="00124F80"/>
    <w:rsid w:val="001254FA"/>
    <w:rsid w:val="00125AEB"/>
    <w:rsid w:val="00125E83"/>
    <w:rsid w:val="0012612C"/>
    <w:rsid w:val="001265EE"/>
    <w:rsid w:val="00126827"/>
    <w:rsid w:val="00126855"/>
    <w:rsid w:val="00127352"/>
    <w:rsid w:val="00127BB1"/>
    <w:rsid w:val="00127CFC"/>
    <w:rsid w:val="00127F41"/>
    <w:rsid w:val="00127F81"/>
    <w:rsid w:val="001301F8"/>
    <w:rsid w:val="001313DD"/>
    <w:rsid w:val="001319B4"/>
    <w:rsid w:val="00132AEE"/>
    <w:rsid w:val="00132DBD"/>
    <w:rsid w:val="00132FFE"/>
    <w:rsid w:val="00133377"/>
    <w:rsid w:val="0013349A"/>
    <w:rsid w:val="00133728"/>
    <w:rsid w:val="001338D5"/>
    <w:rsid w:val="00133A56"/>
    <w:rsid w:val="00133BBE"/>
    <w:rsid w:val="001341D7"/>
    <w:rsid w:val="00134225"/>
    <w:rsid w:val="00134390"/>
    <w:rsid w:val="00134B10"/>
    <w:rsid w:val="00134FC2"/>
    <w:rsid w:val="001351D5"/>
    <w:rsid w:val="00135567"/>
    <w:rsid w:val="00135DC7"/>
    <w:rsid w:val="00136549"/>
    <w:rsid w:val="001366A5"/>
    <w:rsid w:val="00136868"/>
    <w:rsid w:val="001369E2"/>
    <w:rsid w:val="00136C69"/>
    <w:rsid w:val="00136E91"/>
    <w:rsid w:val="001372F4"/>
    <w:rsid w:val="0013733F"/>
    <w:rsid w:val="0013745D"/>
    <w:rsid w:val="001377D2"/>
    <w:rsid w:val="00137914"/>
    <w:rsid w:val="00137A99"/>
    <w:rsid w:val="00140089"/>
    <w:rsid w:val="001401AD"/>
    <w:rsid w:val="001404D8"/>
    <w:rsid w:val="001408A4"/>
    <w:rsid w:val="0014150B"/>
    <w:rsid w:val="001416B6"/>
    <w:rsid w:val="00142542"/>
    <w:rsid w:val="00142905"/>
    <w:rsid w:val="0014308A"/>
    <w:rsid w:val="0014323D"/>
    <w:rsid w:val="001432F1"/>
    <w:rsid w:val="00143A48"/>
    <w:rsid w:val="00144236"/>
    <w:rsid w:val="001442B4"/>
    <w:rsid w:val="00144C58"/>
    <w:rsid w:val="001451C8"/>
    <w:rsid w:val="0014599C"/>
    <w:rsid w:val="00145B0C"/>
    <w:rsid w:val="00145C07"/>
    <w:rsid w:val="00145CDC"/>
    <w:rsid w:val="00146121"/>
    <w:rsid w:val="00146A3C"/>
    <w:rsid w:val="00146A5E"/>
    <w:rsid w:val="0014702D"/>
    <w:rsid w:val="001472A8"/>
    <w:rsid w:val="0014770C"/>
    <w:rsid w:val="0014786D"/>
    <w:rsid w:val="00147AAA"/>
    <w:rsid w:val="00147F83"/>
    <w:rsid w:val="00150133"/>
    <w:rsid w:val="00150228"/>
    <w:rsid w:val="00150BD5"/>
    <w:rsid w:val="00150F55"/>
    <w:rsid w:val="00150F92"/>
    <w:rsid w:val="00150FE9"/>
    <w:rsid w:val="00151399"/>
    <w:rsid w:val="001513D1"/>
    <w:rsid w:val="00151852"/>
    <w:rsid w:val="00151E85"/>
    <w:rsid w:val="001523C0"/>
    <w:rsid w:val="001524A0"/>
    <w:rsid w:val="0015269D"/>
    <w:rsid w:val="00152BE4"/>
    <w:rsid w:val="00152D1D"/>
    <w:rsid w:val="0015320B"/>
    <w:rsid w:val="00153546"/>
    <w:rsid w:val="00153CAE"/>
    <w:rsid w:val="00153D6A"/>
    <w:rsid w:val="001540AA"/>
    <w:rsid w:val="001543CA"/>
    <w:rsid w:val="001546B0"/>
    <w:rsid w:val="00155A93"/>
    <w:rsid w:val="00155B0F"/>
    <w:rsid w:val="00155B27"/>
    <w:rsid w:val="0015604B"/>
    <w:rsid w:val="001566AC"/>
    <w:rsid w:val="00156874"/>
    <w:rsid w:val="001569F7"/>
    <w:rsid w:val="00156F44"/>
    <w:rsid w:val="00157035"/>
    <w:rsid w:val="00157874"/>
    <w:rsid w:val="00157BF4"/>
    <w:rsid w:val="00157C3B"/>
    <w:rsid w:val="00157F22"/>
    <w:rsid w:val="001602E0"/>
    <w:rsid w:val="00160343"/>
    <w:rsid w:val="001606B0"/>
    <w:rsid w:val="00161A7F"/>
    <w:rsid w:val="00161AF1"/>
    <w:rsid w:val="00161BBC"/>
    <w:rsid w:val="00161D36"/>
    <w:rsid w:val="001621BC"/>
    <w:rsid w:val="00162226"/>
    <w:rsid w:val="0016222E"/>
    <w:rsid w:val="001625C0"/>
    <w:rsid w:val="00162728"/>
    <w:rsid w:val="0016333F"/>
    <w:rsid w:val="00163742"/>
    <w:rsid w:val="001647F2"/>
    <w:rsid w:val="001649D9"/>
    <w:rsid w:val="00164AC6"/>
    <w:rsid w:val="00164CD6"/>
    <w:rsid w:val="00165280"/>
    <w:rsid w:val="001653D6"/>
    <w:rsid w:val="0016569B"/>
    <w:rsid w:val="00165705"/>
    <w:rsid w:val="00165CED"/>
    <w:rsid w:val="0016608A"/>
    <w:rsid w:val="001660E9"/>
    <w:rsid w:val="0016625A"/>
    <w:rsid w:val="001664FA"/>
    <w:rsid w:val="00166555"/>
    <w:rsid w:val="0016691F"/>
    <w:rsid w:val="0016714D"/>
    <w:rsid w:val="001674F2"/>
    <w:rsid w:val="0016759D"/>
    <w:rsid w:val="00167793"/>
    <w:rsid w:val="00170633"/>
    <w:rsid w:val="00171591"/>
    <w:rsid w:val="00171668"/>
    <w:rsid w:val="00171F22"/>
    <w:rsid w:val="0017237D"/>
    <w:rsid w:val="001731F4"/>
    <w:rsid w:val="00173565"/>
    <w:rsid w:val="001736A4"/>
    <w:rsid w:val="00173D70"/>
    <w:rsid w:val="00174232"/>
    <w:rsid w:val="0017450C"/>
    <w:rsid w:val="00174589"/>
    <w:rsid w:val="0017475B"/>
    <w:rsid w:val="00174A4E"/>
    <w:rsid w:val="00174B3D"/>
    <w:rsid w:val="00176810"/>
    <w:rsid w:val="0017686E"/>
    <w:rsid w:val="0017692F"/>
    <w:rsid w:val="00176E3C"/>
    <w:rsid w:val="0017737D"/>
    <w:rsid w:val="00177546"/>
    <w:rsid w:val="00177863"/>
    <w:rsid w:val="001808D5"/>
    <w:rsid w:val="00180C09"/>
    <w:rsid w:val="0018106B"/>
    <w:rsid w:val="001810C9"/>
    <w:rsid w:val="001811D0"/>
    <w:rsid w:val="00181536"/>
    <w:rsid w:val="00181B82"/>
    <w:rsid w:val="00182699"/>
    <w:rsid w:val="00182855"/>
    <w:rsid w:val="001829C6"/>
    <w:rsid w:val="00182A05"/>
    <w:rsid w:val="00182BBB"/>
    <w:rsid w:val="00182CA4"/>
    <w:rsid w:val="001831AB"/>
    <w:rsid w:val="001833D5"/>
    <w:rsid w:val="00183E57"/>
    <w:rsid w:val="00183F44"/>
    <w:rsid w:val="001841C0"/>
    <w:rsid w:val="001842BF"/>
    <w:rsid w:val="001842FA"/>
    <w:rsid w:val="00184BA4"/>
    <w:rsid w:val="00185080"/>
    <w:rsid w:val="00185A3A"/>
    <w:rsid w:val="00187051"/>
    <w:rsid w:val="00187A87"/>
    <w:rsid w:val="00187AFA"/>
    <w:rsid w:val="00187BCB"/>
    <w:rsid w:val="001908BF"/>
    <w:rsid w:val="00190DDB"/>
    <w:rsid w:val="00190FB1"/>
    <w:rsid w:val="001910FF"/>
    <w:rsid w:val="001913F4"/>
    <w:rsid w:val="00191BCC"/>
    <w:rsid w:val="00191BFE"/>
    <w:rsid w:val="00191C08"/>
    <w:rsid w:val="001938E2"/>
    <w:rsid w:val="00194415"/>
    <w:rsid w:val="001944EB"/>
    <w:rsid w:val="001947BD"/>
    <w:rsid w:val="00194E8B"/>
    <w:rsid w:val="00195180"/>
    <w:rsid w:val="001951D9"/>
    <w:rsid w:val="00195C90"/>
    <w:rsid w:val="00195CFB"/>
    <w:rsid w:val="00195D48"/>
    <w:rsid w:val="00196BA0"/>
    <w:rsid w:val="00197394"/>
    <w:rsid w:val="001A0086"/>
    <w:rsid w:val="001A0D3E"/>
    <w:rsid w:val="001A1101"/>
    <w:rsid w:val="001A1661"/>
    <w:rsid w:val="001A1B37"/>
    <w:rsid w:val="001A1BD3"/>
    <w:rsid w:val="001A1C88"/>
    <w:rsid w:val="001A20B7"/>
    <w:rsid w:val="001A35E0"/>
    <w:rsid w:val="001A4888"/>
    <w:rsid w:val="001A4F86"/>
    <w:rsid w:val="001A5865"/>
    <w:rsid w:val="001A5D5D"/>
    <w:rsid w:val="001A5DC3"/>
    <w:rsid w:val="001A64A2"/>
    <w:rsid w:val="001A698E"/>
    <w:rsid w:val="001A6A4E"/>
    <w:rsid w:val="001A70DC"/>
    <w:rsid w:val="001A7F19"/>
    <w:rsid w:val="001B026C"/>
    <w:rsid w:val="001B0335"/>
    <w:rsid w:val="001B054C"/>
    <w:rsid w:val="001B0570"/>
    <w:rsid w:val="001B07E5"/>
    <w:rsid w:val="001B1029"/>
    <w:rsid w:val="001B187C"/>
    <w:rsid w:val="001B193F"/>
    <w:rsid w:val="001B1A67"/>
    <w:rsid w:val="001B1B0B"/>
    <w:rsid w:val="001B1ED4"/>
    <w:rsid w:val="001B276D"/>
    <w:rsid w:val="001B2AD6"/>
    <w:rsid w:val="001B2DA5"/>
    <w:rsid w:val="001B31AA"/>
    <w:rsid w:val="001B3502"/>
    <w:rsid w:val="001B3527"/>
    <w:rsid w:val="001B3BC0"/>
    <w:rsid w:val="001B3CC0"/>
    <w:rsid w:val="001B3CD8"/>
    <w:rsid w:val="001B42BC"/>
    <w:rsid w:val="001B42C5"/>
    <w:rsid w:val="001B43CD"/>
    <w:rsid w:val="001B452C"/>
    <w:rsid w:val="001B4A14"/>
    <w:rsid w:val="001B4A59"/>
    <w:rsid w:val="001B535D"/>
    <w:rsid w:val="001B53D1"/>
    <w:rsid w:val="001B572C"/>
    <w:rsid w:val="001B5878"/>
    <w:rsid w:val="001B5DAE"/>
    <w:rsid w:val="001B5F1C"/>
    <w:rsid w:val="001B6158"/>
    <w:rsid w:val="001B6611"/>
    <w:rsid w:val="001B6A51"/>
    <w:rsid w:val="001B6C96"/>
    <w:rsid w:val="001B7659"/>
    <w:rsid w:val="001B78B7"/>
    <w:rsid w:val="001B7D4A"/>
    <w:rsid w:val="001B7EE7"/>
    <w:rsid w:val="001C05EC"/>
    <w:rsid w:val="001C0C8C"/>
    <w:rsid w:val="001C0FB0"/>
    <w:rsid w:val="001C136A"/>
    <w:rsid w:val="001C22F6"/>
    <w:rsid w:val="001C249A"/>
    <w:rsid w:val="001C24A3"/>
    <w:rsid w:val="001C297D"/>
    <w:rsid w:val="001C299A"/>
    <w:rsid w:val="001C2A7F"/>
    <w:rsid w:val="001C3BF0"/>
    <w:rsid w:val="001C3C02"/>
    <w:rsid w:val="001C4567"/>
    <w:rsid w:val="001C46B5"/>
    <w:rsid w:val="001C51E9"/>
    <w:rsid w:val="001C59B0"/>
    <w:rsid w:val="001C59DA"/>
    <w:rsid w:val="001C5D7F"/>
    <w:rsid w:val="001C5F97"/>
    <w:rsid w:val="001C6E60"/>
    <w:rsid w:val="001C761D"/>
    <w:rsid w:val="001D0010"/>
    <w:rsid w:val="001D05B2"/>
    <w:rsid w:val="001D07EA"/>
    <w:rsid w:val="001D0C44"/>
    <w:rsid w:val="001D0F6D"/>
    <w:rsid w:val="001D15A4"/>
    <w:rsid w:val="001D1C44"/>
    <w:rsid w:val="001D1DB3"/>
    <w:rsid w:val="001D24E9"/>
    <w:rsid w:val="001D2B21"/>
    <w:rsid w:val="001D3031"/>
    <w:rsid w:val="001D35DB"/>
    <w:rsid w:val="001D3AB4"/>
    <w:rsid w:val="001D3D50"/>
    <w:rsid w:val="001D45C1"/>
    <w:rsid w:val="001D4D4D"/>
    <w:rsid w:val="001D57A5"/>
    <w:rsid w:val="001D5A21"/>
    <w:rsid w:val="001D5F8C"/>
    <w:rsid w:val="001D6460"/>
    <w:rsid w:val="001D654E"/>
    <w:rsid w:val="001D6CEE"/>
    <w:rsid w:val="001D6DEB"/>
    <w:rsid w:val="001D7247"/>
    <w:rsid w:val="001D76E8"/>
    <w:rsid w:val="001D78CE"/>
    <w:rsid w:val="001D7A4D"/>
    <w:rsid w:val="001D7B22"/>
    <w:rsid w:val="001D7F7D"/>
    <w:rsid w:val="001E0204"/>
    <w:rsid w:val="001E0A87"/>
    <w:rsid w:val="001E1399"/>
    <w:rsid w:val="001E1DAB"/>
    <w:rsid w:val="001E1EEB"/>
    <w:rsid w:val="001E1F33"/>
    <w:rsid w:val="001E2A32"/>
    <w:rsid w:val="001E30A4"/>
    <w:rsid w:val="001E35C8"/>
    <w:rsid w:val="001E3A6C"/>
    <w:rsid w:val="001E3A80"/>
    <w:rsid w:val="001E3B84"/>
    <w:rsid w:val="001E3C81"/>
    <w:rsid w:val="001E3D9B"/>
    <w:rsid w:val="001E418F"/>
    <w:rsid w:val="001E43D3"/>
    <w:rsid w:val="001E4BD0"/>
    <w:rsid w:val="001E4DC8"/>
    <w:rsid w:val="001E515D"/>
    <w:rsid w:val="001E5732"/>
    <w:rsid w:val="001E5D2F"/>
    <w:rsid w:val="001E67C7"/>
    <w:rsid w:val="001E6997"/>
    <w:rsid w:val="001E6AB9"/>
    <w:rsid w:val="001E6CF4"/>
    <w:rsid w:val="001E6CFB"/>
    <w:rsid w:val="001E7045"/>
    <w:rsid w:val="001E7B29"/>
    <w:rsid w:val="001E7C8D"/>
    <w:rsid w:val="001E7D2E"/>
    <w:rsid w:val="001E7E8A"/>
    <w:rsid w:val="001F01F1"/>
    <w:rsid w:val="001F0483"/>
    <w:rsid w:val="001F071E"/>
    <w:rsid w:val="001F0A1A"/>
    <w:rsid w:val="001F1416"/>
    <w:rsid w:val="001F224D"/>
    <w:rsid w:val="001F25FC"/>
    <w:rsid w:val="001F2768"/>
    <w:rsid w:val="001F377D"/>
    <w:rsid w:val="001F3E1F"/>
    <w:rsid w:val="001F4358"/>
    <w:rsid w:val="001F43A7"/>
    <w:rsid w:val="001F46CC"/>
    <w:rsid w:val="001F4977"/>
    <w:rsid w:val="001F5180"/>
    <w:rsid w:val="001F5672"/>
    <w:rsid w:val="001F5962"/>
    <w:rsid w:val="001F5F0A"/>
    <w:rsid w:val="001F61EA"/>
    <w:rsid w:val="001F65DE"/>
    <w:rsid w:val="001F67BB"/>
    <w:rsid w:val="001F6840"/>
    <w:rsid w:val="001F6868"/>
    <w:rsid w:val="001F6929"/>
    <w:rsid w:val="001F69CB"/>
    <w:rsid w:val="001F72FB"/>
    <w:rsid w:val="001F730B"/>
    <w:rsid w:val="001F74EE"/>
    <w:rsid w:val="001F767D"/>
    <w:rsid w:val="001F7A66"/>
    <w:rsid w:val="001F7B44"/>
    <w:rsid w:val="001F7D9F"/>
    <w:rsid w:val="002003CC"/>
    <w:rsid w:val="0020079F"/>
    <w:rsid w:val="0020090D"/>
    <w:rsid w:val="00200EAA"/>
    <w:rsid w:val="002012BB"/>
    <w:rsid w:val="002013C2"/>
    <w:rsid w:val="00202235"/>
    <w:rsid w:val="0020237C"/>
    <w:rsid w:val="00202957"/>
    <w:rsid w:val="00202B04"/>
    <w:rsid w:val="0020354D"/>
    <w:rsid w:val="00203A40"/>
    <w:rsid w:val="00203B1C"/>
    <w:rsid w:val="002044E5"/>
    <w:rsid w:val="00205E97"/>
    <w:rsid w:val="002062A6"/>
    <w:rsid w:val="00206ECD"/>
    <w:rsid w:val="00206FA7"/>
    <w:rsid w:val="002071F5"/>
    <w:rsid w:val="0020734A"/>
    <w:rsid w:val="0020741B"/>
    <w:rsid w:val="00207815"/>
    <w:rsid w:val="00210AC3"/>
    <w:rsid w:val="00210CB2"/>
    <w:rsid w:val="00211171"/>
    <w:rsid w:val="0021118D"/>
    <w:rsid w:val="00212030"/>
    <w:rsid w:val="00212174"/>
    <w:rsid w:val="002123E8"/>
    <w:rsid w:val="00212849"/>
    <w:rsid w:val="00212931"/>
    <w:rsid w:val="00212D76"/>
    <w:rsid w:val="00212E22"/>
    <w:rsid w:val="0021352D"/>
    <w:rsid w:val="00213919"/>
    <w:rsid w:val="00213BA8"/>
    <w:rsid w:val="00213E97"/>
    <w:rsid w:val="00214166"/>
    <w:rsid w:val="002141B3"/>
    <w:rsid w:val="002145BA"/>
    <w:rsid w:val="002149CF"/>
    <w:rsid w:val="00214E51"/>
    <w:rsid w:val="0021506D"/>
    <w:rsid w:val="0021546C"/>
    <w:rsid w:val="0021596D"/>
    <w:rsid w:val="00215A3F"/>
    <w:rsid w:val="00215A6F"/>
    <w:rsid w:val="0021637F"/>
    <w:rsid w:val="002164ED"/>
    <w:rsid w:val="0021697D"/>
    <w:rsid w:val="00216B9E"/>
    <w:rsid w:val="002173E8"/>
    <w:rsid w:val="002175F9"/>
    <w:rsid w:val="00217AE3"/>
    <w:rsid w:val="00217C8A"/>
    <w:rsid w:val="00217FBC"/>
    <w:rsid w:val="0022061E"/>
    <w:rsid w:val="00220976"/>
    <w:rsid w:val="00220D4D"/>
    <w:rsid w:val="0022125D"/>
    <w:rsid w:val="002216B8"/>
    <w:rsid w:val="0022185B"/>
    <w:rsid w:val="00221A74"/>
    <w:rsid w:val="00221BFB"/>
    <w:rsid w:val="00221FFF"/>
    <w:rsid w:val="00222295"/>
    <w:rsid w:val="0022232F"/>
    <w:rsid w:val="0022259B"/>
    <w:rsid w:val="002227A1"/>
    <w:rsid w:val="00222E7F"/>
    <w:rsid w:val="00223156"/>
    <w:rsid w:val="00224153"/>
    <w:rsid w:val="002245A8"/>
    <w:rsid w:val="00224D1C"/>
    <w:rsid w:val="00224E06"/>
    <w:rsid w:val="00225A95"/>
    <w:rsid w:val="00225FDE"/>
    <w:rsid w:val="0022620E"/>
    <w:rsid w:val="0022634E"/>
    <w:rsid w:val="00226CAC"/>
    <w:rsid w:val="00226D64"/>
    <w:rsid w:val="00226D82"/>
    <w:rsid w:val="00227EF3"/>
    <w:rsid w:val="002300E8"/>
    <w:rsid w:val="002306BA"/>
    <w:rsid w:val="002313E6"/>
    <w:rsid w:val="00231737"/>
    <w:rsid w:val="00231C30"/>
    <w:rsid w:val="002325BC"/>
    <w:rsid w:val="002325E4"/>
    <w:rsid w:val="00233016"/>
    <w:rsid w:val="0023330F"/>
    <w:rsid w:val="00233533"/>
    <w:rsid w:val="0023367E"/>
    <w:rsid w:val="00233934"/>
    <w:rsid w:val="002342CA"/>
    <w:rsid w:val="00234911"/>
    <w:rsid w:val="00234D8D"/>
    <w:rsid w:val="00235495"/>
    <w:rsid w:val="002358B8"/>
    <w:rsid w:val="00235F57"/>
    <w:rsid w:val="002365F7"/>
    <w:rsid w:val="00236A17"/>
    <w:rsid w:val="00236BC7"/>
    <w:rsid w:val="00236D8C"/>
    <w:rsid w:val="00237603"/>
    <w:rsid w:val="00237750"/>
    <w:rsid w:val="00237B33"/>
    <w:rsid w:val="00237DD6"/>
    <w:rsid w:val="00237EF8"/>
    <w:rsid w:val="00237FF2"/>
    <w:rsid w:val="002403F4"/>
    <w:rsid w:val="00240479"/>
    <w:rsid w:val="002405E2"/>
    <w:rsid w:val="00240834"/>
    <w:rsid w:val="00240A03"/>
    <w:rsid w:val="00240E74"/>
    <w:rsid w:val="00240FE5"/>
    <w:rsid w:val="002410D6"/>
    <w:rsid w:val="002411B6"/>
    <w:rsid w:val="002414FB"/>
    <w:rsid w:val="002416FE"/>
    <w:rsid w:val="00241829"/>
    <w:rsid w:val="00241D3E"/>
    <w:rsid w:val="00241F37"/>
    <w:rsid w:val="002426A8"/>
    <w:rsid w:val="002428A5"/>
    <w:rsid w:val="002428B6"/>
    <w:rsid w:val="0024292A"/>
    <w:rsid w:val="00242F1A"/>
    <w:rsid w:val="002430C5"/>
    <w:rsid w:val="0024377F"/>
    <w:rsid w:val="002438C8"/>
    <w:rsid w:val="00243BAD"/>
    <w:rsid w:val="00244505"/>
    <w:rsid w:val="00244665"/>
    <w:rsid w:val="00244B05"/>
    <w:rsid w:val="00244F45"/>
    <w:rsid w:val="00244F8D"/>
    <w:rsid w:val="00244FE3"/>
    <w:rsid w:val="00246198"/>
    <w:rsid w:val="0024619F"/>
    <w:rsid w:val="0024634B"/>
    <w:rsid w:val="002463B5"/>
    <w:rsid w:val="00246919"/>
    <w:rsid w:val="00246DF0"/>
    <w:rsid w:val="00247808"/>
    <w:rsid w:val="00247FCF"/>
    <w:rsid w:val="00250459"/>
    <w:rsid w:val="002504B1"/>
    <w:rsid w:val="002506FE"/>
    <w:rsid w:val="00250B3E"/>
    <w:rsid w:val="00250B60"/>
    <w:rsid w:val="0025149C"/>
    <w:rsid w:val="00251D21"/>
    <w:rsid w:val="00252239"/>
    <w:rsid w:val="00252CCA"/>
    <w:rsid w:val="0025398C"/>
    <w:rsid w:val="00253BED"/>
    <w:rsid w:val="00254056"/>
    <w:rsid w:val="0025435C"/>
    <w:rsid w:val="00254ABB"/>
    <w:rsid w:val="00254B3C"/>
    <w:rsid w:val="002550EA"/>
    <w:rsid w:val="0025542F"/>
    <w:rsid w:val="002559B6"/>
    <w:rsid w:val="002560A3"/>
    <w:rsid w:val="0025623B"/>
    <w:rsid w:val="002562B3"/>
    <w:rsid w:val="002564FF"/>
    <w:rsid w:val="00256629"/>
    <w:rsid w:val="00256C02"/>
    <w:rsid w:val="00256CA8"/>
    <w:rsid w:val="00257223"/>
    <w:rsid w:val="0025798B"/>
    <w:rsid w:val="00261392"/>
    <w:rsid w:val="00261767"/>
    <w:rsid w:val="00261867"/>
    <w:rsid w:val="00261CB4"/>
    <w:rsid w:val="00261CD1"/>
    <w:rsid w:val="00261FF4"/>
    <w:rsid w:val="0026218B"/>
    <w:rsid w:val="00262212"/>
    <w:rsid w:val="00262C71"/>
    <w:rsid w:val="00262D20"/>
    <w:rsid w:val="00262DCB"/>
    <w:rsid w:val="00262F87"/>
    <w:rsid w:val="00263301"/>
    <w:rsid w:val="002633DA"/>
    <w:rsid w:val="0026420E"/>
    <w:rsid w:val="00264633"/>
    <w:rsid w:val="00264886"/>
    <w:rsid w:val="00264AB3"/>
    <w:rsid w:val="00264C15"/>
    <w:rsid w:val="002651BA"/>
    <w:rsid w:val="002655D6"/>
    <w:rsid w:val="0026568F"/>
    <w:rsid w:val="00265CF9"/>
    <w:rsid w:val="00266293"/>
    <w:rsid w:val="00266D37"/>
    <w:rsid w:val="00266E04"/>
    <w:rsid w:val="00267BB9"/>
    <w:rsid w:val="00267BC2"/>
    <w:rsid w:val="0027015F"/>
    <w:rsid w:val="00270368"/>
    <w:rsid w:val="0027041A"/>
    <w:rsid w:val="00270514"/>
    <w:rsid w:val="00270C4A"/>
    <w:rsid w:val="00271358"/>
    <w:rsid w:val="00271463"/>
    <w:rsid w:val="002714CE"/>
    <w:rsid w:val="0027185A"/>
    <w:rsid w:val="002718B9"/>
    <w:rsid w:val="00271C22"/>
    <w:rsid w:val="00271E4E"/>
    <w:rsid w:val="00272D0D"/>
    <w:rsid w:val="0027313F"/>
    <w:rsid w:val="0027339C"/>
    <w:rsid w:val="0027350F"/>
    <w:rsid w:val="00273CC5"/>
    <w:rsid w:val="0027403E"/>
    <w:rsid w:val="0027408E"/>
    <w:rsid w:val="002741AD"/>
    <w:rsid w:val="00275182"/>
    <w:rsid w:val="00275CD6"/>
    <w:rsid w:val="00276295"/>
    <w:rsid w:val="00276714"/>
    <w:rsid w:val="00276873"/>
    <w:rsid w:val="00276CA4"/>
    <w:rsid w:val="002775B7"/>
    <w:rsid w:val="0027797C"/>
    <w:rsid w:val="00277A4B"/>
    <w:rsid w:val="002803A0"/>
    <w:rsid w:val="002806BB"/>
    <w:rsid w:val="0028075C"/>
    <w:rsid w:val="00280961"/>
    <w:rsid w:val="002810D1"/>
    <w:rsid w:val="0028160D"/>
    <w:rsid w:val="00282136"/>
    <w:rsid w:val="00282498"/>
    <w:rsid w:val="00282506"/>
    <w:rsid w:val="00282B89"/>
    <w:rsid w:val="00283075"/>
    <w:rsid w:val="0028378D"/>
    <w:rsid w:val="00283826"/>
    <w:rsid w:val="00284001"/>
    <w:rsid w:val="00284114"/>
    <w:rsid w:val="00284A11"/>
    <w:rsid w:val="00285695"/>
    <w:rsid w:val="00285A83"/>
    <w:rsid w:val="00285D4A"/>
    <w:rsid w:val="002861B9"/>
    <w:rsid w:val="00286736"/>
    <w:rsid w:val="00286B05"/>
    <w:rsid w:val="00287132"/>
    <w:rsid w:val="00287B58"/>
    <w:rsid w:val="00287BD6"/>
    <w:rsid w:val="002907D7"/>
    <w:rsid w:val="00290E32"/>
    <w:rsid w:val="002910C3"/>
    <w:rsid w:val="002910CE"/>
    <w:rsid w:val="002912F6"/>
    <w:rsid w:val="00291361"/>
    <w:rsid w:val="002923E1"/>
    <w:rsid w:val="002926D6"/>
    <w:rsid w:val="002929B7"/>
    <w:rsid w:val="00292D03"/>
    <w:rsid w:val="00292D74"/>
    <w:rsid w:val="002931C1"/>
    <w:rsid w:val="00293F30"/>
    <w:rsid w:val="00294395"/>
    <w:rsid w:val="002943B9"/>
    <w:rsid w:val="0029458F"/>
    <w:rsid w:val="00294ED6"/>
    <w:rsid w:val="002954DB"/>
    <w:rsid w:val="00295B33"/>
    <w:rsid w:val="00295B52"/>
    <w:rsid w:val="00295CDC"/>
    <w:rsid w:val="00295E1F"/>
    <w:rsid w:val="002965D2"/>
    <w:rsid w:val="00296B2B"/>
    <w:rsid w:val="00296B65"/>
    <w:rsid w:val="0029711B"/>
    <w:rsid w:val="00297433"/>
    <w:rsid w:val="00297740"/>
    <w:rsid w:val="00297919"/>
    <w:rsid w:val="00297992"/>
    <w:rsid w:val="00297D14"/>
    <w:rsid w:val="002A0A71"/>
    <w:rsid w:val="002A0E18"/>
    <w:rsid w:val="002A11FA"/>
    <w:rsid w:val="002A1685"/>
    <w:rsid w:val="002A19CA"/>
    <w:rsid w:val="002A1A67"/>
    <w:rsid w:val="002A1AE9"/>
    <w:rsid w:val="002A26FF"/>
    <w:rsid w:val="002A27E1"/>
    <w:rsid w:val="002A2885"/>
    <w:rsid w:val="002A2B50"/>
    <w:rsid w:val="002A3099"/>
    <w:rsid w:val="002A4130"/>
    <w:rsid w:val="002A557C"/>
    <w:rsid w:val="002A5672"/>
    <w:rsid w:val="002A58FD"/>
    <w:rsid w:val="002A59D7"/>
    <w:rsid w:val="002A5D4D"/>
    <w:rsid w:val="002A5E20"/>
    <w:rsid w:val="002A5E66"/>
    <w:rsid w:val="002A68B3"/>
    <w:rsid w:val="002A6DBC"/>
    <w:rsid w:val="002A6F6A"/>
    <w:rsid w:val="002A6FE1"/>
    <w:rsid w:val="002A72F7"/>
    <w:rsid w:val="002A7325"/>
    <w:rsid w:val="002A79E2"/>
    <w:rsid w:val="002B017C"/>
    <w:rsid w:val="002B06A7"/>
    <w:rsid w:val="002B07DD"/>
    <w:rsid w:val="002B0E4C"/>
    <w:rsid w:val="002B1080"/>
    <w:rsid w:val="002B11DC"/>
    <w:rsid w:val="002B13BA"/>
    <w:rsid w:val="002B1B64"/>
    <w:rsid w:val="002B1B68"/>
    <w:rsid w:val="002B1D62"/>
    <w:rsid w:val="002B2523"/>
    <w:rsid w:val="002B265F"/>
    <w:rsid w:val="002B2A5C"/>
    <w:rsid w:val="002B2AB8"/>
    <w:rsid w:val="002B2B2A"/>
    <w:rsid w:val="002B2B63"/>
    <w:rsid w:val="002B2F32"/>
    <w:rsid w:val="002B325E"/>
    <w:rsid w:val="002B3722"/>
    <w:rsid w:val="002B3D01"/>
    <w:rsid w:val="002B4498"/>
    <w:rsid w:val="002B483F"/>
    <w:rsid w:val="002B4848"/>
    <w:rsid w:val="002B4A9B"/>
    <w:rsid w:val="002B4E25"/>
    <w:rsid w:val="002B5753"/>
    <w:rsid w:val="002B6064"/>
    <w:rsid w:val="002B67E8"/>
    <w:rsid w:val="002B6E1B"/>
    <w:rsid w:val="002B732D"/>
    <w:rsid w:val="002B7418"/>
    <w:rsid w:val="002B773D"/>
    <w:rsid w:val="002B777A"/>
    <w:rsid w:val="002B798F"/>
    <w:rsid w:val="002B79B8"/>
    <w:rsid w:val="002B7B42"/>
    <w:rsid w:val="002B7D6F"/>
    <w:rsid w:val="002C0516"/>
    <w:rsid w:val="002C0C99"/>
    <w:rsid w:val="002C124B"/>
    <w:rsid w:val="002C176E"/>
    <w:rsid w:val="002C214C"/>
    <w:rsid w:val="002C39F2"/>
    <w:rsid w:val="002C3A82"/>
    <w:rsid w:val="002C40A5"/>
    <w:rsid w:val="002C5E1D"/>
    <w:rsid w:val="002C6AC0"/>
    <w:rsid w:val="002C6FCE"/>
    <w:rsid w:val="002C7817"/>
    <w:rsid w:val="002C782E"/>
    <w:rsid w:val="002C7A3A"/>
    <w:rsid w:val="002D09A6"/>
    <w:rsid w:val="002D1109"/>
    <w:rsid w:val="002D1462"/>
    <w:rsid w:val="002D1B7B"/>
    <w:rsid w:val="002D200C"/>
    <w:rsid w:val="002D21B6"/>
    <w:rsid w:val="002D28A1"/>
    <w:rsid w:val="002D2CEC"/>
    <w:rsid w:val="002D2FCB"/>
    <w:rsid w:val="002D352A"/>
    <w:rsid w:val="002D354A"/>
    <w:rsid w:val="002D394E"/>
    <w:rsid w:val="002D3B71"/>
    <w:rsid w:val="002D3B9C"/>
    <w:rsid w:val="002D43C8"/>
    <w:rsid w:val="002D46AB"/>
    <w:rsid w:val="002D4E1D"/>
    <w:rsid w:val="002D4EA5"/>
    <w:rsid w:val="002D5160"/>
    <w:rsid w:val="002D5BD4"/>
    <w:rsid w:val="002D67ED"/>
    <w:rsid w:val="002D6A7E"/>
    <w:rsid w:val="002D72C9"/>
    <w:rsid w:val="002D76B6"/>
    <w:rsid w:val="002D7894"/>
    <w:rsid w:val="002D7DC5"/>
    <w:rsid w:val="002E029F"/>
    <w:rsid w:val="002E0AD5"/>
    <w:rsid w:val="002E0BBB"/>
    <w:rsid w:val="002E0BC7"/>
    <w:rsid w:val="002E0D1E"/>
    <w:rsid w:val="002E0EF8"/>
    <w:rsid w:val="002E17FB"/>
    <w:rsid w:val="002E1969"/>
    <w:rsid w:val="002E1ED5"/>
    <w:rsid w:val="002E22AF"/>
    <w:rsid w:val="002E275E"/>
    <w:rsid w:val="002E3068"/>
    <w:rsid w:val="002E321A"/>
    <w:rsid w:val="002E33E4"/>
    <w:rsid w:val="002E3569"/>
    <w:rsid w:val="002E3CC9"/>
    <w:rsid w:val="002E3D36"/>
    <w:rsid w:val="002E3D48"/>
    <w:rsid w:val="002E4421"/>
    <w:rsid w:val="002E44A0"/>
    <w:rsid w:val="002E45E4"/>
    <w:rsid w:val="002E4D13"/>
    <w:rsid w:val="002E543D"/>
    <w:rsid w:val="002E59A2"/>
    <w:rsid w:val="002E658D"/>
    <w:rsid w:val="002E665D"/>
    <w:rsid w:val="002E6695"/>
    <w:rsid w:val="002E678E"/>
    <w:rsid w:val="002E687B"/>
    <w:rsid w:val="002E6BAB"/>
    <w:rsid w:val="002E723C"/>
    <w:rsid w:val="002E7284"/>
    <w:rsid w:val="002E73FF"/>
    <w:rsid w:val="002F01ED"/>
    <w:rsid w:val="002F02C7"/>
    <w:rsid w:val="002F0383"/>
    <w:rsid w:val="002F03F7"/>
    <w:rsid w:val="002F08E2"/>
    <w:rsid w:val="002F10B2"/>
    <w:rsid w:val="002F1AA6"/>
    <w:rsid w:val="002F21A4"/>
    <w:rsid w:val="002F2DF7"/>
    <w:rsid w:val="002F3496"/>
    <w:rsid w:val="002F3716"/>
    <w:rsid w:val="002F376E"/>
    <w:rsid w:val="002F3C92"/>
    <w:rsid w:val="002F454D"/>
    <w:rsid w:val="002F4B26"/>
    <w:rsid w:val="002F4BF6"/>
    <w:rsid w:val="002F5849"/>
    <w:rsid w:val="002F5A16"/>
    <w:rsid w:val="002F5D16"/>
    <w:rsid w:val="002F5D9A"/>
    <w:rsid w:val="002F60DA"/>
    <w:rsid w:val="002F6470"/>
    <w:rsid w:val="002F6CD1"/>
    <w:rsid w:val="002F6E7E"/>
    <w:rsid w:val="002F7024"/>
    <w:rsid w:val="002F7203"/>
    <w:rsid w:val="002F732F"/>
    <w:rsid w:val="00300103"/>
    <w:rsid w:val="00300962"/>
    <w:rsid w:val="00300B4B"/>
    <w:rsid w:val="00300E03"/>
    <w:rsid w:val="00301399"/>
    <w:rsid w:val="00302176"/>
    <w:rsid w:val="00302878"/>
    <w:rsid w:val="00303214"/>
    <w:rsid w:val="003034AC"/>
    <w:rsid w:val="00303FD7"/>
    <w:rsid w:val="003041EC"/>
    <w:rsid w:val="00304293"/>
    <w:rsid w:val="00304CAF"/>
    <w:rsid w:val="0030539D"/>
    <w:rsid w:val="003054D1"/>
    <w:rsid w:val="00305BC6"/>
    <w:rsid w:val="00305BDA"/>
    <w:rsid w:val="00305C03"/>
    <w:rsid w:val="00306232"/>
    <w:rsid w:val="00306F3C"/>
    <w:rsid w:val="003079E2"/>
    <w:rsid w:val="00307B9D"/>
    <w:rsid w:val="00307F6E"/>
    <w:rsid w:val="00310328"/>
    <w:rsid w:val="00310B62"/>
    <w:rsid w:val="003114F0"/>
    <w:rsid w:val="00311A71"/>
    <w:rsid w:val="00311B02"/>
    <w:rsid w:val="00311E88"/>
    <w:rsid w:val="00312058"/>
    <w:rsid w:val="00312084"/>
    <w:rsid w:val="003120A4"/>
    <w:rsid w:val="003123BC"/>
    <w:rsid w:val="00312637"/>
    <w:rsid w:val="00312707"/>
    <w:rsid w:val="0031278B"/>
    <w:rsid w:val="00312F0C"/>
    <w:rsid w:val="003130BD"/>
    <w:rsid w:val="00313641"/>
    <w:rsid w:val="00313CE6"/>
    <w:rsid w:val="00313EBA"/>
    <w:rsid w:val="00313F57"/>
    <w:rsid w:val="00314054"/>
    <w:rsid w:val="003145C2"/>
    <w:rsid w:val="003149F0"/>
    <w:rsid w:val="00315748"/>
    <w:rsid w:val="00315884"/>
    <w:rsid w:val="00315A7C"/>
    <w:rsid w:val="00316090"/>
    <w:rsid w:val="0031629D"/>
    <w:rsid w:val="00316EBC"/>
    <w:rsid w:val="00316F4C"/>
    <w:rsid w:val="0031760B"/>
    <w:rsid w:val="0031773B"/>
    <w:rsid w:val="00317937"/>
    <w:rsid w:val="00317D81"/>
    <w:rsid w:val="00317F84"/>
    <w:rsid w:val="0032086E"/>
    <w:rsid w:val="00320B25"/>
    <w:rsid w:val="00320EF0"/>
    <w:rsid w:val="00320FD8"/>
    <w:rsid w:val="00321091"/>
    <w:rsid w:val="00321AB2"/>
    <w:rsid w:val="00321ED2"/>
    <w:rsid w:val="0032207C"/>
    <w:rsid w:val="00322204"/>
    <w:rsid w:val="003227EB"/>
    <w:rsid w:val="00322E20"/>
    <w:rsid w:val="00322F1D"/>
    <w:rsid w:val="00322F2D"/>
    <w:rsid w:val="003230E9"/>
    <w:rsid w:val="00323E5C"/>
    <w:rsid w:val="00323E73"/>
    <w:rsid w:val="00323EBA"/>
    <w:rsid w:val="00324469"/>
    <w:rsid w:val="00324A8F"/>
    <w:rsid w:val="00325FEF"/>
    <w:rsid w:val="003262DB"/>
    <w:rsid w:val="00326304"/>
    <w:rsid w:val="0033011A"/>
    <w:rsid w:val="003301DC"/>
    <w:rsid w:val="0033026C"/>
    <w:rsid w:val="0033059A"/>
    <w:rsid w:val="0033080C"/>
    <w:rsid w:val="00330A0B"/>
    <w:rsid w:val="00330AEB"/>
    <w:rsid w:val="003313FE"/>
    <w:rsid w:val="0033211F"/>
    <w:rsid w:val="003323E8"/>
    <w:rsid w:val="00332444"/>
    <w:rsid w:val="00332475"/>
    <w:rsid w:val="00332792"/>
    <w:rsid w:val="00332CE5"/>
    <w:rsid w:val="00332DEC"/>
    <w:rsid w:val="00332F38"/>
    <w:rsid w:val="0033378C"/>
    <w:rsid w:val="00333EF2"/>
    <w:rsid w:val="00334227"/>
    <w:rsid w:val="00334C6E"/>
    <w:rsid w:val="003356FD"/>
    <w:rsid w:val="00335B54"/>
    <w:rsid w:val="00336428"/>
    <w:rsid w:val="00336979"/>
    <w:rsid w:val="00336A02"/>
    <w:rsid w:val="00336A5E"/>
    <w:rsid w:val="003375F0"/>
    <w:rsid w:val="00337B38"/>
    <w:rsid w:val="00337E1C"/>
    <w:rsid w:val="00340095"/>
    <w:rsid w:val="00340259"/>
    <w:rsid w:val="00340738"/>
    <w:rsid w:val="00342249"/>
    <w:rsid w:val="00342437"/>
    <w:rsid w:val="003424A9"/>
    <w:rsid w:val="003426B1"/>
    <w:rsid w:val="00343D21"/>
    <w:rsid w:val="00344049"/>
    <w:rsid w:val="00345400"/>
    <w:rsid w:val="00345585"/>
    <w:rsid w:val="003457F8"/>
    <w:rsid w:val="00345899"/>
    <w:rsid w:val="00345EE9"/>
    <w:rsid w:val="00346147"/>
    <w:rsid w:val="003469B8"/>
    <w:rsid w:val="00347196"/>
    <w:rsid w:val="003473C3"/>
    <w:rsid w:val="003476F0"/>
    <w:rsid w:val="0034786D"/>
    <w:rsid w:val="003500EF"/>
    <w:rsid w:val="00350F57"/>
    <w:rsid w:val="0035124C"/>
    <w:rsid w:val="00351BE0"/>
    <w:rsid w:val="00351E3F"/>
    <w:rsid w:val="00352428"/>
    <w:rsid w:val="00352DB7"/>
    <w:rsid w:val="00353125"/>
    <w:rsid w:val="00353475"/>
    <w:rsid w:val="003538A0"/>
    <w:rsid w:val="00354399"/>
    <w:rsid w:val="00354791"/>
    <w:rsid w:val="00354CB8"/>
    <w:rsid w:val="003553D1"/>
    <w:rsid w:val="0035593D"/>
    <w:rsid w:val="00355EDA"/>
    <w:rsid w:val="003566B3"/>
    <w:rsid w:val="00356748"/>
    <w:rsid w:val="0035681C"/>
    <w:rsid w:val="0035693F"/>
    <w:rsid w:val="00357513"/>
    <w:rsid w:val="003575EC"/>
    <w:rsid w:val="00357AA5"/>
    <w:rsid w:val="00357C14"/>
    <w:rsid w:val="00357DDC"/>
    <w:rsid w:val="00360032"/>
    <w:rsid w:val="00360054"/>
    <w:rsid w:val="00360AC8"/>
    <w:rsid w:val="00360C55"/>
    <w:rsid w:val="003615A8"/>
    <w:rsid w:val="003617B5"/>
    <w:rsid w:val="003619BF"/>
    <w:rsid w:val="00361D3C"/>
    <w:rsid w:val="0036241C"/>
    <w:rsid w:val="003628C0"/>
    <w:rsid w:val="00362D9E"/>
    <w:rsid w:val="0036350D"/>
    <w:rsid w:val="0036417C"/>
    <w:rsid w:val="00364429"/>
    <w:rsid w:val="003645D7"/>
    <w:rsid w:val="00364A3C"/>
    <w:rsid w:val="00364AD2"/>
    <w:rsid w:val="00365117"/>
    <w:rsid w:val="00365AB0"/>
    <w:rsid w:val="00365B77"/>
    <w:rsid w:val="00365DC8"/>
    <w:rsid w:val="00365F9D"/>
    <w:rsid w:val="003661F2"/>
    <w:rsid w:val="003665E3"/>
    <w:rsid w:val="0036691E"/>
    <w:rsid w:val="0036773C"/>
    <w:rsid w:val="00370920"/>
    <w:rsid w:val="00370D4D"/>
    <w:rsid w:val="0037121D"/>
    <w:rsid w:val="00371347"/>
    <w:rsid w:val="003718F2"/>
    <w:rsid w:val="00372584"/>
    <w:rsid w:val="003726D9"/>
    <w:rsid w:val="00372A13"/>
    <w:rsid w:val="00372AC1"/>
    <w:rsid w:val="0037311D"/>
    <w:rsid w:val="0037341A"/>
    <w:rsid w:val="00373C9F"/>
    <w:rsid w:val="00374A18"/>
    <w:rsid w:val="00374DCB"/>
    <w:rsid w:val="00374EA4"/>
    <w:rsid w:val="00374FAD"/>
    <w:rsid w:val="003753CB"/>
    <w:rsid w:val="0037599C"/>
    <w:rsid w:val="003760FE"/>
    <w:rsid w:val="00376131"/>
    <w:rsid w:val="003763F7"/>
    <w:rsid w:val="0037654C"/>
    <w:rsid w:val="00376856"/>
    <w:rsid w:val="003769A1"/>
    <w:rsid w:val="00376A20"/>
    <w:rsid w:val="003772EC"/>
    <w:rsid w:val="00380551"/>
    <w:rsid w:val="00380852"/>
    <w:rsid w:val="00380ABC"/>
    <w:rsid w:val="00381582"/>
    <w:rsid w:val="00382665"/>
    <w:rsid w:val="00382A70"/>
    <w:rsid w:val="00383056"/>
    <w:rsid w:val="003834F5"/>
    <w:rsid w:val="003837A8"/>
    <w:rsid w:val="00383DA0"/>
    <w:rsid w:val="0038432D"/>
    <w:rsid w:val="00384369"/>
    <w:rsid w:val="00384694"/>
    <w:rsid w:val="00384DCE"/>
    <w:rsid w:val="0038516E"/>
    <w:rsid w:val="003853C0"/>
    <w:rsid w:val="00385A8A"/>
    <w:rsid w:val="00385C4A"/>
    <w:rsid w:val="0038646B"/>
    <w:rsid w:val="003868F4"/>
    <w:rsid w:val="00386A0E"/>
    <w:rsid w:val="00386AA0"/>
    <w:rsid w:val="00387992"/>
    <w:rsid w:val="00387A12"/>
    <w:rsid w:val="00387F4A"/>
    <w:rsid w:val="003901D6"/>
    <w:rsid w:val="0039040B"/>
    <w:rsid w:val="0039054A"/>
    <w:rsid w:val="00390860"/>
    <w:rsid w:val="00390A2B"/>
    <w:rsid w:val="00390FFC"/>
    <w:rsid w:val="003911B2"/>
    <w:rsid w:val="003913DB"/>
    <w:rsid w:val="003914CF"/>
    <w:rsid w:val="003915DB"/>
    <w:rsid w:val="00391673"/>
    <w:rsid w:val="00392114"/>
    <w:rsid w:val="003923C9"/>
    <w:rsid w:val="00392F4A"/>
    <w:rsid w:val="00393B05"/>
    <w:rsid w:val="00393C63"/>
    <w:rsid w:val="00393D4A"/>
    <w:rsid w:val="003943B5"/>
    <w:rsid w:val="00394D8D"/>
    <w:rsid w:val="00394FDC"/>
    <w:rsid w:val="00395558"/>
    <w:rsid w:val="0039564A"/>
    <w:rsid w:val="003956D1"/>
    <w:rsid w:val="00395DF5"/>
    <w:rsid w:val="00396857"/>
    <w:rsid w:val="00396876"/>
    <w:rsid w:val="00396F8D"/>
    <w:rsid w:val="00396FA3"/>
    <w:rsid w:val="003973E8"/>
    <w:rsid w:val="003974F7"/>
    <w:rsid w:val="003A00D5"/>
    <w:rsid w:val="003A077A"/>
    <w:rsid w:val="003A09F2"/>
    <w:rsid w:val="003A0C27"/>
    <w:rsid w:val="003A28D9"/>
    <w:rsid w:val="003A2EA7"/>
    <w:rsid w:val="003A38E6"/>
    <w:rsid w:val="003A3DB6"/>
    <w:rsid w:val="003A41C0"/>
    <w:rsid w:val="003A4210"/>
    <w:rsid w:val="003A438B"/>
    <w:rsid w:val="003A4993"/>
    <w:rsid w:val="003A5054"/>
    <w:rsid w:val="003A50D2"/>
    <w:rsid w:val="003A50FD"/>
    <w:rsid w:val="003A5B01"/>
    <w:rsid w:val="003A5D24"/>
    <w:rsid w:val="003A69EC"/>
    <w:rsid w:val="003A6D73"/>
    <w:rsid w:val="003A77BB"/>
    <w:rsid w:val="003A77CC"/>
    <w:rsid w:val="003A7811"/>
    <w:rsid w:val="003A7B2C"/>
    <w:rsid w:val="003A7D3C"/>
    <w:rsid w:val="003B0294"/>
    <w:rsid w:val="003B17D8"/>
    <w:rsid w:val="003B2FCF"/>
    <w:rsid w:val="003B3192"/>
    <w:rsid w:val="003B3746"/>
    <w:rsid w:val="003B3E8F"/>
    <w:rsid w:val="003B43EA"/>
    <w:rsid w:val="003B4532"/>
    <w:rsid w:val="003B47D1"/>
    <w:rsid w:val="003B4B74"/>
    <w:rsid w:val="003B4E07"/>
    <w:rsid w:val="003B53F9"/>
    <w:rsid w:val="003B5426"/>
    <w:rsid w:val="003B75D1"/>
    <w:rsid w:val="003B75FC"/>
    <w:rsid w:val="003B7AC1"/>
    <w:rsid w:val="003B7C4C"/>
    <w:rsid w:val="003B7C82"/>
    <w:rsid w:val="003C090A"/>
    <w:rsid w:val="003C0F5F"/>
    <w:rsid w:val="003C1527"/>
    <w:rsid w:val="003C1703"/>
    <w:rsid w:val="003C2050"/>
    <w:rsid w:val="003C2C2F"/>
    <w:rsid w:val="003C2C4C"/>
    <w:rsid w:val="003C2F61"/>
    <w:rsid w:val="003C320D"/>
    <w:rsid w:val="003C35AA"/>
    <w:rsid w:val="003C3D8B"/>
    <w:rsid w:val="003C3E3C"/>
    <w:rsid w:val="003C4630"/>
    <w:rsid w:val="003C4BEB"/>
    <w:rsid w:val="003C4CCE"/>
    <w:rsid w:val="003C4CE1"/>
    <w:rsid w:val="003C524B"/>
    <w:rsid w:val="003C5A11"/>
    <w:rsid w:val="003C6041"/>
    <w:rsid w:val="003C61DA"/>
    <w:rsid w:val="003C6438"/>
    <w:rsid w:val="003C65F1"/>
    <w:rsid w:val="003C6671"/>
    <w:rsid w:val="003C6891"/>
    <w:rsid w:val="003C723A"/>
    <w:rsid w:val="003C74D4"/>
    <w:rsid w:val="003C77B8"/>
    <w:rsid w:val="003C79A7"/>
    <w:rsid w:val="003C7E87"/>
    <w:rsid w:val="003D0471"/>
    <w:rsid w:val="003D0A84"/>
    <w:rsid w:val="003D1352"/>
    <w:rsid w:val="003D18D9"/>
    <w:rsid w:val="003D1951"/>
    <w:rsid w:val="003D19B7"/>
    <w:rsid w:val="003D1D69"/>
    <w:rsid w:val="003D2696"/>
    <w:rsid w:val="003D281C"/>
    <w:rsid w:val="003D2DBA"/>
    <w:rsid w:val="003D32B5"/>
    <w:rsid w:val="003D34AD"/>
    <w:rsid w:val="003D3974"/>
    <w:rsid w:val="003D39B6"/>
    <w:rsid w:val="003D3B8B"/>
    <w:rsid w:val="003D473B"/>
    <w:rsid w:val="003D47E4"/>
    <w:rsid w:val="003D4970"/>
    <w:rsid w:val="003D498F"/>
    <w:rsid w:val="003D4D6C"/>
    <w:rsid w:val="003D5062"/>
    <w:rsid w:val="003D5143"/>
    <w:rsid w:val="003D5339"/>
    <w:rsid w:val="003D535A"/>
    <w:rsid w:val="003D696A"/>
    <w:rsid w:val="003D697A"/>
    <w:rsid w:val="003D6D03"/>
    <w:rsid w:val="003D7496"/>
    <w:rsid w:val="003D78D4"/>
    <w:rsid w:val="003E016B"/>
    <w:rsid w:val="003E02DC"/>
    <w:rsid w:val="003E0A1F"/>
    <w:rsid w:val="003E0C47"/>
    <w:rsid w:val="003E0ED6"/>
    <w:rsid w:val="003E11BF"/>
    <w:rsid w:val="003E15C2"/>
    <w:rsid w:val="003E202D"/>
    <w:rsid w:val="003E2595"/>
    <w:rsid w:val="003E2996"/>
    <w:rsid w:val="003E2A29"/>
    <w:rsid w:val="003E2DD6"/>
    <w:rsid w:val="003E3217"/>
    <w:rsid w:val="003E32C9"/>
    <w:rsid w:val="003E3769"/>
    <w:rsid w:val="003E3B33"/>
    <w:rsid w:val="003E40A1"/>
    <w:rsid w:val="003E4286"/>
    <w:rsid w:val="003E4854"/>
    <w:rsid w:val="003E489D"/>
    <w:rsid w:val="003E4988"/>
    <w:rsid w:val="003E529C"/>
    <w:rsid w:val="003E54FC"/>
    <w:rsid w:val="003E5588"/>
    <w:rsid w:val="003E55FD"/>
    <w:rsid w:val="003E56FB"/>
    <w:rsid w:val="003E5833"/>
    <w:rsid w:val="003E5EBC"/>
    <w:rsid w:val="003E647C"/>
    <w:rsid w:val="003E6A60"/>
    <w:rsid w:val="003E6C86"/>
    <w:rsid w:val="003E6F6D"/>
    <w:rsid w:val="003E7D6A"/>
    <w:rsid w:val="003E7E85"/>
    <w:rsid w:val="003E7E91"/>
    <w:rsid w:val="003F0519"/>
    <w:rsid w:val="003F0D15"/>
    <w:rsid w:val="003F0EB4"/>
    <w:rsid w:val="003F1187"/>
    <w:rsid w:val="003F14D8"/>
    <w:rsid w:val="003F16A8"/>
    <w:rsid w:val="003F1856"/>
    <w:rsid w:val="003F1AC6"/>
    <w:rsid w:val="003F1CD4"/>
    <w:rsid w:val="003F1F0B"/>
    <w:rsid w:val="003F20BD"/>
    <w:rsid w:val="003F20C5"/>
    <w:rsid w:val="003F2AC7"/>
    <w:rsid w:val="003F2B18"/>
    <w:rsid w:val="003F32C7"/>
    <w:rsid w:val="003F3311"/>
    <w:rsid w:val="003F34C6"/>
    <w:rsid w:val="003F42A1"/>
    <w:rsid w:val="003F48DD"/>
    <w:rsid w:val="003F4F9B"/>
    <w:rsid w:val="003F5140"/>
    <w:rsid w:val="003F55F2"/>
    <w:rsid w:val="003F64CC"/>
    <w:rsid w:val="003F7297"/>
    <w:rsid w:val="003F74F9"/>
    <w:rsid w:val="003F7BF0"/>
    <w:rsid w:val="003F7F9D"/>
    <w:rsid w:val="0040116C"/>
    <w:rsid w:val="0040135D"/>
    <w:rsid w:val="00401547"/>
    <w:rsid w:val="0040171E"/>
    <w:rsid w:val="00401DD7"/>
    <w:rsid w:val="00401E20"/>
    <w:rsid w:val="00402336"/>
    <w:rsid w:val="00402904"/>
    <w:rsid w:val="00402B7A"/>
    <w:rsid w:val="00402E28"/>
    <w:rsid w:val="0040308C"/>
    <w:rsid w:val="00403140"/>
    <w:rsid w:val="00403833"/>
    <w:rsid w:val="00403B10"/>
    <w:rsid w:val="00403CB4"/>
    <w:rsid w:val="00403EB0"/>
    <w:rsid w:val="00404908"/>
    <w:rsid w:val="004049F6"/>
    <w:rsid w:val="00404AA2"/>
    <w:rsid w:val="00404BB2"/>
    <w:rsid w:val="004050AF"/>
    <w:rsid w:val="004056E3"/>
    <w:rsid w:val="0040657F"/>
    <w:rsid w:val="004065E5"/>
    <w:rsid w:val="004066D2"/>
    <w:rsid w:val="00406EFB"/>
    <w:rsid w:val="004075BF"/>
    <w:rsid w:val="00407828"/>
    <w:rsid w:val="00407CFD"/>
    <w:rsid w:val="0041029E"/>
    <w:rsid w:val="00410375"/>
    <w:rsid w:val="00410807"/>
    <w:rsid w:val="00410AE3"/>
    <w:rsid w:val="00410BC0"/>
    <w:rsid w:val="00410DBD"/>
    <w:rsid w:val="00410F7D"/>
    <w:rsid w:val="00410FAD"/>
    <w:rsid w:val="004110D6"/>
    <w:rsid w:val="00411225"/>
    <w:rsid w:val="004116C8"/>
    <w:rsid w:val="0041183B"/>
    <w:rsid w:val="00411911"/>
    <w:rsid w:val="004121D3"/>
    <w:rsid w:val="00412429"/>
    <w:rsid w:val="004127F7"/>
    <w:rsid w:val="00412B94"/>
    <w:rsid w:val="00412D76"/>
    <w:rsid w:val="004139A9"/>
    <w:rsid w:val="00413ED2"/>
    <w:rsid w:val="00414015"/>
    <w:rsid w:val="00414079"/>
    <w:rsid w:val="0041412D"/>
    <w:rsid w:val="004150D2"/>
    <w:rsid w:val="00415192"/>
    <w:rsid w:val="004152EB"/>
    <w:rsid w:val="0041540E"/>
    <w:rsid w:val="0041560A"/>
    <w:rsid w:val="00415A3F"/>
    <w:rsid w:val="00416DA1"/>
    <w:rsid w:val="004171A5"/>
    <w:rsid w:val="00420988"/>
    <w:rsid w:val="00420D70"/>
    <w:rsid w:val="0042205D"/>
    <w:rsid w:val="00422AFC"/>
    <w:rsid w:val="004234F7"/>
    <w:rsid w:val="00424109"/>
    <w:rsid w:val="00424173"/>
    <w:rsid w:val="00424493"/>
    <w:rsid w:val="00424FA2"/>
    <w:rsid w:val="0042591E"/>
    <w:rsid w:val="00425BB2"/>
    <w:rsid w:val="00425FC6"/>
    <w:rsid w:val="004268A7"/>
    <w:rsid w:val="00430038"/>
    <w:rsid w:val="004310F9"/>
    <w:rsid w:val="00431489"/>
    <w:rsid w:val="00431535"/>
    <w:rsid w:val="0043160D"/>
    <w:rsid w:val="00431927"/>
    <w:rsid w:val="00431C4D"/>
    <w:rsid w:val="004320C2"/>
    <w:rsid w:val="0043212C"/>
    <w:rsid w:val="004327F7"/>
    <w:rsid w:val="00433544"/>
    <w:rsid w:val="00433CE1"/>
    <w:rsid w:val="00433EB0"/>
    <w:rsid w:val="00434102"/>
    <w:rsid w:val="00434263"/>
    <w:rsid w:val="0043492A"/>
    <w:rsid w:val="00434B5F"/>
    <w:rsid w:val="00434D9A"/>
    <w:rsid w:val="00434F1F"/>
    <w:rsid w:val="00435527"/>
    <w:rsid w:val="0043587B"/>
    <w:rsid w:val="00436009"/>
    <w:rsid w:val="0043649B"/>
    <w:rsid w:val="00436704"/>
    <w:rsid w:val="0044025E"/>
    <w:rsid w:val="00440474"/>
    <w:rsid w:val="00440512"/>
    <w:rsid w:val="00440643"/>
    <w:rsid w:val="0044084B"/>
    <w:rsid w:val="004409A1"/>
    <w:rsid w:val="0044156D"/>
    <w:rsid w:val="0044200D"/>
    <w:rsid w:val="00442104"/>
    <w:rsid w:val="00442201"/>
    <w:rsid w:val="00442770"/>
    <w:rsid w:val="004428D6"/>
    <w:rsid w:val="00442FF7"/>
    <w:rsid w:val="00443190"/>
    <w:rsid w:val="004434DA"/>
    <w:rsid w:val="00443802"/>
    <w:rsid w:val="00443859"/>
    <w:rsid w:val="00443C08"/>
    <w:rsid w:val="00443DA5"/>
    <w:rsid w:val="004443CA"/>
    <w:rsid w:val="00444562"/>
    <w:rsid w:val="0044464C"/>
    <w:rsid w:val="004451AA"/>
    <w:rsid w:val="00445374"/>
    <w:rsid w:val="004457F7"/>
    <w:rsid w:val="00445AF4"/>
    <w:rsid w:val="00445FD1"/>
    <w:rsid w:val="00446146"/>
    <w:rsid w:val="00446BAF"/>
    <w:rsid w:val="00446CD9"/>
    <w:rsid w:val="00446D2B"/>
    <w:rsid w:val="00450671"/>
    <w:rsid w:val="00450803"/>
    <w:rsid w:val="00450C69"/>
    <w:rsid w:val="00451419"/>
    <w:rsid w:val="00451B9B"/>
    <w:rsid w:val="00451BB8"/>
    <w:rsid w:val="004526A4"/>
    <w:rsid w:val="0045272D"/>
    <w:rsid w:val="0045294D"/>
    <w:rsid w:val="00452ED8"/>
    <w:rsid w:val="0045385D"/>
    <w:rsid w:val="00453E79"/>
    <w:rsid w:val="004540BE"/>
    <w:rsid w:val="004544FF"/>
    <w:rsid w:val="0045453A"/>
    <w:rsid w:val="00454763"/>
    <w:rsid w:val="0045512B"/>
    <w:rsid w:val="0045521F"/>
    <w:rsid w:val="00455FB8"/>
    <w:rsid w:val="004560FC"/>
    <w:rsid w:val="00456214"/>
    <w:rsid w:val="004569EE"/>
    <w:rsid w:val="00456B7D"/>
    <w:rsid w:val="00457512"/>
    <w:rsid w:val="00457641"/>
    <w:rsid w:val="00457975"/>
    <w:rsid w:val="00457C18"/>
    <w:rsid w:val="00457DBC"/>
    <w:rsid w:val="00457F98"/>
    <w:rsid w:val="0046000A"/>
    <w:rsid w:val="00460328"/>
    <w:rsid w:val="00460B9F"/>
    <w:rsid w:val="00460F99"/>
    <w:rsid w:val="00461179"/>
    <w:rsid w:val="004612F5"/>
    <w:rsid w:val="00461ADC"/>
    <w:rsid w:val="00461D3D"/>
    <w:rsid w:val="0046232B"/>
    <w:rsid w:val="004624E2"/>
    <w:rsid w:val="00462527"/>
    <w:rsid w:val="004628C4"/>
    <w:rsid w:val="004634E4"/>
    <w:rsid w:val="0046360A"/>
    <w:rsid w:val="0046382B"/>
    <w:rsid w:val="00463DC3"/>
    <w:rsid w:val="00463EA4"/>
    <w:rsid w:val="00464E0E"/>
    <w:rsid w:val="00464FA6"/>
    <w:rsid w:val="00464FCB"/>
    <w:rsid w:val="0046515B"/>
    <w:rsid w:val="004653DE"/>
    <w:rsid w:val="00465699"/>
    <w:rsid w:val="00465A8F"/>
    <w:rsid w:val="00465AD8"/>
    <w:rsid w:val="00465AEB"/>
    <w:rsid w:val="004660DF"/>
    <w:rsid w:val="00466143"/>
    <w:rsid w:val="00466361"/>
    <w:rsid w:val="00466814"/>
    <w:rsid w:val="00466BDE"/>
    <w:rsid w:val="00466C95"/>
    <w:rsid w:val="0046704C"/>
    <w:rsid w:val="004676CF"/>
    <w:rsid w:val="004679CD"/>
    <w:rsid w:val="00467C21"/>
    <w:rsid w:val="00467CED"/>
    <w:rsid w:val="00467FFD"/>
    <w:rsid w:val="0047030E"/>
    <w:rsid w:val="0047045A"/>
    <w:rsid w:val="00470AC1"/>
    <w:rsid w:val="00470CE4"/>
    <w:rsid w:val="00470E7F"/>
    <w:rsid w:val="004713B7"/>
    <w:rsid w:val="00471D7C"/>
    <w:rsid w:val="00471F41"/>
    <w:rsid w:val="0047235D"/>
    <w:rsid w:val="00472670"/>
    <w:rsid w:val="00472955"/>
    <w:rsid w:val="00472A9D"/>
    <w:rsid w:val="00472EDC"/>
    <w:rsid w:val="0047310B"/>
    <w:rsid w:val="00473D12"/>
    <w:rsid w:val="00473E9F"/>
    <w:rsid w:val="00473EE7"/>
    <w:rsid w:val="00473F60"/>
    <w:rsid w:val="00474458"/>
    <w:rsid w:val="0047464E"/>
    <w:rsid w:val="004747A7"/>
    <w:rsid w:val="004748A9"/>
    <w:rsid w:val="00474E8E"/>
    <w:rsid w:val="004750D0"/>
    <w:rsid w:val="004752C5"/>
    <w:rsid w:val="0047540F"/>
    <w:rsid w:val="00475828"/>
    <w:rsid w:val="00475893"/>
    <w:rsid w:val="00475BD5"/>
    <w:rsid w:val="00475D4E"/>
    <w:rsid w:val="00476A4F"/>
    <w:rsid w:val="00476D60"/>
    <w:rsid w:val="00476E32"/>
    <w:rsid w:val="00476EAE"/>
    <w:rsid w:val="0048046B"/>
    <w:rsid w:val="004808F3"/>
    <w:rsid w:val="0048094A"/>
    <w:rsid w:val="00480C5B"/>
    <w:rsid w:val="0048104D"/>
    <w:rsid w:val="004812D9"/>
    <w:rsid w:val="0048148C"/>
    <w:rsid w:val="00481C5C"/>
    <w:rsid w:val="004821C8"/>
    <w:rsid w:val="004825DD"/>
    <w:rsid w:val="004829E5"/>
    <w:rsid w:val="00482D98"/>
    <w:rsid w:val="00483369"/>
    <w:rsid w:val="00483442"/>
    <w:rsid w:val="00484191"/>
    <w:rsid w:val="004842BD"/>
    <w:rsid w:val="00484B8D"/>
    <w:rsid w:val="00484F81"/>
    <w:rsid w:val="00485512"/>
    <w:rsid w:val="004856FE"/>
    <w:rsid w:val="0048588B"/>
    <w:rsid w:val="00485A2A"/>
    <w:rsid w:val="00485F27"/>
    <w:rsid w:val="0048616F"/>
    <w:rsid w:val="004865F5"/>
    <w:rsid w:val="004867F9"/>
    <w:rsid w:val="0048712C"/>
    <w:rsid w:val="0048769F"/>
    <w:rsid w:val="0048798B"/>
    <w:rsid w:val="00487D0C"/>
    <w:rsid w:val="00487D57"/>
    <w:rsid w:val="00487DD3"/>
    <w:rsid w:val="00487FC0"/>
    <w:rsid w:val="0049027B"/>
    <w:rsid w:val="004902B7"/>
    <w:rsid w:val="00490467"/>
    <w:rsid w:val="00490F51"/>
    <w:rsid w:val="0049188C"/>
    <w:rsid w:val="00491C71"/>
    <w:rsid w:val="00491F13"/>
    <w:rsid w:val="0049252F"/>
    <w:rsid w:val="00492779"/>
    <w:rsid w:val="004928D3"/>
    <w:rsid w:val="00492925"/>
    <w:rsid w:val="0049317F"/>
    <w:rsid w:val="004933D4"/>
    <w:rsid w:val="0049384A"/>
    <w:rsid w:val="00493885"/>
    <w:rsid w:val="00493A49"/>
    <w:rsid w:val="00493F5A"/>
    <w:rsid w:val="004941C7"/>
    <w:rsid w:val="00494360"/>
    <w:rsid w:val="00494625"/>
    <w:rsid w:val="004949D1"/>
    <w:rsid w:val="00494A50"/>
    <w:rsid w:val="0049504B"/>
    <w:rsid w:val="00496F44"/>
    <w:rsid w:val="00496FAC"/>
    <w:rsid w:val="0049701A"/>
    <w:rsid w:val="00497518"/>
    <w:rsid w:val="004A02A6"/>
    <w:rsid w:val="004A061C"/>
    <w:rsid w:val="004A06D7"/>
    <w:rsid w:val="004A0EB8"/>
    <w:rsid w:val="004A1083"/>
    <w:rsid w:val="004A12EE"/>
    <w:rsid w:val="004A1A79"/>
    <w:rsid w:val="004A1BB5"/>
    <w:rsid w:val="004A1DAA"/>
    <w:rsid w:val="004A1E83"/>
    <w:rsid w:val="004A1F66"/>
    <w:rsid w:val="004A2331"/>
    <w:rsid w:val="004A245D"/>
    <w:rsid w:val="004A25F8"/>
    <w:rsid w:val="004A2CDA"/>
    <w:rsid w:val="004A3140"/>
    <w:rsid w:val="004A36E3"/>
    <w:rsid w:val="004A373A"/>
    <w:rsid w:val="004A4221"/>
    <w:rsid w:val="004A44A1"/>
    <w:rsid w:val="004A47F7"/>
    <w:rsid w:val="004A5A39"/>
    <w:rsid w:val="004A654A"/>
    <w:rsid w:val="004A6648"/>
    <w:rsid w:val="004A69BC"/>
    <w:rsid w:val="004A6BE5"/>
    <w:rsid w:val="004A6CCE"/>
    <w:rsid w:val="004A6E0E"/>
    <w:rsid w:val="004A71DB"/>
    <w:rsid w:val="004A79AF"/>
    <w:rsid w:val="004A7E29"/>
    <w:rsid w:val="004B01EE"/>
    <w:rsid w:val="004B090E"/>
    <w:rsid w:val="004B0939"/>
    <w:rsid w:val="004B12EC"/>
    <w:rsid w:val="004B18E5"/>
    <w:rsid w:val="004B1A17"/>
    <w:rsid w:val="004B1C63"/>
    <w:rsid w:val="004B2085"/>
    <w:rsid w:val="004B27E2"/>
    <w:rsid w:val="004B29DB"/>
    <w:rsid w:val="004B348F"/>
    <w:rsid w:val="004B367C"/>
    <w:rsid w:val="004B404D"/>
    <w:rsid w:val="004B433D"/>
    <w:rsid w:val="004B502A"/>
    <w:rsid w:val="004B55DE"/>
    <w:rsid w:val="004B5652"/>
    <w:rsid w:val="004B5752"/>
    <w:rsid w:val="004B669F"/>
    <w:rsid w:val="004B7969"/>
    <w:rsid w:val="004B7A98"/>
    <w:rsid w:val="004B7BD5"/>
    <w:rsid w:val="004B7C39"/>
    <w:rsid w:val="004B7DBC"/>
    <w:rsid w:val="004C02FD"/>
    <w:rsid w:val="004C03CA"/>
    <w:rsid w:val="004C0504"/>
    <w:rsid w:val="004C0BBF"/>
    <w:rsid w:val="004C1953"/>
    <w:rsid w:val="004C1CC8"/>
    <w:rsid w:val="004C1F5F"/>
    <w:rsid w:val="004C217D"/>
    <w:rsid w:val="004C263A"/>
    <w:rsid w:val="004C2999"/>
    <w:rsid w:val="004C2D8E"/>
    <w:rsid w:val="004C3403"/>
    <w:rsid w:val="004C3839"/>
    <w:rsid w:val="004C3C3D"/>
    <w:rsid w:val="004C3C84"/>
    <w:rsid w:val="004C3E54"/>
    <w:rsid w:val="004C412A"/>
    <w:rsid w:val="004C41E6"/>
    <w:rsid w:val="004C47A4"/>
    <w:rsid w:val="004C49D7"/>
    <w:rsid w:val="004C4AB2"/>
    <w:rsid w:val="004C5C62"/>
    <w:rsid w:val="004C6503"/>
    <w:rsid w:val="004C66CE"/>
    <w:rsid w:val="004C6AAD"/>
    <w:rsid w:val="004C6B4A"/>
    <w:rsid w:val="004C6C3F"/>
    <w:rsid w:val="004C6DEC"/>
    <w:rsid w:val="004C71BA"/>
    <w:rsid w:val="004C7354"/>
    <w:rsid w:val="004C7745"/>
    <w:rsid w:val="004C7C87"/>
    <w:rsid w:val="004D0401"/>
    <w:rsid w:val="004D07A3"/>
    <w:rsid w:val="004D097A"/>
    <w:rsid w:val="004D0E96"/>
    <w:rsid w:val="004D118C"/>
    <w:rsid w:val="004D127F"/>
    <w:rsid w:val="004D1EFE"/>
    <w:rsid w:val="004D2624"/>
    <w:rsid w:val="004D2680"/>
    <w:rsid w:val="004D27A7"/>
    <w:rsid w:val="004D2F0D"/>
    <w:rsid w:val="004D3018"/>
    <w:rsid w:val="004D3751"/>
    <w:rsid w:val="004D376E"/>
    <w:rsid w:val="004D38FE"/>
    <w:rsid w:val="004D401B"/>
    <w:rsid w:val="004D4056"/>
    <w:rsid w:val="004D40DD"/>
    <w:rsid w:val="004D4170"/>
    <w:rsid w:val="004D45C6"/>
    <w:rsid w:val="004D47A2"/>
    <w:rsid w:val="004D4FF8"/>
    <w:rsid w:val="004D5892"/>
    <w:rsid w:val="004D65BE"/>
    <w:rsid w:val="004D6EC4"/>
    <w:rsid w:val="004D745A"/>
    <w:rsid w:val="004D7C13"/>
    <w:rsid w:val="004D7D0D"/>
    <w:rsid w:val="004E05D6"/>
    <w:rsid w:val="004E066F"/>
    <w:rsid w:val="004E0EA1"/>
    <w:rsid w:val="004E139C"/>
    <w:rsid w:val="004E14DA"/>
    <w:rsid w:val="004E193D"/>
    <w:rsid w:val="004E1D83"/>
    <w:rsid w:val="004E221C"/>
    <w:rsid w:val="004E255F"/>
    <w:rsid w:val="004E2A5D"/>
    <w:rsid w:val="004E30B7"/>
    <w:rsid w:val="004E3269"/>
    <w:rsid w:val="004E350D"/>
    <w:rsid w:val="004E35F7"/>
    <w:rsid w:val="004E39E2"/>
    <w:rsid w:val="004E3DE8"/>
    <w:rsid w:val="004E40CF"/>
    <w:rsid w:val="004E4B3F"/>
    <w:rsid w:val="004E4BC2"/>
    <w:rsid w:val="004E5A33"/>
    <w:rsid w:val="004E60C5"/>
    <w:rsid w:val="004E6112"/>
    <w:rsid w:val="004E62A3"/>
    <w:rsid w:val="004E69C1"/>
    <w:rsid w:val="004E6FD4"/>
    <w:rsid w:val="004E7103"/>
    <w:rsid w:val="004E73CB"/>
    <w:rsid w:val="004E7407"/>
    <w:rsid w:val="004E74C7"/>
    <w:rsid w:val="004E772D"/>
    <w:rsid w:val="004E7858"/>
    <w:rsid w:val="004E7D66"/>
    <w:rsid w:val="004E7DE1"/>
    <w:rsid w:val="004F0030"/>
    <w:rsid w:val="004F0182"/>
    <w:rsid w:val="004F05CD"/>
    <w:rsid w:val="004F0B5B"/>
    <w:rsid w:val="004F0CD0"/>
    <w:rsid w:val="004F1211"/>
    <w:rsid w:val="004F1657"/>
    <w:rsid w:val="004F220C"/>
    <w:rsid w:val="004F2258"/>
    <w:rsid w:val="004F24D2"/>
    <w:rsid w:val="004F251C"/>
    <w:rsid w:val="004F2639"/>
    <w:rsid w:val="004F2CD0"/>
    <w:rsid w:val="004F2E0A"/>
    <w:rsid w:val="004F3648"/>
    <w:rsid w:val="004F36D0"/>
    <w:rsid w:val="004F3922"/>
    <w:rsid w:val="004F4983"/>
    <w:rsid w:val="004F4C1F"/>
    <w:rsid w:val="004F568C"/>
    <w:rsid w:val="004F5774"/>
    <w:rsid w:val="004F5AA3"/>
    <w:rsid w:val="004F5EDF"/>
    <w:rsid w:val="004F6979"/>
    <w:rsid w:val="004F6EE6"/>
    <w:rsid w:val="004F73DC"/>
    <w:rsid w:val="004F769F"/>
    <w:rsid w:val="004F7B8B"/>
    <w:rsid w:val="004F7F41"/>
    <w:rsid w:val="005006CE"/>
    <w:rsid w:val="00500ED2"/>
    <w:rsid w:val="0050141B"/>
    <w:rsid w:val="005016F9"/>
    <w:rsid w:val="00501838"/>
    <w:rsid w:val="00501CE2"/>
    <w:rsid w:val="00501DEA"/>
    <w:rsid w:val="00502171"/>
    <w:rsid w:val="005027E4"/>
    <w:rsid w:val="00502BF2"/>
    <w:rsid w:val="00502CC0"/>
    <w:rsid w:val="00502F3A"/>
    <w:rsid w:val="00503801"/>
    <w:rsid w:val="00503A11"/>
    <w:rsid w:val="00503D8D"/>
    <w:rsid w:val="00504006"/>
    <w:rsid w:val="005046D7"/>
    <w:rsid w:val="005047CC"/>
    <w:rsid w:val="00504B0A"/>
    <w:rsid w:val="00504BBD"/>
    <w:rsid w:val="00504E18"/>
    <w:rsid w:val="00505012"/>
    <w:rsid w:val="00505447"/>
    <w:rsid w:val="00505818"/>
    <w:rsid w:val="00505DAB"/>
    <w:rsid w:val="00505EAC"/>
    <w:rsid w:val="00506209"/>
    <w:rsid w:val="005063F3"/>
    <w:rsid w:val="0050688D"/>
    <w:rsid w:val="0050690A"/>
    <w:rsid w:val="00506959"/>
    <w:rsid w:val="005069EC"/>
    <w:rsid w:val="00506A9C"/>
    <w:rsid w:val="00506B92"/>
    <w:rsid w:val="00506E1E"/>
    <w:rsid w:val="00506E5C"/>
    <w:rsid w:val="00506ECD"/>
    <w:rsid w:val="0050746C"/>
    <w:rsid w:val="0050753E"/>
    <w:rsid w:val="00507593"/>
    <w:rsid w:val="005077EC"/>
    <w:rsid w:val="005106D3"/>
    <w:rsid w:val="00510FC9"/>
    <w:rsid w:val="00511984"/>
    <w:rsid w:val="00511B59"/>
    <w:rsid w:val="00511CAB"/>
    <w:rsid w:val="00511DF4"/>
    <w:rsid w:val="00511E19"/>
    <w:rsid w:val="00512093"/>
    <w:rsid w:val="00512460"/>
    <w:rsid w:val="00512737"/>
    <w:rsid w:val="00512929"/>
    <w:rsid w:val="00512B38"/>
    <w:rsid w:val="00512DCC"/>
    <w:rsid w:val="0051315B"/>
    <w:rsid w:val="00513207"/>
    <w:rsid w:val="005135AF"/>
    <w:rsid w:val="005136DD"/>
    <w:rsid w:val="00513A93"/>
    <w:rsid w:val="00513BA7"/>
    <w:rsid w:val="00513EAF"/>
    <w:rsid w:val="00514331"/>
    <w:rsid w:val="00514428"/>
    <w:rsid w:val="00514837"/>
    <w:rsid w:val="00514C34"/>
    <w:rsid w:val="005152B1"/>
    <w:rsid w:val="00515735"/>
    <w:rsid w:val="0051575E"/>
    <w:rsid w:val="00515BBF"/>
    <w:rsid w:val="00515DC6"/>
    <w:rsid w:val="005168FA"/>
    <w:rsid w:val="00516AB4"/>
    <w:rsid w:val="0051725C"/>
    <w:rsid w:val="005176AE"/>
    <w:rsid w:val="00517AF4"/>
    <w:rsid w:val="00517C9C"/>
    <w:rsid w:val="00517D3F"/>
    <w:rsid w:val="00517E9A"/>
    <w:rsid w:val="00517F51"/>
    <w:rsid w:val="005208D8"/>
    <w:rsid w:val="00520FDF"/>
    <w:rsid w:val="00521737"/>
    <w:rsid w:val="00521EB8"/>
    <w:rsid w:val="00522CF5"/>
    <w:rsid w:val="00523279"/>
    <w:rsid w:val="005233B8"/>
    <w:rsid w:val="005234E9"/>
    <w:rsid w:val="00523CA0"/>
    <w:rsid w:val="00524E4F"/>
    <w:rsid w:val="0052676C"/>
    <w:rsid w:val="00526D84"/>
    <w:rsid w:val="00526E0C"/>
    <w:rsid w:val="00527BA1"/>
    <w:rsid w:val="0053085C"/>
    <w:rsid w:val="00530D16"/>
    <w:rsid w:val="00533752"/>
    <w:rsid w:val="005337EC"/>
    <w:rsid w:val="005338AE"/>
    <w:rsid w:val="00533DAF"/>
    <w:rsid w:val="0053446F"/>
    <w:rsid w:val="005348B2"/>
    <w:rsid w:val="00534936"/>
    <w:rsid w:val="00534D68"/>
    <w:rsid w:val="00534E41"/>
    <w:rsid w:val="00534E73"/>
    <w:rsid w:val="0053603D"/>
    <w:rsid w:val="005363AE"/>
    <w:rsid w:val="00536477"/>
    <w:rsid w:val="005364CA"/>
    <w:rsid w:val="00536D56"/>
    <w:rsid w:val="00536E36"/>
    <w:rsid w:val="0053755C"/>
    <w:rsid w:val="005376F7"/>
    <w:rsid w:val="005377F7"/>
    <w:rsid w:val="00537AD7"/>
    <w:rsid w:val="00537C15"/>
    <w:rsid w:val="00537C1F"/>
    <w:rsid w:val="00537FEF"/>
    <w:rsid w:val="005401C9"/>
    <w:rsid w:val="005402CA"/>
    <w:rsid w:val="0054061B"/>
    <w:rsid w:val="00541568"/>
    <w:rsid w:val="00541E5A"/>
    <w:rsid w:val="005423CE"/>
    <w:rsid w:val="005425A8"/>
    <w:rsid w:val="005425B1"/>
    <w:rsid w:val="005426B0"/>
    <w:rsid w:val="00542EC3"/>
    <w:rsid w:val="00542F14"/>
    <w:rsid w:val="00542FA8"/>
    <w:rsid w:val="00543787"/>
    <w:rsid w:val="00543B14"/>
    <w:rsid w:val="00543B57"/>
    <w:rsid w:val="00544092"/>
    <w:rsid w:val="0054411C"/>
    <w:rsid w:val="00544332"/>
    <w:rsid w:val="0054452C"/>
    <w:rsid w:val="00544F09"/>
    <w:rsid w:val="005453C8"/>
    <w:rsid w:val="005457C6"/>
    <w:rsid w:val="00545AEE"/>
    <w:rsid w:val="00545F59"/>
    <w:rsid w:val="0054652F"/>
    <w:rsid w:val="00546DCF"/>
    <w:rsid w:val="005471A1"/>
    <w:rsid w:val="00547499"/>
    <w:rsid w:val="00547E01"/>
    <w:rsid w:val="005507AB"/>
    <w:rsid w:val="00551442"/>
    <w:rsid w:val="005514C7"/>
    <w:rsid w:val="00551651"/>
    <w:rsid w:val="00551C2E"/>
    <w:rsid w:val="00551E63"/>
    <w:rsid w:val="005523AE"/>
    <w:rsid w:val="005526DF"/>
    <w:rsid w:val="005527AA"/>
    <w:rsid w:val="0055374E"/>
    <w:rsid w:val="00554292"/>
    <w:rsid w:val="00554373"/>
    <w:rsid w:val="005544E4"/>
    <w:rsid w:val="00554523"/>
    <w:rsid w:val="00554790"/>
    <w:rsid w:val="005547A7"/>
    <w:rsid w:val="005548B1"/>
    <w:rsid w:val="00554A80"/>
    <w:rsid w:val="00554F25"/>
    <w:rsid w:val="00554F7F"/>
    <w:rsid w:val="005551DF"/>
    <w:rsid w:val="005554FD"/>
    <w:rsid w:val="005556CD"/>
    <w:rsid w:val="00555B98"/>
    <w:rsid w:val="00555CA6"/>
    <w:rsid w:val="0055686E"/>
    <w:rsid w:val="00556A7E"/>
    <w:rsid w:val="00556A96"/>
    <w:rsid w:val="00556C81"/>
    <w:rsid w:val="00557512"/>
    <w:rsid w:val="005577DE"/>
    <w:rsid w:val="00557808"/>
    <w:rsid w:val="00557EBF"/>
    <w:rsid w:val="00560208"/>
    <w:rsid w:val="0056178B"/>
    <w:rsid w:val="0056243C"/>
    <w:rsid w:val="0056282A"/>
    <w:rsid w:val="0056335F"/>
    <w:rsid w:val="00563555"/>
    <w:rsid w:val="005638A5"/>
    <w:rsid w:val="00563BD6"/>
    <w:rsid w:val="005641DF"/>
    <w:rsid w:val="005643CC"/>
    <w:rsid w:val="005643D7"/>
    <w:rsid w:val="00565043"/>
    <w:rsid w:val="005652BC"/>
    <w:rsid w:val="005653D4"/>
    <w:rsid w:val="005654FF"/>
    <w:rsid w:val="00565551"/>
    <w:rsid w:val="0056575C"/>
    <w:rsid w:val="005658C6"/>
    <w:rsid w:val="00566723"/>
    <w:rsid w:val="0056695A"/>
    <w:rsid w:val="00566A73"/>
    <w:rsid w:val="00566B33"/>
    <w:rsid w:val="00566D6A"/>
    <w:rsid w:val="00566E18"/>
    <w:rsid w:val="0056713B"/>
    <w:rsid w:val="005679DE"/>
    <w:rsid w:val="00567E99"/>
    <w:rsid w:val="00570156"/>
    <w:rsid w:val="00570951"/>
    <w:rsid w:val="00571284"/>
    <w:rsid w:val="005716BD"/>
    <w:rsid w:val="0057188B"/>
    <w:rsid w:val="00571DC6"/>
    <w:rsid w:val="00571F12"/>
    <w:rsid w:val="005720E4"/>
    <w:rsid w:val="00572523"/>
    <w:rsid w:val="00572C06"/>
    <w:rsid w:val="00572D10"/>
    <w:rsid w:val="0057323B"/>
    <w:rsid w:val="005733B5"/>
    <w:rsid w:val="00573F2A"/>
    <w:rsid w:val="00574215"/>
    <w:rsid w:val="005752D7"/>
    <w:rsid w:val="00575757"/>
    <w:rsid w:val="0057580C"/>
    <w:rsid w:val="00575CA5"/>
    <w:rsid w:val="005761A3"/>
    <w:rsid w:val="0057622E"/>
    <w:rsid w:val="005763DB"/>
    <w:rsid w:val="0057665C"/>
    <w:rsid w:val="005767D2"/>
    <w:rsid w:val="00576B9E"/>
    <w:rsid w:val="005774DC"/>
    <w:rsid w:val="00577589"/>
    <w:rsid w:val="00577723"/>
    <w:rsid w:val="00577C48"/>
    <w:rsid w:val="00577E54"/>
    <w:rsid w:val="005807F0"/>
    <w:rsid w:val="00580997"/>
    <w:rsid w:val="00581780"/>
    <w:rsid w:val="0058187C"/>
    <w:rsid w:val="005818CA"/>
    <w:rsid w:val="00581C69"/>
    <w:rsid w:val="00581DB1"/>
    <w:rsid w:val="00581DE5"/>
    <w:rsid w:val="00581E6D"/>
    <w:rsid w:val="00581E86"/>
    <w:rsid w:val="00582E95"/>
    <w:rsid w:val="005833D6"/>
    <w:rsid w:val="00583E29"/>
    <w:rsid w:val="00585488"/>
    <w:rsid w:val="00586120"/>
    <w:rsid w:val="0058653C"/>
    <w:rsid w:val="0058655C"/>
    <w:rsid w:val="00586933"/>
    <w:rsid w:val="00586A79"/>
    <w:rsid w:val="00590049"/>
    <w:rsid w:val="005903AE"/>
    <w:rsid w:val="00590EE1"/>
    <w:rsid w:val="005914CD"/>
    <w:rsid w:val="00591580"/>
    <w:rsid w:val="005916F5"/>
    <w:rsid w:val="005919E0"/>
    <w:rsid w:val="00591C38"/>
    <w:rsid w:val="00591EE1"/>
    <w:rsid w:val="00592320"/>
    <w:rsid w:val="00592D3E"/>
    <w:rsid w:val="0059343C"/>
    <w:rsid w:val="005936B2"/>
    <w:rsid w:val="00593C67"/>
    <w:rsid w:val="00593F68"/>
    <w:rsid w:val="005942EC"/>
    <w:rsid w:val="005948A2"/>
    <w:rsid w:val="00595065"/>
    <w:rsid w:val="005950AC"/>
    <w:rsid w:val="00595D2A"/>
    <w:rsid w:val="00595D5B"/>
    <w:rsid w:val="00597163"/>
    <w:rsid w:val="00597607"/>
    <w:rsid w:val="00597F70"/>
    <w:rsid w:val="005A0240"/>
    <w:rsid w:val="005A07EE"/>
    <w:rsid w:val="005A09D7"/>
    <w:rsid w:val="005A0B5A"/>
    <w:rsid w:val="005A1090"/>
    <w:rsid w:val="005A1269"/>
    <w:rsid w:val="005A13E7"/>
    <w:rsid w:val="005A16F5"/>
    <w:rsid w:val="005A1CF8"/>
    <w:rsid w:val="005A1D62"/>
    <w:rsid w:val="005A21FA"/>
    <w:rsid w:val="005A24CD"/>
    <w:rsid w:val="005A3921"/>
    <w:rsid w:val="005A3DDB"/>
    <w:rsid w:val="005A3FD2"/>
    <w:rsid w:val="005A4716"/>
    <w:rsid w:val="005A47F8"/>
    <w:rsid w:val="005A4D7D"/>
    <w:rsid w:val="005A50CB"/>
    <w:rsid w:val="005A53B7"/>
    <w:rsid w:val="005A56A7"/>
    <w:rsid w:val="005A5FAF"/>
    <w:rsid w:val="005A60B1"/>
    <w:rsid w:val="005A67B8"/>
    <w:rsid w:val="005A6F7E"/>
    <w:rsid w:val="005A72A1"/>
    <w:rsid w:val="005A74AE"/>
    <w:rsid w:val="005A7519"/>
    <w:rsid w:val="005A7622"/>
    <w:rsid w:val="005A7831"/>
    <w:rsid w:val="005A7861"/>
    <w:rsid w:val="005B02AF"/>
    <w:rsid w:val="005B050B"/>
    <w:rsid w:val="005B0737"/>
    <w:rsid w:val="005B0A36"/>
    <w:rsid w:val="005B1001"/>
    <w:rsid w:val="005B118B"/>
    <w:rsid w:val="005B18BB"/>
    <w:rsid w:val="005B1B02"/>
    <w:rsid w:val="005B2374"/>
    <w:rsid w:val="005B2DF2"/>
    <w:rsid w:val="005B331C"/>
    <w:rsid w:val="005B35D4"/>
    <w:rsid w:val="005B3675"/>
    <w:rsid w:val="005B3763"/>
    <w:rsid w:val="005B3B6A"/>
    <w:rsid w:val="005B3BB5"/>
    <w:rsid w:val="005B4889"/>
    <w:rsid w:val="005B5B01"/>
    <w:rsid w:val="005B5BA2"/>
    <w:rsid w:val="005B620E"/>
    <w:rsid w:val="005B64A1"/>
    <w:rsid w:val="005B6FE8"/>
    <w:rsid w:val="005B7669"/>
    <w:rsid w:val="005B76D3"/>
    <w:rsid w:val="005B7B33"/>
    <w:rsid w:val="005C010A"/>
    <w:rsid w:val="005C021C"/>
    <w:rsid w:val="005C0822"/>
    <w:rsid w:val="005C0E07"/>
    <w:rsid w:val="005C101B"/>
    <w:rsid w:val="005C1572"/>
    <w:rsid w:val="005C198E"/>
    <w:rsid w:val="005C1CFC"/>
    <w:rsid w:val="005C1D89"/>
    <w:rsid w:val="005C1EA1"/>
    <w:rsid w:val="005C2297"/>
    <w:rsid w:val="005C2CEA"/>
    <w:rsid w:val="005C2DEF"/>
    <w:rsid w:val="005C320B"/>
    <w:rsid w:val="005C32F5"/>
    <w:rsid w:val="005C3671"/>
    <w:rsid w:val="005C37FE"/>
    <w:rsid w:val="005C393A"/>
    <w:rsid w:val="005C3C5A"/>
    <w:rsid w:val="005C3EB9"/>
    <w:rsid w:val="005C4623"/>
    <w:rsid w:val="005C4DE3"/>
    <w:rsid w:val="005C511B"/>
    <w:rsid w:val="005C59D4"/>
    <w:rsid w:val="005C5A16"/>
    <w:rsid w:val="005C5E0B"/>
    <w:rsid w:val="005C61EA"/>
    <w:rsid w:val="005C6462"/>
    <w:rsid w:val="005C6CE1"/>
    <w:rsid w:val="005C6D49"/>
    <w:rsid w:val="005C7052"/>
    <w:rsid w:val="005C72A9"/>
    <w:rsid w:val="005D025F"/>
    <w:rsid w:val="005D085D"/>
    <w:rsid w:val="005D10BE"/>
    <w:rsid w:val="005D11F6"/>
    <w:rsid w:val="005D12F3"/>
    <w:rsid w:val="005D17A0"/>
    <w:rsid w:val="005D1A70"/>
    <w:rsid w:val="005D2509"/>
    <w:rsid w:val="005D3AFA"/>
    <w:rsid w:val="005D3F61"/>
    <w:rsid w:val="005D4751"/>
    <w:rsid w:val="005D517C"/>
    <w:rsid w:val="005D56FF"/>
    <w:rsid w:val="005D6D7B"/>
    <w:rsid w:val="005D7134"/>
    <w:rsid w:val="005D77B3"/>
    <w:rsid w:val="005D7AD7"/>
    <w:rsid w:val="005D7C61"/>
    <w:rsid w:val="005E08C4"/>
    <w:rsid w:val="005E0DE4"/>
    <w:rsid w:val="005E0EBA"/>
    <w:rsid w:val="005E0F4C"/>
    <w:rsid w:val="005E1072"/>
    <w:rsid w:val="005E13FB"/>
    <w:rsid w:val="005E1C27"/>
    <w:rsid w:val="005E1E5E"/>
    <w:rsid w:val="005E1F6D"/>
    <w:rsid w:val="005E201C"/>
    <w:rsid w:val="005E20F8"/>
    <w:rsid w:val="005E2408"/>
    <w:rsid w:val="005E24D9"/>
    <w:rsid w:val="005E2A51"/>
    <w:rsid w:val="005E3412"/>
    <w:rsid w:val="005E359E"/>
    <w:rsid w:val="005E3A2F"/>
    <w:rsid w:val="005E3ED8"/>
    <w:rsid w:val="005E42C9"/>
    <w:rsid w:val="005E4328"/>
    <w:rsid w:val="005E54EC"/>
    <w:rsid w:val="005E5E4F"/>
    <w:rsid w:val="005E6324"/>
    <w:rsid w:val="005E63FA"/>
    <w:rsid w:val="005E6421"/>
    <w:rsid w:val="005E7350"/>
    <w:rsid w:val="005E75BF"/>
    <w:rsid w:val="005E7AA5"/>
    <w:rsid w:val="005E7F27"/>
    <w:rsid w:val="005F06B4"/>
    <w:rsid w:val="005F0F70"/>
    <w:rsid w:val="005F0FD0"/>
    <w:rsid w:val="005F1051"/>
    <w:rsid w:val="005F1077"/>
    <w:rsid w:val="005F2272"/>
    <w:rsid w:val="005F2303"/>
    <w:rsid w:val="005F273F"/>
    <w:rsid w:val="005F27A4"/>
    <w:rsid w:val="005F35C7"/>
    <w:rsid w:val="005F39AC"/>
    <w:rsid w:val="005F3A68"/>
    <w:rsid w:val="005F4A21"/>
    <w:rsid w:val="005F4ADB"/>
    <w:rsid w:val="005F5054"/>
    <w:rsid w:val="005F525E"/>
    <w:rsid w:val="005F5801"/>
    <w:rsid w:val="005F5AFF"/>
    <w:rsid w:val="005F5CAD"/>
    <w:rsid w:val="005F5D5E"/>
    <w:rsid w:val="005F6598"/>
    <w:rsid w:val="005F6743"/>
    <w:rsid w:val="005F6E4B"/>
    <w:rsid w:val="005F6EAF"/>
    <w:rsid w:val="005F70ED"/>
    <w:rsid w:val="005F70EF"/>
    <w:rsid w:val="005F73B2"/>
    <w:rsid w:val="00600344"/>
    <w:rsid w:val="00600522"/>
    <w:rsid w:val="0060060D"/>
    <w:rsid w:val="00600643"/>
    <w:rsid w:val="00600673"/>
    <w:rsid w:val="006009EC"/>
    <w:rsid w:val="00600C87"/>
    <w:rsid w:val="00601267"/>
    <w:rsid w:val="00601B13"/>
    <w:rsid w:val="00602AA7"/>
    <w:rsid w:val="00602F55"/>
    <w:rsid w:val="0060305F"/>
    <w:rsid w:val="00603258"/>
    <w:rsid w:val="0060393E"/>
    <w:rsid w:val="00603C23"/>
    <w:rsid w:val="00603E49"/>
    <w:rsid w:val="0060440F"/>
    <w:rsid w:val="006049B7"/>
    <w:rsid w:val="00604B2C"/>
    <w:rsid w:val="00604D59"/>
    <w:rsid w:val="00604EC1"/>
    <w:rsid w:val="00604F30"/>
    <w:rsid w:val="006052B6"/>
    <w:rsid w:val="0060534F"/>
    <w:rsid w:val="00605D93"/>
    <w:rsid w:val="00605DD4"/>
    <w:rsid w:val="006064CE"/>
    <w:rsid w:val="0060675D"/>
    <w:rsid w:val="00606A97"/>
    <w:rsid w:val="00606D98"/>
    <w:rsid w:val="006071E6"/>
    <w:rsid w:val="006074F3"/>
    <w:rsid w:val="006077E3"/>
    <w:rsid w:val="006077ED"/>
    <w:rsid w:val="00607CE8"/>
    <w:rsid w:val="00610364"/>
    <w:rsid w:val="006106F3"/>
    <w:rsid w:val="006108FC"/>
    <w:rsid w:val="006110DB"/>
    <w:rsid w:val="00611984"/>
    <w:rsid w:val="0061246C"/>
    <w:rsid w:val="006124CD"/>
    <w:rsid w:val="00612E96"/>
    <w:rsid w:val="006135C7"/>
    <w:rsid w:val="0061372E"/>
    <w:rsid w:val="006146DB"/>
    <w:rsid w:val="00614A32"/>
    <w:rsid w:val="00614A70"/>
    <w:rsid w:val="00614AC3"/>
    <w:rsid w:val="00614DD1"/>
    <w:rsid w:val="00615451"/>
    <w:rsid w:val="0061591D"/>
    <w:rsid w:val="00616044"/>
    <w:rsid w:val="00616190"/>
    <w:rsid w:val="00616419"/>
    <w:rsid w:val="00616597"/>
    <w:rsid w:val="00616E75"/>
    <w:rsid w:val="0061773D"/>
    <w:rsid w:val="00617804"/>
    <w:rsid w:val="00617988"/>
    <w:rsid w:val="00617D24"/>
    <w:rsid w:val="006201D1"/>
    <w:rsid w:val="00620219"/>
    <w:rsid w:val="0062059E"/>
    <w:rsid w:val="006209C4"/>
    <w:rsid w:val="00620DE5"/>
    <w:rsid w:val="00620FF3"/>
    <w:rsid w:val="006211A8"/>
    <w:rsid w:val="0062124D"/>
    <w:rsid w:val="006214D8"/>
    <w:rsid w:val="006216C2"/>
    <w:rsid w:val="00621A30"/>
    <w:rsid w:val="00622496"/>
    <w:rsid w:val="0062257C"/>
    <w:rsid w:val="006225A2"/>
    <w:rsid w:val="0062297D"/>
    <w:rsid w:val="00622D8C"/>
    <w:rsid w:val="006234C8"/>
    <w:rsid w:val="00623D15"/>
    <w:rsid w:val="0062451E"/>
    <w:rsid w:val="00624BD7"/>
    <w:rsid w:val="00625178"/>
    <w:rsid w:val="00625267"/>
    <w:rsid w:val="0062538A"/>
    <w:rsid w:val="006254AA"/>
    <w:rsid w:val="006255BE"/>
    <w:rsid w:val="006255F1"/>
    <w:rsid w:val="00625A66"/>
    <w:rsid w:val="0062627B"/>
    <w:rsid w:val="006269D0"/>
    <w:rsid w:val="0062752A"/>
    <w:rsid w:val="00627823"/>
    <w:rsid w:val="00627882"/>
    <w:rsid w:val="00627FCA"/>
    <w:rsid w:val="00630207"/>
    <w:rsid w:val="0063023C"/>
    <w:rsid w:val="0063030F"/>
    <w:rsid w:val="0063078F"/>
    <w:rsid w:val="006308C3"/>
    <w:rsid w:val="00630A27"/>
    <w:rsid w:val="00630F58"/>
    <w:rsid w:val="0063208C"/>
    <w:rsid w:val="0063298F"/>
    <w:rsid w:val="00632BC8"/>
    <w:rsid w:val="00632C13"/>
    <w:rsid w:val="00632C9E"/>
    <w:rsid w:val="00632D96"/>
    <w:rsid w:val="00632F7B"/>
    <w:rsid w:val="006333CB"/>
    <w:rsid w:val="006335EF"/>
    <w:rsid w:val="00633929"/>
    <w:rsid w:val="006340A7"/>
    <w:rsid w:val="006340F0"/>
    <w:rsid w:val="00634CD0"/>
    <w:rsid w:val="00634E37"/>
    <w:rsid w:val="00635432"/>
    <w:rsid w:val="00635436"/>
    <w:rsid w:val="006356E6"/>
    <w:rsid w:val="0063577E"/>
    <w:rsid w:val="00635ECE"/>
    <w:rsid w:val="006360A2"/>
    <w:rsid w:val="0063670E"/>
    <w:rsid w:val="00636792"/>
    <w:rsid w:val="006368A5"/>
    <w:rsid w:val="00636B2C"/>
    <w:rsid w:val="00636BD0"/>
    <w:rsid w:val="00636CEB"/>
    <w:rsid w:val="00637C20"/>
    <w:rsid w:val="00637D15"/>
    <w:rsid w:val="00637EC5"/>
    <w:rsid w:val="00637F2C"/>
    <w:rsid w:val="00640521"/>
    <w:rsid w:val="00640669"/>
    <w:rsid w:val="00641044"/>
    <w:rsid w:val="00641371"/>
    <w:rsid w:val="0064140D"/>
    <w:rsid w:val="0064162F"/>
    <w:rsid w:val="00641877"/>
    <w:rsid w:val="0064194F"/>
    <w:rsid w:val="00641B2B"/>
    <w:rsid w:val="00642F40"/>
    <w:rsid w:val="0064322A"/>
    <w:rsid w:val="0064329B"/>
    <w:rsid w:val="0064339B"/>
    <w:rsid w:val="00643D52"/>
    <w:rsid w:val="006448CB"/>
    <w:rsid w:val="00644989"/>
    <w:rsid w:val="006449F2"/>
    <w:rsid w:val="00644B9C"/>
    <w:rsid w:val="00644E98"/>
    <w:rsid w:val="0064572A"/>
    <w:rsid w:val="00645A14"/>
    <w:rsid w:val="00645BE2"/>
    <w:rsid w:val="00645E9E"/>
    <w:rsid w:val="006462E9"/>
    <w:rsid w:val="006465DA"/>
    <w:rsid w:val="006466E3"/>
    <w:rsid w:val="00646A05"/>
    <w:rsid w:val="00646FB1"/>
    <w:rsid w:val="0064722A"/>
    <w:rsid w:val="00647950"/>
    <w:rsid w:val="00647C7C"/>
    <w:rsid w:val="00650550"/>
    <w:rsid w:val="00650DC1"/>
    <w:rsid w:val="0065117D"/>
    <w:rsid w:val="00651588"/>
    <w:rsid w:val="00652A76"/>
    <w:rsid w:val="00652E2A"/>
    <w:rsid w:val="00653033"/>
    <w:rsid w:val="0065306A"/>
    <w:rsid w:val="0065310B"/>
    <w:rsid w:val="00653337"/>
    <w:rsid w:val="00653407"/>
    <w:rsid w:val="00653624"/>
    <w:rsid w:val="00653C92"/>
    <w:rsid w:val="0065457D"/>
    <w:rsid w:val="00654B17"/>
    <w:rsid w:val="006555A8"/>
    <w:rsid w:val="006555CE"/>
    <w:rsid w:val="0065561D"/>
    <w:rsid w:val="00655FBE"/>
    <w:rsid w:val="00656629"/>
    <w:rsid w:val="00656CA1"/>
    <w:rsid w:val="00656D1D"/>
    <w:rsid w:val="0065705C"/>
    <w:rsid w:val="0065712B"/>
    <w:rsid w:val="00657976"/>
    <w:rsid w:val="00660023"/>
    <w:rsid w:val="0066003B"/>
    <w:rsid w:val="00660081"/>
    <w:rsid w:val="0066054C"/>
    <w:rsid w:val="0066084C"/>
    <w:rsid w:val="00660923"/>
    <w:rsid w:val="0066177F"/>
    <w:rsid w:val="0066180C"/>
    <w:rsid w:val="006618EC"/>
    <w:rsid w:val="006625A4"/>
    <w:rsid w:val="00662D49"/>
    <w:rsid w:val="00663215"/>
    <w:rsid w:val="00663521"/>
    <w:rsid w:val="00663958"/>
    <w:rsid w:val="00663CA6"/>
    <w:rsid w:val="00664107"/>
    <w:rsid w:val="00664190"/>
    <w:rsid w:val="0066421A"/>
    <w:rsid w:val="00664F3C"/>
    <w:rsid w:val="00664F9A"/>
    <w:rsid w:val="00665CDC"/>
    <w:rsid w:val="006661B3"/>
    <w:rsid w:val="0066694D"/>
    <w:rsid w:val="00666A2D"/>
    <w:rsid w:val="00667199"/>
    <w:rsid w:val="006676DC"/>
    <w:rsid w:val="00667A78"/>
    <w:rsid w:val="00667A81"/>
    <w:rsid w:val="0067037B"/>
    <w:rsid w:val="00670894"/>
    <w:rsid w:val="0067097D"/>
    <w:rsid w:val="00671438"/>
    <w:rsid w:val="0067170F"/>
    <w:rsid w:val="006717A8"/>
    <w:rsid w:val="00672374"/>
    <w:rsid w:val="00672686"/>
    <w:rsid w:val="006729D6"/>
    <w:rsid w:val="00673030"/>
    <w:rsid w:val="00673962"/>
    <w:rsid w:val="00673C35"/>
    <w:rsid w:val="00673DA5"/>
    <w:rsid w:val="00673E3B"/>
    <w:rsid w:val="00673F1C"/>
    <w:rsid w:val="006743D3"/>
    <w:rsid w:val="006743E4"/>
    <w:rsid w:val="00675422"/>
    <w:rsid w:val="00676032"/>
    <w:rsid w:val="006764FB"/>
    <w:rsid w:val="00676BB7"/>
    <w:rsid w:val="00676E3A"/>
    <w:rsid w:val="006772AA"/>
    <w:rsid w:val="00677849"/>
    <w:rsid w:val="00677A82"/>
    <w:rsid w:val="0068001B"/>
    <w:rsid w:val="0068022C"/>
    <w:rsid w:val="00680314"/>
    <w:rsid w:val="006804CE"/>
    <w:rsid w:val="00680E06"/>
    <w:rsid w:val="00681B23"/>
    <w:rsid w:val="00681F5C"/>
    <w:rsid w:val="00682F63"/>
    <w:rsid w:val="00683AA4"/>
    <w:rsid w:val="00683B7D"/>
    <w:rsid w:val="00683F8A"/>
    <w:rsid w:val="006840DB"/>
    <w:rsid w:val="00684274"/>
    <w:rsid w:val="0068472D"/>
    <w:rsid w:val="006849AA"/>
    <w:rsid w:val="00685BE9"/>
    <w:rsid w:val="00686220"/>
    <w:rsid w:val="0068662E"/>
    <w:rsid w:val="00686753"/>
    <w:rsid w:val="00686AEC"/>
    <w:rsid w:val="00686BB7"/>
    <w:rsid w:val="00686C8B"/>
    <w:rsid w:val="00686F8B"/>
    <w:rsid w:val="006871F1"/>
    <w:rsid w:val="00687384"/>
    <w:rsid w:val="00687802"/>
    <w:rsid w:val="00687970"/>
    <w:rsid w:val="00687BA4"/>
    <w:rsid w:val="00687F72"/>
    <w:rsid w:val="006901DA"/>
    <w:rsid w:val="00690260"/>
    <w:rsid w:val="00690685"/>
    <w:rsid w:val="00690832"/>
    <w:rsid w:val="00690C7C"/>
    <w:rsid w:val="00690ED6"/>
    <w:rsid w:val="006911F4"/>
    <w:rsid w:val="00691248"/>
    <w:rsid w:val="00691393"/>
    <w:rsid w:val="006914E2"/>
    <w:rsid w:val="0069176A"/>
    <w:rsid w:val="00691A1D"/>
    <w:rsid w:val="00691CFF"/>
    <w:rsid w:val="00691E66"/>
    <w:rsid w:val="006920B0"/>
    <w:rsid w:val="0069242C"/>
    <w:rsid w:val="00693555"/>
    <w:rsid w:val="00694AB2"/>
    <w:rsid w:val="00694BD1"/>
    <w:rsid w:val="00694FC1"/>
    <w:rsid w:val="0069517F"/>
    <w:rsid w:val="00695201"/>
    <w:rsid w:val="00695236"/>
    <w:rsid w:val="0069530A"/>
    <w:rsid w:val="00695575"/>
    <w:rsid w:val="006955CB"/>
    <w:rsid w:val="00695C7A"/>
    <w:rsid w:val="00695CC3"/>
    <w:rsid w:val="00695D80"/>
    <w:rsid w:val="00696481"/>
    <w:rsid w:val="006966B8"/>
    <w:rsid w:val="0069697C"/>
    <w:rsid w:val="00696F6B"/>
    <w:rsid w:val="006971EB"/>
    <w:rsid w:val="00697582"/>
    <w:rsid w:val="006975A8"/>
    <w:rsid w:val="00697700"/>
    <w:rsid w:val="006979C4"/>
    <w:rsid w:val="00697A16"/>
    <w:rsid w:val="00697D98"/>
    <w:rsid w:val="006A0671"/>
    <w:rsid w:val="006A0EB6"/>
    <w:rsid w:val="006A0EC8"/>
    <w:rsid w:val="006A0FE3"/>
    <w:rsid w:val="006A166C"/>
    <w:rsid w:val="006A1D57"/>
    <w:rsid w:val="006A211F"/>
    <w:rsid w:val="006A2167"/>
    <w:rsid w:val="006A22F9"/>
    <w:rsid w:val="006A2520"/>
    <w:rsid w:val="006A256D"/>
    <w:rsid w:val="006A263F"/>
    <w:rsid w:val="006A2AAF"/>
    <w:rsid w:val="006A2F92"/>
    <w:rsid w:val="006A3910"/>
    <w:rsid w:val="006A3A8F"/>
    <w:rsid w:val="006A3BA9"/>
    <w:rsid w:val="006A42ED"/>
    <w:rsid w:val="006A45F4"/>
    <w:rsid w:val="006A4D2D"/>
    <w:rsid w:val="006A5100"/>
    <w:rsid w:val="006A5340"/>
    <w:rsid w:val="006A5A57"/>
    <w:rsid w:val="006A644E"/>
    <w:rsid w:val="006A67D0"/>
    <w:rsid w:val="006A693C"/>
    <w:rsid w:val="006A6D60"/>
    <w:rsid w:val="006A6D8B"/>
    <w:rsid w:val="006A7061"/>
    <w:rsid w:val="006A71BD"/>
    <w:rsid w:val="006A7D08"/>
    <w:rsid w:val="006B0731"/>
    <w:rsid w:val="006B0AA1"/>
    <w:rsid w:val="006B0B3A"/>
    <w:rsid w:val="006B0CE3"/>
    <w:rsid w:val="006B1B7B"/>
    <w:rsid w:val="006B2669"/>
    <w:rsid w:val="006B2AB0"/>
    <w:rsid w:val="006B31EE"/>
    <w:rsid w:val="006B33A6"/>
    <w:rsid w:val="006B347B"/>
    <w:rsid w:val="006B34E8"/>
    <w:rsid w:val="006B3D66"/>
    <w:rsid w:val="006B406C"/>
    <w:rsid w:val="006B40D3"/>
    <w:rsid w:val="006B4316"/>
    <w:rsid w:val="006B4376"/>
    <w:rsid w:val="006B52CF"/>
    <w:rsid w:val="006B60C4"/>
    <w:rsid w:val="006B6570"/>
    <w:rsid w:val="006B6924"/>
    <w:rsid w:val="006B6B09"/>
    <w:rsid w:val="006B6B4B"/>
    <w:rsid w:val="006B7D8C"/>
    <w:rsid w:val="006B7DEC"/>
    <w:rsid w:val="006C041E"/>
    <w:rsid w:val="006C0581"/>
    <w:rsid w:val="006C0657"/>
    <w:rsid w:val="006C0FD5"/>
    <w:rsid w:val="006C134C"/>
    <w:rsid w:val="006C211F"/>
    <w:rsid w:val="006C25E1"/>
    <w:rsid w:val="006C3B8E"/>
    <w:rsid w:val="006C3F93"/>
    <w:rsid w:val="006C432D"/>
    <w:rsid w:val="006C4D96"/>
    <w:rsid w:val="006C4DEB"/>
    <w:rsid w:val="006C502E"/>
    <w:rsid w:val="006C56AB"/>
    <w:rsid w:val="006C5E25"/>
    <w:rsid w:val="006C5ECC"/>
    <w:rsid w:val="006C6060"/>
    <w:rsid w:val="006C60B1"/>
    <w:rsid w:val="006C615F"/>
    <w:rsid w:val="006C6AB0"/>
    <w:rsid w:val="006C6B97"/>
    <w:rsid w:val="006C712A"/>
    <w:rsid w:val="006C7138"/>
    <w:rsid w:val="006C7378"/>
    <w:rsid w:val="006C74F5"/>
    <w:rsid w:val="006C769C"/>
    <w:rsid w:val="006C787A"/>
    <w:rsid w:val="006C7881"/>
    <w:rsid w:val="006D0394"/>
    <w:rsid w:val="006D0744"/>
    <w:rsid w:val="006D0A0F"/>
    <w:rsid w:val="006D1158"/>
    <w:rsid w:val="006D1A68"/>
    <w:rsid w:val="006D219C"/>
    <w:rsid w:val="006D22E4"/>
    <w:rsid w:val="006D2CC9"/>
    <w:rsid w:val="006D2CD9"/>
    <w:rsid w:val="006D3152"/>
    <w:rsid w:val="006D3377"/>
    <w:rsid w:val="006D354E"/>
    <w:rsid w:val="006D3988"/>
    <w:rsid w:val="006D3E6D"/>
    <w:rsid w:val="006D4683"/>
    <w:rsid w:val="006D4C2B"/>
    <w:rsid w:val="006D5626"/>
    <w:rsid w:val="006D5887"/>
    <w:rsid w:val="006D59C3"/>
    <w:rsid w:val="006D59CE"/>
    <w:rsid w:val="006D6212"/>
    <w:rsid w:val="006D6B8D"/>
    <w:rsid w:val="006D6C19"/>
    <w:rsid w:val="006D70BA"/>
    <w:rsid w:val="006D7534"/>
    <w:rsid w:val="006D778C"/>
    <w:rsid w:val="006D7FA3"/>
    <w:rsid w:val="006E016F"/>
    <w:rsid w:val="006E0AF1"/>
    <w:rsid w:val="006E0BE3"/>
    <w:rsid w:val="006E0D78"/>
    <w:rsid w:val="006E0E13"/>
    <w:rsid w:val="006E0F06"/>
    <w:rsid w:val="006E0FD6"/>
    <w:rsid w:val="006E1262"/>
    <w:rsid w:val="006E16B4"/>
    <w:rsid w:val="006E1965"/>
    <w:rsid w:val="006E1B16"/>
    <w:rsid w:val="006E1C74"/>
    <w:rsid w:val="006E1EB3"/>
    <w:rsid w:val="006E2706"/>
    <w:rsid w:val="006E2B6D"/>
    <w:rsid w:val="006E31B6"/>
    <w:rsid w:val="006E3253"/>
    <w:rsid w:val="006E337C"/>
    <w:rsid w:val="006E3A5B"/>
    <w:rsid w:val="006E3D5E"/>
    <w:rsid w:val="006E51B0"/>
    <w:rsid w:val="006E51CC"/>
    <w:rsid w:val="006E52B7"/>
    <w:rsid w:val="006E5737"/>
    <w:rsid w:val="006E5EEF"/>
    <w:rsid w:val="006E6A17"/>
    <w:rsid w:val="006E6ED9"/>
    <w:rsid w:val="006E7167"/>
    <w:rsid w:val="006E7719"/>
    <w:rsid w:val="006E7DC9"/>
    <w:rsid w:val="006F042B"/>
    <w:rsid w:val="006F06D4"/>
    <w:rsid w:val="006F0CCA"/>
    <w:rsid w:val="006F1DA0"/>
    <w:rsid w:val="006F201D"/>
    <w:rsid w:val="006F2CC8"/>
    <w:rsid w:val="006F2FF1"/>
    <w:rsid w:val="006F30A5"/>
    <w:rsid w:val="006F30C7"/>
    <w:rsid w:val="006F357C"/>
    <w:rsid w:val="006F3949"/>
    <w:rsid w:val="006F4282"/>
    <w:rsid w:val="006F46A4"/>
    <w:rsid w:val="006F473D"/>
    <w:rsid w:val="006F5094"/>
    <w:rsid w:val="006F5DA8"/>
    <w:rsid w:val="006F5F54"/>
    <w:rsid w:val="006F60FA"/>
    <w:rsid w:val="006F611A"/>
    <w:rsid w:val="006F61CF"/>
    <w:rsid w:val="006F6337"/>
    <w:rsid w:val="006F6725"/>
    <w:rsid w:val="006F6D0D"/>
    <w:rsid w:val="006F6E79"/>
    <w:rsid w:val="006F7209"/>
    <w:rsid w:val="006F72D1"/>
    <w:rsid w:val="006F73D1"/>
    <w:rsid w:val="006F74F9"/>
    <w:rsid w:val="006F7625"/>
    <w:rsid w:val="007000C2"/>
    <w:rsid w:val="007004F2"/>
    <w:rsid w:val="0070077F"/>
    <w:rsid w:val="00700E7E"/>
    <w:rsid w:val="00700FAB"/>
    <w:rsid w:val="00701280"/>
    <w:rsid w:val="00701430"/>
    <w:rsid w:val="0070168C"/>
    <w:rsid w:val="00701BF4"/>
    <w:rsid w:val="00701CE1"/>
    <w:rsid w:val="00702280"/>
    <w:rsid w:val="007026BD"/>
    <w:rsid w:val="00702830"/>
    <w:rsid w:val="00702D01"/>
    <w:rsid w:val="00702FA2"/>
    <w:rsid w:val="00702FB2"/>
    <w:rsid w:val="00703134"/>
    <w:rsid w:val="007033EA"/>
    <w:rsid w:val="00703796"/>
    <w:rsid w:val="00703CDC"/>
    <w:rsid w:val="00703EF8"/>
    <w:rsid w:val="007042CA"/>
    <w:rsid w:val="00704339"/>
    <w:rsid w:val="00704D03"/>
    <w:rsid w:val="00705A09"/>
    <w:rsid w:val="00705B83"/>
    <w:rsid w:val="0070601C"/>
    <w:rsid w:val="0070607C"/>
    <w:rsid w:val="00706281"/>
    <w:rsid w:val="007066EF"/>
    <w:rsid w:val="00706AE0"/>
    <w:rsid w:val="00706D78"/>
    <w:rsid w:val="00706E17"/>
    <w:rsid w:val="00707AE8"/>
    <w:rsid w:val="00707C68"/>
    <w:rsid w:val="00707FCA"/>
    <w:rsid w:val="00710292"/>
    <w:rsid w:val="0071042C"/>
    <w:rsid w:val="007105AE"/>
    <w:rsid w:val="00710942"/>
    <w:rsid w:val="007109E9"/>
    <w:rsid w:val="0071131E"/>
    <w:rsid w:val="00711572"/>
    <w:rsid w:val="00712206"/>
    <w:rsid w:val="007133CB"/>
    <w:rsid w:val="0071349A"/>
    <w:rsid w:val="00713A22"/>
    <w:rsid w:val="00714051"/>
    <w:rsid w:val="00714AF1"/>
    <w:rsid w:val="00714EA7"/>
    <w:rsid w:val="00715883"/>
    <w:rsid w:val="00715A05"/>
    <w:rsid w:val="00716AA5"/>
    <w:rsid w:val="00717A0F"/>
    <w:rsid w:val="00717CEB"/>
    <w:rsid w:val="00717CF5"/>
    <w:rsid w:val="007202D8"/>
    <w:rsid w:val="007205B7"/>
    <w:rsid w:val="00720987"/>
    <w:rsid w:val="00720C07"/>
    <w:rsid w:val="00720C74"/>
    <w:rsid w:val="00720DAD"/>
    <w:rsid w:val="00720F1B"/>
    <w:rsid w:val="007217E5"/>
    <w:rsid w:val="007218A4"/>
    <w:rsid w:val="00722811"/>
    <w:rsid w:val="00722858"/>
    <w:rsid w:val="00722B67"/>
    <w:rsid w:val="00722CEA"/>
    <w:rsid w:val="0072321E"/>
    <w:rsid w:val="0072364D"/>
    <w:rsid w:val="00723AFF"/>
    <w:rsid w:val="007244C0"/>
    <w:rsid w:val="00724540"/>
    <w:rsid w:val="007245CD"/>
    <w:rsid w:val="007245CE"/>
    <w:rsid w:val="007247AC"/>
    <w:rsid w:val="00724D1C"/>
    <w:rsid w:val="007252BC"/>
    <w:rsid w:val="0072549E"/>
    <w:rsid w:val="007254BE"/>
    <w:rsid w:val="0072613A"/>
    <w:rsid w:val="00727078"/>
    <w:rsid w:val="00727318"/>
    <w:rsid w:val="00727F2C"/>
    <w:rsid w:val="0073043C"/>
    <w:rsid w:val="00730515"/>
    <w:rsid w:val="00730716"/>
    <w:rsid w:val="00731210"/>
    <w:rsid w:val="0073125A"/>
    <w:rsid w:val="00731821"/>
    <w:rsid w:val="00731FC7"/>
    <w:rsid w:val="0073242F"/>
    <w:rsid w:val="00732A37"/>
    <w:rsid w:val="00732D87"/>
    <w:rsid w:val="007330FB"/>
    <w:rsid w:val="007333CA"/>
    <w:rsid w:val="007336DF"/>
    <w:rsid w:val="00733D9D"/>
    <w:rsid w:val="0073484A"/>
    <w:rsid w:val="00734866"/>
    <w:rsid w:val="00734A9B"/>
    <w:rsid w:val="00734C07"/>
    <w:rsid w:val="00734F27"/>
    <w:rsid w:val="00734FE1"/>
    <w:rsid w:val="007356EB"/>
    <w:rsid w:val="007363C0"/>
    <w:rsid w:val="0073663E"/>
    <w:rsid w:val="00736642"/>
    <w:rsid w:val="007368AA"/>
    <w:rsid w:val="00736A7E"/>
    <w:rsid w:val="00736DCD"/>
    <w:rsid w:val="00737040"/>
    <w:rsid w:val="00737464"/>
    <w:rsid w:val="0073797A"/>
    <w:rsid w:val="0074059E"/>
    <w:rsid w:val="0074136B"/>
    <w:rsid w:val="00741D8B"/>
    <w:rsid w:val="00742263"/>
    <w:rsid w:val="007424A8"/>
    <w:rsid w:val="00742671"/>
    <w:rsid w:val="00742AD3"/>
    <w:rsid w:val="00742D49"/>
    <w:rsid w:val="00742FCA"/>
    <w:rsid w:val="00743655"/>
    <w:rsid w:val="00743AD9"/>
    <w:rsid w:val="00743BBC"/>
    <w:rsid w:val="00743DE3"/>
    <w:rsid w:val="00743F35"/>
    <w:rsid w:val="007440DC"/>
    <w:rsid w:val="0074446C"/>
    <w:rsid w:val="00744914"/>
    <w:rsid w:val="00744AA9"/>
    <w:rsid w:val="00744F69"/>
    <w:rsid w:val="00745202"/>
    <w:rsid w:val="007452FA"/>
    <w:rsid w:val="00745745"/>
    <w:rsid w:val="007459F1"/>
    <w:rsid w:val="00745E9A"/>
    <w:rsid w:val="007462AB"/>
    <w:rsid w:val="0074655E"/>
    <w:rsid w:val="00746853"/>
    <w:rsid w:val="00746A1A"/>
    <w:rsid w:val="00746A50"/>
    <w:rsid w:val="00746C7B"/>
    <w:rsid w:val="00746FC3"/>
    <w:rsid w:val="00747142"/>
    <w:rsid w:val="00747A51"/>
    <w:rsid w:val="00747BF9"/>
    <w:rsid w:val="00747EC5"/>
    <w:rsid w:val="00747FDB"/>
    <w:rsid w:val="007500AB"/>
    <w:rsid w:val="007501E7"/>
    <w:rsid w:val="007503D5"/>
    <w:rsid w:val="007505A6"/>
    <w:rsid w:val="0075069A"/>
    <w:rsid w:val="00751510"/>
    <w:rsid w:val="007520DF"/>
    <w:rsid w:val="007527F4"/>
    <w:rsid w:val="00752877"/>
    <w:rsid w:val="0075290F"/>
    <w:rsid w:val="00752942"/>
    <w:rsid w:val="00754AA2"/>
    <w:rsid w:val="00754D63"/>
    <w:rsid w:val="00756037"/>
    <w:rsid w:val="007563C0"/>
    <w:rsid w:val="007563D2"/>
    <w:rsid w:val="0075650A"/>
    <w:rsid w:val="007567EB"/>
    <w:rsid w:val="0075706A"/>
    <w:rsid w:val="0075768D"/>
    <w:rsid w:val="00757964"/>
    <w:rsid w:val="007579AF"/>
    <w:rsid w:val="0076055A"/>
    <w:rsid w:val="00760EAE"/>
    <w:rsid w:val="00761224"/>
    <w:rsid w:val="007617FE"/>
    <w:rsid w:val="00761BF6"/>
    <w:rsid w:val="00761CFD"/>
    <w:rsid w:val="00761E38"/>
    <w:rsid w:val="0076205F"/>
    <w:rsid w:val="007624C1"/>
    <w:rsid w:val="00762A7D"/>
    <w:rsid w:val="0076306A"/>
    <w:rsid w:val="00763501"/>
    <w:rsid w:val="00763A25"/>
    <w:rsid w:val="00763EE5"/>
    <w:rsid w:val="007642EB"/>
    <w:rsid w:val="00764911"/>
    <w:rsid w:val="007658C6"/>
    <w:rsid w:val="0076594C"/>
    <w:rsid w:val="00765AC6"/>
    <w:rsid w:val="007663A8"/>
    <w:rsid w:val="007663DA"/>
    <w:rsid w:val="007669FB"/>
    <w:rsid w:val="0076715F"/>
    <w:rsid w:val="00767235"/>
    <w:rsid w:val="00767299"/>
    <w:rsid w:val="0076742E"/>
    <w:rsid w:val="007675E7"/>
    <w:rsid w:val="007679E5"/>
    <w:rsid w:val="00767A8E"/>
    <w:rsid w:val="00767DD8"/>
    <w:rsid w:val="00767F5C"/>
    <w:rsid w:val="0077093F"/>
    <w:rsid w:val="0077110F"/>
    <w:rsid w:val="00771DC5"/>
    <w:rsid w:val="007722D7"/>
    <w:rsid w:val="007729CC"/>
    <w:rsid w:val="0077380B"/>
    <w:rsid w:val="0077380D"/>
    <w:rsid w:val="007738F6"/>
    <w:rsid w:val="007741DB"/>
    <w:rsid w:val="007742FE"/>
    <w:rsid w:val="0077459C"/>
    <w:rsid w:val="00774733"/>
    <w:rsid w:val="00774D38"/>
    <w:rsid w:val="00774DD1"/>
    <w:rsid w:val="00774E69"/>
    <w:rsid w:val="00774E80"/>
    <w:rsid w:val="00774F3D"/>
    <w:rsid w:val="00775071"/>
    <w:rsid w:val="007757E5"/>
    <w:rsid w:val="0077594C"/>
    <w:rsid w:val="00775D9C"/>
    <w:rsid w:val="00776384"/>
    <w:rsid w:val="00776DE3"/>
    <w:rsid w:val="007773E0"/>
    <w:rsid w:val="00777BD4"/>
    <w:rsid w:val="00777D4E"/>
    <w:rsid w:val="0078074C"/>
    <w:rsid w:val="00780BFF"/>
    <w:rsid w:val="00780F9E"/>
    <w:rsid w:val="0078150D"/>
    <w:rsid w:val="0078193A"/>
    <w:rsid w:val="00781D88"/>
    <w:rsid w:val="0078259E"/>
    <w:rsid w:val="00782874"/>
    <w:rsid w:val="007829B3"/>
    <w:rsid w:val="00782B43"/>
    <w:rsid w:val="00782B57"/>
    <w:rsid w:val="00782E16"/>
    <w:rsid w:val="00783AA7"/>
    <w:rsid w:val="00783ADC"/>
    <w:rsid w:val="00783C04"/>
    <w:rsid w:val="00784119"/>
    <w:rsid w:val="00784345"/>
    <w:rsid w:val="00784B75"/>
    <w:rsid w:val="00784CC6"/>
    <w:rsid w:val="00784CF7"/>
    <w:rsid w:val="00784FC8"/>
    <w:rsid w:val="0078574B"/>
    <w:rsid w:val="00785C30"/>
    <w:rsid w:val="00786A8F"/>
    <w:rsid w:val="00786AD9"/>
    <w:rsid w:val="00787033"/>
    <w:rsid w:val="007870D5"/>
    <w:rsid w:val="00787A7B"/>
    <w:rsid w:val="00787D2A"/>
    <w:rsid w:val="00790036"/>
    <w:rsid w:val="00790082"/>
    <w:rsid w:val="007905EA"/>
    <w:rsid w:val="00790A79"/>
    <w:rsid w:val="00791A6A"/>
    <w:rsid w:val="00791B01"/>
    <w:rsid w:val="00791B23"/>
    <w:rsid w:val="00791E8C"/>
    <w:rsid w:val="007929CE"/>
    <w:rsid w:val="00792C3B"/>
    <w:rsid w:val="00792F02"/>
    <w:rsid w:val="007930E4"/>
    <w:rsid w:val="0079324B"/>
    <w:rsid w:val="0079344C"/>
    <w:rsid w:val="007937B4"/>
    <w:rsid w:val="00794417"/>
    <w:rsid w:val="0079490C"/>
    <w:rsid w:val="00794A01"/>
    <w:rsid w:val="00794E59"/>
    <w:rsid w:val="00794E61"/>
    <w:rsid w:val="00795894"/>
    <w:rsid w:val="0079621C"/>
    <w:rsid w:val="0079622D"/>
    <w:rsid w:val="00796408"/>
    <w:rsid w:val="00796618"/>
    <w:rsid w:val="0079698D"/>
    <w:rsid w:val="007975DD"/>
    <w:rsid w:val="00797800"/>
    <w:rsid w:val="00797F0E"/>
    <w:rsid w:val="007A00B1"/>
    <w:rsid w:val="007A03DD"/>
    <w:rsid w:val="007A0673"/>
    <w:rsid w:val="007A06C6"/>
    <w:rsid w:val="007A0AC8"/>
    <w:rsid w:val="007A0F6E"/>
    <w:rsid w:val="007A191A"/>
    <w:rsid w:val="007A1B20"/>
    <w:rsid w:val="007A2672"/>
    <w:rsid w:val="007A268E"/>
    <w:rsid w:val="007A3368"/>
    <w:rsid w:val="007A3F1C"/>
    <w:rsid w:val="007A40D8"/>
    <w:rsid w:val="007A44CF"/>
    <w:rsid w:val="007A4B57"/>
    <w:rsid w:val="007A4BB1"/>
    <w:rsid w:val="007A527F"/>
    <w:rsid w:val="007A57C0"/>
    <w:rsid w:val="007A6657"/>
    <w:rsid w:val="007A734D"/>
    <w:rsid w:val="007A73B5"/>
    <w:rsid w:val="007A7402"/>
    <w:rsid w:val="007A7B3A"/>
    <w:rsid w:val="007A7C92"/>
    <w:rsid w:val="007A7D24"/>
    <w:rsid w:val="007B00E4"/>
    <w:rsid w:val="007B0473"/>
    <w:rsid w:val="007B0A4C"/>
    <w:rsid w:val="007B159B"/>
    <w:rsid w:val="007B1A6C"/>
    <w:rsid w:val="007B1CDF"/>
    <w:rsid w:val="007B21DC"/>
    <w:rsid w:val="007B2540"/>
    <w:rsid w:val="007B2596"/>
    <w:rsid w:val="007B286D"/>
    <w:rsid w:val="007B383E"/>
    <w:rsid w:val="007B3BF8"/>
    <w:rsid w:val="007B4098"/>
    <w:rsid w:val="007B5122"/>
    <w:rsid w:val="007B590D"/>
    <w:rsid w:val="007B6289"/>
    <w:rsid w:val="007B63E8"/>
    <w:rsid w:val="007B660E"/>
    <w:rsid w:val="007B69D0"/>
    <w:rsid w:val="007B6B11"/>
    <w:rsid w:val="007B6B73"/>
    <w:rsid w:val="007B6E4F"/>
    <w:rsid w:val="007B70AE"/>
    <w:rsid w:val="007B75F6"/>
    <w:rsid w:val="007B788C"/>
    <w:rsid w:val="007B788E"/>
    <w:rsid w:val="007B7909"/>
    <w:rsid w:val="007B79D2"/>
    <w:rsid w:val="007C0150"/>
    <w:rsid w:val="007C0C34"/>
    <w:rsid w:val="007C1678"/>
    <w:rsid w:val="007C17AE"/>
    <w:rsid w:val="007C23F5"/>
    <w:rsid w:val="007C2F03"/>
    <w:rsid w:val="007C34D3"/>
    <w:rsid w:val="007C3675"/>
    <w:rsid w:val="007C3857"/>
    <w:rsid w:val="007C3999"/>
    <w:rsid w:val="007C3B48"/>
    <w:rsid w:val="007C3CE3"/>
    <w:rsid w:val="007C4E36"/>
    <w:rsid w:val="007C4FE9"/>
    <w:rsid w:val="007C5813"/>
    <w:rsid w:val="007C5962"/>
    <w:rsid w:val="007C5C4E"/>
    <w:rsid w:val="007C62AC"/>
    <w:rsid w:val="007C6387"/>
    <w:rsid w:val="007C6EB5"/>
    <w:rsid w:val="007C7989"/>
    <w:rsid w:val="007C7BC5"/>
    <w:rsid w:val="007C7DBC"/>
    <w:rsid w:val="007D0043"/>
    <w:rsid w:val="007D0461"/>
    <w:rsid w:val="007D04B1"/>
    <w:rsid w:val="007D055E"/>
    <w:rsid w:val="007D0A7A"/>
    <w:rsid w:val="007D0BE4"/>
    <w:rsid w:val="007D101D"/>
    <w:rsid w:val="007D1B63"/>
    <w:rsid w:val="007D1C5D"/>
    <w:rsid w:val="007D2FE5"/>
    <w:rsid w:val="007D30FE"/>
    <w:rsid w:val="007D3253"/>
    <w:rsid w:val="007D3579"/>
    <w:rsid w:val="007D3744"/>
    <w:rsid w:val="007D3ADB"/>
    <w:rsid w:val="007D3B2E"/>
    <w:rsid w:val="007D3BB1"/>
    <w:rsid w:val="007D3DFB"/>
    <w:rsid w:val="007D47E1"/>
    <w:rsid w:val="007D4A72"/>
    <w:rsid w:val="007D4EA9"/>
    <w:rsid w:val="007D5267"/>
    <w:rsid w:val="007D55F2"/>
    <w:rsid w:val="007D57D0"/>
    <w:rsid w:val="007D5BBB"/>
    <w:rsid w:val="007D62CD"/>
    <w:rsid w:val="007D63F3"/>
    <w:rsid w:val="007D6530"/>
    <w:rsid w:val="007D676C"/>
    <w:rsid w:val="007D6BD5"/>
    <w:rsid w:val="007D73C6"/>
    <w:rsid w:val="007D73FE"/>
    <w:rsid w:val="007D74C8"/>
    <w:rsid w:val="007D76D6"/>
    <w:rsid w:val="007D7838"/>
    <w:rsid w:val="007D7948"/>
    <w:rsid w:val="007D7B6D"/>
    <w:rsid w:val="007D7DB3"/>
    <w:rsid w:val="007D7EBB"/>
    <w:rsid w:val="007E038E"/>
    <w:rsid w:val="007E0A39"/>
    <w:rsid w:val="007E0C4A"/>
    <w:rsid w:val="007E10BE"/>
    <w:rsid w:val="007E1C49"/>
    <w:rsid w:val="007E2335"/>
    <w:rsid w:val="007E253B"/>
    <w:rsid w:val="007E2834"/>
    <w:rsid w:val="007E2CD9"/>
    <w:rsid w:val="007E3439"/>
    <w:rsid w:val="007E3714"/>
    <w:rsid w:val="007E3A72"/>
    <w:rsid w:val="007E40DB"/>
    <w:rsid w:val="007E431C"/>
    <w:rsid w:val="007E52C5"/>
    <w:rsid w:val="007E6239"/>
    <w:rsid w:val="007E6460"/>
    <w:rsid w:val="007E6476"/>
    <w:rsid w:val="007E6D2A"/>
    <w:rsid w:val="007E6ED4"/>
    <w:rsid w:val="007E6F62"/>
    <w:rsid w:val="007E7C0F"/>
    <w:rsid w:val="007F003B"/>
    <w:rsid w:val="007F1292"/>
    <w:rsid w:val="007F1572"/>
    <w:rsid w:val="007F18D4"/>
    <w:rsid w:val="007F196F"/>
    <w:rsid w:val="007F19A4"/>
    <w:rsid w:val="007F1FCB"/>
    <w:rsid w:val="007F263C"/>
    <w:rsid w:val="007F28D1"/>
    <w:rsid w:val="007F2A37"/>
    <w:rsid w:val="007F2B33"/>
    <w:rsid w:val="007F330B"/>
    <w:rsid w:val="007F3A7B"/>
    <w:rsid w:val="007F3B38"/>
    <w:rsid w:val="007F3D27"/>
    <w:rsid w:val="007F3F95"/>
    <w:rsid w:val="007F45ED"/>
    <w:rsid w:val="007F496D"/>
    <w:rsid w:val="007F4D82"/>
    <w:rsid w:val="007F59FF"/>
    <w:rsid w:val="007F5FA5"/>
    <w:rsid w:val="007F6655"/>
    <w:rsid w:val="007F68DA"/>
    <w:rsid w:val="007F6A8E"/>
    <w:rsid w:val="007F6C76"/>
    <w:rsid w:val="007F70CB"/>
    <w:rsid w:val="007F7F2F"/>
    <w:rsid w:val="008004BB"/>
    <w:rsid w:val="008004CF"/>
    <w:rsid w:val="008004EE"/>
    <w:rsid w:val="00801164"/>
    <w:rsid w:val="008012C5"/>
    <w:rsid w:val="0080140E"/>
    <w:rsid w:val="00802F1D"/>
    <w:rsid w:val="00803070"/>
    <w:rsid w:val="00803221"/>
    <w:rsid w:val="0080324D"/>
    <w:rsid w:val="00803327"/>
    <w:rsid w:val="008036ED"/>
    <w:rsid w:val="00803B85"/>
    <w:rsid w:val="00803DAE"/>
    <w:rsid w:val="00803EB0"/>
    <w:rsid w:val="008045E0"/>
    <w:rsid w:val="008048A4"/>
    <w:rsid w:val="008048D5"/>
    <w:rsid w:val="00804947"/>
    <w:rsid w:val="00804D0E"/>
    <w:rsid w:val="00804DC2"/>
    <w:rsid w:val="008056C1"/>
    <w:rsid w:val="00805810"/>
    <w:rsid w:val="008066D0"/>
    <w:rsid w:val="00806801"/>
    <w:rsid w:val="0080799D"/>
    <w:rsid w:val="00807AE7"/>
    <w:rsid w:val="00807DD8"/>
    <w:rsid w:val="008108EA"/>
    <w:rsid w:val="00810976"/>
    <w:rsid w:val="008109CF"/>
    <w:rsid w:val="00810A95"/>
    <w:rsid w:val="00810AB3"/>
    <w:rsid w:val="00811429"/>
    <w:rsid w:val="00811847"/>
    <w:rsid w:val="00811A43"/>
    <w:rsid w:val="00811BB2"/>
    <w:rsid w:val="008121B6"/>
    <w:rsid w:val="008124F0"/>
    <w:rsid w:val="008125B6"/>
    <w:rsid w:val="00813502"/>
    <w:rsid w:val="008136A5"/>
    <w:rsid w:val="0081387D"/>
    <w:rsid w:val="00813DEB"/>
    <w:rsid w:val="00813F33"/>
    <w:rsid w:val="00814431"/>
    <w:rsid w:val="00814C95"/>
    <w:rsid w:val="00814EC8"/>
    <w:rsid w:val="00814FEC"/>
    <w:rsid w:val="00815159"/>
    <w:rsid w:val="00815A24"/>
    <w:rsid w:val="00815BD4"/>
    <w:rsid w:val="00816538"/>
    <w:rsid w:val="008169D2"/>
    <w:rsid w:val="00816BD7"/>
    <w:rsid w:val="00816C3C"/>
    <w:rsid w:val="00816D05"/>
    <w:rsid w:val="00816E21"/>
    <w:rsid w:val="00816F94"/>
    <w:rsid w:val="00817BD7"/>
    <w:rsid w:val="00817D2D"/>
    <w:rsid w:val="00817F98"/>
    <w:rsid w:val="00820607"/>
    <w:rsid w:val="00820745"/>
    <w:rsid w:val="00820B6F"/>
    <w:rsid w:val="00820D1A"/>
    <w:rsid w:val="00820DE0"/>
    <w:rsid w:val="00820F11"/>
    <w:rsid w:val="008219AA"/>
    <w:rsid w:val="00821DB9"/>
    <w:rsid w:val="008230BF"/>
    <w:rsid w:val="00823267"/>
    <w:rsid w:val="008235FA"/>
    <w:rsid w:val="008236AA"/>
    <w:rsid w:val="00823B5E"/>
    <w:rsid w:val="00823C1E"/>
    <w:rsid w:val="00824606"/>
    <w:rsid w:val="00824727"/>
    <w:rsid w:val="00824E39"/>
    <w:rsid w:val="008256F0"/>
    <w:rsid w:val="0082570C"/>
    <w:rsid w:val="008259A5"/>
    <w:rsid w:val="00825F3B"/>
    <w:rsid w:val="00825F89"/>
    <w:rsid w:val="00825FEF"/>
    <w:rsid w:val="0082645E"/>
    <w:rsid w:val="00826CFE"/>
    <w:rsid w:val="00827485"/>
    <w:rsid w:val="00827FBD"/>
    <w:rsid w:val="00830A4E"/>
    <w:rsid w:val="00830B4B"/>
    <w:rsid w:val="008310FD"/>
    <w:rsid w:val="00832165"/>
    <w:rsid w:val="00832602"/>
    <w:rsid w:val="00832C1C"/>
    <w:rsid w:val="00832DD2"/>
    <w:rsid w:val="008330E5"/>
    <w:rsid w:val="008338D7"/>
    <w:rsid w:val="00833B76"/>
    <w:rsid w:val="00833C53"/>
    <w:rsid w:val="00834007"/>
    <w:rsid w:val="00834301"/>
    <w:rsid w:val="008343C1"/>
    <w:rsid w:val="00834419"/>
    <w:rsid w:val="00834540"/>
    <w:rsid w:val="008345D6"/>
    <w:rsid w:val="008348F2"/>
    <w:rsid w:val="00835063"/>
    <w:rsid w:val="00835626"/>
    <w:rsid w:val="008359B1"/>
    <w:rsid w:val="00835B29"/>
    <w:rsid w:val="00835B8B"/>
    <w:rsid w:val="008361F3"/>
    <w:rsid w:val="0083637B"/>
    <w:rsid w:val="00836440"/>
    <w:rsid w:val="008367A0"/>
    <w:rsid w:val="00836BB0"/>
    <w:rsid w:val="00836D02"/>
    <w:rsid w:val="00837035"/>
    <w:rsid w:val="00837253"/>
    <w:rsid w:val="00837403"/>
    <w:rsid w:val="00837732"/>
    <w:rsid w:val="00837AF3"/>
    <w:rsid w:val="00837EF0"/>
    <w:rsid w:val="00840280"/>
    <w:rsid w:val="008402AB"/>
    <w:rsid w:val="00840AE8"/>
    <w:rsid w:val="00840B58"/>
    <w:rsid w:val="00840F1D"/>
    <w:rsid w:val="00841255"/>
    <w:rsid w:val="00841517"/>
    <w:rsid w:val="00842301"/>
    <w:rsid w:val="008425C0"/>
    <w:rsid w:val="00842C58"/>
    <w:rsid w:val="00842E9F"/>
    <w:rsid w:val="00843954"/>
    <w:rsid w:val="00843AF1"/>
    <w:rsid w:val="00843C29"/>
    <w:rsid w:val="008443CF"/>
    <w:rsid w:val="008448C1"/>
    <w:rsid w:val="008449EC"/>
    <w:rsid w:val="00844DD6"/>
    <w:rsid w:val="0084518B"/>
    <w:rsid w:val="00845758"/>
    <w:rsid w:val="0084592B"/>
    <w:rsid w:val="008459AF"/>
    <w:rsid w:val="00845ABE"/>
    <w:rsid w:val="00845EFB"/>
    <w:rsid w:val="00845FFC"/>
    <w:rsid w:val="008467E0"/>
    <w:rsid w:val="00846A19"/>
    <w:rsid w:val="0084761F"/>
    <w:rsid w:val="0084783A"/>
    <w:rsid w:val="0085053B"/>
    <w:rsid w:val="008507A1"/>
    <w:rsid w:val="0085091F"/>
    <w:rsid w:val="0085206D"/>
    <w:rsid w:val="00852074"/>
    <w:rsid w:val="00852118"/>
    <w:rsid w:val="00852294"/>
    <w:rsid w:val="008529C2"/>
    <w:rsid w:val="00853E04"/>
    <w:rsid w:val="0085415E"/>
    <w:rsid w:val="00854343"/>
    <w:rsid w:val="008547F0"/>
    <w:rsid w:val="00855221"/>
    <w:rsid w:val="00855302"/>
    <w:rsid w:val="00855624"/>
    <w:rsid w:val="0085593C"/>
    <w:rsid w:val="00855AD2"/>
    <w:rsid w:val="00856367"/>
    <w:rsid w:val="00856D4D"/>
    <w:rsid w:val="00857073"/>
    <w:rsid w:val="0085737F"/>
    <w:rsid w:val="00857987"/>
    <w:rsid w:val="00857DC5"/>
    <w:rsid w:val="00857E93"/>
    <w:rsid w:val="008605B2"/>
    <w:rsid w:val="00860BF5"/>
    <w:rsid w:val="00860FAB"/>
    <w:rsid w:val="008611E2"/>
    <w:rsid w:val="00861CEF"/>
    <w:rsid w:val="00861F0B"/>
    <w:rsid w:val="00861FB6"/>
    <w:rsid w:val="008620D8"/>
    <w:rsid w:val="0086283F"/>
    <w:rsid w:val="00862C27"/>
    <w:rsid w:val="00863ED7"/>
    <w:rsid w:val="00864639"/>
    <w:rsid w:val="00864EB8"/>
    <w:rsid w:val="00865340"/>
    <w:rsid w:val="00865511"/>
    <w:rsid w:val="00865CD1"/>
    <w:rsid w:val="00865E1A"/>
    <w:rsid w:val="0086635E"/>
    <w:rsid w:val="00866AD5"/>
    <w:rsid w:val="00866CF1"/>
    <w:rsid w:val="00866CFF"/>
    <w:rsid w:val="008670A7"/>
    <w:rsid w:val="00867A6E"/>
    <w:rsid w:val="00870133"/>
    <w:rsid w:val="00870861"/>
    <w:rsid w:val="00870901"/>
    <w:rsid w:val="008709E3"/>
    <w:rsid w:val="00870D25"/>
    <w:rsid w:val="00871078"/>
    <w:rsid w:val="008713CD"/>
    <w:rsid w:val="008714BB"/>
    <w:rsid w:val="00871518"/>
    <w:rsid w:val="008716F6"/>
    <w:rsid w:val="008719A8"/>
    <w:rsid w:val="00871AEF"/>
    <w:rsid w:val="00871B00"/>
    <w:rsid w:val="00871D53"/>
    <w:rsid w:val="00871F54"/>
    <w:rsid w:val="00872E03"/>
    <w:rsid w:val="00873415"/>
    <w:rsid w:val="0087353D"/>
    <w:rsid w:val="00873876"/>
    <w:rsid w:val="0087389B"/>
    <w:rsid w:val="008741F4"/>
    <w:rsid w:val="0087438E"/>
    <w:rsid w:val="0087445C"/>
    <w:rsid w:val="00874B02"/>
    <w:rsid w:val="00874BB5"/>
    <w:rsid w:val="00874EB8"/>
    <w:rsid w:val="00875471"/>
    <w:rsid w:val="0087580D"/>
    <w:rsid w:val="0087586F"/>
    <w:rsid w:val="00875CC0"/>
    <w:rsid w:val="008760A9"/>
    <w:rsid w:val="0087644D"/>
    <w:rsid w:val="0087653B"/>
    <w:rsid w:val="00876B49"/>
    <w:rsid w:val="00876D16"/>
    <w:rsid w:val="00876EC7"/>
    <w:rsid w:val="00877772"/>
    <w:rsid w:val="008778D4"/>
    <w:rsid w:val="00877B0A"/>
    <w:rsid w:val="00877BFB"/>
    <w:rsid w:val="00877C2B"/>
    <w:rsid w:val="00877CE9"/>
    <w:rsid w:val="00880A26"/>
    <w:rsid w:val="008818B9"/>
    <w:rsid w:val="008818BC"/>
    <w:rsid w:val="0088239A"/>
    <w:rsid w:val="00882570"/>
    <w:rsid w:val="008828A8"/>
    <w:rsid w:val="00882FA4"/>
    <w:rsid w:val="0088314A"/>
    <w:rsid w:val="008834EC"/>
    <w:rsid w:val="0088373D"/>
    <w:rsid w:val="00884E14"/>
    <w:rsid w:val="00885712"/>
    <w:rsid w:val="00885850"/>
    <w:rsid w:val="00885C3A"/>
    <w:rsid w:val="00885CC9"/>
    <w:rsid w:val="00885FC4"/>
    <w:rsid w:val="0088622D"/>
    <w:rsid w:val="00886810"/>
    <w:rsid w:val="00886B52"/>
    <w:rsid w:val="00887303"/>
    <w:rsid w:val="008877F0"/>
    <w:rsid w:val="00887DD5"/>
    <w:rsid w:val="0089079B"/>
    <w:rsid w:val="00890B05"/>
    <w:rsid w:val="0089156B"/>
    <w:rsid w:val="008919CB"/>
    <w:rsid w:val="00892461"/>
    <w:rsid w:val="008924C1"/>
    <w:rsid w:val="00892E22"/>
    <w:rsid w:val="008931B9"/>
    <w:rsid w:val="00893388"/>
    <w:rsid w:val="008934B0"/>
    <w:rsid w:val="008937E3"/>
    <w:rsid w:val="00893A23"/>
    <w:rsid w:val="00893D6C"/>
    <w:rsid w:val="00894246"/>
    <w:rsid w:val="008946C2"/>
    <w:rsid w:val="00894903"/>
    <w:rsid w:val="00895032"/>
    <w:rsid w:val="0089523D"/>
    <w:rsid w:val="00895A97"/>
    <w:rsid w:val="00895B6E"/>
    <w:rsid w:val="008969B7"/>
    <w:rsid w:val="00896B5A"/>
    <w:rsid w:val="008972C7"/>
    <w:rsid w:val="008975F9"/>
    <w:rsid w:val="00897B9C"/>
    <w:rsid w:val="00897CD1"/>
    <w:rsid w:val="008A0AC6"/>
    <w:rsid w:val="008A0C29"/>
    <w:rsid w:val="008A1129"/>
    <w:rsid w:val="008A127C"/>
    <w:rsid w:val="008A1331"/>
    <w:rsid w:val="008A1A4C"/>
    <w:rsid w:val="008A1EF2"/>
    <w:rsid w:val="008A22CF"/>
    <w:rsid w:val="008A2340"/>
    <w:rsid w:val="008A2AFE"/>
    <w:rsid w:val="008A364B"/>
    <w:rsid w:val="008A3764"/>
    <w:rsid w:val="008A38EC"/>
    <w:rsid w:val="008A3ED1"/>
    <w:rsid w:val="008A4215"/>
    <w:rsid w:val="008A48F7"/>
    <w:rsid w:val="008A4A0E"/>
    <w:rsid w:val="008A4A37"/>
    <w:rsid w:val="008A4F66"/>
    <w:rsid w:val="008A5342"/>
    <w:rsid w:val="008A580B"/>
    <w:rsid w:val="008A72A6"/>
    <w:rsid w:val="008A7536"/>
    <w:rsid w:val="008A7A37"/>
    <w:rsid w:val="008B0051"/>
    <w:rsid w:val="008B0B0A"/>
    <w:rsid w:val="008B10C3"/>
    <w:rsid w:val="008B1689"/>
    <w:rsid w:val="008B1FCF"/>
    <w:rsid w:val="008B2EDB"/>
    <w:rsid w:val="008B33CC"/>
    <w:rsid w:val="008B37FF"/>
    <w:rsid w:val="008B3AA6"/>
    <w:rsid w:val="008B3D51"/>
    <w:rsid w:val="008B3EED"/>
    <w:rsid w:val="008B4046"/>
    <w:rsid w:val="008B49FA"/>
    <w:rsid w:val="008B4DD7"/>
    <w:rsid w:val="008B52C2"/>
    <w:rsid w:val="008B5364"/>
    <w:rsid w:val="008B561A"/>
    <w:rsid w:val="008B5AED"/>
    <w:rsid w:val="008B6D37"/>
    <w:rsid w:val="008B73C8"/>
    <w:rsid w:val="008B7AF1"/>
    <w:rsid w:val="008B7E75"/>
    <w:rsid w:val="008C01F1"/>
    <w:rsid w:val="008C020E"/>
    <w:rsid w:val="008C0D41"/>
    <w:rsid w:val="008C0F5F"/>
    <w:rsid w:val="008C1F54"/>
    <w:rsid w:val="008C22E9"/>
    <w:rsid w:val="008C25A3"/>
    <w:rsid w:val="008C2681"/>
    <w:rsid w:val="008C29A0"/>
    <w:rsid w:val="008C2D58"/>
    <w:rsid w:val="008C357F"/>
    <w:rsid w:val="008C3598"/>
    <w:rsid w:val="008C39B4"/>
    <w:rsid w:val="008C44A9"/>
    <w:rsid w:val="008C452F"/>
    <w:rsid w:val="008C466C"/>
    <w:rsid w:val="008C4D1B"/>
    <w:rsid w:val="008C53C0"/>
    <w:rsid w:val="008C6BF5"/>
    <w:rsid w:val="008C705C"/>
    <w:rsid w:val="008C7530"/>
    <w:rsid w:val="008C77B9"/>
    <w:rsid w:val="008C7ED6"/>
    <w:rsid w:val="008D0079"/>
    <w:rsid w:val="008D007E"/>
    <w:rsid w:val="008D0630"/>
    <w:rsid w:val="008D0BDE"/>
    <w:rsid w:val="008D0DDE"/>
    <w:rsid w:val="008D1035"/>
    <w:rsid w:val="008D1277"/>
    <w:rsid w:val="008D1E7A"/>
    <w:rsid w:val="008D2715"/>
    <w:rsid w:val="008D27D2"/>
    <w:rsid w:val="008D2A9C"/>
    <w:rsid w:val="008D2F2B"/>
    <w:rsid w:val="008D3521"/>
    <w:rsid w:val="008D3678"/>
    <w:rsid w:val="008D3E40"/>
    <w:rsid w:val="008D3FD6"/>
    <w:rsid w:val="008D416C"/>
    <w:rsid w:val="008D4739"/>
    <w:rsid w:val="008D4E8C"/>
    <w:rsid w:val="008D4EFE"/>
    <w:rsid w:val="008D610A"/>
    <w:rsid w:val="008D6DA1"/>
    <w:rsid w:val="008D7621"/>
    <w:rsid w:val="008D7893"/>
    <w:rsid w:val="008D793C"/>
    <w:rsid w:val="008E0C82"/>
    <w:rsid w:val="008E0E92"/>
    <w:rsid w:val="008E1879"/>
    <w:rsid w:val="008E1B5D"/>
    <w:rsid w:val="008E207C"/>
    <w:rsid w:val="008E2CE3"/>
    <w:rsid w:val="008E2DA7"/>
    <w:rsid w:val="008E2F14"/>
    <w:rsid w:val="008E32DA"/>
    <w:rsid w:val="008E34C7"/>
    <w:rsid w:val="008E3B75"/>
    <w:rsid w:val="008E3C8F"/>
    <w:rsid w:val="008E43E3"/>
    <w:rsid w:val="008E445A"/>
    <w:rsid w:val="008E45C7"/>
    <w:rsid w:val="008E4B3A"/>
    <w:rsid w:val="008E4C02"/>
    <w:rsid w:val="008E55BF"/>
    <w:rsid w:val="008E5617"/>
    <w:rsid w:val="008E5B4E"/>
    <w:rsid w:val="008E5F5C"/>
    <w:rsid w:val="008E6D38"/>
    <w:rsid w:val="008E71AE"/>
    <w:rsid w:val="008E7338"/>
    <w:rsid w:val="008E7437"/>
    <w:rsid w:val="008E7C4C"/>
    <w:rsid w:val="008F0022"/>
    <w:rsid w:val="008F08C6"/>
    <w:rsid w:val="008F0FB3"/>
    <w:rsid w:val="008F1426"/>
    <w:rsid w:val="008F1A4D"/>
    <w:rsid w:val="008F20C3"/>
    <w:rsid w:val="008F2BCC"/>
    <w:rsid w:val="008F30C6"/>
    <w:rsid w:val="008F3F51"/>
    <w:rsid w:val="008F3F64"/>
    <w:rsid w:val="008F4781"/>
    <w:rsid w:val="008F495B"/>
    <w:rsid w:val="008F4B04"/>
    <w:rsid w:val="008F4CFB"/>
    <w:rsid w:val="008F5089"/>
    <w:rsid w:val="008F569C"/>
    <w:rsid w:val="008F5946"/>
    <w:rsid w:val="008F62E6"/>
    <w:rsid w:val="008F64EB"/>
    <w:rsid w:val="008F66E7"/>
    <w:rsid w:val="008F6BB0"/>
    <w:rsid w:val="008F6C9C"/>
    <w:rsid w:val="008F6E48"/>
    <w:rsid w:val="008F6FD7"/>
    <w:rsid w:val="00900697"/>
    <w:rsid w:val="009009DD"/>
    <w:rsid w:val="00900B58"/>
    <w:rsid w:val="00900CDF"/>
    <w:rsid w:val="009012EC"/>
    <w:rsid w:val="009015A3"/>
    <w:rsid w:val="00901738"/>
    <w:rsid w:val="00901EA9"/>
    <w:rsid w:val="009021D4"/>
    <w:rsid w:val="00902308"/>
    <w:rsid w:val="00902F69"/>
    <w:rsid w:val="009048F0"/>
    <w:rsid w:val="00904D6E"/>
    <w:rsid w:val="00904FFF"/>
    <w:rsid w:val="00905184"/>
    <w:rsid w:val="009051FA"/>
    <w:rsid w:val="0090575F"/>
    <w:rsid w:val="00905827"/>
    <w:rsid w:val="00905B1F"/>
    <w:rsid w:val="00906AD4"/>
    <w:rsid w:val="00906B01"/>
    <w:rsid w:val="00907209"/>
    <w:rsid w:val="0090789D"/>
    <w:rsid w:val="00907DED"/>
    <w:rsid w:val="0091005B"/>
    <w:rsid w:val="009100DD"/>
    <w:rsid w:val="0091019A"/>
    <w:rsid w:val="0091074A"/>
    <w:rsid w:val="0091078C"/>
    <w:rsid w:val="009107C5"/>
    <w:rsid w:val="0091098A"/>
    <w:rsid w:val="00910AA2"/>
    <w:rsid w:val="00910CFF"/>
    <w:rsid w:val="0091152D"/>
    <w:rsid w:val="00912387"/>
    <w:rsid w:val="009124B2"/>
    <w:rsid w:val="00912903"/>
    <w:rsid w:val="00912B11"/>
    <w:rsid w:val="00912C2A"/>
    <w:rsid w:val="00912D9B"/>
    <w:rsid w:val="00913077"/>
    <w:rsid w:val="00913282"/>
    <w:rsid w:val="009132B9"/>
    <w:rsid w:val="009137D9"/>
    <w:rsid w:val="00913DC6"/>
    <w:rsid w:val="00914221"/>
    <w:rsid w:val="00914595"/>
    <w:rsid w:val="00914B7E"/>
    <w:rsid w:val="00915077"/>
    <w:rsid w:val="0091584F"/>
    <w:rsid w:val="009159C7"/>
    <w:rsid w:val="009160EE"/>
    <w:rsid w:val="0091655F"/>
    <w:rsid w:val="0091694C"/>
    <w:rsid w:val="0091702B"/>
    <w:rsid w:val="00917132"/>
    <w:rsid w:val="009177F4"/>
    <w:rsid w:val="009178E0"/>
    <w:rsid w:val="00917B2F"/>
    <w:rsid w:val="00917C7F"/>
    <w:rsid w:val="0092020E"/>
    <w:rsid w:val="00920475"/>
    <w:rsid w:val="009204B2"/>
    <w:rsid w:val="009205EB"/>
    <w:rsid w:val="0092080F"/>
    <w:rsid w:val="009208B9"/>
    <w:rsid w:val="0092094B"/>
    <w:rsid w:val="00920A90"/>
    <w:rsid w:val="00920E9D"/>
    <w:rsid w:val="009211FD"/>
    <w:rsid w:val="009212C5"/>
    <w:rsid w:val="00921689"/>
    <w:rsid w:val="009216B5"/>
    <w:rsid w:val="00921B65"/>
    <w:rsid w:val="00921F1B"/>
    <w:rsid w:val="00922474"/>
    <w:rsid w:val="00922613"/>
    <w:rsid w:val="00922786"/>
    <w:rsid w:val="009228CD"/>
    <w:rsid w:val="00922B05"/>
    <w:rsid w:val="00922F71"/>
    <w:rsid w:val="00923176"/>
    <w:rsid w:val="0092355C"/>
    <w:rsid w:val="00923D75"/>
    <w:rsid w:val="00923E49"/>
    <w:rsid w:val="009240D1"/>
    <w:rsid w:val="009241EF"/>
    <w:rsid w:val="00924379"/>
    <w:rsid w:val="009249AA"/>
    <w:rsid w:val="00924C11"/>
    <w:rsid w:val="00924D39"/>
    <w:rsid w:val="00925CA7"/>
    <w:rsid w:val="00926DAA"/>
    <w:rsid w:val="00927345"/>
    <w:rsid w:val="009275CD"/>
    <w:rsid w:val="00927990"/>
    <w:rsid w:val="009305C0"/>
    <w:rsid w:val="00930C1C"/>
    <w:rsid w:val="0093100F"/>
    <w:rsid w:val="00931443"/>
    <w:rsid w:val="00931780"/>
    <w:rsid w:val="00931CF6"/>
    <w:rsid w:val="0093200E"/>
    <w:rsid w:val="00932800"/>
    <w:rsid w:val="00932843"/>
    <w:rsid w:val="00932859"/>
    <w:rsid w:val="00932B19"/>
    <w:rsid w:val="0093342A"/>
    <w:rsid w:val="00933DD3"/>
    <w:rsid w:val="00933EB2"/>
    <w:rsid w:val="00934028"/>
    <w:rsid w:val="009342AC"/>
    <w:rsid w:val="009344B2"/>
    <w:rsid w:val="00934969"/>
    <w:rsid w:val="00934C64"/>
    <w:rsid w:val="00935215"/>
    <w:rsid w:val="00935627"/>
    <w:rsid w:val="009364B9"/>
    <w:rsid w:val="00936680"/>
    <w:rsid w:val="009366BA"/>
    <w:rsid w:val="00936F94"/>
    <w:rsid w:val="00937080"/>
    <w:rsid w:val="009378AF"/>
    <w:rsid w:val="00937C08"/>
    <w:rsid w:val="00937F7B"/>
    <w:rsid w:val="00940133"/>
    <w:rsid w:val="009401CF"/>
    <w:rsid w:val="00940793"/>
    <w:rsid w:val="00940B21"/>
    <w:rsid w:val="00940B2A"/>
    <w:rsid w:val="00940E28"/>
    <w:rsid w:val="009418E5"/>
    <w:rsid w:val="0094237A"/>
    <w:rsid w:val="00942923"/>
    <w:rsid w:val="00942975"/>
    <w:rsid w:val="00942C87"/>
    <w:rsid w:val="00943864"/>
    <w:rsid w:val="0094396B"/>
    <w:rsid w:val="0094397F"/>
    <w:rsid w:val="00943D03"/>
    <w:rsid w:val="00943F3E"/>
    <w:rsid w:val="00944097"/>
    <w:rsid w:val="00944BE2"/>
    <w:rsid w:val="00944CDE"/>
    <w:rsid w:val="00945927"/>
    <w:rsid w:val="00945A7D"/>
    <w:rsid w:val="00945EF9"/>
    <w:rsid w:val="0094621F"/>
    <w:rsid w:val="00946264"/>
    <w:rsid w:val="00946781"/>
    <w:rsid w:val="00946DA2"/>
    <w:rsid w:val="0094755D"/>
    <w:rsid w:val="00947679"/>
    <w:rsid w:val="00947884"/>
    <w:rsid w:val="00950495"/>
    <w:rsid w:val="0095073A"/>
    <w:rsid w:val="00950FBE"/>
    <w:rsid w:val="00951079"/>
    <w:rsid w:val="009514C3"/>
    <w:rsid w:val="0095167C"/>
    <w:rsid w:val="009517FC"/>
    <w:rsid w:val="0095443F"/>
    <w:rsid w:val="00954B42"/>
    <w:rsid w:val="00954D11"/>
    <w:rsid w:val="00954E69"/>
    <w:rsid w:val="00954FFC"/>
    <w:rsid w:val="0095553D"/>
    <w:rsid w:val="0095565E"/>
    <w:rsid w:val="00955810"/>
    <w:rsid w:val="0095590E"/>
    <w:rsid w:val="009559D1"/>
    <w:rsid w:val="00955BEA"/>
    <w:rsid w:val="00955C04"/>
    <w:rsid w:val="009564E4"/>
    <w:rsid w:val="0095699D"/>
    <w:rsid w:val="00956A7D"/>
    <w:rsid w:val="00956AAE"/>
    <w:rsid w:val="00956D7E"/>
    <w:rsid w:val="00956F93"/>
    <w:rsid w:val="009575A2"/>
    <w:rsid w:val="0095766B"/>
    <w:rsid w:val="00960314"/>
    <w:rsid w:val="009603E7"/>
    <w:rsid w:val="009604A0"/>
    <w:rsid w:val="00960684"/>
    <w:rsid w:val="0096098E"/>
    <w:rsid w:val="00961434"/>
    <w:rsid w:val="0096156B"/>
    <w:rsid w:val="009615CA"/>
    <w:rsid w:val="0096190A"/>
    <w:rsid w:val="00961A97"/>
    <w:rsid w:val="00961ABC"/>
    <w:rsid w:val="00961BDE"/>
    <w:rsid w:val="00962529"/>
    <w:rsid w:val="009627FB"/>
    <w:rsid w:val="00962D88"/>
    <w:rsid w:val="00963133"/>
    <w:rsid w:val="009638EF"/>
    <w:rsid w:val="00963F53"/>
    <w:rsid w:val="00964727"/>
    <w:rsid w:val="00965337"/>
    <w:rsid w:val="009657E1"/>
    <w:rsid w:val="00965A01"/>
    <w:rsid w:val="00966A7B"/>
    <w:rsid w:val="00967639"/>
    <w:rsid w:val="0096785F"/>
    <w:rsid w:val="0097006F"/>
    <w:rsid w:val="009702D2"/>
    <w:rsid w:val="009704A3"/>
    <w:rsid w:val="00970B12"/>
    <w:rsid w:val="00970FA5"/>
    <w:rsid w:val="0097123D"/>
    <w:rsid w:val="009712DF"/>
    <w:rsid w:val="009714F7"/>
    <w:rsid w:val="009715A2"/>
    <w:rsid w:val="009716FE"/>
    <w:rsid w:val="0097174C"/>
    <w:rsid w:val="009719AA"/>
    <w:rsid w:val="00971BD1"/>
    <w:rsid w:val="00971CE8"/>
    <w:rsid w:val="00972054"/>
    <w:rsid w:val="00972338"/>
    <w:rsid w:val="00972811"/>
    <w:rsid w:val="00972A62"/>
    <w:rsid w:val="00972A82"/>
    <w:rsid w:val="00972C20"/>
    <w:rsid w:val="00972EFF"/>
    <w:rsid w:val="009731FE"/>
    <w:rsid w:val="009740AA"/>
    <w:rsid w:val="009743F8"/>
    <w:rsid w:val="00974BC1"/>
    <w:rsid w:val="00974EAB"/>
    <w:rsid w:val="00975045"/>
    <w:rsid w:val="00976906"/>
    <w:rsid w:val="009776EE"/>
    <w:rsid w:val="0097798A"/>
    <w:rsid w:val="00977DFD"/>
    <w:rsid w:val="00980213"/>
    <w:rsid w:val="00980262"/>
    <w:rsid w:val="00980297"/>
    <w:rsid w:val="00980798"/>
    <w:rsid w:val="009808E3"/>
    <w:rsid w:val="00980A61"/>
    <w:rsid w:val="00980A92"/>
    <w:rsid w:val="00980F6A"/>
    <w:rsid w:val="009810BB"/>
    <w:rsid w:val="00981291"/>
    <w:rsid w:val="0098193B"/>
    <w:rsid w:val="00981F52"/>
    <w:rsid w:val="00982070"/>
    <w:rsid w:val="009821AF"/>
    <w:rsid w:val="00982464"/>
    <w:rsid w:val="009828E5"/>
    <w:rsid w:val="00982AD5"/>
    <w:rsid w:val="00982D03"/>
    <w:rsid w:val="00982E05"/>
    <w:rsid w:val="0098360D"/>
    <w:rsid w:val="00984312"/>
    <w:rsid w:val="009843AA"/>
    <w:rsid w:val="00984692"/>
    <w:rsid w:val="00984AD1"/>
    <w:rsid w:val="0098516D"/>
    <w:rsid w:val="0098534A"/>
    <w:rsid w:val="00985562"/>
    <w:rsid w:val="00985D20"/>
    <w:rsid w:val="00985F5B"/>
    <w:rsid w:val="00985FE8"/>
    <w:rsid w:val="009866D8"/>
    <w:rsid w:val="00986967"/>
    <w:rsid w:val="00986BDE"/>
    <w:rsid w:val="00986C1A"/>
    <w:rsid w:val="00987143"/>
    <w:rsid w:val="0098755B"/>
    <w:rsid w:val="00987604"/>
    <w:rsid w:val="009876EE"/>
    <w:rsid w:val="009877E8"/>
    <w:rsid w:val="00987C38"/>
    <w:rsid w:val="009901D1"/>
    <w:rsid w:val="00990AEC"/>
    <w:rsid w:val="00990D23"/>
    <w:rsid w:val="00990FE6"/>
    <w:rsid w:val="00991021"/>
    <w:rsid w:val="009922CA"/>
    <w:rsid w:val="00992516"/>
    <w:rsid w:val="009925CA"/>
    <w:rsid w:val="00992A88"/>
    <w:rsid w:val="00992F45"/>
    <w:rsid w:val="0099354F"/>
    <w:rsid w:val="00993637"/>
    <w:rsid w:val="0099392E"/>
    <w:rsid w:val="00993E3D"/>
    <w:rsid w:val="00993EEC"/>
    <w:rsid w:val="00994A22"/>
    <w:rsid w:val="00994D7F"/>
    <w:rsid w:val="00994E9A"/>
    <w:rsid w:val="00995279"/>
    <w:rsid w:val="00995379"/>
    <w:rsid w:val="009955EC"/>
    <w:rsid w:val="009966F4"/>
    <w:rsid w:val="009968FA"/>
    <w:rsid w:val="00996934"/>
    <w:rsid w:val="009972CE"/>
    <w:rsid w:val="0099747F"/>
    <w:rsid w:val="00997565"/>
    <w:rsid w:val="00997824"/>
    <w:rsid w:val="00997BA1"/>
    <w:rsid w:val="00997C0B"/>
    <w:rsid w:val="009A0501"/>
    <w:rsid w:val="009A07CC"/>
    <w:rsid w:val="009A0AB0"/>
    <w:rsid w:val="009A0C9C"/>
    <w:rsid w:val="009A0F57"/>
    <w:rsid w:val="009A0FA6"/>
    <w:rsid w:val="009A1390"/>
    <w:rsid w:val="009A174B"/>
    <w:rsid w:val="009A18BC"/>
    <w:rsid w:val="009A1D32"/>
    <w:rsid w:val="009A2523"/>
    <w:rsid w:val="009A25DF"/>
    <w:rsid w:val="009A2950"/>
    <w:rsid w:val="009A2A3F"/>
    <w:rsid w:val="009A357B"/>
    <w:rsid w:val="009A3A78"/>
    <w:rsid w:val="009A3CC3"/>
    <w:rsid w:val="009A41E2"/>
    <w:rsid w:val="009A4253"/>
    <w:rsid w:val="009A4974"/>
    <w:rsid w:val="009A4A9E"/>
    <w:rsid w:val="009A4C99"/>
    <w:rsid w:val="009A50B7"/>
    <w:rsid w:val="009A559B"/>
    <w:rsid w:val="009A6314"/>
    <w:rsid w:val="009A631B"/>
    <w:rsid w:val="009A6597"/>
    <w:rsid w:val="009A65A0"/>
    <w:rsid w:val="009A7040"/>
    <w:rsid w:val="009A787B"/>
    <w:rsid w:val="009A7BA1"/>
    <w:rsid w:val="009B0314"/>
    <w:rsid w:val="009B0AA7"/>
    <w:rsid w:val="009B0BB2"/>
    <w:rsid w:val="009B10DE"/>
    <w:rsid w:val="009B14A6"/>
    <w:rsid w:val="009B15BA"/>
    <w:rsid w:val="009B1F12"/>
    <w:rsid w:val="009B25E4"/>
    <w:rsid w:val="009B2A41"/>
    <w:rsid w:val="009B2AAE"/>
    <w:rsid w:val="009B2EBF"/>
    <w:rsid w:val="009B32E6"/>
    <w:rsid w:val="009B338C"/>
    <w:rsid w:val="009B38DC"/>
    <w:rsid w:val="009B3A6F"/>
    <w:rsid w:val="009B3B0D"/>
    <w:rsid w:val="009B3B86"/>
    <w:rsid w:val="009B45C4"/>
    <w:rsid w:val="009B4AFB"/>
    <w:rsid w:val="009B4B51"/>
    <w:rsid w:val="009B4D56"/>
    <w:rsid w:val="009B4E88"/>
    <w:rsid w:val="009B541F"/>
    <w:rsid w:val="009B5543"/>
    <w:rsid w:val="009B57EC"/>
    <w:rsid w:val="009B5B10"/>
    <w:rsid w:val="009B5CA3"/>
    <w:rsid w:val="009B61F8"/>
    <w:rsid w:val="009B6ABB"/>
    <w:rsid w:val="009B6CB7"/>
    <w:rsid w:val="009B7030"/>
    <w:rsid w:val="009B71E0"/>
    <w:rsid w:val="009B7AED"/>
    <w:rsid w:val="009C0468"/>
    <w:rsid w:val="009C087A"/>
    <w:rsid w:val="009C0E2C"/>
    <w:rsid w:val="009C144A"/>
    <w:rsid w:val="009C1551"/>
    <w:rsid w:val="009C1672"/>
    <w:rsid w:val="009C197A"/>
    <w:rsid w:val="009C267D"/>
    <w:rsid w:val="009C26F9"/>
    <w:rsid w:val="009C3ADD"/>
    <w:rsid w:val="009C3BEC"/>
    <w:rsid w:val="009C4691"/>
    <w:rsid w:val="009C48C0"/>
    <w:rsid w:val="009C4C3A"/>
    <w:rsid w:val="009C5A12"/>
    <w:rsid w:val="009C5A3F"/>
    <w:rsid w:val="009C5BEB"/>
    <w:rsid w:val="009C60CC"/>
    <w:rsid w:val="009C614B"/>
    <w:rsid w:val="009C623E"/>
    <w:rsid w:val="009C62BB"/>
    <w:rsid w:val="009C63B7"/>
    <w:rsid w:val="009C6DF1"/>
    <w:rsid w:val="009C6E97"/>
    <w:rsid w:val="009C725B"/>
    <w:rsid w:val="009C7632"/>
    <w:rsid w:val="009D0D90"/>
    <w:rsid w:val="009D19D3"/>
    <w:rsid w:val="009D1C32"/>
    <w:rsid w:val="009D1F0F"/>
    <w:rsid w:val="009D1F49"/>
    <w:rsid w:val="009D2120"/>
    <w:rsid w:val="009D262D"/>
    <w:rsid w:val="009D2A19"/>
    <w:rsid w:val="009D2BA1"/>
    <w:rsid w:val="009D2D59"/>
    <w:rsid w:val="009D2DFD"/>
    <w:rsid w:val="009D35F6"/>
    <w:rsid w:val="009D3924"/>
    <w:rsid w:val="009D39A4"/>
    <w:rsid w:val="009D3AAD"/>
    <w:rsid w:val="009D3CCF"/>
    <w:rsid w:val="009D5212"/>
    <w:rsid w:val="009D5A35"/>
    <w:rsid w:val="009D5D05"/>
    <w:rsid w:val="009D614B"/>
    <w:rsid w:val="009D65B9"/>
    <w:rsid w:val="009D724A"/>
    <w:rsid w:val="009D724E"/>
    <w:rsid w:val="009D7452"/>
    <w:rsid w:val="009D74DC"/>
    <w:rsid w:val="009E008C"/>
    <w:rsid w:val="009E0C11"/>
    <w:rsid w:val="009E0C3C"/>
    <w:rsid w:val="009E0FF1"/>
    <w:rsid w:val="009E11F9"/>
    <w:rsid w:val="009E1B5E"/>
    <w:rsid w:val="009E220C"/>
    <w:rsid w:val="009E2C60"/>
    <w:rsid w:val="009E319D"/>
    <w:rsid w:val="009E31EE"/>
    <w:rsid w:val="009E4BC1"/>
    <w:rsid w:val="009E4C2C"/>
    <w:rsid w:val="009E4EB0"/>
    <w:rsid w:val="009E5165"/>
    <w:rsid w:val="009E51FF"/>
    <w:rsid w:val="009E540D"/>
    <w:rsid w:val="009E55D2"/>
    <w:rsid w:val="009E638F"/>
    <w:rsid w:val="009E6616"/>
    <w:rsid w:val="009E6A5B"/>
    <w:rsid w:val="009E75A4"/>
    <w:rsid w:val="009E7ABD"/>
    <w:rsid w:val="009E7F8C"/>
    <w:rsid w:val="009E7FC2"/>
    <w:rsid w:val="009F00EB"/>
    <w:rsid w:val="009F0145"/>
    <w:rsid w:val="009F099C"/>
    <w:rsid w:val="009F0E8E"/>
    <w:rsid w:val="009F0F66"/>
    <w:rsid w:val="009F126D"/>
    <w:rsid w:val="009F2074"/>
    <w:rsid w:val="009F26CF"/>
    <w:rsid w:val="009F2D0A"/>
    <w:rsid w:val="009F2E1D"/>
    <w:rsid w:val="009F329D"/>
    <w:rsid w:val="009F33A3"/>
    <w:rsid w:val="009F363A"/>
    <w:rsid w:val="009F412B"/>
    <w:rsid w:val="009F4474"/>
    <w:rsid w:val="009F4FCC"/>
    <w:rsid w:val="009F5024"/>
    <w:rsid w:val="009F5525"/>
    <w:rsid w:val="009F5BE2"/>
    <w:rsid w:val="009F5CA3"/>
    <w:rsid w:val="009F6179"/>
    <w:rsid w:val="009F6827"/>
    <w:rsid w:val="009F6F1B"/>
    <w:rsid w:val="009F703E"/>
    <w:rsid w:val="009F7D08"/>
    <w:rsid w:val="00A015A9"/>
    <w:rsid w:val="00A01607"/>
    <w:rsid w:val="00A01A23"/>
    <w:rsid w:val="00A01ADE"/>
    <w:rsid w:val="00A01BDE"/>
    <w:rsid w:val="00A026A8"/>
    <w:rsid w:val="00A02C11"/>
    <w:rsid w:val="00A02C85"/>
    <w:rsid w:val="00A0318A"/>
    <w:rsid w:val="00A034BC"/>
    <w:rsid w:val="00A0385C"/>
    <w:rsid w:val="00A03942"/>
    <w:rsid w:val="00A03DE8"/>
    <w:rsid w:val="00A0477D"/>
    <w:rsid w:val="00A04AAA"/>
    <w:rsid w:val="00A04AF6"/>
    <w:rsid w:val="00A04E4F"/>
    <w:rsid w:val="00A05A92"/>
    <w:rsid w:val="00A06979"/>
    <w:rsid w:val="00A06A9E"/>
    <w:rsid w:val="00A06CEF"/>
    <w:rsid w:val="00A06D9D"/>
    <w:rsid w:val="00A07079"/>
    <w:rsid w:val="00A07692"/>
    <w:rsid w:val="00A07849"/>
    <w:rsid w:val="00A10694"/>
    <w:rsid w:val="00A10ACE"/>
    <w:rsid w:val="00A10EAC"/>
    <w:rsid w:val="00A10F2A"/>
    <w:rsid w:val="00A118DB"/>
    <w:rsid w:val="00A11B0D"/>
    <w:rsid w:val="00A11FF0"/>
    <w:rsid w:val="00A120CC"/>
    <w:rsid w:val="00A125C4"/>
    <w:rsid w:val="00A12827"/>
    <w:rsid w:val="00A12E28"/>
    <w:rsid w:val="00A15055"/>
    <w:rsid w:val="00A15762"/>
    <w:rsid w:val="00A15C25"/>
    <w:rsid w:val="00A15F9D"/>
    <w:rsid w:val="00A16325"/>
    <w:rsid w:val="00A16873"/>
    <w:rsid w:val="00A16A07"/>
    <w:rsid w:val="00A16E87"/>
    <w:rsid w:val="00A16E91"/>
    <w:rsid w:val="00A16F19"/>
    <w:rsid w:val="00A16F2A"/>
    <w:rsid w:val="00A17489"/>
    <w:rsid w:val="00A17833"/>
    <w:rsid w:val="00A2061F"/>
    <w:rsid w:val="00A2083F"/>
    <w:rsid w:val="00A208E1"/>
    <w:rsid w:val="00A20BCE"/>
    <w:rsid w:val="00A20D60"/>
    <w:rsid w:val="00A210E3"/>
    <w:rsid w:val="00A21435"/>
    <w:rsid w:val="00A2172E"/>
    <w:rsid w:val="00A21E41"/>
    <w:rsid w:val="00A22568"/>
    <w:rsid w:val="00A22666"/>
    <w:rsid w:val="00A228E4"/>
    <w:rsid w:val="00A229E2"/>
    <w:rsid w:val="00A22B9E"/>
    <w:rsid w:val="00A22C7D"/>
    <w:rsid w:val="00A22DE3"/>
    <w:rsid w:val="00A23775"/>
    <w:rsid w:val="00A23B7C"/>
    <w:rsid w:val="00A23F58"/>
    <w:rsid w:val="00A244E7"/>
    <w:rsid w:val="00A24AF2"/>
    <w:rsid w:val="00A24B60"/>
    <w:rsid w:val="00A24CAA"/>
    <w:rsid w:val="00A25389"/>
    <w:rsid w:val="00A25546"/>
    <w:rsid w:val="00A25621"/>
    <w:rsid w:val="00A25A33"/>
    <w:rsid w:val="00A25F0E"/>
    <w:rsid w:val="00A26355"/>
    <w:rsid w:val="00A266CC"/>
    <w:rsid w:val="00A26F5C"/>
    <w:rsid w:val="00A274C9"/>
    <w:rsid w:val="00A279E4"/>
    <w:rsid w:val="00A27CC5"/>
    <w:rsid w:val="00A27D64"/>
    <w:rsid w:val="00A304D0"/>
    <w:rsid w:val="00A31047"/>
    <w:rsid w:val="00A31186"/>
    <w:rsid w:val="00A31983"/>
    <w:rsid w:val="00A32392"/>
    <w:rsid w:val="00A32569"/>
    <w:rsid w:val="00A32578"/>
    <w:rsid w:val="00A325C3"/>
    <w:rsid w:val="00A32830"/>
    <w:rsid w:val="00A32CD3"/>
    <w:rsid w:val="00A32D71"/>
    <w:rsid w:val="00A331F2"/>
    <w:rsid w:val="00A337D7"/>
    <w:rsid w:val="00A33B40"/>
    <w:rsid w:val="00A34041"/>
    <w:rsid w:val="00A34444"/>
    <w:rsid w:val="00A344B7"/>
    <w:rsid w:val="00A34C85"/>
    <w:rsid w:val="00A35389"/>
    <w:rsid w:val="00A35441"/>
    <w:rsid w:val="00A35F2B"/>
    <w:rsid w:val="00A36295"/>
    <w:rsid w:val="00A36596"/>
    <w:rsid w:val="00A37035"/>
    <w:rsid w:val="00A37229"/>
    <w:rsid w:val="00A372B6"/>
    <w:rsid w:val="00A372E9"/>
    <w:rsid w:val="00A3757F"/>
    <w:rsid w:val="00A37F3C"/>
    <w:rsid w:val="00A40046"/>
    <w:rsid w:val="00A40065"/>
    <w:rsid w:val="00A400A3"/>
    <w:rsid w:val="00A4015E"/>
    <w:rsid w:val="00A401E9"/>
    <w:rsid w:val="00A4083D"/>
    <w:rsid w:val="00A40A31"/>
    <w:rsid w:val="00A40B05"/>
    <w:rsid w:val="00A40CD6"/>
    <w:rsid w:val="00A41234"/>
    <w:rsid w:val="00A4133B"/>
    <w:rsid w:val="00A41352"/>
    <w:rsid w:val="00A41451"/>
    <w:rsid w:val="00A41988"/>
    <w:rsid w:val="00A41B96"/>
    <w:rsid w:val="00A41E33"/>
    <w:rsid w:val="00A4248A"/>
    <w:rsid w:val="00A427EA"/>
    <w:rsid w:val="00A42A7D"/>
    <w:rsid w:val="00A42B56"/>
    <w:rsid w:val="00A42F59"/>
    <w:rsid w:val="00A432CB"/>
    <w:rsid w:val="00A43BCB"/>
    <w:rsid w:val="00A44899"/>
    <w:rsid w:val="00A449FC"/>
    <w:rsid w:val="00A44CCE"/>
    <w:rsid w:val="00A450FA"/>
    <w:rsid w:val="00A452CB"/>
    <w:rsid w:val="00A4556C"/>
    <w:rsid w:val="00A45D6D"/>
    <w:rsid w:val="00A45F30"/>
    <w:rsid w:val="00A462FF"/>
    <w:rsid w:val="00A46835"/>
    <w:rsid w:val="00A47025"/>
    <w:rsid w:val="00A47389"/>
    <w:rsid w:val="00A473AA"/>
    <w:rsid w:val="00A5022D"/>
    <w:rsid w:val="00A50C8E"/>
    <w:rsid w:val="00A51007"/>
    <w:rsid w:val="00A51460"/>
    <w:rsid w:val="00A51883"/>
    <w:rsid w:val="00A51C7D"/>
    <w:rsid w:val="00A523F6"/>
    <w:rsid w:val="00A526C4"/>
    <w:rsid w:val="00A52DEC"/>
    <w:rsid w:val="00A5328E"/>
    <w:rsid w:val="00A5332A"/>
    <w:rsid w:val="00A5375C"/>
    <w:rsid w:val="00A53B6F"/>
    <w:rsid w:val="00A540F2"/>
    <w:rsid w:val="00A542AC"/>
    <w:rsid w:val="00A560FA"/>
    <w:rsid w:val="00A568AE"/>
    <w:rsid w:val="00A56A89"/>
    <w:rsid w:val="00A56F6C"/>
    <w:rsid w:val="00A571AD"/>
    <w:rsid w:val="00A573A2"/>
    <w:rsid w:val="00A5749E"/>
    <w:rsid w:val="00A577BF"/>
    <w:rsid w:val="00A57819"/>
    <w:rsid w:val="00A578D8"/>
    <w:rsid w:val="00A579DA"/>
    <w:rsid w:val="00A57AEF"/>
    <w:rsid w:val="00A57EFF"/>
    <w:rsid w:val="00A57FA5"/>
    <w:rsid w:val="00A605AF"/>
    <w:rsid w:val="00A605D0"/>
    <w:rsid w:val="00A60708"/>
    <w:rsid w:val="00A60C7D"/>
    <w:rsid w:val="00A60D8A"/>
    <w:rsid w:val="00A60F03"/>
    <w:rsid w:val="00A611CC"/>
    <w:rsid w:val="00A612E9"/>
    <w:rsid w:val="00A616E2"/>
    <w:rsid w:val="00A61808"/>
    <w:rsid w:val="00A61827"/>
    <w:rsid w:val="00A61875"/>
    <w:rsid w:val="00A61D6E"/>
    <w:rsid w:val="00A61DA3"/>
    <w:rsid w:val="00A61EDA"/>
    <w:rsid w:val="00A6226D"/>
    <w:rsid w:val="00A62F81"/>
    <w:rsid w:val="00A62FD7"/>
    <w:rsid w:val="00A63C3C"/>
    <w:rsid w:val="00A63D65"/>
    <w:rsid w:val="00A64105"/>
    <w:rsid w:val="00A64171"/>
    <w:rsid w:val="00A642D5"/>
    <w:rsid w:val="00A64451"/>
    <w:rsid w:val="00A646F9"/>
    <w:rsid w:val="00A649C4"/>
    <w:rsid w:val="00A6564E"/>
    <w:rsid w:val="00A65960"/>
    <w:rsid w:val="00A65BE6"/>
    <w:rsid w:val="00A66291"/>
    <w:rsid w:val="00A662DA"/>
    <w:rsid w:val="00A66924"/>
    <w:rsid w:val="00A6761D"/>
    <w:rsid w:val="00A676BC"/>
    <w:rsid w:val="00A67E38"/>
    <w:rsid w:val="00A7051B"/>
    <w:rsid w:val="00A70BEC"/>
    <w:rsid w:val="00A71140"/>
    <w:rsid w:val="00A71803"/>
    <w:rsid w:val="00A719F8"/>
    <w:rsid w:val="00A7258B"/>
    <w:rsid w:val="00A728A3"/>
    <w:rsid w:val="00A729C3"/>
    <w:rsid w:val="00A72A37"/>
    <w:rsid w:val="00A72AFA"/>
    <w:rsid w:val="00A72CD1"/>
    <w:rsid w:val="00A7340E"/>
    <w:rsid w:val="00A73974"/>
    <w:rsid w:val="00A739EC"/>
    <w:rsid w:val="00A73B28"/>
    <w:rsid w:val="00A74197"/>
    <w:rsid w:val="00A74682"/>
    <w:rsid w:val="00A74E89"/>
    <w:rsid w:val="00A756FD"/>
    <w:rsid w:val="00A757B4"/>
    <w:rsid w:val="00A75C16"/>
    <w:rsid w:val="00A75F62"/>
    <w:rsid w:val="00A76387"/>
    <w:rsid w:val="00A76838"/>
    <w:rsid w:val="00A76A3F"/>
    <w:rsid w:val="00A76ACB"/>
    <w:rsid w:val="00A76E65"/>
    <w:rsid w:val="00A76EEE"/>
    <w:rsid w:val="00A76F1B"/>
    <w:rsid w:val="00A772EE"/>
    <w:rsid w:val="00A77448"/>
    <w:rsid w:val="00A80028"/>
    <w:rsid w:val="00A8079B"/>
    <w:rsid w:val="00A8085C"/>
    <w:rsid w:val="00A80BBE"/>
    <w:rsid w:val="00A817FF"/>
    <w:rsid w:val="00A8214D"/>
    <w:rsid w:val="00A82263"/>
    <w:rsid w:val="00A832A4"/>
    <w:rsid w:val="00A83455"/>
    <w:rsid w:val="00A83A63"/>
    <w:rsid w:val="00A83A86"/>
    <w:rsid w:val="00A83C6F"/>
    <w:rsid w:val="00A83DBF"/>
    <w:rsid w:val="00A83E53"/>
    <w:rsid w:val="00A84579"/>
    <w:rsid w:val="00A84B07"/>
    <w:rsid w:val="00A85244"/>
    <w:rsid w:val="00A855A1"/>
    <w:rsid w:val="00A85CFC"/>
    <w:rsid w:val="00A85D0B"/>
    <w:rsid w:val="00A85DF7"/>
    <w:rsid w:val="00A85FD2"/>
    <w:rsid w:val="00A86049"/>
    <w:rsid w:val="00A8632E"/>
    <w:rsid w:val="00A86390"/>
    <w:rsid w:val="00A864D6"/>
    <w:rsid w:val="00A86E47"/>
    <w:rsid w:val="00A871A8"/>
    <w:rsid w:val="00A8757D"/>
    <w:rsid w:val="00A8765B"/>
    <w:rsid w:val="00A90073"/>
    <w:rsid w:val="00A9024E"/>
    <w:rsid w:val="00A906F7"/>
    <w:rsid w:val="00A90CA6"/>
    <w:rsid w:val="00A911F2"/>
    <w:rsid w:val="00A9180C"/>
    <w:rsid w:val="00A91816"/>
    <w:rsid w:val="00A91C4E"/>
    <w:rsid w:val="00A9201A"/>
    <w:rsid w:val="00A92195"/>
    <w:rsid w:val="00A92471"/>
    <w:rsid w:val="00A92785"/>
    <w:rsid w:val="00A928D9"/>
    <w:rsid w:val="00A9296F"/>
    <w:rsid w:val="00A92F92"/>
    <w:rsid w:val="00A930EC"/>
    <w:rsid w:val="00A93586"/>
    <w:rsid w:val="00A936A9"/>
    <w:rsid w:val="00A937EE"/>
    <w:rsid w:val="00A93862"/>
    <w:rsid w:val="00A93969"/>
    <w:rsid w:val="00A93BDF"/>
    <w:rsid w:val="00A93FEB"/>
    <w:rsid w:val="00A942DD"/>
    <w:rsid w:val="00A94529"/>
    <w:rsid w:val="00A945E7"/>
    <w:rsid w:val="00A947F4"/>
    <w:rsid w:val="00A95864"/>
    <w:rsid w:val="00A96087"/>
    <w:rsid w:val="00A963C7"/>
    <w:rsid w:val="00A96B2D"/>
    <w:rsid w:val="00A970AB"/>
    <w:rsid w:val="00A978CB"/>
    <w:rsid w:val="00A97ACB"/>
    <w:rsid w:val="00AA09FC"/>
    <w:rsid w:val="00AA0B1B"/>
    <w:rsid w:val="00AA0EC9"/>
    <w:rsid w:val="00AA1141"/>
    <w:rsid w:val="00AA1335"/>
    <w:rsid w:val="00AA1E32"/>
    <w:rsid w:val="00AA26E4"/>
    <w:rsid w:val="00AA29D2"/>
    <w:rsid w:val="00AA323C"/>
    <w:rsid w:val="00AA326E"/>
    <w:rsid w:val="00AA330E"/>
    <w:rsid w:val="00AA3533"/>
    <w:rsid w:val="00AA3A50"/>
    <w:rsid w:val="00AA3E0A"/>
    <w:rsid w:val="00AA4B56"/>
    <w:rsid w:val="00AA4C6F"/>
    <w:rsid w:val="00AA4D46"/>
    <w:rsid w:val="00AA4E1A"/>
    <w:rsid w:val="00AA5023"/>
    <w:rsid w:val="00AA51D3"/>
    <w:rsid w:val="00AA5B34"/>
    <w:rsid w:val="00AA647C"/>
    <w:rsid w:val="00AA67B4"/>
    <w:rsid w:val="00AA6887"/>
    <w:rsid w:val="00AA68EB"/>
    <w:rsid w:val="00AA717C"/>
    <w:rsid w:val="00AA7300"/>
    <w:rsid w:val="00AA7357"/>
    <w:rsid w:val="00AA73B8"/>
    <w:rsid w:val="00AA761B"/>
    <w:rsid w:val="00AA78CD"/>
    <w:rsid w:val="00AA7FB5"/>
    <w:rsid w:val="00AB01AF"/>
    <w:rsid w:val="00AB033A"/>
    <w:rsid w:val="00AB0B49"/>
    <w:rsid w:val="00AB0DEC"/>
    <w:rsid w:val="00AB0ED3"/>
    <w:rsid w:val="00AB18B9"/>
    <w:rsid w:val="00AB1C93"/>
    <w:rsid w:val="00AB1EBD"/>
    <w:rsid w:val="00AB20E8"/>
    <w:rsid w:val="00AB2288"/>
    <w:rsid w:val="00AB2441"/>
    <w:rsid w:val="00AB2F3A"/>
    <w:rsid w:val="00AB3060"/>
    <w:rsid w:val="00AB30BA"/>
    <w:rsid w:val="00AB311C"/>
    <w:rsid w:val="00AB3216"/>
    <w:rsid w:val="00AB3CF5"/>
    <w:rsid w:val="00AB3E74"/>
    <w:rsid w:val="00AB3E96"/>
    <w:rsid w:val="00AB3EFE"/>
    <w:rsid w:val="00AB45A0"/>
    <w:rsid w:val="00AB478A"/>
    <w:rsid w:val="00AB4DBD"/>
    <w:rsid w:val="00AB51A8"/>
    <w:rsid w:val="00AB5338"/>
    <w:rsid w:val="00AB53BF"/>
    <w:rsid w:val="00AB56D1"/>
    <w:rsid w:val="00AB5E60"/>
    <w:rsid w:val="00AB60F1"/>
    <w:rsid w:val="00AB611E"/>
    <w:rsid w:val="00AB7070"/>
    <w:rsid w:val="00AB77DC"/>
    <w:rsid w:val="00AB7A22"/>
    <w:rsid w:val="00AB7A8E"/>
    <w:rsid w:val="00AB7F81"/>
    <w:rsid w:val="00AC0D16"/>
    <w:rsid w:val="00AC18F5"/>
    <w:rsid w:val="00AC1BE4"/>
    <w:rsid w:val="00AC1DA2"/>
    <w:rsid w:val="00AC1E32"/>
    <w:rsid w:val="00AC22C5"/>
    <w:rsid w:val="00AC24C1"/>
    <w:rsid w:val="00AC2922"/>
    <w:rsid w:val="00AC34BF"/>
    <w:rsid w:val="00AC3C9A"/>
    <w:rsid w:val="00AC3E66"/>
    <w:rsid w:val="00AC4701"/>
    <w:rsid w:val="00AC48E7"/>
    <w:rsid w:val="00AC50D9"/>
    <w:rsid w:val="00AC5633"/>
    <w:rsid w:val="00AC5E2E"/>
    <w:rsid w:val="00AC6A11"/>
    <w:rsid w:val="00AC6AA5"/>
    <w:rsid w:val="00AC6B85"/>
    <w:rsid w:val="00AC6F1C"/>
    <w:rsid w:val="00AC712E"/>
    <w:rsid w:val="00AC729E"/>
    <w:rsid w:val="00AC787C"/>
    <w:rsid w:val="00AC7D57"/>
    <w:rsid w:val="00AD0482"/>
    <w:rsid w:val="00AD07CE"/>
    <w:rsid w:val="00AD0D20"/>
    <w:rsid w:val="00AD11B6"/>
    <w:rsid w:val="00AD11D7"/>
    <w:rsid w:val="00AD1EC6"/>
    <w:rsid w:val="00AD1F7D"/>
    <w:rsid w:val="00AD1FEE"/>
    <w:rsid w:val="00AD218F"/>
    <w:rsid w:val="00AD22ED"/>
    <w:rsid w:val="00AD232C"/>
    <w:rsid w:val="00AD2834"/>
    <w:rsid w:val="00AD33A7"/>
    <w:rsid w:val="00AD3486"/>
    <w:rsid w:val="00AD39E4"/>
    <w:rsid w:val="00AD3B47"/>
    <w:rsid w:val="00AD3DB5"/>
    <w:rsid w:val="00AD4958"/>
    <w:rsid w:val="00AD4A90"/>
    <w:rsid w:val="00AD4D54"/>
    <w:rsid w:val="00AD4DE3"/>
    <w:rsid w:val="00AD4E01"/>
    <w:rsid w:val="00AD5F3D"/>
    <w:rsid w:val="00AD6035"/>
    <w:rsid w:val="00AD619A"/>
    <w:rsid w:val="00AD61ED"/>
    <w:rsid w:val="00AD62FE"/>
    <w:rsid w:val="00AD64AD"/>
    <w:rsid w:val="00AD6C37"/>
    <w:rsid w:val="00AD70E1"/>
    <w:rsid w:val="00AD7667"/>
    <w:rsid w:val="00AD7B49"/>
    <w:rsid w:val="00AD7C16"/>
    <w:rsid w:val="00AE0275"/>
    <w:rsid w:val="00AE10E4"/>
    <w:rsid w:val="00AE1213"/>
    <w:rsid w:val="00AE19E7"/>
    <w:rsid w:val="00AE1B30"/>
    <w:rsid w:val="00AE1C0A"/>
    <w:rsid w:val="00AE1D30"/>
    <w:rsid w:val="00AE2495"/>
    <w:rsid w:val="00AE2BFD"/>
    <w:rsid w:val="00AE2ED1"/>
    <w:rsid w:val="00AE2FDB"/>
    <w:rsid w:val="00AE49E9"/>
    <w:rsid w:val="00AE549D"/>
    <w:rsid w:val="00AE54E1"/>
    <w:rsid w:val="00AE5843"/>
    <w:rsid w:val="00AE5A1D"/>
    <w:rsid w:val="00AE5D0A"/>
    <w:rsid w:val="00AE5EAB"/>
    <w:rsid w:val="00AE6882"/>
    <w:rsid w:val="00AE6909"/>
    <w:rsid w:val="00AE6B49"/>
    <w:rsid w:val="00AE708D"/>
    <w:rsid w:val="00AE7569"/>
    <w:rsid w:val="00AE76BE"/>
    <w:rsid w:val="00AE7D62"/>
    <w:rsid w:val="00AF0711"/>
    <w:rsid w:val="00AF0B61"/>
    <w:rsid w:val="00AF0C25"/>
    <w:rsid w:val="00AF1640"/>
    <w:rsid w:val="00AF16AC"/>
    <w:rsid w:val="00AF1D2E"/>
    <w:rsid w:val="00AF2386"/>
    <w:rsid w:val="00AF27A8"/>
    <w:rsid w:val="00AF2A22"/>
    <w:rsid w:val="00AF2AF6"/>
    <w:rsid w:val="00AF2BFD"/>
    <w:rsid w:val="00AF366A"/>
    <w:rsid w:val="00AF3CA9"/>
    <w:rsid w:val="00AF3EF4"/>
    <w:rsid w:val="00AF41B9"/>
    <w:rsid w:val="00AF4884"/>
    <w:rsid w:val="00AF536D"/>
    <w:rsid w:val="00AF53CD"/>
    <w:rsid w:val="00AF54B5"/>
    <w:rsid w:val="00AF5D0E"/>
    <w:rsid w:val="00AF6089"/>
    <w:rsid w:val="00AF6371"/>
    <w:rsid w:val="00AF6E14"/>
    <w:rsid w:val="00AF7B08"/>
    <w:rsid w:val="00B00161"/>
    <w:rsid w:val="00B02720"/>
    <w:rsid w:val="00B02728"/>
    <w:rsid w:val="00B032A0"/>
    <w:rsid w:val="00B034F4"/>
    <w:rsid w:val="00B035E4"/>
    <w:rsid w:val="00B03930"/>
    <w:rsid w:val="00B03A51"/>
    <w:rsid w:val="00B03D30"/>
    <w:rsid w:val="00B0418B"/>
    <w:rsid w:val="00B0491D"/>
    <w:rsid w:val="00B0539E"/>
    <w:rsid w:val="00B0541D"/>
    <w:rsid w:val="00B05E4E"/>
    <w:rsid w:val="00B0616E"/>
    <w:rsid w:val="00B062B3"/>
    <w:rsid w:val="00B06500"/>
    <w:rsid w:val="00B06830"/>
    <w:rsid w:val="00B06888"/>
    <w:rsid w:val="00B0736E"/>
    <w:rsid w:val="00B0747F"/>
    <w:rsid w:val="00B07931"/>
    <w:rsid w:val="00B07A19"/>
    <w:rsid w:val="00B07A67"/>
    <w:rsid w:val="00B07B0F"/>
    <w:rsid w:val="00B07E08"/>
    <w:rsid w:val="00B07E10"/>
    <w:rsid w:val="00B101BC"/>
    <w:rsid w:val="00B10360"/>
    <w:rsid w:val="00B10CD6"/>
    <w:rsid w:val="00B11042"/>
    <w:rsid w:val="00B1136C"/>
    <w:rsid w:val="00B11F67"/>
    <w:rsid w:val="00B124EA"/>
    <w:rsid w:val="00B1256C"/>
    <w:rsid w:val="00B13713"/>
    <w:rsid w:val="00B13963"/>
    <w:rsid w:val="00B13E0D"/>
    <w:rsid w:val="00B13ED7"/>
    <w:rsid w:val="00B13FC4"/>
    <w:rsid w:val="00B1498B"/>
    <w:rsid w:val="00B14A66"/>
    <w:rsid w:val="00B14BC3"/>
    <w:rsid w:val="00B151FF"/>
    <w:rsid w:val="00B152B6"/>
    <w:rsid w:val="00B15371"/>
    <w:rsid w:val="00B15839"/>
    <w:rsid w:val="00B16B33"/>
    <w:rsid w:val="00B16BD5"/>
    <w:rsid w:val="00B172CA"/>
    <w:rsid w:val="00B17A01"/>
    <w:rsid w:val="00B17F4D"/>
    <w:rsid w:val="00B17FDE"/>
    <w:rsid w:val="00B20364"/>
    <w:rsid w:val="00B205D4"/>
    <w:rsid w:val="00B20745"/>
    <w:rsid w:val="00B20CE1"/>
    <w:rsid w:val="00B210A6"/>
    <w:rsid w:val="00B21C9C"/>
    <w:rsid w:val="00B21E6B"/>
    <w:rsid w:val="00B21ED9"/>
    <w:rsid w:val="00B21FE1"/>
    <w:rsid w:val="00B21FF7"/>
    <w:rsid w:val="00B22136"/>
    <w:rsid w:val="00B2239D"/>
    <w:rsid w:val="00B2241C"/>
    <w:rsid w:val="00B224BE"/>
    <w:rsid w:val="00B22731"/>
    <w:rsid w:val="00B23232"/>
    <w:rsid w:val="00B233D1"/>
    <w:rsid w:val="00B24146"/>
    <w:rsid w:val="00B241FB"/>
    <w:rsid w:val="00B24EB7"/>
    <w:rsid w:val="00B255CB"/>
    <w:rsid w:val="00B26D64"/>
    <w:rsid w:val="00B26DA6"/>
    <w:rsid w:val="00B27011"/>
    <w:rsid w:val="00B271E0"/>
    <w:rsid w:val="00B271FA"/>
    <w:rsid w:val="00B272A3"/>
    <w:rsid w:val="00B274AC"/>
    <w:rsid w:val="00B279D9"/>
    <w:rsid w:val="00B27B7E"/>
    <w:rsid w:val="00B27E1A"/>
    <w:rsid w:val="00B27ED7"/>
    <w:rsid w:val="00B3003E"/>
    <w:rsid w:val="00B305B8"/>
    <w:rsid w:val="00B309C0"/>
    <w:rsid w:val="00B30E89"/>
    <w:rsid w:val="00B316D0"/>
    <w:rsid w:val="00B31955"/>
    <w:rsid w:val="00B323F6"/>
    <w:rsid w:val="00B328BF"/>
    <w:rsid w:val="00B32970"/>
    <w:rsid w:val="00B32A96"/>
    <w:rsid w:val="00B33161"/>
    <w:rsid w:val="00B33405"/>
    <w:rsid w:val="00B33430"/>
    <w:rsid w:val="00B33766"/>
    <w:rsid w:val="00B34703"/>
    <w:rsid w:val="00B349AE"/>
    <w:rsid w:val="00B34A68"/>
    <w:rsid w:val="00B34C49"/>
    <w:rsid w:val="00B34F61"/>
    <w:rsid w:val="00B359F6"/>
    <w:rsid w:val="00B35B03"/>
    <w:rsid w:val="00B35B3E"/>
    <w:rsid w:val="00B367D6"/>
    <w:rsid w:val="00B36DE7"/>
    <w:rsid w:val="00B36E4A"/>
    <w:rsid w:val="00B3729D"/>
    <w:rsid w:val="00B376D7"/>
    <w:rsid w:val="00B3771E"/>
    <w:rsid w:val="00B377A4"/>
    <w:rsid w:val="00B37DE0"/>
    <w:rsid w:val="00B40093"/>
    <w:rsid w:val="00B403A6"/>
    <w:rsid w:val="00B405A0"/>
    <w:rsid w:val="00B40A96"/>
    <w:rsid w:val="00B40EBD"/>
    <w:rsid w:val="00B40EFA"/>
    <w:rsid w:val="00B410D7"/>
    <w:rsid w:val="00B411F9"/>
    <w:rsid w:val="00B41BB4"/>
    <w:rsid w:val="00B41D91"/>
    <w:rsid w:val="00B41E3A"/>
    <w:rsid w:val="00B41ECF"/>
    <w:rsid w:val="00B420B5"/>
    <w:rsid w:val="00B428FC"/>
    <w:rsid w:val="00B432E7"/>
    <w:rsid w:val="00B4382D"/>
    <w:rsid w:val="00B43E1A"/>
    <w:rsid w:val="00B43F02"/>
    <w:rsid w:val="00B4404D"/>
    <w:rsid w:val="00B44407"/>
    <w:rsid w:val="00B44ABB"/>
    <w:rsid w:val="00B44DE2"/>
    <w:rsid w:val="00B44E84"/>
    <w:rsid w:val="00B45731"/>
    <w:rsid w:val="00B4580F"/>
    <w:rsid w:val="00B45AB6"/>
    <w:rsid w:val="00B46250"/>
    <w:rsid w:val="00B466B5"/>
    <w:rsid w:val="00B46915"/>
    <w:rsid w:val="00B469F6"/>
    <w:rsid w:val="00B46C14"/>
    <w:rsid w:val="00B470AD"/>
    <w:rsid w:val="00B479B4"/>
    <w:rsid w:val="00B47AF5"/>
    <w:rsid w:val="00B50479"/>
    <w:rsid w:val="00B504DD"/>
    <w:rsid w:val="00B50580"/>
    <w:rsid w:val="00B50728"/>
    <w:rsid w:val="00B509D2"/>
    <w:rsid w:val="00B51229"/>
    <w:rsid w:val="00B513DC"/>
    <w:rsid w:val="00B51DBB"/>
    <w:rsid w:val="00B51E08"/>
    <w:rsid w:val="00B51EB8"/>
    <w:rsid w:val="00B51F02"/>
    <w:rsid w:val="00B52030"/>
    <w:rsid w:val="00B5203E"/>
    <w:rsid w:val="00B522FB"/>
    <w:rsid w:val="00B52378"/>
    <w:rsid w:val="00B524AD"/>
    <w:rsid w:val="00B526D7"/>
    <w:rsid w:val="00B52923"/>
    <w:rsid w:val="00B52A1A"/>
    <w:rsid w:val="00B53114"/>
    <w:rsid w:val="00B53480"/>
    <w:rsid w:val="00B53658"/>
    <w:rsid w:val="00B53777"/>
    <w:rsid w:val="00B53E8D"/>
    <w:rsid w:val="00B53F60"/>
    <w:rsid w:val="00B54145"/>
    <w:rsid w:val="00B54402"/>
    <w:rsid w:val="00B544E9"/>
    <w:rsid w:val="00B54691"/>
    <w:rsid w:val="00B5490E"/>
    <w:rsid w:val="00B54A79"/>
    <w:rsid w:val="00B5559D"/>
    <w:rsid w:val="00B566F8"/>
    <w:rsid w:val="00B5681E"/>
    <w:rsid w:val="00B5716E"/>
    <w:rsid w:val="00B572E7"/>
    <w:rsid w:val="00B577D6"/>
    <w:rsid w:val="00B57BD2"/>
    <w:rsid w:val="00B57DFE"/>
    <w:rsid w:val="00B57F4E"/>
    <w:rsid w:val="00B60B10"/>
    <w:rsid w:val="00B61766"/>
    <w:rsid w:val="00B6189D"/>
    <w:rsid w:val="00B61AC4"/>
    <w:rsid w:val="00B61ADD"/>
    <w:rsid w:val="00B629D4"/>
    <w:rsid w:val="00B62A77"/>
    <w:rsid w:val="00B63209"/>
    <w:rsid w:val="00B63302"/>
    <w:rsid w:val="00B63460"/>
    <w:rsid w:val="00B6377F"/>
    <w:rsid w:val="00B63BC6"/>
    <w:rsid w:val="00B63F5C"/>
    <w:rsid w:val="00B641B2"/>
    <w:rsid w:val="00B652F0"/>
    <w:rsid w:val="00B65528"/>
    <w:rsid w:val="00B656CB"/>
    <w:rsid w:val="00B658D7"/>
    <w:rsid w:val="00B662B1"/>
    <w:rsid w:val="00B66639"/>
    <w:rsid w:val="00B66696"/>
    <w:rsid w:val="00B66A95"/>
    <w:rsid w:val="00B66AF1"/>
    <w:rsid w:val="00B671D5"/>
    <w:rsid w:val="00B67294"/>
    <w:rsid w:val="00B672C8"/>
    <w:rsid w:val="00B677DE"/>
    <w:rsid w:val="00B679D3"/>
    <w:rsid w:val="00B70089"/>
    <w:rsid w:val="00B7061F"/>
    <w:rsid w:val="00B70EA9"/>
    <w:rsid w:val="00B7157B"/>
    <w:rsid w:val="00B7185C"/>
    <w:rsid w:val="00B7204E"/>
    <w:rsid w:val="00B72443"/>
    <w:rsid w:val="00B72BA1"/>
    <w:rsid w:val="00B72D91"/>
    <w:rsid w:val="00B7351E"/>
    <w:rsid w:val="00B73C44"/>
    <w:rsid w:val="00B7461A"/>
    <w:rsid w:val="00B74709"/>
    <w:rsid w:val="00B74742"/>
    <w:rsid w:val="00B749FB"/>
    <w:rsid w:val="00B74B28"/>
    <w:rsid w:val="00B755EC"/>
    <w:rsid w:val="00B755F1"/>
    <w:rsid w:val="00B7562C"/>
    <w:rsid w:val="00B75924"/>
    <w:rsid w:val="00B75A21"/>
    <w:rsid w:val="00B7615F"/>
    <w:rsid w:val="00B764CB"/>
    <w:rsid w:val="00B76A63"/>
    <w:rsid w:val="00B76BA8"/>
    <w:rsid w:val="00B77522"/>
    <w:rsid w:val="00B77554"/>
    <w:rsid w:val="00B77D90"/>
    <w:rsid w:val="00B80046"/>
    <w:rsid w:val="00B802B1"/>
    <w:rsid w:val="00B809E4"/>
    <w:rsid w:val="00B80AAC"/>
    <w:rsid w:val="00B811E9"/>
    <w:rsid w:val="00B811FF"/>
    <w:rsid w:val="00B8125A"/>
    <w:rsid w:val="00B821E2"/>
    <w:rsid w:val="00B825A9"/>
    <w:rsid w:val="00B826BA"/>
    <w:rsid w:val="00B82756"/>
    <w:rsid w:val="00B828D0"/>
    <w:rsid w:val="00B82EE4"/>
    <w:rsid w:val="00B82F08"/>
    <w:rsid w:val="00B8335B"/>
    <w:rsid w:val="00B834C6"/>
    <w:rsid w:val="00B83A4C"/>
    <w:rsid w:val="00B8412F"/>
    <w:rsid w:val="00B8428E"/>
    <w:rsid w:val="00B84C49"/>
    <w:rsid w:val="00B84E2F"/>
    <w:rsid w:val="00B85691"/>
    <w:rsid w:val="00B8620A"/>
    <w:rsid w:val="00B8661A"/>
    <w:rsid w:val="00B86847"/>
    <w:rsid w:val="00B86AB1"/>
    <w:rsid w:val="00B902C1"/>
    <w:rsid w:val="00B90461"/>
    <w:rsid w:val="00B904F9"/>
    <w:rsid w:val="00B90531"/>
    <w:rsid w:val="00B90730"/>
    <w:rsid w:val="00B90940"/>
    <w:rsid w:val="00B9110A"/>
    <w:rsid w:val="00B911C4"/>
    <w:rsid w:val="00B913C0"/>
    <w:rsid w:val="00B91584"/>
    <w:rsid w:val="00B91906"/>
    <w:rsid w:val="00B91D6D"/>
    <w:rsid w:val="00B9203F"/>
    <w:rsid w:val="00B921FF"/>
    <w:rsid w:val="00B9225A"/>
    <w:rsid w:val="00B923C3"/>
    <w:rsid w:val="00B92659"/>
    <w:rsid w:val="00B92666"/>
    <w:rsid w:val="00B9287D"/>
    <w:rsid w:val="00B929E5"/>
    <w:rsid w:val="00B94F27"/>
    <w:rsid w:val="00B94FB7"/>
    <w:rsid w:val="00B95990"/>
    <w:rsid w:val="00B959D7"/>
    <w:rsid w:val="00B95E8A"/>
    <w:rsid w:val="00B95ED7"/>
    <w:rsid w:val="00B96BDB"/>
    <w:rsid w:val="00B96D9F"/>
    <w:rsid w:val="00B970DB"/>
    <w:rsid w:val="00B97821"/>
    <w:rsid w:val="00B9799D"/>
    <w:rsid w:val="00B97EB5"/>
    <w:rsid w:val="00BA058B"/>
    <w:rsid w:val="00BA0A93"/>
    <w:rsid w:val="00BA0B57"/>
    <w:rsid w:val="00BA0C83"/>
    <w:rsid w:val="00BA133B"/>
    <w:rsid w:val="00BA1C56"/>
    <w:rsid w:val="00BA1EFB"/>
    <w:rsid w:val="00BA286C"/>
    <w:rsid w:val="00BA2DFD"/>
    <w:rsid w:val="00BA303F"/>
    <w:rsid w:val="00BA38B8"/>
    <w:rsid w:val="00BA3CA2"/>
    <w:rsid w:val="00BA3E81"/>
    <w:rsid w:val="00BA4717"/>
    <w:rsid w:val="00BA51E3"/>
    <w:rsid w:val="00BA51E6"/>
    <w:rsid w:val="00BA5298"/>
    <w:rsid w:val="00BA5D3B"/>
    <w:rsid w:val="00BA6115"/>
    <w:rsid w:val="00BA6E52"/>
    <w:rsid w:val="00BA6FB5"/>
    <w:rsid w:val="00BA71CF"/>
    <w:rsid w:val="00BA7809"/>
    <w:rsid w:val="00BB0619"/>
    <w:rsid w:val="00BB0749"/>
    <w:rsid w:val="00BB0D17"/>
    <w:rsid w:val="00BB0F73"/>
    <w:rsid w:val="00BB1876"/>
    <w:rsid w:val="00BB1B2D"/>
    <w:rsid w:val="00BB2104"/>
    <w:rsid w:val="00BB2780"/>
    <w:rsid w:val="00BB2785"/>
    <w:rsid w:val="00BB27BF"/>
    <w:rsid w:val="00BB2F6B"/>
    <w:rsid w:val="00BB3093"/>
    <w:rsid w:val="00BB31B6"/>
    <w:rsid w:val="00BB4003"/>
    <w:rsid w:val="00BB477B"/>
    <w:rsid w:val="00BB4896"/>
    <w:rsid w:val="00BB4925"/>
    <w:rsid w:val="00BB49B9"/>
    <w:rsid w:val="00BB50CD"/>
    <w:rsid w:val="00BB53A4"/>
    <w:rsid w:val="00BB561C"/>
    <w:rsid w:val="00BB5E6E"/>
    <w:rsid w:val="00BB6211"/>
    <w:rsid w:val="00BB76E4"/>
    <w:rsid w:val="00BB7DF2"/>
    <w:rsid w:val="00BC0B41"/>
    <w:rsid w:val="00BC10F9"/>
    <w:rsid w:val="00BC14DF"/>
    <w:rsid w:val="00BC1750"/>
    <w:rsid w:val="00BC190D"/>
    <w:rsid w:val="00BC1D13"/>
    <w:rsid w:val="00BC1D6F"/>
    <w:rsid w:val="00BC21A7"/>
    <w:rsid w:val="00BC2985"/>
    <w:rsid w:val="00BC29A2"/>
    <w:rsid w:val="00BC2D08"/>
    <w:rsid w:val="00BC2F0B"/>
    <w:rsid w:val="00BC2FE0"/>
    <w:rsid w:val="00BC2FEA"/>
    <w:rsid w:val="00BC30E6"/>
    <w:rsid w:val="00BC3464"/>
    <w:rsid w:val="00BC4B71"/>
    <w:rsid w:val="00BC4D4D"/>
    <w:rsid w:val="00BC5AC6"/>
    <w:rsid w:val="00BC6C87"/>
    <w:rsid w:val="00BC6CF6"/>
    <w:rsid w:val="00BC7347"/>
    <w:rsid w:val="00BC736F"/>
    <w:rsid w:val="00BC75B6"/>
    <w:rsid w:val="00BC7E7E"/>
    <w:rsid w:val="00BD03A0"/>
    <w:rsid w:val="00BD0D9D"/>
    <w:rsid w:val="00BD10A7"/>
    <w:rsid w:val="00BD16B0"/>
    <w:rsid w:val="00BD2478"/>
    <w:rsid w:val="00BD30B6"/>
    <w:rsid w:val="00BD31FE"/>
    <w:rsid w:val="00BD3308"/>
    <w:rsid w:val="00BD38CF"/>
    <w:rsid w:val="00BD422D"/>
    <w:rsid w:val="00BD662B"/>
    <w:rsid w:val="00BD6ED6"/>
    <w:rsid w:val="00BD6EFF"/>
    <w:rsid w:val="00BD77A1"/>
    <w:rsid w:val="00BD79DB"/>
    <w:rsid w:val="00BE02C3"/>
    <w:rsid w:val="00BE03A7"/>
    <w:rsid w:val="00BE0530"/>
    <w:rsid w:val="00BE083A"/>
    <w:rsid w:val="00BE08A6"/>
    <w:rsid w:val="00BE08B1"/>
    <w:rsid w:val="00BE14C4"/>
    <w:rsid w:val="00BE16A4"/>
    <w:rsid w:val="00BE1CB0"/>
    <w:rsid w:val="00BE1D63"/>
    <w:rsid w:val="00BE20C4"/>
    <w:rsid w:val="00BE21AE"/>
    <w:rsid w:val="00BE2221"/>
    <w:rsid w:val="00BE25AD"/>
    <w:rsid w:val="00BE3301"/>
    <w:rsid w:val="00BE34B4"/>
    <w:rsid w:val="00BE3578"/>
    <w:rsid w:val="00BE3692"/>
    <w:rsid w:val="00BE3C54"/>
    <w:rsid w:val="00BE46A1"/>
    <w:rsid w:val="00BE4766"/>
    <w:rsid w:val="00BE4AA4"/>
    <w:rsid w:val="00BE4F88"/>
    <w:rsid w:val="00BE5B3E"/>
    <w:rsid w:val="00BE5B6A"/>
    <w:rsid w:val="00BE5B75"/>
    <w:rsid w:val="00BE5D08"/>
    <w:rsid w:val="00BE6433"/>
    <w:rsid w:val="00BE6FB3"/>
    <w:rsid w:val="00BE7A5B"/>
    <w:rsid w:val="00BE7A6C"/>
    <w:rsid w:val="00BE7AF0"/>
    <w:rsid w:val="00BE7C1C"/>
    <w:rsid w:val="00BF0363"/>
    <w:rsid w:val="00BF0A34"/>
    <w:rsid w:val="00BF0E3F"/>
    <w:rsid w:val="00BF0E87"/>
    <w:rsid w:val="00BF1025"/>
    <w:rsid w:val="00BF12E3"/>
    <w:rsid w:val="00BF1539"/>
    <w:rsid w:val="00BF181E"/>
    <w:rsid w:val="00BF1942"/>
    <w:rsid w:val="00BF1C02"/>
    <w:rsid w:val="00BF1C8D"/>
    <w:rsid w:val="00BF227E"/>
    <w:rsid w:val="00BF31CE"/>
    <w:rsid w:val="00BF3553"/>
    <w:rsid w:val="00BF399F"/>
    <w:rsid w:val="00BF39EE"/>
    <w:rsid w:val="00BF40F2"/>
    <w:rsid w:val="00BF4B72"/>
    <w:rsid w:val="00BF4BC7"/>
    <w:rsid w:val="00BF4DD2"/>
    <w:rsid w:val="00BF4E88"/>
    <w:rsid w:val="00BF52AD"/>
    <w:rsid w:val="00BF56CF"/>
    <w:rsid w:val="00BF5725"/>
    <w:rsid w:val="00BF58DD"/>
    <w:rsid w:val="00BF5CF8"/>
    <w:rsid w:val="00BF5D9B"/>
    <w:rsid w:val="00BF5E9C"/>
    <w:rsid w:val="00BF639C"/>
    <w:rsid w:val="00BF64BA"/>
    <w:rsid w:val="00BF7B52"/>
    <w:rsid w:val="00BF7BC7"/>
    <w:rsid w:val="00BF7C45"/>
    <w:rsid w:val="00BF7E15"/>
    <w:rsid w:val="00C007DA"/>
    <w:rsid w:val="00C00B4A"/>
    <w:rsid w:val="00C01691"/>
    <w:rsid w:val="00C01881"/>
    <w:rsid w:val="00C01CA1"/>
    <w:rsid w:val="00C01D42"/>
    <w:rsid w:val="00C02147"/>
    <w:rsid w:val="00C02DD2"/>
    <w:rsid w:val="00C02E79"/>
    <w:rsid w:val="00C02F6D"/>
    <w:rsid w:val="00C03A10"/>
    <w:rsid w:val="00C03AD3"/>
    <w:rsid w:val="00C0423E"/>
    <w:rsid w:val="00C042DC"/>
    <w:rsid w:val="00C048AC"/>
    <w:rsid w:val="00C04CDE"/>
    <w:rsid w:val="00C05623"/>
    <w:rsid w:val="00C05752"/>
    <w:rsid w:val="00C057F6"/>
    <w:rsid w:val="00C05B6B"/>
    <w:rsid w:val="00C05DF8"/>
    <w:rsid w:val="00C06048"/>
    <w:rsid w:val="00C061A1"/>
    <w:rsid w:val="00C064BD"/>
    <w:rsid w:val="00C06691"/>
    <w:rsid w:val="00C07170"/>
    <w:rsid w:val="00C07346"/>
    <w:rsid w:val="00C07599"/>
    <w:rsid w:val="00C07653"/>
    <w:rsid w:val="00C077F6"/>
    <w:rsid w:val="00C10095"/>
    <w:rsid w:val="00C10199"/>
    <w:rsid w:val="00C1023A"/>
    <w:rsid w:val="00C106EC"/>
    <w:rsid w:val="00C107A8"/>
    <w:rsid w:val="00C10B9C"/>
    <w:rsid w:val="00C110D7"/>
    <w:rsid w:val="00C11821"/>
    <w:rsid w:val="00C11CB6"/>
    <w:rsid w:val="00C11F12"/>
    <w:rsid w:val="00C11FFB"/>
    <w:rsid w:val="00C121AB"/>
    <w:rsid w:val="00C1232D"/>
    <w:rsid w:val="00C124F5"/>
    <w:rsid w:val="00C1356C"/>
    <w:rsid w:val="00C137A1"/>
    <w:rsid w:val="00C13A98"/>
    <w:rsid w:val="00C13B68"/>
    <w:rsid w:val="00C141C5"/>
    <w:rsid w:val="00C1440C"/>
    <w:rsid w:val="00C14B81"/>
    <w:rsid w:val="00C14DC8"/>
    <w:rsid w:val="00C152D7"/>
    <w:rsid w:val="00C1558E"/>
    <w:rsid w:val="00C15600"/>
    <w:rsid w:val="00C162CA"/>
    <w:rsid w:val="00C168F2"/>
    <w:rsid w:val="00C16B13"/>
    <w:rsid w:val="00C16DB0"/>
    <w:rsid w:val="00C16F5A"/>
    <w:rsid w:val="00C17457"/>
    <w:rsid w:val="00C175A3"/>
    <w:rsid w:val="00C17872"/>
    <w:rsid w:val="00C17A1A"/>
    <w:rsid w:val="00C17E9B"/>
    <w:rsid w:val="00C200B8"/>
    <w:rsid w:val="00C20946"/>
    <w:rsid w:val="00C2111E"/>
    <w:rsid w:val="00C21519"/>
    <w:rsid w:val="00C218E8"/>
    <w:rsid w:val="00C21F62"/>
    <w:rsid w:val="00C22508"/>
    <w:rsid w:val="00C2254B"/>
    <w:rsid w:val="00C22675"/>
    <w:rsid w:val="00C22EE3"/>
    <w:rsid w:val="00C232A6"/>
    <w:rsid w:val="00C23AFA"/>
    <w:rsid w:val="00C23C4E"/>
    <w:rsid w:val="00C23D80"/>
    <w:rsid w:val="00C23D92"/>
    <w:rsid w:val="00C23E6F"/>
    <w:rsid w:val="00C23F94"/>
    <w:rsid w:val="00C240CE"/>
    <w:rsid w:val="00C24162"/>
    <w:rsid w:val="00C243F8"/>
    <w:rsid w:val="00C2479F"/>
    <w:rsid w:val="00C24B7C"/>
    <w:rsid w:val="00C24C33"/>
    <w:rsid w:val="00C25617"/>
    <w:rsid w:val="00C25B7B"/>
    <w:rsid w:val="00C26D42"/>
    <w:rsid w:val="00C2715D"/>
    <w:rsid w:val="00C275DA"/>
    <w:rsid w:val="00C275E2"/>
    <w:rsid w:val="00C27A97"/>
    <w:rsid w:val="00C27FF4"/>
    <w:rsid w:val="00C30873"/>
    <w:rsid w:val="00C31029"/>
    <w:rsid w:val="00C318CB"/>
    <w:rsid w:val="00C31BCD"/>
    <w:rsid w:val="00C31C21"/>
    <w:rsid w:val="00C32366"/>
    <w:rsid w:val="00C32385"/>
    <w:rsid w:val="00C324C8"/>
    <w:rsid w:val="00C32716"/>
    <w:rsid w:val="00C328BA"/>
    <w:rsid w:val="00C32CB6"/>
    <w:rsid w:val="00C32F60"/>
    <w:rsid w:val="00C339E3"/>
    <w:rsid w:val="00C33B8E"/>
    <w:rsid w:val="00C33C65"/>
    <w:rsid w:val="00C33C81"/>
    <w:rsid w:val="00C33E4B"/>
    <w:rsid w:val="00C34210"/>
    <w:rsid w:val="00C34873"/>
    <w:rsid w:val="00C34B50"/>
    <w:rsid w:val="00C34D4D"/>
    <w:rsid w:val="00C34DA7"/>
    <w:rsid w:val="00C34E54"/>
    <w:rsid w:val="00C351B6"/>
    <w:rsid w:val="00C3546B"/>
    <w:rsid w:val="00C35638"/>
    <w:rsid w:val="00C3578F"/>
    <w:rsid w:val="00C357D9"/>
    <w:rsid w:val="00C35B86"/>
    <w:rsid w:val="00C35CAF"/>
    <w:rsid w:val="00C35CBC"/>
    <w:rsid w:val="00C35D8D"/>
    <w:rsid w:val="00C360E4"/>
    <w:rsid w:val="00C361EA"/>
    <w:rsid w:val="00C3635A"/>
    <w:rsid w:val="00C365C9"/>
    <w:rsid w:val="00C37B6A"/>
    <w:rsid w:val="00C37BD2"/>
    <w:rsid w:val="00C4048E"/>
    <w:rsid w:val="00C4055B"/>
    <w:rsid w:val="00C40838"/>
    <w:rsid w:val="00C40D79"/>
    <w:rsid w:val="00C40D89"/>
    <w:rsid w:val="00C4121E"/>
    <w:rsid w:val="00C41239"/>
    <w:rsid w:val="00C4134B"/>
    <w:rsid w:val="00C413BC"/>
    <w:rsid w:val="00C4193D"/>
    <w:rsid w:val="00C425AC"/>
    <w:rsid w:val="00C4274D"/>
    <w:rsid w:val="00C4296F"/>
    <w:rsid w:val="00C42E60"/>
    <w:rsid w:val="00C43D33"/>
    <w:rsid w:val="00C43D8B"/>
    <w:rsid w:val="00C443ED"/>
    <w:rsid w:val="00C446BA"/>
    <w:rsid w:val="00C447A4"/>
    <w:rsid w:val="00C44CB0"/>
    <w:rsid w:val="00C450D3"/>
    <w:rsid w:val="00C452F7"/>
    <w:rsid w:val="00C45386"/>
    <w:rsid w:val="00C45A4C"/>
    <w:rsid w:val="00C45C28"/>
    <w:rsid w:val="00C45E28"/>
    <w:rsid w:val="00C45F41"/>
    <w:rsid w:val="00C46163"/>
    <w:rsid w:val="00C4697F"/>
    <w:rsid w:val="00C469A5"/>
    <w:rsid w:val="00C46C88"/>
    <w:rsid w:val="00C4714D"/>
    <w:rsid w:val="00C475D8"/>
    <w:rsid w:val="00C47898"/>
    <w:rsid w:val="00C509AA"/>
    <w:rsid w:val="00C51165"/>
    <w:rsid w:val="00C51521"/>
    <w:rsid w:val="00C51987"/>
    <w:rsid w:val="00C51F8E"/>
    <w:rsid w:val="00C51FF8"/>
    <w:rsid w:val="00C5219E"/>
    <w:rsid w:val="00C52264"/>
    <w:rsid w:val="00C5285E"/>
    <w:rsid w:val="00C53376"/>
    <w:rsid w:val="00C53720"/>
    <w:rsid w:val="00C539CA"/>
    <w:rsid w:val="00C53E43"/>
    <w:rsid w:val="00C54824"/>
    <w:rsid w:val="00C54944"/>
    <w:rsid w:val="00C54EB5"/>
    <w:rsid w:val="00C55110"/>
    <w:rsid w:val="00C55FD9"/>
    <w:rsid w:val="00C5604C"/>
    <w:rsid w:val="00C5613F"/>
    <w:rsid w:val="00C56186"/>
    <w:rsid w:val="00C5695F"/>
    <w:rsid w:val="00C56B8B"/>
    <w:rsid w:val="00C56D63"/>
    <w:rsid w:val="00C570C6"/>
    <w:rsid w:val="00C6022C"/>
    <w:rsid w:val="00C603F8"/>
    <w:rsid w:val="00C6112D"/>
    <w:rsid w:val="00C61133"/>
    <w:rsid w:val="00C6142C"/>
    <w:rsid w:val="00C61937"/>
    <w:rsid w:val="00C61B0E"/>
    <w:rsid w:val="00C61C31"/>
    <w:rsid w:val="00C62A4F"/>
    <w:rsid w:val="00C632AA"/>
    <w:rsid w:val="00C63D27"/>
    <w:rsid w:val="00C64246"/>
    <w:rsid w:val="00C6429A"/>
    <w:rsid w:val="00C64411"/>
    <w:rsid w:val="00C64712"/>
    <w:rsid w:val="00C64CF5"/>
    <w:rsid w:val="00C6516F"/>
    <w:rsid w:val="00C65E1C"/>
    <w:rsid w:val="00C65E32"/>
    <w:rsid w:val="00C66111"/>
    <w:rsid w:val="00C661FC"/>
    <w:rsid w:val="00C66480"/>
    <w:rsid w:val="00C66729"/>
    <w:rsid w:val="00C669D9"/>
    <w:rsid w:val="00C670AD"/>
    <w:rsid w:val="00C6786D"/>
    <w:rsid w:val="00C6797D"/>
    <w:rsid w:val="00C67F5D"/>
    <w:rsid w:val="00C70A55"/>
    <w:rsid w:val="00C70C88"/>
    <w:rsid w:val="00C70DE2"/>
    <w:rsid w:val="00C71104"/>
    <w:rsid w:val="00C71605"/>
    <w:rsid w:val="00C71F45"/>
    <w:rsid w:val="00C725E2"/>
    <w:rsid w:val="00C7282D"/>
    <w:rsid w:val="00C72ADC"/>
    <w:rsid w:val="00C73876"/>
    <w:rsid w:val="00C739D4"/>
    <w:rsid w:val="00C739ED"/>
    <w:rsid w:val="00C73F27"/>
    <w:rsid w:val="00C7463F"/>
    <w:rsid w:val="00C7520E"/>
    <w:rsid w:val="00C7543E"/>
    <w:rsid w:val="00C7622D"/>
    <w:rsid w:val="00C76680"/>
    <w:rsid w:val="00C767A2"/>
    <w:rsid w:val="00C76FE3"/>
    <w:rsid w:val="00C77016"/>
    <w:rsid w:val="00C77389"/>
    <w:rsid w:val="00C774C5"/>
    <w:rsid w:val="00C77FF8"/>
    <w:rsid w:val="00C80F26"/>
    <w:rsid w:val="00C8136A"/>
    <w:rsid w:val="00C813AE"/>
    <w:rsid w:val="00C81475"/>
    <w:rsid w:val="00C81857"/>
    <w:rsid w:val="00C81BA9"/>
    <w:rsid w:val="00C81C0B"/>
    <w:rsid w:val="00C81F28"/>
    <w:rsid w:val="00C82243"/>
    <w:rsid w:val="00C8240A"/>
    <w:rsid w:val="00C825BE"/>
    <w:rsid w:val="00C82EFC"/>
    <w:rsid w:val="00C82F5C"/>
    <w:rsid w:val="00C8319A"/>
    <w:rsid w:val="00C83826"/>
    <w:rsid w:val="00C83C4B"/>
    <w:rsid w:val="00C8407A"/>
    <w:rsid w:val="00C846AE"/>
    <w:rsid w:val="00C846EB"/>
    <w:rsid w:val="00C84A5F"/>
    <w:rsid w:val="00C84FF9"/>
    <w:rsid w:val="00C85667"/>
    <w:rsid w:val="00C85887"/>
    <w:rsid w:val="00C85982"/>
    <w:rsid w:val="00C85C0E"/>
    <w:rsid w:val="00C85E3E"/>
    <w:rsid w:val="00C86149"/>
    <w:rsid w:val="00C862E1"/>
    <w:rsid w:val="00C86373"/>
    <w:rsid w:val="00C86568"/>
    <w:rsid w:val="00C86A90"/>
    <w:rsid w:val="00C870E6"/>
    <w:rsid w:val="00C8749D"/>
    <w:rsid w:val="00C87841"/>
    <w:rsid w:val="00C9037A"/>
    <w:rsid w:val="00C90627"/>
    <w:rsid w:val="00C908E2"/>
    <w:rsid w:val="00C90E18"/>
    <w:rsid w:val="00C90F28"/>
    <w:rsid w:val="00C9169A"/>
    <w:rsid w:val="00C917EA"/>
    <w:rsid w:val="00C91CCA"/>
    <w:rsid w:val="00C91FA1"/>
    <w:rsid w:val="00C92BAA"/>
    <w:rsid w:val="00C93141"/>
    <w:rsid w:val="00C93721"/>
    <w:rsid w:val="00C93796"/>
    <w:rsid w:val="00C938DC"/>
    <w:rsid w:val="00C93BC9"/>
    <w:rsid w:val="00C93EB6"/>
    <w:rsid w:val="00C94223"/>
    <w:rsid w:val="00C9494A"/>
    <w:rsid w:val="00C949E3"/>
    <w:rsid w:val="00C94C53"/>
    <w:rsid w:val="00C94D0A"/>
    <w:rsid w:val="00C94FE4"/>
    <w:rsid w:val="00C95E3F"/>
    <w:rsid w:val="00C95FF7"/>
    <w:rsid w:val="00C962B6"/>
    <w:rsid w:val="00C97217"/>
    <w:rsid w:val="00C9735B"/>
    <w:rsid w:val="00CA01F5"/>
    <w:rsid w:val="00CA04FE"/>
    <w:rsid w:val="00CA0834"/>
    <w:rsid w:val="00CA0AE7"/>
    <w:rsid w:val="00CA0B5A"/>
    <w:rsid w:val="00CA0BF9"/>
    <w:rsid w:val="00CA1BBF"/>
    <w:rsid w:val="00CA1C7F"/>
    <w:rsid w:val="00CA2052"/>
    <w:rsid w:val="00CA22E4"/>
    <w:rsid w:val="00CA2389"/>
    <w:rsid w:val="00CA2580"/>
    <w:rsid w:val="00CA26BA"/>
    <w:rsid w:val="00CA298A"/>
    <w:rsid w:val="00CA2A05"/>
    <w:rsid w:val="00CA35A0"/>
    <w:rsid w:val="00CA3C07"/>
    <w:rsid w:val="00CA3FCE"/>
    <w:rsid w:val="00CA4DF5"/>
    <w:rsid w:val="00CA4E3C"/>
    <w:rsid w:val="00CA4EF7"/>
    <w:rsid w:val="00CA5121"/>
    <w:rsid w:val="00CA51CC"/>
    <w:rsid w:val="00CA54A0"/>
    <w:rsid w:val="00CA5A2F"/>
    <w:rsid w:val="00CA5C42"/>
    <w:rsid w:val="00CA701D"/>
    <w:rsid w:val="00CA771C"/>
    <w:rsid w:val="00CA7A93"/>
    <w:rsid w:val="00CB0419"/>
    <w:rsid w:val="00CB0789"/>
    <w:rsid w:val="00CB10DB"/>
    <w:rsid w:val="00CB1414"/>
    <w:rsid w:val="00CB19F4"/>
    <w:rsid w:val="00CB1A5F"/>
    <w:rsid w:val="00CB1AA1"/>
    <w:rsid w:val="00CB1D2D"/>
    <w:rsid w:val="00CB1E8D"/>
    <w:rsid w:val="00CB2059"/>
    <w:rsid w:val="00CB23B0"/>
    <w:rsid w:val="00CB29DA"/>
    <w:rsid w:val="00CB2CB1"/>
    <w:rsid w:val="00CB2E47"/>
    <w:rsid w:val="00CB2EAE"/>
    <w:rsid w:val="00CB2F9B"/>
    <w:rsid w:val="00CB31A6"/>
    <w:rsid w:val="00CB34B9"/>
    <w:rsid w:val="00CB3D05"/>
    <w:rsid w:val="00CB3D8F"/>
    <w:rsid w:val="00CB3E7A"/>
    <w:rsid w:val="00CB4963"/>
    <w:rsid w:val="00CB4BD0"/>
    <w:rsid w:val="00CB541C"/>
    <w:rsid w:val="00CB5805"/>
    <w:rsid w:val="00CB5AE3"/>
    <w:rsid w:val="00CB66DF"/>
    <w:rsid w:val="00CB6C7B"/>
    <w:rsid w:val="00CB6FFD"/>
    <w:rsid w:val="00CB7040"/>
    <w:rsid w:val="00CB7065"/>
    <w:rsid w:val="00CB7279"/>
    <w:rsid w:val="00CB76A0"/>
    <w:rsid w:val="00CB7C42"/>
    <w:rsid w:val="00CB7DDD"/>
    <w:rsid w:val="00CC03A5"/>
    <w:rsid w:val="00CC0651"/>
    <w:rsid w:val="00CC0D59"/>
    <w:rsid w:val="00CC0FBD"/>
    <w:rsid w:val="00CC1AC2"/>
    <w:rsid w:val="00CC2C1E"/>
    <w:rsid w:val="00CC2E31"/>
    <w:rsid w:val="00CC2E35"/>
    <w:rsid w:val="00CC337A"/>
    <w:rsid w:val="00CC346E"/>
    <w:rsid w:val="00CC34CA"/>
    <w:rsid w:val="00CC352A"/>
    <w:rsid w:val="00CC3BAD"/>
    <w:rsid w:val="00CC3C66"/>
    <w:rsid w:val="00CC4A90"/>
    <w:rsid w:val="00CC4F98"/>
    <w:rsid w:val="00CC5226"/>
    <w:rsid w:val="00CC5341"/>
    <w:rsid w:val="00CC5691"/>
    <w:rsid w:val="00CC5DAE"/>
    <w:rsid w:val="00CC60A0"/>
    <w:rsid w:val="00CC6695"/>
    <w:rsid w:val="00CC68B5"/>
    <w:rsid w:val="00CC6C78"/>
    <w:rsid w:val="00CC79ED"/>
    <w:rsid w:val="00CD01D3"/>
    <w:rsid w:val="00CD020D"/>
    <w:rsid w:val="00CD065D"/>
    <w:rsid w:val="00CD070C"/>
    <w:rsid w:val="00CD1858"/>
    <w:rsid w:val="00CD1921"/>
    <w:rsid w:val="00CD20BE"/>
    <w:rsid w:val="00CD3906"/>
    <w:rsid w:val="00CD399D"/>
    <w:rsid w:val="00CD3E30"/>
    <w:rsid w:val="00CD41C1"/>
    <w:rsid w:val="00CD4682"/>
    <w:rsid w:val="00CD4AEB"/>
    <w:rsid w:val="00CD4C35"/>
    <w:rsid w:val="00CD4ECC"/>
    <w:rsid w:val="00CD52E7"/>
    <w:rsid w:val="00CD5311"/>
    <w:rsid w:val="00CD5409"/>
    <w:rsid w:val="00CD54F8"/>
    <w:rsid w:val="00CD5F4A"/>
    <w:rsid w:val="00CD631D"/>
    <w:rsid w:val="00CD64C6"/>
    <w:rsid w:val="00CD702E"/>
    <w:rsid w:val="00CD74A4"/>
    <w:rsid w:val="00CD7E40"/>
    <w:rsid w:val="00CE15BF"/>
    <w:rsid w:val="00CE1682"/>
    <w:rsid w:val="00CE18CA"/>
    <w:rsid w:val="00CE221D"/>
    <w:rsid w:val="00CE224E"/>
    <w:rsid w:val="00CE2444"/>
    <w:rsid w:val="00CE254A"/>
    <w:rsid w:val="00CE280B"/>
    <w:rsid w:val="00CE2E27"/>
    <w:rsid w:val="00CE355F"/>
    <w:rsid w:val="00CE3709"/>
    <w:rsid w:val="00CE3A0E"/>
    <w:rsid w:val="00CE3C45"/>
    <w:rsid w:val="00CE47AF"/>
    <w:rsid w:val="00CE4A9E"/>
    <w:rsid w:val="00CE4D33"/>
    <w:rsid w:val="00CE4ED6"/>
    <w:rsid w:val="00CE4EDD"/>
    <w:rsid w:val="00CE5247"/>
    <w:rsid w:val="00CE5819"/>
    <w:rsid w:val="00CE586B"/>
    <w:rsid w:val="00CE64B7"/>
    <w:rsid w:val="00CE65BB"/>
    <w:rsid w:val="00CE676F"/>
    <w:rsid w:val="00CE6855"/>
    <w:rsid w:val="00CE6895"/>
    <w:rsid w:val="00CE6F1F"/>
    <w:rsid w:val="00CE7345"/>
    <w:rsid w:val="00CE7776"/>
    <w:rsid w:val="00CF0371"/>
    <w:rsid w:val="00CF0D00"/>
    <w:rsid w:val="00CF11C0"/>
    <w:rsid w:val="00CF1CFF"/>
    <w:rsid w:val="00CF1EAC"/>
    <w:rsid w:val="00CF23C5"/>
    <w:rsid w:val="00CF27B3"/>
    <w:rsid w:val="00CF2BFC"/>
    <w:rsid w:val="00CF3147"/>
    <w:rsid w:val="00CF3485"/>
    <w:rsid w:val="00CF3E47"/>
    <w:rsid w:val="00CF40F3"/>
    <w:rsid w:val="00CF4514"/>
    <w:rsid w:val="00CF49E0"/>
    <w:rsid w:val="00CF4EFD"/>
    <w:rsid w:val="00CF5269"/>
    <w:rsid w:val="00CF54A7"/>
    <w:rsid w:val="00CF5759"/>
    <w:rsid w:val="00CF5A92"/>
    <w:rsid w:val="00CF628F"/>
    <w:rsid w:val="00CF66BD"/>
    <w:rsid w:val="00CF69A1"/>
    <w:rsid w:val="00CF78AC"/>
    <w:rsid w:val="00CF7943"/>
    <w:rsid w:val="00CF7B59"/>
    <w:rsid w:val="00CF7E6C"/>
    <w:rsid w:val="00D0020C"/>
    <w:rsid w:val="00D00EF2"/>
    <w:rsid w:val="00D00FBA"/>
    <w:rsid w:val="00D00FF5"/>
    <w:rsid w:val="00D011C8"/>
    <w:rsid w:val="00D01C33"/>
    <w:rsid w:val="00D024E6"/>
    <w:rsid w:val="00D02A65"/>
    <w:rsid w:val="00D030CE"/>
    <w:rsid w:val="00D03433"/>
    <w:rsid w:val="00D034B4"/>
    <w:rsid w:val="00D03D00"/>
    <w:rsid w:val="00D04110"/>
    <w:rsid w:val="00D04421"/>
    <w:rsid w:val="00D04840"/>
    <w:rsid w:val="00D0562D"/>
    <w:rsid w:val="00D058E6"/>
    <w:rsid w:val="00D05C58"/>
    <w:rsid w:val="00D05EC9"/>
    <w:rsid w:val="00D0705B"/>
    <w:rsid w:val="00D07481"/>
    <w:rsid w:val="00D075C5"/>
    <w:rsid w:val="00D101CB"/>
    <w:rsid w:val="00D110CA"/>
    <w:rsid w:val="00D111CC"/>
    <w:rsid w:val="00D11C9E"/>
    <w:rsid w:val="00D12547"/>
    <w:rsid w:val="00D127CF"/>
    <w:rsid w:val="00D1289E"/>
    <w:rsid w:val="00D13233"/>
    <w:rsid w:val="00D133BE"/>
    <w:rsid w:val="00D13C7A"/>
    <w:rsid w:val="00D13D70"/>
    <w:rsid w:val="00D14522"/>
    <w:rsid w:val="00D14C76"/>
    <w:rsid w:val="00D14CD1"/>
    <w:rsid w:val="00D15AC8"/>
    <w:rsid w:val="00D15B7E"/>
    <w:rsid w:val="00D15C6C"/>
    <w:rsid w:val="00D16C0E"/>
    <w:rsid w:val="00D178C9"/>
    <w:rsid w:val="00D17A27"/>
    <w:rsid w:val="00D17F5F"/>
    <w:rsid w:val="00D17FD4"/>
    <w:rsid w:val="00D20B3D"/>
    <w:rsid w:val="00D20CC3"/>
    <w:rsid w:val="00D20CFE"/>
    <w:rsid w:val="00D20EB7"/>
    <w:rsid w:val="00D2104A"/>
    <w:rsid w:val="00D210FD"/>
    <w:rsid w:val="00D2112D"/>
    <w:rsid w:val="00D219A0"/>
    <w:rsid w:val="00D21AD5"/>
    <w:rsid w:val="00D2207E"/>
    <w:rsid w:val="00D220E9"/>
    <w:rsid w:val="00D22727"/>
    <w:rsid w:val="00D2278F"/>
    <w:rsid w:val="00D22B32"/>
    <w:rsid w:val="00D2330D"/>
    <w:rsid w:val="00D2376D"/>
    <w:rsid w:val="00D239D9"/>
    <w:rsid w:val="00D23E46"/>
    <w:rsid w:val="00D24187"/>
    <w:rsid w:val="00D24490"/>
    <w:rsid w:val="00D24B8B"/>
    <w:rsid w:val="00D24D47"/>
    <w:rsid w:val="00D24D91"/>
    <w:rsid w:val="00D24E03"/>
    <w:rsid w:val="00D25255"/>
    <w:rsid w:val="00D25567"/>
    <w:rsid w:val="00D25630"/>
    <w:rsid w:val="00D25C0A"/>
    <w:rsid w:val="00D25C7F"/>
    <w:rsid w:val="00D26331"/>
    <w:rsid w:val="00D267C2"/>
    <w:rsid w:val="00D26A61"/>
    <w:rsid w:val="00D27924"/>
    <w:rsid w:val="00D27D39"/>
    <w:rsid w:val="00D27ECC"/>
    <w:rsid w:val="00D3005C"/>
    <w:rsid w:val="00D30472"/>
    <w:rsid w:val="00D30EBC"/>
    <w:rsid w:val="00D31067"/>
    <w:rsid w:val="00D3151E"/>
    <w:rsid w:val="00D31C4B"/>
    <w:rsid w:val="00D321DC"/>
    <w:rsid w:val="00D3354A"/>
    <w:rsid w:val="00D33E70"/>
    <w:rsid w:val="00D343B6"/>
    <w:rsid w:val="00D3449D"/>
    <w:rsid w:val="00D348B2"/>
    <w:rsid w:val="00D34E57"/>
    <w:rsid w:val="00D3541B"/>
    <w:rsid w:val="00D356C0"/>
    <w:rsid w:val="00D35EA6"/>
    <w:rsid w:val="00D3627C"/>
    <w:rsid w:val="00D365BC"/>
    <w:rsid w:val="00D371A0"/>
    <w:rsid w:val="00D37B8D"/>
    <w:rsid w:val="00D40071"/>
    <w:rsid w:val="00D402BF"/>
    <w:rsid w:val="00D409C0"/>
    <w:rsid w:val="00D41074"/>
    <w:rsid w:val="00D4165C"/>
    <w:rsid w:val="00D42026"/>
    <w:rsid w:val="00D42978"/>
    <w:rsid w:val="00D429E1"/>
    <w:rsid w:val="00D42F2A"/>
    <w:rsid w:val="00D430A0"/>
    <w:rsid w:val="00D430B1"/>
    <w:rsid w:val="00D434D8"/>
    <w:rsid w:val="00D43D18"/>
    <w:rsid w:val="00D44043"/>
    <w:rsid w:val="00D440D5"/>
    <w:rsid w:val="00D44C9A"/>
    <w:rsid w:val="00D45145"/>
    <w:rsid w:val="00D45210"/>
    <w:rsid w:val="00D45219"/>
    <w:rsid w:val="00D4584E"/>
    <w:rsid w:val="00D458E1"/>
    <w:rsid w:val="00D45C66"/>
    <w:rsid w:val="00D45FDC"/>
    <w:rsid w:val="00D463D3"/>
    <w:rsid w:val="00D464C8"/>
    <w:rsid w:val="00D4683D"/>
    <w:rsid w:val="00D469B8"/>
    <w:rsid w:val="00D46B06"/>
    <w:rsid w:val="00D4756E"/>
    <w:rsid w:val="00D476B4"/>
    <w:rsid w:val="00D509A0"/>
    <w:rsid w:val="00D50D6A"/>
    <w:rsid w:val="00D51AF6"/>
    <w:rsid w:val="00D51C65"/>
    <w:rsid w:val="00D5214D"/>
    <w:rsid w:val="00D52484"/>
    <w:rsid w:val="00D52876"/>
    <w:rsid w:val="00D52E5F"/>
    <w:rsid w:val="00D54504"/>
    <w:rsid w:val="00D548F8"/>
    <w:rsid w:val="00D553AB"/>
    <w:rsid w:val="00D55759"/>
    <w:rsid w:val="00D55F4D"/>
    <w:rsid w:val="00D56253"/>
    <w:rsid w:val="00D562D8"/>
    <w:rsid w:val="00D5694E"/>
    <w:rsid w:val="00D56B10"/>
    <w:rsid w:val="00D56D16"/>
    <w:rsid w:val="00D56F79"/>
    <w:rsid w:val="00D570E1"/>
    <w:rsid w:val="00D57C68"/>
    <w:rsid w:val="00D60172"/>
    <w:rsid w:val="00D60502"/>
    <w:rsid w:val="00D608A9"/>
    <w:rsid w:val="00D60942"/>
    <w:rsid w:val="00D60E6C"/>
    <w:rsid w:val="00D60E9D"/>
    <w:rsid w:val="00D6130A"/>
    <w:rsid w:val="00D61855"/>
    <w:rsid w:val="00D6194D"/>
    <w:rsid w:val="00D61B47"/>
    <w:rsid w:val="00D61C7D"/>
    <w:rsid w:val="00D61CB5"/>
    <w:rsid w:val="00D61FCD"/>
    <w:rsid w:val="00D6203D"/>
    <w:rsid w:val="00D620FF"/>
    <w:rsid w:val="00D6217F"/>
    <w:rsid w:val="00D62489"/>
    <w:rsid w:val="00D62790"/>
    <w:rsid w:val="00D62A11"/>
    <w:rsid w:val="00D62B32"/>
    <w:rsid w:val="00D632D9"/>
    <w:rsid w:val="00D6401A"/>
    <w:rsid w:val="00D6454F"/>
    <w:rsid w:val="00D645DA"/>
    <w:rsid w:val="00D64FF8"/>
    <w:rsid w:val="00D651C9"/>
    <w:rsid w:val="00D654B2"/>
    <w:rsid w:val="00D660C6"/>
    <w:rsid w:val="00D67511"/>
    <w:rsid w:val="00D6756E"/>
    <w:rsid w:val="00D67597"/>
    <w:rsid w:val="00D67882"/>
    <w:rsid w:val="00D67956"/>
    <w:rsid w:val="00D67B7F"/>
    <w:rsid w:val="00D702DA"/>
    <w:rsid w:val="00D70624"/>
    <w:rsid w:val="00D708EA"/>
    <w:rsid w:val="00D70B13"/>
    <w:rsid w:val="00D70C76"/>
    <w:rsid w:val="00D70FD5"/>
    <w:rsid w:val="00D710DE"/>
    <w:rsid w:val="00D712B0"/>
    <w:rsid w:val="00D718F8"/>
    <w:rsid w:val="00D71AE8"/>
    <w:rsid w:val="00D72086"/>
    <w:rsid w:val="00D720D4"/>
    <w:rsid w:val="00D72840"/>
    <w:rsid w:val="00D72A27"/>
    <w:rsid w:val="00D72ACF"/>
    <w:rsid w:val="00D72B97"/>
    <w:rsid w:val="00D72D01"/>
    <w:rsid w:val="00D72FD8"/>
    <w:rsid w:val="00D734FE"/>
    <w:rsid w:val="00D73B25"/>
    <w:rsid w:val="00D73F32"/>
    <w:rsid w:val="00D74082"/>
    <w:rsid w:val="00D746BA"/>
    <w:rsid w:val="00D74751"/>
    <w:rsid w:val="00D74A40"/>
    <w:rsid w:val="00D74FE7"/>
    <w:rsid w:val="00D75093"/>
    <w:rsid w:val="00D750F8"/>
    <w:rsid w:val="00D75227"/>
    <w:rsid w:val="00D75578"/>
    <w:rsid w:val="00D756D5"/>
    <w:rsid w:val="00D75912"/>
    <w:rsid w:val="00D75C7E"/>
    <w:rsid w:val="00D75D0E"/>
    <w:rsid w:val="00D75ED4"/>
    <w:rsid w:val="00D7611F"/>
    <w:rsid w:val="00D7690E"/>
    <w:rsid w:val="00D77016"/>
    <w:rsid w:val="00D773F5"/>
    <w:rsid w:val="00D77B0B"/>
    <w:rsid w:val="00D77E33"/>
    <w:rsid w:val="00D80BB0"/>
    <w:rsid w:val="00D80BB1"/>
    <w:rsid w:val="00D80EF6"/>
    <w:rsid w:val="00D81B98"/>
    <w:rsid w:val="00D81F59"/>
    <w:rsid w:val="00D81FAD"/>
    <w:rsid w:val="00D82B74"/>
    <w:rsid w:val="00D82D08"/>
    <w:rsid w:val="00D832DF"/>
    <w:rsid w:val="00D83736"/>
    <w:rsid w:val="00D83BDF"/>
    <w:rsid w:val="00D84379"/>
    <w:rsid w:val="00D848EC"/>
    <w:rsid w:val="00D84C9F"/>
    <w:rsid w:val="00D84FF8"/>
    <w:rsid w:val="00D852FF"/>
    <w:rsid w:val="00D8546F"/>
    <w:rsid w:val="00D85931"/>
    <w:rsid w:val="00D85B92"/>
    <w:rsid w:val="00D85EE9"/>
    <w:rsid w:val="00D866D4"/>
    <w:rsid w:val="00D872EA"/>
    <w:rsid w:val="00D879A5"/>
    <w:rsid w:val="00D87D9B"/>
    <w:rsid w:val="00D87E40"/>
    <w:rsid w:val="00D90569"/>
    <w:rsid w:val="00D90C3E"/>
    <w:rsid w:val="00D90D53"/>
    <w:rsid w:val="00D913A9"/>
    <w:rsid w:val="00D91566"/>
    <w:rsid w:val="00D91B08"/>
    <w:rsid w:val="00D91E14"/>
    <w:rsid w:val="00D9200B"/>
    <w:rsid w:val="00D92869"/>
    <w:rsid w:val="00D92F53"/>
    <w:rsid w:val="00D9395B"/>
    <w:rsid w:val="00D9439E"/>
    <w:rsid w:val="00D943A3"/>
    <w:rsid w:val="00D94CBB"/>
    <w:rsid w:val="00D9555A"/>
    <w:rsid w:val="00D95C27"/>
    <w:rsid w:val="00D962C5"/>
    <w:rsid w:val="00D96436"/>
    <w:rsid w:val="00D96A97"/>
    <w:rsid w:val="00D979CF"/>
    <w:rsid w:val="00DA01CB"/>
    <w:rsid w:val="00DA0243"/>
    <w:rsid w:val="00DA03BD"/>
    <w:rsid w:val="00DA0D75"/>
    <w:rsid w:val="00DA104A"/>
    <w:rsid w:val="00DA112F"/>
    <w:rsid w:val="00DA128B"/>
    <w:rsid w:val="00DA2109"/>
    <w:rsid w:val="00DA2A66"/>
    <w:rsid w:val="00DA2ADC"/>
    <w:rsid w:val="00DA2FFF"/>
    <w:rsid w:val="00DA306D"/>
    <w:rsid w:val="00DA31BC"/>
    <w:rsid w:val="00DA3265"/>
    <w:rsid w:val="00DA32D6"/>
    <w:rsid w:val="00DA3455"/>
    <w:rsid w:val="00DA38DB"/>
    <w:rsid w:val="00DA3AA7"/>
    <w:rsid w:val="00DA45A8"/>
    <w:rsid w:val="00DA4805"/>
    <w:rsid w:val="00DA4AD1"/>
    <w:rsid w:val="00DA4EDE"/>
    <w:rsid w:val="00DA5207"/>
    <w:rsid w:val="00DA550F"/>
    <w:rsid w:val="00DA6177"/>
    <w:rsid w:val="00DA6808"/>
    <w:rsid w:val="00DA68B0"/>
    <w:rsid w:val="00DA6A42"/>
    <w:rsid w:val="00DA7DEF"/>
    <w:rsid w:val="00DA7F83"/>
    <w:rsid w:val="00DB038E"/>
    <w:rsid w:val="00DB040A"/>
    <w:rsid w:val="00DB0800"/>
    <w:rsid w:val="00DB0B12"/>
    <w:rsid w:val="00DB0D58"/>
    <w:rsid w:val="00DB1603"/>
    <w:rsid w:val="00DB1B85"/>
    <w:rsid w:val="00DB28D3"/>
    <w:rsid w:val="00DB2967"/>
    <w:rsid w:val="00DB2DA9"/>
    <w:rsid w:val="00DB31D6"/>
    <w:rsid w:val="00DB32CB"/>
    <w:rsid w:val="00DB3981"/>
    <w:rsid w:val="00DB3BC2"/>
    <w:rsid w:val="00DB3BE1"/>
    <w:rsid w:val="00DB3CBE"/>
    <w:rsid w:val="00DB3F46"/>
    <w:rsid w:val="00DB3FF3"/>
    <w:rsid w:val="00DB44C7"/>
    <w:rsid w:val="00DB4B70"/>
    <w:rsid w:val="00DB4F54"/>
    <w:rsid w:val="00DB5863"/>
    <w:rsid w:val="00DB65C6"/>
    <w:rsid w:val="00DB68BD"/>
    <w:rsid w:val="00DB6D53"/>
    <w:rsid w:val="00DB7424"/>
    <w:rsid w:val="00DB7454"/>
    <w:rsid w:val="00DB7509"/>
    <w:rsid w:val="00DC002E"/>
    <w:rsid w:val="00DC01BF"/>
    <w:rsid w:val="00DC04B8"/>
    <w:rsid w:val="00DC04C1"/>
    <w:rsid w:val="00DC07C4"/>
    <w:rsid w:val="00DC08D1"/>
    <w:rsid w:val="00DC0A8A"/>
    <w:rsid w:val="00DC0B4A"/>
    <w:rsid w:val="00DC0CEE"/>
    <w:rsid w:val="00DC13D0"/>
    <w:rsid w:val="00DC178B"/>
    <w:rsid w:val="00DC1919"/>
    <w:rsid w:val="00DC25AB"/>
    <w:rsid w:val="00DC2685"/>
    <w:rsid w:val="00DC275E"/>
    <w:rsid w:val="00DC296A"/>
    <w:rsid w:val="00DC34A1"/>
    <w:rsid w:val="00DC3825"/>
    <w:rsid w:val="00DC3A7F"/>
    <w:rsid w:val="00DC46F7"/>
    <w:rsid w:val="00DC4C34"/>
    <w:rsid w:val="00DC5DE3"/>
    <w:rsid w:val="00DC5E5F"/>
    <w:rsid w:val="00DC60AA"/>
    <w:rsid w:val="00DC60C5"/>
    <w:rsid w:val="00DC631A"/>
    <w:rsid w:val="00DC6924"/>
    <w:rsid w:val="00DC6D70"/>
    <w:rsid w:val="00DC6D79"/>
    <w:rsid w:val="00DC7078"/>
    <w:rsid w:val="00DC70A7"/>
    <w:rsid w:val="00DC79B8"/>
    <w:rsid w:val="00DC79E8"/>
    <w:rsid w:val="00DC7CA3"/>
    <w:rsid w:val="00DD02C5"/>
    <w:rsid w:val="00DD043C"/>
    <w:rsid w:val="00DD06FA"/>
    <w:rsid w:val="00DD1AC0"/>
    <w:rsid w:val="00DD2032"/>
    <w:rsid w:val="00DD2D65"/>
    <w:rsid w:val="00DD3153"/>
    <w:rsid w:val="00DD38E1"/>
    <w:rsid w:val="00DD415A"/>
    <w:rsid w:val="00DD4440"/>
    <w:rsid w:val="00DD4E69"/>
    <w:rsid w:val="00DD579F"/>
    <w:rsid w:val="00DD5A82"/>
    <w:rsid w:val="00DD5A90"/>
    <w:rsid w:val="00DD5CEF"/>
    <w:rsid w:val="00DD64DB"/>
    <w:rsid w:val="00DD6D68"/>
    <w:rsid w:val="00DD6D91"/>
    <w:rsid w:val="00DD7425"/>
    <w:rsid w:val="00DD7523"/>
    <w:rsid w:val="00DE028D"/>
    <w:rsid w:val="00DE0496"/>
    <w:rsid w:val="00DE04E3"/>
    <w:rsid w:val="00DE063D"/>
    <w:rsid w:val="00DE0AAB"/>
    <w:rsid w:val="00DE1B2D"/>
    <w:rsid w:val="00DE1F7E"/>
    <w:rsid w:val="00DE1F9E"/>
    <w:rsid w:val="00DE2562"/>
    <w:rsid w:val="00DE27D7"/>
    <w:rsid w:val="00DE2F5C"/>
    <w:rsid w:val="00DE3415"/>
    <w:rsid w:val="00DE346B"/>
    <w:rsid w:val="00DE3624"/>
    <w:rsid w:val="00DE441B"/>
    <w:rsid w:val="00DE4879"/>
    <w:rsid w:val="00DE4AB0"/>
    <w:rsid w:val="00DE4BD5"/>
    <w:rsid w:val="00DE5664"/>
    <w:rsid w:val="00DE58A3"/>
    <w:rsid w:val="00DE5FD2"/>
    <w:rsid w:val="00DE6038"/>
    <w:rsid w:val="00DE6C97"/>
    <w:rsid w:val="00DE7986"/>
    <w:rsid w:val="00DE7CAA"/>
    <w:rsid w:val="00DF0AB7"/>
    <w:rsid w:val="00DF0DDB"/>
    <w:rsid w:val="00DF0F09"/>
    <w:rsid w:val="00DF0F9E"/>
    <w:rsid w:val="00DF2208"/>
    <w:rsid w:val="00DF238D"/>
    <w:rsid w:val="00DF3E5C"/>
    <w:rsid w:val="00DF4326"/>
    <w:rsid w:val="00DF4AA1"/>
    <w:rsid w:val="00DF5227"/>
    <w:rsid w:val="00DF55B9"/>
    <w:rsid w:val="00DF5ED1"/>
    <w:rsid w:val="00DF5F5E"/>
    <w:rsid w:val="00DF6145"/>
    <w:rsid w:val="00DF6578"/>
    <w:rsid w:val="00DF6DC3"/>
    <w:rsid w:val="00DF6FD1"/>
    <w:rsid w:val="00DF776B"/>
    <w:rsid w:val="00DF794B"/>
    <w:rsid w:val="00DF79EF"/>
    <w:rsid w:val="00E00DD4"/>
    <w:rsid w:val="00E01758"/>
    <w:rsid w:val="00E01759"/>
    <w:rsid w:val="00E01B29"/>
    <w:rsid w:val="00E01B39"/>
    <w:rsid w:val="00E01F84"/>
    <w:rsid w:val="00E02DD2"/>
    <w:rsid w:val="00E02F22"/>
    <w:rsid w:val="00E038D9"/>
    <w:rsid w:val="00E03E97"/>
    <w:rsid w:val="00E04106"/>
    <w:rsid w:val="00E045F9"/>
    <w:rsid w:val="00E04883"/>
    <w:rsid w:val="00E04CE7"/>
    <w:rsid w:val="00E04F6D"/>
    <w:rsid w:val="00E05128"/>
    <w:rsid w:val="00E056C3"/>
    <w:rsid w:val="00E05AC3"/>
    <w:rsid w:val="00E06051"/>
    <w:rsid w:val="00E06A00"/>
    <w:rsid w:val="00E06D11"/>
    <w:rsid w:val="00E06D2D"/>
    <w:rsid w:val="00E06E3B"/>
    <w:rsid w:val="00E0725A"/>
    <w:rsid w:val="00E07536"/>
    <w:rsid w:val="00E07F3F"/>
    <w:rsid w:val="00E105E5"/>
    <w:rsid w:val="00E109C3"/>
    <w:rsid w:val="00E10AEE"/>
    <w:rsid w:val="00E10C93"/>
    <w:rsid w:val="00E11150"/>
    <w:rsid w:val="00E1150E"/>
    <w:rsid w:val="00E11576"/>
    <w:rsid w:val="00E1172E"/>
    <w:rsid w:val="00E11902"/>
    <w:rsid w:val="00E11C87"/>
    <w:rsid w:val="00E120F5"/>
    <w:rsid w:val="00E1225E"/>
    <w:rsid w:val="00E122C9"/>
    <w:rsid w:val="00E12EA5"/>
    <w:rsid w:val="00E13A96"/>
    <w:rsid w:val="00E13EEC"/>
    <w:rsid w:val="00E14828"/>
    <w:rsid w:val="00E14A70"/>
    <w:rsid w:val="00E14F70"/>
    <w:rsid w:val="00E15072"/>
    <w:rsid w:val="00E1637E"/>
    <w:rsid w:val="00E1640B"/>
    <w:rsid w:val="00E16F72"/>
    <w:rsid w:val="00E17765"/>
    <w:rsid w:val="00E17A65"/>
    <w:rsid w:val="00E17B0E"/>
    <w:rsid w:val="00E17D1E"/>
    <w:rsid w:val="00E20707"/>
    <w:rsid w:val="00E20DC2"/>
    <w:rsid w:val="00E21152"/>
    <w:rsid w:val="00E211AA"/>
    <w:rsid w:val="00E2130B"/>
    <w:rsid w:val="00E214A1"/>
    <w:rsid w:val="00E21523"/>
    <w:rsid w:val="00E217FA"/>
    <w:rsid w:val="00E21A4B"/>
    <w:rsid w:val="00E21B6C"/>
    <w:rsid w:val="00E22287"/>
    <w:rsid w:val="00E22782"/>
    <w:rsid w:val="00E22F5E"/>
    <w:rsid w:val="00E231B5"/>
    <w:rsid w:val="00E23E2D"/>
    <w:rsid w:val="00E241AC"/>
    <w:rsid w:val="00E24949"/>
    <w:rsid w:val="00E24A54"/>
    <w:rsid w:val="00E257DA"/>
    <w:rsid w:val="00E2590C"/>
    <w:rsid w:val="00E25A3F"/>
    <w:rsid w:val="00E25F45"/>
    <w:rsid w:val="00E26073"/>
    <w:rsid w:val="00E262B8"/>
    <w:rsid w:val="00E26DA0"/>
    <w:rsid w:val="00E27251"/>
    <w:rsid w:val="00E2778B"/>
    <w:rsid w:val="00E27802"/>
    <w:rsid w:val="00E27A99"/>
    <w:rsid w:val="00E27DDC"/>
    <w:rsid w:val="00E30281"/>
    <w:rsid w:val="00E30512"/>
    <w:rsid w:val="00E3057B"/>
    <w:rsid w:val="00E308B6"/>
    <w:rsid w:val="00E30AC3"/>
    <w:rsid w:val="00E30ECE"/>
    <w:rsid w:val="00E311FF"/>
    <w:rsid w:val="00E31D37"/>
    <w:rsid w:val="00E321CC"/>
    <w:rsid w:val="00E324D2"/>
    <w:rsid w:val="00E3264B"/>
    <w:rsid w:val="00E32A52"/>
    <w:rsid w:val="00E32A7C"/>
    <w:rsid w:val="00E3325B"/>
    <w:rsid w:val="00E33461"/>
    <w:rsid w:val="00E336D3"/>
    <w:rsid w:val="00E3387E"/>
    <w:rsid w:val="00E33BDD"/>
    <w:rsid w:val="00E33F55"/>
    <w:rsid w:val="00E340E1"/>
    <w:rsid w:val="00E34495"/>
    <w:rsid w:val="00E34C1B"/>
    <w:rsid w:val="00E34CA7"/>
    <w:rsid w:val="00E350D1"/>
    <w:rsid w:val="00E351B6"/>
    <w:rsid w:val="00E35BBC"/>
    <w:rsid w:val="00E35EFC"/>
    <w:rsid w:val="00E36059"/>
    <w:rsid w:val="00E369DB"/>
    <w:rsid w:val="00E37221"/>
    <w:rsid w:val="00E37D5C"/>
    <w:rsid w:val="00E40040"/>
    <w:rsid w:val="00E40148"/>
    <w:rsid w:val="00E4069F"/>
    <w:rsid w:val="00E407D7"/>
    <w:rsid w:val="00E418EF"/>
    <w:rsid w:val="00E41A06"/>
    <w:rsid w:val="00E4213E"/>
    <w:rsid w:val="00E42456"/>
    <w:rsid w:val="00E42588"/>
    <w:rsid w:val="00E425CF"/>
    <w:rsid w:val="00E42EE5"/>
    <w:rsid w:val="00E4371D"/>
    <w:rsid w:val="00E43DD6"/>
    <w:rsid w:val="00E43F01"/>
    <w:rsid w:val="00E441C0"/>
    <w:rsid w:val="00E44B1D"/>
    <w:rsid w:val="00E44B89"/>
    <w:rsid w:val="00E45060"/>
    <w:rsid w:val="00E45550"/>
    <w:rsid w:val="00E46133"/>
    <w:rsid w:val="00E46206"/>
    <w:rsid w:val="00E46262"/>
    <w:rsid w:val="00E4628C"/>
    <w:rsid w:val="00E462E9"/>
    <w:rsid w:val="00E466C8"/>
    <w:rsid w:val="00E46ADE"/>
    <w:rsid w:val="00E46FF6"/>
    <w:rsid w:val="00E47071"/>
    <w:rsid w:val="00E470BC"/>
    <w:rsid w:val="00E473D6"/>
    <w:rsid w:val="00E475FB"/>
    <w:rsid w:val="00E479B4"/>
    <w:rsid w:val="00E5001C"/>
    <w:rsid w:val="00E5003F"/>
    <w:rsid w:val="00E507CD"/>
    <w:rsid w:val="00E508AB"/>
    <w:rsid w:val="00E51DB4"/>
    <w:rsid w:val="00E52E53"/>
    <w:rsid w:val="00E530B4"/>
    <w:rsid w:val="00E5316D"/>
    <w:rsid w:val="00E537FB"/>
    <w:rsid w:val="00E53C02"/>
    <w:rsid w:val="00E54265"/>
    <w:rsid w:val="00E544F5"/>
    <w:rsid w:val="00E548A0"/>
    <w:rsid w:val="00E548A5"/>
    <w:rsid w:val="00E549CE"/>
    <w:rsid w:val="00E54DC2"/>
    <w:rsid w:val="00E550FC"/>
    <w:rsid w:val="00E55231"/>
    <w:rsid w:val="00E55378"/>
    <w:rsid w:val="00E55BF4"/>
    <w:rsid w:val="00E56AD8"/>
    <w:rsid w:val="00E56EEF"/>
    <w:rsid w:val="00E57265"/>
    <w:rsid w:val="00E573CD"/>
    <w:rsid w:val="00E5743D"/>
    <w:rsid w:val="00E574BB"/>
    <w:rsid w:val="00E57C2E"/>
    <w:rsid w:val="00E57D7D"/>
    <w:rsid w:val="00E60613"/>
    <w:rsid w:val="00E60734"/>
    <w:rsid w:val="00E60A67"/>
    <w:rsid w:val="00E614C6"/>
    <w:rsid w:val="00E61766"/>
    <w:rsid w:val="00E6179A"/>
    <w:rsid w:val="00E617DC"/>
    <w:rsid w:val="00E61D55"/>
    <w:rsid w:val="00E62312"/>
    <w:rsid w:val="00E62416"/>
    <w:rsid w:val="00E63024"/>
    <w:rsid w:val="00E64212"/>
    <w:rsid w:val="00E64C69"/>
    <w:rsid w:val="00E65410"/>
    <w:rsid w:val="00E65970"/>
    <w:rsid w:val="00E66005"/>
    <w:rsid w:val="00E66018"/>
    <w:rsid w:val="00E6607E"/>
    <w:rsid w:val="00E664CE"/>
    <w:rsid w:val="00E66AAD"/>
    <w:rsid w:val="00E670E8"/>
    <w:rsid w:val="00E67593"/>
    <w:rsid w:val="00E67676"/>
    <w:rsid w:val="00E703B4"/>
    <w:rsid w:val="00E7043D"/>
    <w:rsid w:val="00E70D0B"/>
    <w:rsid w:val="00E70D99"/>
    <w:rsid w:val="00E70F71"/>
    <w:rsid w:val="00E70FEE"/>
    <w:rsid w:val="00E71138"/>
    <w:rsid w:val="00E71258"/>
    <w:rsid w:val="00E712E9"/>
    <w:rsid w:val="00E713E7"/>
    <w:rsid w:val="00E7146D"/>
    <w:rsid w:val="00E71CC7"/>
    <w:rsid w:val="00E71D19"/>
    <w:rsid w:val="00E72E7D"/>
    <w:rsid w:val="00E73357"/>
    <w:rsid w:val="00E73879"/>
    <w:rsid w:val="00E739F7"/>
    <w:rsid w:val="00E73C32"/>
    <w:rsid w:val="00E73F22"/>
    <w:rsid w:val="00E74B52"/>
    <w:rsid w:val="00E74EC7"/>
    <w:rsid w:val="00E74F5E"/>
    <w:rsid w:val="00E74FE1"/>
    <w:rsid w:val="00E75488"/>
    <w:rsid w:val="00E75C68"/>
    <w:rsid w:val="00E76335"/>
    <w:rsid w:val="00E76A0F"/>
    <w:rsid w:val="00E76E98"/>
    <w:rsid w:val="00E76EAF"/>
    <w:rsid w:val="00E7708F"/>
    <w:rsid w:val="00E7731E"/>
    <w:rsid w:val="00E80065"/>
    <w:rsid w:val="00E8008B"/>
    <w:rsid w:val="00E802D3"/>
    <w:rsid w:val="00E8050E"/>
    <w:rsid w:val="00E80D60"/>
    <w:rsid w:val="00E81487"/>
    <w:rsid w:val="00E81773"/>
    <w:rsid w:val="00E81B76"/>
    <w:rsid w:val="00E81F52"/>
    <w:rsid w:val="00E8260E"/>
    <w:rsid w:val="00E827E4"/>
    <w:rsid w:val="00E82897"/>
    <w:rsid w:val="00E82A89"/>
    <w:rsid w:val="00E83352"/>
    <w:rsid w:val="00E83791"/>
    <w:rsid w:val="00E8389A"/>
    <w:rsid w:val="00E83CB3"/>
    <w:rsid w:val="00E83DE6"/>
    <w:rsid w:val="00E84701"/>
    <w:rsid w:val="00E849F7"/>
    <w:rsid w:val="00E8501C"/>
    <w:rsid w:val="00E85B75"/>
    <w:rsid w:val="00E86047"/>
    <w:rsid w:val="00E86366"/>
    <w:rsid w:val="00E8661A"/>
    <w:rsid w:val="00E86687"/>
    <w:rsid w:val="00E8677D"/>
    <w:rsid w:val="00E86D0B"/>
    <w:rsid w:val="00E86D1F"/>
    <w:rsid w:val="00E86D4F"/>
    <w:rsid w:val="00E86E5F"/>
    <w:rsid w:val="00E87558"/>
    <w:rsid w:val="00E876A2"/>
    <w:rsid w:val="00E876C2"/>
    <w:rsid w:val="00E87EC8"/>
    <w:rsid w:val="00E9026B"/>
    <w:rsid w:val="00E90896"/>
    <w:rsid w:val="00E913CE"/>
    <w:rsid w:val="00E91B59"/>
    <w:rsid w:val="00E924E0"/>
    <w:rsid w:val="00E9271A"/>
    <w:rsid w:val="00E927AB"/>
    <w:rsid w:val="00E93872"/>
    <w:rsid w:val="00E9396A"/>
    <w:rsid w:val="00E93CCD"/>
    <w:rsid w:val="00E9404B"/>
    <w:rsid w:val="00E94050"/>
    <w:rsid w:val="00E943FA"/>
    <w:rsid w:val="00E94551"/>
    <w:rsid w:val="00E94A4D"/>
    <w:rsid w:val="00E94BD3"/>
    <w:rsid w:val="00E94C19"/>
    <w:rsid w:val="00E9501A"/>
    <w:rsid w:val="00E95034"/>
    <w:rsid w:val="00E952EB"/>
    <w:rsid w:val="00E95384"/>
    <w:rsid w:val="00E95580"/>
    <w:rsid w:val="00E95F56"/>
    <w:rsid w:val="00E96170"/>
    <w:rsid w:val="00E96670"/>
    <w:rsid w:val="00E969FF"/>
    <w:rsid w:val="00E96D16"/>
    <w:rsid w:val="00E9706E"/>
    <w:rsid w:val="00E9738F"/>
    <w:rsid w:val="00E97783"/>
    <w:rsid w:val="00E977B8"/>
    <w:rsid w:val="00E97AF3"/>
    <w:rsid w:val="00EA0007"/>
    <w:rsid w:val="00EA04E6"/>
    <w:rsid w:val="00EA0717"/>
    <w:rsid w:val="00EA0794"/>
    <w:rsid w:val="00EA13E3"/>
    <w:rsid w:val="00EA16B2"/>
    <w:rsid w:val="00EA1EA7"/>
    <w:rsid w:val="00EA2015"/>
    <w:rsid w:val="00EA2285"/>
    <w:rsid w:val="00EA292B"/>
    <w:rsid w:val="00EA2EC6"/>
    <w:rsid w:val="00EA31FB"/>
    <w:rsid w:val="00EA3638"/>
    <w:rsid w:val="00EA38C0"/>
    <w:rsid w:val="00EA402D"/>
    <w:rsid w:val="00EA437E"/>
    <w:rsid w:val="00EA438C"/>
    <w:rsid w:val="00EA4C8A"/>
    <w:rsid w:val="00EA4D2A"/>
    <w:rsid w:val="00EA4E7C"/>
    <w:rsid w:val="00EA4F6E"/>
    <w:rsid w:val="00EA5067"/>
    <w:rsid w:val="00EA50C8"/>
    <w:rsid w:val="00EA50D0"/>
    <w:rsid w:val="00EA5322"/>
    <w:rsid w:val="00EA54A6"/>
    <w:rsid w:val="00EA5DB8"/>
    <w:rsid w:val="00EA5EF1"/>
    <w:rsid w:val="00EA6322"/>
    <w:rsid w:val="00EA64AF"/>
    <w:rsid w:val="00EA64DC"/>
    <w:rsid w:val="00EA7343"/>
    <w:rsid w:val="00EA7F00"/>
    <w:rsid w:val="00EB0A56"/>
    <w:rsid w:val="00EB0B21"/>
    <w:rsid w:val="00EB12EF"/>
    <w:rsid w:val="00EB1366"/>
    <w:rsid w:val="00EB1AE4"/>
    <w:rsid w:val="00EB26DA"/>
    <w:rsid w:val="00EB39ED"/>
    <w:rsid w:val="00EB3C6D"/>
    <w:rsid w:val="00EB4047"/>
    <w:rsid w:val="00EB43FF"/>
    <w:rsid w:val="00EB4B54"/>
    <w:rsid w:val="00EB4EE0"/>
    <w:rsid w:val="00EB5239"/>
    <w:rsid w:val="00EB5263"/>
    <w:rsid w:val="00EB5D1D"/>
    <w:rsid w:val="00EB5E2C"/>
    <w:rsid w:val="00EB632C"/>
    <w:rsid w:val="00EB6518"/>
    <w:rsid w:val="00EB696C"/>
    <w:rsid w:val="00EB6B8F"/>
    <w:rsid w:val="00EB6CC9"/>
    <w:rsid w:val="00EB7093"/>
    <w:rsid w:val="00EB70E0"/>
    <w:rsid w:val="00EB7346"/>
    <w:rsid w:val="00EB7A0A"/>
    <w:rsid w:val="00EB7D46"/>
    <w:rsid w:val="00EB7E62"/>
    <w:rsid w:val="00EC0087"/>
    <w:rsid w:val="00EC08AC"/>
    <w:rsid w:val="00EC0BD7"/>
    <w:rsid w:val="00EC0C78"/>
    <w:rsid w:val="00EC1257"/>
    <w:rsid w:val="00EC1806"/>
    <w:rsid w:val="00EC1939"/>
    <w:rsid w:val="00EC1955"/>
    <w:rsid w:val="00EC1C6A"/>
    <w:rsid w:val="00EC1F90"/>
    <w:rsid w:val="00EC1FC6"/>
    <w:rsid w:val="00EC21AF"/>
    <w:rsid w:val="00EC253D"/>
    <w:rsid w:val="00EC28BD"/>
    <w:rsid w:val="00EC2F35"/>
    <w:rsid w:val="00EC336F"/>
    <w:rsid w:val="00EC344C"/>
    <w:rsid w:val="00EC3637"/>
    <w:rsid w:val="00EC38C6"/>
    <w:rsid w:val="00EC3BCC"/>
    <w:rsid w:val="00EC3C36"/>
    <w:rsid w:val="00EC4582"/>
    <w:rsid w:val="00EC47AD"/>
    <w:rsid w:val="00EC4DCB"/>
    <w:rsid w:val="00EC52F0"/>
    <w:rsid w:val="00EC541F"/>
    <w:rsid w:val="00EC54A6"/>
    <w:rsid w:val="00EC5DC6"/>
    <w:rsid w:val="00EC6810"/>
    <w:rsid w:val="00EC6861"/>
    <w:rsid w:val="00EC6D7C"/>
    <w:rsid w:val="00EC6DBD"/>
    <w:rsid w:val="00EC788E"/>
    <w:rsid w:val="00ED01FB"/>
    <w:rsid w:val="00ED06E8"/>
    <w:rsid w:val="00ED08A6"/>
    <w:rsid w:val="00ED0F00"/>
    <w:rsid w:val="00ED149B"/>
    <w:rsid w:val="00ED1754"/>
    <w:rsid w:val="00ED1BA7"/>
    <w:rsid w:val="00ED1F0E"/>
    <w:rsid w:val="00ED1F87"/>
    <w:rsid w:val="00ED1FCC"/>
    <w:rsid w:val="00ED2047"/>
    <w:rsid w:val="00ED269F"/>
    <w:rsid w:val="00ED293A"/>
    <w:rsid w:val="00ED2C75"/>
    <w:rsid w:val="00ED2E76"/>
    <w:rsid w:val="00ED3F5B"/>
    <w:rsid w:val="00ED4304"/>
    <w:rsid w:val="00ED49CF"/>
    <w:rsid w:val="00ED55D9"/>
    <w:rsid w:val="00ED5DB1"/>
    <w:rsid w:val="00ED61D3"/>
    <w:rsid w:val="00ED62E4"/>
    <w:rsid w:val="00ED6660"/>
    <w:rsid w:val="00ED7C53"/>
    <w:rsid w:val="00EE0086"/>
    <w:rsid w:val="00EE1B0E"/>
    <w:rsid w:val="00EE1B89"/>
    <w:rsid w:val="00EE22E8"/>
    <w:rsid w:val="00EE2CF2"/>
    <w:rsid w:val="00EE2D9A"/>
    <w:rsid w:val="00EE30E6"/>
    <w:rsid w:val="00EE3288"/>
    <w:rsid w:val="00EE337F"/>
    <w:rsid w:val="00EE3F7C"/>
    <w:rsid w:val="00EE3FEE"/>
    <w:rsid w:val="00EE411D"/>
    <w:rsid w:val="00EE41BB"/>
    <w:rsid w:val="00EE4625"/>
    <w:rsid w:val="00EE4B0C"/>
    <w:rsid w:val="00EE5742"/>
    <w:rsid w:val="00EE57EB"/>
    <w:rsid w:val="00EE5933"/>
    <w:rsid w:val="00EE5EB2"/>
    <w:rsid w:val="00EE6023"/>
    <w:rsid w:val="00EE6818"/>
    <w:rsid w:val="00EE6FA5"/>
    <w:rsid w:val="00EE72CD"/>
    <w:rsid w:val="00EE7331"/>
    <w:rsid w:val="00EE746F"/>
    <w:rsid w:val="00EE7739"/>
    <w:rsid w:val="00EF0762"/>
    <w:rsid w:val="00EF0859"/>
    <w:rsid w:val="00EF10E4"/>
    <w:rsid w:val="00EF1431"/>
    <w:rsid w:val="00EF1EE8"/>
    <w:rsid w:val="00EF2CEB"/>
    <w:rsid w:val="00EF2E55"/>
    <w:rsid w:val="00EF3352"/>
    <w:rsid w:val="00EF3358"/>
    <w:rsid w:val="00EF3538"/>
    <w:rsid w:val="00EF3DB4"/>
    <w:rsid w:val="00EF4F03"/>
    <w:rsid w:val="00EF5CEE"/>
    <w:rsid w:val="00EF6166"/>
    <w:rsid w:val="00EF6A7B"/>
    <w:rsid w:val="00EF6CE5"/>
    <w:rsid w:val="00EF70F4"/>
    <w:rsid w:val="00EF7BC0"/>
    <w:rsid w:val="00F00033"/>
    <w:rsid w:val="00F003B6"/>
    <w:rsid w:val="00F00974"/>
    <w:rsid w:val="00F00A82"/>
    <w:rsid w:val="00F016C7"/>
    <w:rsid w:val="00F018E2"/>
    <w:rsid w:val="00F01F11"/>
    <w:rsid w:val="00F0201C"/>
    <w:rsid w:val="00F02339"/>
    <w:rsid w:val="00F0243B"/>
    <w:rsid w:val="00F02533"/>
    <w:rsid w:val="00F02998"/>
    <w:rsid w:val="00F02D84"/>
    <w:rsid w:val="00F03D8F"/>
    <w:rsid w:val="00F04350"/>
    <w:rsid w:val="00F04455"/>
    <w:rsid w:val="00F044DF"/>
    <w:rsid w:val="00F04CFF"/>
    <w:rsid w:val="00F04FC4"/>
    <w:rsid w:val="00F05D6F"/>
    <w:rsid w:val="00F05D72"/>
    <w:rsid w:val="00F05F1E"/>
    <w:rsid w:val="00F066F0"/>
    <w:rsid w:val="00F06A81"/>
    <w:rsid w:val="00F06D27"/>
    <w:rsid w:val="00F07CDC"/>
    <w:rsid w:val="00F10281"/>
    <w:rsid w:val="00F10B0E"/>
    <w:rsid w:val="00F10FED"/>
    <w:rsid w:val="00F111D2"/>
    <w:rsid w:val="00F11F52"/>
    <w:rsid w:val="00F11FE8"/>
    <w:rsid w:val="00F12784"/>
    <w:rsid w:val="00F12A04"/>
    <w:rsid w:val="00F12AB6"/>
    <w:rsid w:val="00F12C31"/>
    <w:rsid w:val="00F12C87"/>
    <w:rsid w:val="00F13107"/>
    <w:rsid w:val="00F13150"/>
    <w:rsid w:val="00F13361"/>
    <w:rsid w:val="00F136C8"/>
    <w:rsid w:val="00F13D00"/>
    <w:rsid w:val="00F14213"/>
    <w:rsid w:val="00F14528"/>
    <w:rsid w:val="00F149CE"/>
    <w:rsid w:val="00F151D5"/>
    <w:rsid w:val="00F15264"/>
    <w:rsid w:val="00F15364"/>
    <w:rsid w:val="00F15998"/>
    <w:rsid w:val="00F15D14"/>
    <w:rsid w:val="00F15E81"/>
    <w:rsid w:val="00F164A0"/>
    <w:rsid w:val="00F16CFB"/>
    <w:rsid w:val="00F16F4E"/>
    <w:rsid w:val="00F1716D"/>
    <w:rsid w:val="00F172F2"/>
    <w:rsid w:val="00F173E5"/>
    <w:rsid w:val="00F173E6"/>
    <w:rsid w:val="00F17689"/>
    <w:rsid w:val="00F17EA4"/>
    <w:rsid w:val="00F20404"/>
    <w:rsid w:val="00F20620"/>
    <w:rsid w:val="00F2077F"/>
    <w:rsid w:val="00F207E4"/>
    <w:rsid w:val="00F2083F"/>
    <w:rsid w:val="00F2091A"/>
    <w:rsid w:val="00F21205"/>
    <w:rsid w:val="00F214FC"/>
    <w:rsid w:val="00F217BA"/>
    <w:rsid w:val="00F21ABC"/>
    <w:rsid w:val="00F2200F"/>
    <w:rsid w:val="00F223F6"/>
    <w:rsid w:val="00F228F3"/>
    <w:rsid w:val="00F229F6"/>
    <w:rsid w:val="00F22AFE"/>
    <w:rsid w:val="00F22DA0"/>
    <w:rsid w:val="00F23873"/>
    <w:rsid w:val="00F23F15"/>
    <w:rsid w:val="00F245E8"/>
    <w:rsid w:val="00F246B6"/>
    <w:rsid w:val="00F2490E"/>
    <w:rsid w:val="00F24986"/>
    <w:rsid w:val="00F24A3D"/>
    <w:rsid w:val="00F24A93"/>
    <w:rsid w:val="00F25729"/>
    <w:rsid w:val="00F25E3A"/>
    <w:rsid w:val="00F265A4"/>
    <w:rsid w:val="00F26C77"/>
    <w:rsid w:val="00F26EBD"/>
    <w:rsid w:val="00F2753C"/>
    <w:rsid w:val="00F277C1"/>
    <w:rsid w:val="00F27EEA"/>
    <w:rsid w:val="00F303B9"/>
    <w:rsid w:val="00F309BE"/>
    <w:rsid w:val="00F30DE3"/>
    <w:rsid w:val="00F3136F"/>
    <w:rsid w:val="00F31A54"/>
    <w:rsid w:val="00F31C1C"/>
    <w:rsid w:val="00F32060"/>
    <w:rsid w:val="00F3214C"/>
    <w:rsid w:val="00F32219"/>
    <w:rsid w:val="00F3287E"/>
    <w:rsid w:val="00F32C23"/>
    <w:rsid w:val="00F32FC7"/>
    <w:rsid w:val="00F3381E"/>
    <w:rsid w:val="00F33FB9"/>
    <w:rsid w:val="00F34283"/>
    <w:rsid w:val="00F344C8"/>
    <w:rsid w:val="00F34ECB"/>
    <w:rsid w:val="00F356E4"/>
    <w:rsid w:val="00F3585B"/>
    <w:rsid w:val="00F359A7"/>
    <w:rsid w:val="00F35AA1"/>
    <w:rsid w:val="00F35B12"/>
    <w:rsid w:val="00F35B39"/>
    <w:rsid w:val="00F35F17"/>
    <w:rsid w:val="00F364DA"/>
    <w:rsid w:val="00F3654E"/>
    <w:rsid w:val="00F36753"/>
    <w:rsid w:val="00F36DE2"/>
    <w:rsid w:val="00F37631"/>
    <w:rsid w:val="00F37AC9"/>
    <w:rsid w:val="00F37BDD"/>
    <w:rsid w:val="00F400A1"/>
    <w:rsid w:val="00F402EF"/>
    <w:rsid w:val="00F403E6"/>
    <w:rsid w:val="00F40AE1"/>
    <w:rsid w:val="00F40BA3"/>
    <w:rsid w:val="00F40D43"/>
    <w:rsid w:val="00F41437"/>
    <w:rsid w:val="00F41BF2"/>
    <w:rsid w:val="00F425C7"/>
    <w:rsid w:val="00F42A3C"/>
    <w:rsid w:val="00F42E33"/>
    <w:rsid w:val="00F437CD"/>
    <w:rsid w:val="00F43861"/>
    <w:rsid w:val="00F456B1"/>
    <w:rsid w:val="00F45FD7"/>
    <w:rsid w:val="00F46A31"/>
    <w:rsid w:val="00F46B12"/>
    <w:rsid w:val="00F47089"/>
    <w:rsid w:val="00F47703"/>
    <w:rsid w:val="00F4779F"/>
    <w:rsid w:val="00F504E0"/>
    <w:rsid w:val="00F512C3"/>
    <w:rsid w:val="00F51459"/>
    <w:rsid w:val="00F519B9"/>
    <w:rsid w:val="00F51D9F"/>
    <w:rsid w:val="00F51E6B"/>
    <w:rsid w:val="00F522A0"/>
    <w:rsid w:val="00F522AA"/>
    <w:rsid w:val="00F52306"/>
    <w:rsid w:val="00F52490"/>
    <w:rsid w:val="00F52590"/>
    <w:rsid w:val="00F526C2"/>
    <w:rsid w:val="00F5273C"/>
    <w:rsid w:val="00F52C6A"/>
    <w:rsid w:val="00F52D41"/>
    <w:rsid w:val="00F532AF"/>
    <w:rsid w:val="00F5338F"/>
    <w:rsid w:val="00F53556"/>
    <w:rsid w:val="00F537BB"/>
    <w:rsid w:val="00F537DA"/>
    <w:rsid w:val="00F54144"/>
    <w:rsid w:val="00F5414C"/>
    <w:rsid w:val="00F54155"/>
    <w:rsid w:val="00F55C4B"/>
    <w:rsid w:val="00F5679F"/>
    <w:rsid w:val="00F5682A"/>
    <w:rsid w:val="00F56863"/>
    <w:rsid w:val="00F56AF2"/>
    <w:rsid w:val="00F56F6E"/>
    <w:rsid w:val="00F576D9"/>
    <w:rsid w:val="00F57789"/>
    <w:rsid w:val="00F60034"/>
    <w:rsid w:val="00F619BE"/>
    <w:rsid w:val="00F61F77"/>
    <w:rsid w:val="00F622C8"/>
    <w:rsid w:val="00F629FA"/>
    <w:rsid w:val="00F62BF1"/>
    <w:rsid w:val="00F62CC4"/>
    <w:rsid w:val="00F62E59"/>
    <w:rsid w:val="00F62EEB"/>
    <w:rsid w:val="00F636C8"/>
    <w:rsid w:val="00F63778"/>
    <w:rsid w:val="00F6391C"/>
    <w:rsid w:val="00F63E24"/>
    <w:rsid w:val="00F63FDA"/>
    <w:rsid w:val="00F64029"/>
    <w:rsid w:val="00F641BD"/>
    <w:rsid w:val="00F6430A"/>
    <w:rsid w:val="00F64D1A"/>
    <w:rsid w:val="00F64F44"/>
    <w:rsid w:val="00F6568F"/>
    <w:rsid w:val="00F658B3"/>
    <w:rsid w:val="00F65C19"/>
    <w:rsid w:val="00F663EF"/>
    <w:rsid w:val="00F66445"/>
    <w:rsid w:val="00F664D3"/>
    <w:rsid w:val="00F66738"/>
    <w:rsid w:val="00F66758"/>
    <w:rsid w:val="00F6699C"/>
    <w:rsid w:val="00F66D8D"/>
    <w:rsid w:val="00F67089"/>
    <w:rsid w:val="00F6738A"/>
    <w:rsid w:val="00F679AE"/>
    <w:rsid w:val="00F679F8"/>
    <w:rsid w:val="00F67A4F"/>
    <w:rsid w:val="00F67AC0"/>
    <w:rsid w:val="00F67DB4"/>
    <w:rsid w:val="00F70523"/>
    <w:rsid w:val="00F7077C"/>
    <w:rsid w:val="00F70AA5"/>
    <w:rsid w:val="00F70EF7"/>
    <w:rsid w:val="00F71A20"/>
    <w:rsid w:val="00F72099"/>
    <w:rsid w:val="00F724CF"/>
    <w:rsid w:val="00F725C7"/>
    <w:rsid w:val="00F728AD"/>
    <w:rsid w:val="00F731C5"/>
    <w:rsid w:val="00F73461"/>
    <w:rsid w:val="00F73969"/>
    <w:rsid w:val="00F73973"/>
    <w:rsid w:val="00F73C96"/>
    <w:rsid w:val="00F74C39"/>
    <w:rsid w:val="00F74F2A"/>
    <w:rsid w:val="00F74FC4"/>
    <w:rsid w:val="00F75024"/>
    <w:rsid w:val="00F754B3"/>
    <w:rsid w:val="00F75579"/>
    <w:rsid w:val="00F75B19"/>
    <w:rsid w:val="00F75DCC"/>
    <w:rsid w:val="00F760A8"/>
    <w:rsid w:val="00F761B2"/>
    <w:rsid w:val="00F76276"/>
    <w:rsid w:val="00F7647A"/>
    <w:rsid w:val="00F76E68"/>
    <w:rsid w:val="00F77162"/>
    <w:rsid w:val="00F77245"/>
    <w:rsid w:val="00F77309"/>
    <w:rsid w:val="00F7759B"/>
    <w:rsid w:val="00F775EC"/>
    <w:rsid w:val="00F77763"/>
    <w:rsid w:val="00F77D44"/>
    <w:rsid w:val="00F77E05"/>
    <w:rsid w:val="00F77E3B"/>
    <w:rsid w:val="00F8096A"/>
    <w:rsid w:val="00F80BD6"/>
    <w:rsid w:val="00F80C59"/>
    <w:rsid w:val="00F80D7D"/>
    <w:rsid w:val="00F80DE8"/>
    <w:rsid w:val="00F80EC3"/>
    <w:rsid w:val="00F81088"/>
    <w:rsid w:val="00F81994"/>
    <w:rsid w:val="00F81CEE"/>
    <w:rsid w:val="00F81D95"/>
    <w:rsid w:val="00F82A40"/>
    <w:rsid w:val="00F82D5D"/>
    <w:rsid w:val="00F82EEB"/>
    <w:rsid w:val="00F82FF5"/>
    <w:rsid w:val="00F833E8"/>
    <w:rsid w:val="00F83C41"/>
    <w:rsid w:val="00F83D5A"/>
    <w:rsid w:val="00F840D5"/>
    <w:rsid w:val="00F84485"/>
    <w:rsid w:val="00F8449C"/>
    <w:rsid w:val="00F844D5"/>
    <w:rsid w:val="00F8451E"/>
    <w:rsid w:val="00F84529"/>
    <w:rsid w:val="00F8473D"/>
    <w:rsid w:val="00F848DA"/>
    <w:rsid w:val="00F85391"/>
    <w:rsid w:val="00F85776"/>
    <w:rsid w:val="00F85AC7"/>
    <w:rsid w:val="00F85EAD"/>
    <w:rsid w:val="00F86295"/>
    <w:rsid w:val="00F86406"/>
    <w:rsid w:val="00F8679A"/>
    <w:rsid w:val="00F86C90"/>
    <w:rsid w:val="00F86F10"/>
    <w:rsid w:val="00F87B60"/>
    <w:rsid w:val="00F87E1E"/>
    <w:rsid w:val="00F90986"/>
    <w:rsid w:val="00F909DA"/>
    <w:rsid w:val="00F91ACA"/>
    <w:rsid w:val="00F92269"/>
    <w:rsid w:val="00F92485"/>
    <w:rsid w:val="00F925F3"/>
    <w:rsid w:val="00F926A9"/>
    <w:rsid w:val="00F92D0F"/>
    <w:rsid w:val="00F92DB5"/>
    <w:rsid w:val="00F9344E"/>
    <w:rsid w:val="00F934C3"/>
    <w:rsid w:val="00F93710"/>
    <w:rsid w:val="00F93FCB"/>
    <w:rsid w:val="00F93FE8"/>
    <w:rsid w:val="00F9464A"/>
    <w:rsid w:val="00F95085"/>
    <w:rsid w:val="00F950A3"/>
    <w:rsid w:val="00F95139"/>
    <w:rsid w:val="00F954EB"/>
    <w:rsid w:val="00F95519"/>
    <w:rsid w:val="00F95977"/>
    <w:rsid w:val="00F95F54"/>
    <w:rsid w:val="00F960FC"/>
    <w:rsid w:val="00F9632D"/>
    <w:rsid w:val="00F96E0B"/>
    <w:rsid w:val="00F96ED2"/>
    <w:rsid w:val="00F9720C"/>
    <w:rsid w:val="00F97312"/>
    <w:rsid w:val="00F97314"/>
    <w:rsid w:val="00F973FE"/>
    <w:rsid w:val="00F97511"/>
    <w:rsid w:val="00F97895"/>
    <w:rsid w:val="00F97BC8"/>
    <w:rsid w:val="00F97F16"/>
    <w:rsid w:val="00FA0108"/>
    <w:rsid w:val="00FA025D"/>
    <w:rsid w:val="00FA049D"/>
    <w:rsid w:val="00FA0F6C"/>
    <w:rsid w:val="00FA1A6B"/>
    <w:rsid w:val="00FA1B1A"/>
    <w:rsid w:val="00FA1EA2"/>
    <w:rsid w:val="00FA23BC"/>
    <w:rsid w:val="00FA281A"/>
    <w:rsid w:val="00FA2AD2"/>
    <w:rsid w:val="00FA2BF1"/>
    <w:rsid w:val="00FA2E0E"/>
    <w:rsid w:val="00FA3872"/>
    <w:rsid w:val="00FA3910"/>
    <w:rsid w:val="00FA44DE"/>
    <w:rsid w:val="00FA4671"/>
    <w:rsid w:val="00FA47ED"/>
    <w:rsid w:val="00FA586C"/>
    <w:rsid w:val="00FA61D0"/>
    <w:rsid w:val="00FA6FD8"/>
    <w:rsid w:val="00FA7277"/>
    <w:rsid w:val="00FA75CD"/>
    <w:rsid w:val="00FA76C2"/>
    <w:rsid w:val="00FA793A"/>
    <w:rsid w:val="00FA7BA2"/>
    <w:rsid w:val="00FA7D42"/>
    <w:rsid w:val="00FA7F65"/>
    <w:rsid w:val="00FB05AC"/>
    <w:rsid w:val="00FB09E9"/>
    <w:rsid w:val="00FB19AB"/>
    <w:rsid w:val="00FB1A48"/>
    <w:rsid w:val="00FB21A2"/>
    <w:rsid w:val="00FB23B1"/>
    <w:rsid w:val="00FB25D3"/>
    <w:rsid w:val="00FB2964"/>
    <w:rsid w:val="00FB2C7C"/>
    <w:rsid w:val="00FB352D"/>
    <w:rsid w:val="00FB3601"/>
    <w:rsid w:val="00FB44EB"/>
    <w:rsid w:val="00FB46F0"/>
    <w:rsid w:val="00FB4828"/>
    <w:rsid w:val="00FB48EE"/>
    <w:rsid w:val="00FB49FB"/>
    <w:rsid w:val="00FB4AE6"/>
    <w:rsid w:val="00FB4CFE"/>
    <w:rsid w:val="00FB508D"/>
    <w:rsid w:val="00FB5819"/>
    <w:rsid w:val="00FB5910"/>
    <w:rsid w:val="00FB5CE6"/>
    <w:rsid w:val="00FB668D"/>
    <w:rsid w:val="00FB66E6"/>
    <w:rsid w:val="00FB66EA"/>
    <w:rsid w:val="00FB67A8"/>
    <w:rsid w:val="00FB69C8"/>
    <w:rsid w:val="00FC03D0"/>
    <w:rsid w:val="00FC048A"/>
    <w:rsid w:val="00FC058D"/>
    <w:rsid w:val="00FC079F"/>
    <w:rsid w:val="00FC0E9A"/>
    <w:rsid w:val="00FC0ED6"/>
    <w:rsid w:val="00FC13EC"/>
    <w:rsid w:val="00FC149A"/>
    <w:rsid w:val="00FC16F3"/>
    <w:rsid w:val="00FC1955"/>
    <w:rsid w:val="00FC2730"/>
    <w:rsid w:val="00FC27F4"/>
    <w:rsid w:val="00FC304B"/>
    <w:rsid w:val="00FC31D9"/>
    <w:rsid w:val="00FC346D"/>
    <w:rsid w:val="00FC373E"/>
    <w:rsid w:val="00FC3FFD"/>
    <w:rsid w:val="00FC4521"/>
    <w:rsid w:val="00FC4590"/>
    <w:rsid w:val="00FC4A5B"/>
    <w:rsid w:val="00FC4CBE"/>
    <w:rsid w:val="00FC5624"/>
    <w:rsid w:val="00FC5652"/>
    <w:rsid w:val="00FC5670"/>
    <w:rsid w:val="00FC5828"/>
    <w:rsid w:val="00FC5995"/>
    <w:rsid w:val="00FC5B29"/>
    <w:rsid w:val="00FC6229"/>
    <w:rsid w:val="00FC6265"/>
    <w:rsid w:val="00FC6404"/>
    <w:rsid w:val="00FC69BE"/>
    <w:rsid w:val="00FC6C3C"/>
    <w:rsid w:val="00FC730C"/>
    <w:rsid w:val="00FD0828"/>
    <w:rsid w:val="00FD0E2F"/>
    <w:rsid w:val="00FD11BB"/>
    <w:rsid w:val="00FD1511"/>
    <w:rsid w:val="00FD1D0A"/>
    <w:rsid w:val="00FD2103"/>
    <w:rsid w:val="00FD2672"/>
    <w:rsid w:val="00FD2774"/>
    <w:rsid w:val="00FD3C58"/>
    <w:rsid w:val="00FD4637"/>
    <w:rsid w:val="00FD4656"/>
    <w:rsid w:val="00FD4BDC"/>
    <w:rsid w:val="00FD4F82"/>
    <w:rsid w:val="00FD59FC"/>
    <w:rsid w:val="00FD68EF"/>
    <w:rsid w:val="00FD6B4C"/>
    <w:rsid w:val="00FD6E04"/>
    <w:rsid w:val="00FD74F3"/>
    <w:rsid w:val="00FD77CD"/>
    <w:rsid w:val="00FD7895"/>
    <w:rsid w:val="00FE0280"/>
    <w:rsid w:val="00FE03A7"/>
    <w:rsid w:val="00FE05C6"/>
    <w:rsid w:val="00FE0637"/>
    <w:rsid w:val="00FE08C1"/>
    <w:rsid w:val="00FE0B73"/>
    <w:rsid w:val="00FE0F00"/>
    <w:rsid w:val="00FE10BB"/>
    <w:rsid w:val="00FE1AAE"/>
    <w:rsid w:val="00FE2009"/>
    <w:rsid w:val="00FE2BE5"/>
    <w:rsid w:val="00FE2CED"/>
    <w:rsid w:val="00FE3326"/>
    <w:rsid w:val="00FE3CB2"/>
    <w:rsid w:val="00FE41C2"/>
    <w:rsid w:val="00FE4339"/>
    <w:rsid w:val="00FE44D1"/>
    <w:rsid w:val="00FE476D"/>
    <w:rsid w:val="00FE4A98"/>
    <w:rsid w:val="00FE4B67"/>
    <w:rsid w:val="00FE4E6D"/>
    <w:rsid w:val="00FE5382"/>
    <w:rsid w:val="00FE5471"/>
    <w:rsid w:val="00FE556F"/>
    <w:rsid w:val="00FE5717"/>
    <w:rsid w:val="00FE578E"/>
    <w:rsid w:val="00FE5F09"/>
    <w:rsid w:val="00FE62FB"/>
    <w:rsid w:val="00FE676A"/>
    <w:rsid w:val="00FE6E7A"/>
    <w:rsid w:val="00FE72A6"/>
    <w:rsid w:val="00FE72B4"/>
    <w:rsid w:val="00FE7770"/>
    <w:rsid w:val="00FE79C3"/>
    <w:rsid w:val="00FE7AFA"/>
    <w:rsid w:val="00FE7DEB"/>
    <w:rsid w:val="00FF00A0"/>
    <w:rsid w:val="00FF061D"/>
    <w:rsid w:val="00FF0E14"/>
    <w:rsid w:val="00FF0FAF"/>
    <w:rsid w:val="00FF1136"/>
    <w:rsid w:val="00FF135C"/>
    <w:rsid w:val="00FF1380"/>
    <w:rsid w:val="00FF13B0"/>
    <w:rsid w:val="00FF1BD2"/>
    <w:rsid w:val="00FF1C6E"/>
    <w:rsid w:val="00FF1FF6"/>
    <w:rsid w:val="00FF226F"/>
    <w:rsid w:val="00FF22F3"/>
    <w:rsid w:val="00FF29A0"/>
    <w:rsid w:val="00FF2E02"/>
    <w:rsid w:val="00FF2F1D"/>
    <w:rsid w:val="00FF3409"/>
    <w:rsid w:val="00FF3D8B"/>
    <w:rsid w:val="00FF40C6"/>
    <w:rsid w:val="00FF49BB"/>
    <w:rsid w:val="00FF4C49"/>
    <w:rsid w:val="00FF5253"/>
    <w:rsid w:val="00FF613F"/>
    <w:rsid w:val="00FF6557"/>
    <w:rsid w:val="00FF682E"/>
    <w:rsid w:val="00FF69FA"/>
    <w:rsid w:val="00FF7214"/>
    <w:rsid w:val="22AE4239"/>
    <w:rsid w:val="25CE6D20"/>
    <w:rsid w:val="3CC38F1A"/>
    <w:rsid w:val="42E5841D"/>
    <w:rsid w:val="4F1BA812"/>
    <w:rsid w:val="55D481E1"/>
    <w:rsid w:val="6C610620"/>
    <w:rsid w:val="7F7692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B6436C"/>
  <w15:docId w15:val="{CE0F9FAF-6F45-4EDB-BA18-6C02DFDB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DC8"/>
    <w:rPr>
      <w:rFonts w:ascii="Arial" w:hAnsi="Arial"/>
      <w:sz w:val="24"/>
      <w:szCs w:val="24"/>
      <w:lang w:eastAsia="en-US"/>
    </w:rPr>
  </w:style>
  <w:style w:type="paragraph" w:styleId="Heading1">
    <w:name w:val="heading 1"/>
    <w:basedOn w:val="Normal"/>
    <w:next w:val="Normal"/>
    <w:link w:val="Heading1Char"/>
    <w:qFormat/>
    <w:rsid w:val="002E72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578D8"/>
    <w:pPr>
      <w:keepNext/>
      <w:spacing w:before="240" w:after="60"/>
      <w:outlineLvl w:val="1"/>
    </w:pPr>
    <w:rPr>
      <w:rFonts w:cs="Arial"/>
      <w:b/>
      <w:bCs/>
      <w:i/>
      <w:iCs/>
      <w:sz w:val="28"/>
      <w:szCs w:val="28"/>
    </w:rPr>
  </w:style>
  <w:style w:type="paragraph" w:styleId="Heading3">
    <w:name w:val="heading 3"/>
    <w:basedOn w:val="Normal"/>
    <w:next w:val="Normal"/>
    <w:link w:val="Heading3Char"/>
    <w:unhideWhenUsed/>
    <w:qFormat/>
    <w:rsid w:val="002E72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A7340E"/>
    <w:pPr>
      <w:spacing w:before="240" w:after="60"/>
      <w:outlineLvl w:val="3"/>
    </w:pPr>
    <w:rPr>
      <w:b/>
    </w:rPr>
  </w:style>
  <w:style w:type="paragraph" w:styleId="Heading5">
    <w:name w:val="heading 5"/>
    <w:basedOn w:val="Normal"/>
    <w:next w:val="Normal"/>
    <w:link w:val="Heading5Char"/>
    <w:unhideWhenUsed/>
    <w:qFormat/>
    <w:rsid w:val="0016034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A7340E"/>
  </w:style>
  <w:style w:type="paragraph" w:customStyle="1" w:styleId="HorizontalLine">
    <w:name w:val="Horizontal Line"/>
    <w:basedOn w:val="Normal"/>
    <w:rsid w:val="00A7340E"/>
  </w:style>
  <w:style w:type="paragraph" w:customStyle="1" w:styleId="ParagraphImageWrapLeft">
    <w:name w:val="Paragraph Image Wrap Left"/>
    <w:basedOn w:val="Normal"/>
    <w:rsid w:val="00A7340E"/>
  </w:style>
  <w:style w:type="paragraph" w:customStyle="1" w:styleId="ParagraphImageWrapRight">
    <w:name w:val="Paragraph Image Wrap Right"/>
    <w:basedOn w:val="Normal"/>
    <w:rsid w:val="00A7340E"/>
  </w:style>
  <w:style w:type="paragraph" w:customStyle="1" w:styleId="Summary">
    <w:name w:val="Summary"/>
    <w:basedOn w:val="Normal"/>
    <w:rsid w:val="00A7340E"/>
    <w:pPr>
      <w:spacing w:after="77"/>
      <w:ind w:left="129" w:right="129"/>
    </w:pPr>
    <w:rPr>
      <w:rFonts w:ascii="Verdana" w:hAnsi="Verdana"/>
      <w:color w:val="666666"/>
      <w:sz w:val="15"/>
      <w:szCs w:val="15"/>
      <w:lang w:eastAsia="en-GB"/>
    </w:rPr>
  </w:style>
  <w:style w:type="table" w:customStyle="1" w:styleId="TableDFID">
    <w:name w:val="Table DFID"/>
    <w:basedOn w:val="TableNormal"/>
    <w:rsid w:val="00A7340E"/>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A7340E"/>
  </w:style>
  <w:style w:type="paragraph" w:customStyle="1" w:styleId="TableDFIDStart">
    <w:name w:val="Table DFID Start"/>
    <w:basedOn w:val="Normal"/>
    <w:rsid w:val="00A7340E"/>
  </w:style>
  <w:style w:type="paragraph" w:customStyle="1" w:styleId="TableHeadings">
    <w:name w:val="Table Headings"/>
    <w:basedOn w:val="Normal"/>
    <w:rsid w:val="00A7340E"/>
    <w:pPr>
      <w:spacing w:after="79"/>
    </w:pPr>
    <w:rPr>
      <w:b/>
      <w:bCs/>
      <w:color w:val="FFFFFF"/>
      <w:szCs w:val="20"/>
      <w:lang w:eastAsia="en-GB"/>
    </w:rPr>
  </w:style>
  <w:style w:type="table" w:customStyle="1" w:styleId="TableLayout">
    <w:name w:val="Table Layout"/>
    <w:basedOn w:val="TableNormal"/>
    <w:rsid w:val="00A7340E"/>
    <w:tblPr/>
  </w:style>
  <w:style w:type="character" w:styleId="CommentReference">
    <w:name w:val="annotation reference"/>
    <w:uiPriority w:val="99"/>
    <w:rsid w:val="0039040B"/>
    <w:rPr>
      <w:sz w:val="16"/>
      <w:szCs w:val="16"/>
    </w:rPr>
  </w:style>
  <w:style w:type="paragraph" w:styleId="CommentText">
    <w:name w:val="annotation text"/>
    <w:basedOn w:val="Normal"/>
    <w:link w:val="CommentTextChar"/>
    <w:uiPriority w:val="99"/>
    <w:rsid w:val="0039040B"/>
    <w:rPr>
      <w:sz w:val="20"/>
      <w:szCs w:val="20"/>
    </w:rPr>
  </w:style>
  <w:style w:type="paragraph" w:styleId="CommentSubject">
    <w:name w:val="annotation subject"/>
    <w:basedOn w:val="CommentText"/>
    <w:next w:val="CommentText"/>
    <w:link w:val="CommentSubjectChar"/>
    <w:uiPriority w:val="99"/>
    <w:semiHidden/>
    <w:rsid w:val="0039040B"/>
    <w:rPr>
      <w:b/>
      <w:bCs/>
    </w:rPr>
  </w:style>
  <w:style w:type="paragraph" w:styleId="BalloonText">
    <w:name w:val="Balloon Text"/>
    <w:basedOn w:val="Normal"/>
    <w:semiHidden/>
    <w:rsid w:val="0039040B"/>
    <w:rPr>
      <w:rFonts w:ascii="Tahoma" w:hAnsi="Tahoma" w:cs="Tahoma"/>
      <w:sz w:val="16"/>
      <w:szCs w:val="16"/>
    </w:rPr>
  </w:style>
  <w:style w:type="paragraph" w:customStyle="1" w:styleId="Char">
    <w:name w:val="Char"/>
    <w:basedOn w:val="Normal"/>
    <w:rsid w:val="00A578D8"/>
    <w:pPr>
      <w:spacing w:after="160" w:line="240" w:lineRule="exact"/>
    </w:pPr>
    <w:rPr>
      <w:rFonts w:ascii="Verdana" w:hAnsi="Verdana"/>
      <w:sz w:val="20"/>
      <w:szCs w:val="20"/>
      <w:lang w:val="en-US"/>
    </w:rPr>
  </w:style>
  <w:style w:type="table" w:styleId="TableGrid">
    <w:name w:val="Table Grid"/>
    <w:basedOn w:val="TableNormal"/>
    <w:uiPriority w:val="39"/>
    <w:rsid w:val="00A5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885FC4"/>
    <w:pPr>
      <w:spacing w:after="160" w:line="240" w:lineRule="exact"/>
    </w:pPr>
    <w:rPr>
      <w:rFonts w:ascii="Verdana" w:hAnsi="Verdana"/>
      <w:sz w:val="20"/>
      <w:szCs w:val="20"/>
      <w:lang w:val="en-US"/>
    </w:rPr>
  </w:style>
  <w:style w:type="paragraph" w:styleId="Header">
    <w:name w:val="header"/>
    <w:basedOn w:val="Normal"/>
    <w:rsid w:val="006F7625"/>
    <w:pPr>
      <w:tabs>
        <w:tab w:val="center" w:pos="4153"/>
        <w:tab w:val="right" w:pos="8306"/>
      </w:tabs>
    </w:pPr>
  </w:style>
  <w:style w:type="paragraph" w:styleId="Footer">
    <w:name w:val="footer"/>
    <w:basedOn w:val="Normal"/>
    <w:link w:val="FooterChar"/>
    <w:uiPriority w:val="99"/>
    <w:rsid w:val="006F7625"/>
    <w:pPr>
      <w:tabs>
        <w:tab w:val="center" w:pos="4153"/>
        <w:tab w:val="right" w:pos="8306"/>
      </w:tabs>
    </w:pPr>
  </w:style>
  <w:style w:type="character" w:styleId="Strong">
    <w:name w:val="Strong"/>
    <w:qFormat/>
    <w:rsid w:val="00622D8C"/>
    <w:rPr>
      <w:b/>
      <w:bCs/>
    </w:rPr>
  </w:style>
  <w:style w:type="character" w:styleId="PageNumber">
    <w:name w:val="page number"/>
    <w:basedOn w:val="DefaultParagraphFont"/>
    <w:rsid w:val="00872E03"/>
  </w:style>
  <w:style w:type="table" w:styleId="TableList4">
    <w:name w:val="Table List 4"/>
    <w:basedOn w:val="TableNormal"/>
    <w:rsid w:val="00C43D3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3">
    <w:name w:val="Table Grid 3"/>
    <w:basedOn w:val="TableNormal"/>
    <w:rsid w:val="009820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Theme">
    <w:name w:val="Table Theme"/>
    <w:basedOn w:val="TableNormal"/>
    <w:rsid w:val="002E1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body bullets,Bullets,Numbered List Paragraph,List Paragraph (numbered (a)),ReferencesCxSpLast,NUMBERED PARAGRAPH,List Paragraph 1,List_Paragraph,Multilevel para_II,List Paragraph1,Numbered Paragraph,Main numbered paragraph,Ha"/>
    <w:basedOn w:val="Normal"/>
    <w:link w:val="ListParagraphChar"/>
    <w:uiPriority w:val="34"/>
    <w:qFormat/>
    <w:rsid w:val="00C84A5F"/>
    <w:pPr>
      <w:ind w:left="720"/>
      <w:contextualSpacing/>
    </w:pPr>
  </w:style>
  <w:style w:type="paragraph" w:styleId="Revision">
    <w:name w:val="Revision"/>
    <w:hidden/>
    <w:uiPriority w:val="99"/>
    <w:semiHidden/>
    <w:rsid w:val="00B274AC"/>
    <w:rPr>
      <w:rFonts w:ascii="Arial" w:hAnsi="Arial"/>
      <w:sz w:val="24"/>
      <w:szCs w:val="24"/>
      <w:lang w:eastAsia="en-US"/>
    </w:rPr>
  </w:style>
  <w:style w:type="character" w:customStyle="1" w:styleId="FooterChar">
    <w:name w:val="Footer Char"/>
    <w:basedOn w:val="DefaultParagraphFont"/>
    <w:link w:val="Footer"/>
    <w:uiPriority w:val="99"/>
    <w:rsid w:val="00AE1D30"/>
    <w:rPr>
      <w:rFonts w:ascii="Arial" w:hAnsi="Arial"/>
      <w:sz w:val="24"/>
      <w:szCs w:val="24"/>
      <w:lang w:eastAsia="en-US"/>
    </w:rPr>
  </w:style>
  <w:style w:type="character" w:customStyle="1" w:styleId="fhb">
    <w:name w:val="fhb"/>
    <w:basedOn w:val="DefaultParagraphFont"/>
    <w:rsid w:val="000A0748"/>
  </w:style>
  <w:style w:type="character" w:customStyle="1" w:styleId="fh">
    <w:name w:val="fh"/>
    <w:basedOn w:val="DefaultParagraphFont"/>
    <w:rsid w:val="000A0748"/>
  </w:style>
  <w:style w:type="character" w:styleId="Hyperlink">
    <w:name w:val="Hyperlink"/>
    <w:uiPriority w:val="99"/>
    <w:unhideWhenUsed/>
    <w:rsid w:val="009D614B"/>
    <w:rPr>
      <w:color w:val="0000FF"/>
      <w:u w:val="single"/>
    </w:rPr>
  </w:style>
  <w:style w:type="character" w:customStyle="1" w:styleId="CommentSubjectChar">
    <w:name w:val="Comment Subject Char"/>
    <w:basedOn w:val="DefaultParagraphFont"/>
    <w:link w:val="CommentSubject"/>
    <w:uiPriority w:val="99"/>
    <w:semiHidden/>
    <w:rsid w:val="00E86D0B"/>
    <w:rPr>
      <w:rFonts w:ascii="Arial" w:hAnsi="Arial"/>
      <w:b/>
      <w:bCs/>
      <w:lang w:eastAsia="en-US"/>
    </w:rPr>
  </w:style>
  <w:style w:type="character" w:customStyle="1" w:styleId="CommentTextChar">
    <w:name w:val="Comment Text Char"/>
    <w:basedOn w:val="DefaultParagraphFont"/>
    <w:link w:val="CommentText"/>
    <w:uiPriority w:val="99"/>
    <w:rsid w:val="00DE063D"/>
    <w:rPr>
      <w:rFonts w:ascii="Arial" w:hAnsi="Arial"/>
      <w:lang w:eastAsia="en-US"/>
    </w:rPr>
  </w:style>
  <w:style w:type="paragraph" w:styleId="NoSpacing">
    <w:name w:val="No Spacing"/>
    <w:basedOn w:val="Normal"/>
    <w:link w:val="NoSpacingChar"/>
    <w:uiPriority w:val="1"/>
    <w:qFormat/>
    <w:rsid w:val="001A698E"/>
    <w:rPr>
      <w:rFonts w:cs="Arial"/>
      <w:sz w:val="20"/>
    </w:rPr>
  </w:style>
  <w:style w:type="character" w:customStyle="1" w:styleId="NoSpacingChar">
    <w:name w:val="No Spacing Char"/>
    <w:link w:val="NoSpacing"/>
    <w:uiPriority w:val="1"/>
    <w:locked/>
    <w:rsid w:val="001A698E"/>
    <w:rPr>
      <w:rFonts w:ascii="Arial" w:hAnsi="Arial" w:cs="Arial"/>
      <w:szCs w:val="24"/>
      <w:lang w:eastAsia="en-US"/>
    </w:rPr>
  </w:style>
  <w:style w:type="character" w:customStyle="1" w:styleId="ListParagraphChar">
    <w:name w:val="List Paragraph Char"/>
    <w:aliases w:val="References Char,body bullets Char,Bullets Char,Numbered List Paragraph Char,List Paragraph (numbered (a)) Char,ReferencesCxSpLast Char,NUMBERED PARAGRAPH Char,List Paragraph 1 Char,List_Paragraph Char,Multilevel para_II Char,Ha Char"/>
    <w:basedOn w:val="DefaultParagraphFont"/>
    <w:link w:val="ListParagraph"/>
    <w:uiPriority w:val="34"/>
    <w:qFormat/>
    <w:rsid w:val="00D03433"/>
    <w:rPr>
      <w:rFonts w:ascii="Arial" w:hAnsi="Arial"/>
      <w:sz w:val="24"/>
      <w:szCs w:val="24"/>
      <w:lang w:eastAsia="en-US"/>
    </w:rPr>
  </w:style>
  <w:style w:type="paragraph" w:customStyle="1" w:styleId="Default">
    <w:name w:val="Default"/>
    <w:uiPriority w:val="99"/>
    <w:rsid w:val="00DF0F9E"/>
    <w:pPr>
      <w:autoSpaceDE w:val="0"/>
      <w:autoSpaceDN w:val="0"/>
      <w:adjustRightInd w:val="0"/>
    </w:pPr>
    <w:rPr>
      <w:rFonts w:eastAsiaTheme="minorHAnsi"/>
      <w:color w:val="000000"/>
      <w:sz w:val="24"/>
      <w:szCs w:val="24"/>
      <w:lang w:eastAsia="en-US"/>
    </w:rPr>
  </w:style>
  <w:style w:type="paragraph" w:styleId="EndnoteText">
    <w:name w:val="endnote text"/>
    <w:basedOn w:val="Normal"/>
    <w:link w:val="EndnoteTextChar"/>
    <w:uiPriority w:val="99"/>
    <w:rsid w:val="001C0FB0"/>
    <w:rPr>
      <w:sz w:val="20"/>
      <w:szCs w:val="20"/>
    </w:rPr>
  </w:style>
  <w:style w:type="character" w:customStyle="1" w:styleId="EndnoteTextChar">
    <w:name w:val="Endnote Text Char"/>
    <w:basedOn w:val="DefaultParagraphFont"/>
    <w:link w:val="EndnoteText"/>
    <w:uiPriority w:val="99"/>
    <w:rsid w:val="001C0FB0"/>
    <w:rPr>
      <w:rFonts w:ascii="Arial" w:hAnsi="Arial"/>
      <w:lang w:eastAsia="en-US"/>
    </w:rPr>
  </w:style>
  <w:style w:type="character" w:styleId="EndnoteReference">
    <w:name w:val="endnote reference"/>
    <w:rsid w:val="001C0FB0"/>
    <w:rPr>
      <w:vertAlign w:val="superscript"/>
    </w:rPr>
  </w:style>
  <w:style w:type="paragraph" w:styleId="FootnoteText">
    <w:name w:val="footnote text"/>
    <w:aliases w:val="single space,footnote text,Footnote Text Char Char,Footnote Text Char1 Char Char,Footnote Text Char Char Char Char, Char Char Char Char Char, Char Char Char,Char Char Char Char Char,Char Char Char,Geneva 9,Font: Geneva "/>
    <w:basedOn w:val="Normal"/>
    <w:link w:val="FootnoteTextChar"/>
    <w:uiPriority w:val="99"/>
    <w:unhideWhenUsed/>
    <w:rsid w:val="00491F13"/>
    <w:rPr>
      <w:sz w:val="20"/>
      <w:szCs w:val="20"/>
    </w:rPr>
  </w:style>
  <w:style w:type="character" w:customStyle="1" w:styleId="FootnoteTextChar">
    <w:name w:val="Footnote Text Char"/>
    <w:aliases w:val="single space Char,footnote text Char,Footnote Text Char Char Char,Footnote Text Char1 Char Char Char,Footnote Text Char Char Char Char Char, Char Char Char Char Char Char, Char Char Char Char,Char Char Char Char Char Char"/>
    <w:basedOn w:val="DefaultParagraphFont"/>
    <w:link w:val="FootnoteText"/>
    <w:uiPriority w:val="99"/>
    <w:rsid w:val="00491F13"/>
    <w:rPr>
      <w:rFonts w:ascii="Arial" w:hAnsi="Arial"/>
      <w:lang w:eastAsia="en-US"/>
    </w:rPr>
  </w:style>
  <w:style w:type="character" w:styleId="FootnoteReference">
    <w:name w:val="footnote reference"/>
    <w:aliases w:val="ftref,16 Point,Superscript 6 Point"/>
    <w:basedOn w:val="DefaultParagraphFont"/>
    <w:uiPriority w:val="99"/>
    <w:unhideWhenUsed/>
    <w:rsid w:val="00491F13"/>
    <w:rPr>
      <w:vertAlign w:val="superscript"/>
    </w:rPr>
  </w:style>
  <w:style w:type="character" w:customStyle="1" w:styleId="Heading3Char">
    <w:name w:val="Heading 3 Char"/>
    <w:basedOn w:val="DefaultParagraphFont"/>
    <w:link w:val="Heading3"/>
    <w:rsid w:val="002E723C"/>
    <w:rPr>
      <w:rFonts w:asciiTheme="majorHAnsi" w:eastAsiaTheme="majorEastAsia" w:hAnsiTheme="majorHAnsi" w:cstheme="majorBidi"/>
      <w:b/>
      <w:bCs/>
      <w:color w:val="4F81BD" w:themeColor="accent1"/>
      <w:sz w:val="24"/>
      <w:szCs w:val="24"/>
      <w:lang w:eastAsia="en-US"/>
    </w:rPr>
  </w:style>
  <w:style w:type="character" w:customStyle="1" w:styleId="Heading1Char">
    <w:name w:val="Heading 1 Char"/>
    <w:basedOn w:val="DefaultParagraphFont"/>
    <w:link w:val="Heading1"/>
    <w:rsid w:val="002E723C"/>
    <w:rPr>
      <w:rFonts w:asciiTheme="majorHAnsi" w:eastAsiaTheme="majorEastAsia" w:hAnsiTheme="majorHAnsi" w:cstheme="majorBidi"/>
      <w:b/>
      <w:bCs/>
      <w:color w:val="365F91" w:themeColor="accent1" w:themeShade="BF"/>
      <w:sz w:val="28"/>
      <w:szCs w:val="28"/>
      <w:lang w:eastAsia="en-US"/>
    </w:rPr>
  </w:style>
  <w:style w:type="character" w:customStyle="1" w:styleId="Heading5Char">
    <w:name w:val="Heading 5 Char"/>
    <w:basedOn w:val="DefaultParagraphFont"/>
    <w:link w:val="Heading5"/>
    <w:rsid w:val="00160343"/>
    <w:rPr>
      <w:rFonts w:asciiTheme="majorHAnsi" w:eastAsiaTheme="majorEastAsia" w:hAnsiTheme="majorHAnsi" w:cstheme="majorBidi"/>
      <w:color w:val="365F91" w:themeColor="accent1" w:themeShade="BF"/>
      <w:sz w:val="24"/>
      <w:szCs w:val="24"/>
      <w:lang w:eastAsia="en-US"/>
    </w:rPr>
  </w:style>
  <w:style w:type="paragraph" w:styleId="BodyText">
    <w:name w:val="Body Text"/>
    <w:basedOn w:val="Normal"/>
    <w:link w:val="BodyTextChar"/>
    <w:qFormat/>
    <w:rsid w:val="0003263B"/>
    <w:pPr>
      <w:spacing w:after="220"/>
    </w:pPr>
    <w:rPr>
      <w:rFonts w:eastAsiaTheme="minorHAnsi" w:cstheme="minorBidi"/>
      <w:sz w:val="20"/>
    </w:rPr>
  </w:style>
  <w:style w:type="character" w:customStyle="1" w:styleId="BodyTextChar">
    <w:name w:val="Body Text Char"/>
    <w:basedOn w:val="DefaultParagraphFont"/>
    <w:link w:val="BodyText"/>
    <w:rsid w:val="0003263B"/>
    <w:rPr>
      <w:rFonts w:ascii="Arial" w:eastAsiaTheme="minorHAnsi" w:hAnsi="Arial" w:cstheme="minorBidi"/>
      <w:szCs w:val="24"/>
      <w:lang w:eastAsia="en-US"/>
    </w:rPr>
  </w:style>
  <w:style w:type="character" w:styleId="UnresolvedMention">
    <w:name w:val="Unresolved Mention"/>
    <w:basedOn w:val="DefaultParagraphFont"/>
    <w:uiPriority w:val="99"/>
    <w:semiHidden/>
    <w:unhideWhenUsed/>
    <w:rsid w:val="005E75BF"/>
    <w:rPr>
      <w:color w:val="808080"/>
      <w:shd w:val="clear" w:color="auto" w:fill="E6E6E6"/>
    </w:rPr>
  </w:style>
  <w:style w:type="character" w:styleId="FollowedHyperlink">
    <w:name w:val="FollowedHyperlink"/>
    <w:basedOn w:val="DefaultParagraphFont"/>
    <w:semiHidden/>
    <w:unhideWhenUsed/>
    <w:rsid w:val="005E75BF"/>
    <w:rPr>
      <w:color w:val="800080" w:themeColor="followedHyperlink"/>
      <w:u w:val="single"/>
    </w:rPr>
  </w:style>
  <w:style w:type="character" w:customStyle="1" w:styleId="apple-converted-space">
    <w:name w:val="apple-converted-space"/>
    <w:basedOn w:val="DefaultParagraphFont"/>
    <w:rsid w:val="004121D3"/>
  </w:style>
  <w:style w:type="paragraph" w:styleId="NormalWeb">
    <w:name w:val="Normal (Web)"/>
    <w:basedOn w:val="Normal"/>
    <w:uiPriority w:val="99"/>
    <w:unhideWhenUsed/>
    <w:rsid w:val="00412B94"/>
    <w:pPr>
      <w:spacing w:before="100" w:beforeAutospacing="1" w:after="100" w:afterAutospacing="1"/>
    </w:pPr>
    <w:rPr>
      <w:rFonts w:ascii="Times New Roman" w:hAnsi="Times New Roman"/>
      <w:lang w:eastAsia="en-GB"/>
    </w:rPr>
  </w:style>
  <w:style w:type="character" w:customStyle="1" w:styleId="Heading2Char">
    <w:name w:val="Heading 2 Char"/>
    <w:basedOn w:val="DefaultParagraphFont"/>
    <w:link w:val="Heading2"/>
    <w:rsid w:val="002B2B63"/>
    <w:rPr>
      <w:rFonts w:ascii="Arial" w:hAnsi="Arial" w:cs="Arial"/>
      <w:b/>
      <w:bCs/>
      <w:i/>
      <w:iCs/>
      <w:sz w:val="28"/>
      <w:szCs w:val="28"/>
      <w:lang w:eastAsia="en-US"/>
    </w:rPr>
  </w:style>
  <w:style w:type="character" w:customStyle="1" w:styleId="normaltextrun">
    <w:name w:val="normaltextrun"/>
    <w:basedOn w:val="DefaultParagraphFont"/>
    <w:rsid w:val="00D67956"/>
  </w:style>
  <w:style w:type="paragraph" w:customStyle="1" w:styleId="paragraph">
    <w:name w:val="paragraph"/>
    <w:basedOn w:val="Normal"/>
    <w:rsid w:val="00AF2A22"/>
    <w:pPr>
      <w:spacing w:before="100" w:beforeAutospacing="1" w:after="100" w:afterAutospacing="1"/>
    </w:pPr>
    <w:rPr>
      <w:rFonts w:ascii="Times New Roman" w:eastAsia="Times New Roman" w:hAnsi="Times New Roman"/>
      <w:lang w:eastAsia="en-GB"/>
    </w:rPr>
  </w:style>
  <w:style w:type="character" w:customStyle="1" w:styleId="textrun">
    <w:name w:val="textrun"/>
    <w:basedOn w:val="DefaultParagraphFont"/>
    <w:rsid w:val="00AF2A22"/>
  </w:style>
  <w:style w:type="character" w:customStyle="1" w:styleId="eop">
    <w:name w:val="eop"/>
    <w:basedOn w:val="DefaultParagraphFont"/>
    <w:rsid w:val="00AF2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43302">
      <w:bodyDiv w:val="1"/>
      <w:marLeft w:val="0"/>
      <w:marRight w:val="0"/>
      <w:marTop w:val="0"/>
      <w:marBottom w:val="0"/>
      <w:divBdr>
        <w:top w:val="none" w:sz="0" w:space="0" w:color="auto"/>
        <w:left w:val="none" w:sz="0" w:space="0" w:color="auto"/>
        <w:bottom w:val="none" w:sz="0" w:space="0" w:color="auto"/>
        <w:right w:val="none" w:sz="0" w:space="0" w:color="auto"/>
      </w:divBdr>
    </w:div>
    <w:div w:id="188497447">
      <w:bodyDiv w:val="1"/>
      <w:marLeft w:val="0"/>
      <w:marRight w:val="0"/>
      <w:marTop w:val="0"/>
      <w:marBottom w:val="0"/>
      <w:divBdr>
        <w:top w:val="none" w:sz="0" w:space="0" w:color="auto"/>
        <w:left w:val="none" w:sz="0" w:space="0" w:color="auto"/>
        <w:bottom w:val="none" w:sz="0" w:space="0" w:color="auto"/>
        <w:right w:val="none" w:sz="0" w:space="0" w:color="auto"/>
      </w:divBdr>
    </w:div>
    <w:div w:id="264962378">
      <w:bodyDiv w:val="1"/>
      <w:marLeft w:val="0"/>
      <w:marRight w:val="0"/>
      <w:marTop w:val="0"/>
      <w:marBottom w:val="0"/>
      <w:divBdr>
        <w:top w:val="none" w:sz="0" w:space="0" w:color="auto"/>
        <w:left w:val="none" w:sz="0" w:space="0" w:color="auto"/>
        <w:bottom w:val="none" w:sz="0" w:space="0" w:color="auto"/>
        <w:right w:val="none" w:sz="0" w:space="0" w:color="auto"/>
      </w:divBdr>
    </w:div>
    <w:div w:id="297223175">
      <w:bodyDiv w:val="1"/>
      <w:marLeft w:val="0"/>
      <w:marRight w:val="0"/>
      <w:marTop w:val="0"/>
      <w:marBottom w:val="0"/>
      <w:divBdr>
        <w:top w:val="none" w:sz="0" w:space="0" w:color="auto"/>
        <w:left w:val="none" w:sz="0" w:space="0" w:color="auto"/>
        <w:bottom w:val="none" w:sz="0" w:space="0" w:color="auto"/>
        <w:right w:val="none" w:sz="0" w:space="0" w:color="auto"/>
      </w:divBdr>
    </w:div>
    <w:div w:id="323510257">
      <w:bodyDiv w:val="1"/>
      <w:marLeft w:val="0"/>
      <w:marRight w:val="0"/>
      <w:marTop w:val="0"/>
      <w:marBottom w:val="0"/>
      <w:divBdr>
        <w:top w:val="none" w:sz="0" w:space="0" w:color="auto"/>
        <w:left w:val="none" w:sz="0" w:space="0" w:color="auto"/>
        <w:bottom w:val="none" w:sz="0" w:space="0" w:color="auto"/>
        <w:right w:val="none" w:sz="0" w:space="0" w:color="auto"/>
      </w:divBdr>
    </w:div>
    <w:div w:id="336539741">
      <w:bodyDiv w:val="1"/>
      <w:marLeft w:val="0"/>
      <w:marRight w:val="0"/>
      <w:marTop w:val="0"/>
      <w:marBottom w:val="0"/>
      <w:divBdr>
        <w:top w:val="none" w:sz="0" w:space="0" w:color="auto"/>
        <w:left w:val="none" w:sz="0" w:space="0" w:color="auto"/>
        <w:bottom w:val="none" w:sz="0" w:space="0" w:color="auto"/>
        <w:right w:val="none" w:sz="0" w:space="0" w:color="auto"/>
      </w:divBdr>
    </w:div>
    <w:div w:id="339359162">
      <w:bodyDiv w:val="1"/>
      <w:marLeft w:val="0"/>
      <w:marRight w:val="0"/>
      <w:marTop w:val="0"/>
      <w:marBottom w:val="0"/>
      <w:divBdr>
        <w:top w:val="none" w:sz="0" w:space="0" w:color="auto"/>
        <w:left w:val="none" w:sz="0" w:space="0" w:color="auto"/>
        <w:bottom w:val="none" w:sz="0" w:space="0" w:color="auto"/>
        <w:right w:val="none" w:sz="0" w:space="0" w:color="auto"/>
      </w:divBdr>
    </w:div>
    <w:div w:id="352457325">
      <w:bodyDiv w:val="1"/>
      <w:marLeft w:val="0"/>
      <w:marRight w:val="0"/>
      <w:marTop w:val="0"/>
      <w:marBottom w:val="0"/>
      <w:divBdr>
        <w:top w:val="none" w:sz="0" w:space="0" w:color="auto"/>
        <w:left w:val="none" w:sz="0" w:space="0" w:color="auto"/>
        <w:bottom w:val="none" w:sz="0" w:space="0" w:color="auto"/>
        <w:right w:val="none" w:sz="0" w:space="0" w:color="auto"/>
      </w:divBdr>
    </w:div>
    <w:div w:id="365452642">
      <w:bodyDiv w:val="1"/>
      <w:marLeft w:val="0"/>
      <w:marRight w:val="0"/>
      <w:marTop w:val="0"/>
      <w:marBottom w:val="0"/>
      <w:divBdr>
        <w:top w:val="none" w:sz="0" w:space="0" w:color="auto"/>
        <w:left w:val="none" w:sz="0" w:space="0" w:color="auto"/>
        <w:bottom w:val="none" w:sz="0" w:space="0" w:color="auto"/>
        <w:right w:val="none" w:sz="0" w:space="0" w:color="auto"/>
      </w:divBdr>
    </w:div>
    <w:div w:id="396057204">
      <w:bodyDiv w:val="1"/>
      <w:marLeft w:val="0"/>
      <w:marRight w:val="0"/>
      <w:marTop w:val="0"/>
      <w:marBottom w:val="0"/>
      <w:divBdr>
        <w:top w:val="none" w:sz="0" w:space="0" w:color="auto"/>
        <w:left w:val="none" w:sz="0" w:space="0" w:color="auto"/>
        <w:bottom w:val="none" w:sz="0" w:space="0" w:color="auto"/>
        <w:right w:val="none" w:sz="0" w:space="0" w:color="auto"/>
      </w:divBdr>
    </w:div>
    <w:div w:id="402140281">
      <w:bodyDiv w:val="1"/>
      <w:marLeft w:val="0"/>
      <w:marRight w:val="0"/>
      <w:marTop w:val="0"/>
      <w:marBottom w:val="0"/>
      <w:divBdr>
        <w:top w:val="none" w:sz="0" w:space="0" w:color="auto"/>
        <w:left w:val="none" w:sz="0" w:space="0" w:color="auto"/>
        <w:bottom w:val="none" w:sz="0" w:space="0" w:color="auto"/>
        <w:right w:val="none" w:sz="0" w:space="0" w:color="auto"/>
      </w:divBdr>
    </w:div>
    <w:div w:id="497116782">
      <w:bodyDiv w:val="1"/>
      <w:marLeft w:val="0"/>
      <w:marRight w:val="0"/>
      <w:marTop w:val="0"/>
      <w:marBottom w:val="0"/>
      <w:divBdr>
        <w:top w:val="none" w:sz="0" w:space="0" w:color="auto"/>
        <w:left w:val="none" w:sz="0" w:space="0" w:color="auto"/>
        <w:bottom w:val="none" w:sz="0" w:space="0" w:color="auto"/>
        <w:right w:val="none" w:sz="0" w:space="0" w:color="auto"/>
      </w:divBdr>
    </w:div>
    <w:div w:id="570239879">
      <w:bodyDiv w:val="1"/>
      <w:marLeft w:val="0"/>
      <w:marRight w:val="0"/>
      <w:marTop w:val="0"/>
      <w:marBottom w:val="0"/>
      <w:divBdr>
        <w:top w:val="none" w:sz="0" w:space="0" w:color="auto"/>
        <w:left w:val="none" w:sz="0" w:space="0" w:color="auto"/>
        <w:bottom w:val="none" w:sz="0" w:space="0" w:color="auto"/>
        <w:right w:val="none" w:sz="0" w:space="0" w:color="auto"/>
      </w:divBdr>
    </w:div>
    <w:div w:id="621765015">
      <w:bodyDiv w:val="1"/>
      <w:marLeft w:val="0"/>
      <w:marRight w:val="0"/>
      <w:marTop w:val="0"/>
      <w:marBottom w:val="0"/>
      <w:divBdr>
        <w:top w:val="none" w:sz="0" w:space="0" w:color="auto"/>
        <w:left w:val="none" w:sz="0" w:space="0" w:color="auto"/>
        <w:bottom w:val="none" w:sz="0" w:space="0" w:color="auto"/>
        <w:right w:val="none" w:sz="0" w:space="0" w:color="auto"/>
      </w:divBdr>
    </w:div>
    <w:div w:id="629363861">
      <w:bodyDiv w:val="1"/>
      <w:marLeft w:val="0"/>
      <w:marRight w:val="0"/>
      <w:marTop w:val="0"/>
      <w:marBottom w:val="0"/>
      <w:divBdr>
        <w:top w:val="none" w:sz="0" w:space="0" w:color="auto"/>
        <w:left w:val="none" w:sz="0" w:space="0" w:color="auto"/>
        <w:bottom w:val="none" w:sz="0" w:space="0" w:color="auto"/>
        <w:right w:val="none" w:sz="0" w:space="0" w:color="auto"/>
      </w:divBdr>
    </w:div>
    <w:div w:id="661159085">
      <w:bodyDiv w:val="1"/>
      <w:marLeft w:val="0"/>
      <w:marRight w:val="0"/>
      <w:marTop w:val="0"/>
      <w:marBottom w:val="0"/>
      <w:divBdr>
        <w:top w:val="none" w:sz="0" w:space="0" w:color="auto"/>
        <w:left w:val="none" w:sz="0" w:space="0" w:color="auto"/>
        <w:bottom w:val="none" w:sz="0" w:space="0" w:color="auto"/>
        <w:right w:val="none" w:sz="0" w:space="0" w:color="auto"/>
      </w:divBdr>
    </w:div>
    <w:div w:id="667246802">
      <w:bodyDiv w:val="1"/>
      <w:marLeft w:val="0"/>
      <w:marRight w:val="0"/>
      <w:marTop w:val="0"/>
      <w:marBottom w:val="0"/>
      <w:divBdr>
        <w:top w:val="none" w:sz="0" w:space="0" w:color="auto"/>
        <w:left w:val="none" w:sz="0" w:space="0" w:color="auto"/>
        <w:bottom w:val="none" w:sz="0" w:space="0" w:color="auto"/>
        <w:right w:val="none" w:sz="0" w:space="0" w:color="auto"/>
      </w:divBdr>
    </w:div>
    <w:div w:id="705643235">
      <w:bodyDiv w:val="1"/>
      <w:marLeft w:val="0"/>
      <w:marRight w:val="0"/>
      <w:marTop w:val="0"/>
      <w:marBottom w:val="0"/>
      <w:divBdr>
        <w:top w:val="none" w:sz="0" w:space="0" w:color="auto"/>
        <w:left w:val="none" w:sz="0" w:space="0" w:color="auto"/>
        <w:bottom w:val="none" w:sz="0" w:space="0" w:color="auto"/>
        <w:right w:val="none" w:sz="0" w:space="0" w:color="auto"/>
      </w:divBdr>
    </w:div>
    <w:div w:id="751896081">
      <w:bodyDiv w:val="1"/>
      <w:marLeft w:val="0"/>
      <w:marRight w:val="0"/>
      <w:marTop w:val="0"/>
      <w:marBottom w:val="0"/>
      <w:divBdr>
        <w:top w:val="none" w:sz="0" w:space="0" w:color="auto"/>
        <w:left w:val="none" w:sz="0" w:space="0" w:color="auto"/>
        <w:bottom w:val="none" w:sz="0" w:space="0" w:color="auto"/>
        <w:right w:val="none" w:sz="0" w:space="0" w:color="auto"/>
      </w:divBdr>
    </w:div>
    <w:div w:id="763301067">
      <w:bodyDiv w:val="1"/>
      <w:marLeft w:val="0"/>
      <w:marRight w:val="0"/>
      <w:marTop w:val="0"/>
      <w:marBottom w:val="0"/>
      <w:divBdr>
        <w:top w:val="none" w:sz="0" w:space="0" w:color="auto"/>
        <w:left w:val="none" w:sz="0" w:space="0" w:color="auto"/>
        <w:bottom w:val="none" w:sz="0" w:space="0" w:color="auto"/>
        <w:right w:val="none" w:sz="0" w:space="0" w:color="auto"/>
      </w:divBdr>
      <w:divsChild>
        <w:div w:id="148208463">
          <w:marLeft w:val="0"/>
          <w:marRight w:val="0"/>
          <w:marTop w:val="0"/>
          <w:marBottom w:val="0"/>
          <w:divBdr>
            <w:top w:val="none" w:sz="0" w:space="0" w:color="auto"/>
            <w:left w:val="none" w:sz="0" w:space="0" w:color="auto"/>
            <w:bottom w:val="none" w:sz="0" w:space="0" w:color="auto"/>
            <w:right w:val="none" w:sz="0" w:space="0" w:color="auto"/>
          </w:divBdr>
        </w:div>
      </w:divsChild>
    </w:div>
    <w:div w:id="818886475">
      <w:bodyDiv w:val="1"/>
      <w:marLeft w:val="0"/>
      <w:marRight w:val="0"/>
      <w:marTop w:val="0"/>
      <w:marBottom w:val="0"/>
      <w:divBdr>
        <w:top w:val="none" w:sz="0" w:space="0" w:color="auto"/>
        <w:left w:val="none" w:sz="0" w:space="0" w:color="auto"/>
        <w:bottom w:val="none" w:sz="0" w:space="0" w:color="auto"/>
        <w:right w:val="none" w:sz="0" w:space="0" w:color="auto"/>
      </w:divBdr>
    </w:div>
    <w:div w:id="841354734">
      <w:bodyDiv w:val="1"/>
      <w:marLeft w:val="0"/>
      <w:marRight w:val="0"/>
      <w:marTop w:val="0"/>
      <w:marBottom w:val="0"/>
      <w:divBdr>
        <w:top w:val="none" w:sz="0" w:space="0" w:color="auto"/>
        <w:left w:val="none" w:sz="0" w:space="0" w:color="auto"/>
        <w:bottom w:val="none" w:sz="0" w:space="0" w:color="auto"/>
        <w:right w:val="none" w:sz="0" w:space="0" w:color="auto"/>
      </w:divBdr>
    </w:div>
    <w:div w:id="843278718">
      <w:bodyDiv w:val="1"/>
      <w:marLeft w:val="0"/>
      <w:marRight w:val="0"/>
      <w:marTop w:val="0"/>
      <w:marBottom w:val="0"/>
      <w:divBdr>
        <w:top w:val="none" w:sz="0" w:space="0" w:color="auto"/>
        <w:left w:val="none" w:sz="0" w:space="0" w:color="auto"/>
        <w:bottom w:val="none" w:sz="0" w:space="0" w:color="auto"/>
        <w:right w:val="none" w:sz="0" w:space="0" w:color="auto"/>
      </w:divBdr>
    </w:div>
    <w:div w:id="905534488">
      <w:bodyDiv w:val="1"/>
      <w:marLeft w:val="0"/>
      <w:marRight w:val="0"/>
      <w:marTop w:val="0"/>
      <w:marBottom w:val="0"/>
      <w:divBdr>
        <w:top w:val="none" w:sz="0" w:space="0" w:color="auto"/>
        <w:left w:val="none" w:sz="0" w:space="0" w:color="auto"/>
        <w:bottom w:val="none" w:sz="0" w:space="0" w:color="auto"/>
        <w:right w:val="none" w:sz="0" w:space="0" w:color="auto"/>
      </w:divBdr>
    </w:div>
    <w:div w:id="938413362">
      <w:bodyDiv w:val="1"/>
      <w:marLeft w:val="0"/>
      <w:marRight w:val="0"/>
      <w:marTop w:val="0"/>
      <w:marBottom w:val="0"/>
      <w:divBdr>
        <w:top w:val="none" w:sz="0" w:space="0" w:color="auto"/>
        <w:left w:val="none" w:sz="0" w:space="0" w:color="auto"/>
        <w:bottom w:val="none" w:sz="0" w:space="0" w:color="auto"/>
        <w:right w:val="none" w:sz="0" w:space="0" w:color="auto"/>
      </w:divBdr>
      <w:divsChild>
        <w:div w:id="41756538">
          <w:marLeft w:val="0"/>
          <w:marRight w:val="0"/>
          <w:marTop w:val="0"/>
          <w:marBottom w:val="0"/>
          <w:divBdr>
            <w:top w:val="none" w:sz="0" w:space="0" w:color="auto"/>
            <w:left w:val="none" w:sz="0" w:space="0" w:color="auto"/>
            <w:bottom w:val="none" w:sz="0" w:space="0" w:color="auto"/>
            <w:right w:val="none" w:sz="0" w:space="0" w:color="auto"/>
          </w:divBdr>
        </w:div>
        <w:div w:id="572660231">
          <w:marLeft w:val="0"/>
          <w:marRight w:val="0"/>
          <w:marTop w:val="0"/>
          <w:marBottom w:val="0"/>
          <w:divBdr>
            <w:top w:val="none" w:sz="0" w:space="0" w:color="auto"/>
            <w:left w:val="none" w:sz="0" w:space="0" w:color="auto"/>
            <w:bottom w:val="none" w:sz="0" w:space="0" w:color="auto"/>
            <w:right w:val="none" w:sz="0" w:space="0" w:color="auto"/>
          </w:divBdr>
        </w:div>
        <w:div w:id="582254371">
          <w:marLeft w:val="0"/>
          <w:marRight w:val="0"/>
          <w:marTop w:val="0"/>
          <w:marBottom w:val="0"/>
          <w:divBdr>
            <w:top w:val="none" w:sz="0" w:space="0" w:color="auto"/>
            <w:left w:val="none" w:sz="0" w:space="0" w:color="auto"/>
            <w:bottom w:val="none" w:sz="0" w:space="0" w:color="auto"/>
            <w:right w:val="none" w:sz="0" w:space="0" w:color="auto"/>
          </w:divBdr>
        </w:div>
        <w:div w:id="785658166">
          <w:marLeft w:val="0"/>
          <w:marRight w:val="0"/>
          <w:marTop w:val="0"/>
          <w:marBottom w:val="0"/>
          <w:divBdr>
            <w:top w:val="none" w:sz="0" w:space="0" w:color="auto"/>
            <w:left w:val="none" w:sz="0" w:space="0" w:color="auto"/>
            <w:bottom w:val="none" w:sz="0" w:space="0" w:color="auto"/>
            <w:right w:val="none" w:sz="0" w:space="0" w:color="auto"/>
          </w:divBdr>
        </w:div>
        <w:div w:id="801701934">
          <w:marLeft w:val="-75"/>
          <w:marRight w:val="0"/>
          <w:marTop w:val="30"/>
          <w:marBottom w:val="30"/>
          <w:divBdr>
            <w:top w:val="none" w:sz="0" w:space="0" w:color="auto"/>
            <w:left w:val="none" w:sz="0" w:space="0" w:color="auto"/>
            <w:bottom w:val="none" w:sz="0" w:space="0" w:color="auto"/>
            <w:right w:val="none" w:sz="0" w:space="0" w:color="auto"/>
          </w:divBdr>
          <w:divsChild>
            <w:div w:id="141626182">
              <w:marLeft w:val="0"/>
              <w:marRight w:val="0"/>
              <w:marTop w:val="0"/>
              <w:marBottom w:val="0"/>
              <w:divBdr>
                <w:top w:val="none" w:sz="0" w:space="0" w:color="auto"/>
                <w:left w:val="none" w:sz="0" w:space="0" w:color="auto"/>
                <w:bottom w:val="none" w:sz="0" w:space="0" w:color="auto"/>
                <w:right w:val="none" w:sz="0" w:space="0" w:color="auto"/>
              </w:divBdr>
              <w:divsChild>
                <w:div w:id="349645901">
                  <w:marLeft w:val="0"/>
                  <w:marRight w:val="0"/>
                  <w:marTop w:val="0"/>
                  <w:marBottom w:val="0"/>
                  <w:divBdr>
                    <w:top w:val="none" w:sz="0" w:space="0" w:color="auto"/>
                    <w:left w:val="none" w:sz="0" w:space="0" w:color="auto"/>
                    <w:bottom w:val="none" w:sz="0" w:space="0" w:color="auto"/>
                    <w:right w:val="none" w:sz="0" w:space="0" w:color="auto"/>
                  </w:divBdr>
                </w:div>
              </w:divsChild>
            </w:div>
            <w:div w:id="832062396">
              <w:marLeft w:val="0"/>
              <w:marRight w:val="0"/>
              <w:marTop w:val="0"/>
              <w:marBottom w:val="0"/>
              <w:divBdr>
                <w:top w:val="none" w:sz="0" w:space="0" w:color="auto"/>
                <w:left w:val="none" w:sz="0" w:space="0" w:color="auto"/>
                <w:bottom w:val="none" w:sz="0" w:space="0" w:color="auto"/>
                <w:right w:val="none" w:sz="0" w:space="0" w:color="auto"/>
              </w:divBdr>
              <w:divsChild>
                <w:div w:id="661355423">
                  <w:marLeft w:val="0"/>
                  <w:marRight w:val="0"/>
                  <w:marTop w:val="0"/>
                  <w:marBottom w:val="0"/>
                  <w:divBdr>
                    <w:top w:val="none" w:sz="0" w:space="0" w:color="auto"/>
                    <w:left w:val="none" w:sz="0" w:space="0" w:color="auto"/>
                    <w:bottom w:val="none" w:sz="0" w:space="0" w:color="auto"/>
                    <w:right w:val="none" w:sz="0" w:space="0" w:color="auto"/>
                  </w:divBdr>
                </w:div>
                <w:div w:id="1522474844">
                  <w:marLeft w:val="0"/>
                  <w:marRight w:val="0"/>
                  <w:marTop w:val="0"/>
                  <w:marBottom w:val="0"/>
                  <w:divBdr>
                    <w:top w:val="none" w:sz="0" w:space="0" w:color="auto"/>
                    <w:left w:val="none" w:sz="0" w:space="0" w:color="auto"/>
                    <w:bottom w:val="none" w:sz="0" w:space="0" w:color="auto"/>
                    <w:right w:val="none" w:sz="0" w:space="0" w:color="auto"/>
                  </w:divBdr>
                </w:div>
              </w:divsChild>
            </w:div>
            <w:div w:id="1058895871">
              <w:marLeft w:val="0"/>
              <w:marRight w:val="0"/>
              <w:marTop w:val="0"/>
              <w:marBottom w:val="0"/>
              <w:divBdr>
                <w:top w:val="none" w:sz="0" w:space="0" w:color="auto"/>
                <w:left w:val="none" w:sz="0" w:space="0" w:color="auto"/>
                <w:bottom w:val="none" w:sz="0" w:space="0" w:color="auto"/>
                <w:right w:val="none" w:sz="0" w:space="0" w:color="auto"/>
              </w:divBdr>
              <w:divsChild>
                <w:div w:id="1962690006">
                  <w:marLeft w:val="0"/>
                  <w:marRight w:val="0"/>
                  <w:marTop w:val="0"/>
                  <w:marBottom w:val="0"/>
                  <w:divBdr>
                    <w:top w:val="none" w:sz="0" w:space="0" w:color="auto"/>
                    <w:left w:val="none" w:sz="0" w:space="0" w:color="auto"/>
                    <w:bottom w:val="none" w:sz="0" w:space="0" w:color="auto"/>
                    <w:right w:val="none" w:sz="0" w:space="0" w:color="auto"/>
                  </w:divBdr>
                </w:div>
              </w:divsChild>
            </w:div>
            <w:div w:id="1282491038">
              <w:marLeft w:val="0"/>
              <w:marRight w:val="0"/>
              <w:marTop w:val="0"/>
              <w:marBottom w:val="0"/>
              <w:divBdr>
                <w:top w:val="none" w:sz="0" w:space="0" w:color="auto"/>
                <w:left w:val="none" w:sz="0" w:space="0" w:color="auto"/>
                <w:bottom w:val="none" w:sz="0" w:space="0" w:color="auto"/>
                <w:right w:val="none" w:sz="0" w:space="0" w:color="auto"/>
              </w:divBdr>
              <w:divsChild>
                <w:div w:id="678310957">
                  <w:marLeft w:val="0"/>
                  <w:marRight w:val="0"/>
                  <w:marTop w:val="0"/>
                  <w:marBottom w:val="0"/>
                  <w:divBdr>
                    <w:top w:val="none" w:sz="0" w:space="0" w:color="auto"/>
                    <w:left w:val="none" w:sz="0" w:space="0" w:color="auto"/>
                    <w:bottom w:val="none" w:sz="0" w:space="0" w:color="auto"/>
                    <w:right w:val="none" w:sz="0" w:space="0" w:color="auto"/>
                  </w:divBdr>
                </w:div>
              </w:divsChild>
            </w:div>
            <w:div w:id="1465077237">
              <w:marLeft w:val="0"/>
              <w:marRight w:val="0"/>
              <w:marTop w:val="0"/>
              <w:marBottom w:val="0"/>
              <w:divBdr>
                <w:top w:val="none" w:sz="0" w:space="0" w:color="auto"/>
                <w:left w:val="none" w:sz="0" w:space="0" w:color="auto"/>
                <w:bottom w:val="none" w:sz="0" w:space="0" w:color="auto"/>
                <w:right w:val="none" w:sz="0" w:space="0" w:color="auto"/>
              </w:divBdr>
              <w:divsChild>
                <w:div w:id="1775248535">
                  <w:marLeft w:val="0"/>
                  <w:marRight w:val="0"/>
                  <w:marTop w:val="0"/>
                  <w:marBottom w:val="0"/>
                  <w:divBdr>
                    <w:top w:val="none" w:sz="0" w:space="0" w:color="auto"/>
                    <w:left w:val="none" w:sz="0" w:space="0" w:color="auto"/>
                    <w:bottom w:val="none" w:sz="0" w:space="0" w:color="auto"/>
                    <w:right w:val="none" w:sz="0" w:space="0" w:color="auto"/>
                  </w:divBdr>
                </w:div>
              </w:divsChild>
            </w:div>
            <w:div w:id="1889754969">
              <w:marLeft w:val="0"/>
              <w:marRight w:val="0"/>
              <w:marTop w:val="0"/>
              <w:marBottom w:val="0"/>
              <w:divBdr>
                <w:top w:val="none" w:sz="0" w:space="0" w:color="auto"/>
                <w:left w:val="none" w:sz="0" w:space="0" w:color="auto"/>
                <w:bottom w:val="none" w:sz="0" w:space="0" w:color="auto"/>
                <w:right w:val="none" w:sz="0" w:space="0" w:color="auto"/>
              </w:divBdr>
              <w:divsChild>
                <w:div w:id="100419093">
                  <w:marLeft w:val="0"/>
                  <w:marRight w:val="0"/>
                  <w:marTop w:val="0"/>
                  <w:marBottom w:val="0"/>
                  <w:divBdr>
                    <w:top w:val="none" w:sz="0" w:space="0" w:color="auto"/>
                    <w:left w:val="none" w:sz="0" w:space="0" w:color="auto"/>
                    <w:bottom w:val="none" w:sz="0" w:space="0" w:color="auto"/>
                    <w:right w:val="none" w:sz="0" w:space="0" w:color="auto"/>
                  </w:divBdr>
                </w:div>
                <w:div w:id="10786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7889">
          <w:marLeft w:val="0"/>
          <w:marRight w:val="0"/>
          <w:marTop w:val="0"/>
          <w:marBottom w:val="0"/>
          <w:divBdr>
            <w:top w:val="none" w:sz="0" w:space="0" w:color="auto"/>
            <w:left w:val="none" w:sz="0" w:space="0" w:color="auto"/>
            <w:bottom w:val="none" w:sz="0" w:space="0" w:color="auto"/>
            <w:right w:val="none" w:sz="0" w:space="0" w:color="auto"/>
          </w:divBdr>
        </w:div>
        <w:div w:id="1523015811">
          <w:marLeft w:val="-75"/>
          <w:marRight w:val="0"/>
          <w:marTop w:val="30"/>
          <w:marBottom w:val="30"/>
          <w:divBdr>
            <w:top w:val="none" w:sz="0" w:space="0" w:color="auto"/>
            <w:left w:val="none" w:sz="0" w:space="0" w:color="auto"/>
            <w:bottom w:val="none" w:sz="0" w:space="0" w:color="auto"/>
            <w:right w:val="none" w:sz="0" w:space="0" w:color="auto"/>
          </w:divBdr>
          <w:divsChild>
            <w:div w:id="65686756">
              <w:marLeft w:val="0"/>
              <w:marRight w:val="0"/>
              <w:marTop w:val="0"/>
              <w:marBottom w:val="0"/>
              <w:divBdr>
                <w:top w:val="none" w:sz="0" w:space="0" w:color="auto"/>
                <w:left w:val="none" w:sz="0" w:space="0" w:color="auto"/>
                <w:bottom w:val="none" w:sz="0" w:space="0" w:color="auto"/>
                <w:right w:val="none" w:sz="0" w:space="0" w:color="auto"/>
              </w:divBdr>
            </w:div>
            <w:div w:id="171528022">
              <w:marLeft w:val="0"/>
              <w:marRight w:val="0"/>
              <w:marTop w:val="0"/>
              <w:marBottom w:val="0"/>
              <w:divBdr>
                <w:top w:val="none" w:sz="0" w:space="0" w:color="auto"/>
                <w:left w:val="none" w:sz="0" w:space="0" w:color="auto"/>
                <w:bottom w:val="none" w:sz="0" w:space="0" w:color="auto"/>
                <w:right w:val="none" w:sz="0" w:space="0" w:color="auto"/>
              </w:divBdr>
              <w:divsChild>
                <w:div w:id="864289512">
                  <w:marLeft w:val="0"/>
                  <w:marRight w:val="0"/>
                  <w:marTop w:val="0"/>
                  <w:marBottom w:val="0"/>
                  <w:divBdr>
                    <w:top w:val="none" w:sz="0" w:space="0" w:color="auto"/>
                    <w:left w:val="none" w:sz="0" w:space="0" w:color="auto"/>
                    <w:bottom w:val="none" w:sz="0" w:space="0" w:color="auto"/>
                    <w:right w:val="none" w:sz="0" w:space="0" w:color="auto"/>
                  </w:divBdr>
                </w:div>
              </w:divsChild>
            </w:div>
            <w:div w:id="227618525">
              <w:marLeft w:val="0"/>
              <w:marRight w:val="0"/>
              <w:marTop w:val="0"/>
              <w:marBottom w:val="0"/>
              <w:divBdr>
                <w:top w:val="none" w:sz="0" w:space="0" w:color="auto"/>
                <w:left w:val="none" w:sz="0" w:space="0" w:color="auto"/>
                <w:bottom w:val="none" w:sz="0" w:space="0" w:color="auto"/>
                <w:right w:val="none" w:sz="0" w:space="0" w:color="auto"/>
              </w:divBdr>
              <w:divsChild>
                <w:div w:id="1917401866">
                  <w:marLeft w:val="0"/>
                  <w:marRight w:val="0"/>
                  <w:marTop w:val="0"/>
                  <w:marBottom w:val="0"/>
                  <w:divBdr>
                    <w:top w:val="none" w:sz="0" w:space="0" w:color="auto"/>
                    <w:left w:val="none" w:sz="0" w:space="0" w:color="auto"/>
                    <w:bottom w:val="none" w:sz="0" w:space="0" w:color="auto"/>
                    <w:right w:val="none" w:sz="0" w:space="0" w:color="auto"/>
                  </w:divBdr>
                </w:div>
              </w:divsChild>
            </w:div>
            <w:div w:id="231085683">
              <w:marLeft w:val="0"/>
              <w:marRight w:val="0"/>
              <w:marTop w:val="0"/>
              <w:marBottom w:val="0"/>
              <w:divBdr>
                <w:top w:val="none" w:sz="0" w:space="0" w:color="auto"/>
                <w:left w:val="none" w:sz="0" w:space="0" w:color="auto"/>
                <w:bottom w:val="none" w:sz="0" w:space="0" w:color="auto"/>
                <w:right w:val="none" w:sz="0" w:space="0" w:color="auto"/>
              </w:divBdr>
              <w:divsChild>
                <w:div w:id="716856010">
                  <w:marLeft w:val="0"/>
                  <w:marRight w:val="0"/>
                  <w:marTop w:val="0"/>
                  <w:marBottom w:val="0"/>
                  <w:divBdr>
                    <w:top w:val="none" w:sz="0" w:space="0" w:color="auto"/>
                    <w:left w:val="none" w:sz="0" w:space="0" w:color="auto"/>
                    <w:bottom w:val="none" w:sz="0" w:space="0" w:color="auto"/>
                    <w:right w:val="none" w:sz="0" w:space="0" w:color="auto"/>
                  </w:divBdr>
                </w:div>
              </w:divsChild>
            </w:div>
            <w:div w:id="250816963">
              <w:marLeft w:val="0"/>
              <w:marRight w:val="0"/>
              <w:marTop w:val="0"/>
              <w:marBottom w:val="0"/>
              <w:divBdr>
                <w:top w:val="none" w:sz="0" w:space="0" w:color="auto"/>
                <w:left w:val="none" w:sz="0" w:space="0" w:color="auto"/>
                <w:bottom w:val="none" w:sz="0" w:space="0" w:color="auto"/>
                <w:right w:val="none" w:sz="0" w:space="0" w:color="auto"/>
              </w:divBdr>
              <w:divsChild>
                <w:div w:id="787817768">
                  <w:marLeft w:val="0"/>
                  <w:marRight w:val="0"/>
                  <w:marTop w:val="0"/>
                  <w:marBottom w:val="0"/>
                  <w:divBdr>
                    <w:top w:val="none" w:sz="0" w:space="0" w:color="auto"/>
                    <w:left w:val="none" w:sz="0" w:space="0" w:color="auto"/>
                    <w:bottom w:val="none" w:sz="0" w:space="0" w:color="auto"/>
                    <w:right w:val="none" w:sz="0" w:space="0" w:color="auto"/>
                  </w:divBdr>
                </w:div>
              </w:divsChild>
            </w:div>
            <w:div w:id="346835333">
              <w:marLeft w:val="0"/>
              <w:marRight w:val="0"/>
              <w:marTop w:val="0"/>
              <w:marBottom w:val="0"/>
              <w:divBdr>
                <w:top w:val="none" w:sz="0" w:space="0" w:color="auto"/>
                <w:left w:val="none" w:sz="0" w:space="0" w:color="auto"/>
                <w:bottom w:val="none" w:sz="0" w:space="0" w:color="auto"/>
                <w:right w:val="none" w:sz="0" w:space="0" w:color="auto"/>
              </w:divBdr>
            </w:div>
            <w:div w:id="411200780">
              <w:marLeft w:val="0"/>
              <w:marRight w:val="0"/>
              <w:marTop w:val="0"/>
              <w:marBottom w:val="0"/>
              <w:divBdr>
                <w:top w:val="none" w:sz="0" w:space="0" w:color="auto"/>
                <w:left w:val="none" w:sz="0" w:space="0" w:color="auto"/>
                <w:bottom w:val="none" w:sz="0" w:space="0" w:color="auto"/>
                <w:right w:val="none" w:sz="0" w:space="0" w:color="auto"/>
              </w:divBdr>
              <w:divsChild>
                <w:div w:id="615793613">
                  <w:marLeft w:val="0"/>
                  <w:marRight w:val="0"/>
                  <w:marTop w:val="0"/>
                  <w:marBottom w:val="0"/>
                  <w:divBdr>
                    <w:top w:val="none" w:sz="0" w:space="0" w:color="auto"/>
                    <w:left w:val="none" w:sz="0" w:space="0" w:color="auto"/>
                    <w:bottom w:val="none" w:sz="0" w:space="0" w:color="auto"/>
                    <w:right w:val="none" w:sz="0" w:space="0" w:color="auto"/>
                  </w:divBdr>
                </w:div>
              </w:divsChild>
            </w:div>
            <w:div w:id="414204135">
              <w:marLeft w:val="0"/>
              <w:marRight w:val="0"/>
              <w:marTop w:val="0"/>
              <w:marBottom w:val="0"/>
              <w:divBdr>
                <w:top w:val="none" w:sz="0" w:space="0" w:color="auto"/>
                <w:left w:val="none" w:sz="0" w:space="0" w:color="auto"/>
                <w:bottom w:val="none" w:sz="0" w:space="0" w:color="auto"/>
                <w:right w:val="none" w:sz="0" w:space="0" w:color="auto"/>
              </w:divBdr>
              <w:divsChild>
                <w:div w:id="1966697657">
                  <w:marLeft w:val="0"/>
                  <w:marRight w:val="0"/>
                  <w:marTop w:val="0"/>
                  <w:marBottom w:val="0"/>
                  <w:divBdr>
                    <w:top w:val="none" w:sz="0" w:space="0" w:color="auto"/>
                    <w:left w:val="none" w:sz="0" w:space="0" w:color="auto"/>
                    <w:bottom w:val="none" w:sz="0" w:space="0" w:color="auto"/>
                    <w:right w:val="none" w:sz="0" w:space="0" w:color="auto"/>
                  </w:divBdr>
                </w:div>
              </w:divsChild>
            </w:div>
            <w:div w:id="614872921">
              <w:marLeft w:val="0"/>
              <w:marRight w:val="0"/>
              <w:marTop w:val="0"/>
              <w:marBottom w:val="0"/>
              <w:divBdr>
                <w:top w:val="none" w:sz="0" w:space="0" w:color="auto"/>
                <w:left w:val="none" w:sz="0" w:space="0" w:color="auto"/>
                <w:bottom w:val="none" w:sz="0" w:space="0" w:color="auto"/>
                <w:right w:val="none" w:sz="0" w:space="0" w:color="auto"/>
              </w:divBdr>
            </w:div>
            <w:div w:id="667371561">
              <w:marLeft w:val="0"/>
              <w:marRight w:val="0"/>
              <w:marTop w:val="0"/>
              <w:marBottom w:val="0"/>
              <w:divBdr>
                <w:top w:val="none" w:sz="0" w:space="0" w:color="auto"/>
                <w:left w:val="none" w:sz="0" w:space="0" w:color="auto"/>
                <w:bottom w:val="none" w:sz="0" w:space="0" w:color="auto"/>
                <w:right w:val="none" w:sz="0" w:space="0" w:color="auto"/>
              </w:divBdr>
              <w:divsChild>
                <w:div w:id="987057185">
                  <w:marLeft w:val="0"/>
                  <w:marRight w:val="0"/>
                  <w:marTop w:val="0"/>
                  <w:marBottom w:val="0"/>
                  <w:divBdr>
                    <w:top w:val="none" w:sz="0" w:space="0" w:color="auto"/>
                    <w:left w:val="none" w:sz="0" w:space="0" w:color="auto"/>
                    <w:bottom w:val="none" w:sz="0" w:space="0" w:color="auto"/>
                    <w:right w:val="none" w:sz="0" w:space="0" w:color="auto"/>
                  </w:divBdr>
                </w:div>
              </w:divsChild>
            </w:div>
            <w:div w:id="892691483">
              <w:marLeft w:val="0"/>
              <w:marRight w:val="0"/>
              <w:marTop w:val="0"/>
              <w:marBottom w:val="0"/>
              <w:divBdr>
                <w:top w:val="none" w:sz="0" w:space="0" w:color="auto"/>
                <w:left w:val="none" w:sz="0" w:space="0" w:color="auto"/>
                <w:bottom w:val="none" w:sz="0" w:space="0" w:color="auto"/>
                <w:right w:val="none" w:sz="0" w:space="0" w:color="auto"/>
              </w:divBdr>
              <w:divsChild>
                <w:div w:id="1877768856">
                  <w:marLeft w:val="0"/>
                  <w:marRight w:val="0"/>
                  <w:marTop w:val="0"/>
                  <w:marBottom w:val="0"/>
                  <w:divBdr>
                    <w:top w:val="none" w:sz="0" w:space="0" w:color="auto"/>
                    <w:left w:val="none" w:sz="0" w:space="0" w:color="auto"/>
                    <w:bottom w:val="none" w:sz="0" w:space="0" w:color="auto"/>
                    <w:right w:val="none" w:sz="0" w:space="0" w:color="auto"/>
                  </w:divBdr>
                </w:div>
              </w:divsChild>
            </w:div>
            <w:div w:id="947852711">
              <w:marLeft w:val="0"/>
              <w:marRight w:val="0"/>
              <w:marTop w:val="0"/>
              <w:marBottom w:val="0"/>
              <w:divBdr>
                <w:top w:val="none" w:sz="0" w:space="0" w:color="auto"/>
                <w:left w:val="none" w:sz="0" w:space="0" w:color="auto"/>
                <w:bottom w:val="none" w:sz="0" w:space="0" w:color="auto"/>
                <w:right w:val="none" w:sz="0" w:space="0" w:color="auto"/>
              </w:divBdr>
              <w:divsChild>
                <w:div w:id="1078479635">
                  <w:marLeft w:val="0"/>
                  <w:marRight w:val="0"/>
                  <w:marTop w:val="0"/>
                  <w:marBottom w:val="0"/>
                  <w:divBdr>
                    <w:top w:val="none" w:sz="0" w:space="0" w:color="auto"/>
                    <w:left w:val="none" w:sz="0" w:space="0" w:color="auto"/>
                    <w:bottom w:val="none" w:sz="0" w:space="0" w:color="auto"/>
                    <w:right w:val="none" w:sz="0" w:space="0" w:color="auto"/>
                  </w:divBdr>
                </w:div>
              </w:divsChild>
            </w:div>
            <w:div w:id="977144417">
              <w:marLeft w:val="0"/>
              <w:marRight w:val="0"/>
              <w:marTop w:val="0"/>
              <w:marBottom w:val="0"/>
              <w:divBdr>
                <w:top w:val="none" w:sz="0" w:space="0" w:color="auto"/>
                <w:left w:val="none" w:sz="0" w:space="0" w:color="auto"/>
                <w:bottom w:val="none" w:sz="0" w:space="0" w:color="auto"/>
                <w:right w:val="none" w:sz="0" w:space="0" w:color="auto"/>
              </w:divBdr>
              <w:divsChild>
                <w:div w:id="1170172226">
                  <w:marLeft w:val="0"/>
                  <w:marRight w:val="0"/>
                  <w:marTop w:val="0"/>
                  <w:marBottom w:val="0"/>
                  <w:divBdr>
                    <w:top w:val="none" w:sz="0" w:space="0" w:color="auto"/>
                    <w:left w:val="none" w:sz="0" w:space="0" w:color="auto"/>
                    <w:bottom w:val="none" w:sz="0" w:space="0" w:color="auto"/>
                    <w:right w:val="none" w:sz="0" w:space="0" w:color="auto"/>
                  </w:divBdr>
                </w:div>
              </w:divsChild>
            </w:div>
            <w:div w:id="1440754208">
              <w:marLeft w:val="0"/>
              <w:marRight w:val="0"/>
              <w:marTop w:val="0"/>
              <w:marBottom w:val="0"/>
              <w:divBdr>
                <w:top w:val="none" w:sz="0" w:space="0" w:color="auto"/>
                <w:left w:val="none" w:sz="0" w:space="0" w:color="auto"/>
                <w:bottom w:val="none" w:sz="0" w:space="0" w:color="auto"/>
                <w:right w:val="none" w:sz="0" w:space="0" w:color="auto"/>
              </w:divBdr>
              <w:divsChild>
                <w:div w:id="461390872">
                  <w:marLeft w:val="0"/>
                  <w:marRight w:val="0"/>
                  <w:marTop w:val="0"/>
                  <w:marBottom w:val="0"/>
                  <w:divBdr>
                    <w:top w:val="none" w:sz="0" w:space="0" w:color="auto"/>
                    <w:left w:val="none" w:sz="0" w:space="0" w:color="auto"/>
                    <w:bottom w:val="none" w:sz="0" w:space="0" w:color="auto"/>
                    <w:right w:val="none" w:sz="0" w:space="0" w:color="auto"/>
                  </w:divBdr>
                </w:div>
              </w:divsChild>
            </w:div>
            <w:div w:id="1445687108">
              <w:marLeft w:val="0"/>
              <w:marRight w:val="0"/>
              <w:marTop w:val="0"/>
              <w:marBottom w:val="0"/>
              <w:divBdr>
                <w:top w:val="none" w:sz="0" w:space="0" w:color="auto"/>
                <w:left w:val="none" w:sz="0" w:space="0" w:color="auto"/>
                <w:bottom w:val="none" w:sz="0" w:space="0" w:color="auto"/>
                <w:right w:val="none" w:sz="0" w:space="0" w:color="auto"/>
              </w:divBdr>
              <w:divsChild>
                <w:div w:id="33651813">
                  <w:marLeft w:val="0"/>
                  <w:marRight w:val="0"/>
                  <w:marTop w:val="0"/>
                  <w:marBottom w:val="0"/>
                  <w:divBdr>
                    <w:top w:val="none" w:sz="0" w:space="0" w:color="auto"/>
                    <w:left w:val="none" w:sz="0" w:space="0" w:color="auto"/>
                    <w:bottom w:val="none" w:sz="0" w:space="0" w:color="auto"/>
                    <w:right w:val="none" w:sz="0" w:space="0" w:color="auto"/>
                  </w:divBdr>
                </w:div>
              </w:divsChild>
            </w:div>
            <w:div w:id="1634289704">
              <w:marLeft w:val="0"/>
              <w:marRight w:val="0"/>
              <w:marTop w:val="0"/>
              <w:marBottom w:val="0"/>
              <w:divBdr>
                <w:top w:val="none" w:sz="0" w:space="0" w:color="auto"/>
                <w:left w:val="none" w:sz="0" w:space="0" w:color="auto"/>
                <w:bottom w:val="none" w:sz="0" w:space="0" w:color="auto"/>
                <w:right w:val="none" w:sz="0" w:space="0" w:color="auto"/>
              </w:divBdr>
            </w:div>
            <w:div w:id="1717850874">
              <w:marLeft w:val="0"/>
              <w:marRight w:val="0"/>
              <w:marTop w:val="0"/>
              <w:marBottom w:val="0"/>
              <w:divBdr>
                <w:top w:val="none" w:sz="0" w:space="0" w:color="auto"/>
                <w:left w:val="none" w:sz="0" w:space="0" w:color="auto"/>
                <w:bottom w:val="none" w:sz="0" w:space="0" w:color="auto"/>
                <w:right w:val="none" w:sz="0" w:space="0" w:color="auto"/>
              </w:divBdr>
              <w:divsChild>
                <w:div w:id="1963684251">
                  <w:marLeft w:val="0"/>
                  <w:marRight w:val="0"/>
                  <w:marTop w:val="0"/>
                  <w:marBottom w:val="0"/>
                  <w:divBdr>
                    <w:top w:val="none" w:sz="0" w:space="0" w:color="auto"/>
                    <w:left w:val="none" w:sz="0" w:space="0" w:color="auto"/>
                    <w:bottom w:val="none" w:sz="0" w:space="0" w:color="auto"/>
                    <w:right w:val="none" w:sz="0" w:space="0" w:color="auto"/>
                  </w:divBdr>
                </w:div>
              </w:divsChild>
            </w:div>
            <w:div w:id="1785073352">
              <w:marLeft w:val="0"/>
              <w:marRight w:val="0"/>
              <w:marTop w:val="0"/>
              <w:marBottom w:val="0"/>
              <w:divBdr>
                <w:top w:val="none" w:sz="0" w:space="0" w:color="auto"/>
                <w:left w:val="none" w:sz="0" w:space="0" w:color="auto"/>
                <w:bottom w:val="none" w:sz="0" w:space="0" w:color="auto"/>
                <w:right w:val="none" w:sz="0" w:space="0" w:color="auto"/>
              </w:divBdr>
              <w:divsChild>
                <w:div w:id="1893879499">
                  <w:marLeft w:val="0"/>
                  <w:marRight w:val="0"/>
                  <w:marTop w:val="0"/>
                  <w:marBottom w:val="0"/>
                  <w:divBdr>
                    <w:top w:val="none" w:sz="0" w:space="0" w:color="auto"/>
                    <w:left w:val="none" w:sz="0" w:space="0" w:color="auto"/>
                    <w:bottom w:val="none" w:sz="0" w:space="0" w:color="auto"/>
                    <w:right w:val="none" w:sz="0" w:space="0" w:color="auto"/>
                  </w:divBdr>
                </w:div>
              </w:divsChild>
            </w:div>
            <w:div w:id="1822118466">
              <w:marLeft w:val="0"/>
              <w:marRight w:val="0"/>
              <w:marTop w:val="0"/>
              <w:marBottom w:val="0"/>
              <w:divBdr>
                <w:top w:val="none" w:sz="0" w:space="0" w:color="auto"/>
                <w:left w:val="none" w:sz="0" w:space="0" w:color="auto"/>
                <w:bottom w:val="none" w:sz="0" w:space="0" w:color="auto"/>
                <w:right w:val="none" w:sz="0" w:space="0" w:color="auto"/>
              </w:divBdr>
            </w:div>
            <w:div w:id="1829789889">
              <w:marLeft w:val="0"/>
              <w:marRight w:val="0"/>
              <w:marTop w:val="0"/>
              <w:marBottom w:val="0"/>
              <w:divBdr>
                <w:top w:val="none" w:sz="0" w:space="0" w:color="auto"/>
                <w:left w:val="none" w:sz="0" w:space="0" w:color="auto"/>
                <w:bottom w:val="none" w:sz="0" w:space="0" w:color="auto"/>
                <w:right w:val="none" w:sz="0" w:space="0" w:color="auto"/>
              </w:divBdr>
            </w:div>
            <w:div w:id="1907252998">
              <w:marLeft w:val="0"/>
              <w:marRight w:val="0"/>
              <w:marTop w:val="0"/>
              <w:marBottom w:val="0"/>
              <w:divBdr>
                <w:top w:val="none" w:sz="0" w:space="0" w:color="auto"/>
                <w:left w:val="none" w:sz="0" w:space="0" w:color="auto"/>
                <w:bottom w:val="none" w:sz="0" w:space="0" w:color="auto"/>
                <w:right w:val="none" w:sz="0" w:space="0" w:color="auto"/>
              </w:divBdr>
              <w:divsChild>
                <w:div w:id="1563906944">
                  <w:marLeft w:val="0"/>
                  <w:marRight w:val="0"/>
                  <w:marTop w:val="0"/>
                  <w:marBottom w:val="0"/>
                  <w:divBdr>
                    <w:top w:val="none" w:sz="0" w:space="0" w:color="auto"/>
                    <w:left w:val="none" w:sz="0" w:space="0" w:color="auto"/>
                    <w:bottom w:val="none" w:sz="0" w:space="0" w:color="auto"/>
                    <w:right w:val="none" w:sz="0" w:space="0" w:color="auto"/>
                  </w:divBdr>
                </w:div>
              </w:divsChild>
            </w:div>
            <w:div w:id="1913469787">
              <w:marLeft w:val="0"/>
              <w:marRight w:val="0"/>
              <w:marTop w:val="0"/>
              <w:marBottom w:val="0"/>
              <w:divBdr>
                <w:top w:val="none" w:sz="0" w:space="0" w:color="auto"/>
                <w:left w:val="none" w:sz="0" w:space="0" w:color="auto"/>
                <w:bottom w:val="none" w:sz="0" w:space="0" w:color="auto"/>
                <w:right w:val="none" w:sz="0" w:space="0" w:color="auto"/>
              </w:divBdr>
            </w:div>
            <w:div w:id="1935821183">
              <w:marLeft w:val="0"/>
              <w:marRight w:val="0"/>
              <w:marTop w:val="0"/>
              <w:marBottom w:val="0"/>
              <w:divBdr>
                <w:top w:val="none" w:sz="0" w:space="0" w:color="auto"/>
                <w:left w:val="none" w:sz="0" w:space="0" w:color="auto"/>
                <w:bottom w:val="none" w:sz="0" w:space="0" w:color="auto"/>
                <w:right w:val="none" w:sz="0" w:space="0" w:color="auto"/>
              </w:divBdr>
              <w:divsChild>
                <w:div w:id="515777198">
                  <w:marLeft w:val="0"/>
                  <w:marRight w:val="0"/>
                  <w:marTop w:val="0"/>
                  <w:marBottom w:val="0"/>
                  <w:divBdr>
                    <w:top w:val="none" w:sz="0" w:space="0" w:color="auto"/>
                    <w:left w:val="none" w:sz="0" w:space="0" w:color="auto"/>
                    <w:bottom w:val="none" w:sz="0" w:space="0" w:color="auto"/>
                    <w:right w:val="none" w:sz="0" w:space="0" w:color="auto"/>
                  </w:divBdr>
                </w:div>
              </w:divsChild>
            </w:div>
            <w:div w:id="1972128124">
              <w:marLeft w:val="0"/>
              <w:marRight w:val="0"/>
              <w:marTop w:val="0"/>
              <w:marBottom w:val="0"/>
              <w:divBdr>
                <w:top w:val="none" w:sz="0" w:space="0" w:color="auto"/>
                <w:left w:val="none" w:sz="0" w:space="0" w:color="auto"/>
                <w:bottom w:val="none" w:sz="0" w:space="0" w:color="auto"/>
                <w:right w:val="none" w:sz="0" w:space="0" w:color="auto"/>
              </w:divBdr>
              <w:divsChild>
                <w:div w:id="131599627">
                  <w:marLeft w:val="0"/>
                  <w:marRight w:val="0"/>
                  <w:marTop w:val="0"/>
                  <w:marBottom w:val="0"/>
                  <w:divBdr>
                    <w:top w:val="none" w:sz="0" w:space="0" w:color="auto"/>
                    <w:left w:val="none" w:sz="0" w:space="0" w:color="auto"/>
                    <w:bottom w:val="none" w:sz="0" w:space="0" w:color="auto"/>
                    <w:right w:val="none" w:sz="0" w:space="0" w:color="auto"/>
                  </w:divBdr>
                </w:div>
              </w:divsChild>
            </w:div>
            <w:div w:id="2005205834">
              <w:marLeft w:val="0"/>
              <w:marRight w:val="0"/>
              <w:marTop w:val="0"/>
              <w:marBottom w:val="0"/>
              <w:divBdr>
                <w:top w:val="none" w:sz="0" w:space="0" w:color="auto"/>
                <w:left w:val="none" w:sz="0" w:space="0" w:color="auto"/>
                <w:bottom w:val="none" w:sz="0" w:space="0" w:color="auto"/>
                <w:right w:val="none" w:sz="0" w:space="0" w:color="auto"/>
              </w:divBdr>
            </w:div>
            <w:div w:id="2099249228">
              <w:marLeft w:val="0"/>
              <w:marRight w:val="0"/>
              <w:marTop w:val="0"/>
              <w:marBottom w:val="0"/>
              <w:divBdr>
                <w:top w:val="none" w:sz="0" w:space="0" w:color="auto"/>
                <w:left w:val="none" w:sz="0" w:space="0" w:color="auto"/>
                <w:bottom w:val="none" w:sz="0" w:space="0" w:color="auto"/>
                <w:right w:val="none" w:sz="0" w:space="0" w:color="auto"/>
              </w:divBdr>
              <w:divsChild>
                <w:div w:id="509416669">
                  <w:marLeft w:val="0"/>
                  <w:marRight w:val="0"/>
                  <w:marTop w:val="0"/>
                  <w:marBottom w:val="0"/>
                  <w:divBdr>
                    <w:top w:val="none" w:sz="0" w:space="0" w:color="auto"/>
                    <w:left w:val="none" w:sz="0" w:space="0" w:color="auto"/>
                    <w:bottom w:val="none" w:sz="0" w:space="0" w:color="auto"/>
                    <w:right w:val="none" w:sz="0" w:space="0" w:color="auto"/>
                  </w:divBdr>
                </w:div>
              </w:divsChild>
            </w:div>
            <w:div w:id="2122066624">
              <w:marLeft w:val="0"/>
              <w:marRight w:val="0"/>
              <w:marTop w:val="0"/>
              <w:marBottom w:val="0"/>
              <w:divBdr>
                <w:top w:val="none" w:sz="0" w:space="0" w:color="auto"/>
                <w:left w:val="none" w:sz="0" w:space="0" w:color="auto"/>
                <w:bottom w:val="none" w:sz="0" w:space="0" w:color="auto"/>
                <w:right w:val="none" w:sz="0" w:space="0" w:color="auto"/>
              </w:divBdr>
            </w:div>
          </w:divsChild>
        </w:div>
        <w:div w:id="1686443333">
          <w:marLeft w:val="0"/>
          <w:marRight w:val="0"/>
          <w:marTop w:val="0"/>
          <w:marBottom w:val="0"/>
          <w:divBdr>
            <w:top w:val="none" w:sz="0" w:space="0" w:color="auto"/>
            <w:left w:val="none" w:sz="0" w:space="0" w:color="auto"/>
            <w:bottom w:val="none" w:sz="0" w:space="0" w:color="auto"/>
            <w:right w:val="none" w:sz="0" w:space="0" w:color="auto"/>
          </w:divBdr>
        </w:div>
      </w:divsChild>
    </w:div>
    <w:div w:id="941106234">
      <w:bodyDiv w:val="1"/>
      <w:marLeft w:val="0"/>
      <w:marRight w:val="0"/>
      <w:marTop w:val="0"/>
      <w:marBottom w:val="0"/>
      <w:divBdr>
        <w:top w:val="none" w:sz="0" w:space="0" w:color="auto"/>
        <w:left w:val="none" w:sz="0" w:space="0" w:color="auto"/>
        <w:bottom w:val="none" w:sz="0" w:space="0" w:color="auto"/>
        <w:right w:val="none" w:sz="0" w:space="0" w:color="auto"/>
      </w:divBdr>
    </w:div>
    <w:div w:id="952252156">
      <w:bodyDiv w:val="1"/>
      <w:marLeft w:val="0"/>
      <w:marRight w:val="0"/>
      <w:marTop w:val="0"/>
      <w:marBottom w:val="0"/>
      <w:divBdr>
        <w:top w:val="none" w:sz="0" w:space="0" w:color="auto"/>
        <w:left w:val="none" w:sz="0" w:space="0" w:color="auto"/>
        <w:bottom w:val="none" w:sz="0" w:space="0" w:color="auto"/>
        <w:right w:val="none" w:sz="0" w:space="0" w:color="auto"/>
      </w:divBdr>
    </w:div>
    <w:div w:id="1000236347">
      <w:bodyDiv w:val="1"/>
      <w:marLeft w:val="0"/>
      <w:marRight w:val="0"/>
      <w:marTop w:val="0"/>
      <w:marBottom w:val="0"/>
      <w:divBdr>
        <w:top w:val="none" w:sz="0" w:space="0" w:color="auto"/>
        <w:left w:val="none" w:sz="0" w:space="0" w:color="auto"/>
        <w:bottom w:val="none" w:sz="0" w:space="0" w:color="auto"/>
        <w:right w:val="none" w:sz="0" w:space="0" w:color="auto"/>
      </w:divBdr>
    </w:div>
    <w:div w:id="1004430869">
      <w:bodyDiv w:val="1"/>
      <w:marLeft w:val="0"/>
      <w:marRight w:val="0"/>
      <w:marTop w:val="0"/>
      <w:marBottom w:val="0"/>
      <w:divBdr>
        <w:top w:val="none" w:sz="0" w:space="0" w:color="auto"/>
        <w:left w:val="none" w:sz="0" w:space="0" w:color="auto"/>
        <w:bottom w:val="none" w:sz="0" w:space="0" w:color="auto"/>
        <w:right w:val="none" w:sz="0" w:space="0" w:color="auto"/>
      </w:divBdr>
    </w:div>
    <w:div w:id="1093479298">
      <w:bodyDiv w:val="1"/>
      <w:marLeft w:val="0"/>
      <w:marRight w:val="0"/>
      <w:marTop w:val="0"/>
      <w:marBottom w:val="0"/>
      <w:divBdr>
        <w:top w:val="none" w:sz="0" w:space="0" w:color="auto"/>
        <w:left w:val="none" w:sz="0" w:space="0" w:color="auto"/>
        <w:bottom w:val="none" w:sz="0" w:space="0" w:color="auto"/>
        <w:right w:val="none" w:sz="0" w:space="0" w:color="auto"/>
      </w:divBdr>
    </w:div>
    <w:div w:id="1104224203">
      <w:bodyDiv w:val="1"/>
      <w:marLeft w:val="0"/>
      <w:marRight w:val="0"/>
      <w:marTop w:val="0"/>
      <w:marBottom w:val="0"/>
      <w:divBdr>
        <w:top w:val="none" w:sz="0" w:space="0" w:color="auto"/>
        <w:left w:val="none" w:sz="0" w:space="0" w:color="auto"/>
        <w:bottom w:val="none" w:sz="0" w:space="0" w:color="auto"/>
        <w:right w:val="none" w:sz="0" w:space="0" w:color="auto"/>
      </w:divBdr>
    </w:div>
    <w:div w:id="1165436064">
      <w:bodyDiv w:val="1"/>
      <w:marLeft w:val="0"/>
      <w:marRight w:val="0"/>
      <w:marTop w:val="0"/>
      <w:marBottom w:val="0"/>
      <w:divBdr>
        <w:top w:val="none" w:sz="0" w:space="0" w:color="auto"/>
        <w:left w:val="none" w:sz="0" w:space="0" w:color="auto"/>
        <w:bottom w:val="none" w:sz="0" w:space="0" w:color="auto"/>
        <w:right w:val="none" w:sz="0" w:space="0" w:color="auto"/>
      </w:divBdr>
    </w:div>
    <w:div w:id="1245651201">
      <w:bodyDiv w:val="1"/>
      <w:marLeft w:val="0"/>
      <w:marRight w:val="0"/>
      <w:marTop w:val="0"/>
      <w:marBottom w:val="0"/>
      <w:divBdr>
        <w:top w:val="none" w:sz="0" w:space="0" w:color="auto"/>
        <w:left w:val="none" w:sz="0" w:space="0" w:color="auto"/>
        <w:bottom w:val="none" w:sz="0" w:space="0" w:color="auto"/>
        <w:right w:val="none" w:sz="0" w:space="0" w:color="auto"/>
      </w:divBdr>
      <w:divsChild>
        <w:div w:id="332688080">
          <w:marLeft w:val="0"/>
          <w:marRight w:val="0"/>
          <w:marTop w:val="0"/>
          <w:marBottom w:val="0"/>
          <w:divBdr>
            <w:top w:val="none" w:sz="0" w:space="0" w:color="auto"/>
            <w:left w:val="none" w:sz="0" w:space="0" w:color="auto"/>
            <w:bottom w:val="none" w:sz="0" w:space="0" w:color="auto"/>
            <w:right w:val="none" w:sz="0" w:space="0" w:color="auto"/>
          </w:divBdr>
          <w:divsChild>
            <w:div w:id="2030520289">
              <w:marLeft w:val="0"/>
              <w:marRight w:val="0"/>
              <w:marTop w:val="0"/>
              <w:marBottom w:val="0"/>
              <w:divBdr>
                <w:top w:val="none" w:sz="0" w:space="0" w:color="auto"/>
                <w:left w:val="none" w:sz="0" w:space="0" w:color="auto"/>
                <w:bottom w:val="none" w:sz="0" w:space="0" w:color="auto"/>
                <w:right w:val="none" w:sz="0" w:space="0" w:color="auto"/>
              </w:divBdr>
              <w:divsChild>
                <w:div w:id="1080756231">
                  <w:marLeft w:val="0"/>
                  <w:marRight w:val="0"/>
                  <w:marTop w:val="0"/>
                  <w:marBottom w:val="0"/>
                  <w:divBdr>
                    <w:top w:val="none" w:sz="0" w:space="0" w:color="auto"/>
                    <w:left w:val="none" w:sz="0" w:space="0" w:color="auto"/>
                    <w:bottom w:val="none" w:sz="0" w:space="0" w:color="auto"/>
                    <w:right w:val="none" w:sz="0" w:space="0" w:color="auto"/>
                  </w:divBdr>
                  <w:divsChild>
                    <w:div w:id="25253702">
                      <w:marLeft w:val="0"/>
                      <w:marRight w:val="0"/>
                      <w:marTop w:val="0"/>
                      <w:marBottom w:val="0"/>
                      <w:divBdr>
                        <w:top w:val="none" w:sz="0" w:space="0" w:color="auto"/>
                        <w:left w:val="none" w:sz="0" w:space="0" w:color="auto"/>
                        <w:bottom w:val="none" w:sz="0" w:space="0" w:color="auto"/>
                        <w:right w:val="none" w:sz="0" w:space="0" w:color="auto"/>
                      </w:divBdr>
                      <w:divsChild>
                        <w:div w:id="1321040257">
                          <w:marLeft w:val="0"/>
                          <w:marRight w:val="0"/>
                          <w:marTop w:val="0"/>
                          <w:marBottom w:val="0"/>
                          <w:divBdr>
                            <w:top w:val="none" w:sz="0" w:space="0" w:color="auto"/>
                            <w:left w:val="none" w:sz="0" w:space="0" w:color="auto"/>
                            <w:bottom w:val="none" w:sz="0" w:space="0" w:color="auto"/>
                            <w:right w:val="none" w:sz="0" w:space="0" w:color="auto"/>
                          </w:divBdr>
                          <w:divsChild>
                            <w:div w:id="393238676">
                              <w:marLeft w:val="0"/>
                              <w:marRight w:val="0"/>
                              <w:marTop w:val="0"/>
                              <w:marBottom w:val="0"/>
                              <w:divBdr>
                                <w:top w:val="none" w:sz="0" w:space="0" w:color="auto"/>
                                <w:left w:val="none" w:sz="0" w:space="0" w:color="auto"/>
                                <w:bottom w:val="none" w:sz="0" w:space="0" w:color="auto"/>
                                <w:right w:val="none" w:sz="0" w:space="0" w:color="auto"/>
                              </w:divBdr>
                            </w:div>
                            <w:div w:id="20204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12828">
      <w:bodyDiv w:val="1"/>
      <w:marLeft w:val="0"/>
      <w:marRight w:val="0"/>
      <w:marTop w:val="0"/>
      <w:marBottom w:val="0"/>
      <w:divBdr>
        <w:top w:val="none" w:sz="0" w:space="0" w:color="auto"/>
        <w:left w:val="none" w:sz="0" w:space="0" w:color="auto"/>
        <w:bottom w:val="none" w:sz="0" w:space="0" w:color="auto"/>
        <w:right w:val="none" w:sz="0" w:space="0" w:color="auto"/>
      </w:divBdr>
    </w:div>
    <w:div w:id="1324508814">
      <w:bodyDiv w:val="1"/>
      <w:marLeft w:val="0"/>
      <w:marRight w:val="0"/>
      <w:marTop w:val="0"/>
      <w:marBottom w:val="0"/>
      <w:divBdr>
        <w:top w:val="none" w:sz="0" w:space="0" w:color="auto"/>
        <w:left w:val="none" w:sz="0" w:space="0" w:color="auto"/>
        <w:bottom w:val="none" w:sz="0" w:space="0" w:color="auto"/>
        <w:right w:val="none" w:sz="0" w:space="0" w:color="auto"/>
      </w:divBdr>
    </w:div>
    <w:div w:id="1350910028">
      <w:bodyDiv w:val="1"/>
      <w:marLeft w:val="0"/>
      <w:marRight w:val="0"/>
      <w:marTop w:val="0"/>
      <w:marBottom w:val="0"/>
      <w:divBdr>
        <w:top w:val="none" w:sz="0" w:space="0" w:color="auto"/>
        <w:left w:val="none" w:sz="0" w:space="0" w:color="auto"/>
        <w:bottom w:val="none" w:sz="0" w:space="0" w:color="auto"/>
        <w:right w:val="none" w:sz="0" w:space="0" w:color="auto"/>
      </w:divBdr>
    </w:div>
    <w:div w:id="1369649195">
      <w:bodyDiv w:val="1"/>
      <w:marLeft w:val="0"/>
      <w:marRight w:val="0"/>
      <w:marTop w:val="0"/>
      <w:marBottom w:val="0"/>
      <w:divBdr>
        <w:top w:val="none" w:sz="0" w:space="0" w:color="auto"/>
        <w:left w:val="none" w:sz="0" w:space="0" w:color="auto"/>
        <w:bottom w:val="none" w:sz="0" w:space="0" w:color="auto"/>
        <w:right w:val="none" w:sz="0" w:space="0" w:color="auto"/>
      </w:divBdr>
    </w:div>
    <w:div w:id="1394700279">
      <w:bodyDiv w:val="1"/>
      <w:marLeft w:val="0"/>
      <w:marRight w:val="0"/>
      <w:marTop w:val="0"/>
      <w:marBottom w:val="0"/>
      <w:divBdr>
        <w:top w:val="none" w:sz="0" w:space="0" w:color="auto"/>
        <w:left w:val="none" w:sz="0" w:space="0" w:color="auto"/>
        <w:bottom w:val="none" w:sz="0" w:space="0" w:color="auto"/>
        <w:right w:val="none" w:sz="0" w:space="0" w:color="auto"/>
      </w:divBdr>
    </w:div>
    <w:div w:id="1396004736">
      <w:bodyDiv w:val="1"/>
      <w:marLeft w:val="0"/>
      <w:marRight w:val="0"/>
      <w:marTop w:val="0"/>
      <w:marBottom w:val="0"/>
      <w:divBdr>
        <w:top w:val="none" w:sz="0" w:space="0" w:color="auto"/>
        <w:left w:val="none" w:sz="0" w:space="0" w:color="auto"/>
        <w:bottom w:val="none" w:sz="0" w:space="0" w:color="auto"/>
        <w:right w:val="none" w:sz="0" w:space="0" w:color="auto"/>
      </w:divBdr>
      <w:divsChild>
        <w:div w:id="314139820">
          <w:marLeft w:val="0"/>
          <w:marRight w:val="0"/>
          <w:marTop w:val="0"/>
          <w:marBottom w:val="0"/>
          <w:divBdr>
            <w:top w:val="none" w:sz="0" w:space="0" w:color="auto"/>
            <w:left w:val="none" w:sz="0" w:space="0" w:color="auto"/>
            <w:bottom w:val="none" w:sz="0" w:space="0" w:color="auto"/>
            <w:right w:val="none" w:sz="0" w:space="0" w:color="auto"/>
          </w:divBdr>
        </w:div>
      </w:divsChild>
    </w:div>
    <w:div w:id="1447580972">
      <w:bodyDiv w:val="1"/>
      <w:marLeft w:val="0"/>
      <w:marRight w:val="0"/>
      <w:marTop w:val="0"/>
      <w:marBottom w:val="0"/>
      <w:divBdr>
        <w:top w:val="none" w:sz="0" w:space="0" w:color="auto"/>
        <w:left w:val="none" w:sz="0" w:space="0" w:color="auto"/>
        <w:bottom w:val="none" w:sz="0" w:space="0" w:color="auto"/>
        <w:right w:val="none" w:sz="0" w:space="0" w:color="auto"/>
      </w:divBdr>
    </w:div>
    <w:div w:id="1475297054">
      <w:bodyDiv w:val="1"/>
      <w:marLeft w:val="0"/>
      <w:marRight w:val="0"/>
      <w:marTop w:val="0"/>
      <w:marBottom w:val="0"/>
      <w:divBdr>
        <w:top w:val="none" w:sz="0" w:space="0" w:color="auto"/>
        <w:left w:val="none" w:sz="0" w:space="0" w:color="auto"/>
        <w:bottom w:val="none" w:sz="0" w:space="0" w:color="auto"/>
        <w:right w:val="none" w:sz="0" w:space="0" w:color="auto"/>
      </w:divBdr>
    </w:div>
    <w:div w:id="1480614174">
      <w:bodyDiv w:val="1"/>
      <w:marLeft w:val="0"/>
      <w:marRight w:val="0"/>
      <w:marTop w:val="0"/>
      <w:marBottom w:val="0"/>
      <w:divBdr>
        <w:top w:val="none" w:sz="0" w:space="0" w:color="auto"/>
        <w:left w:val="none" w:sz="0" w:space="0" w:color="auto"/>
        <w:bottom w:val="none" w:sz="0" w:space="0" w:color="auto"/>
        <w:right w:val="none" w:sz="0" w:space="0" w:color="auto"/>
      </w:divBdr>
    </w:div>
    <w:div w:id="1502813153">
      <w:bodyDiv w:val="1"/>
      <w:marLeft w:val="0"/>
      <w:marRight w:val="0"/>
      <w:marTop w:val="0"/>
      <w:marBottom w:val="0"/>
      <w:divBdr>
        <w:top w:val="none" w:sz="0" w:space="0" w:color="auto"/>
        <w:left w:val="none" w:sz="0" w:space="0" w:color="auto"/>
        <w:bottom w:val="none" w:sz="0" w:space="0" w:color="auto"/>
        <w:right w:val="none" w:sz="0" w:space="0" w:color="auto"/>
      </w:divBdr>
    </w:div>
    <w:div w:id="1577128450">
      <w:bodyDiv w:val="1"/>
      <w:marLeft w:val="0"/>
      <w:marRight w:val="0"/>
      <w:marTop w:val="0"/>
      <w:marBottom w:val="0"/>
      <w:divBdr>
        <w:top w:val="none" w:sz="0" w:space="0" w:color="auto"/>
        <w:left w:val="none" w:sz="0" w:space="0" w:color="auto"/>
        <w:bottom w:val="none" w:sz="0" w:space="0" w:color="auto"/>
        <w:right w:val="none" w:sz="0" w:space="0" w:color="auto"/>
      </w:divBdr>
    </w:div>
    <w:div w:id="1579050927">
      <w:bodyDiv w:val="1"/>
      <w:marLeft w:val="0"/>
      <w:marRight w:val="0"/>
      <w:marTop w:val="0"/>
      <w:marBottom w:val="0"/>
      <w:divBdr>
        <w:top w:val="none" w:sz="0" w:space="0" w:color="auto"/>
        <w:left w:val="none" w:sz="0" w:space="0" w:color="auto"/>
        <w:bottom w:val="none" w:sz="0" w:space="0" w:color="auto"/>
        <w:right w:val="none" w:sz="0" w:space="0" w:color="auto"/>
      </w:divBdr>
    </w:div>
    <w:div w:id="1589803823">
      <w:bodyDiv w:val="1"/>
      <w:marLeft w:val="0"/>
      <w:marRight w:val="0"/>
      <w:marTop w:val="0"/>
      <w:marBottom w:val="0"/>
      <w:divBdr>
        <w:top w:val="none" w:sz="0" w:space="0" w:color="auto"/>
        <w:left w:val="none" w:sz="0" w:space="0" w:color="auto"/>
        <w:bottom w:val="none" w:sz="0" w:space="0" w:color="auto"/>
        <w:right w:val="none" w:sz="0" w:space="0" w:color="auto"/>
      </w:divBdr>
    </w:div>
    <w:div w:id="1708945074">
      <w:bodyDiv w:val="1"/>
      <w:marLeft w:val="0"/>
      <w:marRight w:val="0"/>
      <w:marTop w:val="0"/>
      <w:marBottom w:val="0"/>
      <w:divBdr>
        <w:top w:val="none" w:sz="0" w:space="0" w:color="auto"/>
        <w:left w:val="none" w:sz="0" w:space="0" w:color="auto"/>
        <w:bottom w:val="none" w:sz="0" w:space="0" w:color="auto"/>
        <w:right w:val="none" w:sz="0" w:space="0" w:color="auto"/>
      </w:divBdr>
    </w:div>
    <w:div w:id="1759331121">
      <w:bodyDiv w:val="1"/>
      <w:marLeft w:val="0"/>
      <w:marRight w:val="0"/>
      <w:marTop w:val="0"/>
      <w:marBottom w:val="0"/>
      <w:divBdr>
        <w:top w:val="none" w:sz="0" w:space="0" w:color="auto"/>
        <w:left w:val="none" w:sz="0" w:space="0" w:color="auto"/>
        <w:bottom w:val="none" w:sz="0" w:space="0" w:color="auto"/>
        <w:right w:val="none" w:sz="0" w:space="0" w:color="auto"/>
      </w:divBdr>
    </w:div>
    <w:div w:id="1769228381">
      <w:bodyDiv w:val="1"/>
      <w:marLeft w:val="0"/>
      <w:marRight w:val="0"/>
      <w:marTop w:val="0"/>
      <w:marBottom w:val="0"/>
      <w:divBdr>
        <w:top w:val="none" w:sz="0" w:space="0" w:color="auto"/>
        <w:left w:val="none" w:sz="0" w:space="0" w:color="auto"/>
        <w:bottom w:val="none" w:sz="0" w:space="0" w:color="auto"/>
        <w:right w:val="none" w:sz="0" w:space="0" w:color="auto"/>
      </w:divBdr>
    </w:div>
    <w:div w:id="1787115244">
      <w:bodyDiv w:val="1"/>
      <w:marLeft w:val="0"/>
      <w:marRight w:val="0"/>
      <w:marTop w:val="0"/>
      <w:marBottom w:val="0"/>
      <w:divBdr>
        <w:top w:val="none" w:sz="0" w:space="0" w:color="auto"/>
        <w:left w:val="none" w:sz="0" w:space="0" w:color="auto"/>
        <w:bottom w:val="none" w:sz="0" w:space="0" w:color="auto"/>
        <w:right w:val="none" w:sz="0" w:space="0" w:color="auto"/>
      </w:divBdr>
      <w:divsChild>
        <w:div w:id="78139786">
          <w:marLeft w:val="0"/>
          <w:marRight w:val="0"/>
          <w:marTop w:val="0"/>
          <w:marBottom w:val="0"/>
          <w:divBdr>
            <w:top w:val="none" w:sz="0" w:space="0" w:color="auto"/>
            <w:left w:val="none" w:sz="0" w:space="0" w:color="auto"/>
            <w:bottom w:val="none" w:sz="0" w:space="0" w:color="auto"/>
            <w:right w:val="none" w:sz="0" w:space="0" w:color="auto"/>
          </w:divBdr>
        </w:div>
        <w:div w:id="95828097">
          <w:marLeft w:val="0"/>
          <w:marRight w:val="0"/>
          <w:marTop w:val="0"/>
          <w:marBottom w:val="0"/>
          <w:divBdr>
            <w:top w:val="none" w:sz="0" w:space="0" w:color="auto"/>
            <w:left w:val="none" w:sz="0" w:space="0" w:color="auto"/>
            <w:bottom w:val="none" w:sz="0" w:space="0" w:color="auto"/>
            <w:right w:val="none" w:sz="0" w:space="0" w:color="auto"/>
          </w:divBdr>
        </w:div>
        <w:div w:id="140315108">
          <w:marLeft w:val="0"/>
          <w:marRight w:val="0"/>
          <w:marTop w:val="0"/>
          <w:marBottom w:val="0"/>
          <w:divBdr>
            <w:top w:val="none" w:sz="0" w:space="0" w:color="auto"/>
            <w:left w:val="none" w:sz="0" w:space="0" w:color="auto"/>
            <w:bottom w:val="none" w:sz="0" w:space="0" w:color="auto"/>
            <w:right w:val="none" w:sz="0" w:space="0" w:color="auto"/>
          </w:divBdr>
        </w:div>
        <w:div w:id="420369894">
          <w:marLeft w:val="0"/>
          <w:marRight w:val="0"/>
          <w:marTop w:val="0"/>
          <w:marBottom w:val="0"/>
          <w:divBdr>
            <w:top w:val="none" w:sz="0" w:space="0" w:color="auto"/>
            <w:left w:val="none" w:sz="0" w:space="0" w:color="auto"/>
            <w:bottom w:val="none" w:sz="0" w:space="0" w:color="auto"/>
            <w:right w:val="none" w:sz="0" w:space="0" w:color="auto"/>
          </w:divBdr>
        </w:div>
        <w:div w:id="501703924">
          <w:marLeft w:val="0"/>
          <w:marRight w:val="0"/>
          <w:marTop w:val="0"/>
          <w:marBottom w:val="0"/>
          <w:divBdr>
            <w:top w:val="none" w:sz="0" w:space="0" w:color="auto"/>
            <w:left w:val="none" w:sz="0" w:space="0" w:color="auto"/>
            <w:bottom w:val="none" w:sz="0" w:space="0" w:color="auto"/>
            <w:right w:val="none" w:sz="0" w:space="0" w:color="auto"/>
          </w:divBdr>
        </w:div>
        <w:div w:id="612859593">
          <w:marLeft w:val="0"/>
          <w:marRight w:val="0"/>
          <w:marTop w:val="0"/>
          <w:marBottom w:val="0"/>
          <w:divBdr>
            <w:top w:val="none" w:sz="0" w:space="0" w:color="auto"/>
            <w:left w:val="none" w:sz="0" w:space="0" w:color="auto"/>
            <w:bottom w:val="none" w:sz="0" w:space="0" w:color="auto"/>
            <w:right w:val="none" w:sz="0" w:space="0" w:color="auto"/>
          </w:divBdr>
        </w:div>
        <w:div w:id="718552608">
          <w:marLeft w:val="0"/>
          <w:marRight w:val="0"/>
          <w:marTop w:val="0"/>
          <w:marBottom w:val="0"/>
          <w:divBdr>
            <w:top w:val="none" w:sz="0" w:space="0" w:color="auto"/>
            <w:left w:val="none" w:sz="0" w:space="0" w:color="auto"/>
            <w:bottom w:val="none" w:sz="0" w:space="0" w:color="auto"/>
            <w:right w:val="none" w:sz="0" w:space="0" w:color="auto"/>
          </w:divBdr>
        </w:div>
        <w:div w:id="726224103">
          <w:marLeft w:val="0"/>
          <w:marRight w:val="0"/>
          <w:marTop w:val="0"/>
          <w:marBottom w:val="0"/>
          <w:divBdr>
            <w:top w:val="none" w:sz="0" w:space="0" w:color="auto"/>
            <w:left w:val="none" w:sz="0" w:space="0" w:color="auto"/>
            <w:bottom w:val="none" w:sz="0" w:space="0" w:color="auto"/>
            <w:right w:val="none" w:sz="0" w:space="0" w:color="auto"/>
          </w:divBdr>
        </w:div>
        <w:div w:id="808399441">
          <w:marLeft w:val="0"/>
          <w:marRight w:val="0"/>
          <w:marTop w:val="0"/>
          <w:marBottom w:val="0"/>
          <w:divBdr>
            <w:top w:val="none" w:sz="0" w:space="0" w:color="auto"/>
            <w:left w:val="none" w:sz="0" w:space="0" w:color="auto"/>
            <w:bottom w:val="none" w:sz="0" w:space="0" w:color="auto"/>
            <w:right w:val="none" w:sz="0" w:space="0" w:color="auto"/>
          </w:divBdr>
        </w:div>
        <w:div w:id="998314861">
          <w:marLeft w:val="0"/>
          <w:marRight w:val="0"/>
          <w:marTop w:val="0"/>
          <w:marBottom w:val="0"/>
          <w:divBdr>
            <w:top w:val="none" w:sz="0" w:space="0" w:color="auto"/>
            <w:left w:val="none" w:sz="0" w:space="0" w:color="auto"/>
            <w:bottom w:val="none" w:sz="0" w:space="0" w:color="auto"/>
            <w:right w:val="none" w:sz="0" w:space="0" w:color="auto"/>
          </w:divBdr>
        </w:div>
        <w:div w:id="1139228080">
          <w:marLeft w:val="0"/>
          <w:marRight w:val="0"/>
          <w:marTop w:val="0"/>
          <w:marBottom w:val="0"/>
          <w:divBdr>
            <w:top w:val="none" w:sz="0" w:space="0" w:color="auto"/>
            <w:left w:val="none" w:sz="0" w:space="0" w:color="auto"/>
            <w:bottom w:val="none" w:sz="0" w:space="0" w:color="auto"/>
            <w:right w:val="none" w:sz="0" w:space="0" w:color="auto"/>
          </w:divBdr>
        </w:div>
        <w:div w:id="1229265382">
          <w:marLeft w:val="0"/>
          <w:marRight w:val="0"/>
          <w:marTop w:val="0"/>
          <w:marBottom w:val="0"/>
          <w:divBdr>
            <w:top w:val="none" w:sz="0" w:space="0" w:color="auto"/>
            <w:left w:val="none" w:sz="0" w:space="0" w:color="auto"/>
            <w:bottom w:val="none" w:sz="0" w:space="0" w:color="auto"/>
            <w:right w:val="none" w:sz="0" w:space="0" w:color="auto"/>
          </w:divBdr>
        </w:div>
        <w:div w:id="1401565054">
          <w:marLeft w:val="0"/>
          <w:marRight w:val="0"/>
          <w:marTop w:val="0"/>
          <w:marBottom w:val="0"/>
          <w:divBdr>
            <w:top w:val="none" w:sz="0" w:space="0" w:color="auto"/>
            <w:left w:val="none" w:sz="0" w:space="0" w:color="auto"/>
            <w:bottom w:val="none" w:sz="0" w:space="0" w:color="auto"/>
            <w:right w:val="none" w:sz="0" w:space="0" w:color="auto"/>
          </w:divBdr>
        </w:div>
        <w:div w:id="1497384214">
          <w:marLeft w:val="0"/>
          <w:marRight w:val="0"/>
          <w:marTop w:val="0"/>
          <w:marBottom w:val="0"/>
          <w:divBdr>
            <w:top w:val="none" w:sz="0" w:space="0" w:color="auto"/>
            <w:left w:val="none" w:sz="0" w:space="0" w:color="auto"/>
            <w:bottom w:val="none" w:sz="0" w:space="0" w:color="auto"/>
            <w:right w:val="none" w:sz="0" w:space="0" w:color="auto"/>
          </w:divBdr>
        </w:div>
        <w:div w:id="1606766242">
          <w:marLeft w:val="0"/>
          <w:marRight w:val="0"/>
          <w:marTop w:val="0"/>
          <w:marBottom w:val="0"/>
          <w:divBdr>
            <w:top w:val="none" w:sz="0" w:space="0" w:color="auto"/>
            <w:left w:val="none" w:sz="0" w:space="0" w:color="auto"/>
            <w:bottom w:val="none" w:sz="0" w:space="0" w:color="auto"/>
            <w:right w:val="none" w:sz="0" w:space="0" w:color="auto"/>
          </w:divBdr>
        </w:div>
        <w:div w:id="1694723896">
          <w:marLeft w:val="0"/>
          <w:marRight w:val="0"/>
          <w:marTop w:val="0"/>
          <w:marBottom w:val="0"/>
          <w:divBdr>
            <w:top w:val="none" w:sz="0" w:space="0" w:color="auto"/>
            <w:left w:val="none" w:sz="0" w:space="0" w:color="auto"/>
            <w:bottom w:val="none" w:sz="0" w:space="0" w:color="auto"/>
            <w:right w:val="none" w:sz="0" w:space="0" w:color="auto"/>
          </w:divBdr>
        </w:div>
        <w:div w:id="1703431465">
          <w:marLeft w:val="0"/>
          <w:marRight w:val="0"/>
          <w:marTop w:val="0"/>
          <w:marBottom w:val="0"/>
          <w:divBdr>
            <w:top w:val="none" w:sz="0" w:space="0" w:color="auto"/>
            <w:left w:val="none" w:sz="0" w:space="0" w:color="auto"/>
            <w:bottom w:val="none" w:sz="0" w:space="0" w:color="auto"/>
            <w:right w:val="none" w:sz="0" w:space="0" w:color="auto"/>
          </w:divBdr>
        </w:div>
        <w:div w:id="1768573606">
          <w:marLeft w:val="0"/>
          <w:marRight w:val="0"/>
          <w:marTop w:val="0"/>
          <w:marBottom w:val="0"/>
          <w:divBdr>
            <w:top w:val="none" w:sz="0" w:space="0" w:color="auto"/>
            <w:left w:val="none" w:sz="0" w:space="0" w:color="auto"/>
            <w:bottom w:val="none" w:sz="0" w:space="0" w:color="auto"/>
            <w:right w:val="none" w:sz="0" w:space="0" w:color="auto"/>
          </w:divBdr>
        </w:div>
        <w:div w:id="1965690769">
          <w:marLeft w:val="0"/>
          <w:marRight w:val="0"/>
          <w:marTop w:val="0"/>
          <w:marBottom w:val="0"/>
          <w:divBdr>
            <w:top w:val="none" w:sz="0" w:space="0" w:color="auto"/>
            <w:left w:val="none" w:sz="0" w:space="0" w:color="auto"/>
            <w:bottom w:val="none" w:sz="0" w:space="0" w:color="auto"/>
            <w:right w:val="none" w:sz="0" w:space="0" w:color="auto"/>
          </w:divBdr>
        </w:div>
        <w:div w:id="2016883784">
          <w:marLeft w:val="0"/>
          <w:marRight w:val="0"/>
          <w:marTop w:val="0"/>
          <w:marBottom w:val="0"/>
          <w:divBdr>
            <w:top w:val="none" w:sz="0" w:space="0" w:color="auto"/>
            <w:left w:val="none" w:sz="0" w:space="0" w:color="auto"/>
            <w:bottom w:val="none" w:sz="0" w:space="0" w:color="auto"/>
            <w:right w:val="none" w:sz="0" w:space="0" w:color="auto"/>
          </w:divBdr>
        </w:div>
        <w:div w:id="2036729149">
          <w:marLeft w:val="0"/>
          <w:marRight w:val="0"/>
          <w:marTop w:val="0"/>
          <w:marBottom w:val="0"/>
          <w:divBdr>
            <w:top w:val="none" w:sz="0" w:space="0" w:color="auto"/>
            <w:left w:val="none" w:sz="0" w:space="0" w:color="auto"/>
            <w:bottom w:val="none" w:sz="0" w:space="0" w:color="auto"/>
            <w:right w:val="none" w:sz="0" w:space="0" w:color="auto"/>
          </w:divBdr>
        </w:div>
        <w:div w:id="2060588134">
          <w:marLeft w:val="0"/>
          <w:marRight w:val="0"/>
          <w:marTop w:val="0"/>
          <w:marBottom w:val="0"/>
          <w:divBdr>
            <w:top w:val="none" w:sz="0" w:space="0" w:color="auto"/>
            <w:left w:val="none" w:sz="0" w:space="0" w:color="auto"/>
            <w:bottom w:val="none" w:sz="0" w:space="0" w:color="auto"/>
            <w:right w:val="none" w:sz="0" w:space="0" w:color="auto"/>
          </w:divBdr>
        </w:div>
      </w:divsChild>
    </w:div>
    <w:div w:id="1806963753">
      <w:bodyDiv w:val="1"/>
      <w:marLeft w:val="0"/>
      <w:marRight w:val="0"/>
      <w:marTop w:val="0"/>
      <w:marBottom w:val="0"/>
      <w:divBdr>
        <w:top w:val="none" w:sz="0" w:space="0" w:color="auto"/>
        <w:left w:val="none" w:sz="0" w:space="0" w:color="auto"/>
        <w:bottom w:val="none" w:sz="0" w:space="0" w:color="auto"/>
        <w:right w:val="none" w:sz="0" w:space="0" w:color="auto"/>
      </w:divBdr>
    </w:div>
    <w:div w:id="1865511431">
      <w:bodyDiv w:val="1"/>
      <w:marLeft w:val="0"/>
      <w:marRight w:val="0"/>
      <w:marTop w:val="0"/>
      <w:marBottom w:val="0"/>
      <w:divBdr>
        <w:top w:val="none" w:sz="0" w:space="0" w:color="auto"/>
        <w:left w:val="none" w:sz="0" w:space="0" w:color="auto"/>
        <w:bottom w:val="none" w:sz="0" w:space="0" w:color="auto"/>
        <w:right w:val="none" w:sz="0" w:space="0" w:color="auto"/>
      </w:divBdr>
    </w:div>
    <w:div w:id="1948846010">
      <w:bodyDiv w:val="1"/>
      <w:marLeft w:val="0"/>
      <w:marRight w:val="0"/>
      <w:marTop w:val="0"/>
      <w:marBottom w:val="0"/>
      <w:divBdr>
        <w:top w:val="none" w:sz="0" w:space="0" w:color="auto"/>
        <w:left w:val="none" w:sz="0" w:space="0" w:color="auto"/>
        <w:bottom w:val="none" w:sz="0" w:space="0" w:color="auto"/>
        <w:right w:val="none" w:sz="0" w:space="0" w:color="auto"/>
      </w:divBdr>
    </w:div>
    <w:div w:id="1949265534">
      <w:bodyDiv w:val="1"/>
      <w:marLeft w:val="0"/>
      <w:marRight w:val="0"/>
      <w:marTop w:val="0"/>
      <w:marBottom w:val="0"/>
      <w:divBdr>
        <w:top w:val="none" w:sz="0" w:space="0" w:color="auto"/>
        <w:left w:val="none" w:sz="0" w:space="0" w:color="auto"/>
        <w:bottom w:val="none" w:sz="0" w:space="0" w:color="auto"/>
        <w:right w:val="none" w:sz="0" w:space="0" w:color="auto"/>
      </w:divBdr>
    </w:div>
    <w:div w:id="2079546872">
      <w:bodyDiv w:val="1"/>
      <w:marLeft w:val="0"/>
      <w:marRight w:val="0"/>
      <w:marTop w:val="0"/>
      <w:marBottom w:val="0"/>
      <w:divBdr>
        <w:top w:val="none" w:sz="0" w:space="0" w:color="auto"/>
        <w:left w:val="none" w:sz="0" w:space="0" w:color="auto"/>
        <w:bottom w:val="none" w:sz="0" w:space="0" w:color="auto"/>
        <w:right w:val="none" w:sz="0" w:space="0" w:color="auto"/>
      </w:divBdr>
    </w:div>
    <w:div w:id="2096589674">
      <w:bodyDiv w:val="1"/>
      <w:marLeft w:val="0"/>
      <w:marRight w:val="0"/>
      <w:marTop w:val="0"/>
      <w:marBottom w:val="0"/>
      <w:divBdr>
        <w:top w:val="none" w:sz="0" w:space="0" w:color="auto"/>
        <w:left w:val="none" w:sz="0" w:space="0" w:color="auto"/>
        <w:bottom w:val="none" w:sz="0" w:space="0" w:color="auto"/>
        <w:right w:val="none" w:sz="0" w:space="0" w:color="auto"/>
      </w:divBdr>
    </w:div>
    <w:div w:id="2098670839">
      <w:bodyDiv w:val="1"/>
      <w:marLeft w:val="0"/>
      <w:marRight w:val="0"/>
      <w:marTop w:val="0"/>
      <w:marBottom w:val="0"/>
      <w:divBdr>
        <w:top w:val="none" w:sz="0" w:space="0" w:color="auto"/>
        <w:left w:val="none" w:sz="0" w:space="0" w:color="auto"/>
        <w:bottom w:val="none" w:sz="0" w:space="0" w:color="auto"/>
        <w:right w:val="none" w:sz="0" w:space="0" w:color="auto"/>
      </w:divBdr>
    </w:div>
    <w:div w:id="2105298781">
      <w:bodyDiv w:val="1"/>
      <w:marLeft w:val="0"/>
      <w:marRight w:val="0"/>
      <w:marTop w:val="0"/>
      <w:marBottom w:val="0"/>
      <w:divBdr>
        <w:top w:val="none" w:sz="0" w:space="0" w:color="auto"/>
        <w:left w:val="none" w:sz="0" w:space="0" w:color="auto"/>
        <w:bottom w:val="none" w:sz="0" w:space="0" w:color="auto"/>
        <w:right w:val="none" w:sz="0" w:space="0" w:color="auto"/>
      </w:divBdr>
    </w:div>
    <w:div w:id="2105496411">
      <w:bodyDiv w:val="1"/>
      <w:marLeft w:val="0"/>
      <w:marRight w:val="0"/>
      <w:marTop w:val="0"/>
      <w:marBottom w:val="0"/>
      <w:divBdr>
        <w:top w:val="none" w:sz="0" w:space="0" w:color="auto"/>
        <w:left w:val="none" w:sz="0" w:space="0" w:color="auto"/>
        <w:bottom w:val="none" w:sz="0" w:space="0" w:color="auto"/>
        <w:right w:val="none" w:sz="0" w:space="0" w:color="auto"/>
      </w:divBdr>
    </w:div>
    <w:div w:id="212874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idstream.org/files/documents/Ci-Dev-Logframe-20180926020912.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devtracker.dfid.gov.uk/projects/GB-1-203152/docum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idstream.org/files/documents/CMF-Evaluation-20-07-2018-2018112811113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i-dev.org/KnowledgeCente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databank.worldbank.org/data/id/2ddc971b?Code=SP.RUR.TOTL.FE.ZS&amp;report_name=Gender_Indicators_Report&amp;populartype=series" TargetMode="External"/><Relationship Id="rId2" Type="http://schemas.openxmlformats.org/officeDocument/2006/relationships/hyperlink" Target="https://www.ci-dev.org/KnowledgeCenter" TargetMode="External"/><Relationship Id="rId1" Type="http://schemas.openxmlformats.org/officeDocument/2006/relationships/hyperlink" Target="https://cdm.unfccc.int/" TargetMode="External"/><Relationship Id="rId5" Type="http://schemas.openxmlformats.org/officeDocument/2006/relationships/hyperlink" Target="http://siteresources.worldbank.org/EXTABOUTUS/Resources/29707-1280852909811/FY19SingleAudit.pdf" TargetMode="External"/><Relationship Id="rId4" Type="http://schemas.openxmlformats.org/officeDocument/2006/relationships/hyperlink" Target="https://assets.publishing.service.gov.uk/government/uploads/system/uploads/attachment_data/file/49551/DFID-approach-value-mon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BBAFD14273B545B612A7DFACD821FD" ma:contentTypeVersion="14" ma:contentTypeDescription="Create a new document." ma:contentTypeScope="" ma:versionID="64461a8e21c8b7bf24858858397f774a">
  <xsd:schema xmlns:xsd="http://www.w3.org/2001/XMLSchema" xmlns:xs="http://www.w3.org/2001/XMLSchema" xmlns:p="http://schemas.microsoft.com/office/2006/metadata/properties" xmlns:ns2="92ad9e33-5271-4ce6-bdd9-333434fbc601" xmlns:ns3="0063f72e-ace3-48fb-9c1f-5b513408b31f" xmlns:ns4="b413c3fd-5a3b-4239-b985-69032e371c04" xmlns:ns5="a8f60570-4bd3-4f2b-950b-a996de8ab151" xmlns:ns6="aaacb922-5235-4a66-b188-303b9b46fbd7" xmlns:ns7="36ebd5cd-78f0-47d9-a37e-8098d9379116" targetNamespace="http://schemas.microsoft.com/office/2006/metadata/properties" ma:root="true" ma:fieldsID="a03e93f18d94bacb0a82f8e4402611f8" ns2:_="" ns3:_="" ns4:_="" ns5:_="" ns6:_="" ns7:_="">
    <xsd:import namespace="92ad9e33-5271-4ce6-bdd9-333434fbc601"/>
    <xsd:import namespace="0063f72e-ace3-48fb-9c1f-5b513408b31f"/>
    <xsd:import namespace="b413c3fd-5a3b-4239-b985-69032e371c04"/>
    <xsd:import namespace="a8f60570-4bd3-4f2b-950b-a996de8ab151"/>
    <xsd:import namespace="aaacb922-5235-4a66-b188-303b9b46fbd7"/>
    <xsd:import namespace="36ebd5cd-78f0-47d9-a37e-8098d9379116"/>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d9e33-5271-4ce6-bdd9-333434fbc6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International (Climate and Energy):International Climate Finance|25a07eec-082c-4868-be05-2bef48a6767e"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136d9e3-02d7-4447-9a9a-9d02553843e1}" ma:internalName="TaxCatchAll" ma:showField="CatchAllData" ma:web="92ad9e33-5271-4ce6-bdd9-333434fbc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136d9e3-02d7-4447-9a9a-9d02553843e1}" ma:internalName="TaxCatchAllLabel" ma:readOnly="true" ma:showField="CatchAllDataLabel" ma:web="92ad9e33-5271-4ce6-bdd9-333434fbc601">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ebd5cd-78f0-47d9-a37e-8098d9379116"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2018-04-10T09:17:54+00:00</Date_x0020_Opened>
    <Descriptor xmlns="0063f72e-ace3-48fb-9c1f-5b513408b31f">LOCSEN</Descriptor>
    <Security_x0020_Classification xmlns="0063f72e-ace3-48fb-9c1f-5b513408b31f">OFFICIAL</Security_x0020_Classification>
    <Retention_x0020_Label xmlns="a8f60570-4bd3-4f2b-950b-a996de8ab151">Corp PPP Review</Retention_x0020_Label>
    <Date_x0020_Closed xmlns="b413c3fd-5a3b-4239-b985-69032e371c04" xsi:nil="true"/>
    <LegacyData xmlns="aaacb922-5235-4a66-b188-303b9b46fbd7">{
  "Name": "200618 third draft marked Ci Dev 2019 AR.docx",
  "Title": "Annual Review",
  "External": "",
  "Document Notes": "",
  "Security Classification": "OFFICIAL",
  "Handling Instructions": "",
  "Descriptor": "",
  "Government Body": "BEIS",
  "Business Unit": "BEIS:Energy, Transformation and Clean Growth:International (Climate and Energy):International Climate Finance",
  "Retention Label": "Corp PPP Review",
  "Date Opened": "2018-04-10T09:17:54Z",
  "Date Closed": "",
  "National Caveat": "",
  "Previous Location": "",
  "Previous Id": "",
  "Legacy Document Type": "",
  "Legacy Fileplan Target": "",
  "Legacy Numeric Class": "",
  "Legacy Folder Type": "",
  "Legacy Record Folder Identifier": "",
  "Legacy Copyright": "",
  "Legacy Last Modified Date": "",
  "Legacy Modifier": "",
  "Legacy Folder": "",
  "Legacy Content Type": "",
  "Legacy Expiry Review Date": "",
  "Legacy Last Action Date": "",
  "Legacy Protective Marking": "",
  "Legacy Tags": "",
  "Legacy References From Other Items": "",
  "Legacy Status on Transfer": "",
  "Legacy Date Closed": "",
  "Legacy Record Category Identifier": "",
  "Legacy Disposition as of Date": "",
  "Legacy Home Location": "",
  "Legacy Current Location": "",
  "Legacy Date File Received": "",
  "Legacy Date File Requested": "",
  "Legacy Date File Returned": "",
  "Legacy Minister": "",
  "Legacy MP": "",
  "Legacy Folder Notes": "",
  "Legacy Physical Item Location": "",
  "Legacy Request Type": "",
  "Legacy Descriptor": "",
  "Legacy Folder Document ID": "",
  "Legacy Document ID": "",
  "Legacy References To Other Items": "",
  "Legacy Custodian": "",
  "Legacy Additional Authors": "",
  "Legacy Document Link": "",
  "Legacy Folder Link": "",
  "Legacy Physical Format": false,
  "Content Type": "Document",
  "Previous Retention Policy": "",
  "Legacy Case Reference Number": "",
  "Created": "2020-06-18T16:57:30Z",
  "Document Modified By": "i:0#.f|membership|chris1.shipley@beis.gov.uk",
  "Document Created By": "i:0#.f|membership|chris1.shipley@beis.gov.uk",
  "Document ID Value": "2QFN7KK647Q6-531915815-40125",
  "Modified": "2020-06-18T16:57:30Z",
  "Original Location": "/sites/beis/201/Projects/Ci-Dev/Annual Reviews, Logframe Reviews/Annual Reviews/2019 Annual Review/200618 third draft marked Ci Dev 2019 AR.docx"
}</LegacyData>
    <_dlc_DocId xmlns="92ad9e33-5271-4ce6-bdd9-333434fbc601">FQW7PQWC2EQU-720610831-41061</_dlc_DocId>
    <_dlc_DocIdUrl xmlns="92ad9e33-5271-4ce6-bdd9-333434fbc601">
      <Url>https://beisgov.sharepoint.com/sites/ICF/_layouts/15/DocIdRedir.aspx?ID=FQW7PQWC2EQU-720610831-41061</Url>
      <Description>FQW7PQWC2EQU-720610831-41061</Description>
    </_dlc_DocIdUrl>
    <m975189f4ba442ecbf67d4147307b177 xmlns="92ad9e33-5271-4ce6-bdd9-333434fbc601">
      <Terms xmlns="http://schemas.microsoft.com/office/infopath/2007/PartnerControls">
        <TermInfo xmlns="http://schemas.microsoft.com/office/infopath/2007/PartnerControls">
          <TermName xmlns="http://schemas.microsoft.com/office/infopath/2007/PartnerControls">International Climate Finance</TermName>
          <TermId xmlns="http://schemas.microsoft.com/office/infopath/2007/PartnerControls">25a07eec-082c-4868-be05-2bef48a6767e</TermId>
        </TermInfo>
      </Terms>
    </m975189f4ba442ecbf67d4147307b177>
    <TaxCatchAll xmlns="92ad9e33-5271-4ce6-bdd9-333434fbc601">
      <Value>1</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CE1EC-ADCE-44C3-B0E0-1E17A296E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d9e33-5271-4ce6-bdd9-333434fbc601"/>
    <ds:schemaRef ds:uri="0063f72e-ace3-48fb-9c1f-5b513408b31f"/>
    <ds:schemaRef ds:uri="b413c3fd-5a3b-4239-b985-69032e371c04"/>
    <ds:schemaRef ds:uri="a8f60570-4bd3-4f2b-950b-a996de8ab151"/>
    <ds:schemaRef ds:uri="aaacb922-5235-4a66-b188-303b9b46fbd7"/>
    <ds:schemaRef ds:uri="36ebd5cd-78f0-47d9-a37e-8098d9379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64BEC-2E4D-4D71-8DE4-2B73DFE08022}">
  <ds:schemaRefs>
    <ds:schemaRef ds:uri="http://schemas.microsoft.com/sharepoint/v3/contenttype/forms"/>
  </ds:schemaRefs>
</ds:datastoreItem>
</file>

<file path=customXml/itemProps3.xml><?xml version="1.0" encoding="utf-8"?>
<ds:datastoreItem xmlns:ds="http://schemas.openxmlformats.org/officeDocument/2006/customXml" ds:itemID="{87A6582E-A9BC-4A1B-9B5F-E66B2A399B7D}">
  <ds:schemaRefs>
    <ds:schemaRef ds:uri="http://schemas.microsoft.com/sharepoint/events"/>
  </ds:schemaRefs>
</ds:datastoreItem>
</file>

<file path=customXml/itemProps4.xml><?xml version="1.0" encoding="utf-8"?>
<ds:datastoreItem xmlns:ds="http://schemas.openxmlformats.org/officeDocument/2006/customXml" ds:itemID="{940FBE03-1E69-4D9C-847C-B05FA08E982E}">
  <ds:schemaRefs>
    <ds:schemaRef ds:uri="http://schemas.microsoft.com/office/2006/metadata/properties"/>
    <ds:schemaRef ds:uri="http://schemas.microsoft.com/office/infopath/2007/PartnerControls"/>
    <ds:schemaRef ds:uri="b413c3fd-5a3b-4239-b985-69032e371c04"/>
    <ds:schemaRef ds:uri="0063f72e-ace3-48fb-9c1f-5b513408b31f"/>
    <ds:schemaRef ds:uri="a8f60570-4bd3-4f2b-950b-a996de8ab151"/>
    <ds:schemaRef ds:uri="aaacb922-5235-4a66-b188-303b9b46fbd7"/>
    <ds:schemaRef ds:uri="92ad9e33-5271-4ce6-bdd9-333434fbc601"/>
  </ds:schemaRefs>
</ds:datastoreItem>
</file>

<file path=customXml/itemProps5.xml><?xml version="1.0" encoding="utf-8"?>
<ds:datastoreItem xmlns:ds="http://schemas.openxmlformats.org/officeDocument/2006/customXml" ds:itemID="{1C524618-1859-BD46-893B-3332F440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10711</Words>
  <Characters>61054</Characters>
  <Application>Microsoft Office Word</Application>
  <DocSecurity>4</DocSecurity>
  <Lines>508</Lines>
  <Paragraphs>143</Paragraphs>
  <ScaleCrop>false</ScaleCrop>
  <Company>DFID</Company>
  <LinksUpToDate>false</LinksUpToDate>
  <CharactersWithSpaces>71622</CharactersWithSpaces>
  <SharedDoc>false</SharedDoc>
  <HLinks>
    <vt:vector size="54" baseType="variant">
      <vt:variant>
        <vt:i4>7340065</vt:i4>
      </vt:variant>
      <vt:variant>
        <vt:i4>9</vt:i4>
      </vt:variant>
      <vt:variant>
        <vt:i4>0</vt:i4>
      </vt:variant>
      <vt:variant>
        <vt:i4>5</vt:i4>
      </vt:variant>
      <vt:variant>
        <vt:lpwstr>https://aidstream.org/files/documents/CMF-Evaluation-20-07-2018-20181128111131.pdf</vt:lpwstr>
      </vt:variant>
      <vt:variant>
        <vt:lpwstr/>
      </vt:variant>
      <vt:variant>
        <vt:i4>3211371</vt:i4>
      </vt:variant>
      <vt:variant>
        <vt:i4>6</vt:i4>
      </vt:variant>
      <vt:variant>
        <vt:i4>0</vt:i4>
      </vt:variant>
      <vt:variant>
        <vt:i4>5</vt:i4>
      </vt:variant>
      <vt:variant>
        <vt:lpwstr>https://www.ci-dev.org/KnowledgeCenter</vt:lpwstr>
      </vt:variant>
      <vt:variant>
        <vt:lpwstr/>
      </vt:variant>
      <vt:variant>
        <vt:i4>393294</vt:i4>
      </vt:variant>
      <vt:variant>
        <vt:i4>3</vt:i4>
      </vt:variant>
      <vt:variant>
        <vt:i4>0</vt:i4>
      </vt:variant>
      <vt:variant>
        <vt:i4>5</vt:i4>
      </vt:variant>
      <vt:variant>
        <vt:lpwstr>https://aidstream.org/files/documents/Ci-Dev-Logframe-20180926020912.pdf</vt:lpwstr>
      </vt:variant>
      <vt:variant>
        <vt:lpwstr/>
      </vt:variant>
      <vt:variant>
        <vt:i4>3932266</vt:i4>
      </vt:variant>
      <vt:variant>
        <vt:i4>0</vt:i4>
      </vt:variant>
      <vt:variant>
        <vt:i4>0</vt:i4>
      </vt:variant>
      <vt:variant>
        <vt:i4>5</vt:i4>
      </vt:variant>
      <vt:variant>
        <vt:lpwstr>https://devtracker.dfid.gov.uk/projects/GB-1-203152/documents/</vt:lpwstr>
      </vt:variant>
      <vt:variant>
        <vt:lpwstr/>
      </vt:variant>
      <vt:variant>
        <vt:i4>3473520</vt:i4>
      </vt:variant>
      <vt:variant>
        <vt:i4>12</vt:i4>
      </vt:variant>
      <vt:variant>
        <vt:i4>0</vt:i4>
      </vt:variant>
      <vt:variant>
        <vt:i4>5</vt:i4>
      </vt:variant>
      <vt:variant>
        <vt:lpwstr>http://siteresources.worldbank.org/EXTABOUTUS/Resources/29707-1280852909811/FY19SingleAudit.pdf</vt:lpwstr>
      </vt:variant>
      <vt:variant>
        <vt:lpwstr/>
      </vt:variant>
      <vt:variant>
        <vt:i4>4456571</vt:i4>
      </vt:variant>
      <vt:variant>
        <vt:i4>9</vt:i4>
      </vt:variant>
      <vt:variant>
        <vt:i4>0</vt:i4>
      </vt:variant>
      <vt:variant>
        <vt:i4>5</vt:i4>
      </vt:variant>
      <vt:variant>
        <vt:lpwstr>https://assets.publishing.service.gov.uk/government/uploads/system/uploads/attachment_data/file/49551/DFID-approach-value-money.pdf</vt:lpwstr>
      </vt:variant>
      <vt:variant>
        <vt:lpwstr/>
      </vt:variant>
      <vt:variant>
        <vt:i4>3145748</vt:i4>
      </vt:variant>
      <vt:variant>
        <vt:i4>6</vt:i4>
      </vt:variant>
      <vt:variant>
        <vt:i4>0</vt:i4>
      </vt:variant>
      <vt:variant>
        <vt:i4>5</vt:i4>
      </vt:variant>
      <vt:variant>
        <vt:lpwstr>http://databank.worldbank.org/data/id/2ddc971b?Code=SP.RUR.TOTL.FE.ZS&amp;report_name=Gender_Indicators_Report&amp;populartype=series</vt:lpwstr>
      </vt:variant>
      <vt:variant>
        <vt:lpwstr/>
      </vt:variant>
      <vt:variant>
        <vt:i4>3211371</vt:i4>
      </vt:variant>
      <vt:variant>
        <vt:i4>3</vt:i4>
      </vt:variant>
      <vt:variant>
        <vt:i4>0</vt:i4>
      </vt:variant>
      <vt:variant>
        <vt:i4>5</vt:i4>
      </vt:variant>
      <vt:variant>
        <vt:lpwstr>https://www.ci-dev.org/KnowledgeCenter</vt:lpwstr>
      </vt:variant>
      <vt:variant>
        <vt:lpwstr/>
      </vt:variant>
      <vt:variant>
        <vt:i4>2621566</vt:i4>
      </vt:variant>
      <vt:variant>
        <vt:i4>0</vt:i4>
      </vt:variant>
      <vt:variant>
        <vt:i4>0</vt:i4>
      </vt:variant>
      <vt:variant>
        <vt:i4>5</vt:i4>
      </vt:variant>
      <vt:variant>
        <vt:lpwstr>https://cdm.unfccc.int/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dc:title>
  <dc:subject/>
  <dc:creator>Pete Vowles</dc:creator>
  <cp:keywords/>
  <cp:lastModifiedBy>Smithers, William (Intl Climate Finance - Portfolio)</cp:lastModifiedBy>
  <cp:revision>2</cp:revision>
  <cp:lastPrinted>2020-03-11T17:22:00Z</cp:lastPrinted>
  <dcterms:created xsi:type="dcterms:W3CDTF">2020-08-24T14:27:00Z</dcterms:created>
  <dcterms:modified xsi:type="dcterms:W3CDTF">2020-08-24T14:27:00Z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Document Type">
    <vt:lpwstr>Annual review</vt:lpwstr>
  </property>
  <property fmtid="{D5CDD505-2E9C-101B-9397-08002B2CF9AE}" pid="3" name="ContentTypeId">
    <vt:lpwstr>0x010100ABBBAFD14273B545B612A7DFACD821FD</vt:lpwstr>
  </property>
  <property fmtid="{D5CDD505-2E9C-101B-9397-08002B2CF9AE}" pid="4" name="_dlc_DocIdItemGuid">
    <vt:lpwstr>cd83cdc1-c504-4f59-b826-24bccabf2a32</vt:lpwstr>
  </property>
  <property fmtid="{D5CDD505-2E9C-101B-9397-08002B2CF9AE}" pid="5" name="Order">
    <vt:r8>1072500</vt:r8>
  </property>
  <property fmtid="{D5CDD505-2E9C-101B-9397-08002B2CF9AE}" pid="6" name="Business Unit">
    <vt:lpwstr>1;#International Climate Finance|25a07eec-082c-4868-be05-2bef48a6767e</vt:lpwstr>
  </property>
  <property fmtid="{D5CDD505-2E9C-101B-9397-08002B2CF9AE}" pid="7" name="AuthorIds_UIVersion_512">
    <vt:lpwstr>3563</vt:lpwstr>
  </property>
  <property fmtid="{D5CDD505-2E9C-101B-9397-08002B2CF9AE}" pid="8" name="AuthorIds_UIVersion_4">
    <vt:lpwstr>21376</vt:lpwstr>
  </property>
  <property fmtid="{D5CDD505-2E9C-101B-9397-08002B2CF9AE}" pid="9" name="AuthorIds_UIVersion_21">
    <vt:lpwstr>3563</vt:lpwstr>
  </property>
  <property fmtid="{D5CDD505-2E9C-101B-9397-08002B2CF9AE}" pid="10" name="AuthorIds_UIVersion_30">
    <vt:lpwstr>14020</vt:lpwstr>
  </property>
  <property fmtid="{D5CDD505-2E9C-101B-9397-08002B2CF9AE}" pid="11" name="AuthorIds_UIVersion_31">
    <vt:lpwstr>3563</vt:lpwstr>
  </property>
  <property fmtid="{D5CDD505-2E9C-101B-9397-08002B2CF9AE}" pid="12" name="AuthorIds_UIVersion_34">
    <vt:lpwstr>3563</vt:lpwstr>
  </property>
  <property fmtid="{D5CDD505-2E9C-101B-9397-08002B2CF9AE}" pid="13" name="AuthorIds_UIVersion_38">
    <vt:lpwstr>3563</vt:lpwstr>
  </property>
  <property fmtid="{D5CDD505-2E9C-101B-9397-08002B2CF9AE}" pid="14" name="AuthorIds_UIVersion_40">
    <vt:lpwstr>3563</vt:lpwstr>
  </property>
  <property fmtid="{D5CDD505-2E9C-101B-9397-08002B2CF9AE}" pid="15" name="AuthorIds_UIVersion_42">
    <vt:lpwstr>3563</vt:lpwstr>
  </property>
  <property fmtid="{D5CDD505-2E9C-101B-9397-08002B2CF9AE}" pid="16" name="AuthorIds_UIVersion_45">
    <vt:lpwstr>3563</vt:lpwstr>
  </property>
  <property fmtid="{D5CDD505-2E9C-101B-9397-08002B2CF9AE}" pid="17" name="AuthorIds_UIVersion_46">
    <vt:lpwstr>3563</vt:lpwstr>
  </property>
  <property fmtid="{D5CDD505-2E9C-101B-9397-08002B2CF9AE}" pid="18" name="AuthorIds_UIVersion_51">
    <vt:lpwstr>3563</vt:lpwstr>
  </property>
  <property fmtid="{D5CDD505-2E9C-101B-9397-08002B2CF9AE}" pid="19" name="AuthorIds_UIVersion_52">
    <vt:lpwstr>3563</vt:lpwstr>
  </property>
  <property fmtid="{D5CDD505-2E9C-101B-9397-08002B2CF9AE}" pid="20" name="AuthorIds_UIVersion_54">
    <vt:lpwstr>3563</vt:lpwstr>
  </property>
  <property fmtid="{D5CDD505-2E9C-101B-9397-08002B2CF9AE}" pid="21" name="AuthorIds_UIVersion_57">
    <vt:lpwstr>3563</vt:lpwstr>
  </property>
  <property fmtid="{D5CDD505-2E9C-101B-9397-08002B2CF9AE}" pid="22" name="AuthorIds_UIVersion_58">
    <vt:lpwstr>3563</vt:lpwstr>
  </property>
  <property fmtid="{D5CDD505-2E9C-101B-9397-08002B2CF9AE}" pid="23" name="AuthorIds_UIVersion_59">
    <vt:lpwstr>3338</vt:lpwstr>
  </property>
  <property fmtid="{D5CDD505-2E9C-101B-9397-08002B2CF9AE}" pid="24" name="MSIP_Label_ba62f585-b40f-4ab9-bafe-39150f03d124_Enabled">
    <vt:lpwstr>true</vt:lpwstr>
  </property>
  <property fmtid="{D5CDD505-2E9C-101B-9397-08002B2CF9AE}" pid="25" name="MSIP_Label_ba62f585-b40f-4ab9-bafe-39150f03d124_SetDate">
    <vt:lpwstr>2020-03-11T17:11:04Z</vt:lpwstr>
  </property>
  <property fmtid="{D5CDD505-2E9C-101B-9397-08002B2CF9AE}" pid="26" name="MSIP_Label_ba62f585-b40f-4ab9-bafe-39150f03d124_Method">
    <vt:lpwstr>Standard</vt:lpwstr>
  </property>
  <property fmtid="{D5CDD505-2E9C-101B-9397-08002B2CF9AE}" pid="27" name="MSIP_Label_ba62f585-b40f-4ab9-bafe-39150f03d124_Name">
    <vt:lpwstr>OFFICIAL</vt:lpwstr>
  </property>
  <property fmtid="{D5CDD505-2E9C-101B-9397-08002B2CF9AE}" pid="28" name="MSIP_Label_ba62f585-b40f-4ab9-bafe-39150f03d124_SiteId">
    <vt:lpwstr>cbac7005-02c1-43eb-b497-e6492d1b2dd8</vt:lpwstr>
  </property>
  <property fmtid="{D5CDD505-2E9C-101B-9397-08002B2CF9AE}" pid="29" name="MSIP_Label_ba62f585-b40f-4ab9-bafe-39150f03d124_ActionId">
    <vt:lpwstr>de30d5c5-7414-4b21-8733-0000931e27b1</vt:lpwstr>
  </property>
  <property fmtid="{D5CDD505-2E9C-101B-9397-08002B2CF9AE}" pid="30" name="MSIP_Label_ba62f585-b40f-4ab9-bafe-39150f03d124_ContentBits">
    <vt:lpwstr>0</vt:lpwstr>
  </property>
</Properties>
</file>